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3A77CB" w14:textId="599F4F66" w:rsidR="006D5DAE" w:rsidRDefault="006D5DAE">
      <w:r>
        <w:rPr>
          <w:noProof/>
        </w:rPr>
        <w:drawing>
          <wp:anchor distT="0" distB="0" distL="114300" distR="114300" simplePos="0" relativeHeight="251659264" behindDoc="0" locked="0" layoutInCell="1" allowOverlap="1" wp14:anchorId="4FB5E242" wp14:editId="472987F0">
            <wp:simplePos x="0" y="0"/>
            <wp:positionH relativeFrom="column">
              <wp:posOffset>1286510</wp:posOffset>
            </wp:positionH>
            <wp:positionV relativeFrom="paragraph">
              <wp:posOffset>0</wp:posOffset>
            </wp:positionV>
            <wp:extent cx="2491740" cy="1109980"/>
            <wp:effectExtent l="0" t="0" r="0" b="0"/>
            <wp:wrapTopAndBottom/>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 myday"/>
                    <pic:cNvPicPr>
                      <a:picLocks noChangeAspect="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491740" cy="1109980"/>
                    </a:xfrm>
                    <a:prstGeom prst="rect">
                      <a:avLst/>
                    </a:prstGeom>
                    <a:noFill/>
                    <a:ln>
                      <a:noFill/>
                    </a:ln>
                  </pic:spPr>
                </pic:pic>
              </a:graphicData>
            </a:graphic>
          </wp:anchor>
        </w:drawing>
      </w:r>
    </w:p>
    <w:p w14:paraId="7A04E202" w14:textId="77777777" w:rsidR="006D5DAE" w:rsidRDefault="006D5DAE"/>
    <w:p w14:paraId="6D925A80" w14:textId="77777777" w:rsidR="006D5DAE" w:rsidRDefault="006D5DAE"/>
    <w:p w14:paraId="3A583012" w14:textId="26857A0B" w:rsidR="00E438F7" w:rsidRPr="00E438F7" w:rsidRDefault="00E438F7" w:rsidP="00450F47">
      <w:pPr>
        <w:spacing w:before="120" w:after="120" w:line="360" w:lineRule="auto"/>
        <w:divId w:val="396128363"/>
        <w:rPr>
          <w:rFonts w:ascii="Arial" w:eastAsiaTheme="minorHAnsi" w:hAnsi="Arial" w:cs="Arial"/>
          <w:b/>
          <w:bCs/>
          <w:sz w:val="32"/>
          <w:szCs w:val="32"/>
          <w:lang w:val="en-US" w:eastAsia="en-US"/>
        </w:rPr>
      </w:pPr>
    </w:p>
    <w:p w14:paraId="6438F7A8" w14:textId="35CFF6C3" w:rsidR="00E438F7" w:rsidRPr="00E438F7" w:rsidRDefault="00CE120B" w:rsidP="00E438F7">
      <w:pPr>
        <w:spacing w:before="120" w:after="120" w:line="360" w:lineRule="auto"/>
        <w:jc w:val="center"/>
        <w:divId w:val="396128363"/>
        <w:rPr>
          <w:rFonts w:ascii="Arial" w:eastAsiaTheme="minorHAnsi" w:hAnsi="Arial" w:cs="Arial"/>
          <w:b/>
          <w:bCs/>
          <w:sz w:val="32"/>
          <w:szCs w:val="32"/>
          <w:lang w:val="en-US" w:eastAsia="en-US"/>
        </w:rPr>
      </w:pPr>
      <w:proofErr w:type="spellStart"/>
      <w:r>
        <w:rPr>
          <w:rFonts w:ascii="Arial" w:eastAsiaTheme="minorHAnsi" w:hAnsi="Arial" w:cs="Arial"/>
          <w:b/>
          <w:bCs/>
          <w:sz w:val="32"/>
          <w:szCs w:val="32"/>
          <w:lang w:val="en-US" w:eastAsia="en-US"/>
        </w:rPr>
        <w:t>Programe</w:t>
      </w:r>
      <w:proofErr w:type="spellEnd"/>
      <w:r>
        <w:rPr>
          <w:rFonts w:ascii="Arial" w:eastAsiaTheme="minorHAnsi" w:hAnsi="Arial" w:cs="Arial"/>
          <w:b/>
          <w:bCs/>
          <w:sz w:val="32"/>
          <w:szCs w:val="32"/>
          <w:lang w:val="en-US" w:eastAsia="en-US"/>
        </w:rPr>
        <w:t xml:space="preserve">: </w:t>
      </w:r>
      <w:r w:rsidR="00C32E40">
        <w:rPr>
          <w:rFonts w:ascii="Arial" w:eastAsiaTheme="minorHAnsi" w:hAnsi="Arial" w:cs="Arial"/>
          <w:b/>
          <w:bCs/>
          <w:sz w:val="32"/>
          <w:szCs w:val="32"/>
          <w:lang w:val="en-US" w:eastAsia="en-US"/>
        </w:rPr>
        <w:t>BA International Hotel Management</w:t>
      </w:r>
    </w:p>
    <w:p w14:paraId="7881CF0E" w14:textId="4F661D1B" w:rsidR="00E438F7" w:rsidRPr="004644B2" w:rsidRDefault="00C32E40" w:rsidP="004644B2">
      <w:pPr>
        <w:spacing w:line="254" w:lineRule="auto"/>
        <w:divId w:val="1906451235"/>
        <w:rPr>
          <w:rFonts w:ascii="Arial" w:eastAsiaTheme="minorHAnsi" w:hAnsi="Arial" w:cs="Arial"/>
          <w:b/>
          <w:kern w:val="0"/>
          <w:lang w:val="en-US" w:eastAsia="en-US"/>
          <w14:ligatures w14:val="none"/>
        </w:rPr>
      </w:pPr>
      <w:r>
        <w:rPr>
          <w:rFonts w:ascii="Arial" w:eastAsiaTheme="minorHAnsi" w:hAnsi="Arial" w:cs="Arial"/>
          <w:b/>
          <w:bCs/>
          <w:sz w:val="32"/>
          <w:szCs w:val="32"/>
          <w:lang w:val="en-US" w:eastAsia="en-US"/>
        </w:rPr>
        <w:t xml:space="preserve">       </w:t>
      </w:r>
      <w:r w:rsidR="00CE120B">
        <w:rPr>
          <w:rFonts w:ascii="Arial" w:eastAsiaTheme="minorHAnsi" w:hAnsi="Arial" w:cs="Arial"/>
          <w:b/>
          <w:bCs/>
          <w:sz w:val="32"/>
          <w:szCs w:val="32"/>
          <w:lang w:val="en-US" w:eastAsia="en-US"/>
        </w:rPr>
        <w:t>Module:</w:t>
      </w:r>
      <w:r>
        <w:rPr>
          <w:rFonts w:ascii="Arial" w:eastAsiaTheme="minorHAnsi" w:hAnsi="Arial" w:cs="Arial"/>
          <w:b/>
          <w:bCs/>
          <w:sz w:val="32"/>
          <w:szCs w:val="32"/>
          <w:lang w:val="en-US" w:eastAsia="en-US"/>
        </w:rPr>
        <w:t xml:space="preserve"> </w:t>
      </w:r>
      <w:r w:rsidR="00E438F7" w:rsidRPr="00E438F7">
        <w:rPr>
          <w:rFonts w:ascii="Arial" w:eastAsiaTheme="minorHAnsi" w:hAnsi="Arial" w:cs="Arial"/>
          <w:b/>
          <w:bCs/>
          <w:sz w:val="32"/>
          <w:szCs w:val="32"/>
          <w:lang w:val="en-US" w:eastAsia="en-US"/>
        </w:rPr>
        <w:t>Financial Management f</w:t>
      </w:r>
      <w:r w:rsidR="00942511">
        <w:rPr>
          <w:rFonts w:ascii="Arial" w:eastAsiaTheme="minorHAnsi" w:hAnsi="Arial" w:cs="Arial"/>
          <w:b/>
          <w:bCs/>
          <w:sz w:val="32"/>
          <w:szCs w:val="32"/>
          <w:lang w:val="en-US" w:eastAsia="en-US"/>
        </w:rPr>
        <w:t xml:space="preserve">or the </w:t>
      </w:r>
      <w:r w:rsidR="00BD4EBF">
        <w:rPr>
          <w:rFonts w:ascii="Arial" w:eastAsiaTheme="minorHAnsi" w:hAnsi="Arial" w:cs="Arial"/>
          <w:b/>
          <w:bCs/>
          <w:sz w:val="32"/>
          <w:szCs w:val="32"/>
          <w:lang w:val="en-US" w:eastAsia="en-US"/>
        </w:rPr>
        <w:t>Hotel Industry</w:t>
      </w:r>
    </w:p>
    <w:p w14:paraId="1BF11B29" w14:textId="52C3058D" w:rsidR="00450F47" w:rsidRDefault="004644B2" w:rsidP="006C113D">
      <w:pPr>
        <w:spacing w:before="120" w:after="120" w:line="360" w:lineRule="auto"/>
        <w:divId w:val="396128363"/>
        <w:rPr>
          <w:rFonts w:ascii="Arial" w:eastAsiaTheme="minorHAnsi" w:hAnsi="Arial" w:cs="Arial"/>
          <w:b/>
          <w:bCs/>
          <w:sz w:val="32"/>
          <w:szCs w:val="32"/>
          <w:lang w:val="en-US" w:eastAsia="en-US"/>
        </w:rPr>
      </w:pPr>
      <w:r>
        <w:rPr>
          <w:rFonts w:ascii="Arial" w:eastAsiaTheme="minorHAnsi" w:hAnsi="Arial" w:cs="Arial"/>
          <w:b/>
          <w:bCs/>
          <w:sz w:val="32"/>
          <w:szCs w:val="32"/>
          <w:lang w:val="en-US" w:eastAsia="en-US"/>
        </w:rPr>
        <w:t xml:space="preserve">                    </w:t>
      </w:r>
      <w:r w:rsidR="006016E3">
        <w:rPr>
          <w:rFonts w:ascii="Arial" w:eastAsiaTheme="minorHAnsi" w:hAnsi="Arial" w:cs="Arial"/>
          <w:b/>
          <w:bCs/>
          <w:sz w:val="32"/>
          <w:szCs w:val="32"/>
          <w:lang w:val="en-US" w:eastAsia="en-US"/>
        </w:rPr>
        <w:t xml:space="preserve">  </w:t>
      </w:r>
      <w:r w:rsidR="006C113D">
        <w:rPr>
          <w:rFonts w:ascii="Arial" w:eastAsiaTheme="minorHAnsi" w:hAnsi="Arial" w:cs="Arial"/>
          <w:b/>
          <w:bCs/>
          <w:sz w:val="32"/>
          <w:szCs w:val="32"/>
          <w:lang w:val="en-US" w:eastAsia="en-US"/>
        </w:rPr>
        <w:t xml:space="preserve">   </w:t>
      </w:r>
      <w:r w:rsidR="00450F47">
        <w:rPr>
          <w:rFonts w:ascii="Arial" w:eastAsiaTheme="minorHAnsi" w:hAnsi="Arial" w:cs="Arial"/>
          <w:b/>
          <w:bCs/>
          <w:sz w:val="32"/>
          <w:szCs w:val="32"/>
          <w:lang w:val="en-US" w:eastAsia="en-US"/>
        </w:rPr>
        <w:t xml:space="preserve"> Module code : </w:t>
      </w:r>
      <w:r w:rsidR="00C32E40">
        <w:rPr>
          <w:rFonts w:ascii="Arial" w:eastAsiaTheme="minorHAnsi" w:hAnsi="Arial" w:cs="Arial"/>
          <w:b/>
          <w:bCs/>
          <w:sz w:val="32"/>
          <w:szCs w:val="32"/>
          <w:lang w:val="en-US" w:eastAsia="en-US"/>
        </w:rPr>
        <w:t>BMIH5007</w:t>
      </w:r>
    </w:p>
    <w:p w14:paraId="5FB1DB8D" w14:textId="77777777" w:rsidR="001653DE" w:rsidRDefault="00450F47" w:rsidP="006C113D">
      <w:pPr>
        <w:spacing w:before="120" w:after="120" w:line="360" w:lineRule="auto"/>
        <w:divId w:val="396128363"/>
        <w:rPr>
          <w:rFonts w:ascii="Arial" w:eastAsiaTheme="minorHAnsi" w:hAnsi="Arial" w:cs="Arial"/>
          <w:b/>
          <w:bCs/>
          <w:sz w:val="32"/>
          <w:szCs w:val="32"/>
          <w:lang w:val="en-US" w:eastAsia="en-US"/>
        </w:rPr>
      </w:pPr>
      <w:r>
        <w:rPr>
          <w:rFonts w:ascii="Arial" w:eastAsiaTheme="minorHAnsi" w:hAnsi="Arial" w:cs="Arial"/>
          <w:b/>
          <w:bCs/>
          <w:sz w:val="32"/>
          <w:szCs w:val="32"/>
          <w:lang w:val="en-US" w:eastAsia="en-US"/>
        </w:rPr>
        <w:t xml:space="preserve">                 </w:t>
      </w:r>
      <w:r w:rsidR="006016E3">
        <w:rPr>
          <w:rFonts w:ascii="Arial" w:eastAsiaTheme="minorHAnsi" w:hAnsi="Arial" w:cs="Arial"/>
          <w:b/>
          <w:bCs/>
          <w:sz w:val="32"/>
          <w:szCs w:val="32"/>
          <w:lang w:val="en-US" w:eastAsia="en-US"/>
        </w:rPr>
        <w:t xml:space="preserve">  </w:t>
      </w:r>
      <w:r>
        <w:rPr>
          <w:rFonts w:ascii="Arial" w:eastAsiaTheme="minorHAnsi" w:hAnsi="Arial" w:cs="Arial"/>
          <w:b/>
          <w:bCs/>
          <w:sz w:val="32"/>
          <w:szCs w:val="32"/>
          <w:lang w:val="en-US" w:eastAsia="en-US"/>
        </w:rPr>
        <w:t xml:space="preserve">  </w:t>
      </w:r>
    </w:p>
    <w:p w14:paraId="5B6F7490" w14:textId="39B94C41" w:rsidR="004644B2" w:rsidRPr="00E438F7" w:rsidRDefault="00450F47" w:rsidP="006C113D">
      <w:pPr>
        <w:spacing w:before="120" w:after="120" w:line="360" w:lineRule="auto"/>
        <w:divId w:val="396128363"/>
        <w:rPr>
          <w:rFonts w:ascii="Arial" w:eastAsiaTheme="minorHAnsi" w:hAnsi="Arial" w:cs="Arial"/>
          <w:b/>
          <w:bCs/>
          <w:sz w:val="32"/>
          <w:szCs w:val="32"/>
          <w:lang w:val="en-US" w:eastAsia="en-US"/>
        </w:rPr>
      </w:pPr>
      <w:r>
        <w:rPr>
          <w:rFonts w:ascii="Arial" w:eastAsiaTheme="minorHAnsi" w:hAnsi="Arial" w:cs="Arial"/>
          <w:b/>
          <w:bCs/>
          <w:sz w:val="32"/>
          <w:szCs w:val="32"/>
          <w:lang w:val="en-US" w:eastAsia="en-US"/>
        </w:rPr>
        <w:t xml:space="preserve">  </w:t>
      </w:r>
      <w:r w:rsidR="001653DE">
        <w:rPr>
          <w:rFonts w:ascii="Arial" w:eastAsiaTheme="minorHAnsi" w:hAnsi="Arial" w:cs="Arial"/>
          <w:b/>
          <w:bCs/>
          <w:sz w:val="32"/>
          <w:szCs w:val="32"/>
          <w:lang w:val="en-US" w:eastAsia="en-US"/>
        </w:rPr>
        <w:t xml:space="preserve">                    </w:t>
      </w:r>
      <w:r>
        <w:rPr>
          <w:rFonts w:ascii="Arial" w:eastAsiaTheme="minorHAnsi" w:hAnsi="Arial" w:cs="Arial"/>
          <w:b/>
          <w:bCs/>
          <w:sz w:val="32"/>
          <w:szCs w:val="32"/>
          <w:lang w:val="en-US" w:eastAsia="en-US"/>
        </w:rPr>
        <w:t xml:space="preserve">  </w:t>
      </w:r>
      <w:r w:rsidR="006C113D">
        <w:rPr>
          <w:rFonts w:ascii="Arial" w:eastAsiaTheme="minorHAnsi" w:hAnsi="Arial" w:cs="Arial"/>
          <w:b/>
          <w:bCs/>
          <w:sz w:val="32"/>
          <w:szCs w:val="32"/>
          <w:lang w:val="en-US" w:eastAsia="en-US"/>
        </w:rPr>
        <w:t xml:space="preserve"> </w:t>
      </w:r>
      <w:r w:rsidR="004644B2">
        <w:rPr>
          <w:rFonts w:ascii="Arial" w:eastAsiaTheme="minorHAnsi" w:hAnsi="Arial" w:cs="Arial"/>
          <w:b/>
          <w:bCs/>
          <w:sz w:val="32"/>
          <w:szCs w:val="32"/>
          <w:lang w:val="en-US" w:eastAsia="en-US"/>
        </w:rPr>
        <w:t>Lecturer : Tristan Hawkins</w:t>
      </w:r>
    </w:p>
    <w:p w14:paraId="75C295CF" w14:textId="1CEE4377" w:rsidR="001653DE" w:rsidRDefault="006909CE" w:rsidP="006909CE">
      <w:pPr>
        <w:spacing w:before="120" w:after="120" w:line="360" w:lineRule="auto"/>
        <w:divId w:val="396128363"/>
        <w:rPr>
          <w:rFonts w:ascii="Arial" w:eastAsiaTheme="minorHAnsi" w:hAnsi="Arial" w:cs="Arial"/>
          <w:b/>
          <w:bCs/>
          <w:sz w:val="32"/>
          <w:szCs w:val="32"/>
          <w:lang w:val="en-US" w:eastAsia="en-US"/>
        </w:rPr>
      </w:pPr>
      <w:r>
        <w:rPr>
          <w:rFonts w:ascii="Arial" w:eastAsiaTheme="minorHAnsi" w:hAnsi="Arial" w:cs="Arial"/>
          <w:b/>
          <w:bCs/>
          <w:sz w:val="32"/>
          <w:szCs w:val="32"/>
          <w:lang w:val="en-US" w:eastAsia="en-US"/>
        </w:rPr>
        <w:t xml:space="preserve">                        </w:t>
      </w:r>
      <w:r w:rsidR="006016E3">
        <w:rPr>
          <w:rFonts w:ascii="Arial" w:eastAsiaTheme="minorHAnsi" w:hAnsi="Arial" w:cs="Arial"/>
          <w:b/>
          <w:bCs/>
          <w:sz w:val="32"/>
          <w:szCs w:val="32"/>
          <w:lang w:val="en-US" w:eastAsia="en-US"/>
        </w:rPr>
        <w:t xml:space="preserve"> </w:t>
      </w:r>
      <w:r w:rsidR="00C06C06">
        <w:rPr>
          <w:rFonts w:ascii="Arial" w:eastAsiaTheme="minorHAnsi" w:hAnsi="Arial" w:cs="Arial"/>
          <w:b/>
          <w:bCs/>
          <w:sz w:val="32"/>
          <w:szCs w:val="32"/>
          <w:lang w:val="en-US" w:eastAsia="en-US"/>
        </w:rPr>
        <w:t xml:space="preserve">Student </w:t>
      </w:r>
      <w:r w:rsidR="00E438F7" w:rsidRPr="00E438F7">
        <w:rPr>
          <w:rFonts w:ascii="Arial" w:eastAsiaTheme="minorHAnsi" w:hAnsi="Arial" w:cs="Arial"/>
          <w:b/>
          <w:bCs/>
          <w:sz w:val="32"/>
          <w:szCs w:val="32"/>
          <w:lang w:val="en-US" w:eastAsia="en-US"/>
        </w:rPr>
        <w:t>Name</w:t>
      </w:r>
      <w:r w:rsidR="00C06C06">
        <w:rPr>
          <w:rFonts w:ascii="Arial" w:eastAsiaTheme="minorHAnsi" w:hAnsi="Arial" w:cs="Arial"/>
          <w:b/>
          <w:bCs/>
          <w:sz w:val="32"/>
          <w:szCs w:val="32"/>
          <w:lang w:val="en-US" w:eastAsia="en-US"/>
        </w:rPr>
        <w:t xml:space="preserve"> : Daniela </w:t>
      </w:r>
      <w:proofErr w:type="spellStart"/>
      <w:r w:rsidR="00C06C06">
        <w:rPr>
          <w:rFonts w:ascii="Arial" w:eastAsiaTheme="minorHAnsi" w:hAnsi="Arial" w:cs="Arial"/>
          <w:b/>
          <w:bCs/>
          <w:sz w:val="32"/>
          <w:szCs w:val="32"/>
          <w:lang w:val="en-US" w:eastAsia="en-US"/>
        </w:rPr>
        <w:t>Vlado</w:t>
      </w:r>
      <w:r w:rsidR="001653DE">
        <w:rPr>
          <w:rFonts w:ascii="Arial" w:eastAsiaTheme="minorHAnsi" w:hAnsi="Arial" w:cs="Arial"/>
          <w:b/>
          <w:bCs/>
          <w:sz w:val="32"/>
          <w:szCs w:val="32"/>
          <w:lang w:val="en-US" w:eastAsia="en-US"/>
        </w:rPr>
        <w:t>i</w:t>
      </w:r>
      <w:proofErr w:type="spellEnd"/>
    </w:p>
    <w:p w14:paraId="137060A5" w14:textId="16DC05AB" w:rsidR="00E438F7" w:rsidRPr="00E438F7" w:rsidRDefault="001653DE" w:rsidP="001653DE">
      <w:pPr>
        <w:spacing w:before="120" w:after="120" w:line="360" w:lineRule="auto"/>
        <w:divId w:val="396128363"/>
        <w:rPr>
          <w:rFonts w:ascii="Arial" w:eastAsiaTheme="minorHAnsi" w:hAnsi="Arial" w:cs="Arial"/>
          <w:b/>
          <w:bCs/>
          <w:sz w:val="32"/>
          <w:szCs w:val="32"/>
          <w:lang w:val="en-US" w:eastAsia="en-US"/>
        </w:rPr>
      </w:pPr>
      <w:r>
        <w:rPr>
          <w:rFonts w:ascii="Arial" w:eastAsiaTheme="minorHAnsi" w:hAnsi="Arial" w:cs="Arial"/>
          <w:b/>
          <w:bCs/>
          <w:sz w:val="32"/>
          <w:szCs w:val="32"/>
          <w:lang w:val="en-US" w:eastAsia="en-US"/>
        </w:rPr>
        <w:t xml:space="preserve">                         </w:t>
      </w:r>
      <w:r w:rsidR="00E438F7" w:rsidRPr="00E438F7">
        <w:rPr>
          <w:rFonts w:ascii="Arial" w:eastAsiaTheme="minorHAnsi" w:hAnsi="Arial" w:cs="Arial"/>
          <w:b/>
          <w:bCs/>
          <w:sz w:val="32"/>
          <w:szCs w:val="32"/>
          <w:lang w:val="en-US" w:eastAsia="en-US"/>
        </w:rPr>
        <w:t>Student ID</w:t>
      </w:r>
      <w:r w:rsidR="00C06C06">
        <w:rPr>
          <w:rFonts w:ascii="Arial" w:eastAsiaTheme="minorHAnsi" w:hAnsi="Arial" w:cs="Arial"/>
          <w:b/>
          <w:bCs/>
          <w:sz w:val="32"/>
          <w:szCs w:val="32"/>
          <w:lang w:val="en-US" w:eastAsia="en-US"/>
        </w:rPr>
        <w:t>:  2207143</w:t>
      </w:r>
      <w:r w:rsidR="006E004A">
        <w:rPr>
          <w:rFonts w:ascii="Arial" w:eastAsiaTheme="minorHAnsi" w:hAnsi="Arial" w:cs="Arial"/>
          <w:b/>
          <w:bCs/>
          <w:sz w:val="32"/>
          <w:szCs w:val="32"/>
          <w:lang w:val="en-US" w:eastAsia="en-US"/>
        </w:rPr>
        <w:t xml:space="preserve"> </w:t>
      </w:r>
    </w:p>
    <w:p w14:paraId="59385FB3" w14:textId="77777777" w:rsidR="00E438F7" w:rsidRPr="00E438F7" w:rsidRDefault="00E438F7" w:rsidP="00E438F7">
      <w:pPr>
        <w:spacing w:before="120" w:after="120" w:line="360" w:lineRule="auto"/>
        <w:jc w:val="center"/>
        <w:divId w:val="396128363"/>
        <w:rPr>
          <w:rFonts w:ascii="Arial" w:eastAsiaTheme="minorHAnsi" w:hAnsi="Arial" w:cs="Arial"/>
          <w:b/>
          <w:bCs/>
          <w:sz w:val="22"/>
          <w:szCs w:val="22"/>
          <w:lang w:val="en-US" w:eastAsia="en-US"/>
        </w:rPr>
      </w:pPr>
    </w:p>
    <w:p w14:paraId="62BC33FC" w14:textId="77777777" w:rsidR="00E438F7" w:rsidRPr="00E438F7" w:rsidRDefault="00E438F7" w:rsidP="00E438F7">
      <w:pPr>
        <w:spacing w:before="120" w:after="120" w:line="360" w:lineRule="auto"/>
        <w:divId w:val="396128363"/>
        <w:rPr>
          <w:rFonts w:ascii="Arial" w:eastAsiaTheme="minorHAnsi" w:hAnsi="Arial" w:cs="Arial"/>
          <w:b/>
          <w:bCs/>
          <w:sz w:val="22"/>
          <w:szCs w:val="22"/>
          <w:lang w:val="en-US" w:eastAsia="en-US"/>
        </w:rPr>
      </w:pPr>
      <w:r w:rsidRPr="00E438F7">
        <w:rPr>
          <w:rFonts w:ascii="Arial" w:eastAsiaTheme="minorHAnsi" w:hAnsi="Arial" w:cs="Arial"/>
          <w:b/>
          <w:bCs/>
          <w:kern w:val="0"/>
          <w:sz w:val="22"/>
          <w:szCs w:val="22"/>
          <w:lang w:val="en-US" w:eastAsia="en-US"/>
          <w14:ligatures w14:val="none"/>
        </w:rPr>
        <w:br w:type="page"/>
      </w:r>
    </w:p>
    <w:p w14:paraId="69234235" w14:textId="77777777" w:rsidR="00E438F7" w:rsidRPr="00E438F7" w:rsidRDefault="00E438F7" w:rsidP="00E438F7">
      <w:pPr>
        <w:keepNext/>
        <w:keepLines/>
        <w:spacing w:before="120" w:after="120" w:line="360" w:lineRule="auto"/>
        <w:jc w:val="both"/>
        <w:outlineLvl w:val="0"/>
        <w:divId w:val="396128363"/>
        <w:rPr>
          <w:rFonts w:ascii="Arial" w:eastAsiaTheme="majorEastAsia" w:hAnsi="Arial" w:cs="Arial"/>
          <w:b/>
          <w:szCs w:val="32"/>
          <w:lang w:val="en-US" w:eastAsia="en-US"/>
        </w:rPr>
      </w:pPr>
      <w:bookmarkStart w:id="0" w:name="_Toc159515785"/>
      <w:r w:rsidRPr="00E438F7">
        <w:rPr>
          <w:rFonts w:ascii="Arial" w:eastAsiaTheme="majorEastAsia" w:hAnsi="Arial" w:cs="Arial"/>
          <w:b/>
          <w:szCs w:val="32"/>
          <w:lang w:val="en-US" w:eastAsia="en-US"/>
        </w:rPr>
        <w:lastRenderedPageBreak/>
        <w:t>Executive Summary</w:t>
      </w:r>
      <w:bookmarkEnd w:id="0"/>
    </w:p>
    <w:p w14:paraId="08AFC82B" w14:textId="77777777" w:rsidR="00E438F7" w:rsidRPr="00E438F7" w:rsidRDefault="00E438F7" w:rsidP="00E438F7">
      <w:pPr>
        <w:spacing w:before="120" w:after="120" w:line="360" w:lineRule="auto"/>
        <w:ind w:firstLine="284"/>
        <w:jc w:val="both"/>
        <w:divId w:val="396128363"/>
        <w:rPr>
          <w:rFonts w:ascii="Arial" w:eastAsiaTheme="minorHAnsi" w:hAnsi="Arial" w:cs="Arial"/>
          <w:sz w:val="22"/>
          <w:szCs w:val="22"/>
          <w:lang w:eastAsia="en-US"/>
        </w:rPr>
      </w:pPr>
      <w:r w:rsidRPr="00E438F7">
        <w:rPr>
          <w:rFonts w:ascii="Arial" w:eastAsiaTheme="minorHAnsi" w:hAnsi="Arial" w:cs="Arial"/>
          <w:sz w:val="22"/>
          <w:szCs w:val="22"/>
          <w:lang w:eastAsia="en-US"/>
        </w:rPr>
        <w:t>With its restaurant, bar, and event rooms, the Seacrest Lodge has long been a symbol of luxury and pleasure for holidaymakers on a gorgeous beach. The first portion of the research details Seacrest Lodge's triumphs. Those seeking serenity and elegance frequented here. The Lodge has recently faced problems that have reduced its wealth, affecting its fortunes. Declining sales, occupancy, and customer happiness have raised concerns about the company's future. The proprietor of Seacrest Lodge has seen the urgency of the situation and sought expert help to revitalise the firm. This research analyse Seacrest Lodge's 2021–2023 income and balance sheets to assist it recover.</w:t>
      </w:r>
    </w:p>
    <w:p w14:paraId="5A9ED616" w14:textId="77777777" w:rsidR="00E438F7" w:rsidRPr="00E438F7" w:rsidRDefault="00E438F7" w:rsidP="00E438F7">
      <w:pPr>
        <w:spacing w:before="120" w:after="120" w:line="360" w:lineRule="auto"/>
        <w:ind w:firstLine="284"/>
        <w:jc w:val="both"/>
        <w:divId w:val="396128363"/>
        <w:rPr>
          <w:rFonts w:ascii="Arial" w:eastAsiaTheme="minorHAnsi" w:hAnsi="Arial" w:cs="Arial"/>
          <w:sz w:val="22"/>
          <w:szCs w:val="22"/>
          <w:lang w:eastAsia="en-US"/>
        </w:rPr>
      </w:pPr>
      <w:r w:rsidRPr="00E438F7">
        <w:rPr>
          <w:rFonts w:ascii="Arial" w:eastAsiaTheme="minorHAnsi" w:hAnsi="Arial" w:cs="Arial"/>
          <w:sz w:val="22"/>
          <w:szCs w:val="22"/>
          <w:lang w:eastAsia="en-US"/>
        </w:rPr>
        <w:t>The Seacrest Lodge's three-year financial study indicates rising liabilities, decreasing liquidity, asset value, and equity. These trends imply serious operational and financial management issues. The lodge needs a strategy to reduce liabilities, recover equity, invest in property improvements to make it more competitive, and improve cash flow through revenue management and spending control to turn things around. The Seacrest Lodge's sales and net earnings have improved over the past three years, a horizontal analysis found. The property has cut costs by decreasing running costs. The resort has made financial improvements despite ongoing problems. To design a thorough turnaround strategy, find income-boosting and cost-cutting factors.</w:t>
      </w:r>
    </w:p>
    <w:p w14:paraId="1A87FA3D" w14:textId="77777777" w:rsidR="00E438F7" w:rsidRPr="00E438F7" w:rsidRDefault="00E438F7" w:rsidP="00E438F7">
      <w:pPr>
        <w:spacing w:before="120" w:after="120" w:line="360" w:lineRule="auto"/>
        <w:divId w:val="396128363"/>
        <w:rPr>
          <w:rFonts w:ascii="Arial" w:eastAsiaTheme="minorHAnsi" w:hAnsi="Arial" w:cs="Arial"/>
          <w:b/>
          <w:bCs/>
          <w:sz w:val="22"/>
          <w:szCs w:val="22"/>
          <w:lang w:val="en-US" w:eastAsia="en-US"/>
        </w:rPr>
      </w:pPr>
      <w:r w:rsidRPr="00E438F7">
        <w:rPr>
          <w:rFonts w:ascii="Arial" w:eastAsiaTheme="minorHAnsi" w:hAnsi="Arial" w:cs="Arial"/>
          <w:b/>
          <w:bCs/>
          <w:kern w:val="0"/>
          <w:sz w:val="22"/>
          <w:szCs w:val="22"/>
          <w:lang w:val="en-US" w:eastAsia="en-US"/>
          <w14:ligatures w14:val="none"/>
        </w:rPr>
        <w:br w:type="page"/>
      </w:r>
    </w:p>
    <w:p w14:paraId="6D97AD61" w14:textId="77777777" w:rsidR="00E438F7" w:rsidRPr="00E438F7" w:rsidRDefault="00E438F7" w:rsidP="00E438F7">
      <w:pPr>
        <w:spacing w:before="120" w:after="120" w:line="360" w:lineRule="auto"/>
        <w:jc w:val="center"/>
        <w:divId w:val="396128363"/>
        <w:rPr>
          <w:rFonts w:ascii="Arial" w:eastAsiaTheme="minorHAnsi" w:hAnsi="Arial" w:cs="Arial"/>
          <w:b/>
          <w:bCs/>
          <w:sz w:val="22"/>
          <w:szCs w:val="22"/>
          <w:lang w:val="en-US" w:eastAsia="en-US"/>
        </w:rPr>
      </w:pPr>
      <w:r w:rsidRPr="00E438F7">
        <w:rPr>
          <w:rFonts w:ascii="Arial" w:eastAsiaTheme="minorHAnsi" w:hAnsi="Arial" w:cs="Arial"/>
          <w:b/>
          <w:bCs/>
          <w:sz w:val="22"/>
          <w:szCs w:val="22"/>
          <w:lang w:val="en-US" w:eastAsia="en-US"/>
        </w:rPr>
        <w:lastRenderedPageBreak/>
        <w:t>Table of Contents</w:t>
      </w:r>
    </w:p>
    <w:p w14:paraId="6EE35D6B" w14:textId="77777777" w:rsidR="00E438F7" w:rsidRPr="00E438F7" w:rsidRDefault="00E438F7" w:rsidP="00E438F7">
      <w:pPr>
        <w:tabs>
          <w:tab w:val="right" w:leader="dot" w:pos="9350"/>
        </w:tabs>
        <w:spacing w:before="120" w:after="120" w:line="360" w:lineRule="auto"/>
        <w:ind w:firstLine="284"/>
        <w:jc w:val="both"/>
        <w:divId w:val="396128363"/>
        <w:rPr>
          <w:rFonts w:ascii="Arial" w:eastAsiaTheme="minorHAnsi" w:hAnsi="Arial" w:cs="Arial"/>
          <w:noProof/>
          <w:sz w:val="22"/>
          <w:szCs w:val="22"/>
          <w:lang w:eastAsia="en-US"/>
        </w:rPr>
      </w:pPr>
      <w:r w:rsidRPr="00E438F7">
        <w:rPr>
          <w:rFonts w:ascii="Arial" w:eastAsiaTheme="minorHAnsi" w:hAnsi="Arial" w:cs="Arial"/>
          <w:sz w:val="22"/>
          <w:szCs w:val="22"/>
          <w:lang w:val="en-US" w:eastAsia="en-US"/>
        </w:rPr>
        <w:fldChar w:fldCharType="begin"/>
      </w:r>
      <w:r w:rsidRPr="00E438F7">
        <w:rPr>
          <w:rFonts w:ascii="Arial" w:eastAsiaTheme="minorHAnsi" w:hAnsi="Arial" w:cs="Arial"/>
          <w:sz w:val="22"/>
          <w:szCs w:val="22"/>
          <w:lang w:val="en-US" w:eastAsia="en-US"/>
        </w:rPr>
        <w:instrText xml:space="preserve"> TOC \o "1-3" \h \z \u </w:instrText>
      </w:r>
      <w:r w:rsidRPr="00E438F7">
        <w:rPr>
          <w:rFonts w:ascii="Arial" w:eastAsiaTheme="minorHAnsi" w:hAnsi="Arial" w:cs="Arial"/>
          <w:sz w:val="22"/>
          <w:szCs w:val="22"/>
          <w:lang w:val="en-US" w:eastAsia="en-US"/>
        </w:rPr>
        <w:fldChar w:fldCharType="separate"/>
      </w:r>
      <w:hyperlink w:anchor="_Toc159515785" w:history="1">
        <w:r w:rsidRPr="00E438F7">
          <w:rPr>
            <w:rFonts w:ascii="Arial" w:eastAsiaTheme="minorHAnsi" w:hAnsi="Arial" w:cs="Arial"/>
            <w:noProof/>
            <w:color w:val="467886" w:themeColor="hyperlink"/>
            <w:sz w:val="22"/>
            <w:szCs w:val="22"/>
            <w:u w:val="single"/>
            <w:lang w:val="en-US" w:eastAsia="en-US"/>
          </w:rPr>
          <w:t>Executive Summary</w:t>
        </w:r>
        <w:r w:rsidRPr="00E438F7">
          <w:rPr>
            <w:rFonts w:ascii="Arial" w:eastAsiaTheme="minorHAnsi" w:hAnsi="Arial" w:cs="Arial"/>
            <w:noProof/>
            <w:webHidden/>
            <w:sz w:val="22"/>
            <w:szCs w:val="22"/>
            <w:lang w:eastAsia="en-US"/>
          </w:rPr>
          <w:tab/>
        </w:r>
        <w:r w:rsidRPr="00E438F7">
          <w:rPr>
            <w:rFonts w:ascii="Arial" w:eastAsiaTheme="minorHAnsi" w:hAnsi="Arial" w:cs="Arial"/>
            <w:noProof/>
            <w:webHidden/>
            <w:sz w:val="22"/>
            <w:szCs w:val="22"/>
            <w:lang w:eastAsia="en-US"/>
          </w:rPr>
          <w:fldChar w:fldCharType="begin"/>
        </w:r>
        <w:r w:rsidRPr="00E438F7">
          <w:rPr>
            <w:rFonts w:ascii="Arial" w:eastAsiaTheme="minorHAnsi" w:hAnsi="Arial" w:cs="Arial"/>
            <w:noProof/>
            <w:webHidden/>
            <w:sz w:val="22"/>
            <w:szCs w:val="22"/>
            <w:lang w:eastAsia="en-US"/>
          </w:rPr>
          <w:instrText xml:space="preserve"> PAGEREF _Toc159515785 \h </w:instrText>
        </w:r>
        <w:r w:rsidRPr="00E438F7">
          <w:rPr>
            <w:rFonts w:ascii="Arial" w:eastAsiaTheme="minorHAnsi" w:hAnsi="Arial" w:cs="Arial"/>
            <w:noProof/>
            <w:webHidden/>
            <w:sz w:val="22"/>
            <w:szCs w:val="22"/>
            <w:lang w:eastAsia="en-US"/>
          </w:rPr>
        </w:r>
        <w:r w:rsidRPr="00E438F7">
          <w:rPr>
            <w:rFonts w:ascii="Arial" w:eastAsiaTheme="minorHAnsi" w:hAnsi="Arial" w:cs="Arial"/>
            <w:noProof/>
            <w:webHidden/>
            <w:sz w:val="22"/>
            <w:szCs w:val="22"/>
            <w:lang w:eastAsia="en-US"/>
          </w:rPr>
          <w:fldChar w:fldCharType="separate"/>
        </w:r>
        <w:r w:rsidRPr="00E438F7">
          <w:rPr>
            <w:rFonts w:ascii="Arial" w:eastAsiaTheme="minorHAnsi" w:hAnsi="Arial" w:cs="Arial"/>
            <w:noProof/>
            <w:webHidden/>
            <w:sz w:val="22"/>
            <w:szCs w:val="22"/>
            <w:lang w:eastAsia="en-US"/>
          </w:rPr>
          <w:t>2</w:t>
        </w:r>
        <w:r w:rsidRPr="00E438F7">
          <w:rPr>
            <w:rFonts w:ascii="Arial" w:eastAsiaTheme="minorHAnsi" w:hAnsi="Arial" w:cs="Arial"/>
            <w:noProof/>
            <w:webHidden/>
            <w:sz w:val="22"/>
            <w:szCs w:val="22"/>
            <w:lang w:eastAsia="en-US"/>
          </w:rPr>
          <w:fldChar w:fldCharType="end"/>
        </w:r>
      </w:hyperlink>
    </w:p>
    <w:p w14:paraId="2383C364" w14:textId="77777777" w:rsidR="00E438F7" w:rsidRPr="00E438F7" w:rsidRDefault="006E004A" w:rsidP="00E438F7">
      <w:pPr>
        <w:tabs>
          <w:tab w:val="right" w:leader="dot" w:pos="9350"/>
        </w:tabs>
        <w:spacing w:before="120" w:after="120" w:line="360" w:lineRule="auto"/>
        <w:ind w:firstLine="284"/>
        <w:jc w:val="both"/>
        <w:divId w:val="396128363"/>
        <w:rPr>
          <w:rFonts w:ascii="Arial" w:eastAsiaTheme="minorHAnsi" w:hAnsi="Arial" w:cs="Arial"/>
          <w:noProof/>
          <w:sz w:val="22"/>
          <w:szCs w:val="22"/>
          <w:lang w:eastAsia="en-US"/>
        </w:rPr>
      </w:pPr>
      <w:hyperlink w:anchor="_Toc159515786" w:history="1">
        <w:r w:rsidR="00E438F7" w:rsidRPr="00E438F7">
          <w:rPr>
            <w:rFonts w:ascii="Arial" w:eastAsiaTheme="minorHAnsi" w:hAnsi="Arial" w:cs="Arial"/>
            <w:noProof/>
            <w:color w:val="467886" w:themeColor="hyperlink"/>
            <w:sz w:val="22"/>
            <w:szCs w:val="22"/>
            <w:u w:val="single"/>
            <w:lang w:val="en-US" w:eastAsia="en-US"/>
          </w:rPr>
          <w:t>Introduction</w:t>
        </w:r>
        <w:r w:rsidR="00E438F7" w:rsidRPr="00E438F7">
          <w:rPr>
            <w:rFonts w:ascii="Arial" w:eastAsiaTheme="minorHAnsi" w:hAnsi="Arial" w:cs="Arial"/>
            <w:noProof/>
            <w:webHidden/>
            <w:sz w:val="22"/>
            <w:szCs w:val="22"/>
            <w:lang w:eastAsia="en-US"/>
          </w:rPr>
          <w:tab/>
        </w:r>
        <w:r w:rsidR="00E438F7" w:rsidRPr="00E438F7">
          <w:rPr>
            <w:rFonts w:ascii="Arial" w:eastAsiaTheme="minorHAnsi" w:hAnsi="Arial" w:cs="Arial"/>
            <w:noProof/>
            <w:webHidden/>
            <w:sz w:val="22"/>
            <w:szCs w:val="22"/>
            <w:lang w:eastAsia="en-US"/>
          </w:rPr>
          <w:fldChar w:fldCharType="begin"/>
        </w:r>
        <w:r w:rsidR="00E438F7" w:rsidRPr="00E438F7">
          <w:rPr>
            <w:rFonts w:ascii="Arial" w:eastAsiaTheme="minorHAnsi" w:hAnsi="Arial" w:cs="Arial"/>
            <w:noProof/>
            <w:webHidden/>
            <w:sz w:val="22"/>
            <w:szCs w:val="22"/>
            <w:lang w:eastAsia="en-US"/>
          </w:rPr>
          <w:instrText xml:space="preserve"> PAGEREF _Toc159515786 \h </w:instrText>
        </w:r>
        <w:r w:rsidR="00E438F7" w:rsidRPr="00E438F7">
          <w:rPr>
            <w:rFonts w:ascii="Arial" w:eastAsiaTheme="minorHAnsi" w:hAnsi="Arial" w:cs="Arial"/>
            <w:noProof/>
            <w:webHidden/>
            <w:sz w:val="22"/>
            <w:szCs w:val="22"/>
            <w:lang w:eastAsia="en-US"/>
          </w:rPr>
        </w:r>
        <w:r w:rsidR="00E438F7" w:rsidRPr="00E438F7">
          <w:rPr>
            <w:rFonts w:ascii="Arial" w:eastAsiaTheme="minorHAnsi" w:hAnsi="Arial" w:cs="Arial"/>
            <w:noProof/>
            <w:webHidden/>
            <w:sz w:val="22"/>
            <w:szCs w:val="22"/>
            <w:lang w:eastAsia="en-US"/>
          </w:rPr>
          <w:fldChar w:fldCharType="separate"/>
        </w:r>
        <w:r w:rsidR="00E438F7" w:rsidRPr="00E438F7">
          <w:rPr>
            <w:rFonts w:ascii="Arial" w:eastAsiaTheme="minorHAnsi" w:hAnsi="Arial" w:cs="Arial"/>
            <w:noProof/>
            <w:webHidden/>
            <w:sz w:val="22"/>
            <w:szCs w:val="22"/>
            <w:lang w:eastAsia="en-US"/>
          </w:rPr>
          <w:t>4</w:t>
        </w:r>
        <w:r w:rsidR="00E438F7" w:rsidRPr="00E438F7">
          <w:rPr>
            <w:rFonts w:ascii="Arial" w:eastAsiaTheme="minorHAnsi" w:hAnsi="Arial" w:cs="Arial"/>
            <w:noProof/>
            <w:webHidden/>
            <w:sz w:val="22"/>
            <w:szCs w:val="22"/>
            <w:lang w:eastAsia="en-US"/>
          </w:rPr>
          <w:fldChar w:fldCharType="end"/>
        </w:r>
      </w:hyperlink>
    </w:p>
    <w:p w14:paraId="10EB8E00" w14:textId="77777777" w:rsidR="00E438F7" w:rsidRPr="00E438F7" w:rsidRDefault="006E004A" w:rsidP="00E438F7">
      <w:pPr>
        <w:tabs>
          <w:tab w:val="right" w:leader="dot" w:pos="9350"/>
        </w:tabs>
        <w:spacing w:before="120" w:after="120" w:line="360" w:lineRule="auto"/>
        <w:ind w:firstLine="284"/>
        <w:jc w:val="both"/>
        <w:divId w:val="396128363"/>
        <w:rPr>
          <w:rFonts w:ascii="Arial" w:eastAsiaTheme="minorHAnsi" w:hAnsi="Arial" w:cs="Arial"/>
          <w:noProof/>
          <w:sz w:val="22"/>
          <w:szCs w:val="22"/>
          <w:lang w:eastAsia="en-US"/>
        </w:rPr>
      </w:pPr>
      <w:hyperlink w:anchor="_Toc159515787" w:history="1">
        <w:r w:rsidR="00E438F7" w:rsidRPr="00E438F7">
          <w:rPr>
            <w:rFonts w:ascii="Arial" w:eastAsiaTheme="minorHAnsi" w:hAnsi="Arial" w:cs="Arial"/>
            <w:noProof/>
            <w:color w:val="467886" w:themeColor="hyperlink"/>
            <w:sz w:val="22"/>
            <w:szCs w:val="22"/>
            <w:u w:val="single"/>
            <w:lang w:val="en-US" w:eastAsia="en-US"/>
          </w:rPr>
          <w:t>Financial Analysis</w:t>
        </w:r>
        <w:r w:rsidR="00E438F7" w:rsidRPr="00E438F7">
          <w:rPr>
            <w:rFonts w:ascii="Arial" w:eastAsiaTheme="minorHAnsi" w:hAnsi="Arial" w:cs="Arial"/>
            <w:noProof/>
            <w:webHidden/>
            <w:sz w:val="22"/>
            <w:szCs w:val="22"/>
            <w:lang w:eastAsia="en-US"/>
          </w:rPr>
          <w:tab/>
        </w:r>
        <w:r w:rsidR="00E438F7" w:rsidRPr="00E438F7">
          <w:rPr>
            <w:rFonts w:ascii="Arial" w:eastAsiaTheme="minorHAnsi" w:hAnsi="Arial" w:cs="Arial"/>
            <w:noProof/>
            <w:webHidden/>
            <w:sz w:val="22"/>
            <w:szCs w:val="22"/>
            <w:lang w:eastAsia="en-US"/>
          </w:rPr>
          <w:fldChar w:fldCharType="begin"/>
        </w:r>
        <w:r w:rsidR="00E438F7" w:rsidRPr="00E438F7">
          <w:rPr>
            <w:rFonts w:ascii="Arial" w:eastAsiaTheme="minorHAnsi" w:hAnsi="Arial" w:cs="Arial"/>
            <w:noProof/>
            <w:webHidden/>
            <w:sz w:val="22"/>
            <w:szCs w:val="22"/>
            <w:lang w:eastAsia="en-US"/>
          </w:rPr>
          <w:instrText xml:space="preserve"> PAGEREF _Toc159515787 \h </w:instrText>
        </w:r>
        <w:r w:rsidR="00E438F7" w:rsidRPr="00E438F7">
          <w:rPr>
            <w:rFonts w:ascii="Arial" w:eastAsiaTheme="minorHAnsi" w:hAnsi="Arial" w:cs="Arial"/>
            <w:noProof/>
            <w:webHidden/>
            <w:sz w:val="22"/>
            <w:szCs w:val="22"/>
            <w:lang w:eastAsia="en-US"/>
          </w:rPr>
        </w:r>
        <w:r w:rsidR="00E438F7" w:rsidRPr="00E438F7">
          <w:rPr>
            <w:rFonts w:ascii="Arial" w:eastAsiaTheme="minorHAnsi" w:hAnsi="Arial" w:cs="Arial"/>
            <w:noProof/>
            <w:webHidden/>
            <w:sz w:val="22"/>
            <w:szCs w:val="22"/>
            <w:lang w:eastAsia="en-US"/>
          </w:rPr>
          <w:fldChar w:fldCharType="separate"/>
        </w:r>
        <w:r w:rsidR="00E438F7" w:rsidRPr="00E438F7">
          <w:rPr>
            <w:rFonts w:ascii="Arial" w:eastAsiaTheme="minorHAnsi" w:hAnsi="Arial" w:cs="Arial"/>
            <w:noProof/>
            <w:webHidden/>
            <w:sz w:val="22"/>
            <w:szCs w:val="22"/>
            <w:lang w:eastAsia="en-US"/>
          </w:rPr>
          <w:t>4</w:t>
        </w:r>
        <w:r w:rsidR="00E438F7" w:rsidRPr="00E438F7">
          <w:rPr>
            <w:rFonts w:ascii="Arial" w:eastAsiaTheme="minorHAnsi" w:hAnsi="Arial" w:cs="Arial"/>
            <w:noProof/>
            <w:webHidden/>
            <w:sz w:val="22"/>
            <w:szCs w:val="22"/>
            <w:lang w:eastAsia="en-US"/>
          </w:rPr>
          <w:fldChar w:fldCharType="end"/>
        </w:r>
      </w:hyperlink>
    </w:p>
    <w:p w14:paraId="37B35218" w14:textId="77777777" w:rsidR="00E438F7" w:rsidRPr="00E438F7" w:rsidRDefault="006E004A" w:rsidP="00E438F7">
      <w:pPr>
        <w:tabs>
          <w:tab w:val="right" w:leader="dot" w:pos="9350"/>
        </w:tabs>
        <w:spacing w:before="120" w:after="120" w:line="360" w:lineRule="auto"/>
        <w:ind w:left="220" w:firstLine="284"/>
        <w:jc w:val="both"/>
        <w:divId w:val="396128363"/>
        <w:rPr>
          <w:rFonts w:ascii="Arial" w:eastAsiaTheme="minorHAnsi" w:hAnsi="Arial" w:cs="Arial"/>
          <w:noProof/>
          <w:sz w:val="22"/>
          <w:szCs w:val="22"/>
          <w:lang w:eastAsia="en-US"/>
        </w:rPr>
      </w:pPr>
      <w:hyperlink w:anchor="_Toc159515788" w:history="1">
        <w:r w:rsidR="00E438F7" w:rsidRPr="00E438F7">
          <w:rPr>
            <w:rFonts w:ascii="Arial" w:eastAsiaTheme="minorHAnsi" w:hAnsi="Arial" w:cs="Arial"/>
            <w:noProof/>
            <w:color w:val="467886" w:themeColor="hyperlink"/>
            <w:sz w:val="22"/>
            <w:szCs w:val="22"/>
            <w:u w:val="single"/>
            <w:lang w:val="en-US" w:eastAsia="en-US"/>
          </w:rPr>
          <w:t>Horizontal Analysis of Balance Sheet</w:t>
        </w:r>
        <w:r w:rsidR="00E438F7" w:rsidRPr="00E438F7">
          <w:rPr>
            <w:rFonts w:ascii="Arial" w:eastAsiaTheme="minorHAnsi" w:hAnsi="Arial" w:cs="Arial"/>
            <w:noProof/>
            <w:webHidden/>
            <w:sz w:val="22"/>
            <w:szCs w:val="22"/>
            <w:lang w:eastAsia="en-US"/>
          </w:rPr>
          <w:tab/>
        </w:r>
        <w:r w:rsidR="00E438F7" w:rsidRPr="00E438F7">
          <w:rPr>
            <w:rFonts w:ascii="Arial" w:eastAsiaTheme="minorHAnsi" w:hAnsi="Arial" w:cs="Arial"/>
            <w:noProof/>
            <w:webHidden/>
            <w:sz w:val="22"/>
            <w:szCs w:val="22"/>
            <w:lang w:eastAsia="en-US"/>
          </w:rPr>
          <w:fldChar w:fldCharType="begin"/>
        </w:r>
        <w:r w:rsidR="00E438F7" w:rsidRPr="00E438F7">
          <w:rPr>
            <w:rFonts w:ascii="Arial" w:eastAsiaTheme="minorHAnsi" w:hAnsi="Arial" w:cs="Arial"/>
            <w:noProof/>
            <w:webHidden/>
            <w:sz w:val="22"/>
            <w:szCs w:val="22"/>
            <w:lang w:eastAsia="en-US"/>
          </w:rPr>
          <w:instrText xml:space="preserve"> PAGEREF _Toc159515788 \h </w:instrText>
        </w:r>
        <w:r w:rsidR="00E438F7" w:rsidRPr="00E438F7">
          <w:rPr>
            <w:rFonts w:ascii="Arial" w:eastAsiaTheme="minorHAnsi" w:hAnsi="Arial" w:cs="Arial"/>
            <w:noProof/>
            <w:webHidden/>
            <w:sz w:val="22"/>
            <w:szCs w:val="22"/>
            <w:lang w:eastAsia="en-US"/>
          </w:rPr>
        </w:r>
        <w:r w:rsidR="00E438F7" w:rsidRPr="00E438F7">
          <w:rPr>
            <w:rFonts w:ascii="Arial" w:eastAsiaTheme="minorHAnsi" w:hAnsi="Arial" w:cs="Arial"/>
            <w:noProof/>
            <w:webHidden/>
            <w:sz w:val="22"/>
            <w:szCs w:val="22"/>
            <w:lang w:eastAsia="en-US"/>
          </w:rPr>
          <w:fldChar w:fldCharType="separate"/>
        </w:r>
        <w:r w:rsidR="00E438F7" w:rsidRPr="00E438F7">
          <w:rPr>
            <w:rFonts w:ascii="Arial" w:eastAsiaTheme="minorHAnsi" w:hAnsi="Arial" w:cs="Arial"/>
            <w:noProof/>
            <w:webHidden/>
            <w:sz w:val="22"/>
            <w:szCs w:val="22"/>
            <w:lang w:eastAsia="en-US"/>
          </w:rPr>
          <w:t>4</w:t>
        </w:r>
        <w:r w:rsidR="00E438F7" w:rsidRPr="00E438F7">
          <w:rPr>
            <w:rFonts w:ascii="Arial" w:eastAsiaTheme="minorHAnsi" w:hAnsi="Arial" w:cs="Arial"/>
            <w:noProof/>
            <w:webHidden/>
            <w:sz w:val="22"/>
            <w:szCs w:val="22"/>
            <w:lang w:eastAsia="en-US"/>
          </w:rPr>
          <w:fldChar w:fldCharType="end"/>
        </w:r>
      </w:hyperlink>
    </w:p>
    <w:p w14:paraId="7561301E" w14:textId="77777777" w:rsidR="00E438F7" w:rsidRPr="00E438F7" w:rsidRDefault="006E004A" w:rsidP="00E438F7">
      <w:pPr>
        <w:tabs>
          <w:tab w:val="right" w:leader="dot" w:pos="9350"/>
        </w:tabs>
        <w:spacing w:before="120" w:after="120" w:line="360" w:lineRule="auto"/>
        <w:ind w:left="440" w:firstLine="284"/>
        <w:jc w:val="both"/>
        <w:divId w:val="396128363"/>
        <w:rPr>
          <w:rFonts w:ascii="Arial" w:eastAsiaTheme="minorHAnsi" w:hAnsi="Arial" w:cs="Arial"/>
          <w:noProof/>
          <w:sz w:val="22"/>
          <w:szCs w:val="22"/>
          <w:lang w:eastAsia="en-US"/>
        </w:rPr>
      </w:pPr>
      <w:hyperlink w:anchor="_Toc159515789" w:history="1">
        <w:r w:rsidR="00E438F7" w:rsidRPr="00E438F7">
          <w:rPr>
            <w:rFonts w:ascii="Arial" w:eastAsiaTheme="minorHAnsi" w:hAnsi="Arial" w:cs="Arial"/>
            <w:noProof/>
            <w:color w:val="467886" w:themeColor="hyperlink"/>
            <w:sz w:val="22"/>
            <w:szCs w:val="22"/>
            <w:u w:val="single"/>
            <w:lang w:val="en-US" w:eastAsia="en-US"/>
          </w:rPr>
          <w:t>Accounts Receivable and Asset Management</w:t>
        </w:r>
        <w:r w:rsidR="00E438F7" w:rsidRPr="00E438F7">
          <w:rPr>
            <w:rFonts w:ascii="Arial" w:eastAsiaTheme="minorHAnsi" w:hAnsi="Arial" w:cs="Arial"/>
            <w:noProof/>
            <w:webHidden/>
            <w:sz w:val="22"/>
            <w:szCs w:val="22"/>
            <w:lang w:eastAsia="en-US"/>
          </w:rPr>
          <w:tab/>
        </w:r>
        <w:r w:rsidR="00E438F7" w:rsidRPr="00E438F7">
          <w:rPr>
            <w:rFonts w:ascii="Arial" w:eastAsiaTheme="minorHAnsi" w:hAnsi="Arial" w:cs="Arial"/>
            <w:noProof/>
            <w:webHidden/>
            <w:sz w:val="22"/>
            <w:szCs w:val="22"/>
            <w:lang w:eastAsia="en-US"/>
          </w:rPr>
          <w:fldChar w:fldCharType="begin"/>
        </w:r>
        <w:r w:rsidR="00E438F7" w:rsidRPr="00E438F7">
          <w:rPr>
            <w:rFonts w:ascii="Arial" w:eastAsiaTheme="minorHAnsi" w:hAnsi="Arial" w:cs="Arial"/>
            <w:noProof/>
            <w:webHidden/>
            <w:sz w:val="22"/>
            <w:szCs w:val="22"/>
            <w:lang w:eastAsia="en-US"/>
          </w:rPr>
          <w:instrText xml:space="preserve"> PAGEREF _Toc159515789 \h </w:instrText>
        </w:r>
        <w:r w:rsidR="00E438F7" w:rsidRPr="00E438F7">
          <w:rPr>
            <w:rFonts w:ascii="Arial" w:eastAsiaTheme="minorHAnsi" w:hAnsi="Arial" w:cs="Arial"/>
            <w:noProof/>
            <w:webHidden/>
            <w:sz w:val="22"/>
            <w:szCs w:val="22"/>
            <w:lang w:eastAsia="en-US"/>
          </w:rPr>
        </w:r>
        <w:r w:rsidR="00E438F7" w:rsidRPr="00E438F7">
          <w:rPr>
            <w:rFonts w:ascii="Arial" w:eastAsiaTheme="minorHAnsi" w:hAnsi="Arial" w:cs="Arial"/>
            <w:noProof/>
            <w:webHidden/>
            <w:sz w:val="22"/>
            <w:szCs w:val="22"/>
            <w:lang w:eastAsia="en-US"/>
          </w:rPr>
          <w:fldChar w:fldCharType="separate"/>
        </w:r>
        <w:r w:rsidR="00E438F7" w:rsidRPr="00E438F7">
          <w:rPr>
            <w:rFonts w:ascii="Arial" w:eastAsiaTheme="minorHAnsi" w:hAnsi="Arial" w:cs="Arial"/>
            <w:noProof/>
            <w:webHidden/>
            <w:sz w:val="22"/>
            <w:szCs w:val="22"/>
            <w:lang w:eastAsia="en-US"/>
          </w:rPr>
          <w:t>5</w:t>
        </w:r>
        <w:r w:rsidR="00E438F7" w:rsidRPr="00E438F7">
          <w:rPr>
            <w:rFonts w:ascii="Arial" w:eastAsiaTheme="minorHAnsi" w:hAnsi="Arial" w:cs="Arial"/>
            <w:noProof/>
            <w:webHidden/>
            <w:sz w:val="22"/>
            <w:szCs w:val="22"/>
            <w:lang w:eastAsia="en-US"/>
          </w:rPr>
          <w:fldChar w:fldCharType="end"/>
        </w:r>
      </w:hyperlink>
    </w:p>
    <w:p w14:paraId="2C7FE117" w14:textId="77777777" w:rsidR="00E438F7" w:rsidRPr="00E438F7" w:rsidRDefault="006E004A" w:rsidP="00E438F7">
      <w:pPr>
        <w:tabs>
          <w:tab w:val="right" w:leader="dot" w:pos="9350"/>
        </w:tabs>
        <w:spacing w:before="120" w:after="120" w:line="360" w:lineRule="auto"/>
        <w:ind w:left="440" w:firstLine="284"/>
        <w:jc w:val="both"/>
        <w:divId w:val="396128363"/>
        <w:rPr>
          <w:rFonts w:ascii="Arial" w:eastAsiaTheme="minorHAnsi" w:hAnsi="Arial" w:cs="Arial"/>
          <w:noProof/>
          <w:sz w:val="22"/>
          <w:szCs w:val="22"/>
          <w:lang w:eastAsia="en-US"/>
        </w:rPr>
      </w:pPr>
      <w:hyperlink w:anchor="_Toc159515790" w:history="1">
        <w:r w:rsidR="00E438F7" w:rsidRPr="00E438F7">
          <w:rPr>
            <w:rFonts w:ascii="Arial" w:eastAsiaTheme="minorHAnsi" w:hAnsi="Arial" w:cs="Arial"/>
            <w:noProof/>
            <w:color w:val="467886" w:themeColor="hyperlink"/>
            <w:sz w:val="22"/>
            <w:szCs w:val="22"/>
            <w:u w:val="single"/>
            <w:lang w:val="en-US" w:eastAsia="en-US"/>
          </w:rPr>
          <w:t>Liabilities and Equity Concerns</w:t>
        </w:r>
        <w:r w:rsidR="00E438F7" w:rsidRPr="00E438F7">
          <w:rPr>
            <w:rFonts w:ascii="Arial" w:eastAsiaTheme="minorHAnsi" w:hAnsi="Arial" w:cs="Arial"/>
            <w:noProof/>
            <w:webHidden/>
            <w:sz w:val="22"/>
            <w:szCs w:val="22"/>
            <w:lang w:eastAsia="en-US"/>
          </w:rPr>
          <w:tab/>
        </w:r>
        <w:r w:rsidR="00E438F7" w:rsidRPr="00E438F7">
          <w:rPr>
            <w:rFonts w:ascii="Arial" w:eastAsiaTheme="minorHAnsi" w:hAnsi="Arial" w:cs="Arial"/>
            <w:noProof/>
            <w:webHidden/>
            <w:sz w:val="22"/>
            <w:szCs w:val="22"/>
            <w:lang w:eastAsia="en-US"/>
          </w:rPr>
          <w:fldChar w:fldCharType="begin"/>
        </w:r>
        <w:r w:rsidR="00E438F7" w:rsidRPr="00E438F7">
          <w:rPr>
            <w:rFonts w:ascii="Arial" w:eastAsiaTheme="minorHAnsi" w:hAnsi="Arial" w:cs="Arial"/>
            <w:noProof/>
            <w:webHidden/>
            <w:sz w:val="22"/>
            <w:szCs w:val="22"/>
            <w:lang w:eastAsia="en-US"/>
          </w:rPr>
          <w:instrText xml:space="preserve"> PAGEREF _Toc159515790 \h </w:instrText>
        </w:r>
        <w:r w:rsidR="00E438F7" w:rsidRPr="00E438F7">
          <w:rPr>
            <w:rFonts w:ascii="Arial" w:eastAsiaTheme="minorHAnsi" w:hAnsi="Arial" w:cs="Arial"/>
            <w:noProof/>
            <w:webHidden/>
            <w:sz w:val="22"/>
            <w:szCs w:val="22"/>
            <w:lang w:eastAsia="en-US"/>
          </w:rPr>
        </w:r>
        <w:r w:rsidR="00E438F7" w:rsidRPr="00E438F7">
          <w:rPr>
            <w:rFonts w:ascii="Arial" w:eastAsiaTheme="minorHAnsi" w:hAnsi="Arial" w:cs="Arial"/>
            <w:noProof/>
            <w:webHidden/>
            <w:sz w:val="22"/>
            <w:szCs w:val="22"/>
            <w:lang w:eastAsia="en-US"/>
          </w:rPr>
          <w:fldChar w:fldCharType="separate"/>
        </w:r>
        <w:r w:rsidR="00E438F7" w:rsidRPr="00E438F7">
          <w:rPr>
            <w:rFonts w:ascii="Arial" w:eastAsiaTheme="minorHAnsi" w:hAnsi="Arial" w:cs="Arial"/>
            <w:noProof/>
            <w:webHidden/>
            <w:sz w:val="22"/>
            <w:szCs w:val="22"/>
            <w:lang w:eastAsia="en-US"/>
          </w:rPr>
          <w:t>6</w:t>
        </w:r>
        <w:r w:rsidR="00E438F7" w:rsidRPr="00E438F7">
          <w:rPr>
            <w:rFonts w:ascii="Arial" w:eastAsiaTheme="minorHAnsi" w:hAnsi="Arial" w:cs="Arial"/>
            <w:noProof/>
            <w:webHidden/>
            <w:sz w:val="22"/>
            <w:szCs w:val="22"/>
            <w:lang w:eastAsia="en-US"/>
          </w:rPr>
          <w:fldChar w:fldCharType="end"/>
        </w:r>
      </w:hyperlink>
    </w:p>
    <w:p w14:paraId="40EB024D" w14:textId="77777777" w:rsidR="00E438F7" w:rsidRPr="00E438F7" w:rsidRDefault="006E004A" w:rsidP="00E438F7">
      <w:pPr>
        <w:tabs>
          <w:tab w:val="right" w:leader="dot" w:pos="9350"/>
        </w:tabs>
        <w:spacing w:before="120" w:after="120" w:line="360" w:lineRule="auto"/>
        <w:ind w:left="220" w:firstLine="284"/>
        <w:jc w:val="both"/>
        <w:divId w:val="396128363"/>
        <w:rPr>
          <w:rFonts w:ascii="Arial" w:eastAsiaTheme="minorHAnsi" w:hAnsi="Arial" w:cs="Arial"/>
          <w:noProof/>
          <w:sz w:val="22"/>
          <w:szCs w:val="22"/>
          <w:lang w:eastAsia="en-US"/>
        </w:rPr>
      </w:pPr>
      <w:hyperlink w:anchor="_Toc159515791" w:history="1">
        <w:r w:rsidR="00E438F7" w:rsidRPr="00E438F7">
          <w:rPr>
            <w:rFonts w:ascii="Arial" w:eastAsiaTheme="minorHAnsi" w:hAnsi="Arial" w:cs="Arial"/>
            <w:noProof/>
            <w:color w:val="467886" w:themeColor="hyperlink"/>
            <w:sz w:val="22"/>
            <w:szCs w:val="22"/>
            <w:u w:val="single"/>
            <w:lang w:val="en-US" w:eastAsia="en-US"/>
          </w:rPr>
          <w:t>Horizontal Analysis of Income Statement</w:t>
        </w:r>
        <w:r w:rsidR="00E438F7" w:rsidRPr="00E438F7">
          <w:rPr>
            <w:rFonts w:ascii="Arial" w:eastAsiaTheme="minorHAnsi" w:hAnsi="Arial" w:cs="Arial"/>
            <w:noProof/>
            <w:webHidden/>
            <w:sz w:val="22"/>
            <w:szCs w:val="22"/>
            <w:lang w:eastAsia="en-US"/>
          </w:rPr>
          <w:tab/>
        </w:r>
        <w:r w:rsidR="00E438F7" w:rsidRPr="00E438F7">
          <w:rPr>
            <w:rFonts w:ascii="Arial" w:eastAsiaTheme="minorHAnsi" w:hAnsi="Arial" w:cs="Arial"/>
            <w:noProof/>
            <w:webHidden/>
            <w:sz w:val="22"/>
            <w:szCs w:val="22"/>
            <w:lang w:eastAsia="en-US"/>
          </w:rPr>
          <w:fldChar w:fldCharType="begin"/>
        </w:r>
        <w:r w:rsidR="00E438F7" w:rsidRPr="00E438F7">
          <w:rPr>
            <w:rFonts w:ascii="Arial" w:eastAsiaTheme="minorHAnsi" w:hAnsi="Arial" w:cs="Arial"/>
            <w:noProof/>
            <w:webHidden/>
            <w:sz w:val="22"/>
            <w:szCs w:val="22"/>
            <w:lang w:eastAsia="en-US"/>
          </w:rPr>
          <w:instrText xml:space="preserve"> PAGEREF _Toc159515791 \h </w:instrText>
        </w:r>
        <w:r w:rsidR="00E438F7" w:rsidRPr="00E438F7">
          <w:rPr>
            <w:rFonts w:ascii="Arial" w:eastAsiaTheme="minorHAnsi" w:hAnsi="Arial" w:cs="Arial"/>
            <w:noProof/>
            <w:webHidden/>
            <w:sz w:val="22"/>
            <w:szCs w:val="22"/>
            <w:lang w:eastAsia="en-US"/>
          </w:rPr>
        </w:r>
        <w:r w:rsidR="00E438F7" w:rsidRPr="00E438F7">
          <w:rPr>
            <w:rFonts w:ascii="Arial" w:eastAsiaTheme="minorHAnsi" w:hAnsi="Arial" w:cs="Arial"/>
            <w:noProof/>
            <w:webHidden/>
            <w:sz w:val="22"/>
            <w:szCs w:val="22"/>
            <w:lang w:eastAsia="en-US"/>
          </w:rPr>
          <w:fldChar w:fldCharType="separate"/>
        </w:r>
        <w:r w:rsidR="00E438F7" w:rsidRPr="00E438F7">
          <w:rPr>
            <w:rFonts w:ascii="Arial" w:eastAsiaTheme="minorHAnsi" w:hAnsi="Arial" w:cs="Arial"/>
            <w:noProof/>
            <w:webHidden/>
            <w:sz w:val="22"/>
            <w:szCs w:val="22"/>
            <w:lang w:eastAsia="en-US"/>
          </w:rPr>
          <w:t>6</w:t>
        </w:r>
        <w:r w:rsidR="00E438F7" w:rsidRPr="00E438F7">
          <w:rPr>
            <w:rFonts w:ascii="Arial" w:eastAsiaTheme="minorHAnsi" w:hAnsi="Arial" w:cs="Arial"/>
            <w:noProof/>
            <w:webHidden/>
            <w:sz w:val="22"/>
            <w:szCs w:val="22"/>
            <w:lang w:eastAsia="en-US"/>
          </w:rPr>
          <w:fldChar w:fldCharType="end"/>
        </w:r>
      </w:hyperlink>
    </w:p>
    <w:p w14:paraId="12C420BD" w14:textId="77777777" w:rsidR="00E438F7" w:rsidRPr="00E438F7" w:rsidRDefault="006E004A" w:rsidP="00E438F7">
      <w:pPr>
        <w:tabs>
          <w:tab w:val="right" w:leader="dot" w:pos="9350"/>
        </w:tabs>
        <w:spacing w:before="120" w:after="120" w:line="360" w:lineRule="auto"/>
        <w:ind w:left="220" w:firstLine="284"/>
        <w:jc w:val="both"/>
        <w:divId w:val="396128363"/>
        <w:rPr>
          <w:rFonts w:ascii="Arial" w:eastAsiaTheme="minorHAnsi" w:hAnsi="Arial" w:cs="Arial"/>
          <w:noProof/>
          <w:sz w:val="22"/>
          <w:szCs w:val="22"/>
          <w:lang w:eastAsia="en-US"/>
        </w:rPr>
      </w:pPr>
      <w:hyperlink w:anchor="_Toc159515792" w:history="1">
        <w:r w:rsidR="00E438F7" w:rsidRPr="00E438F7">
          <w:rPr>
            <w:rFonts w:ascii="Arial" w:eastAsiaTheme="minorHAnsi" w:hAnsi="Arial" w:cs="Arial"/>
            <w:noProof/>
            <w:color w:val="467886" w:themeColor="hyperlink"/>
            <w:sz w:val="22"/>
            <w:szCs w:val="22"/>
            <w:u w:val="single"/>
            <w:lang w:val="en-US" w:eastAsia="en-US"/>
          </w:rPr>
          <w:t>Vertical Analysis of Balance Sheet</w:t>
        </w:r>
        <w:r w:rsidR="00E438F7" w:rsidRPr="00E438F7">
          <w:rPr>
            <w:rFonts w:ascii="Arial" w:eastAsiaTheme="minorHAnsi" w:hAnsi="Arial" w:cs="Arial"/>
            <w:noProof/>
            <w:webHidden/>
            <w:sz w:val="22"/>
            <w:szCs w:val="22"/>
            <w:lang w:eastAsia="en-US"/>
          </w:rPr>
          <w:tab/>
        </w:r>
        <w:r w:rsidR="00E438F7" w:rsidRPr="00E438F7">
          <w:rPr>
            <w:rFonts w:ascii="Arial" w:eastAsiaTheme="minorHAnsi" w:hAnsi="Arial" w:cs="Arial"/>
            <w:noProof/>
            <w:webHidden/>
            <w:sz w:val="22"/>
            <w:szCs w:val="22"/>
            <w:lang w:eastAsia="en-US"/>
          </w:rPr>
          <w:fldChar w:fldCharType="begin"/>
        </w:r>
        <w:r w:rsidR="00E438F7" w:rsidRPr="00E438F7">
          <w:rPr>
            <w:rFonts w:ascii="Arial" w:eastAsiaTheme="minorHAnsi" w:hAnsi="Arial" w:cs="Arial"/>
            <w:noProof/>
            <w:webHidden/>
            <w:sz w:val="22"/>
            <w:szCs w:val="22"/>
            <w:lang w:eastAsia="en-US"/>
          </w:rPr>
          <w:instrText xml:space="preserve"> PAGEREF _Toc159515792 \h </w:instrText>
        </w:r>
        <w:r w:rsidR="00E438F7" w:rsidRPr="00E438F7">
          <w:rPr>
            <w:rFonts w:ascii="Arial" w:eastAsiaTheme="minorHAnsi" w:hAnsi="Arial" w:cs="Arial"/>
            <w:noProof/>
            <w:webHidden/>
            <w:sz w:val="22"/>
            <w:szCs w:val="22"/>
            <w:lang w:eastAsia="en-US"/>
          </w:rPr>
        </w:r>
        <w:r w:rsidR="00E438F7" w:rsidRPr="00E438F7">
          <w:rPr>
            <w:rFonts w:ascii="Arial" w:eastAsiaTheme="minorHAnsi" w:hAnsi="Arial" w:cs="Arial"/>
            <w:noProof/>
            <w:webHidden/>
            <w:sz w:val="22"/>
            <w:szCs w:val="22"/>
            <w:lang w:eastAsia="en-US"/>
          </w:rPr>
          <w:fldChar w:fldCharType="separate"/>
        </w:r>
        <w:r w:rsidR="00E438F7" w:rsidRPr="00E438F7">
          <w:rPr>
            <w:rFonts w:ascii="Arial" w:eastAsiaTheme="minorHAnsi" w:hAnsi="Arial" w:cs="Arial"/>
            <w:noProof/>
            <w:webHidden/>
            <w:sz w:val="22"/>
            <w:szCs w:val="22"/>
            <w:lang w:eastAsia="en-US"/>
          </w:rPr>
          <w:t>7</w:t>
        </w:r>
        <w:r w:rsidR="00E438F7" w:rsidRPr="00E438F7">
          <w:rPr>
            <w:rFonts w:ascii="Arial" w:eastAsiaTheme="minorHAnsi" w:hAnsi="Arial" w:cs="Arial"/>
            <w:noProof/>
            <w:webHidden/>
            <w:sz w:val="22"/>
            <w:szCs w:val="22"/>
            <w:lang w:eastAsia="en-US"/>
          </w:rPr>
          <w:fldChar w:fldCharType="end"/>
        </w:r>
      </w:hyperlink>
    </w:p>
    <w:p w14:paraId="0928A132" w14:textId="77777777" w:rsidR="00E438F7" w:rsidRPr="00E438F7" w:rsidRDefault="006E004A" w:rsidP="00E438F7">
      <w:pPr>
        <w:tabs>
          <w:tab w:val="right" w:leader="dot" w:pos="9350"/>
        </w:tabs>
        <w:spacing w:before="120" w:after="120" w:line="360" w:lineRule="auto"/>
        <w:ind w:left="220" w:firstLine="284"/>
        <w:jc w:val="both"/>
        <w:divId w:val="396128363"/>
        <w:rPr>
          <w:rFonts w:ascii="Arial" w:eastAsiaTheme="minorHAnsi" w:hAnsi="Arial" w:cs="Arial"/>
          <w:noProof/>
          <w:sz w:val="22"/>
          <w:szCs w:val="22"/>
          <w:lang w:eastAsia="en-US"/>
        </w:rPr>
      </w:pPr>
      <w:hyperlink w:anchor="_Toc159515793" w:history="1">
        <w:r w:rsidR="00E438F7" w:rsidRPr="00E438F7">
          <w:rPr>
            <w:rFonts w:ascii="Arial" w:eastAsiaTheme="minorHAnsi" w:hAnsi="Arial" w:cs="Arial"/>
            <w:noProof/>
            <w:color w:val="467886" w:themeColor="hyperlink"/>
            <w:sz w:val="22"/>
            <w:szCs w:val="22"/>
            <w:u w:val="single"/>
            <w:lang w:val="en-US" w:eastAsia="en-US"/>
          </w:rPr>
          <w:t>Vertical Analysis of Income Statement</w:t>
        </w:r>
        <w:r w:rsidR="00E438F7" w:rsidRPr="00E438F7">
          <w:rPr>
            <w:rFonts w:ascii="Arial" w:eastAsiaTheme="minorHAnsi" w:hAnsi="Arial" w:cs="Arial"/>
            <w:noProof/>
            <w:webHidden/>
            <w:sz w:val="22"/>
            <w:szCs w:val="22"/>
            <w:lang w:eastAsia="en-US"/>
          </w:rPr>
          <w:tab/>
        </w:r>
        <w:r w:rsidR="00E438F7" w:rsidRPr="00E438F7">
          <w:rPr>
            <w:rFonts w:ascii="Arial" w:eastAsiaTheme="minorHAnsi" w:hAnsi="Arial" w:cs="Arial"/>
            <w:noProof/>
            <w:webHidden/>
            <w:sz w:val="22"/>
            <w:szCs w:val="22"/>
            <w:lang w:eastAsia="en-US"/>
          </w:rPr>
          <w:fldChar w:fldCharType="begin"/>
        </w:r>
        <w:r w:rsidR="00E438F7" w:rsidRPr="00E438F7">
          <w:rPr>
            <w:rFonts w:ascii="Arial" w:eastAsiaTheme="minorHAnsi" w:hAnsi="Arial" w:cs="Arial"/>
            <w:noProof/>
            <w:webHidden/>
            <w:sz w:val="22"/>
            <w:szCs w:val="22"/>
            <w:lang w:eastAsia="en-US"/>
          </w:rPr>
          <w:instrText xml:space="preserve"> PAGEREF _Toc159515793 \h </w:instrText>
        </w:r>
        <w:r w:rsidR="00E438F7" w:rsidRPr="00E438F7">
          <w:rPr>
            <w:rFonts w:ascii="Arial" w:eastAsiaTheme="minorHAnsi" w:hAnsi="Arial" w:cs="Arial"/>
            <w:noProof/>
            <w:webHidden/>
            <w:sz w:val="22"/>
            <w:szCs w:val="22"/>
            <w:lang w:eastAsia="en-US"/>
          </w:rPr>
        </w:r>
        <w:r w:rsidR="00E438F7" w:rsidRPr="00E438F7">
          <w:rPr>
            <w:rFonts w:ascii="Arial" w:eastAsiaTheme="minorHAnsi" w:hAnsi="Arial" w:cs="Arial"/>
            <w:noProof/>
            <w:webHidden/>
            <w:sz w:val="22"/>
            <w:szCs w:val="22"/>
            <w:lang w:eastAsia="en-US"/>
          </w:rPr>
          <w:fldChar w:fldCharType="separate"/>
        </w:r>
        <w:r w:rsidR="00E438F7" w:rsidRPr="00E438F7">
          <w:rPr>
            <w:rFonts w:ascii="Arial" w:eastAsiaTheme="minorHAnsi" w:hAnsi="Arial" w:cs="Arial"/>
            <w:noProof/>
            <w:webHidden/>
            <w:sz w:val="22"/>
            <w:szCs w:val="22"/>
            <w:lang w:eastAsia="en-US"/>
          </w:rPr>
          <w:t>8</w:t>
        </w:r>
        <w:r w:rsidR="00E438F7" w:rsidRPr="00E438F7">
          <w:rPr>
            <w:rFonts w:ascii="Arial" w:eastAsiaTheme="minorHAnsi" w:hAnsi="Arial" w:cs="Arial"/>
            <w:noProof/>
            <w:webHidden/>
            <w:sz w:val="22"/>
            <w:szCs w:val="22"/>
            <w:lang w:eastAsia="en-US"/>
          </w:rPr>
          <w:fldChar w:fldCharType="end"/>
        </w:r>
      </w:hyperlink>
    </w:p>
    <w:p w14:paraId="76BCA6EB" w14:textId="77777777" w:rsidR="00E438F7" w:rsidRPr="00E438F7" w:rsidRDefault="006E004A" w:rsidP="00E438F7">
      <w:pPr>
        <w:tabs>
          <w:tab w:val="right" w:leader="dot" w:pos="9350"/>
        </w:tabs>
        <w:spacing w:before="120" w:after="120" w:line="360" w:lineRule="auto"/>
        <w:ind w:firstLine="284"/>
        <w:jc w:val="both"/>
        <w:divId w:val="396128363"/>
        <w:rPr>
          <w:rFonts w:ascii="Arial" w:eastAsiaTheme="minorHAnsi" w:hAnsi="Arial" w:cs="Arial"/>
          <w:noProof/>
          <w:sz w:val="22"/>
          <w:szCs w:val="22"/>
          <w:lang w:eastAsia="en-US"/>
        </w:rPr>
      </w:pPr>
      <w:hyperlink w:anchor="_Toc159515794" w:history="1">
        <w:r w:rsidR="00E438F7" w:rsidRPr="00E438F7">
          <w:rPr>
            <w:rFonts w:ascii="Arial" w:eastAsiaTheme="minorHAnsi" w:hAnsi="Arial" w:cs="Arial"/>
            <w:noProof/>
            <w:color w:val="467886" w:themeColor="hyperlink"/>
            <w:sz w:val="22"/>
            <w:szCs w:val="22"/>
            <w:u w:val="single"/>
            <w:lang w:val="en-US" w:eastAsia="en-US"/>
          </w:rPr>
          <w:t>Conclusion</w:t>
        </w:r>
        <w:r w:rsidR="00E438F7" w:rsidRPr="00E438F7">
          <w:rPr>
            <w:rFonts w:ascii="Arial" w:eastAsiaTheme="minorHAnsi" w:hAnsi="Arial" w:cs="Arial"/>
            <w:noProof/>
            <w:webHidden/>
            <w:sz w:val="22"/>
            <w:szCs w:val="22"/>
            <w:lang w:eastAsia="en-US"/>
          </w:rPr>
          <w:tab/>
        </w:r>
        <w:r w:rsidR="00E438F7" w:rsidRPr="00E438F7">
          <w:rPr>
            <w:rFonts w:ascii="Arial" w:eastAsiaTheme="minorHAnsi" w:hAnsi="Arial" w:cs="Arial"/>
            <w:noProof/>
            <w:webHidden/>
            <w:sz w:val="22"/>
            <w:szCs w:val="22"/>
            <w:lang w:eastAsia="en-US"/>
          </w:rPr>
          <w:fldChar w:fldCharType="begin"/>
        </w:r>
        <w:r w:rsidR="00E438F7" w:rsidRPr="00E438F7">
          <w:rPr>
            <w:rFonts w:ascii="Arial" w:eastAsiaTheme="minorHAnsi" w:hAnsi="Arial" w:cs="Arial"/>
            <w:noProof/>
            <w:webHidden/>
            <w:sz w:val="22"/>
            <w:szCs w:val="22"/>
            <w:lang w:eastAsia="en-US"/>
          </w:rPr>
          <w:instrText xml:space="preserve"> PAGEREF _Toc159515794 \h </w:instrText>
        </w:r>
        <w:r w:rsidR="00E438F7" w:rsidRPr="00E438F7">
          <w:rPr>
            <w:rFonts w:ascii="Arial" w:eastAsiaTheme="minorHAnsi" w:hAnsi="Arial" w:cs="Arial"/>
            <w:noProof/>
            <w:webHidden/>
            <w:sz w:val="22"/>
            <w:szCs w:val="22"/>
            <w:lang w:eastAsia="en-US"/>
          </w:rPr>
        </w:r>
        <w:r w:rsidR="00E438F7" w:rsidRPr="00E438F7">
          <w:rPr>
            <w:rFonts w:ascii="Arial" w:eastAsiaTheme="minorHAnsi" w:hAnsi="Arial" w:cs="Arial"/>
            <w:noProof/>
            <w:webHidden/>
            <w:sz w:val="22"/>
            <w:szCs w:val="22"/>
            <w:lang w:eastAsia="en-US"/>
          </w:rPr>
          <w:fldChar w:fldCharType="separate"/>
        </w:r>
        <w:r w:rsidR="00E438F7" w:rsidRPr="00E438F7">
          <w:rPr>
            <w:rFonts w:ascii="Arial" w:eastAsiaTheme="minorHAnsi" w:hAnsi="Arial" w:cs="Arial"/>
            <w:noProof/>
            <w:webHidden/>
            <w:sz w:val="22"/>
            <w:szCs w:val="22"/>
            <w:lang w:eastAsia="en-US"/>
          </w:rPr>
          <w:t>9</w:t>
        </w:r>
        <w:r w:rsidR="00E438F7" w:rsidRPr="00E438F7">
          <w:rPr>
            <w:rFonts w:ascii="Arial" w:eastAsiaTheme="minorHAnsi" w:hAnsi="Arial" w:cs="Arial"/>
            <w:noProof/>
            <w:webHidden/>
            <w:sz w:val="22"/>
            <w:szCs w:val="22"/>
            <w:lang w:eastAsia="en-US"/>
          </w:rPr>
          <w:fldChar w:fldCharType="end"/>
        </w:r>
      </w:hyperlink>
    </w:p>
    <w:p w14:paraId="3E5C8892" w14:textId="77777777" w:rsidR="00E438F7" w:rsidRPr="00E438F7" w:rsidRDefault="00E438F7" w:rsidP="00E438F7">
      <w:pPr>
        <w:spacing w:before="120" w:after="120" w:line="360" w:lineRule="auto"/>
        <w:jc w:val="center"/>
        <w:divId w:val="396128363"/>
        <w:rPr>
          <w:rFonts w:ascii="Arial" w:eastAsiaTheme="minorHAnsi" w:hAnsi="Arial" w:cs="Arial"/>
          <w:sz w:val="22"/>
          <w:szCs w:val="22"/>
          <w:lang w:val="en-US" w:eastAsia="en-US"/>
        </w:rPr>
      </w:pPr>
      <w:r w:rsidRPr="00E438F7">
        <w:rPr>
          <w:rFonts w:ascii="Arial" w:eastAsiaTheme="minorHAnsi" w:hAnsi="Arial" w:cs="Arial"/>
          <w:sz w:val="22"/>
          <w:szCs w:val="22"/>
          <w:lang w:val="en-US" w:eastAsia="en-US"/>
        </w:rPr>
        <w:fldChar w:fldCharType="end"/>
      </w:r>
    </w:p>
    <w:p w14:paraId="7EF024F9" w14:textId="77777777" w:rsidR="00E438F7" w:rsidRPr="00E438F7" w:rsidRDefault="00E438F7" w:rsidP="00E438F7">
      <w:pPr>
        <w:spacing w:before="120" w:after="120" w:line="360" w:lineRule="auto"/>
        <w:divId w:val="396128363"/>
        <w:rPr>
          <w:rFonts w:ascii="Arial" w:eastAsiaTheme="majorEastAsia" w:hAnsi="Arial" w:cs="Arial"/>
          <w:b/>
          <w:szCs w:val="32"/>
          <w:lang w:val="en-US" w:eastAsia="en-US"/>
        </w:rPr>
      </w:pPr>
      <w:r w:rsidRPr="00E438F7">
        <w:rPr>
          <w:rFonts w:ascii="Arial" w:eastAsiaTheme="minorHAnsi" w:hAnsi="Arial" w:cs="Arial"/>
          <w:kern w:val="0"/>
          <w:sz w:val="22"/>
          <w:szCs w:val="22"/>
          <w:lang w:val="en-US" w:eastAsia="en-US"/>
          <w14:ligatures w14:val="none"/>
        </w:rPr>
        <w:br w:type="page"/>
      </w:r>
    </w:p>
    <w:p w14:paraId="5DC75FCA" w14:textId="77777777" w:rsidR="00E438F7" w:rsidRPr="00E438F7" w:rsidRDefault="00E438F7" w:rsidP="00E438F7">
      <w:pPr>
        <w:keepNext/>
        <w:keepLines/>
        <w:spacing w:before="120" w:after="120" w:line="360" w:lineRule="auto"/>
        <w:jc w:val="both"/>
        <w:outlineLvl w:val="0"/>
        <w:divId w:val="396128363"/>
        <w:rPr>
          <w:rFonts w:ascii="Arial" w:eastAsiaTheme="majorEastAsia" w:hAnsi="Arial" w:cs="Arial"/>
          <w:b/>
          <w:szCs w:val="32"/>
          <w:lang w:val="en-US" w:eastAsia="en-US"/>
        </w:rPr>
      </w:pPr>
      <w:bookmarkStart w:id="1" w:name="_Toc159515786"/>
      <w:r w:rsidRPr="00E438F7">
        <w:rPr>
          <w:rFonts w:ascii="Arial" w:eastAsiaTheme="majorEastAsia" w:hAnsi="Arial" w:cs="Arial"/>
          <w:b/>
          <w:szCs w:val="32"/>
          <w:lang w:val="en-US" w:eastAsia="en-US"/>
        </w:rPr>
        <w:lastRenderedPageBreak/>
        <w:t>Introduction</w:t>
      </w:r>
      <w:bookmarkEnd w:id="1"/>
    </w:p>
    <w:p w14:paraId="44B2A179" w14:textId="77777777" w:rsidR="00E438F7" w:rsidRPr="00E438F7" w:rsidRDefault="00E438F7" w:rsidP="00E438F7">
      <w:pPr>
        <w:spacing w:before="120" w:after="120" w:line="360" w:lineRule="auto"/>
        <w:ind w:firstLine="284"/>
        <w:jc w:val="both"/>
        <w:divId w:val="396128363"/>
        <w:rPr>
          <w:rFonts w:ascii="Arial" w:eastAsiaTheme="minorHAnsi" w:hAnsi="Arial" w:cs="Arial"/>
          <w:sz w:val="22"/>
          <w:szCs w:val="22"/>
          <w:lang w:val="en-US" w:eastAsia="en-US"/>
        </w:rPr>
      </w:pPr>
      <w:r w:rsidRPr="00E438F7">
        <w:rPr>
          <w:rFonts w:ascii="Arial" w:eastAsiaTheme="minorHAnsi" w:hAnsi="Arial" w:cs="Arial"/>
          <w:sz w:val="22"/>
          <w:szCs w:val="22"/>
          <w:lang w:eastAsia="en-US"/>
        </w:rPr>
        <w:t>With its restaurant, bar, and event rooms, the Seacrest Lodge has long been a symbol of luxury and pleasure for holidaymakers on a gorgeous beach. The first portion of the research details Seacrest Lodge's triumphs. Those seeking serenity and elegance frequented here. The Lodge has recently faced problems that have reduced its wealth, affecting its fortunes. Declining sales, occupancy, and customer happiness have raised concerns about the company's future (</w:t>
      </w:r>
      <w:r w:rsidRPr="00E438F7">
        <w:rPr>
          <w:rFonts w:ascii="Arial" w:eastAsiaTheme="minorHAnsi" w:hAnsi="Arial" w:cs="Arial"/>
          <w:sz w:val="22"/>
          <w:szCs w:val="22"/>
          <w:shd w:val="clear" w:color="auto" w:fill="FFFFFF"/>
          <w:lang w:eastAsia="en-US"/>
        </w:rPr>
        <w:t>Brooks, 2016</w:t>
      </w:r>
      <w:r w:rsidRPr="00E438F7">
        <w:rPr>
          <w:rFonts w:ascii="Arial" w:eastAsiaTheme="minorHAnsi" w:hAnsi="Arial" w:cs="Arial"/>
          <w:sz w:val="22"/>
          <w:szCs w:val="22"/>
          <w:lang w:eastAsia="en-US"/>
        </w:rPr>
        <w:t>). The proprietor of Seacrest Lodge has seen the urgency of the situation and sought expert help to revitalise the firm. The market research segment examines coastal resort sector competition. Newer, more modern resorts have increased competition in this industry (</w:t>
      </w:r>
      <w:proofErr w:type="spellStart"/>
      <w:r w:rsidRPr="00E438F7">
        <w:rPr>
          <w:rFonts w:ascii="Arial" w:eastAsiaTheme="minorHAnsi" w:hAnsi="Arial" w:cs="Arial"/>
          <w:sz w:val="22"/>
          <w:szCs w:val="22"/>
          <w:shd w:val="clear" w:color="auto" w:fill="FFFFFF"/>
          <w:lang w:eastAsia="en-US"/>
        </w:rPr>
        <w:t>Okunev</w:t>
      </w:r>
      <w:proofErr w:type="spellEnd"/>
      <w:r w:rsidRPr="00E438F7">
        <w:rPr>
          <w:rFonts w:ascii="Arial" w:eastAsiaTheme="minorHAnsi" w:hAnsi="Arial" w:cs="Arial"/>
          <w:sz w:val="22"/>
          <w:szCs w:val="22"/>
          <w:shd w:val="clear" w:color="auto" w:fill="FFFFFF"/>
          <w:lang w:eastAsia="en-US"/>
        </w:rPr>
        <w:t>, 2022</w:t>
      </w:r>
      <w:r w:rsidRPr="00E438F7">
        <w:rPr>
          <w:rFonts w:ascii="Arial" w:eastAsiaTheme="minorHAnsi" w:hAnsi="Arial" w:cs="Arial"/>
          <w:sz w:val="22"/>
          <w:szCs w:val="22"/>
          <w:lang w:eastAsia="en-US"/>
        </w:rPr>
        <w:t>). The Seacrest Lodge needs a complete evaluation and strategic revamp because to these changes and changing consumer preferences and complaints about service quality and obsolete amenities. Assessing the Seacrest Lodge's issues provides an organised strategy with clear scope and objectives. This research will analyse Seacrest Lodge's 2021–2023 income and balance sheets to assist it recover.</w:t>
      </w:r>
    </w:p>
    <w:p w14:paraId="13E977AD" w14:textId="77777777" w:rsidR="00E438F7" w:rsidRPr="00E438F7" w:rsidRDefault="00E438F7" w:rsidP="00E438F7">
      <w:pPr>
        <w:keepNext/>
        <w:keepLines/>
        <w:spacing w:before="120" w:after="120" w:line="360" w:lineRule="auto"/>
        <w:jc w:val="both"/>
        <w:outlineLvl w:val="0"/>
        <w:divId w:val="396128363"/>
        <w:rPr>
          <w:rFonts w:ascii="Arial" w:eastAsiaTheme="majorEastAsia" w:hAnsi="Arial" w:cs="Arial"/>
          <w:b/>
          <w:szCs w:val="32"/>
          <w:lang w:val="en-US" w:eastAsia="en-US"/>
        </w:rPr>
      </w:pPr>
      <w:bookmarkStart w:id="2" w:name="_Toc159515787"/>
      <w:r w:rsidRPr="00E438F7">
        <w:rPr>
          <w:rFonts w:ascii="Arial" w:eastAsiaTheme="majorEastAsia" w:hAnsi="Arial" w:cs="Arial"/>
          <w:b/>
          <w:szCs w:val="32"/>
          <w:lang w:val="en-US" w:eastAsia="en-US"/>
        </w:rPr>
        <w:t>Financial Analysis</w:t>
      </w:r>
      <w:bookmarkEnd w:id="2"/>
    </w:p>
    <w:p w14:paraId="7EA0DDB8" w14:textId="77777777" w:rsidR="00E438F7" w:rsidRPr="00E438F7" w:rsidRDefault="00E438F7" w:rsidP="00E438F7">
      <w:pPr>
        <w:spacing w:before="120" w:after="120" w:line="360" w:lineRule="auto"/>
        <w:ind w:firstLine="284"/>
        <w:jc w:val="both"/>
        <w:divId w:val="396128363"/>
        <w:rPr>
          <w:rFonts w:ascii="Arial" w:eastAsiaTheme="minorHAnsi" w:hAnsi="Arial" w:cs="Arial"/>
          <w:sz w:val="22"/>
          <w:szCs w:val="22"/>
          <w:lang w:val="en-US" w:eastAsia="en-US"/>
        </w:rPr>
      </w:pPr>
      <w:r w:rsidRPr="00E438F7">
        <w:rPr>
          <w:rFonts w:ascii="Arial" w:eastAsiaTheme="minorHAnsi" w:hAnsi="Arial" w:cs="Arial"/>
          <w:sz w:val="22"/>
          <w:szCs w:val="22"/>
          <w:lang w:eastAsia="en-US"/>
        </w:rPr>
        <w:t>Using horizontal and vertical analytics, lodge's financial statements examined for the years 2021–2023, looking for trends and patterns. When looking for trends, rises, or drops in financial data over a three-year period, horizontal analysis is the way to go. To find out where the money is going, a vertical analysis looks at the percentages of line items in a financial statement for a specific year.</w:t>
      </w:r>
    </w:p>
    <w:p w14:paraId="7C66CCAF" w14:textId="77777777" w:rsidR="00E438F7" w:rsidRPr="00E438F7" w:rsidRDefault="00E438F7" w:rsidP="00E438F7">
      <w:pPr>
        <w:keepNext/>
        <w:keepLines/>
        <w:spacing w:before="120" w:after="120" w:line="360" w:lineRule="auto"/>
        <w:ind w:firstLine="284"/>
        <w:jc w:val="both"/>
        <w:outlineLvl w:val="1"/>
        <w:divId w:val="396128363"/>
        <w:rPr>
          <w:rFonts w:ascii="Arial" w:eastAsiaTheme="majorEastAsia" w:hAnsi="Arial" w:cs="Arial"/>
          <w:b/>
          <w:i/>
          <w:szCs w:val="26"/>
          <w:lang w:val="en-US" w:eastAsia="en-US"/>
        </w:rPr>
      </w:pPr>
      <w:bookmarkStart w:id="3" w:name="_Toc159515788"/>
      <w:r w:rsidRPr="00E438F7">
        <w:rPr>
          <w:rFonts w:ascii="Arial" w:eastAsiaTheme="majorEastAsia" w:hAnsi="Arial" w:cs="Arial"/>
          <w:b/>
          <w:i/>
          <w:szCs w:val="26"/>
          <w:lang w:val="en-US" w:eastAsia="en-US"/>
        </w:rPr>
        <w:t>Horizontal Analysis of Balance Sheet</w:t>
      </w:r>
      <w:bookmarkEnd w:id="3"/>
    </w:p>
    <w:p w14:paraId="0EC7448C" w14:textId="77777777" w:rsidR="00E438F7" w:rsidRPr="00E438F7" w:rsidRDefault="00E438F7" w:rsidP="00E438F7">
      <w:pPr>
        <w:spacing w:before="120" w:after="120" w:line="360" w:lineRule="auto"/>
        <w:ind w:firstLine="284"/>
        <w:jc w:val="both"/>
        <w:divId w:val="396128363"/>
        <w:rPr>
          <w:rFonts w:ascii="Arial" w:eastAsiaTheme="minorHAnsi" w:hAnsi="Arial" w:cs="Arial"/>
          <w:sz w:val="22"/>
          <w:szCs w:val="22"/>
          <w:lang w:eastAsia="en-US"/>
        </w:rPr>
      </w:pPr>
      <w:r w:rsidRPr="00E438F7">
        <w:rPr>
          <w:rFonts w:ascii="Arial" w:eastAsiaTheme="minorHAnsi" w:hAnsi="Arial" w:cs="Arial"/>
          <w:sz w:val="22"/>
          <w:szCs w:val="22"/>
          <w:lang w:eastAsia="en-US"/>
        </w:rPr>
        <w:t>The horizontal balance sheet research of The Seacrest Lodge from 2021 to 2023 offers important financial facts and issues. This study is underway to determine the causes of the profitability and occupancy reduction, which is essential to establishing a recovery strategy (</w:t>
      </w:r>
      <w:proofErr w:type="spellStart"/>
      <w:r w:rsidRPr="00E438F7">
        <w:rPr>
          <w:rFonts w:ascii="Arial" w:eastAsiaTheme="minorHAnsi" w:hAnsi="Arial" w:cs="Arial"/>
          <w:sz w:val="22"/>
          <w:szCs w:val="22"/>
          <w:shd w:val="clear" w:color="auto" w:fill="FFFFFF"/>
          <w:lang w:eastAsia="en-US"/>
        </w:rPr>
        <w:t>Finkler</w:t>
      </w:r>
      <w:proofErr w:type="spellEnd"/>
      <w:r w:rsidRPr="00E438F7">
        <w:rPr>
          <w:rFonts w:ascii="Arial" w:eastAsiaTheme="minorHAnsi" w:hAnsi="Arial" w:cs="Arial"/>
          <w:sz w:val="22"/>
          <w:szCs w:val="22"/>
          <w:shd w:val="clear" w:color="auto" w:fill="FFFFFF"/>
          <w:lang w:eastAsia="en-US"/>
        </w:rPr>
        <w:t>, 2017</w:t>
      </w:r>
      <w:r w:rsidRPr="00E438F7">
        <w:rPr>
          <w:rFonts w:ascii="Arial" w:eastAsiaTheme="minorHAnsi" w:hAnsi="Arial" w:cs="Arial"/>
          <w:sz w:val="22"/>
          <w:szCs w:val="22"/>
          <w:lang w:eastAsia="en-US"/>
        </w:rPr>
        <w:t>). Cash and equivalents dropped 80% from $100,000 in 2021 to $20,000 in 2023. This decline is also observed in hotel industry of UK. UK hotel owners' poor operational performance over the preceding two quarters was mostly due to regional business. Brexit's uncertainty may have contributed to these dismal outcomes, which may hurt business and consumer confidence. The London market benefited from more city breakers (</w:t>
      </w:r>
      <w:r w:rsidRPr="00E438F7">
        <w:rPr>
          <w:rFonts w:ascii="Arial" w:eastAsiaTheme="minorHAnsi" w:hAnsi="Arial" w:cs="Arial"/>
          <w:sz w:val="22"/>
          <w:szCs w:val="22"/>
          <w:shd w:val="clear" w:color="auto" w:fill="FFFFFF"/>
          <w:lang w:eastAsia="en-US"/>
        </w:rPr>
        <w:t>Fitch Ratings, 2022</w:t>
      </w:r>
      <w:r w:rsidRPr="00E438F7">
        <w:rPr>
          <w:rFonts w:ascii="Arial" w:eastAsiaTheme="minorHAnsi" w:hAnsi="Arial" w:cs="Arial"/>
          <w:sz w:val="22"/>
          <w:szCs w:val="22"/>
          <w:lang w:eastAsia="en-US"/>
        </w:rPr>
        <w:t xml:space="preserve">). As seen by its fast declining fund balance, the lodge is depleting its financial reserves. This indicates significant money shortages. Cash on hand may drop due to lower income, more operating expenses, or unaccounted-for capital investments. </w:t>
      </w:r>
    </w:p>
    <w:tbl>
      <w:tblPr>
        <w:tblW w:w="10490" w:type="dxa"/>
        <w:jc w:val="center"/>
        <w:tblLook w:val="04A0" w:firstRow="1" w:lastRow="0" w:firstColumn="1" w:lastColumn="0" w:noHBand="0" w:noVBand="1"/>
      </w:tblPr>
      <w:tblGrid>
        <w:gridCol w:w="2684"/>
        <w:gridCol w:w="1283"/>
        <w:gridCol w:w="1278"/>
        <w:gridCol w:w="1230"/>
        <w:gridCol w:w="1038"/>
        <w:gridCol w:w="993"/>
        <w:gridCol w:w="992"/>
        <w:gridCol w:w="992"/>
      </w:tblGrid>
      <w:tr w:rsidR="00E438F7" w:rsidRPr="00E438F7" w14:paraId="59D0BBBD" w14:textId="77777777">
        <w:trPr>
          <w:divId w:val="396128363"/>
          <w:trHeight w:val="315"/>
          <w:jc w:val="center"/>
        </w:trPr>
        <w:tc>
          <w:tcPr>
            <w:tcW w:w="6475" w:type="dxa"/>
            <w:gridSpan w:val="4"/>
            <w:tcBorders>
              <w:top w:val="single" w:sz="8" w:space="0" w:color="auto"/>
              <w:left w:val="single" w:sz="8" w:space="0" w:color="auto"/>
              <w:bottom w:val="nil"/>
              <w:right w:val="single" w:sz="8" w:space="0" w:color="000000"/>
            </w:tcBorders>
            <w:shd w:val="clear" w:color="auto" w:fill="222B35"/>
            <w:noWrap/>
            <w:vAlign w:val="bottom"/>
            <w:hideMark/>
          </w:tcPr>
          <w:p w14:paraId="0D9D62CA" w14:textId="77777777" w:rsidR="00E438F7" w:rsidRPr="00E438F7" w:rsidRDefault="00E438F7" w:rsidP="00E438F7">
            <w:pPr>
              <w:spacing w:before="120" w:after="120" w:line="360" w:lineRule="auto"/>
              <w:jc w:val="center"/>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Balance Sheet</w:t>
            </w:r>
          </w:p>
        </w:tc>
        <w:tc>
          <w:tcPr>
            <w:tcW w:w="4015" w:type="dxa"/>
            <w:gridSpan w:val="4"/>
            <w:tcBorders>
              <w:top w:val="single" w:sz="8" w:space="0" w:color="auto"/>
              <w:left w:val="nil"/>
              <w:bottom w:val="single" w:sz="8" w:space="0" w:color="auto"/>
              <w:right w:val="single" w:sz="8" w:space="0" w:color="000000"/>
            </w:tcBorders>
            <w:shd w:val="clear" w:color="auto" w:fill="222B35"/>
            <w:noWrap/>
            <w:vAlign w:val="bottom"/>
            <w:hideMark/>
          </w:tcPr>
          <w:p w14:paraId="69E38E23" w14:textId="77777777" w:rsidR="00E438F7" w:rsidRPr="00E438F7" w:rsidRDefault="00E438F7" w:rsidP="00E438F7">
            <w:pPr>
              <w:spacing w:before="120" w:after="120" w:line="360" w:lineRule="auto"/>
              <w:jc w:val="center"/>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Horizontal Analysis</w:t>
            </w:r>
          </w:p>
        </w:tc>
      </w:tr>
      <w:tr w:rsidR="00E438F7" w:rsidRPr="00E438F7" w14:paraId="27022AED" w14:textId="77777777">
        <w:trPr>
          <w:divId w:val="396128363"/>
          <w:trHeight w:val="315"/>
          <w:jc w:val="center"/>
        </w:trPr>
        <w:tc>
          <w:tcPr>
            <w:tcW w:w="2684" w:type="dxa"/>
            <w:tcBorders>
              <w:top w:val="single" w:sz="8" w:space="0" w:color="auto"/>
              <w:left w:val="single" w:sz="8" w:space="0" w:color="auto"/>
              <w:bottom w:val="single" w:sz="8" w:space="0" w:color="auto"/>
              <w:right w:val="single" w:sz="8" w:space="0" w:color="auto"/>
            </w:tcBorders>
            <w:shd w:val="clear" w:color="auto" w:fill="222B35"/>
            <w:noWrap/>
            <w:vAlign w:val="bottom"/>
            <w:hideMark/>
          </w:tcPr>
          <w:p w14:paraId="37BF387F" w14:textId="77777777" w:rsidR="00E438F7" w:rsidRPr="00E438F7" w:rsidRDefault="00E438F7" w:rsidP="00E438F7">
            <w:pPr>
              <w:spacing w:before="120" w:after="120" w:line="360" w:lineRule="auto"/>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lastRenderedPageBreak/>
              <w:t>Particulars</w:t>
            </w:r>
          </w:p>
        </w:tc>
        <w:tc>
          <w:tcPr>
            <w:tcW w:w="1283" w:type="dxa"/>
            <w:tcBorders>
              <w:top w:val="single" w:sz="8" w:space="0" w:color="auto"/>
              <w:left w:val="nil"/>
              <w:bottom w:val="single" w:sz="8" w:space="0" w:color="auto"/>
              <w:right w:val="single" w:sz="8" w:space="0" w:color="auto"/>
            </w:tcBorders>
            <w:shd w:val="clear" w:color="auto" w:fill="222B35"/>
            <w:noWrap/>
            <w:vAlign w:val="bottom"/>
            <w:hideMark/>
          </w:tcPr>
          <w:p w14:paraId="3DE73D20" w14:textId="77777777" w:rsidR="00E438F7" w:rsidRPr="00E438F7" w:rsidRDefault="00E438F7" w:rsidP="00E438F7">
            <w:pPr>
              <w:spacing w:before="120" w:after="120" w:line="360" w:lineRule="auto"/>
              <w:jc w:val="right"/>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2023</w:t>
            </w:r>
          </w:p>
        </w:tc>
        <w:tc>
          <w:tcPr>
            <w:tcW w:w="1278" w:type="dxa"/>
            <w:tcBorders>
              <w:top w:val="single" w:sz="8" w:space="0" w:color="auto"/>
              <w:left w:val="nil"/>
              <w:bottom w:val="single" w:sz="8" w:space="0" w:color="auto"/>
              <w:right w:val="single" w:sz="8" w:space="0" w:color="auto"/>
            </w:tcBorders>
            <w:shd w:val="clear" w:color="auto" w:fill="222B35"/>
            <w:noWrap/>
            <w:vAlign w:val="bottom"/>
            <w:hideMark/>
          </w:tcPr>
          <w:p w14:paraId="6B20B80F" w14:textId="77777777" w:rsidR="00E438F7" w:rsidRPr="00E438F7" w:rsidRDefault="00E438F7" w:rsidP="00E438F7">
            <w:pPr>
              <w:spacing w:before="120" w:after="120" w:line="360" w:lineRule="auto"/>
              <w:jc w:val="right"/>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2022</w:t>
            </w:r>
          </w:p>
        </w:tc>
        <w:tc>
          <w:tcPr>
            <w:tcW w:w="1230" w:type="dxa"/>
            <w:tcBorders>
              <w:top w:val="single" w:sz="8" w:space="0" w:color="auto"/>
              <w:left w:val="nil"/>
              <w:bottom w:val="single" w:sz="8" w:space="0" w:color="auto"/>
              <w:right w:val="single" w:sz="8" w:space="0" w:color="auto"/>
            </w:tcBorders>
            <w:shd w:val="clear" w:color="auto" w:fill="222B35"/>
            <w:noWrap/>
            <w:vAlign w:val="bottom"/>
            <w:hideMark/>
          </w:tcPr>
          <w:p w14:paraId="61420392" w14:textId="77777777" w:rsidR="00E438F7" w:rsidRPr="00E438F7" w:rsidRDefault="00E438F7" w:rsidP="00E438F7">
            <w:pPr>
              <w:spacing w:before="120" w:after="120" w:line="360" w:lineRule="auto"/>
              <w:jc w:val="right"/>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2021</w:t>
            </w:r>
          </w:p>
        </w:tc>
        <w:tc>
          <w:tcPr>
            <w:tcW w:w="1038" w:type="dxa"/>
            <w:tcBorders>
              <w:top w:val="nil"/>
              <w:left w:val="nil"/>
              <w:bottom w:val="single" w:sz="8" w:space="0" w:color="auto"/>
              <w:right w:val="single" w:sz="8" w:space="0" w:color="auto"/>
            </w:tcBorders>
            <w:shd w:val="clear" w:color="auto" w:fill="222B35"/>
            <w:noWrap/>
            <w:vAlign w:val="bottom"/>
            <w:hideMark/>
          </w:tcPr>
          <w:p w14:paraId="3C8FD613" w14:textId="77777777" w:rsidR="00E438F7" w:rsidRPr="00E438F7" w:rsidRDefault="00E438F7" w:rsidP="00E438F7">
            <w:pPr>
              <w:spacing w:before="120" w:after="120" w:line="360" w:lineRule="auto"/>
              <w:jc w:val="right"/>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2023</w:t>
            </w:r>
          </w:p>
        </w:tc>
        <w:tc>
          <w:tcPr>
            <w:tcW w:w="993" w:type="dxa"/>
            <w:tcBorders>
              <w:top w:val="nil"/>
              <w:left w:val="nil"/>
              <w:bottom w:val="single" w:sz="8" w:space="0" w:color="auto"/>
              <w:right w:val="single" w:sz="8" w:space="0" w:color="auto"/>
            </w:tcBorders>
            <w:shd w:val="clear" w:color="auto" w:fill="222B35"/>
            <w:noWrap/>
            <w:vAlign w:val="bottom"/>
            <w:hideMark/>
          </w:tcPr>
          <w:p w14:paraId="75146F2A" w14:textId="77777777" w:rsidR="00E438F7" w:rsidRPr="00E438F7" w:rsidRDefault="00E438F7" w:rsidP="00E438F7">
            <w:pPr>
              <w:spacing w:before="120" w:after="120" w:line="360" w:lineRule="auto"/>
              <w:jc w:val="right"/>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2022</w:t>
            </w:r>
          </w:p>
        </w:tc>
        <w:tc>
          <w:tcPr>
            <w:tcW w:w="992" w:type="dxa"/>
            <w:tcBorders>
              <w:top w:val="nil"/>
              <w:left w:val="nil"/>
              <w:bottom w:val="single" w:sz="8" w:space="0" w:color="auto"/>
              <w:right w:val="single" w:sz="8" w:space="0" w:color="auto"/>
            </w:tcBorders>
            <w:shd w:val="clear" w:color="auto" w:fill="222B35"/>
            <w:noWrap/>
            <w:vAlign w:val="bottom"/>
            <w:hideMark/>
          </w:tcPr>
          <w:p w14:paraId="2BF99D6A" w14:textId="77777777" w:rsidR="00E438F7" w:rsidRPr="00E438F7" w:rsidRDefault="00E438F7" w:rsidP="00E438F7">
            <w:pPr>
              <w:spacing w:before="120" w:after="120" w:line="360" w:lineRule="auto"/>
              <w:jc w:val="right"/>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2023</w:t>
            </w:r>
          </w:p>
        </w:tc>
        <w:tc>
          <w:tcPr>
            <w:tcW w:w="992" w:type="dxa"/>
            <w:tcBorders>
              <w:top w:val="nil"/>
              <w:left w:val="nil"/>
              <w:bottom w:val="single" w:sz="8" w:space="0" w:color="auto"/>
              <w:right w:val="single" w:sz="8" w:space="0" w:color="auto"/>
            </w:tcBorders>
            <w:shd w:val="clear" w:color="auto" w:fill="222B35"/>
            <w:noWrap/>
            <w:vAlign w:val="bottom"/>
            <w:hideMark/>
          </w:tcPr>
          <w:p w14:paraId="2218A86D" w14:textId="77777777" w:rsidR="00E438F7" w:rsidRPr="00E438F7" w:rsidRDefault="00E438F7" w:rsidP="00E438F7">
            <w:pPr>
              <w:spacing w:before="120" w:after="120" w:line="360" w:lineRule="auto"/>
              <w:jc w:val="right"/>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2022</w:t>
            </w:r>
          </w:p>
        </w:tc>
      </w:tr>
      <w:tr w:rsidR="00E438F7" w:rsidRPr="00E438F7" w14:paraId="0C8B82F9" w14:textId="77777777">
        <w:trPr>
          <w:divId w:val="396128363"/>
          <w:trHeight w:val="300"/>
          <w:jc w:val="center"/>
        </w:trPr>
        <w:tc>
          <w:tcPr>
            <w:tcW w:w="2684" w:type="dxa"/>
            <w:tcBorders>
              <w:top w:val="nil"/>
              <w:left w:val="single" w:sz="8" w:space="0" w:color="auto"/>
              <w:bottom w:val="nil"/>
              <w:right w:val="single" w:sz="8" w:space="0" w:color="auto"/>
            </w:tcBorders>
            <w:shd w:val="clear" w:color="auto" w:fill="222B35"/>
            <w:noWrap/>
            <w:vAlign w:val="bottom"/>
            <w:hideMark/>
          </w:tcPr>
          <w:p w14:paraId="19358AF6" w14:textId="77777777" w:rsidR="00E438F7" w:rsidRPr="00E438F7" w:rsidRDefault="00E438F7" w:rsidP="00E438F7">
            <w:pPr>
              <w:spacing w:before="120" w:after="120" w:line="360" w:lineRule="auto"/>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Cash and Equivalents</w:t>
            </w:r>
          </w:p>
        </w:tc>
        <w:tc>
          <w:tcPr>
            <w:tcW w:w="1283" w:type="dxa"/>
            <w:noWrap/>
            <w:vAlign w:val="bottom"/>
            <w:hideMark/>
          </w:tcPr>
          <w:p w14:paraId="3620B012"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20,000</w:t>
            </w:r>
          </w:p>
        </w:tc>
        <w:tc>
          <w:tcPr>
            <w:tcW w:w="1278" w:type="dxa"/>
            <w:noWrap/>
            <w:vAlign w:val="bottom"/>
            <w:hideMark/>
          </w:tcPr>
          <w:p w14:paraId="1F0F7EEE"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80,000</w:t>
            </w:r>
          </w:p>
        </w:tc>
        <w:tc>
          <w:tcPr>
            <w:tcW w:w="1230" w:type="dxa"/>
            <w:tcBorders>
              <w:top w:val="nil"/>
              <w:left w:val="nil"/>
              <w:bottom w:val="nil"/>
              <w:right w:val="single" w:sz="8" w:space="0" w:color="auto"/>
            </w:tcBorders>
            <w:noWrap/>
            <w:vAlign w:val="bottom"/>
            <w:hideMark/>
          </w:tcPr>
          <w:p w14:paraId="30852284"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100,000</w:t>
            </w:r>
          </w:p>
        </w:tc>
        <w:tc>
          <w:tcPr>
            <w:tcW w:w="1038" w:type="dxa"/>
            <w:noWrap/>
            <w:vAlign w:val="bottom"/>
            <w:hideMark/>
          </w:tcPr>
          <w:p w14:paraId="7E89E250"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-80,000</w:t>
            </w:r>
          </w:p>
        </w:tc>
        <w:tc>
          <w:tcPr>
            <w:tcW w:w="993" w:type="dxa"/>
            <w:noWrap/>
            <w:vAlign w:val="bottom"/>
            <w:hideMark/>
          </w:tcPr>
          <w:p w14:paraId="0ABC1864"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-20,000</w:t>
            </w:r>
          </w:p>
        </w:tc>
        <w:tc>
          <w:tcPr>
            <w:tcW w:w="992" w:type="dxa"/>
            <w:noWrap/>
            <w:vAlign w:val="bottom"/>
            <w:hideMark/>
          </w:tcPr>
          <w:p w14:paraId="6D007B6F"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-80.00%</w:t>
            </w:r>
          </w:p>
        </w:tc>
        <w:tc>
          <w:tcPr>
            <w:tcW w:w="992" w:type="dxa"/>
            <w:tcBorders>
              <w:top w:val="nil"/>
              <w:left w:val="nil"/>
              <w:bottom w:val="nil"/>
              <w:right w:val="single" w:sz="8" w:space="0" w:color="auto"/>
            </w:tcBorders>
            <w:noWrap/>
            <w:vAlign w:val="bottom"/>
            <w:hideMark/>
          </w:tcPr>
          <w:p w14:paraId="468C39A0"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-20.00%</w:t>
            </w:r>
          </w:p>
        </w:tc>
      </w:tr>
      <w:tr w:rsidR="00E438F7" w:rsidRPr="00E438F7" w14:paraId="0DBFF740" w14:textId="77777777">
        <w:trPr>
          <w:divId w:val="396128363"/>
          <w:trHeight w:val="300"/>
          <w:jc w:val="center"/>
        </w:trPr>
        <w:tc>
          <w:tcPr>
            <w:tcW w:w="2684" w:type="dxa"/>
            <w:tcBorders>
              <w:top w:val="nil"/>
              <w:left w:val="single" w:sz="8" w:space="0" w:color="auto"/>
              <w:bottom w:val="nil"/>
              <w:right w:val="single" w:sz="8" w:space="0" w:color="auto"/>
            </w:tcBorders>
            <w:shd w:val="clear" w:color="auto" w:fill="222B35"/>
            <w:noWrap/>
            <w:vAlign w:val="bottom"/>
            <w:hideMark/>
          </w:tcPr>
          <w:p w14:paraId="5F2C47BF" w14:textId="77777777" w:rsidR="00E438F7" w:rsidRPr="00E438F7" w:rsidRDefault="00E438F7" w:rsidP="00E438F7">
            <w:pPr>
              <w:spacing w:before="120" w:after="120" w:line="360" w:lineRule="auto"/>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Accounts Receivable</w:t>
            </w:r>
          </w:p>
        </w:tc>
        <w:tc>
          <w:tcPr>
            <w:tcW w:w="1283" w:type="dxa"/>
            <w:noWrap/>
            <w:vAlign w:val="bottom"/>
            <w:hideMark/>
          </w:tcPr>
          <w:p w14:paraId="40C95A8E"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30,000</w:t>
            </w:r>
          </w:p>
        </w:tc>
        <w:tc>
          <w:tcPr>
            <w:tcW w:w="1278" w:type="dxa"/>
            <w:noWrap/>
            <w:vAlign w:val="bottom"/>
            <w:hideMark/>
          </w:tcPr>
          <w:p w14:paraId="07A3D035"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40,000</w:t>
            </w:r>
          </w:p>
        </w:tc>
        <w:tc>
          <w:tcPr>
            <w:tcW w:w="1230" w:type="dxa"/>
            <w:tcBorders>
              <w:top w:val="nil"/>
              <w:left w:val="nil"/>
              <w:bottom w:val="nil"/>
              <w:right w:val="single" w:sz="8" w:space="0" w:color="auto"/>
            </w:tcBorders>
            <w:noWrap/>
            <w:vAlign w:val="bottom"/>
            <w:hideMark/>
          </w:tcPr>
          <w:p w14:paraId="327733D5"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50,000</w:t>
            </w:r>
          </w:p>
        </w:tc>
        <w:tc>
          <w:tcPr>
            <w:tcW w:w="1038" w:type="dxa"/>
            <w:noWrap/>
            <w:vAlign w:val="bottom"/>
            <w:hideMark/>
          </w:tcPr>
          <w:p w14:paraId="220C3D29"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-20,000</w:t>
            </w:r>
          </w:p>
        </w:tc>
        <w:tc>
          <w:tcPr>
            <w:tcW w:w="993" w:type="dxa"/>
            <w:noWrap/>
            <w:vAlign w:val="bottom"/>
            <w:hideMark/>
          </w:tcPr>
          <w:p w14:paraId="4A930C03"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-10,000</w:t>
            </w:r>
          </w:p>
        </w:tc>
        <w:tc>
          <w:tcPr>
            <w:tcW w:w="992" w:type="dxa"/>
            <w:noWrap/>
            <w:vAlign w:val="bottom"/>
            <w:hideMark/>
          </w:tcPr>
          <w:p w14:paraId="064098D3"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-40.00%</w:t>
            </w:r>
          </w:p>
        </w:tc>
        <w:tc>
          <w:tcPr>
            <w:tcW w:w="992" w:type="dxa"/>
            <w:tcBorders>
              <w:top w:val="nil"/>
              <w:left w:val="nil"/>
              <w:bottom w:val="nil"/>
              <w:right w:val="single" w:sz="8" w:space="0" w:color="auto"/>
            </w:tcBorders>
            <w:noWrap/>
            <w:vAlign w:val="bottom"/>
            <w:hideMark/>
          </w:tcPr>
          <w:p w14:paraId="77337FEF"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-20.00%</w:t>
            </w:r>
          </w:p>
        </w:tc>
      </w:tr>
      <w:tr w:rsidR="00E438F7" w:rsidRPr="00E438F7" w14:paraId="74351376" w14:textId="77777777">
        <w:trPr>
          <w:divId w:val="396128363"/>
          <w:trHeight w:val="300"/>
          <w:jc w:val="center"/>
        </w:trPr>
        <w:tc>
          <w:tcPr>
            <w:tcW w:w="2684" w:type="dxa"/>
            <w:tcBorders>
              <w:top w:val="nil"/>
              <w:left w:val="single" w:sz="8" w:space="0" w:color="auto"/>
              <w:bottom w:val="nil"/>
              <w:right w:val="single" w:sz="8" w:space="0" w:color="auto"/>
            </w:tcBorders>
            <w:shd w:val="clear" w:color="auto" w:fill="222B35"/>
            <w:noWrap/>
            <w:vAlign w:val="bottom"/>
            <w:hideMark/>
          </w:tcPr>
          <w:p w14:paraId="187D1CA8" w14:textId="77777777" w:rsidR="00E438F7" w:rsidRPr="00E438F7" w:rsidRDefault="00E438F7" w:rsidP="00E438F7">
            <w:pPr>
              <w:spacing w:before="120" w:after="120" w:line="360" w:lineRule="auto"/>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Property and Equipment</w:t>
            </w:r>
          </w:p>
        </w:tc>
        <w:tc>
          <w:tcPr>
            <w:tcW w:w="1283" w:type="dxa"/>
            <w:noWrap/>
            <w:vAlign w:val="bottom"/>
            <w:hideMark/>
          </w:tcPr>
          <w:p w14:paraId="12C11AAC"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1,800,000</w:t>
            </w:r>
          </w:p>
        </w:tc>
        <w:tc>
          <w:tcPr>
            <w:tcW w:w="1278" w:type="dxa"/>
            <w:noWrap/>
            <w:vAlign w:val="bottom"/>
            <w:hideMark/>
          </w:tcPr>
          <w:p w14:paraId="1528F075"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2,000,000</w:t>
            </w:r>
          </w:p>
        </w:tc>
        <w:tc>
          <w:tcPr>
            <w:tcW w:w="1230" w:type="dxa"/>
            <w:tcBorders>
              <w:top w:val="nil"/>
              <w:left w:val="nil"/>
              <w:bottom w:val="nil"/>
              <w:right w:val="single" w:sz="8" w:space="0" w:color="auto"/>
            </w:tcBorders>
            <w:noWrap/>
            <w:vAlign w:val="bottom"/>
            <w:hideMark/>
          </w:tcPr>
          <w:p w14:paraId="5E9D8647"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2,000,000</w:t>
            </w:r>
          </w:p>
        </w:tc>
        <w:tc>
          <w:tcPr>
            <w:tcW w:w="1038" w:type="dxa"/>
            <w:noWrap/>
            <w:vAlign w:val="bottom"/>
            <w:hideMark/>
          </w:tcPr>
          <w:p w14:paraId="5C354076"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-200,000</w:t>
            </w:r>
          </w:p>
        </w:tc>
        <w:tc>
          <w:tcPr>
            <w:tcW w:w="993" w:type="dxa"/>
            <w:noWrap/>
            <w:vAlign w:val="bottom"/>
            <w:hideMark/>
          </w:tcPr>
          <w:p w14:paraId="01F6D393"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0</w:t>
            </w:r>
          </w:p>
        </w:tc>
        <w:tc>
          <w:tcPr>
            <w:tcW w:w="992" w:type="dxa"/>
            <w:noWrap/>
            <w:vAlign w:val="bottom"/>
            <w:hideMark/>
          </w:tcPr>
          <w:p w14:paraId="751F66AC"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-10.00%</w:t>
            </w:r>
          </w:p>
        </w:tc>
        <w:tc>
          <w:tcPr>
            <w:tcW w:w="992" w:type="dxa"/>
            <w:tcBorders>
              <w:top w:val="nil"/>
              <w:left w:val="nil"/>
              <w:bottom w:val="nil"/>
              <w:right w:val="single" w:sz="8" w:space="0" w:color="auto"/>
            </w:tcBorders>
            <w:noWrap/>
            <w:vAlign w:val="bottom"/>
            <w:hideMark/>
          </w:tcPr>
          <w:p w14:paraId="50B2BE23"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0.00%</w:t>
            </w:r>
          </w:p>
        </w:tc>
      </w:tr>
      <w:tr w:rsidR="00E438F7" w:rsidRPr="00E438F7" w14:paraId="0200C38C" w14:textId="77777777">
        <w:trPr>
          <w:divId w:val="396128363"/>
          <w:trHeight w:val="300"/>
          <w:jc w:val="center"/>
        </w:trPr>
        <w:tc>
          <w:tcPr>
            <w:tcW w:w="2684" w:type="dxa"/>
            <w:tcBorders>
              <w:top w:val="nil"/>
              <w:left w:val="single" w:sz="8" w:space="0" w:color="auto"/>
              <w:bottom w:val="nil"/>
              <w:right w:val="single" w:sz="8" w:space="0" w:color="auto"/>
            </w:tcBorders>
            <w:shd w:val="clear" w:color="auto" w:fill="222B35"/>
            <w:noWrap/>
            <w:vAlign w:val="bottom"/>
            <w:hideMark/>
          </w:tcPr>
          <w:p w14:paraId="33389266" w14:textId="77777777" w:rsidR="00E438F7" w:rsidRPr="00E438F7" w:rsidRDefault="00E438F7" w:rsidP="00E438F7">
            <w:pPr>
              <w:spacing w:before="120" w:after="120" w:line="360" w:lineRule="auto"/>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Total Assets</w:t>
            </w:r>
          </w:p>
        </w:tc>
        <w:tc>
          <w:tcPr>
            <w:tcW w:w="1283" w:type="dxa"/>
            <w:noWrap/>
            <w:vAlign w:val="bottom"/>
            <w:hideMark/>
          </w:tcPr>
          <w:p w14:paraId="1C55288D"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1,850,000</w:t>
            </w:r>
          </w:p>
        </w:tc>
        <w:tc>
          <w:tcPr>
            <w:tcW w:w="1278" w:type="dxa"/>
            <w:noWrap/>
            <w:vAlign w:val="bottom"/>
            <w:hideMark/>
          </w:tcPr>
          <w:p w14:paraId="0A01665E"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2,120,000</w:t>
            </w:r>
          </w:p>
        </w:tc>
        <w:tc>
          <w:tcPr>
            <w:tcW w:w="1230" w:type="dxa"/>
            <w:tcBorders>
              <w:top w:val="nil"/>
              <w:left w:val="nil"/>
              <w:bottom w:val="nil"/>
              <w:right w:val="single" w:sz="8" w:space="0" w:color="auto"/>
            </w:tcBorders>
            <w:noWrap/>
            <w:vAlign w:val="bottom"/>
            <w:hideMark/>
          </w:tcPr>
          <w:p w14:paraId="72C0E003"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2,150,000</w:t>
            </w:r>
          </w:p>
        </w:tc>
        <w:tc>
          <w:tcPr>
            <w:tcW w:w="1038" w:type="dxa"/>
            <w:noWrap/>
            <w:vAlign w:val="bottom"/>
            <w:hideMark/>
          </w:tcPr>
          <w:p w14:paraId="6C5ED84F"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-300,000</w:t>
            </w:r>
          </w:p>
        </w:tc>
        <w:tc>
          <w:tcPr>
            <w:tcW w:w="993" w:type="dxa"/>
            <w:noWrap/>
            <w:vAlign w:val="bottom"/>
            <w:hideMark/>
          </w:tcPr>
          <w:p w14:paraId="0D9D4D42"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-30,000</w:t>
            </w:r>
          </w:p>
        </w:tc>
        <w:tc>
          <w:tcPr>
            <w:tcW w:w="992" w:type="dxa"/>
            <w:noWrap/>
            <w:vAlign w:val="bottom"/>
            <w:hideMark/>
          </w:tcPr>
          <w:p w14:paraId="66A98882"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-13.95%</w:t>
            </w:r>
          </w:p>
        </w:tc>
        <w:tc>
          <w:tcPr>
            <w:tcW w:w="992" w:type="dxa"/>
            <w:tcBorders>
              <w:top w:val="nil"/>
              <w:left w:val="nil"/>
              <w:bottom w:val="nil"/>
              <w:right w:val="single" w:sz="8" w:space="0" w:color="auto"/>
            </w:tcBorders>
            <w:noWrap/>
            <w:vAlign w:val="bottom"/>
            <w:hideMark/>
          </w:tcPr>
          <w:p w14:paraId="10E6D186"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-1.40%</w:t>
            </w:r>
          </w:p>
        </w:tc>
      </w:tr>
      <w:tr w:rsidR="00E438F7" w:rsidRPr="00E438F7" w14:paraId="40B2D229" w14:textId="77777777">
        <w:trPr>
          <w:divId w:val="396128363"/>
          <w:trHeight w:val="300"/>
          <w:jc w:val="center"/>
        </w:trPr>
        <w:tc>
          <w:tcPr>
            <w:tcW w:w="2684" w:type="dxa"/>
            <w:tcBorders>
              <w:top w:val="nil"/>
              <w:left w:val="single" w:sz="8" w:space="0" w:color="auto"/>
              <w:bottom w:val="nil"/>
              <w:right w:val="single" w:sz="8" w:space="0" w:color="auto"/>
            </w:tcBorders>
            <w:shd w:val="clear" w:color="auto" w:fill="222B35"/>
            <w:noWrap/>
            <w:vAlign w:val="bottom"/>
            <w:hideMark/>
          </w:tcPr>
          <w:p w14:paraId="725A785F" w14:textId="77777777" w:rsidR="00E438F7" w:rsidRPr="00E438F7" w:rsidRDefault="00E438F7" w:rsidP="00E438F7">
            <w:pPr>
              <w:spacing w:before="120" w:after="120" w:line="360" w:lineRule="auto"/>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Accounts Payable</w:t>
            </w:r>
          </w:p>
        </w:tc>
        <w:tc>
          <w:tcPr>
            <w:tcW w:w="1283" w:type="dxa"/>
            <w:noWrap/>
            <w:vAlign w:val="bottom"/>
            <w:hideMark/>
          </w:tcPr>
          <w:p w14:paraId="13C8BC4B"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50,000</w:t>
            </w:r>
          </w:p>
        </w:tc>
        <w:tc>
          <w:tcPr>
            <w:tcW w:w="1278" w:type="dxa"/>
            <w:noWrap/>
            <w:vAlign w:val="bottom"/>
            <w:hideMark/>
          </w:tcPr>
          <w:p w14:paraId="16EC4351"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40,000</w:t>
            </w:r>
          </w:p>
        </w:tc>
        <w:tc>
          <w:tcPr>
            <w:tcW w:w="1230" w:type="dxa"/>
            <w:tcBorders>
              <w:top w:val="nil"/>
              <w:left w:val="nil"/>
              <w:bottom w:val="nil"/>
              <w:right w:val="single" w:sz="8" w:space="0" w:color="auto"/>
            </w:tcBorders>
            <w:noWrap/>
            <w:vAlign w:val="bottom"/>
            <w:hideMark/>
          </w:tcPr>
          <w:p w14:paraId="00DF4B81"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30,000</w:t>
            </w:r>
          </w:p>
        </w:tc>
        <w:tc>
          <w:tcPr>
            <w:tcW w:w="1038" w:type="dxa"/>
            <w:noWrap/>
            <w:vAlign w:val="bottom"/>
            <w:hideMark/>
          </w:tcPr>
          <w:p w14:paraId="11603582"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20,000</w:t>
            </w:r>
          </w:p>
        </w:tc>
        <w:tc>
          <w:tcPr>
            <w:tcW w:w="993" w:type="dxa"/>
            <w:noWrap/>
            <w:vAlign w:val="bottom"/>
            <w:hideMark/>
          </w:tcPr>
          <w:p w14:paraId="32F1850F"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10,000</w:t>
            </w:r>
          </w:p>
        </w:tc>
        <w:tc>
          <w:tcPr>
            <w:tcW w:w="992" w:type="dxa"/>
            <w:noWrap/>
            <w:vAlign w:val="bottom"/>
            <w:hideMark/>
          </w:tcPr>
          <w:p w14:paraId="768A64B4"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66.67%</w:t>
            </w:r>
          </w:p>
        </w:tc>
        <w:tc>
          <w:tcPr>
            <w:tcW w:w="992" w:type="dxa"/>
            <w:tcBorders>
              <w:top w:val="nil"/>
              <w:left w:val="nil"/>
              <w:bottom w:val="nil"/>
              <w:right w:val="single" w:sz="8" w:space="0" w:color="auto"/>
            </w:tcBorders>
            <w:noWrap/>
            <w:vAlign w:val="bottom"/>
            <w:hideMark/>
          </w:tcPr>
          <w:p w14:paraId="36464431"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33.33%</w:t>
            </w:r>
          </w:p>
        </w:tc>
      </w:tr>
      <w:tr w:rsidR="00E438F7" w:rsidRPr="00E438F7" w14:paraId="36430184" w14:textId="77777777">
        <w:trPr>
          <w:divId w:val="396128363"/>
          <w:trHeight w:val="300"/>
          <w:jc w:val="center"/>
        </w:trPr>
        <w:tc>
          <w:tcPr>
            <w:tcW w:w="2684" w:type="dxa"/>
            <w:tcBorders>
              <w:top w:val="nil"/>
              <w:left w:val="single" w:sz="8" w:space="0" w:color="auto"/>
              <w:bottom w:val="nil"/>
              <w:right w:val="single" w:sz="8" w:space="0" w:color="auto"/>
            </w:tcBorders>
            <w:shd w:val="clear" w:color="auto" w:fill="222B35"/>
            <w:noWrap/>
            <w:vAlign w:val="bottom"/>
            <w:hideMark/>
          </w:tcPr>
          <w:p w14:paraId="273537E0" w14:textId="77777777" w:rsidR="00E438F7" w:rsidRPr="00E438F7" w:rsidRDefault="00E438F7" w:rsidP="00E438F7">
            <w:pPr>
              <w:spacing w:before="120" w:after="120" w:line="360" w:lineRule="auto"/>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Long-term Debt</w:t>
            </w:r>
          </w:p>
        </w:tc>
        <w:tc>
          <w:tcPr>
            <w:tcW w:w="1283" w:type="dxa"/>
            <w:noWrap/>
            <w:vAlign w:val="bottom"/>
            <w:hideMark/>
          </w:tcPr>
          <w:p w14:paraId="3FAD6311"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1,500,000</w:t>
            </w:r>
          </w:p>
        </w:tc>
        <w:tc>
          <w:tcPr>
            <w:tcW w:w="1278" w:type="dxa"/>
            <w:noWrap/>
            <w:vAlign w:val="bottom"/>
            <w:hideMark/>
          </w:tcPr>
          <w:p w14:paraId="79BE6315"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 xml:space="preserve"> 1,500,000</w:t>
            </w:r>
          </w:p>
        </w:tc>
        <w:tc>
          <w:tcPr>
            <w:tcW w:w="1230" w:type="dxa"/>
            <w:tcBorders>
              <w:top w:val="nil"/>
              <w:left w:val="nil"/>
              <w:bottom w:val="nil"/>
              <w:right w:val="single" w:sz="8" w:space="0" w:color="auto"/>
            </w:tcBorders>
            <w:noWrap/>
            <w:vAlign w:val="bottom"/>
            <w:hideMark/>
          </w:tcPr>
          <w:p w14:paraId="17EC09A7"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1,500,000</w:t>
            </w:r>
          </w:p>
        </w:tc>
        <w:tc>
          <w:tcPr>
            <w:tcW w:w="1038" w:type="dxa"/>
            <w:noWrap/>
            <w:vAlign w:val="bottom"/>
            <w:hideMark/>
          </w:tcPr>
          <w:p w14:paraId="553B0A3B"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0</w:t>
            </w:r>
          </w:p>
        </w:tc>
        <w:tc>
          <w:tcPr>
            <w:tcW w:w="993" w:type="dxa"/>
            <w:noWrap/>
            <w:vAlign w:val="bottom"/>
            <w:hideMark/>
          </w:tcPr>
          <w:p w14:paraId="55046CF9"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0</w:t>
            </w:r>
          </w:p>
        </w:tc>
        <w:tc>
          <w:tcPr>
            <w:tcW w:w="992" w:type="dxa"/>
            <w:noWrap/>
            <w:vAlign w:val="bottom"/>
            <w:hideMark/>
          </w:tcPr>
          <w:p w14:paraId="25D569BF"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0.00%</w:t>
            </w:r>
          </w:p>
        </w:tc>
        <w:tc>
          <w:tcPr>
            <w:tcW w:w="992" w:type="dxa"/>
            <w:tcBorders>
              <w:top w:val="nil"/>
              <w:left w:val="nil"/>
              <w:bottom w:val="nil"/>
              <w:right w:val="single" w:sz="8" w:space="0" w:color="auto"/>
            </w:tcBorders>
            <w:noWrap/>
            <w:vAlign w:val="bottom"/>
            <w:hideMark/>
          </w:tcPr>
          <w:p w14:paraId="07467D56"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0.00%</w:t>
            </w:r>
          </w:p>
        </w:tc>
      </w:tr>
      <w:tr w:rsidR="00E438F7" w:rsidRPr="00E438F7" w14:paraId="16D1542C" w14:textId="77777777">
        <w:trPr>
          <w:divId w:val="396128363"/>
          <w:trHeight w:val="300"/>
          <w:jc w:val="center"/>
        </w:trPr>
        <w:tc>
          <w:tcPr>
            <w:tcW w:w="2684" w:type="dxa"/>
            <w:tcBorders>
              <w:top w:val="nil"/>
              <w:left w:val="single" w:sz="8" w:space="0" w:color="auto"/>
              <w:bottom w:val="nil"/>
              <w:right w:val="single" w:sz="8" w:space="0" w:color="auto"/>
            </w:tcBorders>
            <w:shd w:val="clear" w:color="auto" w:fill="222B35"/>
            <w:noWrap/>
            <w:vAlign w:val="bottom"/>
            <w:hideMark/>
          </w:tcPr>
          <w:p w14:paraId="439E0469" w14:textId="77777777" w:rsidR="00E438F7" w:rsidRPr="00E438F7" w:rsidRDefault="00E438F7" w:rsidP="00E438F7">
            <w:pPr>
              <w:spacing w:before="120" w:after="120" w:line="360" w:lineRule="auto"/>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Total Liabilities</w:t>
            </w:r>
          </w:p>
        </w:tc>
        <w:tc>
          <w:tcPr>
            <w:tcW w:w="1283" w:type="dxa"/>
            <w:noWrap/>
            <w:vAlign w:val="bottom"/>
            <w:hideMark/>
          </w:tcPr>
          <w:p w14:paraId="201C19B9"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1,550,000</w:t>
            </w:r>
          </w:p>
        </w:tc>
        <w:tc>
          <w:tcPr>
            <w:tcW w:w="1278" w:type="dxa"/>
            <w:noWrap/>
            <w:vAlign w:val="bottom"/>
            <w:hideMark/>
          </w:tcPr>
          <w:p w14:paraId="71137F0F"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1,540,000</w:t>
            </w:r>
          </w:p>
        </w:tc>
        <w:tc>
          <w:tcPr>
            <w:tcW w:w="1230" w:type="dxa"/>
            <w:tcBorders>
              <w:top w:val="nil"/>
              <w:left w:val="nil"/>
              <w:bottom w:val="nil"/>
              <w:right w:val="single" w:sz="8" w:space="0" w:color="auto"/>
            </w:tcBorders>
            <w:noWrap/>
            <w:vAlign w:val="bottom"/>
            <w:hideMark/>
          </w:tcPr>
          <w:p w14:paraId="13FE4CC7"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1,530,000</w:t>
            </w:r>
          </w:p>
        </w:tc>
        <w:tc>
          <w:tcPr>
            <w:tcW w:w="1038" w:type="dxa"/>
            <w:noWrap/>
            <w:vAlign w:val="bottom"/>
            <w:hideMark/>
          </w:tcPr>
          <w:p w14:paraId="1DD4182E"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20,000</w:t>
            </w:r>
          </w:p>
        </w:tc>
        <w:tc>
          <w:tcPr>
            <w:tcW w:w="993" w:type="dxa"/>
            <w:noWrap/>
            <w:vAlign w:val="bottom"/>
            <w:hideMark/>
          </w:tcPr>
          <w:p w14:paraId="6CB064CA"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10,000</w:t>
            </w:r>
          </w:p>
        </w:tc>
        <w:tc>
          <w:tcPr>
            <w:tcW w:w="992" w:type="dxa"/>
            <w:noWrap/>
            <w:vAlign w:val="bottom"/>
            <w:hideMark/>
          </w:tcPr>
          <w:p w14:paraId="46178F8B"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1.31%</w:t>
            </w:r>
          </w:p>
        </w:tc>
        <w:tc>
          <w:tcPr>
            <w:tcW w:w="992" w:type="dxa"/>
            <w:tcBorders>
              <w:top w:val="nil"/>
              <w:left w:val="nil"/>
              <w:bottom w:val="nil"/>
              <w:right w:val="single" w:sz="8" w:space="0" w:color="auto"/>
            </w:tcBorders>
            <w:noWrap/>
            <w:vAlign w:val="bottom"/>
            <w:hideMark/>
          </w:tcPr>
          <w:p w14:paraId="10EAB292"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0.65%</w:t>
            </w:r>
          </w:p>
        </w:tc>
      </w:tr>
      <w:tr w:rsidR="00E438F7" w:rsidRPr="00E438F7" w14:paraId="499C5381" w14:textId="77777777">
        <w:trPr>
          <w:divId w:val="396128363"/>
          <w:trHeight w:val="315"/>
          <w:jc w:val="center"/>
        </w:trPr>
        <w:tc>
          <w:tcPr>
            <w:tcW w:w="2684" w:type="dxa"/>
            <w:tcBorders>
              <w:top w:val="nil"/>
              <w:left w:val="single" w:sz="8" w:space="0" w:color="auto"/>
              <w:bottom w:val="single" w:sz="8" w:space="0" w:color="auto"/>
              <w:right w:val="single" w:sz="8" w:space="0" w:color="auto"/>
            </w:tcBorders>
            <w:shd w:val="clear" w:color="auto" w:fill="222B35"/>
            <w:noWrap/>
            <w:vAlign w:val="bottom"/>
            <w:hideMark/>
          </w:tcPr>
          <w:p w14:paraId="7796DA3F" w14:textId="77777777" w:rsidR="00E438F7" w:rsidRPr="00E438F7" w:rsidRDefault="00E438F7" w:rsidP="00E438F7">
            <w:pPr>
              <w:spacing w:before="120" w:after="120" w:line="360" w:lineRule="auto"/>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Equity</w:t>
            </w:r>
          </w:p>
        </w:tc>
        <w:tc>
          <w:tcPr>
            <w:tcW w:w="1283" w:type="dxa"/>
            <w:tcBorders>
              <w:top w:val="nil"/>
              <w:left w:val="nil"/>
              <w:bottom w:val="single" w:sz="8" w:space="0" w:color="auto"/>
              <w:right w:val="nil"/>
            </w:tcBorders>
            <w:noWrap/>
            <w:vAlign w:val="bottom"/>
            <w:hideMark/>
          </w:tcPr>
          <w:p w14:paraId="713FA0EA"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300,000</w:t>
            </w:r>
          </w:p>
        </w:tc>
        <w:tc>
          <w:tcPr>
            <w:tcW w:w="1278" w:type="dxa"/>
            <w:tcBorders>
              <w:top w:val="nil"/>
              <w:left w:val="nil"/>
              <w:bottom w:val="single" w:sz="8" w:space="0" w:color="auto"/>
              <w:right w:val="nil"/>
            </w:tcBorders>
            <w:noWrap/>
            <w:vAlign w:val="bottom"/>
            <w:hideMark/>
          </w:tcPr>
          <w:p w14:paraId="310D1EC7"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580,000</w:t>
            </w:r>
          </w:p>
        </w:tc>
        <w:tc>
          <w:tcPr>
            <w:tcW w:w="1230" w:type="dxa"/>
            <w:tcBorders>
              <w:top w:val="nil"/>
              <w:left w:val="nil"/>
              <w:bottom w:val="single" w:sz="8" w:space="0" w:color="auto"/>
              <w:right w:val="single" w:sz="8" w:space="0" w:color="auto"/>
            </w:tcBorders>
            <w:noWrap/>
            <w:vAlign w:val="bottom"/>
            <w:hideMark/>
          </w:tcPr>
          <w:p w14:paraId="5F62962D"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620,000</w:t>
            </w:r>
          </w:p>
        </w:tc>
        <w:tc>
          <w:tcPr>
            <w:tcW w:w="1038" w:type="dxa"/>
            <w:tcBorders>
              <w:top w:val="nil"/>
              <w:left w:val="nil"/>
              <w:bottom w:val="single" w:sz="8" w:space="0" w:color="auto"/>
              <w:right w:val="nil"/>
            </w:tcBorders>
            <w:noWrap/>
            <w:vAlign w:val="bottom"/>
            <w:hideMark/>
          </w:tcPr>
          <w:p w14:paraId="64282D0A"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-320,000</w:t>
            </w:r>
          </w:p>
        </w:tc>
        <w:tc>
          <w:tcPr>
            <w:tcW w:w="993" w:type="dxa"/>
            <w:tcBorders>
              <w:top w:val="nil"/>
              <w:left w:val="nil"/>
              <w:bottom w:val="single" w:sz="8" w:space="0" w:color="auto"/>
              <w:right w:val="nil"/>
            </w:tcBorders>
            <w:noWrap/>
            <w:vAlign w:val="bottom"/>
            <w:hideMark/>
          </w:tcPr>
          <w:p w14:paraId="7454B9A9"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-40,000</w:t>
            </w:r>
          </w:p>
        </w:tc>
        <w:tc>
          <w:tcPr>
            <w:tcW w:w="992" w:type="dxa"/>
            <w:tcBorders>
              <w:top w:val="nil"/>
              <w:left w:val="nil"/>
              <w:bottom w:val="single" w:sz="8" w:space="0" w:color="auto"/>
              <w:right w:val="nil"/>
            </w:tcBorders>
            <w:noWrap/>
            <w:vAlign w:val="bottom"/>
            <w:hideMark/>
          </w:tcPr>
          <w:p w14:paraId="71639136"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-51.61%</w:t>
            </w:r>
          </w:p>
        </w:tc>
        <w:tc>
          <w:tcPr>
            <w:tcW w:w="992" w:type="dxa"/>
            <w:tcBorders>
              <w:top w:val="nil"/>
              <w:left w:val="nil"/>
              <w:bottom w:val="single" w:sz="8" w:space="0" w:color="auto"/>
              <w:right w:val="single" w:sz="8" w:space="0" w:color="auto"/>
            </w:tcBorders>
            <w:noWrap/>
            <w:vAlign w:val="bottom"/>
            <w:hideMark/>
          </w:tcPr>
          <w:p w14:paraId="13C6B862"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-6.45%</w:t>
            </w:r>
          </w:p>
        </w:tc>
      </w:tr>
    </w:tbl>
    <w:p w14:paraId="0D3C55C8" w14:textId="77777777" w:rsidR="00E438F7" w:rsidRPr="00E438F7" w:rsidRDefault="00E438F7" w:rsidP="00E438F7">
      <w:pPr>
        <w:spacing w:before="120" w:after="120" w:line="360" w:lineRule="auto"/>
        <w:jc w:val="center"/>
        <w:divId w:val="396128363"/>
        <w:rPr>
          <w:rFonts w:ascii="Arial" w:eastAsiaTheme="minorHAnsi" w:hAnsi="Arial" w:cs="Arial"/>
          <w:sz w:val="22"/>
          <w:szCs w:val="22"/>
          <w:lang w:val="en-US" w:eastAsia="en-US"/>
        </w:rPr>
      </w:pPr>
    </w:p>
    <w:p w14:paraId="5EB38BEE" w14:textId="77777777" w:rsidR="00E438F7" w:rsidRPr="00E438F7" w:rsidRDefault="00E438F7" w:rsidP="00E438F7">
      <w:pPr>
        <w:keepNext/>
        <w:keepLines/>
        <w:spacing w:before="120" w:after="120" w:line="360" w:lineRule="auto"/>
        <w:ind w:firstLine="284"/>
        <w:jc w:val="both"/>
        <w:outlineLvl w:val="2"/>
        <w:divId w:val="396128363"/>
        <w:rPr>
          <w:rFonts w:ascii="Arial" w:eastAsiaTheme="majorEastAsia" w:hAnsi="Arial" w:cs="Arial"/>
          <w:i/>
          <w:lang w:val="en-US" w:eastAsia="en-US"/>
        </w:rPr>
      </w:pPr>
      <w:bookmarkStart w:id="4" w:name="_Toc159515789"/>
      <w:r w:rsidRPr="00E438F7">
        <w:rPr>
          <w:rFonts w:ascii="Arial" w:eastAsiaTheme="majorEastAsia" w:hAnsi="Arial" w:cs="Arial"/>
          <w:i/>
          <w:lang w:val="en-US" w:eastAsia="en-US"/>
        </w:rPr>
        <w:t>Accounts Receivable and Asset Management</w:t>
      </w:r>
      <w:bookmarkEnd w:id="4"/>
    </w:p>
    <w:p w14:paraId="290C2518" w14:textId="77777777" w:rsidR="00E438F7" w:rsidRPr="00E438F7" w:rsidRDefault="00E438F7" w:rsidP="00E438F7">
      <w:pPr>
        <w:spacing w:before="120" w:after="120" w:line="360" w:lineRule="auto"/>
        <w:ind w:firstLine="284"/>
        <w:jc w:val="both"/>
        <w:divId w:val="396128363"/>
        <w:rPr>
          <w:rFonts w:ascii="Arial" w:eastAsiaTheme="minorHAnsi" w:hAnsi="Arial" w:cs="Arial"/>
          <w:sz w:val="22"/>
          <w:szCs w:val="22"/>
          <w:lang w:val="en-US" w:eastAsia="en-US"/>
        </w:rPr>
      </w:pPr>
      <w:r w:rsidRPr="00E438F7">
        <w:rPr>
          <w:rFonts w:ascii="Arial" w:eastAsiaTheme="minorHAnsi" w:hAnsi="Arial" w:cs="Arial"/>
          <w:sz w:val="22"/>
          <w:szCs w:val="22"/>
          <w:lang w:eastAsia="en-US"/>
        </w:rPr>
        <w:t xml:space="preserve">After reaching $50,000 in 2021, the lodge's accounts receivable dropped to $30,000 in 2023, a decline of 40%. New and improved collection processes or more stringent credit requirements can be to blame for this drop. But when seen in the bigger picture of falling revenue, it probably means fewer sales. From $2,000,000 in 2021 and 2022 to $1,800,000 in 2023, the value of property and equipment fell by 10%. Reasons for this decline might include selling assets, letting them depreciate, or not investing enough in property upkeep and </w:t>
      </w:r>
      <w:proofErr w:type="spellStart"/>
      <w:r w:rsidRPr="00E438F7">
        <w:rPr>
          <w:rFonts w:ascii="Arial" w:eastAsiaTheme="minorHAnsi" w:hAnsi="Arial" w:cs="Arial"/>
          <w:sz w:val="22"/>
          <w:szCs w:val="22"/>
          <w:lang w:eastAsia="en-US"/>
        </w:rPr>
        <w:t>modernization</w:t>
      </w:r>
      <w:proofErr w:type="spellEnd"/>
      <w:r w:rsidRPr="00E438F7">
        <w:rPr>
          <w:rFonts w:ascii="Arial" w:eastAsiaTheme="minorHAnsi" w:hAnsi="Arial" w:cs="Arial"/>
          <w:sz w:val="22"/>
          <w:szCs w:val="22"/>
          <w:lang w:eastAsia="en-US"/>
        </w:rPr>
        <w:t xml:space="preserve"> (</w:t>
      </w:r>
      <w:proofErr w:type="spellStart"/>
      <w:r w:rsidRPr="00E438F7">
        <w:rPr>
          <w:rFonts w:ascii="Arial" w:eastAsiaTheme="minorHAnsi" w:hAnsi="Arial" w:cs="Arial"/>
          <w:sz w:val="22"/>
          <w:szCs w:val="22"/>
          <w:shd w:val="clear" w:color="auto" w:fill="FFFFFF"/>
          <w:lang w:eastAsia="en-US"/>
        </w:rPr>
        <w:t>Kharatyan</w:t>
      </w:r>
      <w:proofErr w:type="spellEnd"/>
      <w:r w:rsidRPr="00E438F7">
        <w:rPr>
          <w:rFonts w:ascii="Arial" w:eastAsiaTheme="minorHAnsi" w:hAnsi="Arial" w:cs="Arial"/>
          <w:sz w:val="22"/>
          <w:szCs w:val="22"/>
          <w:shd w:val="clear" w:color="auto" w:fill="FFFFFF"/>
          <w:lang w:eastAsia="en-US"/>
        </w:rPr>
        <w:t>, 2017</w:t>
      </w:r>
      <w:r w:rsidRPr="00E438F7">
        <w:rPr>
          <w:rFonts w:ascii="Arial" w:eastAsiaTheme="minorHAnsi" w:hAnsi="Arial" w:cs="Arial"/>
          <w:sz w:val="22"/>
          <w:szCs w:val="22"/>
          <w:lang w:eastAsia="en-US"/>
        </w:rPr>
        <w:t>). As amenities age, these variables could have an impact on how satisfied visitors are.</w:t>
      </w:r>
    </w:p>
    <w:p w14:paraId="51F7D851" w14:textId="77777777" w:rsidR="00E438F7" w:rsidRPr="00E438F7" w:rsidRDefault="00E438F7" w:rsidP="00E438F7">
      <w:pPr>
        <w:keepNext/>
        <w:keepLines/>
        <w:spacing w:before="120" w:after="120" w:line="360" w:lineRule="auto"/>
        <w:ind w:firstLine="284"/>
        <w:jc w:val="both"/>
        <w:outlineLvl w:val="2"/>
        <w:divId w:val="396128363"/>
        <w:rPr>
          <w:rFonts w:ascii="Arial" w:eastAsiaTheme="majorEastAsia" w:hAnsi="Arial" w:cs="Arial"/>
          <w:i/>
          <w:lang w:val="en-US" w:eastAsia="en-US"/>
        </w:rPr>
      </w:pPr>
      <w:bookmarkStart w:id="5" w:name="_Toc159515790"/>
      <w:r w:rsidRPr="00E438F7">
        <w:rPr>
          <w:rFonts w:ascii="Arial" w:eastAsiaTheme="majorEastAsia" w:hAnsi="Arial" w:cs="Arial"/>
          <w:i/>
          <w:lang w:val="en-US" w:eastAsia="en-US"/>
        </w:rPr>
        <w:t>Liabilities and Equity Concerns</w:t>
      </w:r>
      <w:bookmarkEnd w:id="5"/>
    </w:p>
    <w:p w14:paraId="2C328A05" w14:textId="77777777" w:rsidR="00E438F7" w:rsidRPr="00E438F7" w:rsidRDefault="00E438F7" w:rsidP="00E438F7">
      <w:pPr>
        <w:spacing w:before="120" w:after="120" w:line="360" w:lineRule="auto"/>
        <w:ind w:firstLine="284"/>
        <w:jc w:val="both"/>
        <w:divId w:val="396128363"/>
        <w:rPr>
          <w:rFonts w:ascii="Arial" w:eastAsiaTheme="minorHAnsi" w:hAnsi="Arial" w:cs="Arial"/>
          <w:sz w:val="22"/>
          <w:szCs w:val="22"/>
          <w:lang w:val="en-US" w:eastAsia="en-US"/>
        </w:rPr>
      </w:pPr>
      <w:r w:rsidRPr="00E438F7">
        <w:rPr>
          <w:rFonts w:ascii="Arial" w:eastAsiaTheme="minorHAnsi" w:hAnsi="Arial" w:cs="Arial"/>
          <w:sz w:val="22"/>
          <w:szCs w:val="22"/>
          <w:lang w:eastAsia="en-US"/>
        </w:rPr>
        <w:t xml:space="preserve">Accounts payable rose 66.67% from $30,000 in 2021 to $50,000 in 2023, suggesting cash flow concerns delayed supplier payments. The long-term debt stayed at $1,500,000 for three years, indicating no more borrowing or loan repayment. The lodge's declining assets, cash flow, and debt level raise concerns about its long-term financial health. Equity fell 51.61% from </w:t>
      </w:r>
      <w:r w:rsidRPr="00E438F7">
        <w:rPr>
          <w:rFonts w:ascii="Arial" w:eastAsiaTheme="minorHAnsi" w:hAnsi="Arial" w:cs="Arial"/>
          <w:sz w:val="22"/>
          <w:szCs w:val="22"/>
          <w:lang w:eastAsia="en-US"/>
        </w:rPr>
        <w:lastRenderedPageBreak/>
        <w:t>$620,000 in 2021 to $300,000 in 2023. Equity declined dramatically due to fewer retained earnings, indicating the firm was unprofitable (</w:t>
      </w:r>
      <w:proofErr w:type="spellStart"/>
      <w:r w:rsidRPr="00E438F7">
        <w:rPr>
          <w:rFonts w:ascii="Arial" w:eastAsiaTheme="minorHAnsi" w:hAnsi="Arial" w:cs="Arial"/>
          <w:sz w:val="22"/>
          <w:szCs w:val="22"/>
          <w:shd w:val="clear" w:color="auto" w:fill="FFFFFF"/>
          <w:lang w:eastAsia="en-US"/>
        </w:rPr>
        <w:t>Sadi’ah</w:t>
      </w:r>
      <w:proofErr w:type="spellEnd"/>
      <w:r w:rsidRPr="00E438F7">
        <w:rPr>
          <w:rFonts w:ascii="Arial" w:eastAsiaTheme="minorHAnsi" w:hAnsi="Arial" w:cs="Arial"/>
          <w:sz w:val="22"/>
          <w:szCs w:val="22"/>
          <w:shd w:val="clear" w:color="auto" w:fill="FFFFFF"/>
          <w:lang w:eastAsia="en-US"/>
        </w:rPr>
        <w:t>, 2018</w:t>
      </w:r>
      <w:r w:rsidRPr="00E438F7">
        <w:rPr>
          <w:rFonts w:ascii="Arial" w:eastAsiaTheme="minorHAnsi" w:hAnsi="Arial" w:cs="Arial"/>
          <w:sz w:val="22"/>
          <w:szCs w:val="22"/>
          <w:lang w:eastAsia="en-US"/>
        </w:rPr>
        <w:t>). A drop in equity indicates the firm is running out of money and may have problems getting investors or funding.</w:t>
      </w:r>
    </w:p>
    <w:p w14:paraId="29E5BF8E" w14:textId="77777777" w:rsidR="00E438F7" w:rsidRPr="00E438F7" w:rsidRDefault="00E438F7" w:rsidP="00E438F7">
      <w:pPr>
        <w:keepNext/>
        <w:keepLines/>
        <w:spacing w:before="120" w:after="120" w:line="360" w:lineRule="auto"/>
        <w:ind w:firstLine="284"/>
        <w:jc w:val="both"/>
        <w:outlineLvl w:val="1"/>
        <w:divId w:val="396128363"/>
        <w:rPr>
          <w:rFonts w:ascii="Arial" w:eastAsiaTheme="majorEastAsia" w:hAnsi="Arial" w:cs="Arial"/>
          <w:b/>
          <w:i/>
          <w:szCs w:val="26"/>
          <w:lang w:val="en-US" w:eastAsia="en-US"/>
        </w:rPr>
      </w:pPr>
      <w:bookmarkStart w:id="6" w:name="_Toc159515791"/>
      <w:r w:rsidRPr="00E438F7">
        <w:rPr>
          <w:rFonts w:ascii="Arial" w:eastAsiaTheme="majorEastAsia" w:hAnsi="Arial" w:cs="Arial"/>
          <w:b/>
          <w:i/>
          <w:szCs w:val="26"/>
          <w:lang w:val="en-US" w:eastAsia="en-US"/>
        </w:rPr>
        <w:t>Horizontal Analysis of Income Statement</w:t>
      </w:r>
      <w:bookmarkEnd w:id="6"/>
    </w:p>
    <w:p w14:paraId="6DF266FA" w14:textId="77777777" w:rsidR="00E438F7" w:rsidRPr="00E438F7" w:rsidRDefault="00E438F7" w:rsidP="00E438F7">
      <w:pPr>
        <w:spacing w:before="120" w:after="120" w:line="360" w:lineRule="auto"/>
        <w:ind w:firstLine="284"/>
        <w:jc w:val="both"/>
        <w:divId w:val="396128363"/>
        <w:rPr>
          <w:rFonts w:ascii="Arial" w:eastAsiaTheme="minorHAnsi" w:hAnsi="Arial" w:cs="Arial"/>
          <w:sz w:val="22"/>
          <w:szCs w:val="22"/>
          <w:lang w:val="en-US" w:eastAsia="en-US"/>
        </w:rPr>
      </w:pPr>
      <w:r w:rsidRPr="00E438F7">
        <w:rPr>
          <w:rFonts w:ascii="Arial" w:eastAsiaTheme="minorHAnsi" w:hAnsi="Arial" w:cs="Arial"/>
          <w:sz w:val="22"/>
          <w:szCs w:val="22"/>
          <w:lang w:eastAsia="en-US"/>
        </w:rPr>
        <w:t>Financial health and operating efficiency of The Seacrest Lodge may be understood by reviewing the 2021–2023 revenue statement. Horizontal analysis tracks revenue, operational expenses, and net income to assess firm performance and efficiency (</w:t>
      </w:r>
      <w:r w:rsidRPr="00E438F7">
        <w:rPr>
          <w:rFonts w:ascii="Arial" w:eastAsiaTheme="minorHAnsi" w:hAnsi="Arial" w:cs="Arial"/>
          <w:sz w:val="22"/>
          <w:szCs w:val="22"/>
          <w:shd w:val="clear" w:color="auto" w:fill="FFFFFF"/>
          <w:lang w:eastAsia="en-US"/>
        </w:rPr>
        <w:t>Barr, 2018</w:t>
      </w:r>
      <w:r w:rsidRPr="00E438F7">
        <w:rPr>
          <w:rFonts w:ascii="Arial" w:eastAsiaTheme="minorHAnsi" w:hAnsi="Arial" w:cs="Arial"/>
          <w:sz w:val="22"/>
          <w:szCs w:val="22"/>
          <w:lang w:eastAsia="en-US"/>
        </w:rPr>
        <w:t>). Seacrest Lodge's revenue rose during the study. Revenue climbed 15.79% to $1,100,000 in 2022 from $950,000. Sales increased dramatically to $1,200,000 in 2023. This increase is significant 26.32% from 2021 and 9.09% from 2022. Strong market position and revenue growth imply the possibility to recruit more customers or raise prices.</w:t>
      </w:r>
    </w:p>
    <w:tbl>
      <w:tblPr>
        <w:tblW w:w="10076" w:type="dxa"/>
        <w:jc w:val="center"/>
        <w:tblLook w:val="04A0" w:firstRow="1" w:lastRow="0" w:firstColumn="1" w:lastColumn="0" w:noHBand="0" w:noVBand="1"/>
      </w:tblPr>
      <w:tblGrid>
        <w:gridCol w:w="2252"/>
        <w:gridCol w:w="1195"/>
        <w:gridCol w:w="1195"/>
        <w:gridCol w:w="1195"/>
        <w:gridCol w:w="1113"/>
        <w:gridCol w:w="1134"/>
        <w:gridCol w:w="1134"/>
        <w:gridCol w:w="1155"/>
      </w:tblGrid>
      <w:tr w:rsidR="00E438F7" w:rsidRPr="00E438F7" w14:paraId="2511B9EA" w14:textId="77777777">
        <w:trPr>
          <w:divId w:val="396128363"/>
          <w:trHeight w:val="315"/>
          <w:jc w:val="center"/>
        </w:trPr>
        <w:tc>
          <w:tcPr>
            <w:tcW w:w="5540" w:type="dxa"/>
            <w:gridSpan w:val="4"/>
            <w:tcBorders>
              <w:top w:val="single" w:sz="8" w:space="0" w:color="auto"/>
              <w:left w:val="single" w:sz="8" w:space="0" w:color="auto"/>
              <w:bottom w:val="nil"/>
              <w:right w:val="single" w:sz="8" w:space="0" w:color="000000"/>
            </w:tcBorders>
            <w:shd w:val="clear" w:color="auto" w:fill="222B35"/>
            <w:noWrap/>
            <w:vAlign w:val="bottom"/>
            <w:hideMark/>
          </w:tcPr>
          <w:p w14:paraId="07656E19" w14:textId="77777777" w:rsidR="00E438F7" w:rsidRPr="00E438F7" w:rsidRDefault="00E438F7" w:rsidP="00E438F7">
            <w:pPr>
              <w:spacing w:before="120" w:after="120" w:line="360" w:lineRule="auto"/>
              <w:jc w:val="center"/>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Income Statement</w:t>
            </w:r>
          </w:p>
        </w:tc>
        <w:tc>
          <w:tcPr>
            <w:tcW w:w="4536" w:type="dxa"/>
            <w:gridSpan w:val="4"/>
            <w:tcBorders>
              <w:top w:val="single" w:sz="8" w:space="0" w:color="auto"/>
              <w:left w:val="nil"/>
              <w:bottom w:val="single" w:sz="8" w:space="0" w:color="auto"/>
              <w:right w:val="single" w:sz="8" w:space="0" w:color="000000"/>
            </w:tcBorders>
            <w:shd w:val="clear" w:color="auto" w:fill="222B35"/>
            <w:noWrap/>
            <w:vAlign w:val="bottom"/>
            <w:hideMark/>
          </w:tcPr>
          <w:p w14:paraId="593D7080" w14:textId="77777777" w:rsidR="00E438F7" w:rsidRPr="00E438F7" w:rsidRDefault="00E438F7" w:rsidP="00E438F7">
            <w:pPr>
              <w:spacing w:before="120" w:after="120" w:line="360" w:lineRule="auto"/>
              <w:jc w:val="center"/>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Horizontal Analysis</w:t>
            </w:r>
          </w:p>
        </w:tc>
      </w:tr>
      <w:tr w:rsidR="00E438F7" w:rsidRPr="00E438F7" w14:paraId="4D8A1558" w14:textId="77777777">
        <w:trPr>
          <w:divId w:val="396128363"/>
          <w:trHeight w:val="315"/>
          <w:jc w:val="center"/>
        </w:trPr>
        <w:tc>
          <w:tcPr>
            <w:tcW w:w="2252" w:type="dxa"/>
            <w:tcBorders>
              <w:top w:val="single" w:sz="8" w:space="0" w:color="auto"/>
              <w:left w:val="single" w:sz="8" w:space="0" w:color="auto"/>
              <w:bottom w:val="single" w:sz="8" w:space="0" w:color="auto"/>
              <w:right w:val="single" w:sz="8" w:space="0" w:color="auto"/>
            </w:tcBorders>
            <w:shd w:val="clear" w:color="auto" w:fill="222B35"/>
            <w:noWrap/>
            <w:vAlign w:val="bottom"/>
            <w:hideMark/>
          </w:tcPr>
          <w:p w14:paraId="34161090" w14:textId="77777777" w:rsidR="00E438F7" w:rsidRPr="00E438F7" w:rsidRDefault="00E438F7" w:rsidP="00E438F7">
            <w:pPr>
              <w:spacing w:before="120" w:after="120" w:line="360" w:lineRule="auto"/>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Particulars</w:t>
            </w:r>
          </w:p>
        </w:tc>
        <w:tc>
          <w:tcPr>
            <w:tcW w:w="1096" w:type="dxa"/>
            <w:tcBorders>
              <w:top w:val="single" w:sz="8" w:space="0" w:color="auto"/>
              <w:left w:val="nil"/>
              <w:bottom w:val="single" w:sz="8" w:space="0" w:color="auto"/>
              <w:right w:val="single" w:sz="8" w:space="0" w:color="auto"/>
            </w:tcBorders>
            <w:shd w:val="clear" w:color="auto" w:fill="222B35"/>
            <w:noWrap/>
            <w:vAlign w:val="bottom"/>
            <w:hideMark/>
          </w:tcPr>
          <w:p w14:paraId="4D8633E3" w14:textId="77777777" w:rsidR="00E438F7" w:rsidRPr="00E438F7" w:rsidRDefault="00E438F7" w:rsidP="00E438F7">
            <w:pPr>
              <w:spacing w:before="120" w:after="120" w:line="360" w:lineRule="auto"/>
              <w:jc w:val="right"/>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2023</w:t>
            </w:r>
          </w:p>
        </w:tc>
        <w:tc>
          <w:tcPr>
            <w:tcW w:w="1096" w:type="dxa"/>
            <w:tcBorders>
              <w:top w:val="single" w:sz="8" w:space="0" w:color="auto"/>
              <w:left w:val="nil"/>
              <w:bottom w:val="single" w:sz="8" w:space="0" w:color="auto"/>
              <w:right w:val="single" w:sz="8" w:space="0" w:color="auto"/>
            </w:tcBorders>
            <w:shd w:val="clear" w:color="auto" w:fill="222B35"/>
            <w:noWrap/>
            <w:vAlign w:val="bottom"/>
            <w:hideMark/>
          </w:tcPr>
          <w:p w14:paraId="3081618F" w14:textId="77777777" w:rsidR="00E438F7" w:rsidRPr="00E438F7" w:rsidRDefault="00E438F7" w:rsidP="00E438F7">
            <w:pPr>
              <w:spacing w:before="120" w:after="120" w:line="360" w:lineRule="auto"/>
              <w:jc w:val="right"/>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2022</w:t>
            </w:r>
          </w:p>
        </w:tc>
        <w:tc>
          <w:tcPr>
            <w:tcW w:w="1096" w:type="dxa"/>
            <w:tcBorders>
              <w:top w:val="single" w:sz="8" w:space="0" w:color="auto"/>
              <w:left w:val="nil"/>
              <w:bottom w:val="single" w:sz="8" w:space="0" w:color="auto"/>
              <w:right w:val="single" w:sz="8" w:space="0" w:color="auto"/>
            </w:tcBorders>
            <w:shd w:val="clear" w:color="auto" w:fill="222B35"/>
            <w:noWrap/>
            <w:vAlign w:val="bottom"/>
            <w:hideMark/>
          </w:tcPr>
          <w:p w14:paraId="6E887979" w14:textId="77777777" w:rsidR="00E438F7" w:rsidRPr="00E438F7" w:rsidRDefault="00E438F7" w:rsidP="00E438F7">
            <w:pPr>
              <w:spacing w:before="120" w:after="120" w:line="360" w:lineRule="auto"/>
              <w:jc w:val="right"/>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2021</w:t>
            </w:r>
          </w:p>
        </w:tc>
        <w:tc>
          <w:tcPr>
            <w:tcW w:w="1113" w:type="dxa"/>
            <w:tcBorders>
              <w:top w:val="nil"/>
              <w:left w:val="nil"/>
              <w:bottom w:val="single" w:sz="8" w:space="0" w:color="auto"/>
              <w:right w:val="nil"/>
            </w:tcBorders>
            <w:shd w:val="clear" w:color="auto" w:fill="222B35"/>
            <w:noWrap/>
            <w:vAlign w:val="bottom"/>
            <w:hideMark/>
          </w:tcPr>
          <w:p w14:paraId="04A8FE96" w14:textId="77777777" w:rsidR="00E438F7" w:rsidRPr="00E438F7" w:rsidRDefault="00E438F7" w:rsidP="00E438F7">
            <w:pPr>
              <w:spacing w:before="120" w:after="120" w:line="360" w:lineRule="auto"/>
              <w:jc w:val="right"/>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2023</w:t>
            </w:r>
          </w:p>
        </w:tc>
        <w:tc>
          <w:tcPr>
            <w:tcW w:w="1134" w:type="dxa"/>
            <w:tcBorders>
              <w:top w:val="nil"/>
              <w:left w:val="single" w:sz="8" w:space="0" w:color="auto"/>
              <w:bottom w:val="single" w:sz="8" w:space="0" w:color="auto"/>
              <w:right w:val="single" w:sz="8" w:space="0" w:color="auto"/>
            </w:tcBorders>
            <w:shd w:val="clear" w:color="auto" w:fill="222B35"/>
            <w:noWrap/>
            <w:vAlign w:val="bottom"/>
            <w:hideMark/>
          </w:tcPr>
          <w:p w14:paraId="623B7C0F" w14:textId="77777777" w:rsidR="00E438F7" w:rsidRPr="00E438F7" w:rsidRDefault="00E438F7" w:rsidP="00E438F7">
            <w:pPr>
              <w:spacing w:before="120" w:after="120" w:line="360" w:lineRule="auto"/>
              <w:jc w:val="right"/>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2022</w:t>
            </w:r>
          </w:p>
        </w:tc>
        <w:tc>
          <w:tcPr>
            <w:tcW w:w="1134" w:type="dxa"/>
            <w:tcBorders>
              <w:top w:val="nil"/>
              <w:left w:val="nil"/>
              <w:bottom w:val="single" w:sz="8" w:space="0" w:color="auto"/>
              <w:right w:val="single" w:sz="8" w:space="0" w:color="auto"/>
            </w:tcBorders>
            <w:shd w:val="clear" w:color="auto" w:fill="222B35"/>
            <w:noWrap/>
            <w:vAlign w:val="bottom"/>
            <w:hideMark/>
          </w:tcPr>
          <w:p w14:paraId="1F1334CD" w14:textId="77777777" w:rsidR="00E438F7" w:rsidRPr="00E438F7" w:rsidRDefault="00E438F7" w:rsidP="00E438F7">
            <w:pPr>
              <w:spacing w:before="120" w:after="120" w:line="360" w:lineRule="auto"/>
              <w:jc w:val="right"/>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2023</w:t>
            </w:r>
          </w:p>
        </w:tc>
        <w:tc>
          <w:tcPr>
            <w:tcW w:w="1155" w:type="dxa"/>
            <w:tcBorders>
              <w:top w:val="nil"/>
              <w:left w:val="nil"/>
              <w:bottom w:val="single" w:sz="8" w:space="0" w:color="auto"/>
              <w:right w:val="single" w:sz="8" w:space="0" w:color="auto"/>
            </w:tcBorders>
            <w:shd w:val="clear" w:color="auto" w:fill="222B35"/>
            <w:noWrap/>
            <w:vAlign w:val="bottom"/>
            <w:hideMark/>
          </w:tcPr>
          <w:p w14:paraId="3EDD5EC9" w14:textId="77777777" w:rsidR="00E438F7" w:rsidRPr="00E438F7" w:rsidRDefault="00E438F7" w:rsidP="00E438F7">
            <w:pPr>
              <w:spacing w:before="120" w:after="120" w:line="360" w:lineRule="auto"/>
              <w:jc w:val="right"/>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2022</w:t>
            </w:r>
          </w:p>
        </w:tc>
      </w:tr>
      <w:tr w:rsidR="00E438F7" w:rsidRPr="00E438F7" w14:paraId="374B95B9" w14:textId="77777777">
        <w:trPr>
          <w:divId w:val="396128363"/>
          <w:trHeight w:val="300"/>
          <w:jc w:val="center"/>
        </w:trPr>
        <w:tc>
          <w:tcPr>
            <w:tcW w:w="2252" w:type="dxa"/>
            <w:tcBorders>
              <w:top w:val="nil"/>
              <w:left w:val="single" w:sz="8" w:space="0" w:color="auto"/>
              <w:bottom w:val="nil"/>
              <w:right w:val="single" w:sz="8" w:space="0" w:color="auto"/>
            </w:tcBorders>
            <w:shd w:val="clear" w:color="auto" w:fill="222B35"/>
            <w:noWrap/>
            <w:vAlign w:val="bottom"/>
            <w:hideMark/>
          </w:tcPr>
          <w:p w14:paraId="4561A005" w14:textId="77777777" w:rsidR="00E438F7" w:rsidRPr="00E438F7" w:rsidRDefault="00E438F7" w:rsidP="00E438F7">
            <w:pPr>
              <w:spacing w:before="120" w:after="120" w:line="360" w:lineRule="auto"/>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Revenue</w:t>
            </w:r>
          </w:p>
        </w:tc>
        <w:tc>
          <w:tcPr>
            <w:tcW w:w="1096" w:type="dxa"/>
            <w:noWrap/>
            <w:vAlign w:val="bottom"/>
            <w:hideMark/>
          </w:tcPr>
          <w:p w14:paraId="4D44AB7E"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1,200,000</w:t>
            </w:r>
          </w:p>
        </w:tc>
        <w:tc>
          <w:tcPr>
            <w:tcW w:w="1096" w:type="dxa"/>
            <w:noWrap/>
            <w:vAlign w:val="bottom"/>
            <w:hideMark/>
          </w:tcPr>
          <w:p w14:paraId="5E73EC25"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1,100,000</w:t>
            </w:r>
          </w:p>
        </w:tc>
        <w:tc>
          <w:tcPr>
            <w:tcW w:w="1096" w:type="dxa"/>
            <w:tcBorders>
              <w:top w:val="nil"/>
              <w:left w:val="nil"/>
              <w:bottom w:val="nil"/>
              <w:right w:val="single" w:sz="8" w:space="0" w:color="auto"/>
            </w:tcBorders>
            <w:noWrap/>
            <w:vAlign w:val="bottom"/>
            <w:hideMark/>
          </w:tcPr>
          <w:p w14:paraId="20372C72"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950,000</w:t>
            </w:r>
          </w:p>
        </w:tc>
        <w:tc>
          <w:tcPr>
            <w:tcW w:w="1113" w:type="dxa"/>
            <w:noWrap/>
            <w:vAlign w:val="bottom"/>
            <w:hideMark/>
          </w:tcPr>
          <w:p w14:paraId="7FB0E58E"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250,000</w:t>
            </w:r>
          </w:p>
        </w:tc>
        <w:tc>
          <w:tcPr>
            <w:tcW w:w="1134" w:type="dxa"/>
            <w:noWrap/>
            <w:vAlign w:val="bottom"/>
            <w:hideMark/>
          </w:tcPr>
          <w:p w14:paraId="4063781D"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150,000</w:t>
            </w:r>
          </w:p>
        </w:tc>
        <w:tc>
          <w:tcPr>
            <w:tcW w:w="1134" w:type="dxa"/>
            <w:noWrap/>
            <w:vAlign w:val="bottom"/>
            <w:hideMark/>
          </w:tcPr>
          <w:p w14:paraId="4303D038"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26.32%</w:t>
            </w:r>
          </w:p>
        </w:tc>
        <w:tc>
          <w:tcPr>
            <w:tcW w:w="1155" w:type="dxa"/>
            <w:tcBorders>
              <w:top w:val="nil"/>
              <w:left w:val="nil"/>
              <w:bottom w:val="nil"/>
              <w:right w:val="single" w:sz="8" w:space="0" w:color="auto"/>
            </w:tcBorders>
            <w:noWrap/>
            <w:vAlign w:val="bottom"/>
            <w:hideMark/>
          </w:tcPr>
          <w:p w14:paraId="0457CC77"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15.79%</w:t>
            </w:r>
          </w:p>
        </w:tc>
      </w:tr>
      <w:tr w:rsidR="00E438F7" w:rsidRPr="00E438F7" w14:paraId="6AEEE3DC" w14:textId="77777777">
        <w:trPr>
          <w:divId w:val="396128363"/>
          <w:trHeight w:val="300"/>
          <w:jc w:val="center"/>
        </w:trPr>
        <w:tc>
          <w:tcPr>
            <w:tcW w:w="2252" w:type="dxa"/>
            <w:tcBorders>
              <w:top w:val="nil"/>
              <w:left w:val="single" w:sz="8" w:space="0" w:color="auto"/>
              <w:bottom w:val="nil"/>
              <w:right w:val="single" w:sz="8" w:space="0" w:color="auto"/>
            </w:tcBorders>
            <w:shd w:val="clear" w:color="auto" w:fill="222B35"/>
            <w:noWrap/>
            <w:vAlign w:val="bottom"/>
            <w:hideMark/>
          </w:tcPr>
          <w:p w14:paraId="69BB9F4A" w14:textId="77777777" w:rsidR="00E438F7" w:rsidRPr="00E438F7" w:rsidRDefault="00E438F7" w:rsidP="00E438F7">
            <w:pPr>
              <w:spacing w:before="120" w:after="120" w:line="360" w:lineRule="auto"/>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Operating Expenses</w:t>
            </w:r>
          </w:p>
        </w:tc>
        <w:tc>
          <w:tcPr>
            <w:tcW w:w="1096" w:type="dxa"/>
            <w:noWrap/>
            <w:vAlign w:val="bottom"/>
            <w:hideMark/>
          </w:tcPr>
          <w:p w14:paraId="5DDAC5DA"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900,000</w:t>
            </w:r>
          </w:p>
        </w:tc>
        <w:tc>
          <w:tcPr>
            <w:tcW w:w="1096" w:type="dxa"/>
            <w:noWrap/>
            <w:vAlign w:val="bottom"/>
            <w:hideMark/>
          </w:tcPr>
          <w:p w14:paraId="2CE53295"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950,000</w:t>
            </w:r>
          </w:p>
        </w:tc>
        <w:tc>
          <w:tcPr>
            <w:tcW w:w="1096" w:type="dxa"/>
            <w:tcBorders>
              <w:top w:val="nil"/>
              <w:left w:val="nil"/>
              <w:bottom w:val="nil"/>
              <w:right w:val="single" w:sz="8" w:space="0" w:color="auto"/>
            </w:tcBorders>
            <w:noWrap/>
            <w:vAlign w:val="bottom"/>
            <w:hideMark/>
          </w:tcPr>
          <w:p w14:paraId="6FD257AA"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1,100,000</w:t>
            </w:r>
          </w:p>
        </w:tc>
        <w:tc>
          <w:tcPr>
            <w:tcW w:w="1113" w:type="dxa"/>
            <w:noWrap/>
            <w:vAlign w:val="bottom"/>
            <w:hideMark/>
          </w:tcPr>
          <w:p w14:paraId="737A1748"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-200,000</w:t>
            </w:r>
          </w:p>
        </w:tc>
        <w:tc>
          <w:tcPr>
            <w:tcW w:w="1134" w:type="dxa"/>
            <w:noWrap/>
            <w:vAlign w:val="bottom"/>
            <w:hideMark/>
          </w:tcPr>
          <w:p w14:paraId="2DDC0F08"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-150,000</w:t>
            </w:r>
          </w:p>
        </w:tc>
        <w:tc>
          <w:tcPr>
            <w:tcW w:w="1134" w:type="dxa"/>
            <w:noWrap/>
            <w:vAlign w:val="bottom"/>
            <w:hideMark/>
          </w:tcPr>
          <w:p w14:paraId="6E3972B5"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-18.18%</w:t>
            </w:r>
          </w:p>
        </w:tc>
        <w:tc>
          <w:tcPr>
            <w:tcW w:w="1155" w:type="dxa"/>
            <w:tcBorders>
              <w:top w:val="nil"/>
              <w:left w:val="nil"/>
              <w:bottom w:val="nil"/>
              <w:right w:val="single" w:sz="8" w:space="0" w:color="auto"/>
            </w:tcBorders>
            <w:noWrap/>
            <w:vAlign w:val="bottom"/>
            <w:hideMark/>
          </w:tcPr>
          <w:p w14:paraId="2CF26A90"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-13.64%</w:t>
            </w:r>
          </w:p>
        </w:tc>
      </w:tr>
      <w:tr w:rsidR="00E438F7" w:rsidRPr="00E438F7" w14:paraId="687EC1C0" w14:textId="77777777">
        <w:trPr>
          <w:divId w:val="396128363"/>
          <w:trHeight w:val="315"/>
          <w:jc w:val="center"/>
        </w:trPr>
        <w:tc>
          <w:tcPr>
            <w:tcW w:w="2252" w:type="dxa"/>
            <w:tcBorders>
              <w:top w:val="nil"/>
              <w:left w:val="single" w:sz="8" w:space="0" w:color="auto"/>
              <w:bottom w:val="single" w:sz="8" w:space="0" w:color="auto"/>
              <w:right w:val="single" w:sz="8" w:space="0" w:color="auto"/>
            </w:tcBorders>
            <w:shd w:val="clear" w:color="auto" w:fill="222B35"/>
            <w:noWrap/>
            <w:vAlign w:val="bottom"/>
            <w:hideMark/>
          </w:tcPr>
          <w:p w14:paraId="69A86F0C" w14:textId="77777777" w:rsidR="00E438F7" w:rsidRPr="00E438F7" w:rsidRDefault="00E438F7" w:rsidP="00E438F7">
            <w:pPr>
              <w:spacing w:before="120" w:after="120" w:line="360" w:lineRule="auto"/>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Net Income</w:t>
            </w:r>
          </w:p>
        </w:tc>
        <w:tc>
          <w:tcPr>
            <w:tcW w:w="1096" w:type="dxa"/>
            <w:tcBorders>
              <w:top w:val="nil"/>
              <w:left w:val="nil"/>
              <w:bottom w:val="single" w:sz="8" w:space="0" w:color="auto"/>
              <w:right w:val="nil"/>
            </w:tcBorders>
            <w:noWrap/>
            <w:vAlign w:val="bottom"/>
            <w:hideMark/>
          </w:tcPr>
          <w:p w14:paraId="7DB9106C"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300,000</w:t>
            </w:r>
          </w:p>
        </w:tc>
        <w:tc>
          <w:tcPr>
            <w:tcW w:w="1096" w:type="dxa"/>
            <w:tcBorders>
              <w:top w:val="nil"/>
              <w:left w:val="nil"/>
              <w:bottom w:val="single" w:sz="8" w:space="0" w:color="auto"/>
              <w:right w:val="nil"/>
            </w:tcBorders>
            <w:noWrap/>
            <w:vAlign w:val="bottom"/>
            <w:hideMark/>
          </w:tcPr>
          <w:p w14:paraId="3FB8031C"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150,000</w:t>
            </w:r>
          </w:p>
        </w:tc>
        <w:tc>
          <w:tcPr>
            <w:tcW w:w="1096" w:type="dxa"/>
            <w:tcBorders>
              <w:top w:val="nil"/>
              <w:left w:val="nil"/>
              <w:bottom w:val="single" w:sz="8" w:space="0" w:color="auto"/>
              <w:right w:val="single" w:sz="8" w:space="0" w:color="auto"/>
            </w:tcBorders>
            <w:noWrap/>
            <w:vAlign w:val="bottom"/>
            <w:hideMark/>
          </w:tcPr>
          <w:p w14:paraId="115C1707"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-150,000</w:t>
            </w:r>
          </w:p>
        </w:tc>
        <w:tc>
          <w:tcPr>
            <w:tcW w:w="1113" w:type="dxa"/>
            <w:tcBorders>
              <w:top w:val="nil"/>
              <w:left w:val="nil"/>
              <w:bottom w:val="single" w:sz="8" w:space="0" w:color="auto"/>
              <w:right w:val="nil"/>
            </w:tcBorders>
            <w:noWrap/>
            <w:vAlign w:val="bottom"/>
            <w:hideMark/>
          </w:tcPr>
          <w:p w14:paraId="14EC1075"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450,000</w:t>
            </w:r>
          </w:p>
        </w:tc>
        <w:tc>
          <w:tcPr>
            <w:tcW w:w="1134" w:type="dxa"/>
            <w:tcBorders>
              <w:top w:val="nil"/>
              <w:left w:val="nil"/>
              <w:bottom w:val="single" w:sz="8" w:space="0" w:color="auto"/>
              <w:right w:val="nil"/>
            </w:tcBorders>
            <w:noWrap/>
            <w:vAlign w:val="bottom"/>
            <w:hideMark/>
          </w:tcPr>
          <w:p w14:paraId="3F4012B9"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300,000</w:t>
            </w:r>
          </w:p>
        </w:tc>
        <w:tc>
          <w:tcPr>
            <w:tcW w:w="1134" w:type="dxa"/>
            <w:tcBorders>
              <w:top w:val="nil"/>
              <w:left w:val="nil"/>
              <w:bottom w:val="single" w:sz="8" w:space="0" w:color="auto"/>
              <w:right w:val="nil"/>
            </w:tcBorders>
            <w:noWrap/>
            <w:vAlign w:val="bottom"/>
            <w:hideMark/>
          </w:tcPr>
          <w:p w14:paraId="181B2238"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-300.00%</w:t>
            </w:r>
          </w:p>
        </w:tc>
        <w:tc>
          <w:tcPr>
            <w:tcW w:w="1155" w:type="dxa"/>
            <w:tcBorders>
              <w:top w:val="nil"/>
              <w:left w:val="nil"/>
              <w:bottom w:val="single" w:sz="8" w:space="0" w:color="auto"/>
              <w:right w:val="single" w:sz="8" w:space="0" w:color="auto"/>
            </w:tcBorders>
            <w:noWrap/>
            <w:vAlign w:val="bottom"/>
            <w:hideMark/>
          </w:tcPr>
          <w:p w14:paraId="63FC7E1B"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-200.00%</w:t>
            </w:r>
          </w:p>
        </w:tc>
      </w:tr>
    </w:tbl>
    <w:p w14:paraId="61DBCAD3" w14:textId="77777777" w:rsidR="00E438F7" w:rsidRPr="00E438F7" w:rsidRDefault="00E438F7" w:rsidP="00E438F7">
      <w:pPr>
        <w:spacing w:before="120" w:after="120" w:line="360" w:lineRule="auto"/>
        <w:jc w:val="both"/>
        <w:divId w:val="396128363"/>
        <w:rPr>
          <w:rFonts w:ascii="Arial" w:eastAsiaTheme="minorHAnsi" w:hAnsi="Arial" w:cs="Arial"/>
          <w:sz w:val="22"/>
          <w:szCs w:val="22"/>
          <w:lang w:val="en-US" w:eastAsia="en-US"/>
        </w:rPr>
      </w:pPr>
    </w:p>
    <w:p w14:paraId="4800E5F5" w14:textId="77777777" w:rsidR="00E438F7" w:rsidRPr="00E438F7" w:rsidRDefault="00E438F7" w:rsidP="00E438F7">
      <w:pPr>
        <w:spacing w:before="120" w:after="120" w:line="360" w:lineRule="auto"/>
        <w:ind w:firstLine="284"/>
        <w:jc w:val="both"/>
        <w:divId w:val="396128363"/>
        <w:rPr>
          <w:rFonts w:ascii="Arial" w:eastAsiaTheme="minorHAnsi" w:hAnsi="Arial" w:cs="Arial"/>
          <w:sz w:val="22"/>
          <w:szCs w:val="22"/>
          <w:lang w:eastAsia="en-US"/>
        </w:rPr>
      </w:pPr>
      <w:r w:rsidRPr="00E438F7">
        <w:rPr>
          <w:rFonts w:ascii="Arial" w:eastAsiaTheme="minorHAnsi" w:hAnsi="Arial" w:cs="Arial"/>
          <w:sz w:val="22"/>
          <w:szCs w:val="22"/>
          <w:lang w:eastAsia="en-US"/>
        </w:rPr>
        <w:t>Lodge income has inversely correlated with running expenditures. Operating expenditures dropped 13.64% from $1,100,000 in 2021 to $950,000 in 2022 and 18.18% to $900,000 in 2023. Operating expenses may have decreased due to cost-control strategies, operational efficiency, or less services due to consumer feedback indicating a perceived drop in service quality (</w:t>
      </w:r>
      <w:proofErr w:type="spellStart"/>
      <w:r w:rsidRPr="00E438F7">
        <w:rPr>
          <w:rFonts w:ascii="Arial" w:eastAsiaTheme="minorHAnsi" w:hAnsi="Arial" w:cs="Arial"/>
          <w:sz w:val="22"/>
          <w:szCs w:val="22"/>
          <w:shd w:val="clear" w:color="auto" w:fill="FFFFFF"/>
          <w:lang w:eastAsia="en-US"/>
        </w:rPr>
        <w:t>Zietlow</w:t>
      </w:r>
      <w:proofErr w:type="spellEnd"/>
      <w:r w:rsidRPr="00E438F7">
        <w:rPr>
          <w:rFonts w:ascii="Arial" w:eastAsiaTheme="minorHAnsi" w:hAnsi="Arial" w:cs="Arial"/>
          <w:sz w:val="22"/>
          <w:szCs w:val="22"/>
          <w:shd w:val="clear" w:color="auto" w:fill="FFFFFF"/>
          <w:lang w:eastAsia="en-US"/>
        </w:rPr>
        <w:t>, 2018</w:t>
      </w:r>
      <w:r w:rsidRPr="00E438F7">
        <w:rPr>
          <w:rFonts w:ascii="Arial" w:eastAsiaTheme="minorHAnsi" w:hAnsi="Arial" w:cs="Arial"/>
          <w:sz w:val="22"/>
          <w:szCs w:val="22"/>
          <w:lang w:eastAsia="en-US"/>
        </w:rPr>
        <w:t>). It has been stated in the report that a strong showing in the ‘staycation’ market in the UK in 2021 and 2022 was a major factor in the early recovery in the country. A delay in international arrivals, however, slowed London's rebound (</w:t>
      </w:r>
      <w:proofErr w:type="spellStart"/>
      <w:r w:rsidRPr="00E438F7">
        <w:rPr>
          <w:rFonts w:ascii="Arial" w:eastAsiaTheme="minorHAnsi" w:hAnsi="Arial" w:cs="Arial"/>
          <w:sz w:val="22"/>
          <w:szCs w:val="22"/>
          <w:shd w:val="clear" w:color="auto" w:fill="FFFFFF"/>
          <w:lang w:eastAsia="en-US"/>
        </w:rPr>
        <w:t>Savills</w:t>
      </w:r>
      <w:proofErr w:type="spellEnd"/>
      <w:r w:rsidRPr="00E438F7">
        <w:rPr>
          <w:rFonts w:ascii="Arial" w:eastAsiaTheme="minorHAnsi" w:hAnsi="Arial" w:cs="Arial"/>
          <w:sz w:val="22"/>
          <w:szCs w:val="22"/>
          <w:shd w:val="clear" w:color="auto" w:fill="FFFFFF"/>
          <w:lang w:eastAsia="en-US"/>
        </w:rPr>
        <w:t>, 2023</w:t>
      </w:r>
      <w:r w:rsidRPr="00E438F7">
        <w:rPr>
          <w:rFonts w:ascii="Arial" w:eastAsiaTheme="minorHAnsi" w:hAnsi="Arial" w:cs="Arial"/>
          <w:sz w:val="22"/>
          <w:szCs w:val="22"/>
          <w:lang w:eastAsia="en-US"/>
        </w:rPr>
        <w:t xml:space="preserve">). The figures show the lodge is more lucrative. In 2021, the resort lost $150,000. A huge turnaround led to a $150,000 profit in 2022. Profit quadrupled to $300,000 by 2023. </w:t>
      </w:r>
    </w:p>
    <w:p w14:paraId="6582B1A8" w14:textId="77777777" w:rsidR="00E438F7" w:rsidRPr="00E438F7" w:rsidRDefault="00E438F7" w:rsidP="00E438F7">
      <w:pPr>
        <w:keepNext/>
        <w:keepLines/>
        <w:spacing w:before="120" w:after="120" w:line="360" w:lineRule="auto"/>
        <w:ind w:firstLine="284"/>
        <w:jc w:val="both"/>
        <w:outlineLvl w:val="1"/>
        <w:divId w:val="396128363"/>
        <w:rPr>
          <w:rFonts w:ascii="Arial" w:eastAsiaTheme="majorEastAsia" w:hAnsi="Arial" w:cs="Arial"/>
          <w:b/>
          <w:i/>
          <w:szCs w:val="26"/>
          <w:lang w:val="en-US" w:eastAsia="en-US"/>
        </w:rPr>
      </w:pPr>
      <w:bookmarkStart w:id="7" w:name="_Toc159515792"/>
      <w:r w:rsidRPr="00E438F7">
        <w:rPr>
          <w:rFonts w:ascii="Arial" w:eastAsiaTheme="majorEastAsia" w:hAnsi="Arial" w:cs="Arial"/>
          <w:b/>
          <w:i/>
          <w:szCs w:val="26"/>
          <w:lang w:val="en-US" w:eastAsia="en-US"/>
        </w:rPr>
        <w:t>Vertical Analysis of Balance Sheet</w:t>
      </w:r>
      <w:bookmarkEnd w:id="7"/>
    </w:p>
    <w:p w14:paraId="61E66913" w14:textId="77777777" w:rsidR="00E438F7" w:rsidRPr="00E438F7" w:rsidRDefault="00E438F7" w:rsidP="00E438F7">
      <w:pPr>
        <w:spacing w:before="120" w:after="120" w:line="360" w:lineRule="auto"/>
        <w:ind w:firstLine="284"/>
        <w:jc w:val="both"/>
        <w:divId w:val="396128363"/>
        <w:rPr>
          <w:rFonts w:ascii="Arial" w:eastAsiaTheme="minorHAnsi" w:hAnsi="Arial" w:cs="Arial"/>
          <w:sz w:val="22"/>
          <w:szCs w:val="22"/>
          <w:lang w:val="en-US" w:eastAsia="en-US"/>
        </w:rPr>
      </w:pPr>
      <w:r w:rsidRPr="00E438F7">
        <w:rPr>
          <w:rFonts w:ascii="Arial" w:eastAsiaTheme="minorHAnsi" w:hAnsi="Arial" w:cs="Arial"/>
          <w:sz w:val="22"/>
          <w:szCs w:val="22"/>
          <w:lang w:eastAsia="en-US"/>
        </w:rPr>
        <w:t xml:space="preserve">The Seacrest Lodge's 2021–2023 balance sheet is needed to assess its finances. Important information is revealed by this analysis. Cash and equivalents, a liquidity measure, </w:t>
      </w:r>
      <w:r w:rsidRPr="00E438F7">
        <w:rPr>
          <w:rFonts w:ascii="Arial" w:eastAsiaTheme="minorHAnsi" w:hAnsi="Arial" w:cs="Arial"/>
          <w:sz w:val="22"/>
          <w:szCs w:val="22"/>
          <w:lang w:eastAsia="en-US"/>
        </w:rPr>
        <w:lastRenderedPageBreak/>
        <w:t>have steadily dropped to 4.65%, 3.77%, and 1.08% of total assets in 2021, 2022, and 2023. This drop raises questions about the resort's ability to pay its financial responsibilities and may indicate financial issues. Fixing this deterioration is crucial to keeping the resort operational (</w:t>
      </w:r>
      <w:proofErr w:type="spellStart"/>
      <w:r w:rsidRPr="00E438F7">
        <w:rPr>
          <w:rFonts w:ascii="Arial" w:eastAsiaTheme="minorHAnsi" w:hAnsi="Arial" w:cs="Arial"/>
          <w:sz w:val="22"/>
          <w:szCs w:val="22"/>
          <w:shd w:val="clear" w:color="auto" w:fill="FFFFFF"/>
          <w:lang w:eastAsia="en-US"/>
        </w:rPr>
        <w:t>Smeur</w:t>
      </w:r>
      <w:proofErr w:type="spellEnd"/>
      <w:r w:rsidRPr="00E438F7">
        <w:rPr>
          <w:rFonts w:ascii="Arial" w:eastAsiaTheme="minorHAnsi" w:hAnsi="Arial" w:cs="Arial"/>
          <w:sz w:val="22"/>
          <w:szCs w:val="22"/>
          <w:shd w:val="clear" w:color="auto" w:fill="FFFFFF"/>
          <w:lang w:eastAsia="en-US"/>
        </w:rPr>
        <w:t>, 2019</w:t>
      </w:r>
      <w:r w:rsidRPr="00E438F7">
        <w:rPr>
          <w:rFonts w:ascii="Arial" w:eastAsiaTheme="minorHAnsi" w:hAnsi="Arial" w:cs="Arial"/>
          <w:sz w:val="22"/>
          <w:szCs w:val="22"/>
          <w:lang w:eastAsia="en-US"/>
        </w:rPr>
        <w:t>). The accounts receivable fraction of total assets declined from 2.33% in 2021 to 1.89% in 2022 and 1.62% in 2023, but it remains small. Accounts receivable may decrease due to stricter credit standards or consumer payment practices. Understanding and managing these shifts is crucial for cash flow and financial stability.</w:t>
      </w:r>
    </w:p>
    <w:tbl>
      <w:tblPr>
        <w:tblW w:w="0" w:type="auto"/>
        <w:jc w:val="center"/>
        <w:tblLook w:val="04A0" w:firstRow="1" w:lastRow="0" w:firstColumn="1" w:lastColumn="0" w:noHBand="0" w:noVBand="1"/>
      </w:tblPr>
      <w:tblGrid>
        <w:gridCol w:w="2546"/>
        <w:gridCol w:w="1108"/>
        <w:gridCol w:w="1220"/>
        <w:gridCol w:w="1108"/>
        <w:gridCol w:w="1008"/>
        <w:gridCol w:w="1008"/>
        <w:gridCol w:w="1008"/>
      </w:tblGrid>
      <w:tr w:rsidR="00E438F7" w:rsidRPr="00E438F7" w14:paraId="6B5CC056" w14:textId="77777777">
        <w:trPr>
          <w:divId w:val="396128363"/>
          <w:trHeight w:val="315"/>
          <w:jc w:val="center"/>
        </w:trPr>
        <w:tc>
          <w:tcPr>
            <w:tcW w:w="0" w:type="auto"/>
            <w:gridSpan w:val="4"/>
            <w:tcBorders>
              <w:top w:val="single" w:sz="8" w:space="0" w:color="auto"/>
              <w:left w:val="single" w:sz="8" w:space="0" w:color="auto"/>
              <w:bottom w:val="nil"/>
              <w:right w:val="single" w:sz="8" w:space="0" w:color="000000"/>
            </w:tcBorders>
            <w:shd w:val="clear" w:color="auto" w:fill="222B35"/>
            <w:noWrap/>
            <w:vAlign w:val="bottom"/>
            <w:hideMark/>
          </w:tcPr>
          <w:p w14:paraId="5F59DF15" w14:textId="77777777" w:rsidR="00E438F7" w:rsidRPr="00E438F7" w:rsidRDefault="00E438F7" w:rsidP="00E438F7">
            <w:pPr>
              <w:spacing w:before="120" w:after="120" w:line="360" w:lineRule="auto"/>
              <w:jc w:val="center"/>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Balance Sheet</w:t>
            </w:r>
          </w:p>
        </w:tc>
        <w:tc>
          <w:tcPr>
            <w:tcW w:w="0" w:type="auto"/>
            <w:gridSpan w:val="3"/>
            <w:tcBorders>
              <w:top w:val="single" w:sz="8" w:space="0" w:color="auto"/>
              <w:left w:val="nil"/>
              <w:bottom w:val="single" w:sz="8" w:space="0" w:color="auto"/>
              <w:right w:val="single" w:sz="8" w:space="0" w:color="000000"/>
            </w:tcBorders>
            <w:shd w:val="clear" w:color="auto" w:fill="222B35"/>
            <w:noWrap/>
            <w:vAlign w:val="bottom"/>
            <w:hideMark/>
          </w:tcPr>
          <w:p w14:paraId="15D01906" w14:textId="77777777" w:rsidR="00E438F7" w:rsidRPr="00E438F7" w:rsidRDefault="00E438F7" w:rsidP="00E438F7">
            <w:pPr>
              <w:spacing w:before="120" w:after="120" w:line="360" w:lineRule="auto"/>
              <w:jc w:val="center"/>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Vertical Analysis</w:t>
            </w:r>
          </w:p>
        </w:tc>
      </w:tr>
      <w:tr w:rsidR="00E438F7" w:rsidRPr="00E438F7" w14:paraId="2CC1143E" w14:textId="77777777">
        <w:trPr>
          <w:divId w:val="396128363"/>
          <w:trHeight w:val="315"/>
          <w:jc w:val="center"/>
        </w:trPr>
        <w:tc>
          <w:tcPr>
            <w:tcW w:w="0" w:type="auto"/>
            <w:tcBorders>
              <w:top w:val="single" w:sz="8" w:space="0" w:color="auto"/>
              <w:left w:val="single" w:sz="8" w:space="0" w:color="auto"/>
              <w:bottom w:val="single" w:sz="8" w:space="0" w:color="auto"/>
              <w:right w:val="single" w:sz="8" w:space="0" w:color="auto"/>
            </w:tcBorders>
            <w:shd w:val="clear" w:color="auto" w:fill="222B35"/>
            <w:noWrap/>
            <w:vAlign w:val="bottom"/>
            <w:hideMark/>
          </w:tcPr>
          <w:p w14:paraId="604B962E" w14:textId="77777777" w:rsidR="00E438F7" w:rsidRPr="00E438F7" w:rsidRDefault="00E438F7" w:rsidP="00E438F7">
            <w:pPr>
              <w:spacing w:before="120" w:after="120" w:line="360" w:lineRule="auto"/>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Particulars</w:t>
            </w:r>
          </w:p>
        </w:tc>
        <w:tc>
          <w:tcPr>
            <w:tcW w:w="0" w:type="auto"/>
            <w:tcBorders>
              <w:top w:val="single" w:sz="8" w:space="0" w:color="auto"/>
              <w:left w:val="nil"/>
              <w:bottom w:val="single" w:sz="8" w:space="0" w:color="auto"/>
              <w:right w:val="single" w:sz="8" w:space="0" w:color="auto"/>
            </w:tcBorders>
            <w:shd w:val="clear" w:color="auto" w:fill="222B35"/>
            <w:noWrap/>
            <w:vAlign w:val="bottom"/>
            <w:hideMark/>
          </w:tcPr>
          <w:p w14:paraId="4ECD54FA" w14:textId="77777777" w:rsidR="00E438F7" w:rsidRPr="00E438F7" w:rsidRDefault="00E438F7" w:rsidP="00E438F7">
            <w:pPr>
              <w:spacing w:before="120" w:after="120" w:line="360" w:lineRule="auto"/>
              <w:jc w:val="right"/>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2023</w:t>
            </w:r>
          </w:p>
        </w:tc>
        <w:tc>
          <w:tcPr>
            <w:tcW w:w="0" w:type="auto"/>
            <w:tcBorders>
              <w:top w:val="single" w:sz="8" w:space="0" w:color="auto"/>
              <w:left w:val="nil"/>
              <w:bottom w:val="single" w:sz="8" w:space="0" w:color="auto"/>
              <w:right w:val="single" w:sz="8" w:space="0" w:color="auto"/>
            </w:tcBorders>
            <w:shd w:val="clear" w:color="auto" w:fill="222B35"/>
            <w:noWrap/>
            <w:vAlign w:val="bottom"/>
            <w:hideMark/>
          </w:tcPr>
          <w:p w14:paraId="3641D4BC" w14:textId="77777777" w:rsidR="00E438F7" w:rsidRPr="00E438F7" w:rsidRDefault="00E438F7" w:rsidP="00E438F7">
            <w:pPr>
              <w:spacing w:before="120" w:after="120" w:line="360" w:lineRule="auto"/>
              <w:jc w:val="right"/>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2022</w:t>
            </w:r>
          </w:p>
        </w:tc>
        <w:tc>
          <w:tcPr>
            <w:tcW w:w="0" w:type="auto"/>
            <w:tcBorders>
              <w:top w:val="single" w:sz="8" w:space="0" w:color="auto"/>
              <w:left w:val="nil"/>
              <w:bottom w:val="single" w:sz="8" w:space="0" w:color="auto"/>
              <w:right w:val="single" w:sz="8" w:space="0" w:color="auto"/>
            </w:tcBorders>
            <w:shd w:val="clear" w:color="auto" w:fill="222B35"/>
            <w:noWrap/>
            <w:vAlign w:val="bottom"/>
            <w:hideMark/>
          </w:tcPr>
          <w:p w14:paraId="168B08F1" w14:textId="77777777" w:rsidR="00E438F7" w:rsidRPr="00E438F7" w:rsidRDefault="00E438F7" w:rsidP="00E438F7">
            <w:pPr>
              <w:spacing w:before="120" w:after="120" w:line="360" w:lineRule="auto"/>
              <w:jc w:val="right"/>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2021</w:t>
            </w:r>
          </w:p>
        </w:tc>
        <w:tc>
          <w:tcPr>
            <w:tcW w:w="0" w:type="auto"/>
            <w:tcBorders>
              <w:top w:val="nil"/>
              <w:left w:val="nil"/>
              <w:bottom w:val="single" w:sz="8" w:space="0" w:color="auto"/>
              <w:right w:val="single" w:sz="8" w:space="0" w:color="auto"/>
            </w:tcBorders>
            <w:shd w:val="clear" w:color="auto" w:fill="222B35"/>
            <w:noWrap/>
            <w:vAlign w:val="bottom"/>
            <w:hideMark/>
          </w:tcPr>
          <w:p w14:paraId="6EE2B474" w14:textId="77777777" w:rsidR="00E438F7" w:rsidRPr="00E438F7" w:rsidRDefault="00E438F7" w:rsidP="00E438F7">
            <w:pPr>
              <w:spacing w:before="120" w:after="120" w:line="360" w:lineRule="auto"/>
              <w:jc w:val="right"/>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2023</w:t>
            </w:r>
          </w:p>
        </w:tc>
        <w:tc>
          <w:tcPr>
            <w:tcW w:w="0" w:type="auto"/>
            <w:tcBorders>
              <w:top w:val="nil"/>
              <w:left w:val="nil"/>
              <w:bottom w:val="single" w:sz="8" w:space="0" w:color="auto"/>
              <w:right w:val="single" w:sz="8" w:space="0" w:color="auto"/>
            </w:tcBorders>
            <w:shd w:val="clear" w:color="auto" w:fill="222B35"/>
            <w:noWrap/>
            <w:vAlign w:val="bottom"/>
            <w:hideMark/>
          </w:tcPr>
          <w:p w14:paraId="0A31BB1B" w14:textId="77777777" w:rsidR="00E438F7" w:rsidRPr="00E438F7" w:rsidRDefault="00E438F7" w:rsidP="00E438F7">
            <w:pPr>
              <w:spacing w:before="120" w:after="120" w:line="360" w:lineRule="auto"/>
              <w:jc w:val="right"/>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2022</w:t>
            </w:r>
          </w:p>
        </w:tc>
        <w:tc>
          <w:tcPr>
            <w:tcW w:w="0" w:type="auto"/>
            <w:tcBorders>
              <w:top w:val="nil"/>
              <w:left w:val="nil"/>
              <w:bottom w:val="single" w:sz="8" w:space="0" w:color="auto"/>
              <w:right w:val="single" w:sz="8" w:space="0" w:color="auto"/>
            </w:tcBorders>
            <w:shd w:val="clear" w:color="auto" w:fill="222B35"/>
            <w:noWrap/>
            <w:vAlign w:val="bottom"/>
            <w:hideMark/>
          </w:tcPr>
          <w:p w14:paraId="30E3C31E" w14:textId="77777777" w:rsidR="00E438F7" w:rsidRPr="00E438F7" w:rsidRDefault="00E438F7" w:rsidP="00E438F7">
            <w:pPr>
              <w:spacing w:before="120" w:after="120" w:line="360" w:lineRule="auto"/>
              <w:jc w:val="right"/>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2021</w:t>
            </w:r>
          </w:p>
        </w:tc>
      </w:tr>
      <w:tr w:rsidR="00E438F7" w:rsidRPr="00E438F7" w14:paraId="109F3C61" w14:textId="77777777">
        <w:trPr>
          <w:divId w:val="396128363"/>
          <w:trHeight w:val="300"/>
          <w:jc w:val="center"/>
        </w:trPr>
        <w:tc>
          <w:tcPr>
            <w:tcW w:w="0" w:type="auto"/>
            <w:tcBorders>
              <w:top w:val="nil"/>
              <w:left w:val="single" w:sz="8" w:space="0" w:color="auto"/>
              <w:bottom w:val="nil"/>
              <w:right w:val="single" w:sz="8" w:space="0" w:color="auto"/>
            </w:tcBorders>
            <w:shd w:val="clear" w:color="auto" w:fill="222B35"/>
            <w:noWrap/>
            <w:vAlign w:val="bottom"/>
            <w:hideMark/>
          </w:tcPr>
          <w:p w14:paraId="063246CC" w14:textId="77777777" w:rsidR="00E438F7" w:rsidRPr="00E438F7" w:rsidRDefault="00E438F7" w:rsidP="00E438F7">
            <w:pPr>
              <w:spacing w:before="120" w:after="120" w:line="360" w:lineRule="auto"/>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Cash and Equivalents</w:t>
            </w:r>
          </w:p>
        </w:tc>
        <w:tc>
          <w:tcPr>
            <w:tcW w:w="0" w:type="auto"/>
            <w:noWrap/>
            <w:vAlign w:val="bottom"/>
            <w:hideMark/>
          </w:tcPr>
          <w:p w14:paraId="51D2C365"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20,000</w:t>
            </w:r>
          </w:p>
        </w:tc>
        <w:tc>
          <w:tcPr>
            <w:tcW w:w="0" w:type="auto"/>
            <w:noWrap/>
            <w:vAlign w:val="bottom"/>
            <w:hideMark/>
          </w:tcPr>
          <w:p w14:paraId="1D9ED7E1"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80,000</w:t>
            </w:r>
          </w:p>
        </w:tc>
        <w:tc>
          <w:tcPr>
            <w:tcW w:w="0" w:type="auto"/>
            <w:tcBorders>
              <w:top w:val="nil"/>
              <w:left w:val="nil"/>
              <w:bottom w:val="nil"/>
              <w:right w:val="single" w:sz="8" w:space="0" w:color="auto"/>
            </w:tcBorders>
            <w:noWrap/>
            <w:vAlign w:val="bottom"/>
            <w:hideMark/>
          </w:tcPr>
          <w:p w14:paraId="71CC9293"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100,000</w:t>
            </w:r>
          </w:p>
        </w:tc>
        <w:tc>
          <w:tcPr>
            <w:tcW w:w="0" w:type="auto"/>
            <w:noWrap/>
            <w:vAlign w:val="bottom"/>
            <w:hideMark/>
          </w:tcPr>
          <w:p w14:paraId="50200850"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1.08%</w:t>
            </w:r>
          </w:p>
        </w:tc>
        <w:tc>
          <w:tcPr>
            <w:tcW w:w="0" w:type="auto"/>
            <w:noWrap/>
            <w:vAlign w:val="bottom"/>
            <w:hideMark/>
          </w:tcPr>
          <w:p w14:paraId="77EBC917"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3.77%</w:t>
            </w:r>
          </w:p>
        </w:tc>
        <w:tc>
          <w:tcPr>
            <w:tcW w:w="0" w:type="auto"/>
            <w:tcBorders>
              <w:top w:val="nil"/>
              <w:left w:val="nil"/>
              <w:bottom w:val="nil"/>
              <w:right w:val="single" w:sz="8" w:space="0" w:color="auto"/>
            </w:tcBorders>
            <w:noWrap/>
            <w:vAlign w:val="bottom"/>
            <w:hideMark/>
          </w:tcPr>
          <w:p w14:paraId="2B8E6401"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4.65%</w:t>
            </w:r>
          </w:p>
        </w:tc>
      </w:tr>
      <w:tr w:rsidR="00E438F7" w:rsidRPr="00E438F7" w14:paraId="1FF9256C" w14:textId="77777777">
        <w:trPr>
          <w:divId w:val="396128363"/>
          <w:trHeight w:val="300"/>
          <w:jc w:val="center"/>
        </w:trPr>
        <w:tc>
          <w:tcPr>
            <w:tcW w:w="0" w:type="auto"/>
            <w:tcBorders>
              <w:top w:val="nil"/>
              <w:left w:val="single" w:sz="8" w:space="0" w:color="auto"/>
              <w:bottom w:val="nil"/>
              <w:right w:val="single" w:sz="8" w:space="0" w:color="auto"/>
            </w:tcBorders>
            <w:shd w:val="clear" w:color="auto" w:fill="222B35"/>
            <w:noWrap/>
            <w:vAlign w:val="bottom"/>
            <w:hideMark/>
          </w:tcPr>
          <w:p w14:paraId="47DC09B0" w14:textId="77777777" w:rsidR="00E438F7" w:rsidRPr="00E438F7" w:rsidRDefault="00E438F7" w:rsidP="00E438F7">
            <w:pPr>
              <w:spacing w:before="120" w:after="120" w:line="360" w:lineRule="auto"/>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Accounts Receivable</w:t>
            </w:r>
          </w:p>
        </w:tc>
        <w:tc>
          <w:tcPr>
            <w:tcW w:w="0" w:type="auto"/>
            <w:noWrap/>
            <w:vAlign w:val="bottom"/>
            <w:hideMark/>
          </w:tcPr>
          <w:p w14:paraId="5F6C8478"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30,000</w:t>
            </w:r>
          </w:p>
        </w:tc>
        <w:tc>
          <w:tcPr>
            <w:tcW w:w="0" w:type="auto"/>
            <w:noWrap/>
            <w:vAlign w:val="bottom"/>
            <w:hideMark/>
          </w:tcPr>
          <w:p w14:paraId="6122E022"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40,000</w:t>
            </w:r>
          </w:p>
        </w:tc>
        <w:tc>
          <w:tcPr>
            <w:tcW w:w="0" w:type="auto"/>
            <w:tcBorders>
              <w:top w:val="nil"/>
              <w:left w:val="nil"/>
              <w:bottom w:val="nil"/>
              <w:right w:val="single" w:sz="8" w:space="0" w:color="auto"/>
            </w:tcBorders>
            <w:noWrap/>
            <w:vAlign w:val="bottom"/>
            <w:hideMark/>
          </w:tcPr>
          <w:p w14:paraId="11FD71D0"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50,000</w:t>
            </w:r>
          </w:p>
        </w:tc>
        <w:tc>
          <w:tcPr>
            <w:tcW w:w="0" w:type="auto"/>
            <w:noWrap/>
            <w:vAlign w:val="bottom"/>
            <w:hideMark/>
          </w:tcPr>
          <w:p w14:paraId="4303FCE6"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1.62%</w:t>
            </w:r>
          </w:p>
        </w:tc>
        <w:tc>
          <w:tcPr>
            <w:tcW w:w="0" w:type="auto"/>
            <w:noWrap/>
            <w:vAlign w:val="bottom"/>
            <w:hideMark/>
          </w:tcPr>
          <w:p w14:paraId="0B09D036"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1.89%</w:t>
            </w:r>
          </w:p>
        </w:tc>
        <w:tc>
          <w:tcPr>
            <w:tcW w:w="0" w:type="auto"/>
            <w:tcBorders>
              <w:top w:val="nil"/>
              <w:left w:val="nil"/>
              <w:bottom w:val="nil"/>
              <w:right w:val="single" w:sz="8" w:space="0" w:color="auto"/>
            </w:tcBorders>
            <w:noWrap/>
            <w:vAlign w:val="bottom"/>
            <w:hideMark/>
          </w:tcPr>
          <w:p w14:paraId="12855421"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2.33%</w:t>
            </w:r>
          </w:p>
        </w:tc>
      </w:tr>
      <w:tr w:rsidR="00E438F7" w:rsidRPr="00E438F7" w14:paraId="7480C72E" w14:textId="77777777">
        <w:trPr>
          <w:divId w:val="396128363"/>
          <w:trHeight w:val="300"/>
          <w:jc w:val="center"/>
        </w:trPr>
        <w:tc>
          <w:tcPr>
            <w:tcW w:w="0" w:type="auto"/>
            <w:tcBorders>
              <w:top w:val="nil"/>
              <w:left w:val="single" w:sz="8" w:space="0" w:color="auto"/>
              <w:bottom w:val="nil"/>
              <w:right w:val="single" w:sz="8" w:space="0" w:color="auto"/>
            </w:tcBorders>
            <w:shd w:val="clear" w:color="auto" w:fill="222B35"/>
            <w:noWrap/>
            <w:vAlign w:val="bottom"/>
            <w:hideMark/>
          </w:tcPr>
          <w:p w14:paraId="341D52E3" w14:textId="77777777" w:rsidR="00E438F7" w:rsidRPr="00E438F7" w:rsidRDefault="00E438F7" w:rsidP="00E438F7">
            <w:pPr>
              <w:spacing w:before="120" w:after="120" w:line="360" w:lineRule="auto"/>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Property and Equipment</w:t>
            </w:r>
          </w:p>
        </w:tc>
        <w:tc>
          <w:tcPr>
            <w:tcW w:w="0" w:type="auto"/>
            <w:noWrap/>
            <w:vAlign w:val="bottom"/>
            <w:hideMark/>
          </w:tcPr>
          <w:p w14:paraId="6401A036"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1,800,000</w:t>
            </w:r>
          </w:p>
        </w:tc>
        <w:tc>
          <w:tcPr>
            <w:tcW w:w="0" w:type="auto"/>
            <w:noWrap/>
            <w:vAlign w:val="bottom"/>
            <w:hideMark/>
          </w:tcPr>
          <w:p w14:paraId="2D6C17FA"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2,000,000</w:t>
            </w:r>
          </w:p>
        </w:tc>
        <w:tc>
          <w:tcPr>
            <w:tcW w:w="0" w:type="auto"/>
            <w:tcBorders>
              <w:top w:val="nil"/>
              <w:left w:val="nil"/>
              <w:bottom w:val="nil"/>
              <w:right w:val="single" w:sz="8" w:space="0" w:color="auto"/>
            </w:tcBorders>
            <w:noWrap/>
            <w:vAlign w:val="bottom"/>
            <w:hideMark/>
          </w:tcPr>
          <w:p w14:paraId="26E09BED"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2,000,000</w:t>
            </w:r>
          </w:p>
        </w:tc>
        <w:tc>
          <w:tcPr>
            <w:tcW w:w="0" w:type="auto"/>
            <w:noWrap/>
            <w:vAlign w:val="bottom"/>
            <w:hideMark/>
          </w:tcPr>
          <w:p w14:paraId="11CA9F3A"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97.30%</w:t>
            </w:r>
          </w:p>
        </w:tc>
        <w:tc>
          <w:tcPr>
            <w:tcW w:w="0" w:type="auto"/>
            <w:noWrap/>
            <w:vAlign w:val="bottom"/>
            <w:hideMark/>
          </w:tcPr>
          <w:p w14:paraId="254B3C87"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94.34%</w:t>
            </w:r>
          </w:p>
        </w:tc>
        <w:tc>
          <w:tcPr>
            <w:tcW w:w="0" w:type="auto"/>
            <w:tcBorders>
              <w:top w:val="nil"/>
              <w:left w:val="nil"/>
              <w:bottom w:val="nil"/>
              <w:right w:val="single" w:sz="8" w:space="0" w:color="auto"/>
            </w:tcBorders>
            <w:noWrap/>
            <w:vAlign w:val="bottom"/>
            <w:hideMark/>
          </w:tcPr>
          <w:p w14:paraId="525DD352"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93.02%</w:t>
            </w:r>
          </w:p>
        </w:tc>
      </w:tr>
      <w:tr w:rsidR="00E438F7" w:rsidRPr="00E438F7" w14:paraId="6E49C0FA" w14:textId="77777777">
        <w:trPr>
          <w:divId w:val="396128363"/>
          <w:trHeight w:val="300"/>
          <w:jc w:val="center"/>
        </w:trPr>
        <w:tc>
          <w:tcPr>
            <w:tcW w:w="0" w:type="auto"/>
            <w:tcBorders>
              <w:top w:val="nil"/>
              <w:left w:val="single" w:sz="8" w:space="0" w:color="auto"/>
              <w:bottom w:val="nil"/>
              <w:right w:val="single" w:sz="8" w:space="0" w:color="auto"/>
            </w:tcBorders>
            <w:shd w:val="clear" w:color="auto" w:fill="222B35"/>
            <w:noWrap/>
            <w:vAlign w:val="bottom"/>
            <w:hideMark/>
          </w:tcPr>
          <w:p w14:paraId="0B661A1D" w14:textId="77777777" w:rsidR="00E438F7" w:rsidRPr="00E438F7" w:rsidRDefault="00E438F7" w:rsidP="00E438F7">
            <w:pPr>
              <w:spacing w:before="120" w:after="120" w:line="360" w:lineRule="auto"/>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Total Assets</w:t>
            </w:r>
          </w:p>
        </w:tc>
        <w:tc>
          <w:tcPr>
            <w:tcW w:w="0" w:type="auto"/>
            <w:noWrap/>
            <w:vAlign w:val="bottom"/>
            <w:hideMark/>
          </w:tcPr>
          <w:p w14:paraId="67047B50"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1,850,000</w:t>
            </w:r>
          </w:p>
        </w:tc>
        <w:tc>
          <w:tcPr>
            <w:tcW w:w="0" w:type="auto"/>
            <w:noWrap/>
            <w:vAlign w:val="bottom"/>
            <w:hideMark/>
          </w:tcPr>
          <w:p w14:paraId="31FB8F6B"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2,120,000</w:t>
            </w:r>
          </w:p>
        </w:tc>
        <w:tc>
          <w:tcPr>
            <w:tcW w:w="0" w:type="auto"/>
            <w:tcBorders>
              <w:top w:val="nil"/>
              <w:left w:val="nil"/>
              <w:bottom w:val="nil"/>
              <w:right w:val="single" w:sz="8" w:space="0" w:color="auto"/>
            </w:tcBorders>
            <w:noWrap/>
            <w:vAlign w:val="bottom"/>
            <w:hideMark/>
          </w:tcPr>
          <w:p w14:paraId="1AB9D02B"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2,150,000</w:t>
            </w:r>
          </w:p>
        </w:tc>
        <w:tc>
          <w:tcPr>
            <w:tcW w:w="0" w:type="auto"/>
            <w:noWrap/>
            <w:vAlign w:val="bottom"/>
            <w:hideMark/>
          </w:tcPr>
          <w:p w14:paraId="6573C25B"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100.00%</w:t>
            </w:r>
          </w:p>
        </w:tc>
        <w:tc>
          <w:tcPr>
            <w:tcW w:w="0" w:type="auto"/>
            <w:noWrap/>
            <w:vAlign w:val="bottom"/>
            <w:hideMark/>
          </w:tcPr>
          <w:p w14:paraId="24F41ADD"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100.00%</w:t>
            </w:r>
          </w:p>
        </w:tc>
        <w:tc>
          <w:tcPr>
            <w:tcW w:w="0" w:type="auto"/>
            <w:tcBorders>
              <w:top w:val="nil"/>
              <w:left w:val="nil"/>
              <w:bottom w:val="nil"/>
              <w:right w:val="single" w:sz="8" w:space="0" w:color="auto"/>
            </w:tcBorders>
            <w:noWrap/>
            <w:vAlign w:val="bottom"/>
            <w:hideMark/>
          </w:tcPr>
          <w:p w14:paraId="43B76926"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100.00%</w:t>
            </w:r>
          </w:p>
        </w:tc>
      </w:tr>
      <w:tr w:rsidR="00E438F7" w:rsidRPr="00E438F7" w14:paraId="1AE6C420" w14:textId="77777777">
        <w:trPr>
          <w:divId w:val="396128363"/>
          <w:trHeight w:val="300"/>
          <w:jc w:val="center"/>
        </w:trPr>
        <w:tc>
          <w:tcPr>
            <w:tcW w:w="0" w:type="auto"/>
            <w:tcBorders>
              <w:top w:val="nil"/>
              <w:left w:val="single" w:sz="8" w:space="0" w:color="auto"/>
              <w:bottom w:val="nil"/>
              <w:right w:val="single" w:sz="8" w:space="0" w:color="auto"/>
            </w:tcBorders>
            <w:shd w:val="clear" w:color="auto" w:fill="222B35"/>
            <w:noWrap/>
            <w:vAlign w:val="bottom"/>
            <w:hideMark/>
          </w:tcPr>
          <w:p w14:paraId="1E7D1F6C" w14:textId="77777777" w:rsidR="00E438F7" w:rsidRPr="00E438F7" w:rsidRDefault="00E438F7" w:rsidP="00E438F7">
            <w:pPr>
              <w:spacing w:before="120" w:after="120" w:line="360" w:lineRule="auto"/>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 </w:t>
            </w:r>
          </w:p>
        </w:tc>
        <w:tc>
          <w:tcPr>
            <w:tcW w:w="0" w:type="auto"/>
            <w:noWrap/>
            <w:vAlign w:val="bottom"/>
            <w:hideMark/>
          </w:tcPr>
          <w:p w14:paraId="412B3B97" w14:textId="77777777" w:rsidR="00E438F7" w:rsidRPr="00E438F7" w:rsidRDefault="00E438F7" w:rsidP="00E438F7">
            <w:pPr>
              <w:spacing w:line="360" w:lineRule="auto"/>
              <w:ind w:firstLine="284"/>
              <w:jc w:val="both"/>
              <w:rPr>
                <w:rFonts w:ascii="Arial" w:eastAsia="Times New Roman" w:hAnsi="Arial" w:cs="Arial"/>
                <w:b/>
                <w:bCs/>
                <w:color w:val="FFFFFF"/>
                <w:kern w:val="0"/>
                <w:sz w:val="22"/>
                <w:szCs w:val="22"/>
                <w:lang w:val="en-US"/>
                <w14:ligatures w14:val="none"/>
              </w:rPr>
            </w:pPr>
          </w:p>
        </w:tc>
        <w:tc>
          <w:tcPr>
            <w:tcW w:w="0" w:type="auto"/>
            <w:noWrap/>
            <w:vAlign w:val="bottom"/>
            <w:hideMark/>
          </w:tcPr>
          <w:p w14:paraId="3299E307" w14:textId="77777777" w:rsidR="00E438F7" w:rsidRPr="00E438F7" w:rsidRDefault="00E438F7" w:rsidP="00E438F7">
            <w:pPr>
              <w:spacing w:after="0" w:line="256" w:lineRule="auto"/>
              <w:rPr>
                <w:rFonts w:eastAsiaTheme="minorHAnsi"/>
                <w:kern w:val="0"/>
                <w:sz w:val="20"/>
                <w:szCs w:val="20"/>
                <w14:ligatures w14:val="none"/>
              </w:rPr>
            </w:pPr>
          </w:p>
        </w:tc>
        <w:tc>
          <w:tcPr>
            <w:tcW w:w="0" w:type="auto"/>
            <w:tcBorders>
              <w:top w:val="nil"/>
              <w:left w:val="nil"/>
              <w:bottom w:val="nil"/>
              <w:right w:val="single" w:sz="8" w:space="0" w:color="auto"/>
            </w:tcBorders>
            <w:noWrap/>
            <w:vAlign w:val="bottom"/>
            <w:hideMark/>
          </w:tcPr>
          <w:p w14:paraId="54A74ED8" w14:textId="77777777" w:rsidR="00E438F7" w:rsidRPr="00E438F7" w:rsidRDefault="00E438F7" w:rsidP="00E438F7">
            <w:pPr>
              <w:spacing w:before="120" w:after="120" w:line="360" w:lineRule="auto"/>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 </w:t>
            </w:r>
          </w:p>
        </w:tc>
        <w:tc>
          <w:tcPr>
            <w:tcW w:w="0" w:type="auto"/>
            <w:noWrap/>
            <w:vAlign w:val="bottom"/>
            <w:hideMark/>
          </w:tcPr>
          <w:p w14:paraId="3188A35D" w14:textId="77777777" w:rsidR="00E438F7" w:rsidRPr="00E438F7" w:rsidRDefault="00E438F7" w:rsidP="00E438F7">
            <w:pPr>
              <w:spacing w:before="120" w:after="120" w:line="360" w:lineRule="auto"/>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 </w:t>
            </w:r>
          </w:p>
        </w:tc>
        <w:tc>
          <w:tcPr>
            <w:tcW w:w="0" w:type="auto"/>
            <w:noWrap/>
            <w:vAlign w:val="bottom"/>
            <w:hideMark/>
          </w:tcPr>
          <w:p w14:paraId="61EFFA07" w14:textId="77777777" w:rsidR="00E438F7" w:rsidRPr="00E438F7" w:rsidRDefault="00E438F7" w:rsidP="00E438F7">
            <w:pPr>
              <w:spacing w:line="360" w:lineRule="auto"/>
              <w:ind w:firstLine="284"/>
              <w:jc w:val="both"/>
              <w:rPr>
                <w:rFonts w:ascii="Arial" w:eastAsia="Times New Roman" w:hAnsi="Arial" w:cs="Arial"/>
                <w:color w:val="000000"/>
                <w:kern w:val="0"/>
                <w:sz w:val="22"/>
                <w:szCs w:val="22"/>
                <w:lang w:val="en-US"/>
                <w14:ligatures w14:val="none"/>
              </w:rPr>
            </w:pPr>
          </w:p>
        </w:tc>
        <w:tc>
          <w:tcPr>
            <w:tcW w:w="0" w:type="auto"/>
            <w:tcBorders>
              <w:top w:val="nil"/>
              <w:left w:val="nil"/>
              <w:bottom w:val="nil"/>
              <w:right w:val="single" w:sz="8" w:space="0" w:color="auto"/>
            </w:tcBorders>
            <w:noWrap/>
            <w:vAlign w:val="bottom"/>
            <w:hideMark/>
          </w:tcPr>
          <w:p w14:paraId="4E57D72D" w14:textId="77777777" w:rsidR="00E438F7" w:rsidRPr="00E438F7" w:rsidRDefault="00E438F7" w:rsidP="00E438F7">
            <w:pPr>
              <w:spacing w:before="120" w:after="120" w:line="360" w:lineRule="auto"/>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 </w:t>
            </w:r>
          </w:p>
        </w:tc>
      </w:tr>
      <w:tr w:rsidR="00E438F7" w:rsidRPr="00E438F7" w14:paraId="21512420" w14:textId="77777777">
        <w:trPr>
          <w:divId w:val="396128363"/>
          <w:trHeight w:val="300"/>
          <w:jc w:val="center"/>
        </w:trPr>
        <w:tc>
          <w:tcPr>
            <w:tcW w:w="0" w:type="auto"/>
            <w:tcBorders>
              <w:top w:val="nil"/>
              <w:left w:val="single" w:sz="8" w:space="0" w:color="auto"/>
              <w:bottom w:val="nil"/>
              <w:right w:val="single" w:sz="8" w:space="0" w:color="auto"/>
            </w:tcBorders>
            <w:shd w:val="clear" w:color="auto" w:fill="222B35"/>
            <w:noWrap/>
            <w:vAlign w:val="bottom"/>
            <w:hideMark/>
          </w:tcPr>
          <w:p w14:paraId="21FEACE2" w14:textId="77777777" w:rsidR="00E438F7" w:rsidRPr="00E438F7" w:rsidRDefault="00E438F7" w:rsidP="00E438F7">
            <w:pPr>
              <w:spacing w:before="120" w:after="120" w:line="360" w:lineRule="auto"/>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Accounts Payable</w:t>
            </w:r>
          </w:p>
        </w:tc>
        <w:tc>
          <w:tcPr>
            <w:tcW w:w="0" w:type="auto"/>
            <w:noWrap/>
            <w:vAlign w:val="bottom"/>
            <w:hideMark/>
          </w:tcPr>
          <w:p w14:paraId="423B28DA"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50,000</w:t>
            </w:r>
          </w:p>
        </w:tc>
        <w:tc>
          <w:tcPr>
            <w:tcW w:w="0" w:type="auto"/>
            <w:noWrap/>
            <w:vAlign w:val="bottom"/>
            <w:hideMark/>
          </w:tcPr>
          <w:p w14:paraId="729B095C"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40,000</w:t>
            </w:r>
          </w:p>
        </w:tc>
        <w:tc>
          <w:tcPr>
            <w:tcW w:w="0" w:type="auto"/>
            <w:tcBorders>
              <w:top w:val="nil"/>
              <w:left w:val="nil"/>
              <w:bottom w:val="nil"/>
              <w:right w:val="single" w:sz="8" w:space="0" w:color="auto"/>
            </w:tcBorders>
            <w:noWrap/>
            <w:vAlign w:val="bottom"/>
            <w:hideMark/>
          </w:tcPr>
          <w:p w14:paraId="40C30A47"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30,000</w:t>
            </w:r>
          </w:p>
        </w:tc>
        <w:tc>
          <w:tcPr>
            <w:tcW w:w="0" w:type="auto"/>
            <w:noWrap/>
            <w:vAlign w:val="bottom"/>
            <w:hideMark/>
          </w:tcPr>
          <w:p w14:paraId="156E2960"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2.70%</w:t>
            </w:r>
          </w:p>
        </w:tc>
        <w:tc>
          <w:tcPr>
            <w:tcW w:w="0" w:type="auto"/>
            <w:noWrap/>
            <w:vAlign w:val="bottom"/>
            <w:hideMark/>
          </w:tcPr>
          <w:p w14:paraId="3E360AB6"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1.89%</w:t>
            </w:r>
          </w:p>
        </w:tc>
        <w:tc>
          <w:tcPr>
            <w:tcW w:w="0" w:type="auto"/>
            <w:tcBorders>
              <w:top w:val="nil"/>
              <w:left w:val="nil"/>
              <w:bottom w:val="nil"/>
              <w:right w:val="single" w:sz="8" w:space="0" w:color="auto"/>
            </w:tcBorders>
            <w:noWrap/>
            <w:vAlign w:val="bottom"/>
            <w:hideMark/>
          </w:tcPr>
          <w:p w14:paraId="3A45C2DB"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1.40%</w:t>
            </w:r>
          </w:p>
        </w:tc>
      </w:tr>
      <w:tr w:rsidR="00E438F7" w:rsidRPr="00E438F7" w14:paraId="1C8CEE62" w14:textId="77777777">
        <w:trPr>
          <w:divId w:val="396128363"/>
          <w:trHeight w:val="300"/>
          <w:jc w:val="center"/>
        </w:trPr>
        <w:tc>
          <w:tcPr>
            <w:tcW w:w="0" w:type="auto"/>
            <w:tcBorders>
              <w:top w:val="nil"/>
              <w:left w:val="single" w:sz="8" w:space="0" w:color="auto"/>
              <w:bottom w:val="nil"/>
              <w:right w:val="single" w:sz="8" w:space="0" w:color="auto"/>
            </w:tcBorders>
            <w:shd w:val="clear" w:color="auto" w:fill="222B35"/>
            <w:noWrap/>
            <w:vAlign w:val="bottom"/>
            <w:hideMark/>
          </w:tcPr>
          <w:p w14:paraId="40E3ADED" w14:textId="77777777" w:rsidR="00E438F7" w:rsidRPr="00E438F7" w:rsidRDefault="00E438F7" w:rsidP="00E438F7">
            <w:pPr>
              <w:spacing w:before="120" w:after="120" w:line="360" w:lineRule="auto"/>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Long-term Debt</w:t>
            </w:r>
          </w:p>
        </w:tc>
        <w:tc>
          <w:tcPr>
            <w:tcW w:w="0" w:type="auto"/>
            <w:noWrap/>
            <w:vAlign w:val="bottom"/>
            <w:hideMark/>
          </w:tcPr>
          <w:p w14:paraId="79942FD1"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1,500,000</w:t>
            </w:r>
          </w:p>
        </w:tc>
        <w:tc>
          <w:tcPr>
            <w:tcW w:w="0" w:type="auto"/>
            <w:noWrap/>
            <w:vAlign w:val="bottom"/>
            <w:hideMark/>
          </w:tcPr>
          <w:p w14:paraId="44FB5325" w14:textId="77777777" w:rsidR="00E438F7" w:rsidRPr="00E438F7" w:rsidRDefault="00E438F7" w:rsidP="00E438F7">
            <w:pPr>
              <w:spacing w:before="120" w:after="120" w:line="360" w:lineRule="auto"/>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 xml:space="preserve">  1,500,000 </w:t>
            </w:r>
          </w:p>
        </w:tc>
        <w:tc>
          <w:tcPr>
            <w:tcW w:w="0" w:type="auto"/>
            <w:tcBorders>
              <w:top w:val="nil"/>
              <w:left w:val="nil"/>
              <w:bottom w:val="nil"/>
              <w:right w:val="single" w:sz="8" w:space="0" w:color="auto"/>
            </w:tcBorders>
            <w:noWrap/>
            <w:vAlign w:val="bottom"/>
            <w:hideMark/>
          </w:tcPr>
          <w:p w14:paraId="78B193C5"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1,500,000</w:t>
            </w:r>
          </w:p>
        </w:tc>
        <w:tc>
          <w:tcPr>
            <w:tcW w:w="0" w:type="auto"/>
            <w:noWrap/>
            <w:vAlign w:val="bottom"/>
            <w:hideMark/>
          </w:tcPr>
          <w:p w14:paraId="4F7EEAE5"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81.08%</w:t>
            </w:r>
          </w:p>
        </w:tc>
        <w:tc>
          <w:tcPr>
            <w:tcW w:w="0" w:type="auto"/>
            <w:noWrap/>
            <w:vAlign w:val="bottom"/>
            <w:hideMark/>
          </w:tcPr>
          <w:p w14:paraId="53063678"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70.75%</w:t>
            </w:r>
          </w:p>
        </w:tc>
        <w:tc>
          <w:tcPr>
            <w:tcW w:w="0" w:type="auto"/>
            <w:tcBorders>
              <w:top w:val="nil"/>
              <w:left w:val="nil"/>
              <w:bottom w:val="nil"/>
              <w:right w:val="single" w:sz="8" w:space="0" w:color="auto"/>
            </w:tcBorders>
            <w:noWrap/>
            <w:vAlign w:val="bottom"/>
            <w:hideMark/>
          </w:tcPr>
          <w:p w14:paraId="30648D49"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69.77%</w:t>
            </w:r>
          </w:p>
        </w:tc>
      </w:tr>
      <w:tr w:rsidR="00E438F7" w:rsidRPr="00E438F7" w14:paraId="06F029E5" w14:textId="77777777">
        <w:trPr>
          <w:divId w:val="396128363"/>
          <w:trHeight w:val="315"/>
          <w:jc w:val="center"/>
        </w:trPr>
        <w:tc>
          <w:tcPr>
            <w:tcW w:w="0" w:type="auto"/>
            <w:tcBorders>
              <w:top w:val="nil"/>
              <w:left w:val="single" w:sz="8" w:space="0" w:color="auto"/>
              <w:bottom w:val="nil"/>
              <w:right w:val="single" w:sz="8" w:space="0" w:color="auto"/>
            </w:tcBorders>
            <w:shd w:val="clear" w:color="auto" w:fill="222B35"/>
            <w:noWrap/>
            <w:vAlign w:val="bottom"/>
            <w:hideMark/>
          </w:tcPr>
          <w:p w14:paraId="65A1D64E" w14:textId="77777777" w:rsidR="00E438F7" w:rsidRPr="00E438F7" w:rsidRDefault="00E438F7" w:rsidP="00E438F7">
            <w:pPr>
              <w:spacing w:before="120" w:after="120" w:line="360" w:lineRule="auto"/>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Total Liabilities</w:t>
            </w:r>
          </w:p>
        </w:tc>
        <w:tc>
          <w:tcPr>
            <w:tcW w:w="0" w:type="auto"/>
            <w:noWrap/>
            <w:vAlign w:val="bottom"/>
            <w:hideMark/>
          </w:tcPr>
          <w:p w14:paraId="0CA74ABA"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1,550,000</w:t>
            </w:r>
          </w:p>
        </w:tc>
        <w:tc>
          <w:tcPr>
            <w:tcW w:w="0" w:type="auto"/>
            <w:noWrap/>
            <w:vAlign w:val="bottom"/>
            <w:hideMark/>
          </w:tcPr>
          <w:p w14:paraId="08EA73A0"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1,540,000</w:t>
            </w:r>
          </w:p>
        </w:tc>
        <w:tc>
          <w:tcPr>
            <w:tcW w:w="0" w:type="auto"/>
            <w:tcBorders>
              <w:top w:val="nil"/>
              <w:left w:val="nil"/>
              <w:bottom w:val="nil"/>
              <w:right w:val="single" w:sz="8" w:space="0" w:color="auto"/>
            </w:tcBorders>
            <w:noWrap/>
            <w:vAlign w:val="bottom"/>
            <w:hideMark/>
          </w:tcPr>
          <w:p w14:paraId="2562817E"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1,530,000</w:t>
            </w:r>
          </w:p>
        </w:tc>
        <w:tc>
          <w:tcPr>
            <w:tcW w:w="0" w:type="auto"/>
            <w:noWrap/>
            <w:vAlign w:val="bottom"/>
            <w:hideMark/>
          </w:tcPr>
          <w:p w14:paraId="4F0E735F"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83.78%</w:t>
            </w:r>
          </w:p>
        </w:tc>
        <w:tc>
          <w:tcPr>
            <w:tcW w:w="0" w:type="auto"/>
            <w:noWrap/>
            <w:vAlign w:val="bottom"/>
            <w:hideMark/>
          </w:tcPr>
          <w:p w14:paraId="786CF0FB"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72.64%</w:t>
            </w:r>
          </w:p>
        </w:tc>
        <w:tc>
          <w:tcPr>
            <w:tcW w:w="0" w:type="auto"/>
            <w:tcBorders>
              <w:top w:val="nil"/>
              <w:left w:val="nil"/>
              <w:bottom w:val="nil"/>
              <w:right w:val="single" w:sz="8" w:space="0" w:color="auto"/>
            </w:tcBorders>
            <w:noWrap/>
            <w:vAlign w:val="bottom"/>
            <w:hideMark/>
          </w:tcPr>
          <w:p w14:paraId="0665B57D"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71.16%</w:t>
            </w:r>
          </w:p>
        </w:tc>
      </w:tr>
      <w:tr w:rsidR="00E438F7" w:rsidRPr="00E438F7" w14:paraId="79639A5B" w14:textId="77777777">
        <w:trPr>
          <w:divId w:val="396128363"/>
          <w:trHeight w:val="300"/>
          <w:jc w:val="center"/>
        </w:trPr>
        <w:tc>
          <w:tcPr>
            <w:tcW w:w="0" w:type="auto"/>
            <w:tcBorders>
              <w:top w:val="nil"/>
              <w:left w:val="single" w:sz="8" w:space="0" w:color="auto"/>
              <w:bottom w:val="nil"/>
              <w:right w:val="single" w:sz="8" w:space="0" w:color="auto"/>
            </w:tcBorders>
            <w:shd w:val="clear" w:color="auto" w:fill="222B35"/>
            <w:noWrap/>
            <w:vAlign w:val="bottom"/>
            <w:hideMark/>
          </w:tcPr>
          <w:p w14:paraId="4683F37C" w14:textId="77777777" w:rsidR="00E438F7" w:rsidRPr="00E438F7" w:rsidRDefault="00E438F7" w:rsidP="00E438F7">
            <w:pPr>
              <w:spacing w:before="120" w:after="120" w:line="360" w:lineRule="auto"/>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 </w:t>
            </w:r>
          </w:p>
        </w:tc>
        <w:tc>
          <w:tcPr>
            <w:tcW w:w="0" w:type="auto"/>
            <w:noWrap/>
            <w:vAlign w:val="bottom"/>
            <w:hideMark/>
          </w:tcPr>
          <w:p w14:paraId="4F20A5DA" w14:textId="77777777" w:rsidR="00E438F7" w:rsidRPr="00E438F7" w:rsidRDefault="00E438F7" w:rsidP="00E438F7">
            <w:pPr>
              <w:spacing w:line="360" w:lineRule="auto"/>
              <w:ind w:firstLine="284"/>
              <w:jc w:val="both"/>
              <w:rPr>
                <w:rFonts w:ascii="Arial" w:eastAsia="Times New Roman" w:hAnsi="Arial" w:cs="Arial"/>
                <w:b/>
                <w:bCs/>
                <w:color w:val="FFFFFF"/>
                <w:kern w:val="0"/>
                <w:sz w:val="22"/>
                <w:szCs w:val="22"/>
                <w:lang w:val="en-US"/>
                <w14:ligatures w14:val="none"/>
              </w:rPr>
            </w:pPr>
          </w:p>
        </w:tc>
        <w:tc>
          <w:tcPr>
            <w:tcW w:w="0" w:type="auto"/>
            <w:noWrap/>
            <w:vAlign w:val="bottom"/>
            <w:hideMark/>
          </w:tcPr>
          <w:p w14:paraId="328772D0" w14:textId="77777777" w:rsidR="00E438F7" w:rsidRPr="00E438F7" w:rsidRDefault="00E438F7" w:rsidP="00E438F7">
            <w:pPr>
              <w:spacing w:after="0" w:line="256" w:lineRule="auto"/>
              <w:rPr>
                <w:rFonts w:eastAsiaTheme="minorHAnsi"/>
                <w:kern w:val="0"/>
                <w:sz w:val="20"/>
                <w:szCs w:val="20"/>
                <w14:ligatures w14:val="none"/>
              </w:rPr>
            </w:pPr>
          </w:p>
        </w:tc>
        <w:tc>
          <w:tcPr>
            <w:tcW w:w="0" w:type="auto"/>
            <w:tcBorders>
              <w:top w:val="nil"/>
              <w:left w:val="nil"/>
              <w:bottom w:val="nil"/>
              <w:right w:val="single" w:sz="8" w:space="0" w:color="auto"/>
            </w:tcBorders>
            <w:noWrap/>
            <w:vAlign w:val="bottom"/>
            <w:hideMark/>
          </w:tcPr>
          <w:p w14:paraId="114C6E81" w14:textId="77777777" w:rsidR="00E438F7" w:rsidRPr="00E438F7" w:rsidRDefault="00E438F7" w:rsidP="00E438F7">
            <w:pPr>
              <w:spacing w:before="120" w:after="120" w:line="360" w:lineRule="auto"/>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 </w:t>
            </w:r>
          </w:p>
        </w:tc>
        <w:tc>
          <w:tcPr>
            <w:tcW w:w="0" w:type="auto"/>
            <w:noWrap/>
            <w:vAlign w:val="bottom"/>
            <w:hideMark/>
          </w:tcPr>
          <w:p w14:paraId="3C3815A4" w14:textId="77777777" w:rsidR="00E438F7" w:rsidRPr="00E438F7" w:rsidRDefault="00E438F7" w:rsidP="00E438F7">
            <w:pPr>
              <w:spacing w:before="120" w:after="120" w:line="360" w:lineRule="auto"/>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 </w:t>
            </w:r>
          </w:p>
        </w:tc>
        <w:tc>
          <w:tcPr>
            <w:tcW w:w="0" w:type="auto"/>
            <w:noWrap/>
            <w:vAlign w:val="bottom"/>
            <w:hideMark/>
          </w:tcPr>
          <w:p w14:paraId="4EA3190E" w14:textId="77777777" w:rsidR="00E438F7" w:rsidRPr="00E438F7" w:rsidRDefault="00E438F7" w:rsidP="00E438F7">
            <w:pPr>
              <w:spacing w:line="360" w:lineRule="auto"/>
              <w:ind w:firstLine="284"/>
              <w:jc w:val="both"/>
              <w:rPr>
                <w:rFonts w:ascii="Arial" w:eastAsia="Times New Roman" w:hAnsi="Arial" w:cs="Arial"/>
                <w:color w:val="000000"/>
                <w:kern w:val="0"/>
                <w:sz w:val="22"/>
                <w:szCs w:val="22"/>
                <w:lang w:val="en-US"/>
                <w14:ligatures w14:val="none"/>
              </w:rPr>
            </w:pPr>
          </w:p>
        </w:tc>
        <w:tc>
          <w:tcPr>
            <w:tcW w:w="0" w:type="auto"/>
            <w:tcBorders>
              <w:top w:val="nil"/>
              <w:left w:val="nil"/>
              <w:bottom w:val="nil"/>
              <w:right w:val="single" w:sz="8" w:space="0" w:color="auto"/>
            </w:tcBorders>
            <w:noWrap/>
            <w:vAlign w:val="bottom"/>
            <w:hideMark/>
          </w:tcPr>
          <w:p w14:paraId="62051E2D" w14:textId="77777777" w:rsidR="00E438F7" w:rsidRPr="00E438F7" w:rsidRDefault="00E438F7" w:rsidP="00E438F7">
            <w:pPr>
              <w:spacing w:before="120" w:after="120" w:line="360" w:lineRule="auto"/>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 </w:t>
            </w:r>
          </w:p>
        </w:tc>
      </w:tr>
      <w:tr w:rsidR="00E438F7" w:rsidRPr="00E438F7" w14:paraId="779D6793" w14:textId="77777777">
        <w:trPr>
          <w:divId w:val="396128363"/>
          <w:trHeight w:val="315"/>
          <w:jc w:val="center"/>
        </w:trPr>
        <w:tc>
          <w:tcPr>
            <w:tcW w:w="0" w:type="auto"/>
            <w:tcBorders>
              <w:top w:val="nil"/>
              <w:left w:val="single" w:sz="8" w:space="0" w:color="auto"/>
              <w:bottom w:val="single" w:sz="8" w:space="0" w:color="auto"/>
              <w:right w:val="single" w:sz="8" w:space="0" w:color="auto"/>
            </w:tcBorders>
            <w:shd w:val="clear" w:color="auto" w:fill="222B35"/>
            <w:noWrap/>
            <w:vAlign w:val="bottom"/>
            <w:hideMark/>
          </w:tcPr>
          <w:p w14:paraId="7D25987B" w14:textId="77777777" w:rsidR="00E438F7" w:rsidRPr="00E438F7" w:rsidRDefault="00E438F7" w:rsidP="00E438F7">
            <w:pPr>
              <w:spacing w:before="120" w:after="120" w:line="360" w:lineRule="auto"/>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Equity</w:t>
            </w:r>
          </w:p>
        </w:tc>
        <w:tc>
          <w:tcPr>
            <w:tcW w:w="0" w:type="auto"/>
            <w:tcBorders>
              <w:top w:val="nil"/>
              <w:left w:val="nil"/>
              <w:bottom w:val="single" w:sz="8" w:space="0" w:color="auto"/>
              <w:right w:val="nil"/>
            </w:tcBorders>
            <w:noWrap/>
            <w:vAlign w:val="bottom"/>
            <w:hideMark/>
          </w:tcPr>
          <w:p w14:paraId="26579774"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300,000</w:t>
            </w:r>
          </w:p>
        </w:tc>
        <w:tc>
          <w:tcPr>
            <w:tcW w:w="0" w:type="auto"/>
            <w:tcBorders>
              <w:top w:val="nil"/>
              <w:left w:val="nil"/>
              <w:bottom w:val="single" w:sz="8" w:space="0" w:color="auto"/>
              <w:right w:val="nil"/>
            </w:tcBorders>
            <w:noWrap/>
            <w:vAlign w:val="bottom"/>
            <w:hideMark/>
          </w:tcPr>
          <w:p w14:paraId="0959FEDB"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580,000</w:t>
            </w:r>
          </w:p>
        </w:tc>
        <w:tc>
          <w:tcPr>
            <w:tcW w:w="0" w:type="auto"/>
            <w:tcBorders>
              <w:top w:val="nil"/>
              <w:left w:val="nil"/>
              <w:bottom w:val="single" w:sz="8" w:space="0" w:color="auto"/>
              <w:right w:val="single" w:sz="8" w:space="0" w:color="auto"/>
            </w:tcBorders>
            <w:noWrap/>
            <w:vAlign w:val="bottom"/>
            <w:hideMark/>
          </w:tcPr>
          <w:p w14:paraId="5C92D67F"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620,000</w:t>
            </w:r>
          </w:p>
        </w:tc>
        <w:tc>
          <w:tcPr>
            <w:tcW w:w="0" w:type="auto"/>
            <w:tcBorders>
              <w:top w:val="nil"/>
              <w:left w:val="nil"/>
              <w:bottom w:val="single" w:sz="8" w:space="0" w:color="auto"/>
              <w:right w:val="nil"/>
            </w:tcBorders>
            <w:noWrap/>
            <w:vAlign w:val="bottom"/>
            <w:hideMark/>
          </w:tcPr>
          <w:p w14:paraId="083BB629"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16.22%</w:t>
            </w:r>
          </w:p>
        </w:tc>
        <w:tc>
          <w:tcPr>
            <w:tcW w:w="0" w:type="auto"/>
            <w:tcBorders>
              <w:top w:val="nil"/>
              <w:left w:val="nil"/>
              <w:bottom w:val="single" w:sz="8" w:space="0" w:color="auto"/>
              <w:right w:val="nil"/>
            </w:tcBorders>
            <w:noWrap/>
            <w:vAlign w:val="bottom"/>
            <w:hideMark/>
          </w:tcPr>
          <w:p w14:paraId="75C7E535"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27.36%</w:t>
            </w:r>
          </w:p>
        </w:tc>
        <w:tc>
          <w:tcPr>
            <w:tcW w:w="0" w:type="auto"/>
            <w:tcBorders>
              <w:top w:val="nil"/>
              <w:left w:val="nil"/>
              <w:bottom w:val="single" w:sz="8" w:space="0" w:color="auto"/>
              <w:right w:val="single" w:sz="8" w:space="0" w:color="auto"/>
            </w:tcBorders>
            <w:noWrap/>
            <w:vAlign w:val="bottom"/>
            <w:hideMark/>
          </w:tcPr>
          <w:p w14:paraId="10B129CD"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28.84%</w:t>
            </w:r>
          </w:p>
        </w:tc>
      </w:tr>
    </w:tbl>
    <w:p w14:paraId="6C9B64E4" w14:textId="77777777" w:rsidR="00E438F7" w:rsidRPr="00E438F7" w:rsidRDefault="00E438F7" w:rsidP="00E438F7">
      <w:pPr>
        <w:spacing w:before="120" w:after="120" w:line="360" w:lineRule="auto"/>
        <w:jc w:val="both"/>
        <w:divId w:val="396128363"/>
        <w:rPr>
          <w:rFonts w:ascii="Arial" w:eastAsiaTheme="minorHAnsi" w:hAnsi="Arial" w:cs="Arial"/>
          <w:sz w:val="22"/>
          <w:szCs w:val="22"/>
          <w:lang w:val="en-US" w:eastAsia="en-US"/>
        </w:rPr>
      </w:pPr>
    </w:p>
    <w:p w14:paraId="207A6DA6" w14:textId="77777777" w:rsidR="00E438F7" w:rsidRPr="00E438F7" w:rsidRDefault="00E438F7" w:rsidP="00E438F7">
      <w:pPr>
        <w:spacing w:before="120" w:after="120" w:line="360" w:lineRule="auto"/>
        <w:ind w:firstLine="284"/>
        <w:jc w:val="both"/>
        <w:divId w:val="396128363"/>
        <w:rPr>
          <w:rFonts w:ascii="Arial" w:eastAsiaTheme="minorHAnsi" w:hAnsi="Arial" w:cs="Arial"/>
          <w:sz w:val="22"/>
          <w:szCs w:val="22"/>
          <w:lang w:eastAsia="en-US"/>
        </w:rPr>
      </w:pPr>
      <w:r w:rsidRPr="00E438F7">
        <w:rPr>
          <w:rFonts w:ascii="Arial" w:eastAsiaTheme="minorHAnsi" w:hAnsi="Arial" w:cs="Arial"/>
          <w:sz w:val="22"/>
          <w:szCs w:val="22"/>
          <w:lang w:eastAsia="en-US"/>
        </w:rPr>
        <w:t xml:space="preserve">Private and operational assets include 93.10% in 2020, 94.02% in 2021, and 97.04% in 2022 and 2023. The resort's massive expenditure on land and equipment shows its devotion to its infrastructure, but also raises issues about whether it needs to </w:t>
      </w:r>
      <w:proofErr w:type="spellStart"/>
      <w:r w:rsidRPr="00E438F7">
        <w:rPr>
          <w:rFonts w:ascii="Arial" w:eastAsiaTheme="minorHAnsi" w:hAnsi="Arial" w:cs="Arial"/>
          <w:sz w:val="22"/>
          <w:szCs w:val="22"/>
          <w:lang w:eastAsia="en-US"/>
        </w:rPr>
        <w:t>modernize</w:t>
      </w:r>
      <w:proofErr w:type="spellEnd"/>
      <w:r w:rsidRPr="00E438F7">
        <w:rPr>
          <w:rFonts w:ascii="Arial" w:eastAsiaTheme="minorHAnsi" w:hAnsi="Arial" w:cs="Arial"/>
          <w:sz w:val="22"/>
          <w:szCs w:val="22"/>
          <w:lang w:eastAsia="en-US"/>
        </w:rPr>
        <w:t xml:space="preserve"> and enhance to satisfy guests (</w:t>
      </w:r>
      <w:r w:rsidRPr="00E438F7">
        <w:rPr>
          <w:rFonts w:ascii="Arial" w:eastAsiaTheme="minorHAnsi" w:hAnsi="Arial" w:cs="Arial"/>
          <w:sz w:val="22"/>
          <w:szCs w:val="22"/>
          <w:shd w:val="clear" w:color="auto" w:fill="FFFFFF"/>
          <w:lang w:eastAsia="en-US"/>
        </w:rPr>
        <w:t>Shapiro, 2019</w:t>
      </w:r>
      <w:r w:rsidRPr="00E438F7">
        <w:rPr>
          <w:rFonts w:ascii="Arial" w:eastAsiaTheme="minorHAnsi" w:hAnsi="Arial" w:cs="Arial"/>
          <w:sz w:val="22"/>
          <w:szCs w:val="22"/>
          <w:lang w:eastAsia="en-US"/>
        </w:rPr>
        <w:t xml:space="preserve">). It may be required to consciously spend money on services </w:t>
      </w:r>
      <w:r w:rsidRPr="00E438F7">
        <w:rPr>
          <w:rFonts w:ascii="Arial" w:eastAsiaTheme="minorHAnsi" w:hAnsi="Arial" w:cs="Arial"/>
          <w:sz w:val="22"/>
          <w:szCs w:val="22"/>
          <w:lang w:eastAsia="en-US"/>
        </w:rPr>
        <w:lastRenderedPageBreak/>
        <w:t>and facilities to offset a fall in client satisfaction. Following a 1.40% increase in 2021, accounts payable increased to 1.89% in 2022 and 2.70% in 2023. This emerging trend represents an increase in the load of current financial obligations and highlights the importance of loan management to prevent liquidity concerns. Major liabilities long-term debt climbed from 69.77% in 2021 to 70.75% in 2022 and 81.08% in 2023. This advises using more long-term financing, which may limit the resort's financial flexibility (</w:t>
      </w:r>
      <w:r w:rsidRPr="00E438F7">
        <w:rPr>
          <w:rFonts w:ascii="Arial" w:eastAsiaTheme="minorHAnsi" w:hAnsi="Arial" w:cs="Arial"/>
          <w:sz w:val="22"/>
          <w:szCs w:val="22"/>
          <w:shd w:val="clear" w:color="auto" w:fill="FFFFFF"/>
          <w:lang w:eastAsia="en-US"/>
        </w:rPr>
        <w:t>Dao, 2016</w:t>
      </w:r>
      <w:r w:rsidRPr="00E438F7">
        <w:rPr>
          <w:rFonts w:ascii="Arial" w:eastAsiaTheme="minorHAnsi" w:hAnsi="Arial" w:cs="Arial"/>
          <w:sz w:val="22"/>
          <w:szCs w:val="22"/>
          <w:lang w:eastAsia="en-US"/>
        </w:rPr>
        <w:t>). For financial relief, the resort must refinance or restructure debt. Equity fell from 28.84% in 2021 to 27.36% in 2022 and 16.22% in 2023. The decline, which shows debts growing faster than assets, may endanger the resort's financial leverage and stability.</w:t>
      </w:r>
    </w:p>
    <w:p w14:paraId="13CD45A9" w14:textId="77777777" w:rsidR="00E438F7" w:rsidRPr="00E438F7" w:rsidRDefault="00E438F7" w:rsidP="00E438F7">
      <w:pPr>
        <w:keepNext/>
        <w:keepLines/>
        <w:spacing w:before="120" w:after="120" w:line="360" w:lineRule="auto"/>
        <w:ind w:firstLine="284"/>
        <w:jc w:val="both"/>
        <w:outlineLvl w:val="1"/>
        <w:divId w:val="396128363"/>
        <w:rPr>
          <w:rFonts w:ascii="Arial" w:eastAsiaTheme="majorEastAsia" w:hAnsi="Arial" w:cs="Arial"/>
          <w:b/>
          <w:i/>
          <w:szCs w:val="26"/>
          <w:lang w:val="en-US" w:eastAsia="en-US"/>
        </w:rPr>
      </w:pPr>
      <w:bookmarkStart w:id="8" w:name="_Toc159515793"/>
      <w:r w:rsidRPr="00E438F7">
        <w:rPr>
          <w:rFonts w:ascii="Arial" w:eastAsiaTheme="majorEastAsia" w:hAnsi="Arial" w:cs="Arial"/>
          <w:b/>
          <w:i/>
          <w:szCs w:val="26"/>
          <w:lang w:val="en-US" w:eastAsia="en-US"/>
        </w:rPr>
        <w:t>Vertical Analysis of Income Statement</w:t>
      </w:r>
      <w:bookmarkEnd w:id="8"/>
    </w:p>
    <w:p w14:paraId="44F61B64" w14:textId="77777777" w:rsidR="00E438F7" w:rsidRPr="00E438F7" w:rsidRDefault="00E438F7" w:rsidP="00E438F7">
      <w:pPr>
        <w:spacing w:before="120" w:after="120" w:line="360" w:lineRule="auto"/>
        <w:ind w:firstLine="284"/>
        <w:jc w:val="both"/>
        <w:divId w:val="396128363"/>
        <w:rPr>
          <w:rFonts w:ascii="Arial" w:eastAsiaTheme="minorHAnsi" w:hAnsi="Arial" w:cs="Arial"/>
          <w:sz w:val="22"/>
          <w:szCs w:val="22"/>
          <w:lang w:val="en-US" w:eastAsia="en-US"/>
        </w:rPr>
      </w:pPr>
      <w:r w:rsidRPr="00E438F7">
        <w:rPr>
          <w:rFonts w:ascii="Arial" w:eastAsiaTheme="minorHAnsi" w:hAnsi="Arial" w:cs="Arial"/>
          <w:sz w:val="22"/>
          <w:szCs w:val="22"/>
          <w:lang w:eastAsia="en-US"/>
        </w:rPr>
        <w:t>The offered income statement data provides useful insights into the financial performance of The Seacrest Lodge from 2021 to 2023. A favourable trend is clearly seen when looking at the income figures; they indicate a steady increase from $950,000 in 2021 to $1,200,000 in 2023. This upward trend suggests that the lodge's ability to generate money might be improved during the specified period. When evaluating financial health, it is not enough to focus on income alone; one must also consider the associated operating expenses (</w:t>
      </w:r>
      <w:r w:rsidRPr="00E438F7">
        <w:rPr>
          <w:rFonts w:ascii="Arial" w:eastAsiaTheme="minorHAnsi" w:hAnsi="Arial" w:cs="Arial"/>
          <w:sz w:val="22"/>
          <w:szCs w:val="22"/>
          <w:shd w:val="clear" w:color="auto" w:fill="FFFFFF"/>
          <w:lang w:eastAsia="en-US"/>
        </w:rPr>
        <w:t>Singh, 2016</w:t>
      </w:r>
      <w:r w:rsidRPr="00E438F7">
        <w:rPr>
          <w:rFonts w:ascii="Arial" w:eastAsiaTheme="minorHAnsi" w:hAnsi="Arial" w:cs="Arial"/>
          <w:sz w:val="22"/>
          <w:szCs w:val="22"/>
          <w:lang w:eastAsia="en-US"/>
        </w:rPr>
        <w:t>). A large deficit was indicated in 2021 by operational expenses, which amounted to 115.79% of income. After that, things started looking up as operational expenses dropped to 86.36% in 2022 and even lower to 75.00% the following year. A commendable emphasis on cost management may have contributed to the lodge's improved financial performance, as the reduction in expenses suggests.</w:t>
      </w:r>
    </w:p>
    <w:tbl>
      <w:tblPr>
        <w:tblW w:w="8160" w:type="dxa"/>
        <w:jc w:val="center"/>
        <w:tblLook w:val="04A0" w:firstRow="1" w:lastRow="0" w:firstColumn="1" w:lastColumn="0" w:noHBand="0" w:noVBand="1"/>
      </w:tblPr>
      <w:tblGrid>
        <w:gridCol w:w="2250"/>
        <w:gridCol w:w="1180"/>
        <w:gridCol w:w="1180"/>
        <w:gridCol w:w="1180"/>
        <w:gridCol w:w="1072"/>
        <w:gridCol w:w="1072"/>
        <w:gridCol w:w="1072"/>
      </w:tblGrid>
      <w:tr w:rsidR="00E438F7" w:rsidRPr="00E438F7" w14:paraId="2D71A47D" w14:textId="77777777">
        <w:trPr>
          <w:divId w:val="396128363"/>
          <w:trHeight w:val="315"/>
          <w:jc w:val="center"/>
        </w:trPr>
        <w:tc>
          <w:tcPr>
            <w:tcW w:w="5520" w:type="dxa"/>
            <w:gridSpan w:val="4"/>
            <w:tcBorders>
              <w:top w:val="single" w:sz="8" w:space="0" w:color="auto"/>
              <w:left w:val="single" w:sz="8" w:space="0" w:color="auto"/>
              <w:bottom w:val="nil"/>
              <w:right w:val="single" w:sz="8" w:space="0" w:color="000000"/>
            </w:tcBorders>
            <w:shd w:val="clear" w:color="auto" w:fill="222B35"/>
            <w:noWrap/>
            <w:vAlign w:val="bottom"/>
            <w:hideMark/>
          </w:tcPr>
          <w:p w14:paraId="3085B19B" w14:textId="77777777" w:rsidR="00E438F7" w:rsidRPr="00E438F7" w:rsidRDefault="00E438F7" w:rsidP="00E438F7">
            <w:pPr>
              <w:spacing w:before="120" w:after="120" w:line="360" w:lineRule="auto"/>
              <w:jc w:val="center"/>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Income Statement</w:t>
            </w:r>
          </w:p>
        </w:tc>
        <w:tc>
          <w:tcPr>
            <w:tcW w:w="2640" w:type="dxa"/>
            <w:gridSpan w:val="3"/>
            <w:tcBorders>
              <w:top w:val="single" w:sz="8" w:space="0" w:color="auto"/>
              <w:left w:val="nil"/>
              <w:bottom w:val="single" w:sz="8" w:space="0" w:color="auto"/>
              <w:right w:val="single" w:sz="8" w:space="0" w:color="000000"/>
            </w:tcBorders>
            <w:shd w:val="clear" w:color="auto" w:fill="222B35"/>
            <w:noWrap/>
            <w:vAlign w:val="bottom"/>
            <w:hideMark/>
          </w:tcPr>
          <w:p w14:paraId="13FB5ED4" w14:textId="77777777" w:rsidR="00E438F7" w:rsidRPr="00E438F7" w:rsidRDefault="00E438F7" w:rsidP="00E438F7">
            <w:pPr>
              <w:spacing w:before="120" w:after="120" w:line="360" w:lineRule="auto"/>
              <w:jc w:val="center"/>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Vertical Analysis</w:t>
            </w:r>
          </w:p>
        </w:tc>
      </w:tr>
      <w:tr w:rsidR="00E438F7" w:rsidRPr="00E438F7" w14:paraId="2175D467" w14:textId="77777777">
        <w:trPr>
          <w:divId w:val="396128363"/>
          <w:trHeight w:val="315"/>
          <w:jc w:val="center"/>
        </w:trPr>
        <w:tc>
          <w:tcPr>
            <w:tcW w:w="2280" w:type="dxa"/>
            <w:tcBorders>
              <w:top w:val="single" w:sz="8" w:space="0" w:color="auto"/>
              <w:left w:val="single" w:sz="8" w:space="0" w:color="auto"/>
              <w:bottom w:val="single" w:sz="8" w:space="0" w:color="auto"/>
              <w:right w:val="single" w:sz="8" w:space="0" w:color="auto"/>
            </w:tcBorders>
            <w:shd w:val="clear" w:color="auto" w:fill="222B35"/>
            <w:noWrap/>
            <w:vAlign w:val="bottom"/>
            <w:hideMark/>
          </w:tcPr>
          <w:p w14:paraId="7BC00F19" w14:textId="77777777" w:rsidR="00E438F7" w:rsidRPr="00E438F7" w:rsidRDefault="00E438F7" w:rsidP="00E438F7">
            <w:pPr>
              <w:spacing w:before="120" w:after="120" w:line="360" w:lineRule="auto"/>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Particulars</w:t>
            </w:r>
          </w:p>
        </w:tc>
        <w:tc>
          <w:tcPr>
            <w:tcW w:w="1080" w:type="dxa"/>
            <w:tcBorders>
              <w:top w:val="single" w:sz="8" w:space="0" w:color="auto"/>
              <w:left w:val="nil"/>
              <w:bottom w:val="single" w:sz="8" w:space="0" w:color="auto"/>
              <w:right w:val="single" w:sz="8" w:space="0" w:color="auto"/>
            </w:tcBorders>
            <w:shd w:val="clear" w:color="auto" w:fill="222B35"/>
            <w:noWrap/>
            <w:vAlign w:val="bottom"/>
            <w:hideMark/>
          </w:tcPr>
          <w:p w14:paraId="12101B0F" w14:textId="77777777" w:rsidR="00E438F7" w:rsidRPr="00E438F7" w:rsidRDefault="00E438F7" w:rsidP="00E438F7">
            <w:pPr>
              <w:spacing w:before="120" w:after="120" w:line="360" w:lineRule="auto"/>
              <w:jc w:val="right"/>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2023</w:t>
            </w:r>
          </w:p>
        </w:tc>
        <w:tc>
          <w:tcPr>
            <w:tcW w:w="1080" w:type="dxa"/>
            <w:tcBorders>
              <w:top w:val="single" w:sz="8" w:space="0" w:color="auto"/>
              <w:left w:val="nil"/>
              <w:bottom w:val="single" w:sz="8" w:space="0" w:color="auto"/>
              <w:right w:val="single" w:sz="8" w:space="0" w:color="auto"/>
            </w:tcBorders>
            <w:shd w:val="clear" w:color="auto" w:fill="222B35"/>
            <w:noWrap/>
            <w:vAlign w:val="bottom"/>
            <w:hideMark/>
          </w:tcPr>
          <w:p w14:paraId="0EEAD45C" w14:textId="77777777" w:rsidR="00E438F7" w:rsidRPr="00E438F7" w:rsidRDefault="00E438F7" w:rsidP="00E438F7">
            <w:pPr>
              <w:spacing w:before="120" w:after="120" w:line="360" w:lineRule="auto"/>
              <w:jc w:val="right"/>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2022</w:t>
            </w:r>
          </w:p>
        </w:tc>
        <w:tc>
          <w:tcPr>
            <w:tcW w:w="1080" w:type="dxa"/>
            <w:tcBorders>
              <w:top w:val="single" w:sz="8" w:space="0" w:color="auto"/>
              <w:left w:val="nil"/>
              <w:bottom w:val="single" w:sz="8" w:space="0" w:color="auto"/>
              <w:right w:val="single" w:sz="8" w:space="0" w:color="auto"/>
            </w:tcBorders>
            <w:shd w:val="clear" w:color="auto" w:fill="222B35"/>
            <w:noWrap/>
            <w:vAlign w:val="bottom"/>
            <w:hideMark/>
          </w:tcPr>
          <w:p w14:paraId="61E192F4" w14:textId="77777777" w:rsidR="00E438F7" w:rsidRPr="00E438F7" w:rsidRDefault="00E438F7" w:rsidP="00E438F7">
            <w:pPr>
              <w:spacing w:before="120" w:after="120" w:line="360" w:lineRule="auto"/>
              <w:jc w:val="right"/>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2021</w:t>
            </w:r>
          </w:p>
        </w:tc>
        <w:tc>
          <w:tcPr>
            <w:tcW w:w="880" w:type="dxa"/>
            <w:tcBorders>
              <w:top w:val="nil"/>
              <w:left w:val="nil"/>
              <w:bottom w:val="single" w:sz="8" w:space="0" w:color="auto"/>
              <w:right w:val="nil"/>
            </w:tcBorders>
            <w:shd w:val="clear" w:color="auto" w:fill="222B35"/>
            <w:noWrap/>
            <w:vAlign w:val="bottom"/>
            <w:hideMark/>
          </w:tcPr>
          <w:p w14:paraId="25CF8A10" w14:textId="77777777" w:rsidR="00E438F7" w:rsidRPr="00E438F7" w:rsidRDefault="00E438F7" w:rsidP="00E438F7">
            <w:pPr>
              <w:spacing w:before="120" w:after="120" w:line="360" w:lineRule="auto"/>
              <w:jc w:val="right"/>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2023</w:t>
            </w:r>
          </w:p>
        </w:tc>
        <w:tc>
          <w:tcPr>
            <w:tcW w:w="880" w:type="dxa"/>
            <w:tcBorders>
              <w:top w:val="nil"/>
              <w:left w:val="single" w:sz="8" w:space="0" w:color="auto"/>
              <w:bottom w:val="single" w:sz="8" w:space="0" w:color="auto"/>
              <w:right w:val="single" w:sz="8" w:space="0" w:color="auto"/>
            </w:tcBorders>
            <w:shd w:val="clear" w:color="auto" w:fill="222B35"/>
            <w:noWrap/>
            <w:vAlign w:val="bottom"/>
            <w:hideMark/>
          </w:tcPr>
          <w:p w14:paraId="25F03F1D" w14:textId="77777777" w:rsidR="00E438F7" w:rsidRPr="00E438F7" w:rsidRDefault="00E438F7" w:rsidP="00E438F7">
            <w:pPr>
              <w:spacing w:before="120" w:after="120" w:line="360" w:lineRule="auto"/>
              <w:jc w:val="right"/>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2022</w:t>
            </w:r>
          </w:p>
        </w:tc>
        <w:tc>
          <w:tcPr>
            <w:tcW w:w="880" w:type="dxa"/>
            <w:tcBorders>
              <w:top w:val="nil"/>
              <w:left w:val="nil"/>
              <w:bottom w:val="single" w:sz="8" w:space="0" w:color="auto"/>
              <w:right w:val="single" w:sz="8" w:space="0" w:color="auto"/>
            </w:tcBorders>
            <w:shd w:val="clear" w:color="auto" w:fill="222B35"/>
            <w:noWrap/>
            <w:vAlign w:val="bottom"/>
            <w:hideMark/>
          </w:tcPr>
          <w:p w14:paraId="0CB1F0F6" w14:textId="77777777" w:rsidR="00E438F7" w:rsidRPr="00E438F7" w:rsidRDefault="00E438F7" w:rsidP="00E438F7">
            <w:pPr>
              <w:spacing w:before="120" w:after="120" w:line="360" w:lineRule="auto"/>
              <w:jc w:val="right"/>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2021</w:t>
            </w:r>
          </w:p>
        </w:tc>
      </w:tr>
      <w:tr w:rsidR="00E438F7" w:rsidRPr="00E438F7" w14:paraId="5D9D9580" w14:textId="77777777">
        <w:trPr>
          <w:divId w:val="396128363"/>
          <w:trHeight w:val="300"/>
          <w:jc w:val="center"/>
        </w:trPr>
        <w:tc>
          <w:tcPr>
            <w:tcW w:w="2280" w:type="dxa"/>
            <w:tcBorders>
              <w:top w:val="nil"/>
              <w:left w:val="single" w:sz="8" w:space="0" w:color="auto"/>
              <w:bottom w:val="nil"/>
              <w:right w:val="single" w:sz="8" w:space="0" w:color="auto"/>
            </w:tcBorders>
            <w:shd w:val="clear" w:color="auto" w:fill="222B35"/>
            <w:noWrap/>
            <w:vAlign w:val="bottom"/>
            <w:hideMark/>
          </w:tcPr>
          <w:p w14:paraId="40622E63" w14:textId="77777777" w:rsidR="00E438F7" w:rsidRPr="00E438F7" w:rsidRDefault="00E438F7" w:rsidP="00E438F7">
            <w:pPr>
              <w:spacing w:before="120" w:after="120" w:line="360" w:lineRule="auto"/>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Revenue</w:t>
            </w:r>
          </w:p>
        </w:tc>
        <w:tc>
          <w:tcPr>
            <w:tcW w:w="1080" w:type="dxa"/>
            <w:noWrap/>
            <w:vAlign w:val="bottom"/>
            <w:hideMark/>
          </w:tcPr>
          <w:p w14:paraId="119A63EF"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1,200,000</w:t>
            </w:r>
          </w:p>
        </w:tc>
        <w:tc>
          <w:tcPr>
            <w:tcW w:w="1080" w:type="dxa"/>
            <w:noWrap/>
            <w:vAlign w:val="bottom"/>
            <w:hideMark/>
          </w:tcPr>
          <w:p w14:paraId="6AF884BD"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1,100,000</w:t>
            </w:r>
          </w:p>
        </w:tc>
        <w:tc>
          <w:tcPr>
            <w:tcW w:w="1080" w:type="dxa"/>
            <w:tcBorders>
              <w:top w:val="nil"/>
              <w:left w:val="nil"/>
              <w:bottom w:val="nil"/>
              <w:right w:val="single" w:sz="8" w:space="0" w:color="auto"/>
            </w:tcBorders>
            <w:noWrap/>
            <w:vAlign w:val="bottom"/>
            <w:hideMark/>
          </w:tcPr>
          <w:p w14:paraId="5B093A59"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950,000</w:t>
            </w:r>
          </w:p>
        </w:tc>
        <w:tc>
          <w:tcPr>
            <w:tcW w:w="880" w:type="dxa"/>
            <w:noWrap/>
            <w:vAlign w:val="bottom"/>
            <w:hideMark/>
          </w:tcPr>
          <w:p w14:paraId="0C10538F"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100.00%</w:t>
            </w:r>
          </w:p>
        </w:tc>
        <w:tc>
          <w:tcPr>
            <w:tcW w:w="880" w:type="dxa"/>
            <w:noWrap/>
            <w:vAlign w:val="bottom"/>
            <w:hideMark/>
          </w:tcPr>
          <w:p w14:paraId="696245A7"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100.00%</w:t>
            </w:r>
          </w:p>
        </w:tc>
        <w:tc>
          <w:tcPr>
            <w:tcW w:w="880" w:type="dxa"/>
            <w:tcBorders>
              <w:top w:val="nil"/>
              <w:left w:val="nil"/>
              <w:bottom w:val="nil"/>
              <w:right w:val="single" w:sz="8" w:space="0" w:color="auto"/>
            </w:tcBorders>
            <w:noWrap/>
            <w:vAlign w:val="bottom"/>
            <w:hideMark/>
          </w:tcPr>
          <w:p w14:paraId="7A16F40D"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100.00%</w:t>
            </w:r>
          </w:p>
        </w:tc>
      </w:tr>
      <w:tr w:rsidR="00E438F7" w:rsidRPr="00E438F7" w14:paraId="181F50C7" w14:textId="77777777">
        <w:trPr>
          <w:divId w:val="396128363"/>
          <w:trHeight w:val="300"/>
          <w:jc w:val="center"/>
        </w:trPr>
        <w:tc>
          <w:tcPr>
            <w:tcW w:w="2280" w:type="dxa"/>
            <w:tcBorders>
              <w:top w:val="nil"/>
              <w:left w:val="single" w:sz="8" w:space="0" w:color="auto"/>
              <w:bottom w:val="nil"/>
              <w:right w:val="single" w:sz="8" w:space="0" w:color="auto"/>
            </w:tcBorders>
            <w:shd w:val="clear" w:color="auto" w:fill="222B35"/>
            <w:noWrap/>
            <w:vAlign w:val="bottom"/>
            <w:hideMark/>
          </w:tcPr>
          <w:p w14:paraId="017D363B" w14:textId="77777777" w:rsidR="00E438F7" w:rsidRPr="00E438F7" w:rsidRDefault="00E438F7" w:rsidP="00E438F7">
            <w:pPr>
              <w:spacing w:before="120" w:after="120" w:line="360" w:lineRule="auto"/>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Operating Expenses</w:t>
            </w:r>
          </w:p>
        </w:tc>
        <w:tc>
          <w:tcPr>
            <w:tcW w:w="1080" w:type="dxa"/>
            <w:noWrap/>
            <w:vAlign w:val="bottom"/>
            <w:hideMark/>
          </w:tcPr>
          <w:p w14:paraId="3B962A09"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900,000</w:t>
            </w:r>
          </w:p>
        </w:tc>
        <w:tc>
          <w:tcPr>
            <w:tcW w:w="1080" w:type="dxa"/>
            <w:noWrap/>
            <w:vAlign w:val="bottom"/>
            <w:hideMark/>
          </w:tcPr>
          <w:p w14:paraId="0AD76262"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950,000</w:t>
            </w:r>
          </w:p>
        </w:tc>
        <w:tc>
          <w:tcPr>
            <w:tcW w:w="1080" w:type="dxa"/>
            <w:tcBorders>
              <w:top w:val="nil"/>
              <w:left w:val="nil"/>
              <w:bottom w:val="nil"/>
              <w:right w:val="single" w:sz="8" w:space="0" w:color="auto"/>
            </w:tcBorders>
            <w:noWrap/>
            <w:vAlign w:val="bottom"/>
            <w:hideMark/>
          </w:tcPr>
          <w:p w14:paraId="03E5F0A5"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1,100,000</w:t>
            </w:r>
          </w:p>
        </w:tc>
        <w:tc>
          <w:tcPr>
            <w:tcW w:w="880" w:type="dxa"/>
            <w:noWrap/>
            <w:vAlign w:val="bottom"/>
            <w:hideMark/>
          </w:tcPr>
          <w:p w14:paraId="274D8F68"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75.00%</w:t>
            </w:r>
          </w:p>
        </w:tc>
        <w:tc>
          <w:tcPr>
            <w:tcW w:w="880" w:type="dxa"/>
            <w:noWrap/>
            <w:vAlign w:val="bottom"/>
            <w:hideMark/>
          </w:tcPr>
          <w:p w14:paraId="65835BBA"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86.36%</w:t>
            </w:r>
          </w:p>
        </w:tc>
        <w:tc>
          <w:tcPr>
            <w:tcW w:w="880" w:type="dxa"/>
            <w:tcBorders>
              <w:top w:val="nil"/>
              <w:left w:val="nil"/>
              <w:bottom w:val="nil"/>
              <w:right w:val="single" w:sz="8" w:space="0" w:color="auto"/>
            </w:tcBorders>
            <w:noWrap/>
            <w:vAlign w:val="bottom"/>
            <w:hideMark/>
          </w:tcPr>
          <w:p w14:paraId="7B62CB54"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115.79%</w:t>
            </w:r>
          </w:p>
        </w:tc>
      </w:tr>
      <w:tr w:rsidR="00E438F7" w:rsidRPr="00E438F7" w14:paraId="22275B69" w14:textId="77777777">
        <w:trPr>
          <w:divId w:val="396128363"/>
          <w:trHeight w:val="315"/>
          <w:jc w:val="center"/>
        </w:trPr>
        <w:tc>
          <w:tcPr>
            <w:tcW w:w="2280" w:type="dxa"/>
            <w:tcBorders>
              <w:top w:val="nil"/>
              <w:left w:val="single" w:sz="8" w:space="0" w:color="auto"/>
              <w:bottom w:val="single" w:sz="8" w:space="0" w:color="auto"/>
              <w:right w:val="single" w:sz="8" w:space="0" w:color="auto"/>
            </w:tcBorders>
            <w:shd w:val="clear" w:color="auto" w:fill="222B35"/>
            <w:noWrap/>
            <w:vAlign w:val="bottom"/>
            <w:hideMark/>
          </w:tcPr>
          <w:p w14:paraId="046A8E21" w14:textId="77777777" w:rsidR="00E438F7" w:rsidRPr="00E438F7" w:rsidRDefault="00E438F7" w:rsidP="00E438F7">
            <w:pPr>
              <w:spacing w:before="120" w:after="120" w:line="360" w:lineRule="auto"/>
              <w:rPr>
                <w:rFonts w:ascii="Arial" w:eastAsia="Times New Roman" w:hAnsi="Arial" w:cs="Arial"/>
                <w:b/>
                <w:bCs/>
                <w:color w:val="FFFFFF"/>
                <w:kern w:val="0"/>
                <w:sz w:val="22"/>
                <w:szCs w:val="22"/>
                <w:lang w:val="en-US"/>
                <w14:ligatures w14:val="none"/>
              </w:rPr>
            </w:pPr>
            <w:r w:rsidRPr="00E438F7">
              <w:rPr>
                <w:rFonts w:ascii="Arial" w:eastAsia="Times New Roman" w:hAnsi="Arial" w:cs="Arial"/>
                <w:b/>
                <w:bCs/>
                <w:color w:val="FFFFFF"/>
                <w:kern w:val="0"/>
                <w:sz w:val="22"/>
                <w:szCs w:val="22"/>
                <w:lang w:val="en-US"/>
                <w14:ligatures w14:val="none"/>
              </w:rPr>
              <w:t>Net Income</w:t>
            </w:r>
          </w:p>
        </w:tc>
        <w:tc>
          <w:tcPr>
            <w:tcW w:w="1080" w:type="dxa"/>
            <w:tcBorders>
              <w:top w:val="nil"/>
              <w:left w:val="nil"/>
              <w:bottom w:val="single" w:sz="8" w:space="0" w:color="auto"/>
              <w:right w:val="nil"/>
            </w:tcBorders>
            <w:noWrap/>
            <w:vAlign w:val="bottom"/>
            <w:hideMark/>
          </w:tcPr>
          <w:p w14:paraId="06DB456F"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300,000</w:t>
            </w:r>
          </w:p>
        </w:tc>
        <w:tc>
          <w:tcPr>
            <w:tcW w:w="1080" w:type="dxa"/>
            <w:tcBorders>
              <w:top w:val="nil"/>
              <w:left w:val="nil"/>
              <w:bottom w:val="single" w:sz="8" w:space="0" w:color="auto"/>
              <w:right w:val="nil"/>
            </w:tcBorders>
            <w:noWrap/>
            <w:vAlign w:val="bottom"/>
            <w:hideMark/>
          </w:tcPr>
          <w:p w14:paraId="250364B4"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150,000</w:t>
            </w:r>
          </w:p>
        </w:tc>
        <w:tc>
          <w:tcPr>
            <w:tcW w:w="1080" w:type="dxa"/>
            <w:tcBorders>
              <w:top w:val="nil"/>
              <w:left w:val="nil"/>
              <w:bottom w:val="single" w:sz="8" w:space="0" w:color="auto"/>
              <w:right w:val="single" w:sz="8" w:space="0" w:color="auto"/>
            </w:tcBorders>
            <w:noWrap/>
            <w:vAlign w:val="bottom"/>
            <w:hideMark/>
          </w:tcPr>
          <w:p w14:paraId="0E3B1BC5"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-150,000</w:t>
            </w:r>
          </w:p>
        </w:tc>
        <w:tc>
          <w:tcPr>
            <w:tcW w:w="880" w:type="dxa"/>
            <w:tcBorders>
              <w:top w:val="nil"/>
              <w:left w:val="nil"/>
              <w:bottom w:val="single" w:sz="8" w:space="0" w:color="auto"/>
              <w:right w:val="nil"/>
            </w:tcBorders>
            <w:noWrap/>
            <w:vAlign w:val="bottom"/>
            <w:hideMark/>
          </w:tcPr>
          <w:p w14:paraId="0CA507E5"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25.00%</w:t>
            </w:r>
          </w:p>
        </w:tc>
        <w:tc>
          <w:tcPr>
            <w:tcW w:w="880" w:type="dxa"/>
            <w:tcBorders>
              <w:top w:val="nil"/>
              <w:left w:val="nil"/>
              <w:bottom w:val="single" w:sz="8" w:space="0" w:color="auto"/>
              <w:right w:val="nil"/>
            </w:tcBorders>
            <w:noWrap/>
            <w:vAlign w:val="bottom"/>
            <w:hideMark/>
          </w:tcPr>
          <w:p w14:paraId="322C9FEE"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13.64%</w:t>
            </w:r>
          </w:p>
        </w:tc>
        <w:tc>
          <w:tcPr>
            <w:tcW w:w="880" w:type="dxa"/>
            <w:tcBorders>
              <w:top w:val="nil"/>
              <w:left w:val="nil"/>
              <w:bottom w:val="single" w:sz="8" w:space="0" w:color="auto"/>
              <w:right w:val="single" w:sz="8" w:space="0" w:color="auto"/>
            </w:tcBorders>
            <w:noWrap/>
            <w:vAlign w:val="bottom"/>
            <w:hideMark/>
          </w:tcPr>
          <w:p w14:paraId="750028BA" w14:textId="77777777" w:rsidR="00E438F7" w:rsidRPr="00E438F7" w:rsidRDefault="00E438F7" w:rsidP="00E438F7">
            <w:pPr>
              <w:spacing w:before="120" w:after="120" w:line="360" w:lineRule="auto"/>
              <w:jc w:val="right"/>
              <w:rPr>
                <w:rFonts w:ascii="Arial" w:eastAsia="Times New Roman" w:hAnsi="Arial" w:cs="Arial"/>
                <w:color w:val="000000"/>
                <w:kern w:val="0"/>
                <w:sz w:val="22"/>
                <w:szCs w:val="22"/>
                <w:lang w:val="en-US"/>
                <w14:ligatures w14:val="none"/>
              </w:rPr>
            </w:pPr>
            <w:r w:rsidRPr="00E438F7">
              <w:rPr>
                <w:rFonts w:ascii="Arial" w:eastAsia="Times New Roman" w:hAnsi="Arial" w:cs="Arial"/>
                <w:color w:val="000000"/>
                <w:kern w:val="0"/>
                <w:sz w:val="22"/>
                <w:szCs w:val="22"/>
                <w:lang w:val="en-US"/>
                <w14:ligatures w14:val="none"/>
              </w:rPr>
              <w:t>-15.79%</w:t>
            </w:r>
          </w:p>
        </w:tc>
      </w:tr>
    </w:tbl>
    <w:p w14:paraId="5AEA9DF0" w14:textId="77777777" w:rsidR="00E438F7" w:rsidRPr="00E438F7" w:rsidRDefault="00E438F7" w:rsidP="00E438F7">
      <w:pPr>
        <w:spacing w:before="120" w:after="120" w:line="360" w:lineRule="auto"/>
        <w:jc w:val="both"/>
        <w:divId w:val="396128363"/>
        <w:rPr>
          <w:rFonts w:ascii="Arial" w:eastAsiaTheme="minorHAnsi" w:hAnsi="Arial" w:cs="Arial"/>
          <w:sz w:val="22"/>
          <w:szCs w:val="22"/>
          <w:lang w:val="en-US" w:eastAsia="en-US"/>
        </w:rPr>
      </w:pPr>
    </w:p>
    <w:p w14:paraId="75B9F55F" w14:textId="77777777" w:rsidR="00E438F7" w:rsidRPr="00E438F7" w:rsidRDefault="00E438F7" w:rsidP="00E438F7">
      <w:pPr>
        <w:spacing w:before="120" w:after="120" w:line="360" w:lineRule="auto"/>
        <w:ind w:firstLine="284"/>
        <w:jc w:val="both"/>
        <w:divId w:val="396128363"/>
        <w:rPr>
          <w:rFonts w:ascii="Arial" w:eastAsiaTheme="minorHAnsi" w:hAnsi="Arial" w:cs="Arial"/>
          <w:sz w:val="22"/>
          <w:szCs w:val="22"/>
          <w:lang w:eastAsia="en-US"/>
        </w:rPr>
      </w:pPr>
      <w:r w:rsidRPr="00E438F7">
        <w:rPr>
          <w:rFonts w:ascii="Arial" w:eastAsiaTheme="minorHAnsi" w:hAnsi="Arial" w:cs="Arial"/>
          <w:sz w:val="22"/>
          <w:szCs w:val="22"/>
          <w:lang w:eastAsia="en-US"/>
        </w:rPr>
        <w:t>A clearer picture of profitability may be obtained by comparing the net income in nominal value and as a percentage of revenue (</w:t>
      </w:r>
      <w:proofErr w:type="spellStart"/>
      <w:r w:rsidRPr="00E438F7">
        <w:rPr>
          <w:rFonts w:ascii="Arial" w:eastAsiaTheme="minorHAnsi" w:hAnsi="Arial" w:cs="Arial"/>
          <w:sz w:val="22"/>
          <w:szCs w:val="22"/>
          <w:shd w:val="clear" w:color="auto" w:fill="FFFFFF"/>
          <w:lang w:eastAsia="en-US"/>
        </w:rPr>
        <w:t>Zeller</w:t>
      </w:r>
      <w:proofErr w:type="spellEnd"/>
      <w:r w:rsidRPr="00E438F7">
        <w:rPr>
          <w:rFonts w:ascii="Arial" w:eastAsiaTheme="minorHAnsi" w:hAnsi="Arial" w:cs="Arial"/>
          <w:sz w:val="22"/>
          <w:szCs w:val="22"/>
          <w:shd w:val="clear" w:color="auto" w:fill="FFFFFF"/>
          <w:lang w:eastAsia="en-US"/>
        </w:rPr>
        <w:t>, 2019</w:t>
      </w:r>
      <w:r w:rsidRPr="00E438F7">
        <w:rPr>
          <w:rFonts w:ascii="Arial" w:eastAsiaTheme="minorHAnsi" w:hAnsi="Arial" w:cs="Arial"/>
          <w:sz w:val="22"/>
          <w:szCs w:val="22"/>
          <w:lang w:eastAsia="en-US"/>
        </w:rPr>
        <w:t xml:space="preserve">). With a negative net income margin of 15.79% in 2021, the Seacrest Lodge lost $150,000. After that, things started looking up </w:t>
      </w:r>
      <w:r w:rsidRPr="00E438F7">
        <w:rPr>
          <w:rFonts w:ascii="Arial" w:eastAsiaTheme="minorHAnsi" w:hAnsi="Arial" w:cs="Arial"/>
          <w:sz w:val="22"/>
          <w:szCs w:val="22"/>
          <w:lang w:eastAsia="en-US"/>
        </w:rPr>
        <w:lastRenderedPageBreak/>
        <w:t>financially; in 2022, net income reached $150,000, and the following year, it tripled to $300,000. A considerable recovery from the initial loss is seen by the positive net income margins of 13.64% in 2022 and 25.00% in 2023, indicating greater profitability and financial stability.</w:t>
      </w:r>
      <w:bookmarkStart w:id="9" w:name="_Toc159515794"/>
      <w:r w:rsidRPr="00E438F7">
        <w:rPr>
          <w:rFonts w:ascii="Arial" w:eastAsiaTheme="minorHAnsi" w:hAnsi="Arial" w:cs="Arial"/>
          <w:sz w:val="22"/>
          <w:szCs w:val="22"/>
          <w:lang w:eastAsia="en-US"/>
        </w:rPr>
        <w:t xml:space="preserve"> Choice International Hotels' net income has fallen. Choice Hotels International's net income fell 11% to $92.02 million in Q32023 from $103.08 million in Q32022. The decline was due to the timing of net reimbursable charges, unusual franchisee termination fees in Q3 2022, earnings from selling the Cambria Hotel Nashville-owned firm, Radisson Hotels Americas integration expenses, and other unique occurrences. Revenue rose to $425.55 million from $414.26 million in Q3 2022 in the quarter ending September 30, 2023 (</w:t>
      </w:r>
      <w:r w:rsidRPr="00E438F7">
        <w:rPr>
          <w:rFonts w:ascii="Arial" w:eastAsiaTheme="minorHAnsi" w:hAnsi="Arial" w:cs="Arial"/>
          <w:sz w:val="22"/>
          <w:szCs w:val="22"/>
          <w:shd w:val="clear" w:color="auto" w:fill="FFFFFF"/>
          <w:lang w:eastAsia="en-US"/>
        </w:rPr>
        <w:t>HMN, 2023</w:t>
      </w:r>
      <w:r w:rsidRPr="00E438F7">
        <w:rPr>
          <w:rFonts w:ascii="Arial" w:eastAsiaTheme="minorHAnsi" w:hAnsi="Arial" w:cs="Arial"/>
          <w:sz w:val="22"/>
          <w:szCs w:val="22"/>
          <w:lang w:eastAsia="en-US"/>
        </w:rPr>
        <w:t>). The report's hotel had the same issue. Management generates money, but net reimbursable expenses have risen.</w:t>
      </w:r>
    </w:p>
    <w:p w14:paraId="7A074102" w14:textId="77777777" w:rsidR="00E438F7" w:rsidRPr="00E438F7" w:rsidRDefault="00E438F7" w:rsidP="00E438F7">
      <w:pPr>
        <w:keepNext/>
        <w:keepLines/>
        <w:spacing w:before="120" w:after="120" w:line="360" w:lineRule="auto"/>
        <w:jc w:val="both"/>
        <w:outlineLvl w:val="0"/>
        <w:divId w:val="396128363"/>
        <w:rPr>
          <w:rFonts w:ascii="Arial" w:eastAsiaTheme="majorEastAsia" w:hAnsi="Arial" w:cs="Arial"/>
          <w:b/>
          <w:szCs w:val="32"/>
          <w:lang w:val="en-US" w:eastAsia="en-US"/>
        </w:rPr>
      </w:pPr>
      <w:r w:rsidRPr="00E438F7">
        <w:rPr>
          <w:rFonts w:ascii="Arial" w:eastAsiaTheme="majorEastAsia" w:hAnsi="Arial" w:cs="Arial"/>
          <w:b/>
          <w:szCs w:val="32"/>
          <w:lang w:val="en-US" w:eastAsia="en-US"/>
        </w:rPr>
        <w:t>Conclusion</w:t>
      </w:r>
      <w:bookmarkEnd w:id="9"/>
    </w:p>
    <w:p w14:paraId="0355E18A" w14:textId="77777777" w:rsidR="00E438F7" w:rsidRPr="00E438F7" w:rsidRDefault="00E438F7" w:rsidP="00E438F7">
      <w:pPr>
        <w:spacing w:before="120" w:after="120" w:line="360" w:lineRule="auto"/>
        <w:ind w:firstLine="284"/>
        <w:jc w:val="both"/>
        <w:divId w:val="396128363"/>
        <w:rPr>
          <w:rFonts w:ascii="Arial" w:eastAsiaTheme="minorHAnsi" w:hAnsi="Arial" w:cs="Arial"/>
          <w:sz w:val="22"/>
          <w:szCs w:val="22"/>
          <w:lang w:eastAsia="en-US"/>
        </w:rPr>
      </w:pPr>
      <w:r w:rsidRPr="00E438F7">
        <w:rPr>
          <w:rFonts w:ascii="Arial" w:eastAsiaTheme="minorHAnsi" w:hAnsi="Arial" w:cs="Arial"/>
          <w:sz w:val="22"/>
          <w:szCs w:val="22"/>
          <w:lang w:eastAsia="en-US"/>
        </w:rPr>
        <w:t>The Seacrest Lodge's financial analysis over the previous three years shows growing liabilities, diminishing liquidity, asset value, and equity. These patterns indicate urgent operational and financial management difficulties. If the lodge wants to turn things around, it must create a plan to manage and decrease liabilities, recover equity, invest in property enhancements to make it more competitive, and improve cash flow through revenue management and expense control. The Seacrest Lodge's revenue and net profits have increased over the previous three years, according to a horizontal study. With operating costs lowering, the property has controlled costs. The strategy should prioritise long-term sustainability and competitiveness in the coastal market, financial performance, and business quality. The financial examination demonstrates that The Seacrest Lodge improved its finances throughout the time under study. Revenue growth and regulated operational expense reductions have boosted net profits. Despite continued issues, the resort has undertaken modifications that should boost its finances. To create a complete turnaround strategy, you must identify the aspects that boost income and minimise expenditures.</w:t>
      </w:r>
    </w:p>
    <w:p w14:paraId="10BA2FB2" w14:textId="77777777" w:rsidR="00E438F7" w:rsidRPr="00E438F7" w:rsidRDefault="00E438F7" w:rsidP="00E438F7">
      <w:pPr>
        <w:spacing w:before="120" w:after="120" w:line="360" w:lineRule="auto"/>
        <w:divId w:val="396128363"/>
        <w:rPr>
          <w:rFonts w:ascii="Arial" w:eastAsiaTheme="minorHAnsi" w:hAnsi="Arial" w:cs="Arial"/>
          <w:sz w:val="22"/>
          <w:szCs w:val="22"/>
          <w:lang w:eastAsia="en-US"/>
        </w:rPr>
      </w:pPr>
      <w:r w:rsidRPr="00E438F7">
        <w:rPr>
          <w:rFonts w:ascii="Arial" w:eastAsiaTheme="minorHAnsi" w:hAnsi="Arial" w:cs="Arial"/>
          <w:kern w:val="0"/>
          <w:sz w:val="22"/>
          <w:szCs w:val="22"/>
          <w:lang w:eastAsia="en-US"/>
          <w14:ligatures w14:val="none"/>
        </w:rPr>
        <w:br w:type="page"/>
      </w:r>
    </w:p>
    <w:p w14:paraId="51C47ADB" w14:textId="77777777" w:rsidR="00E438F7" w:rsidRPr="00E438F7" w:rsidRDefault="00E438F7" w:rsidP="00E438F7">
      <w:pPr>
        <w:keepNext/>
        <w:keepLines/>
        <w:spacing w:before="120" w:after="120" w:line="360" w:lineRule="auto"/>
        <w:jc w:val="both"/>
        <w:outlineLvl w:val="0"/>
        <w:divId w:val="396128363"/>
        <w:rPr>
          <w:rFonts w:ascii="Arial" w:eastAsiaTheme="majorEastAsia" w:hAnsi="Arial" w:cs="Arial"/>
          <w:b/>
          <w:szCs w:val="32"/>
          <w:lang w:eastAsia="en-US"/>
        </w:rPr>
      </w:pPr>
      <w:r w:rsidRPr="00E438F7">
        <w:rPr>
          <w:rFonts w:ascii="Arial" w:eastAsiaTheme="majorEastAsia" w:hAnsi="Arial" w:cs="Arial"/>
          <w:b/>
          <w:szCs w:val="32"/>
          <w:lang w:eastAsia="en-US"/>
        </w:rPr>
        <w:lastRenderedPageBreak/>
        <w:t>References</w:t>
      </w:r>
    </w:p>
    <w:p w14:paraId="79AA106D" w14:textId="77777777" w:rsidR="00E438F7" w:rsidRPr="00E438F7" w:rsidRDefault="00E438F7" w:rsidP="00E438F7">
      <w:pPr>
        <w:spacing w:before="120" w:after="120" w:line="360" w:lineRule="auto"/>
        <w:ind w:left="720" w:hanging="720"/>
        <w:jc w:val="both"/>
        <w:divId w:val="396128363"/>
        <w:rPr>
          <w:rFonts w:ascii="Arial" w:eastAsiaTheme="minorHAnsi" w:hAnsi="Arial" w:cs="Arial"/>
          <w:sz w:val="22"/>
          <w:szCs w:val="22"/>
          <w:shd w:val="clear" w:color="auto" w:fill="FFFFFF"/>
          <w:lang w:val="en-US" w:eastAsia="en-US"/>
        </w:rPr>
      </w:pPr>
      <w:r w:rsidRPr="00E438F7">
        <w:rPr>
          <w:rFonts w:ascii="Arial" w:eastAsiaTheme="minorHAnsi" w:hAnsi="Arial" w:cs="Arial"/>
          <w:sz w:val="22"/>
          <w:szCs w:val="22"/>
          <w:shd w:val="clear" w:color="auto" w:fill="FFFFFF"/>
          <w:lang w:val="en-US" w:eastAsia="en-US"/>
        </w:rPr>
        <w:t>Barr, M.J. and McClellan, G.S., 2018. Budgets and financial management in higher education. John Wiley &amp; Sons.</w:t>
      </w:r>
    </w:p>
    <w:p w14:paraId="0C4522E2" w14:textId="77777777" w:rsidR="00E438F7" w:rsidRPr="00E438F7" w:rsidRDefault="00E438F7" w:rsidP="00E438F7">
      <w:pPr>
        <w:spacing w:before="120" w:after="120" w:line="360" w:lineRule="auto"/>
        <w:ind w:left="720" w:hanging="720"/>
        <w:jc w:val="both"/>
        <w:divId w:val="396128363"/>
        <w:rPr>
          <w:rFonts w:ascii="Arial" w:eastAsiaTheme="minorHAnsi" w:hAnsi="Arial" w:cs="Arial"/>
          <w:sz w:val="22"/>
          <w:szCs w:val="22"/>
          <w:shd w:val="clear" w:color="auto" w:fill="FFFFFF"/>
          <w:lang w:val="en-US" w:eastAsia="en-US"/>
        </w:rPr>
      </w:pPr>
      <w:r w:rsidRPr="00E438F7">
        <w:rPr>
          <w:rFonts w:ascii="Arial" w:eastAsiaTheme="minorHAnsi" w:hAnsi="Arial" w:cs="Arial"/>
          <w:sz w:val="22"/>
          <w:szCs w:val="22"/>
          <w:shd w:val="clear" w:color="auto" w:fill="FFFFFF"/>
          <w:lang w:val="en-US" w:eastAsia="en-US"/>
        </w:rPr>
        <w:t>Brooks, R.M., 2016. Financial management: core concepts. Pearson.</w:t>
      </w:r>
    </w:p>
    <w:p w14:paraId="5357E030" w14:textId="77777777" w:rsidR="00E438F7" w:rsidRPr="00E438F7" w:rsidRDefault="00E438F7" w:rsidP="00E438F7">
      <w:pPr>
        <w:spacing w:before="120" w:after="120" w:line="360" w:lineRule="auto"/>
        <w:ind w:left="720" w:hanging="720"/>
        <w:jc w:val="both"/>
        <w:divId w:val="396128363"/>
        <w:rPr>
          <w:rFonts w:ascii="Arial" w:eastAsiaTheme="minorHAnsi" w:hAnsi="Arial" w:cs="Arial"/>
          <w:sz w:val="22"/>
          <w:szCs w:val="22"/>
          <w:lang w:val="en-US" w:eastAsia="en-US"/>
        </w:rPr>
      </w:pPr>
      <w:r w:rsidRPr="00E438F7">
        <w:rPr>
          <w:rFonts w:ascii="Arial" w:eastAsiaTheme="minorHAnsi" w:hAnsi="Arial" w:cs="Arial"/>
          <w:sz w:val="22"/>
          <w:szCs w:val="22"/>
          <w:shd w:val="clear" w:color="auto" w:fill="FFFFFF"/>
          <w:lang w:val="en-US" w:eastAsia="en-US"/>
        </w:rPr>
        <w:t>Dao, P., 2016. Performance evaluation based on financial ratios. Case: Finnair and Scandinavian Airlines.</w:t>
      </w:r>
    </w:p>
    <w:p w14:paraId="6D407218" w14:textId="77777777" w:rsidR="00E438F7" w:rsidRPr="00E438F7" w:rsidRDefault="00E438F7" w:rsidP="00E438F7">
      <w:pPr>
        <w:spacing w:before="120" w:after="120" w:line="360" w:lineRule="auto"/>
        <w:ind w:left="720" w:hanging="720"/>
        <w:jc w:val="both"/>
        <w:divId w:val="396128363"/>
        <w:rPr>
          <w:rFonts w:ascii="Arial" w:eastAsiaTheme="minorHAnsi" w:hAnsi="Arial" w:cs="Arial"/>
          <w:sz w:val="22"/>
          <w:szCs w:val="22"/>
          <w:shd w:val="clear" w:color="auto" w:fill="FFFFFF"/>
          <w:lang w:val="en-US" w:eastAsia="en-US"/>
        </w:rPr>
      </w:pPr>
      <w:proofErr w:type="spellStart"/>
      <w:r w:rsidRPr="00E438F7">
        <w:rPr>
          <w:rFonts w:ascii="Arial" w:eastAsiaTheme="minorHAnsi" w:hAnsi="Arial" w:cs="Arial"/>
          <w:sz w:val="22"/>
          <w:szCs w:val="22"/>
          <w:shd w:val="clear" w:color="auto" w:fill="FFFFFF"/>
          <w:lang w:val="en-US" w:eastAsia="en-US"/>
        </w:rPr>
        <w:t>Finkler</w:t>
      </w:r>
      <w:proofErr w:type="spellEnd"/>
      <w:r w:rsidRPr="00E438F7">
        <w:rPr>
          <w:rFonts w:ascii="Arial" w:eastAsiaTheme="minorHAnsi" w:hAnsi="Arial" w:cs="Arial"/>
          <w:sz w:val="22"/>
          <w:szCs w:val="22"/>
          <w:shd w:val="clear" w:color="auto" w:fill="FFFFFF"/>
          <w:lang w:val="en-US" w:eastAsia="en-US"/>
        </w:rPr>
        <w:t xml:space="preserve">, S.A., 2017. Finance &amp; accounting for </w:t>
      </w:r>
      <w:proofErr w:type="spellStart"/>
      <w:r w:rsidRPr="00E438F7">
        <w:rPr>
          <w:rFonts w:ascii="Arial" w:eastAsiaTheme="minorHAnsi" w:hAnsi="Arial" w:cs="Arial"/>
          <w:sz w:val="22"/>
          <w:szCs w:val="22"/>
          <w:shd w:val="clear" w:color="auto" w:fill="FFFFFF"/>
          <w:lang w:val="en-US" w:eastAsia="en-US"/>
        </w:rPr>
        <w:t>nonfinancial</w:t>
      </w:r>
      <w:proofErr w:type="spellEnd"/>
      <w:r w:rsidRPr="00E438F7">
        <w:rPr>
          <w:rFonts w:ascii="Arial" w:eastAsiaTheme="minorHAnsi" w:hAnsi="Arial" w:cs="Arial"/>
          <w:sz w:val="22"/>
          <w:szCs w:val="22"/>
          <w:shd w:val="clear" w:color="auto" w:fill="FFFFFF"/>
          <w:lang w:val="en-US" w:eastAsia="en-US"/>
        </w:rPr>
        <w:t xml:space="preserve"> managers. </w:t>
      </w:r>
      <w:proofErr w:type="spellStart"/>
      <w:r w:rsidRPr="00E438F7">
        <w:rPr>
          <w:rFonts w:ascii="Arial" w:eastAsiaTheme="minorHAnsi" w:hAnsi="Arial" w:cs="Arial"/>
          <w:sz w:val="22"/>
          <w:szCs w:val="22"/>
          <w:shd w:val="clear" w:color="auto" w:fill="FFFFFF"/>
          <w:lang w:val="en-US" w:eastAsia="en-US"/>
        </w:rPr>
        <w:t>Wolters</w:t>
      </w:r>
      <w:proofErr w:type="spellEnd"/>
      <w:r w:rsidRPr="00E438F7">
        <w:rPr>
          <w:rFonts w:ascii="Arial" w:eastAsiaTheme="minorHAnsi" w:hAnsi="Arial" w:cs="Arial"/>
          <w:sz w:val="22"/>
          <w:szCs w:val="22"/>
          <w:shd w:val="clear" w:color="auto" w:fill="FFFFFF"/>
          <w:lang w:val="en-US" w:eastAsia="en-US"/>
        </w:rPr>
        <w:t xml:space="preserve"> </w:t>
      </w:r>
      <w:proofErr w:type="spellStart"/>
      <w:r w:rsidRPr="00E438F7">
        <w:rPr>
          <w:rFonts w:ascii="Arial" w:eastAsiaTheme="minorHAnsi" w:hAnsi="Arial" w:cs="Arial"/>
          <w:sz w:val="22"/>
          <w:szCs w:val="22"/>
          <w:shd w:val="clear" w:color="auto" w:fill="FFFFFF"/>
          <w:lang w:val="en-US" w:eastAsia="en-US"/>
        </w:rPr>
        <w:t>Kluwer</w:t>
      </w:r>
      <w:proofErr w:type="spellEnd"/>
      <w:r w:rsidRPr="00E438F7">
        <w:rPr>
          <w:rFonts w:ascii="Arial" w:eastAsiaTheme="minorHAnsi" w:hAnsi="Arial" w:cs="Arial"/>
          <w:sz w:val="22"/>
          <w:szCs w:val="22"/>
          <w:shd w:val="clear" w:color="auto" w:fill="FFFFFF"/>
          <w:lang w:val="en-US" w:eastAsia="en-US"/>
        </w:rPr>
        <w:t>.</w:t>
      </w:r>
    </w:p>
    <w:p w14:paraId="5C65E8B2" w14:textId="77777777" w:rsidR="00E438F7" w:rsidRPr="00E438F7" w:rsidRDefault="00E438F7" w:rsidP="00E438F7">
      <w:pPr>
        <w:spacing w:before="120" w:after="120" w:line="360" w:lineRule="auto"/>
        <w:ind w:left="720" w:hanging="720"/>
        <w:jc w:val="both"/>
        <w:divId w:val="396128363"/>
        <w:rPr>
          <w:rFonts w:ascii="Arial" w:eastAsiaTheme="minorHAnsi" w:hAnsi="Arial" w:cs="Arial"/>
          <w:sz w:val="22"/>
          <w:szCs w:val="22"/>
          <w:shd w:val="clear" w:color="auto" w:fill="FFFFFF"/>
          <w:lang w:val="en-US" w:eastAsia="en-US"/>
        </w:rPr>
      </w:pPr>
      <w:r w:rsidRPr="00E438F7">
        <w:rPr>
          <w:rFonts w:ascii="Arial" w:eastAsiaTheme="minorHAnsi" w:hAnsi="Arial" w:cs="Arial"/>
          <w:sz w:val="22"/>
          <w:szCs w:val="22"/>
          <w:shd w:val="clear" w:color="auto" w:fill="FFFFFF"/>
          <w:lang w:val="en-US" w:eastAsia="en-US"/>
        </w:rPr>
        <w:t>Fitch Ratings, 2022. Business Travel Decline Hurts UK Hotel Sector Performance. [Online] Available at: [https://www.fitchratings.com/research/corporate-finance/business-travel-decline-hurts-uk-hotel-sector-performance-24-10-2019] [Assessed on 12 February, 2024]</w:t>
      </w:r>
    </w:p>
    <w:p w14:paraId="4C9CD6BF" w14:textId="77777777" w:rsidR="00E438F7" w:rsidRPr="00E438F7" w:rsidRDefault="00E438F7" w:rsidP="00E438F7">
      <w:pPr>
        <w:spacing w:before="120" w:after="120" w:line="360" w:lineRule="auto"/>
        <w:ind w:left="720" w:hanging="720"/>
        <w:jc w:val="both"/>
        <w:divId w:val="396128363"/>
        <w:rPr>
          <w:rFonts w:ascii="Arial" w:eastAsiaTheme="minorHAnsi" w:hAnsi="Arial" w:cs="Arial"/>
          <w:sz w:val="22"/>
          <w:szCs w:val="22"/>
          <w:shd w:val="clear" w:color="auto" w:fill="FFFFFF"/>
          <w:lang w:val="en-US" w:eastAsia="en-US"/>
        </w:rPr>
      </w:pPr>
      <w:r w:rsidRPr="00E438F7">
        <w:rPr>
          <w:rFonts w:ascii="Arial" w:eastAsiaTheme="minorHAnsi" w:hAnsi="Arial" w:cs="Arial"/>
          <w:sz w:val="22"/>
          <w:szCs w:val="22"/>
          <w:shd w:val="clear" w:color="auto" w:fill="FFFFFF"/>
          <w:lang w:val="en-US" w:eastAsia="en-US"/>
        </w:rPr>
        <w:t>HMN, 2023. Choice Hotels reports 11% decrease in Q3 2023 net income [Online] Available at: [https://www.hotelmanagement-network.com/news/choice-hotels-reports-q3-income/] [Assessed on 12 February, 2024]</w:t>
      </w:r>
    </w:p>
    <w:p w14:paraId="37E72E4F" w14:textId="77777777" w:rsidR="00E438F7" w:rsidRPr="00E438F7" w:rsidRDefault="00E438F7" w:rsidP="00E438F7">
      <w:pPr>
        <w:spacing w:before="120" w:after="120" w:line="360" w:lineRule="auto"/>
        <w:ind w:left="720" w:hanging="720"/>
        <w:jc w:val="both"/>
        <w:divId w:val="396128363"/>
        <w:rPr>
          <w:rFonts w:ascii="Arial" w:eastAsiaTheme="minorHAnsi" w:hAnsi="Arial" w:cs="Arial"/>
          <w:sz w:val="22"/>
          <w:szCs w:val="22"/>
          <w:shd w:val="clear" w:color="auto" w:fill="FFFFFF"/>
          <w:lang w:val="en-US" w:eastAsia="en-US"/>
        </w:rPr>
      </w:pPr>
      <w:proofErr w:type="spellStart"/>
      <w:r w:rsidRPr="00E438F7">
        <w:rPr>
          <w:rFonts w:ascii="Arial" w:eastAsiaTheme="minorHAnsi" w:hAnsi="Arial" w:cs="Arial"/>
          <w:sz w:val="22"/>
          <w:szCs w:val="22"/>
          <w:shd w:val="clear" w:color="auto" w:fill="FFFFFF"/>
          <w:lang w:val="en-US" w:eastAsia="en-US"/>
        </w:rPr>
        <w:t>Kharatyan</w:t>
      </w:r>
      <w:proofErr w:type="spellEnd"/>
      <w:r w:rsidRPr="00E438F7">
        <w:rPr>
          <w:rFonts w:ascii="Arial" w:eastAsiaTheme="minorHAnsi" w:hAnsi="Arial" w:cs="Arial"/>
          <w:sz w:val="22"/>
          <w:szCs w:val="22"/>
          <w:shd w:val="clear" w:color="auto" w:fill="FFFFFF"/>
          <w:lang w:val="en-US" w:eastAsia="en-US"/>
        </w:rPr>
        <w:t xml:space="preserve">, D., </w:t>
      </w:r>
      <w:proofErr w:type="spellStart"/>
      <w:r w:rsidRPr="00E438F7">
        <w:rPr>
          <w:rFonts w:ascii="Arial" w:eastAsiaTheme="minorHAnsi" w:hAnsi="Arial" w:cs="Arial"/>
          <w:sz w:val="22"/>
          <w:szCs w:val="22"/>
          <w:shd w:val="clear" w:color="auto" w:fill="FFFFFF"/>
          <w:lang w:val="en-US" w:eastAsia="en-US"/>
        </w:rPr>
        <w:t>Nunes</w:t>
      </w:r>
      <w:proofErr w:type="spellEnd"/>
      <w:r w:rsidRPr="00E438F7">
        <w:rPr>
          <w:rFonts w:ascii="Arial" w:eastAsiaTheme="minorHAnsi" w:hAnsi="Arial" w:cs="Arial"/>
          <w:sz w:val="22"/>
          <w:szCs w:val="22"/>
          <w:shd w:val="clear" w:color="auto" w:fill="FFFFFF"/>
          <w:lang w:val="en-US" w:eastAsia="en-US"/>
        </w:rPr>
        <w:t>, A. and Lopes, J., 2016. Financial ratios and indicators that determine return on equity. XVII–</w:t>
      </w:r>
      <w:proofErr w:type="spellStart"/>
      <w:r w:rsidRPr="00E438F7">
        <w:rPr>
          <w:rFonts w:ascii="Arial" w:eastAsiaTheme="minorHAnsi" w:hAnsi="Arial" w:cs="Arial"/>
          <w:sz w:val="22"/>
          <w:szCs w:val="22"/>
          <w:shd w:val="clear" w:color="auto" w:fill="FFFFFF"/>
          <w:lang w:val="en-US" w:eastAsia="en-US"/>
        </w:rPr>
        <w:t>Encuentro</w:t>
      </w:r>
      <w:proofErr w:type="spellEnd"/>
      <w:r w:rsidRPr="00E438F7">
        <w:rPr>
          <w:rFonts w:ascii="Arial" w:eastAsiaTheme="minorHAnsi" w:hAnsi="Arial" w:cs="Arial"/>
          <w:sz w:val="22"/>
          <w:szCs w:val="22"/>
          <w:shd w:val="clear" w:color="auto" w:fill="FFFFFF"/>
          <w:lang w:val="en-US" w:eastAsia="en-US"/>
        </w:rPr>
        <w:t xml:space="preserve"> AECA.</w:t>
      </w:r>
    </w:p>
    <w:p w14:paraId="3AE86D22" w14:textId="77777777" w:rsidR="00E438F7" w:rsidRPr="00E438F7" w:rsidRDefault="00E438F7" w:rsidP="00E438F7">
      <w:pPr>
        <w:spacing w:before="120" w:after="120" w:line="360" w:lineRule="auto"/>
        <w:ind w:left="720" w:hanging="720"/>
        <w:jc w:val="both"/>
        <w:divId w:val="396128363"/>
        <w:rPr>
          <w:rFonts w:ascii="Arial" w:eastAsiaTheme="minorHAnsi" w:hAnsi="Arial" w:cs="Arial"/>
          <w:sz w:val="22"/>
          <w:szCs w:val="22"/>
          <w:shd w:val="clear" w:color="auto" w:fill="FFFFFF"/>
          <w:lang w:val="en-US" w:eastAsia="en-US"/>
        </w:rPr>
      </w:pPr>
      <w:proofErr w:type="spellStart"/>
      <w:r w:rsidRPr="00E438F7">
        <w:rPr>
          <w:rFonts w:ascii="Arial" w:eastAsiaTheme="minorHAnsi" w:hAnsi="Arial" w:cs="Arial"/>
          <w:sz w:val="22"/>
          <w:szCs w:val="22"/>
          <w:shd w:val="clear" w:color="auto" w:fill="FFFFFF"/>
          <w:lang w:val="en-US" w:eastAsia="en-US"/>
        </w:rPr>
        <w:t>Okunev</w:t>
      </w:r>
      <w:proofErr w:type="spellEnd"/>
      <w:r w:rsidRPr="00E438F7">
        <w:rPr>
          <w:rFonts w:ascii="Arial" w:eastAsiaTheme="minorHAnsi" w:hAnsi="Arial" w:cs="Arial"/>
          <w:sz w:val="22"/>
          <w:szCs w:val="22"/>
          <w:shd w:val="clear" w:color="auto" w:fill="FFFFFF"/>
          <w:lang w:val="en-US" w:eastAsia="en-US"/>
        </w:rPr>
        <w:t xml:space="preserve">, R., 2022. Financial ratios. In Analytics for Retail: A Step-by-Step Guide to the Statistics Behind a Successful Retail Business (pp. 53-63). Berkeley, CA: </w:t>
      </w:r>
      <w:proofErr w:type="spellStart"/>
      <w:r w:rsidRPr="00E438F7">
        <w:rPr>
          <w:rFonts w:ascii="Arial" w:eastAsiaTheme="minorHAnsi" w:hAnsi="Arial" w:cs="Arial"/>
          <w:sz w:val="22"/>
          <w:szCs w:val="22"/>
          <w:shd w:val="clear" w:color="auto" w:fill="FFFFFF"/>
          <w:lang w:val="en-US" w:eastAsia="en-US"/>
        </w:rPr>
        <w:t>Apress</w:t>
      </w:r>
      <w:proofErr w:type="spellEnd"/>
      <w:r w:rsidRPr="00E438F7">
        <w:rPr>
          <w:rFonts w:ascii="Arial" w:eastAsiaTheme="minorHAnsi" w:hAnsi="Arial" w:cs="Arial"/>
          <w:sz w:val="22"/>
          <w:szCs w:val="22"/>
          <w:shd w:val="clear" w:color="auto" w:fill="FFFFFF"/>
          <w:lang w:val="en-US" w:eastAsia="en-US"/>
        </w:rPr>
        <w:t>.</w:t>
      </w:r>
    </w:p>
    <w:p w14:paraId="01AF826E" w14:textId="77777777" w:rsidR="00E438F7" w:rsidRPr="00E438F7" w:rsidRDefault="00E438F7" w:rsidP="00E438F7">
      <w:pPr>
        <w:spacing w:before="120" w:after="120" w:line="360" w:lineRule="auto"/>
        <w:ind w:left="720" w:hanging="720"/>
        <w:jc w:val="both"/>
        <w:divId w:val="396128363"/>
        <w:rPr>
          <w:rFonts w:ascii="Arial" w:eastAsiaTheme="minorHAnsi" w:hAnsi="Arial" w:cs="Arial"/>
          <w:sz w:val="22"/>
          <w:szCs w:val="22"/>
          <w:shd w:val="clear" w:color="auto" w:fill="FFFFFF"/>
          <w:lang w:val="en-US" w:eastAsia="en-US"/>
        </w:rPr>
      </w:pPr>
      <w:proofErr w:type="spellStart"/>
      <w:r w:rsidRPr="00E438F7">
        <w:rPr>
          <w:rFonts w:ascii="Arial" w:eastAsiaTheme="minorHAnsi" w:hAnsi="Arial" w:cs="Arial"/>
          <w:sz w:val="22"/>
          <w:szCs w:val="22"/>
          <w:shd w:val="clear" w:color="auto" w:fill="FFFFFF"/>
          <w:lang w:val="en-US" w:eastAsia="en-US"/>
        </w:rPr>
        <w:t>Sadi’ah</w:t>
      </w:r>
      <w:proofErr w:type="spellEnd"/>
      <w:r w:rsidRPr="00E438F7">
        <w:rPr>
          <w:rFonts w:ascii="Arial" w:eastAsiaTheme="minorHAnsi" w:hAnsi="Arial" w:cs="Arial"/>
          <w:sz w:val="22"/>
          <w:szCs w:val="22"/>
          <w:shd w:val="clear" w:color="auto" w:fill="FFFFFF"/>
          <w:lang w:val="en-US" w:eastAsia="en-US"/>
        </w:rPr>
        <w:t xml:space="preserve">, K., 2018. The effect of corporate financial ratio upon the company value. The Accounting Journal of </w:t>
      </w:r>
      <w:proofErr w:type="spellStart"/>
      <w:r w:rsidRPr="00E438F7">
        <w:rPr>
          <w:rFonts w:ascii="Arial" w:eastAsiaTheme="minorHAnsi" w:hAnsi="Arial" w:cs="Arial"/>
          <w:sz w:val="22"/>
          <w:szCs w:val="22"/>
          <w:shd w:val="clear" w:color="auto" w:fill="FFFFFF"/>
          <w:lang w:val="en-US" w:eastAsia="en-US"/>
        </w:rPr>
        <w:t>Binaniaga</w:t>
      </w:r>
      <w:proofErr w:type="spellEnd"/>
      <w:r w:rsidRPr="00E438F7">
        <w:rPr>
          <w:rFonts w:ascii="Arial" w:eastAsiaTheme="minorHAnsi" w:hAnsi="Arial" w:cs="Arial"/>
          <w:sz w:val="22"/>
          <w:szCs w:val="22"/>
          <w:shd w:val="clear" w:color="auto" w:fill="FFFFFF"/>
          <w:lang w:val="en-US" w:eastAsia="en-US"/>
        </w:rPr>
        <w:t>, 3(02), pp.75-88.</w:t>
      </w:r>
    </w:p>
    <w:p w14:paraId="452B579B" w14:textId="77777777" w:rsidR="00E438F7" w:rsidRPr="00E438F7" w:rsidRDefault="00E438F7" w:rsidP="00E438F7">
      <w:pPr>
        <w:spacing w:before="120" w:after="120" w:line="360" w:lineRule="auto"/>
        <w:ind w:left="720" w:hanging="720"/>
        <w:jc w:val="both"/>
        <w:divId w:val="396128363"/>
        <w:rPr>
          <w:rFonts w:ascii="Arial" w:eastAsiaTheme="minorHAnsi" w:hAnsi="Arial" w:cs="Arial"/>
          <w:sz w:val="22"/>
          <w:szCs w:val="22"/>
          <w:shd w:val="clear" w:color="auto" w:fill="FFFFFF"/>
          <w:lang w:val="en-US" w:eastAsia="en-US"/>
        </w:rPr>
      </w:pPr>
      <w:proofErr w:type="spellStart"/>
      <w:r w:rsidRPr="00E438F7">
        <w:rPr>
          <w:rFonts w:ascii="Arial" w:eastAsiaTheme="minorHAnsi" w:hAnsi="Arial" w:cs="Arial"/>
          <w:sz w:val="22"/>
          <w:szCs w:val="22"/>
          <w:shd w:val="clear" w:color="auto" w:fill="FFFFFF"/>
          <w:lang w:val="en-US" w:eastAsia="en-US"/>
        </w:rPr>
        <w:t>Savills</w:t>
      </w:r>
      <w:proofErr w:type="spellEnd"/>
      <w:r w:rsidRPr="00E438F7">
        <w:rPr>
          <w:rFonts w:ascii="Arial" w:eastAsiaTheme="minorHAnsi" w:hAnsi="Arial" w:cs="Arial"/>
          <w:sz w:val="22"/>
          <w:szCs w:val="22"/>
          <w:shd w:val="clear" w:color="auto" w:fill="FFFFFF"/>
          <w:lang w:val="en-US" w:eastAsia="en-US"/>
        </w:rPr>
        <w:t>, 2023. Spotlight: UK Hotels 2023. [Online] Available at: [https://www.savills.com/research_articles/255800/349434-0#operation] [Assessed on 12 February, 2024]</w:t>
      </w:r>
    </w:p>
    <w:p w14:paraId="2ACC9E25" w14:textId="77777777" w:rsidR="00E438F7" w:rsidRPr="00E438F7" w:rsidRDefault="00E438F7" w:rsidP="00E438F7">
      <w:pPr>
        <w:spacing w:before="120" w:after="120" w:line="360" w:lineRule="auto"/>
        <w:ind w:left="720" w:hanging="720"/>
        <w:jc w:val="both"/>
        <w:divId w:val="396128363"/>
        <w:rPr>
          <w:rFonts w:ascii="Arial" w:eastAsiaTheme="minorHAnsi" w:hAnsi="Arial" w:cs="Arial"/>
          <w:sz w:val="22"/>
          <w:szCs w:val="22"/>
          <w:shd w:val="clear" w:color="auto" w:fill="FFFFFF"/>
          <w:lang w:val="en-US" w:eastAsia="en-US"/>
        </w:rPr>
      </w:pPr>
      <w:r w:rsidRPr="00E438F7">
        <w:rPr>
          <w:rFonts w:ascii="Arial" w:eastAsiaTheme="minorHAnsi" w:hAnsi="Arial" w:cs="Arial"/>
          <w:sz w:val="22"/>
          <w:szCs w:val="22"/>
          <w:shd w:val="clear" w:color="auto" w:fill="FFFFFF"/>
          <w:lang w:val="en-US" w:eastAsia="en-US"/>
        </w:rPr>
        <w:t xml:space="preserve">Shapiro, A.C. and </w:t>
      </w:r>
      <w:proofErr w:type="spellStart"/>
      <w:r w:rsidRPr="00E438F7">
        <w:rPr>
          <w:rFonts w:ascii="Arial" w:eastAsiaTheme="minorHAnsi" w:hAnsi="Arial" w:cs="Arial"/>
          <w:sz w:val="22"/>
          <w:szCs w:val="22"/>
          <w:shd w:val="clear" w:color="auto" w:fill="FFFFFF"/>
          <w:lang w:val="en-US" w:eastAsia="en-US"/>
        </w:rPr>
        <w:t>Hanouna</w:t>
      </w:r>
      <w:proofErr w:type="spellEnd"/>
      <w:r w:rsidRPr="00E438F7">
        <w:rPr>
          <w:rFonts w:ascii="Arial" w:eastAsiaTheme="minorHAnsi" w:hAnsi="Arial" w:cs="Arial"/>
          <w:sz w:val="22"/>
          <w:szCs w:val="22"/>
          <w:shd w:val="clear" w:color="auto" w:fill="FFFFFF"/>
          <w:lang w:val="en-US" w:eastAsia="en-US"/>
        </w:rPr>
        <w:t>, P., 2019. Multinational financial management. John Wiley &amp; Sons.</w:t>
      </w:r>
    </w:p>
    <w:p w14:paraId="06DBAAD7" w14:textId="77777777" w:rsidR="00E438F7" w:rsidRPr="00E438F7" w:rsidRDefault="00E438F7" w:rsidP="00E438F7">
      <w:pPr>
        <w:spacing w:before="120" w:after="120" w:line="360" w:lineRule="auto"/>
        <w:ind w:left="720" w:hanging="720"/>
        <w:jc w:val="both"/>
        <w:divId w:val="396128363"/>
        <w:rPr>
          <w:rFonts w:ascii="Arial" w:eastAsiaTheme="minorHAnsi" w:hAnsi="Arial" w:cs="Arial"/>
          <w:sz w:val="22"/>
          <w:szCs w:val="22"/>
          <w:shd w:val="clear" w:color="auto" w:fill="FFFFFF"/>
          <w:lang w:val="en-US" w:eastAsia="en-US"/>
        </w:rPr>
      </w:pPr>
      <w:r w:rsidRPr="00E438F7">
        <w:rPr>
          <w:rFonts w:ascii="Arial" w:eastAsiaTheme="minorHAnsi" w:hAnsi="Arial" w:cs="Arial"/>
          <w:sz w:val="22"/>
          <w:szCs w:val="22"/>
          <w:shd w:val="clear" w:color="auto" w:fill="FFFFFF"/>
          <w:lang w:val="en-US" w:eastAsia="en-US"/>
        </w:rPr>
        <w:t>Singh, R., 2016. Lessons in corporate finance: A case studies approach to financial tools, financial policies and valuation. Delhi Business Review, 17(2), p.127.</w:t>
      </w:r>
    </w:p>
    <w:p w14:paraId="3435B2D4" w14:textId="77777777" w:rsidR="00E438F7" w:rsidRPr="00E438F7" w:rsidRDefault="00E438F7" w:rsidP="00E438F7">
      <w:pPr>
        <w:spacing w:before="120" w:after="120" w:line="360" w:lineRule="auto"/>
        <w:ind w:left="720" w:hanging="720"/>
        <w:jc w:val="both"/>
        <w:divId w:val="396128363"/>
        <w:rPr>
          <w:rFonts w:ascii="Arial" w:eastAsiaTheme="minorHAnsi" w:hAnsi="Arial" w:cs="Arial"/>
          <w:sz w:val="22"/>
          <w:szCs w:val="22"/>
          <w:shd w:val="clear" w:color="auto" w:fill="FFFFFF"/>
          <w:lang w:val="en-US" w:eastAsia="en-US"/>
        </w:rPr>
      </w:pPr>
      <w:proofErr w:type="spellStart"/>
      <w:r w:rsidRPr="00E438F7">
        <w:rPr>
          <w:rFonts w:ascii="Arial" w:eastAsiaTheme="minorHAnsi" w:hAnsi="Arial" w:cs="Arial"/>
          <w:sz w:val="22"/>
          <w:szCs w:val="22"/>
          <w:shd w:val="clear" w:color="auto" w:fill="FFFFFF"/>
          <w:lang w:val="en-US" w:eastAsia="en-US"/>
        </w:rPr>
        <w:t>Smeur</w:t>
      </w:r>
      <w:proofErr w:type="spellEnd"/>
      <w:r w:rsidRPr="00E438F7">
        <w:rPr>
          <w:rFonts w:ascii="Arial" w:eastAsiaTheme="minorHAnsi" w:hAnsi="Arial" w:cs="Arial"/>
          <w:sz w:val="22"/>
          <w:szCs w:val="22"/>
          <w:shd w:val="clear" w:color="auto" w:fill="FFFFFF"/>
          <w:lang w:val="en-US" w:eastAsia="en-US"/>
        </w:rPr>
        <w:t>, J., 2019. Financial Management [Revised Edition]: A practical and accessible introduction for students and entrepreneurs. Vernon Press.</w:t>
      </w:r>
    </w:p>
    <w:p w14:paraId="0B1A35C0" w14:textId="77777777" w:rsidR="00E438F7" w:rsidRPr="00E438F7" w:rsidRDefault="00E438F7" w:rsidP="00E438F7">
      <w:pPr>
        <w:spacing w:before="120" w:after="120" w:line="360" w:lineRule="auto"/>
        <w:ind w:left="720" w:hanging="720"/>
        <w:jc w:val="both"/>
        <w:divId w:val="396128363"/>
        <w:rPr>
          <w:rFonts w:ascii="Arial" w:eastAsiaTheme="minorHAnsi" w:hAnsi="Arial" w:cs="Arial"/>
          <w:sz w:val="22"/>
          <w:szCs w:val="22"/>
          <w:shd w:val="clear" w:color="auto" w:fill="FFFFFF"/>
          <w:lang w:val="en-US" w:eastAsia="en-US"/>
        </w:rPr>
      </w:pPr>
      <w:proofErr w:type="spellStart"/>
      <w:r w:rsidRPr="00E438F7">
        <w:rPr>
          <w:rFonts w:ascii="Arial" w:eastAsiaTheme="minorHAnsi" w:hAnsi="Arial" w:cs="Arial"/>
          <w:sz w:val="22"/>
          <w:szCs w:val="22"/>
          <w:shd w:val="clear" w:color="auto" w:fill="FFFFFF"/>
          <w:lang w:val="en-US" w:eastAsia="en-US"/>
        </w:rPr>
        <w:t>Zeller</w:t>
      </w:r>
      <w:proofErr w:type="spellEnd"/>
      <w:r w:rsidRPr="00E438F7">
        <w:rPr>
          <w:rFonts w:ascii="Arial" w:eastAsiaTheme="minorHAnsi" w:hAnsi="Arial" w:cs="Arial"/>
          <w:sz w:val="22"/>
          <w:szCs w:val="22"/>
          <w:shd w:val="clear" w:color="auto" w:fill="FFFFFF"/>
          <w:lang w:val="en-US" w:eastAsia="en-US"/>
        </w:rPr>
        <w:t xml:space="preserve">, T., </w:t>
      </w:r>
      <w:proofErr w:type="spellStart"/>
      <w:r w:rsidRPr="00E438F7">
        <w:rPr>
          <w:rFonts w:ascii="Arial" w:eastAsiaTheme="minorHAnsi" w:hAnsi="Arial" w:cs="Arial"/>
          <w:sz w:val="22"/>
          <w:szCs w:val="22"/>
          <w:shd w:val="clear" w:color="auto" w:fill="FFFFFF"/>
          <w:lang w:val="en-US" w:eastAsia="en-US"/>
        </w:rPr>
        <w:t>Kostolansky</w:t>
      </w:r>
      <w:proofErr w:type="spellEnd"/>
      <w:r w:rsidRPr="00E438F7">
        <w:rPr>
          <w:rFonts w:ascii="Arial" w:eastAsiaTheme="minorHAnsi" w:hAnsi="Arial" w:cs="Arial"/>
          <w:sz w:val="22"/>
          <w:szCs w:val="22"/>
          <w:shd w:val="clear" w:color="auto" w:fill="FFFFFF"/>
          <w:lang w:val="en-US" w:eastAsia="en-US"/>
        </w:rPr>
        <w:t xml:space="preserve">, J. and </w:t>
      </w:r>
      <w:proofErr w:type="spellStart"/>
      <w:r w:rsidRPr="00E438F7">
        <w:rPr>
          <w:rFonts w:ascii="Arial" w:eastAsiaTheme="minorHAnsi" w:hAnsi="Arial" w:cs="Arial"/>
          <w:sz w:val="22"/>
          <w:szCs w:val="22"/>
          <w:shd w:val="clear" w:color="auto" w:fill="FFFFFF"/>
          <w:lang w:val="en-US" w:eastAsia="en-US"/>
        </w:rPr>
        <w:t>Bozoudis</w:t>
      </w:r>
      <w:proofErr w:type="spellEnd"/>
      <w:r w:rsidRPr="00E438F7">
        <w:rPr>
          <w:rFonts w:ascii="Arial" w:eastAsiaTheme="minorHAnsi" w:hAnsi="Arial" w:cs="Arial"/>
          <w:sz w:val="22"/>
          <w:szCs w:val="22"/>
          <w:shd w:val="clear" w:color="auto" w:fill="FFFFFF"/>
          <w:lang w:val="en-US" w:eastAsia="en-US"/>
        </w:rPr>
        <w:t>, M., 2019. An IFRS-based taxonomy of financial ratios. Accounting Research Journal, 32(1), pp.20-35.</w:t>
      </w:r>
    </w:p>
    <w:p w14:paraId="078CCC36" w14:textId="77777777" w:rsidR="00E438F7" w:rsidRPr="00E438F7" w:rsidRDefault="00E438F7" w:rsidP="00E438F7">
      <w:pPr>
        <w:spacing w:before="120" w:after="120" w:line="360" w:lineRule="auto"/>
        <w:ind w:left="720" w:hanging="720"/>
        <w:jc w:val="both"/>
        <w:divId w:val="396128363"/>
        <w:rPr>
          <w:rFonts w:ascii="Arial" w:eastAsiaTheme="minorHAnsi" w:hAnsi="Arial" w:cs="Arial"/>
          <w:sz w:val="22"/>
          <w:szCs w:val="22"/>
          <w:shd w:val="clear" w:color="auto" w:fill="FFFFFF"/>
          <w:lang w:val="en-US" w:eastAsia="en-US"/>
        </w:rPr>
      </w:pPr>
      <w:proofErr w:type="spellStart"/>
      <w:r w:rsidRPr="00E438F7">
        <w:rPr>
          <w:rFonts w:ascii="Arial" w:eastAsiaTheme="minorHAnsi" w:hAnsi="Arial" w:cs="Arial"/>
          <w:sz w:val="22"/>
          <w:szCs w:val="22"/>
          <w:shd w:val="clear" w:color="auto" w:fill="FFFFFF"/>
          <w:lang w:val="en-US" w:eastAsia="en-US"/>
        </w:rPr>
        <w:lastRenderedPageBreak/>
        <w:t>Zietlow</w:t>
      </w:r>
      <w:proofErr w:type="spellEnd"/>
      <w:r w:rsidRPr="00E438F7">
        <w:rPr>
          <w:rFonts w:ascii="Arial" w:eastAsiaTheme="minorHAnsi" w:hAnsi="Arial" w:cs="Arial"/>
          <w:sz w:val="22"/>
          <w:szCs w:val="22"/>
          <w:shd w:val="clear" w:color="auto" w:fill="FFFFFF"/>
          <w:lang w:val="en-US" w:eastAsia="en-US"/>
        </w:rPr>
        <w:t xml:space="preserve">, J., </w:t>
      </w:r>
      <w:proofErr w:type="spellStart"/>
      <w:r w:rsidRPr="00E438F7">
        <w:rPr>
          <w:rFonts w:ascii="Arial" w:eastAsiaTheme="minorHAnsi" w:hAnsi="Arial" w:cs="Arial"/>
          <w:sz w:val="22"/>
          <w:szCs w:val="22"/>
          <w:shd w:val="clear" w:color="auto" w:fill="FFFFFF"/>
          <w:lang w:val="en-US" w:eastAsia="en-US"/>
        </w:rPr>
        <w:t>Hankin</w:t>
      </w:r>
      <w:proofErr w:type="spellEnd"/>
      <w:r w:rsidRPr="00E438F7">
        <w:rPr>
          <w:rFonts w:ascii="Arial" w:eastAsiaTheme="minorHAnsi" w:hAnsi="Arial" w:cs="Arial"/>
          <w:sz w:val="22"/>
          <w:szCs w:val="22"/>
          <w:shd w:val="clear" w:color="auto" w:fill="FFFFFF"/>
          <w:lang w:val="en-US" w:eastAsia="en-US"/>
        </w:rPr>
        <w:t xml:space="preserve">, J.A., </w:t>
      </w:r>
      <w:proofErr w:type="spellStart"/>
      <w:r w:rsidRPr="00E438F7">
        <w:rPr>
          <w:rFonts w:ascii="Arial" w:eastAsiaTheme="minorHAnsi" w:hAnsi="Arial" w:cs="Arial"/>
          <w:sz w:val="22"/>
          <w:szCs w:val="22"/>
          <w:shd w:val="clear" w:color="auto" w:fill="FFFFFF"/>
          <w:lang w:val="en-US" w:eastAsia="en-US"/>
        </w:rPr>
        <w:t>Seidner</w:t>
      </w:r>
      <w:proofErr w:type="spellEnd"/>
      <w:r w:rsidRPr="00E438F7">
        <w:rPr>
          <w:rFonts w:ascii="Arial" w:eastAsiaTheme="minorHAnsi" w:hAnsi="Arial" w:cs="Arial"/>
          <w:sz w:val="22"/>
          <w:szCs w:val="22"/>
          <w:shd w:val="clear" w:color="auto" w:fill="FFFFFF"/>
          <w:lang w:val="en-US" w:eastAsia="en-US"/>
        </w:rPr>
        <w:t>, A. and O'Brien, T., 2018. Financial management for nonprofit organizations: Policies and practices. John Wiley &amp; Sons.</w:t>
      </w:r>
    </w:p>
    <w:p w14:paraId="75551E96" w14:textId="77777777" w:rsidR="006D5DAE" w:rsidRDefault="006D5DAE"/>
    <w:sectPr w:rsidR="006D5D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DAE"/>
    <w:rsid w:val="001653DE"/>
    <w:rsid w:val="003D2CD5"/>
    <w:rsid w:val="00450F47"/>
    <w:rsid w:val="004644B2"/>
    <w:rsid w:val="006016E3"/>
    <w:rsid w:val="006909CE"/>
    <w:rsid w:val="006C113D"/>
    <w:rsid w:val="006D5DAE"/>
    <w:rsid w:val="006E004A"/>
    <w:rsid w:val="00942511"/>
    <w:rsid w:val="00BD4EBF"/>
    <w:rsid w:val="00C06C06"/>
    <w:rsid w:val="00C32E40"/>
    <w:rsid w:val="00CE120B"/>
    <w:rsid w:val="00E438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8D3AF4"/>
  <w15:chartTrackingRefBased/>
  <w15:docId w15:val="{592C3250-5AB2-E546-B91C-312B4088E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5D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5D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5D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5D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5D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5D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5D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5D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5D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D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5D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5D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5D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5D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5D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5D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5D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5DAE"/>
    <w:rPr>
      <w:rFonts w:eastAsiaTheme="majorEastAsia" w:cstheme="majorBidi"/>
      <w:color w:val="272727" w:themeColor="text1" w:themeTint="D8"/>
    </w:rPr>
  </w:style>
  <w:style w:type="paragraph" w:styleId="Title">
    <w:name w:val="Title"/>
    <w:basedOn w:val="Normal"/>
    <w:next w:val="Normal"/>
    <w:link w:val="TitleChar"/>
    <w:uiPriority w:val="10"/>
    <w:qFormat/>
    <w:rsid w:val="006D5D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5D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5D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5D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5DAE"/>
    <w:pPr>
      <w:spacing w:before="160"/>
      <w:jc w:val="center"/>
    </w:pPr>
    <w:rPr>
      <w:i/>
      <w:iCs/>
      <w:color w:val="404040" w:themeColor="text1" w:themeTint="BF"/>
    </w:rPr>
  </w:style>
  <w:style w:type="character" w:customStyle="1" w:styleId="QuoteChar">
    <w:name w:val="Quote Char"/>
    <w:basedOn w:val="DefaultParagraphFont"/>
    <w:link w:val="Quote"/>
    <w:uiPriority w:val="29"/>
    <w:rsid w:val="006D5DAE"/>
    <w:rPr>
      <w:i/>
      <w:iCs/>
      <w:color w:val="404040" w:themeColor="text1" w:themeTint="BF"/>
    </w:rPr>
  </w:style>
  <w:style w:type="paragraph" w:styleId="ListParagraph">
    <w:name w:val="List Paragraph"/>
    <w:basedOn w:val="Normal"/>
    <w:uiPriority w:val="34"/>
    <w:qFormat/>
    <w:rsid w:val="006D5DAE"/>
    <w:pPr>
      <w:ind w:left="720"/>
      <w:contextualSpacing/>
    </w:pPr>
  </w:style>
  <w:style w:type="character" w:styleId="IntenseEmphasis">
    <w:name w:val="Intense Emphasis"/>
    <w:basedOn w:val="DefaultParagraphFont"/>
    <w:uiPriority w:val="21"/>
    <w:qFormat/>
    <w:rsid w:val="006D5DAE"/>
    <w:rPr>
      <w:i/>
      <w:iCs/>
      <w:color w:val="0F4761" w:themeColor="accent1" w:themeShade="BF"/>
    </w:rPr>
  </w:style>
  <w:style w:type="paragraph" w:styleId="IntenseQuote">
    <w:name w:val="Intense Quote"/>
    <w:basedOn w:val="Normal"/>
    <w:next w:val="Normal"/>
    <w:link w:val="IntenseQuoteChar"/>
    <w:uiPriority w:val="30"/>
    <w:qFormat/>
    <w:rsid w:val="006D5D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5DAE"/>
    <w:rPr>
      <w:i/>
      <w:iCs/>
      <w:color w:val="0F4761" w:themeColor="accent1" w:themeShade="BF"/>
    </w:rPr>
  </w:style>
  <w:style w:type="character" w:styleId="IntenseReference">
    <w:name w:val="Intense Reference"/>
    <w:basedOn w:val="DefaultParagraphFont"/>
    <w:uiPriority w:val="32"/>
    <w:qFormat/>
    <w:rsid w:val="006D5DAE"/>
    <w:rPr>
      <w:b/>
      <w:bCs/>
      <w:smallCaps/>
      <w:color w:val="0F4761" w:themeColor="accent1" w:themeShade="BF"/>
      <w:spacing w:val="5"/>
    </w:rPr>
  </w:style>
  <w:style w:type="character" w:styleId="Hyperlink">
    <w:name w:val="Hyperlink"/>
    <w:basedOn w:val="DefaultParagraphFont"/>
    <w:uiPriority w:val="99"/>
    <w:semiHidden/>
    <w:unhideWhenUsed/>
    <w:rsid w:val="00E438F7"/>
    <w:rPr>
      <w:color w:val="467886" w:themeColor="hyperlink"/>
      <w:u w:val="single"/>
    </w:rPr>
  </w:style>
  <w:style w:type="paragraph" w:styleId="TOC1">
    <w:name w:val="toc 1"/>
    <w:basedOn w:val="Normal"/>
    <w:next w:val="Normal"/>
    <w:autoRedefine/>
    <w:uiPriority w:val="39"/>
    <w:semiHidden/>
    <w:unhideWhenUsed/>
    <w:rsid w:val="00E438F7"/>
    <w:pPr>
      <w:spacing w:after="100" w:line="360" w:lineRule="auto"/>
      <w:ind w:firstLine="284"/>
      <w:jc w:val="both"/>
    </w:pPr>
    <w:rPr>
      <w:rFonts w:ascii="Times New Roman" w:eastAsiaTheme="minorHAnsi" w:hAnsi="Times New Roman"/>
      <w:sz w:val="22"/>
      <w:szCs w:val="22"/>
      <w:lang w:eastAsia="en-US"/>
    </w:rPr>
  </w:style>
  <w:style w:type="paragraph" w:styleId="TOC2">
    <w:name w:val="toc 2"/>
    <w:basedOn w:val="Normal"/>
    <w:next w:val="Normal"/>
    <w:autoRedefine/>
    <w:uiPriority w:val="39"/>
    <w:semiHidden/>
    <w:unhideWhenUsed/>
    <w:rsid w:val="00E438F7"/>
    <w:pPr>
      <w:spacing w:after="100" w:line="360" w:lineRule="auto"/>
      <w:ind w:left="220" w:firstLine="284"/>
      <w:jc w:val="both"/>
    </w:pPr>
    <w:rPr>
      <w:rFonts w:ascii="Times New Roman" w:eastAsiaTheme="minorHAnsi" w:hAnsi="Times New Roman"/>
      <w:sz w:val="22"/>
      <w:szCs w:val="22"/>
      <w:lang w:eastAsia="en-US"/>
    </w:rPr>
  </w:style>
  <w:style w:type="paragraph" w:styleId="TOC3">
    <w:name w:val="toc 3"/>
    <w:basedOn w:val="Normal"/>
    <w:next w:val="Normal"/>
    <w:autoRedefine/>
    <w:uiPriority w:val="39"/>
    <w:semiHidden/>
    <w:unhideWhenUsed/>
    <w:rsid w:val="00E438F7"/>
    <w:pPr>
      <w:spacing w:after="100" w:line="360" w:lineRule="auto"/>
      <w:ind w:left="440" w:firstLine="284"/>
      <w:jc w:val="both"/>
    </w:pPr>
    <w:rPr>
      <w:rFonts w:ascii="Times New Roman" w:eastAsiaTheme="minorHAnsi" w:hAnsi="Times New Roman"/>
      <w:sz w:val="22"/>
      <w:szCs w:val="22"/>
      <w:lang w:eastAsia="en-US"/>
    </w:rPr>
  </w:style>
  <w:style w:type="paragraph" w:styleId="NoSpacing">
    <w:name w:val="No Spacing"/>
    <w:uiPriority w:val="1"/>
    <w:qFormat/>
    <w:rsid w:val="00E438F7"/>
    <w:pPr>
      <w:spacing w:after="0" w:line="360" w:lineRule="auto"/>
      <w:jc w:val="both"/>
    </w:pPr>
    <w:rPr>
      <w:rFonts w:ascii="Times New Roman" w:eastAsiaTheme="minorHAnsi" w:hAnsi="Times New Roman"/>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6128363">
      <w:bodyDiv w:val="1"/>
      <w:marLeft w:val="0"/>
      <w:marRight w:val="0"/>
      <w:marTop w:val="0"/>
      <w:marBottom w:val="0"/>
      <w:divBdr>
        <w:top w:val="none" w:sz="0" w:space="0" w:color="auto"/>
        <w:left w:val="none" w:sz="0" w:space="0" w:color="auto"/>
        <w:bottom w:val="none" w:sz="0" w:space="0" w:color="auto"/>
        <w:right w:val="none" w:sz="0" w:space="0" w:color="auto"/>
      </w:divBdr>
      <w:divsChild>
        <w:div w:id="19064512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11</Pages>
  <Words>2611</Words>
  <Characters>14888</Characters>
  <Application>Microsoft Office Word</Application>
  <DocSecurity>0</DocSecurity>
  <Lines>124</Lines>
  <Paragraphs>34</Paragraphs>
  <ScaleCrop>false</ScaleCrop>
  <Company/>
  <LinksUpToDate>false</LinksUpToDate>
  <CharactersWithSpaces>17465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Maria Vladoi (2207143)</dc:creator>
  <cp:keywords/>
  <dc:description/>
  <cp:lastModifiedBy>Daniela Maria Vladoi (2207143)</cp:lastModifiedBy>
  <cp:revision>15</cp:revision>
  <dcterms:created xsi:type="dcterms:W3CDTF">2024-02-27T10:07:00Z</dcterms:created>
  <dcterms:modified xsi:type="dcterms:W3CDTF">2024-02-28T21:02:00Z</dcterms:modified>
</cp:coreProperties>
</file>