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4858245" w14:paraId="49D268AF" wp14:textId="4418B620">
      <w:pPr>
        <w:jc w:val="both"/>
      </w:pPr>
      <w:r w:rsidRPr="04858245" w:rsidR="04858245">
        <w:rPr>
          <w:rFonts w:ascii="Calibri" w:hAnsi="Calibri" w:eastAsia="Calibri" w:cs="Calibri"/>
          <w:b w:val="1"/>
          <w:bCs w:val="1"/>
          <w:i w:val="0"/>
          <w:iCs w:val="0"/>
          <w:strike w:val="0"/>
          <w:dstrike w:val="0"/>
          <w:noProof w:val="0"/>
          <w:color w:val="000000" w:themeColor="text1" w:themeTint="FF" w:themeShade="FF"/>
          <w:sz w:val="24"/>
          <w:szCs w:val="24"/>
          <w:u w:val="none"/>
          <w:lang w:val="en-US"/>
        </w:rPr>
        <w:t xml:space="preserve">                                                                         </w:t>
      </w:r>
      <w:r w:rsidRPr="04858245" w:rsidR="04858245">
        <w:rPr>
          <w:rFonts w:ascii="Calibri" w:hAnsi="Calibri" w:eastAsia="Calibri" w:cs="Calibri"/>
          <w:b w:val="1"/>
          <w:bCs w:val="1"/>
          <w:i w:val="0"/>
          <w:iCs w:val="0"/>
          <w:strike w:val="0"/>
          <w:dstrike w:val="0"/>
          <w:noProof w:val="0"/>
          <w:color w:val="000000" w:themeColor="text1" w:themeTint="FF" w:themeShade="FF"/>
          <w:sz w:val="32"/>
          <w:szCs w:val="32"/>
          <w:u w:val="none"/>
          <w:lang w:val="en-US"/>
        </w:rPr>
        <w:t xml:space="preserve"> Legal Process</w:t>
      </w:r>
    </w:p>
    <w:p xmlns:wp14="http://schemas.microsoft.com/office/word/2010/wordml" w:rsidP="04858245" w14:paraId="70485B7A" wp14:textId="142D053C">
      <w:pPr>
        <w:pStyle w:val="Normal"/>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p>
    <w:p xmlns:wp14="http://schemas.microsoft.com/office/word/2010/wordml" w:rsidP="04858245" w14:paraId="6C3C77B2" wp14:textId="4AEAB104">
      <w:pPr>
        <w:pStyle w:val="Normal"/>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p>
    <w:p xmlns:wp14="http://schemas.microsoft.com/office/word/2010/wordml" w:rsidP="04858245" w14:paraId="6E533283" wp14:textId="5DF722C2">
      <w:pPr>
        <w:jc w:val="both"/>
      </w:pPr>
      <w:r w:rsidRPr="04858245" w:rsidR="04858245">
        <w:rPr>
          <w:rFonts w:ascii="Calibri" w:hAnsi="Calibri" w:eastAsia="Calibri" w:cs="Calibri"/>
          <w:b w:val="1"/>
          <w:bCs w:val="1"/>
          <w:i w:val="0"/>
          <w:iCs w:val="0"/>
          <w:strike w:val="0"/>
          <w:dstrike w:val="0"/>
          <w:noProof w:val="0"/>
          <w:color w:val="000000" w:themeColor="text1" w:themeTint="FF" w:themeShade="FF"/>
          <w:sz w:val="24"/>
          <w:szCs w:val="24"/>
          <w:u w:val="none"/>
          <w:lang w:val="en-US"/>
        </w:rPr>
        <w:t xml:space="preserve">                                                                                                                      Landa Rrapi</w:t>
      </w:r>
    </w:p>
    <w:p xmlns:wp14="http://schemas.microsoft.com/office/word/2010/wordml" w:rsidP="04858245" w14:paraId="780B4AEC" wp14:textId="431D3D87">
      <w:pPr>
        <w:jc w:val="both"/>
      </w:pPr>
      <w:r w:rsidRPr="04858245" w:rsidR="04858245">
        <w:rPr>
          <w:rFonts w:ascii="Calibri" w:hAnsi="Calibri" w:eastAsia="Calibri" w:cs="Calibri"/>
          <w:b w:val="1"/>
          <w:bCs w:val="1"/>
          <w:i w:val="0"/>
          <w:iCs w:val="0"/>
          <w:strike w:val="0"/>
          <w:dstrike w:val="0"/>
          <w:noProof w:val="0"/>
          <w:color w:val="000000" w:themeColor="text1" w:themeTint="FF" w:themeShade="FF"/>
          <w:sz w:val="24"/>
          <w:szCs w:val="24"/>
          <w:u w:val="none"/>
          <w:lang w:val="en-US"/>
        </w:rPr>
        <w:t xml:space="preserve">                                                                                                                      Student number 1712901</w:t>
      </w:r>
    </w:p>
    <w:p xmlns:wp14="http://schemas.microsoft.com/office/word/2010/wordml" w:rsidP="04858245" w14:paraId="1A41CBAF" wp14:textId="5375E9FF">
      <w:pPr>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p>
    <w:p xmlns:wp14="http://schemas.microsoft.com/office/word/2010/wordml" w:rsidP="04858245" w14:paraId="4088040B" wp14:textId="754B5F40">
      <w:pPr>
        <w:jc w:val="both"/>
      </w:pPr>
      <w:r w:rsidRPr="04858245" w:rsidR="04858245">
        <w:rPr>
          <w:rFonts w:ascii="Calibri" w:hAnsi="Calibri" w:eastAsia="Calibri" w:cs="Calibri"/>
          <w:b w:val="1"/>
          <w:bCs w:val="1"/>
          <w:i w:val="0"/>
          <w:iCs w:val="0"/>
          <w:strike w:val="0"/>
          <w:dstrike w:val="0"/>
          <w:noProof w:val="0"/>
          <w:color w:val="000000" w:themeColor="text1" w:themeTint="FF" w:themeShade="FF"/>
          <w:sz w:val="24"/>
          <w:szCs w:val="24"/>
          <w:u w:val="none"/>
          <w:lang w:val="en-US"/>
        </w:rPr>
        <w:t>It may be argued that the principle of statutory interpretation diminishes status of legislation as a primary source of law in the UK, discuss.</w:t>
      </w:r>
    </w:p>
    <w:p xmlns:wp14="http://schemas.microsoft.com/office/word/2010/wordml" w:rsidP="04858245" w14:paraId="4A121BA9" wp14:textId="5E232665">
      <w:pPr>
        <w:jc w:val="both"/>
      </w:pP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Introduction</w:t>
      </w:r>
    </w:p>
    <w:p xmlns:wp14="http://schemas.microsoft.com/office/word/2010/wordml" w:rsidP="04858245" w14:paraId="0AB711C6" wp14:textId="048F7A48">
      <w:pPr>
        <w:jc w:val="both"/>
      </w:pP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The term Source refers to the seat of power or authority where a law derives its validity (Goltzberg, 2016). In the UK there is a hierarchical system of sources of law as follows (Slapper &amp; Kelly, 2016):</w:t>
      </w:r>
    </w:p>
    <w:p xmlns:wp14="http://schemas.microsoft.com/office/word/2010/wordml" w:rsidP="04858245" w14:paraId="289DA2BD" wp14:textId="58F6D176">
      <w:pPr>
        <w:pStyle w:val="ListParagraph"/>
        <w:numPr>
          <w:ilvl w:val="0"/>
          <w:numId w:val="1"/>
        </w:numPr>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US"/>
        </w:rPr>
      </w:pP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Legislation (primary and secondary)</w:t>
      </w:r>
    </w:p>
    <w:p xmlns:wp14="http://schemas.microsoft.com/office/word/2010/wordml" w:rsidP="04858245" w14:paraId="6804B1D6" wp14:textId="69D3D997">
      <w:pPr>
        <w:pStyle w:val="ListParagraph"/>
        <w:numPr>
          <w:ilvl w:val="0"/>
          <w:numId w:val="1"/>
        </w:numPr>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US"/>
        </w:rPr>
      </w:pP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The case law – rules of common law and equity</w:t>
      </w:r>
    </w:p>
    <w:p xmlns:wp14="http://schemas.microsoft.com/office/word/2010/wordml" w:rsidP="04858245" w14:paraId="4EEA71CB" wp14:textId="555B5166">
      <w:pPr>
        <w:pStyle w:val="ListParagraph"/>
        <w:numPr>
          <w:ilvl w:val="0"/>
          <w:numId w:val="1"/>
        </w:numPr>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US"/>
        </w:rPr>
      </w:pP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Parliamentary conventions</w:t>
      </w:r>
    </w:p>
    <w:p xmlns:wp14="http://schemas.microsoft.com/office/word/2010/wordml" w:rsidP="04858245" w14:paraId="7D46C31C" wp14:textId="2A9473FB">
      <w:pPr>
        <w:pStyle w:val="ListParagraph"/>
        <w:numPr>
          <w:ilvl w:val="0"/>
          <w:numId w:val="1"/>
        </w:numPr>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US"/>
        </w:rPr>
      </w:pP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General customs</w:t>
      </w:r>
    </w:p>
    <w:p xmlns:wp14="http://schemas.microsoft.com/office/word/2010/wordml" w:rsidP="04858245" w14:paraId="61B699C6" wp14:textId="1CE1787B">
      <w:pPr>
        <w:pStyle w:val="ListParagraph"/>
        <w:numPr>
          <w:ilvl w:val="0"/>
          <w:numId w:val="1"/>
        </w:numPr>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US"/>
        </w:rPr>
      </w:pP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Books of authority</w:t>
      </w:r>
    </w:p>
    <w:p xmlns:wp14="http://schemas.microsoft.com/office/word/2010/wordml" w:rsidP="04858245" w14:paraId="4B621B4E" wp14:textId="129939F6">
      <w:pPr>
        <w:jc w:val="both"/>
      </w:pP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Legislation is a primary source of law and is often declared as a set of legal rules by an authority. There are many purposes of legislation including: to authorise, to enable, to proscribe, to sanction, to declare, to restrict. Legislation can also be delegated to lower law-making bodies. Delegated Legislation in the UK include Bye-laws, Statutory Instruments and Orders-in-Council. </w:t>
      </w:r>
    </w:p>
    <w:p xmlns:wp14="http://schemas.microsoft.com/office/word/2010/wordml" w:rsidP="04858245" w14:paraId="321612CD" wp14:textId="449706F4">
      <w:pPr>
        <w:jc w:val="both"/>
      </w:pP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It is noteworthy that the legislature is the law-making arm of the government – Parliament in the UK, the other arms being the Executive, and the Judiciary – for interpreting the law.</w:t>
      </w:r>
    </w:p>
    <w:p xmlns:wp14="http://schemas.microsoft.com/office/word/2010/wordml" w:rsidP="04858245" w14:paraId="4A3F50A1" wp14:textId="474C18DD">
      <w:pPr>
        <w:jc w:val="both"/>
      </w:pP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When an Act is passed into law by Parliament (statute Law), the Judge has a duty to interpret that law, and give applicable effect to the intention of Parliament in the matter before the Court. This presumes that the Judges are then the ultimate enforcers of the Law.</w:t>
      </w:r>
    </w:p>
    <w:p xmlns:wp14="http://schemas.microsoft.com/office/word/2010/wordml" w:rsidP="04858245" w14:paraId="6F261EC4" wp14:textId="54E4F831">
      <w:pPr>
        <w:jc w:val="both"/>
      </w:pPr>
      <w:r w:rsidRPr="04858245" w:rsidR="04858245">
        <w:rPr>
          <w:rFonts w:ascii="Calibri" w:hAnsi="Calibri" w:eastAsia="Calibri" w:cs="Calibri"/>
          <w:b w:val="1"/>
          <w:bCs w:val="1"/>
          <w:i w:val="0"/>
          <w:iCs w:val="0"/>
          <w:strike w:val="0"/>
          <w:dstrike w:val="0"/>
          <w:noProof w:val="0"/>
          <w:color w:val="000000" w:themeColor="text1" w:themeTint="FF" w:themeShade="FF"/>
          <w:sz w:val="24"/>
          <w:szCs w:val="24"/>
          <w:u w:val="none"/>
          <w:lang w:val="en-US"/>
        </w:rPr>
        <w:t>The Necessity and Rules of Statutory Interpretation</w:t>
      </w:r>
    </w:p>
    <w:p xmlns:wp14="http://schemas.microsoft.com/office/word/2010/wordml" w:rsidP="04858245" w14:paraId="5C2611AA" wp14:textId="05202854">
      <w:pPr>
        <w:jc w:val="both"/>
      </w:pP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Statutory Interpretation entails the application of specific rules and judicial presumptions. A Statute may require interpretation for many reasons including ambiguity, poor drafting and the context of individual cases. Although Parliament would draft comprehensive Acts to include interpretation sections, in some cases, the statutes are drafted ambiguously due to uncertainty of the effects of the law or to allow for developments in future.</w:t>
      </w:r>
    </w:p>
    <w:p xmlns:wp14="http://schemas.microsoft.com/office/word/2010/wordml" w:rsidP="04858245" w14:paraId="0E966DA2" wp14:textId="7438C1D8">
      <w:pPr>
        <w:jc w:val="both"/>
      </w:pP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There are different rules of statutory interpretation, and a Judge would generally apply the most suitable at any time to achieve desired results.  The Judges are often faced with the problems of Uncertainty, Ambiguity and Literal meanings when interpreting statutes</w:t>
      </w:r>
    </w:p>
    <w:p xmlns:wp14="http://schemas.microsoft.com/office/word/2010/wordml" w:rsidP="04858245" w14:paraId="4B840974" wp14:textId="55F58977">
      <w:pPr>
        <w:jc w:val="both"/>
      </w:pPr>
      <w:r w:rsidRPr="04858245" w:rsidR="04858245">
        <w:rPr>
          <w:rFonts w:ascii="Calibri" w:hAnsi="Calibri" w:eastAsia="Calibri" w:cs="Calibri"/>
          <w:b w:val="1"/>
          <w:bCs w:val="1"/>
          <w:i w:val="0"/>
          <w:iCs w:val="0"/>
          <w:strike w:val="0"/>
          <w:dstrike w:val="0"/>
          <w:noProof w:val="0"/>
          <w:color w:val="2D2D2D"/>
          <w:sz w:val="24"/>
          <w:szCs w:val="24"/>
          <w:u w:val="none"/>
          <w:lang w:val="en-US"/>
        </w:rPr>
        <w:t>The Literal Rule of Interpretation</w:t>
      </w:r>
    </w:p>
    <w:p xmlns:wp14="http://schemas.microsoft.com/office/word/2010/wordml" w:rsidP="04858245" w14:paraId="6701D231" wp14:textId="79C9764E">
      <w:pPr>
        <w:jc w:val="both"/>
      </w:pP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Lord Tindal CJ in the </w:t>
      </w:r>
      <w:r w:rsidRPr="04858245" w:rsidR="04858245">
        <w:rPr>
          <w:rFonts w:ascii="Calibri" w:hAnsi="Calibri" w:eastAsia="Calibri" w:cs="Calibri"/>
          <w:b w:val="0"/>
          <w:bCs w:val="0"/>
          <w:i w:val="1"/>
          <w:iCs w:val="1"/>
          <w:strike w:val="0"/>
          <w:dstrike w:val="0"/>
          <w:noProof w:val="0"/>
          <w:color w:val="2D2D2D"/>
          <w:sz w:val="24"/>
          <w:szCs w:val="24"/>
          <w:u w:val="none"/>
          <w:lang w:val="en-US"/>
        </w:rPr>
        <w:t>Sussex Peerage case</w:t>
      </w: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 (1844) stated that </w:t>
      </w:r>
      <w:r w:rsidRPr="04858245" w:rsidR="04858245">
        <w:rPr>
          <w:rFonts w:ascii="Calibri" w:hAnsi="Calibri" w:eastAsia="Calibri" w:cs="Calibri"/>
          <w:b w:val="0"/>
          <w:bCs w:val="0"/>
          <w:i w:val="1"/>
          <w:iCs w:val="1"/>
          <w:strike w:val="0"/>
          <w:dstrike w:val="0"/>
          <w:noProof w:val="0"/>
          <w:color w:val="2D2D2D"/>
          <w:sz w:val="24"/>
          <w:szCs w:val="24"/>
          <w:u w:val="none"/>
          <w:lang w:val="en-US"/>
        </w:rPr>
        <w:t xml:space="preserve"> “If the words of the statute are in themselves precise and unambiguous, then no more can be necessary than to expound those words in the natural and ordinary sense.”  </w:t>
      </w: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 Here the literal interpretation of the words are followed by the Court. In </w:t>
      </w:r>
      <w:r w:rsidRPr="04858245" w:rsidR="04858245">
        <w:rPr>
          <w:rFonts w:ascii="Calibri" w:hAnsi="Calibri" w:eastAsia="Calibri" w:cs="Calibri"/>
          <w:b w:val="0"/>
          <w:bCs w:val="0"/>
          <w:i w:val="1"/>
          <w:iCs w:val="1"/>
          <w:strike w:val="0"/>
          <w:dstrike w:val="0"/>
          <w:noProof w:val="0"/>
          <w:color w:val="2D2D2D"/>
          <w:sz w:val="24"/>
          <w:szCs w:val="24"/>
          <w:u w:val="none"/>
          <w:lang w:val="en-US"/>
        </w:rPr>
        <w:t xml:space="preserve">R v. Judge of the City of London Court (1892) </w:t>
      </w: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Lord Esher stated: </w:t>
      </w:r>
      <w:r w:rsidRPr="04858245" w:rsidR="04858245">
        <w:rPr>
          <w:rFonts w:ascii="Calibri" w:hAnsi="Calibri" w:eastAsia="Calibri" w:cs="Calibri"/>
          <w:b w:val="0"/>
          <w:bCs w:val="0"/>
          <w:i w:val="1"/>
          <w:iCs w:val="1"/>
          <w:strike w:val="0"/>
          <w:dstrike w:val="0"/>
          <w:noProof w:val="0"/>
          <w:color w:val="2D2D2D"/>
          <w:sz w:val="24"/>
          <w:szCs w:val="24"/>
          <w:u w:val="none"/>
          <w:lang w:val="en-US"/>
        </w:rPr>
        <w:t xml:space="preserve"> “If the words of an act areclear then you must follow them even though they lead to a manifest absurdity. The court has nothing to do with the question whether the legislature has committed an absurdity.”</w:t>
      </w:r>
    </w:p>
    <w:p xmlns:wp14="http://schemas.microsoft.com/office/word/2010/wordml" w:rsidP="04858245" w14:paraId="66EB7123" wp14:textId="7DD33E88">
      <w:pPr>
        <w:jc w:val="both"/>
      </w:pPr>
      <w:r w:rsidRPr="04858245" w:rsidR="04858245">
        <w:rPr>
          <w:rFonts w:ascii="Calibri" w:hAnsi="Calibri" w:eastAsia="Calibri" w:cs="Calibri"/>
          <w:b w:val="0"/>
          <w:bCs w:val="0"/>
          <w:noProof w:val="0"/>
          <w:sz w:val="22"/>
          <w:szCs w:val="22"/>
          <w:lang w:val="en-US"/>
        </w:rPr>
        <w:t xml:space="preserve"> </w:t>
      </w:r>
    </w:p>
    <w:p xmlns:wp14="http://schemas.microsoft.com/office/word/2010/wordml" w:rsidP="04858245" w14:paraId="7596ADE5" wp14:textId="29D5376E">
      <w:pPr>
        <w:jc w:val="both"/>
      </w:pPr>
      <w:r w:rsidRPr="04858245" w:rsidR="04858245">
        <w:rPr>
          <w:rFonts w:ascii="Calibri" w:hAnsi="Calibri" w:eastAsia="Calibri" w:cs="Calibri"/>
          <w:b w:val="1"/>
          <w:bCs w:val="1"/>
          <w:i w:val="0"/>
          <w:iCs w:val="0"/>
          <w:strike w:val="0"/>
          <w:dstrike w:val="0"/>
          <w:noProof w:val="0"/>
          <w:color w:val="333333"/>
          <w:sz w:val="24"/>
          <w:szCs w:val="24"/>
          <w:u w:val="none"/>
          <w:lang w:val="en-US"/>
        </w:rPr>
        <w:t>Disadvantages of literal rule</w:t>
      </w:r>
    </w:p>
    <w:p xmlns:wp14="http://schemas.microsoft.com/office/word/2010/wordml" w:rsidP="04858245" w14:paraId="22D99FFB" wp14:textId="7C2EEA9E">
      <w:pPr>
        <w:jc w:val="both"/>
      </w:pPr>
      <w:r w:rsidRPr="04858245" w:rsidR="04858245">
        <w:rPr>
          <w:rFonts w:ascii="Calibri" w:hAnsi="Calibri" w:eastAsia="Calibri" w:cs="Calibri"/>
          <w:b w:val="1"/>
          <w:bCs w:val="1"/>
          <w:i w:val="0"/>
          <w:iCs w:val="0"/>
          <w:strike w:val="0"/>
          <w:dstrike w:val="0"/>
          <w:noProof w:val="0"/>
          <w:color w:val="2D2D2D"/>
          <w:sz w:val="24"/>
          <w:szCs w:val="24"/>
          <w:u w:val="none"/>
          <w:lang w:val="en-US"/>
        </w:rPr>
        <w:t>The Golden Rule of Interpretation</w:t>
      </w:r>
    </w:p>
    <w:p xmlns:wp14="http://schemas.microsoft.com/office/word/2010/wordml" w:rsidP="04858245" w14:paraId="69DCFBAD" wp14:textId="25208733">
      <w:pPr>
        <w:jc w:val="both"/>
      </w:pP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 The Golden rule operates as a backup to the literal rule. In </w:t>
      </w:r>
      <w:r w:rsidRPr="04858245" w:rsidR="04858245">
        <w:rPr>
          <w:rFonts w:ascii="Calibri" w:hAnsi="Calibri" w:eastAsia="Calibri" w:cs="Calibri"/>
          <w:b w:val="0"/>
          <w:bCs w:val="0"/>
          <w:i w:val="1"/>
          <w:iCs w:val="1"/>
          <w:strike w:val="0"/>
          <w:dstrike w:val="0"/>
          <w:noProof w:val="0"/>
          <w:color w:val="2D2D2D"/>
          <w:sz w:val="24"/>
          <w:szCs w:val="24"/>
          <w:u w:val="none"/>
          <w:lang w:val="en-US"/>
        </w:rPr>
        <w:t>Stock V. Frank Jones</w:t>
      </w: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 (1978), it was established that the following conditions must be present to use the golden rule:</w:t>
      </w:r>
    </w:p>
    <w:p xmlns:wp14="http://schemas.microsoft.com/office/word/2010/wordml" w:rsidP="04858245" w14:paraId="71A40A2D" wp14:textId="0F7851A9">
      <w:pPr>
        <w:pStyle w:val="ListParagraph"/>
        <w:numPr>
          <w:ilvl w:val="0"/>
          <w:numId w:val="1"/>
        </w:numPr>
        <w:jc w:val="both"/>
        <w:rPr>
          <w:rFonts w:ascii="Calibri" w:hAnsi="Calibri" w:eastAsia="Calibri" w:cs="Calibri" w:asciiTheme="minorAscii" w:hAnsiTheme="minorAscii" w:eastAsiaTheme="minorAscii" w:cstheme="minorAscii"/>
          <w:b w:val="0"/>
          <w:bCs w:val="0"/>
          <w:i w:val="0"/>
          <w:iCs w:val="0"/>
          <w:noProof w:val="0"/>
          <w:color w:val="2D2D2D"/>
          <w:sz w:val="24"/>
          <w:szCs w:val="24"/>
          <w:u w:val="none"/>
          <w:lang w:val="en-US"/>
        </w:rPr>
      </w:pPr>
      <w:r w:rsidRPr="04858245" w:rsidR="04858245">
        <w:rPr>
          <w:rFonts w:ascii="Calibri" w:hAnsi="Calibri" w:eastAsia="Calibri" w:cs="Calibri"/>
          <w:b w:val="0"/>
          <w:bCs w:val="0"/>
          <w:i w:val="0"/>
          <w:iCs w:val="0"/>
          <w:strike w:val="0"/>
          <w:dstrike w:val="0"/>
          <w:noProof w:val="0"/>
          <w:color w:val="2D2D2D"/>
          <w:sz w:val="24"/>
          <w:szCs w:val="24"/>
          <w:u w:val="none"/>
          <w:lang w:val="en-US"/>
        </w:rPr>
        <w:t>Clear and gross anomaly</w:t>
      </w:r>
    </w:p>
    <w:p xmlns:wp14="http://schemas.microsoft.com/office/word/2010/wordml" w:rsidP="04858245" w14:paraId="1FC090B4" wp14:textId="53856F81">
      <w:pPr>
        <w:pStyle w:val="ListParagraph"/>
        <w:numPr>
          <w:ilvl w:val="0"/>
          <w:numId w:val="1"/>
        </w:numPr>
        <w:jc w:val="both"/>
        <w:rPr>
          <w:rFonts w:ascii="Calibri" w:hAnsi="Calibri" w:eastAsia="Calibri" w:cs="Calibri" w:asciiTheme="minorAscii" w:hAnsiTheme="minorAscii" w:eastAsiaTheme="minorAscii" w:cstheme="minorAscii"/>
          <w:b w:val="0"/>
          <w:bCs w:val="0"/>
          <w:i w:val="0"/>
          <w:iCs w:val="0"/>
          <w:noProof w:val="0"/>
          <w:color w:val="2D2D2D"/>
          <w:sz w:val="24"/>
          <w:szCs w:val="24"/>
          <w:u w:val="none"/>
          <w:lang w:val="en-US"/>
        </w:rPr>
      </w:pPr>
      <w:r w:rsidRPr="04858245" w:rsidR="04858245">
        <w:rPr>
          <w:rFonts w:ascii="Calibri" w:hAnsi="Calibri" w:eastAsia="Calibri" w:cs="Calibri"/>
          <w:b w:val="0"/>
          <w:bCs w:val="0"/>
          <w:i w:val="0"/>
          <w:iCs w:val="0"/>
          <w:strike w:val="0"/>
          <w:dstrike w:val="0"/>
          <w:noProof w:val="0"/>
          <w:color w:val="2D2D2D"/>
          <w:sz w:val="24"/>
          <w:szCs w:val="24"/>
          <w:u w:val="none"/>
          <w:lang w:val="en-US"/>
        </w:rPr>
        <w:t>Anomaly cannot be intended by parliament</w:t>
      </w:r>
    </w:p>
    <w:p xmlns:wp14="http://schemas.microsoft.com/office/word/2010/wordml" w:rsidP="04858245" w14:paraId="40E9EEE0" wp14:textId="346A1794">
      <w:pPr>
        <w:pStyle w:val="ListParagraph"/>
        <w:numPr>
          <w:ilvl w:val="0"/>
          <w:numId w:val="1"/>
        </w:numPr>
        <w:jc w:val="both"/>
        <w:rPr>
          <w:rFonts w:ascii="Calibri" w:hAnsi="Calibri" w:eastAsia="Calibri" w:cs="Calibri" w:asciiTheme="minorAscii" w:hAnsiTheme="minorAscii" w:eastAsiaTheme="minorAscii" w:cstheme="minorAscii"/>
          <w:b w:val="0"/>
          <w:bCs w:val="0"/>
          <w:i w:val="0"/>
          <w:iCs w:val="0"/>
          <w:noProof w:val="0"/>
          <w:color w:val="2D2D2D"/>
          <w:sz w:val="24"/>
          <w:szCs w:val="24"/>
          <w:u w:val="none"/>
          <w:lang w:val="en-US"/>
        </w:rPr>
      </w:pP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Modification , Words allow for change, </w:t>
      </w:r>
    </w:p>
    <w:p xmlns:wp14="http://schemas.microsoft.com/office/word/2010/wordml" w:rsidP="04858245" w14:paraId="5DD2FB12" wp14:textId="709F24C8">
      <w:pPr>
        <w:pStyle w:val="ListParagraph"/>
        <w:numPr>
          <w:ilvl w:val="0"/>
          <w:numId w:val="1"/>
        </w:numPr>
        <w:jc w:val="both"/>
        <w:rPr>
          <w:rFonts w:ascii="Calibri" w:hAnsi="Calibri" w:eastAsia="Calibri" w:cs="Calibri" w:asciiTheme="minorAscii" w:hAnsiTheme="minorAscii" w:eastAsiaTheme="minorAscii" w:cstheme="minorAscii"/>
          <w:b w:val="0"/>
          <w:bCs w:val="0"/>
          <w:i w:val="0"/>
          <w:iCs w:val="0"/>
          <w:noProof w:val="0"/>
          <w:color w:val="2D2D2D"/>
          <w:sz w:val="24"/>
          <w:szCs w:val="24"/>
          <w:u w:val="none"/>
          <w:lang w:val="en-US"/>
        </w:rPr>
      </w:pPr>
      <w:r w:rsidRPr="04858245" w:rsidR="04858245">
        <w:rPr>
          <w:rFonts w:ascii="Calibri" w:hAnsi="Calibri" w:eastAsia="Calibri" w:cs="Calibri"/>
          <w:b w:val="0"/>
          <w:bCs w:val="0"/>
          <w:i w:val="0"/>
          <w:iCs w:val="0"/>
          <w:strike w:val="0"/>
          <w:dstrike w:val="0"/>
          <w:noProof w:val="0"/>
          <w:color w:val="2D2D2D"/>
          <w:sz w:val="24"/>
          <w:szCs w:val="24"/>
          <w:u w:val="none"/>
          <w:lang w:val="en-US"/>
        </w:rPr>
        <w:t>The change can be done without undermining the original legislative intent</w:t>
      </w:r>
    </w:p>
    <w:p xmlns:wp14="http://schemas.microsoft.com/office/word/2010/wordml" w:rsidP="04858245" w14:paraId="212C0574" wp14:textId="567B78E3">
      <w:pPr>
        <w:jc w:val="both"/>
      </w:pP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In </w:t>
      </w:r>
      <w:r w:rsidRPr="04858245" w:rsidR="04858245">
        <w:rPr>
          <w:rFonts w:ascii="Calibri" w:hAnsi="Calibri" w:eastAsia="Calibri" w:cs="Calibri"/>
          <w:b w:val="0"/>
          <w:bCs w:val="0"/>
          <w:i w:val="1"/>
          <w:iCs w:val="1"/>
          <w:strike w:val="0"/>
          <w:dstrike w:val="0"/>
          <w:noProof w:val="0"/>
          <w:color w:val="2D2D2D"/>
          <w:sz w:val="24"/>
          <w:szCs w:val="24"/>
          <w:u w:val="none"/>
          <w:lang w:val="en-US"/>
        </w:rPr>
        <w:t xml:space="preserve">Dupport Steels V Sir </w:t>
      </w:r>
      <w:r w:rsidRPr="04858245" w:rsidR="04858245">
        <w:rPr>
          <w:rFonts w:ascii="Calibri" w:hAnsi="Calibri" w:eastAsia="Calibri" w:cs="Calibri"/>
          <w:b w:val="0"/>
          <w:bCs w:val="0"/>
          <w:i w:val="0"/>
          <w:iCs w:val="0"/>
          <w:strike w:val="0"/>
          <w:dstrike w:val="0"/>
          <w:noProof w:val="0"/>
          <w:color w:val="2D2D2D"/>
          <w:sz w:val="24"/>
          <w:szCs w:val="24"/>
          <w:u w:val="none"/>
          <w:lang w:val="en-US"/>
        </w:rPr>
        <w:t>(1980),  Lord Scarman opined  ‘</w:t>
      </w:r>
      <w:r w:rsidRPr="04858245" w:rsidR="04858245">
        <w:rPr>
          <w:rFonts w:ascii="Calibri" w:hAnsi="Calibri" w:eastAsia="Calibri" w:cs="Calibri"/>
          <w:b w:val="0"/>
          <w:bCs w:val="0"/>
          <w:i w:val="1"/>
          <w:iCs w:val="1"/>
          <w:strike w:val="0"/>
          <w:dstrike w:val="0"/>
          <w:noProof w:val="0"/>
          <w:color w:val="2D2D2D"/>
          <w:sz w:val="24"/>
          <w:szCs w:val="24"/>
          <w:u w:val="none"/>
          <w:lang w:val="en-US"/>
        </w:rPr>
        <w:t>If Parliament says one thing but means another, it is not, under the historic principles of the common law, for the courts to correct it … We are to be governed not by Parliament’s intentions but by Parliament’s enactments’</w:t>
      </w:r>
      <w:r w:rsidRPr="04858245" w:rsidR="04858245">
        <w:rPr>
          <w:rFonts w:ascii="Calibri" w:hAnsi="Calibri" w:eastAsia="Calibri" w:cs="Calibri"/>
          <w:b w:val="0"/>
          <w:bCs w:val="0"/>
          <w:i w:val="0"/>
          <w:iCs w:val="0"/>
          <w:strike w:val="0"/>
          <w:dstrike w:val="0"/>
          <w:noProof w:val="0"/>
          <w:color w:val="2D2D2D"/>
          <w:sz w:val="24"/>
          <w:szCs w:val="24"/>
          <w:u w:val="none"/>
          <w:lang w:val="en-US"/>
        </w:rPr>
        <w:t>.</w:t>
      </w:r>
    </w:p>
    <w:p xmlns:wp14="http://schemas.microsoft.com/office/word/2010/wordml" w:rsidP="04858245" w14:paraId="1B75B1A1" wp14:textId="6E06E1B5">
      <w:pPr>
        <w:jc w:val="both"/>
      </w:pPr>
      <w:r w:rsidRPr="04858245" w:rsidR="04858245">
        <w:rPr>
          <w:rFonts w:ascii="Calibri" w:hAnsi="Calibri" w:eastAsia="Calibri" w:cs="Calibri"/>
          <w:b w:val="0"/>
          <w:bCs w:val="0"/>
          <w:noProof w:val="0"/>
          <w:sz w:val="22"/>
          <w:szCs w:val="22"/>
          <w:lang w:val="en-US"/>
        </w:rPr>
        <w:t xml:space="preserve"> </w:t>
      </w:r>
    </w:p>
    <w:p xmlns:wp14="http://schemas.microsoft.com/office/word/2010/wordml" w:rsidP="04858245" w14:paraId="50BAB94C" wp14:textId="30D3D698">
      <w:pPr>
        <w:jc w:val="both"/>
      </w:pPr>
      <w:r w:rsidRPr="04858245" w:rsidR="04858245">
        <w:rPr>
          <w:rFonts w:ascii="Calibri" w:hAnsi="Calibri" w:eastAsia="Calibri" w:cs="Calibri"/>
          <w:b w:val="0"/>
          <w:bCs w:val="0"/>
          <w:noProof w:val="0"/>
          <w:sz w:val="22"/>
          <w:szCs w:val="22"/>
          <w:lang w:val="en-US"/>
        </w:rPr>
        <w:t xml:space="preserve"> </w:t>
      </w:r>
    </w:p>
    <w:p xmlns:wp14="http://schemas.microsoft.com/office/word/2010/wordml" w:rsidP="04858245" w14:paraId="0E827B2C" wp14:textId="371505FE">
      <w:pPr>
        <w:jc w:val="both"/>
      </w:pPr>
      <w:r w:rsidRPr="04858245" w:rsidR="04858245">
        <w:rPr>
          <w:rFonts w:ascii="Calibri" w:hAnsi="Calibri" w:eastAsia="Calibri" w:cs="Calibri"/>
          <w:b w:val="1"/>
          <w:bCs w:val="1"/>
          <w:i w:val="0"/>
          <w:iCs w:val="0"/>
          <w:strike w:val="0"/>
          <w:dstrike w:val="0"/>
          <w:noProof w:val="0"/>
          <w:color w:val="2D2D2D"/>
          <w:sz w:val="24"/>
          <w:szCs w:val="24"/>
          <w:u w:val="none"/>
          <w:lang w:val="en-US"/>
        </w:rPr>
        <w:t>The Mischief Rule of Interpretation</w:t>
      </w:r>
    </w:p>
    <w:p xmlns:wp14="http://schemas.microsoft.com/office/word/2010/wordml" w:rsidP="04858245" w14:paraId="00E0DC77" wp14:textId="1A700F2C">
      <w:pPr>
        <w:jc w:val="both"/>
      </w:pPr>
      <w:r w:rsidRPr="04858245" w:rsidR="04858245">
        <w:rPr>
          <w:rFonts w:ascii="Calibri" w:hAnsi="Calibri" w:eastAsia="Calibri" w:cs="Calibri"/>
          <w:b w:val="0"/>
          <w:bCs w:val="0"/>
          <w:i w:val="0"/>
          <w:iCs w:val="0"/>
          <w:strike w:val="0"/>
          <w:dstrike w:val="0"/>
          <w:noProof w:val="0"/>
          <w:color w:val="2D2D2D"/>
          <w:sz w:val="24"/>
          <w:szCs w:val="24"/>
          <w:u w:val="none"/>
          <w:lang w:val="en-US"/>
        </w:rPr>
        <w:t>This rule affords the Judges a lot of discretion in interpretation of statutes. It focuses on the real intention of Parliament when writing the Law as opposed to the actual words used. It is also referred to as the rule of interpretation in Haydon’s Case. This rule asks three main questions:</w:t>
      </w:r>
    </w:p>
    <w:p xmlns:wp14="http://schemas.microsoft.com/office/word/2010/wordml" w:rsidP="04858245" w14:paraId="5DE0D9C2" wp14:textId="7476CFDD">
      <w:pPr>
        <w:pStyle w:val="ListParagraph"/>
        <w:numPr>
          <w:ilvl w:val="0"/>
          <w:numId w:val="1"/>
        </w:numPr>
        <w:jc w:val="both"/>
        <w:rPr>
          <w:rFonts w:ascii="Calibri" w:hAnsi="Calibri" w:eastAsia="Calibri" w:cs="Calibri" w:asciiTheme="minorAscii" w:hAnsiTheme="minorAscii" w:eastAsiaTheme="minorAscii" w:cstheme="minorAscii"/>
          <w:b w:val="0"/>
          <w:bCs w:val="0"/>
          <w:i w:val="0"/>
          <w:iCs w:val="0"/>
          <w:noProof w:val="0"/>
          <w:color w:val="2D2D2D"/>
          <w:sz w:val="24"/>
          <w:szCs w:val="24"/>
          <w:u w:val="none"/>
          <w:lang w:val="en-US"/>
        </w:rPr>
      </w:pPr>
      <w:r w:rsidRPr="04858245" w:rsidR="04858245">
        <w:rPr>
          <w:rFonts w:ascii="Calibri" w:hAnsi="Calibri" w:eastAsia="Calibri" w:cs="Calibri"/>
          <w:b w:val="0"/>
          <w:bCs w:val="0"/>
          <w:i w:val="0"/>
          <w:iCs w:val="0"/>
          <w:strike w:val="0"/>
          <w:dstrike w:val="0"/>
          <w:noProof w:val="0"/>
          <w:color w:val="2D2D2D"/>
          <w:sz w:val="24"/>
          <w:szCs w:val="24"/>
          <w:u w:val="none"/>
          <w:lang w:val="en-US"/>
        </w:rPr>
        <w:t>The position of common law before the Act</w:t>
      </w:r>
    </w:p>
    <w:p xmlns:wp14="http://schemas.microsoft.com/office/word/2010/wordml" w:rsidP="04858245" w14:paraId="6BF60074" wp14:textId="55466695">
      <w:pPr>
        <w:pStyle w:val="ListParagraph"/>
        <w:numPr>
          <w:ilvl w:val="0"/>
          <w:numId w:val="1"/>
        </w:numPr>
        <w:jc w:val="both"/>
        <w:rPr>
          <w:rFonts w:ascii="Calibri" w:hAnsi="Calibri" w:eastAsia="Calibri" w:cs="Calibri" w:asciiTheme="minorAscii" w:hAnsiTheme="minorAscii" w:eastAsiaTheme="minorAscii" w:cstheme="minorAscii"/>
          <w:b w:val="0"/>
          <w:bCs w:val="0"/>
          <w:i w:val="0"/>
          <w:iCs w:val="0"/>
          <w:noProof w:val="0"/>
          <w:color w:val="2D2D2D"/>
          <w:sz w:val="24"/>
          <w:szCs w:val="24"/>
          <w:u w:val="none"/>
          <w:lang w:val="en-US"/>
        </w:rPr>
      </w:pPr>
      <w:r w:rsidRPr="04858245" w:rsidR="04858245">
        <w:rPr>
          <w:rFonts w:ascii="Calibri" w:hAnsi="Calibri" w:eastAsia="Calibri" w:cs="Calibri"/>
          <w:b w:val="0"/>
          <w:bCs w:val="0"/>
          <w:i w:val="0"/>
          <w:iCs w:val="0"/>
          <w:strike w:val="0"/>
          <w:dstrike w:val="0"/>
          <w:noProof w:val="0"/>
          <w:color w:val="2D2D2D"/>
          <w:sz w:val="24"/>
          <w:szCs w:val="24"/>
          <w:u w:val="none"/>
          <w:lang w:val="en-US"/>
        </w:rPr>
        <w:t>The defect and mischief in common law which gave rise to the necessity of the Act</w:t>
      </w:r>
    </w:p>
    <w:p xmlns:wp14="http://schemas.microsoft.com/office/word/2010/wordml" w:rsidP="04858245" w14:paraId="727BB6C3" wp14:textId="5059ADDB">
      <w:pPr>
        <w:pStyle w:val="ListParagraph"/>
        <w:numPr>
          <w:ilvl w:val="0"/>
          <w:numId w:val="1"/>
        </w:numPr>
        <w:jc w:val="both"/>
        <w:rPr>
          <w:rFonts w:ascii="Calibri" w:hAnsi="Calibri" w:eastAsia="Calibri" w:cs="Calibri" w:asciiTheme="minorAscii" w:hAnsiTheme="minorAscii" w:eastAsiaTheme="minorAscii" w:cstheme="minorAscii"/>
          <w:b w:val="0"/>
          <w:bCs w:val="0"/>
          <w:i w:val="0"/>
          <w:iCs w:val="0"/>
          <w:noProof w:val="0"/>
          <w:color w:val="2D2D2D"/>
          <w:sz w:val="24"/>
          <w:szCs w:val="24"/>
          <w:u w:val="none"/>
          <w:lang w:val="en-US"/>
        </w:rPr>
      </w:pPr>
      <w:r w:rsidRPr="04858245" w:rsidR="04858245">
        <w:rPr>
          <w:rFonts w:ascii="Calibri" w:hAnsi="Calibri" w:eastAsia="Calibri" w:cs="Calibri"/>
          <w:b w:val="0"/>
          <w:bCs w:val="0"/>
          <w:i w:val="0"/>
          <w:iCs w:val="0"/>
          <w:strike w:val="0"/>
          <w:dstrike w:val="0"/>
          <w:noProof w:val="0"/>
          <w:color w:val="2D2D2D"/>
          <w:sz w:val="24"/>
          <w:szCs w:val="24"/>
          <w:u w:val="none"/>
          <w:lang w:val="en-US"/>
        </w:rPr>
        <w:t>The intended Remedy by Parliament</w:t>
      </w:r>
    </w:p>
    <w:p xmlns:wp14="http://schemas.microsoft.com/office/word/2010/wordml" w:rsidP="04858245" w14:paraId="5C1C8796" wp14:textId="0B9EF976">
      <w:pPr>
        <w:jc w:val="both"/>
      </w:pPr>
      <w:r w:rsidRPr="04858245" w:rsidR="04858245">
        <w:rPr>
          <w:rFonts w:ascii="Calibri" w:hAnsi="Calibri" w:eastAsia="Calibri" w:cs="Calibri"/>
          <w:b w:val="0"/>
          <w:bCs w:val="0"/>
          <w:noProof w:val="0"/>
          <w:sz w:val="22"/>
          <w:szCs w:val="22"/>
          <w:lang w:val="en-US"/>
        </w:rPr>
        <w:t xml:space="preserve"> </w:t>
      </w:r>
    </w:p>
    <w:p xmlns:wp14="http://schemas.microsoft.com/office/word/2010/wordml" w:rsidP="04858245" w14:paraId="015FF700" wp14:textId="53AB60FE">
      <w:pPr>
        <w:jc w:val="both"/>
      </w:pPr>
      <w:r w:rsidRPr="04858245" w:rsidR="04858245">
        <w:rPr>
          <w:rFonts w:ascii="Calibri" w:hAnsi="Calibri" w:eastAsia="Calibri" w:cs="Calibri"/>
          <w:b w:val="1"/>
          <w:bCs w:val="1"/>
          <w:i w:val="0"/>
          <w:iCs w:val="0"/>
          <w:strike w:val="0"/>
          <w:dstrike w:val="0"/>
          <w:noProof w:val="0"/>
          <w:color w:val="2D2D2D"/>
          <w:sz w:val="24"/>
          <w:szCs w:val="24"/>
          <w:u w:val="none"/>
          <w:lang w:val="en-US"/>
        </w:rPr>
        <w:t>The Purpose Full Approach to Interpretation</w:t>
      </w:r>
    </w:p>
    <w:p xmlns:wp14="http://schemas.microsoft.com/office/word/2010/wordml" w:rsidP="04858245" w14:paraId="4F68D465" wp14:textId="5938C3CE">
      <w:pPr>
        <w:jc w:val="both"/>
      </w:pPr>
      <w:r w:rsidRPr="04858245" w:rsidR="04858245">
        <w:rPr>
          <w:rFonts w:ascii="Calibri" w:hAnsi="Calibri" w:eastAsia="Calibri" w:cs="Calibri"/>
          <w:b w:val="0"/>
          <w:bCs w:val="0"/>
          <w:i w:val="0"/>
          <w:iCs w:val="0"/>
          <w:strike w:val="0"/>
          <w:dstrike w:val="0"/>
          <w:noProof w:val="0"/>
          <w:color w:val="2D2D2D"/>
          <w:sz w:val="24"/>
          <w:szCs w:val="24"/>
          <w:u w:val="none"/>
          <w:lang w:val="en-US"/>
        </w:rPr>
        <w:t>In this approach, the Judges make a decision based on what they believe the intention of Parliament to be. This was recently when the UK joined the EU to interpret EU Law. Lord Denning asserted in Magor &amp; St. Mellons V. Newport Corporation “</w:t>
      </w:r>
      <w:r w:rsidRPr="04858245" w:rsidR="04858245">
        <w:rPr>
          <w:rFonts w:ascii="Calibri" w:hAnsi="Calibri" w:eastAsia="Calibri" w:cs="Calibri"/>
          <w:b w:val="0"/>
          <w:bCs w:val="0"/>
          <w:i w:val="1"/>
          <w:iCs w:val="1"/>
          <w:strike w:val="0"/>
          <w:dstrike w:val="0"/>
          <w:noProof w:val="0"/>
          <w:color w:val="2D2D2D"/>
          <w:sz w:val="24"/>
          <w:szCs w:val="24"/>
          <w:u w:val="none"/>
          <w:lang w:val="en-US"/>
        </w:rPr>
        <w:t>We sit here to find out the intention of Parliament and carry it out, and we do this better by filling in the gaps and making sense of the enactment than by opening it up to destructive analysis.”</w:t>
      </w: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 The House of Lords dissented as they queried how the Judges were to decipher what the intention of Parliament was, as this could only be ascertained from the actual words used by Parliament.</w:t>
      </w:r>
    </w:p>
    <w:p xmlns:wp14="http://schemas.microsoft.com/office/word/2010/wordml" w:rsidP="04858245" w14:paraId="183AE5BB" wp14:textId="69BC63B9">
      <w:pPr>
        <w:jc w:val="both"/>
      </w:pPr>
      <w:r>
        <w:br/>
      </w: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Lord Simon in </w:t>
      </w:r>
      <w:r w:rsidRPr="04858245" w:rsidR="04858245">
        <w:rPr>
          <w:rFonts w:ascii="Calibri" w:hAnsi="Calibri" w:eastAsia="Calibri" w:cs="Calibri"/>
          <w:b w:val="0"/>
          <w:bCs w:val="0"/>
          <w:i w:val="1"/>
          <w:iCs w:val="1"/>
          <w:strike w:val="0"/>
          <w:dstrike w:val="0"/>
          <w:noProof w:val="0"/>
          <w:color w:val="2D2D2D"/>
          <w:sz w:val="24"/>
          <w:szCs w:val="24"/>
          <w:u w:val="none"/>
          <w:lang w:val="en-US"/>
        </w:rPr>
        <w:t>Maunsell v Olins</w:t>
      </w: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 (1975) held that “</w:t>
      </w:r>
      <w:r w:rsidRPr="04858245" w:rsidR="04858245">
        <w:rPr>
          <w:rFonts w:ascii="Calibri" w:hAnsi="Calibri" w:eastAsia="Calibri" w:cs="Calibri"/>
          <w:b w:val="0"/>
          <w:bCs w:val="0"/>
          <w:i w:val="1"/>
          <w:iCs w:val="1"/>
          <w:strike w:val="0"/>
          <w:dstrike w:val="0"/>
          <w:noProof w:val="0"/>
          <w:color w:val="2D2D2D"/>
          <w:sz w:val="24"/>
          <w:szCs w:val="24"/>
          <w:u w:val="none"/>
          <w:lang w:val="en-US"/>
        </w:rPr>
        <w:t>the first task of a court of construction is to put itself in the shoes of draftsmen to consider what knowledge he had and importantly what Statutory objective he had … be thus placed … the courts proceeds ascertain (find out) the meaning of statutory language</w:t>
      </w: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 </w:t>
      </w:r>
    </w:p>
    <w:p xmlns:wp14="http://schemas.microsoft.com/office/word/2010/wordml" w:rsidP="04858245" w14:paraId="7F4C1489" wp14:textId="64DC229E">
      <w:pPr>
        <w:jc w:val="both"/>
      </w:pPr>
      <w:r w:rsidRPr="04858245" w:rsidR="04858245">
        <w:rPr>
          <w:rFonts w:ascii="Calibri" w:hAnsi="Calibri" w:eastAsia="Calibri" w:cs="Calibri"/>
          <w:b w:val="0"/>
          <w:bCs w:val="0"/>
          <w:noProof w:val="0"/>
          <w:sz w:val="22"/>
          <w:szCs w:val="22"/>
          <w:lang w:val="en-US"/>
        </w:rPr>
        <w:t xml:space="preserve"> </w:t>
      </w:r>
    </w:p>
    <w:p xmlns:wp14="http://schemas.microsoft.com/office/word/2010/wordml" w:rsidP="04858245" w14:paraId="0FDADBDB" wp14:textId="79C07BC8">
      <w:pPr>
        <w:jc w:val="both"/>
      </w:pPr>
      <w:r w:rsidRPr="04858245" w:rsidR="04858245">
        <w:rPr>
          <w:rFonts w:ascii="Calibri" w:hAnsi="Calibri" w:eastAsia="Calibri" w:cs="Calibri"/>
          <w:b w:val="1"/>
          <w:bCs w:val="1"/>
          <w:i w:val="0"/>
          <w:iCs w:val="0"/>
          <w:strike w:val="0"/>
          <w:dstrike w:val="0"/>
          <w:noProof w:val="0"/>
          <w:color w:val="2D2D2D"/>
          <w:sz w:val="24"/>
          <w:szCs w:val="24"/>
          <w:u w:val="none"/>
          <w:lang w:val="en-US"/>
        </w:rPr>
        <w:t>Problems arising from Interpretation</w:t>
      </w:r>
    </w:p>
    <w:p xmlns:wp14="http://schemas.microsoft.com/office/word/2010/wordml" w:rsidP="04858245" w14:paraId="39AEBDC1" wp14:textId="32DE756D">
      <w:pPr>
        <w:jc w:val="both"/>
      </w:pP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While Judges use the rules of Interpretation, they may also use other internal and external aids to help them decide. Some problems encountered in interpretation can be seen in judgements from case law where the interpretations seem complicated but are upheld by the court. </w:t>
      </w:r>
    </w:p>
    <w:p xmlns:wp14="http://schemas.microsoft.com/office/word/2010/wordml" w:rsidP="04858245" w14:paraId="2FE2FF31" wp14:textId="2296C216">
      <w:pPr>
        <w:jc w:val="both"/>
      </w:pP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The case of R v R (1991) introduced the offence of marital rape. S. 1 of the Sexual Offences (Amendment) Act 1976 defined rape as </w:t>
      </w:r>
      <w:r w:rsidRPr="04858245" w:rsidR="04858245">
        <w:rPr>
          <w:rFonts w:ascii="Calibri" w:hAnsi="Calibri" w:eastAsia="Calibri" w:cs="Calibri"/>
          <w:b w:val="0"/>
          <w:bCs w:val="0"/>
          <w:i w:val="1"/>
          <w:iCs w:val="1"/>
          <w:strike w:val="0"/>
          <w:dstrike w:val="0"/>
          <w:noProof w:val="0"/>
          <w:color w:val="2D2D2D"/>
          <w:sz w:val="24"/>
          <w:szCs w:val="24"/>
          <w:u w:val="none"/>
          <w:lang w:val="en-US"/>
        </w:rPr>
        <w:t>‘unlawful (illicit, outside of marriage) sexual intercourse with a woman within her consent’</w:t>
      </w:r>
      <w:r w:rsidRPr="04858245" w:rsidR="04858245">
        <w:rPr>
          <w:rFonts w:ascii="Calibri" w:hAnsi="Calibri" w:eastAsia="Calibri" w:cs="Calibri"/>
          <w:b w:val="0"/>
          <w:bCs w:val="0"/>
          <w:i w:val="0"/>
          <w:iCs w:val="0"/>
          <w:strike w:val="0"/>
          <w:dstrike w:val="0"/>
          <w:noProof w:val="0"/>
          <w:color w:val="2D2D2D"/>
          <w:sz w:val="24"/>
          <w:szCs w:val="24"/>
          <w:u w:val="none"/>
          <w:lang w:val="en-US"/>
        </w:rPr>
        <w:t>. If the literal rule was applied then the meaning would be different, but the Judges determined that was not the intention of Parliament, they applied the mischief rule and decided on the existence of marital rape by definition of that section.</w:t>
      </w:r>
    </w:p>
    <w:p xmlns:wp14="http://schemas.microsoft.com/office/word/2010/wordml" w:rsidP="04858245" w14:paraId="4AA015E6" wp14:textId="6CE4A6A9">
      <w:pPr>
        <w:jc w:val="both"/>
      </w:pP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In DPP v Bull (1995), S. 1 of Street Offences (Amendment) Act 1959 provided: </w:t>
      </w:r>
      <w:r w:rsidRPr="04858245" w:rsidR="04858245">
        <w:rPr>
          <w:rFonts w:ascii="Calibri" w:hAnsi="Calibri" w:eastAsia="Calibri" w:cs="Calibri"/>
          <w:b w:val="0"/>
          <w:bCs w:val="0"/>
          <w:i w:val="1"/>
          <w:iCs w:val="1"/>
          <w:strike w:val="0"/>
          <w:dstrike w:val="0"/>
          <w:noProof w:val="0"/>
          <w:color w:val="2D2D2D"/>
          <w:sz w:val="24"/>
          <w:szCs w:val="24"/>
          <w:u w:val="none"/>
          <w:lang w:val="en-US"/>
        </w:rPr>
        <w:t>‘it shall be an offence for a common prostitute to loiter or solicit in the street or public place for the purpose of prostitution’</w:t>
      </w:r>
      <w:r w:rsidRPr="04858245" w:rsidR="04858245">
        <w:rPr>
          <w:rFonts w:ascii="Calibri" w:hAnsi="Calibri" w:eastAsia="Calibri" w:cs="Calibri"/>
          <w:b w:val="0"/>
          <w:bCs w:val="0"/>
          <w:i w:val="0"/>
          <w:iCs w:val="0"/>
          <w:strike w:val="0"/>
          <w:dstrike w:val="0"/>
          <w:noProof w:val="0"/>
          <w:color w:val="2D2D2D"/>
          <w:sz w:val="24"/>
          <w:szCs w:val="24"/>
          <w:u w:val="none"/>
          <w:lang w:val="en-US"/>
        </w:rPr>
        <w:t xml:space="preserve">.  In this case, a male prostitute was caught, he was let go as when the mischief rule was applied, it was determined that the intention of the Act was to tackle the problems arising from female prostitution. </w:t>
      </w:r>
    </w:p>
    <w:p xmlns:wp14="http://schemas.microsoft.com/office/word/2010/wordml" w14:paraId="5ED83350" wp14:textId="77ACACFB">
      <w:r>
        <w:br/>
      </w:r>
    </w:p>
    <w:p xmlns:wp14="http://schemas.microsoft.com/office/word/2010/wordml" w:rsidP="04858245" w14:paraId="3F73AFEE" wp14:textId="167DE829">
      <w:pPr>
        <w:jc w:val="both"/>
      </w:pPr>
      <w:r w:rsidRPr="04858245" w:rsidR="04858245">
        <w:rPr>
          <w:rFonts w:ascii="Calibri" w:hAnsi="Calibri" w:eastAsia="Calibri" w:cs="Calibri"/>
          <w:b w:val="1"/>
          <w:bCs w:val="1"/>
          <w:i w:val="0"/>
          <w:iCs w:val="0"/>
          <w:strike w:val="0"/>
          <w:dstrike w:val="0"/>
          <w:noProof w:val="0"/>
          <w:color w:val="000000" w:themeColor="text1" w:themeTint="FF" w:themeShade="FF"/>
          <w:sz w:val="24"/>
          <w:szCs w:val="24"/>
          <w:u w:val="none"/>
          <w:lang w:val="en-US"/>
        </w:rPr>
        <w:t>Conclusion</w:t>
      </w:r>
    </w:p>
    <w:p xmlns:wp14="http://schemas.microsoft.com/office/word/2010/wordml" w:rsidP="04858245" w14:paraId="27E5C6F2" wp14:textId="2B878C74">
      <w:pPr>
        <w:jc w:val="both"/>
      </w:pP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While Judges have the discretion to apply the rules and principles of statutory interpretation, they generally lean toward achieving the nearest possible result intended by Parliament during enactment. The rules of statutory interpretation serve as a guiding framework for the courts to ensure the closest possible outcome to legislation as intended is reached in any matter before the court. In exercising discretion during interpretation, Judges can use either or  both intrinsic and extrinsic aids, such as Hansard, other statutes, Law Commission reports, and Royal Commission reports also for the purposes of interpreting legislation. This greatly reduces the risk of statutes being adversely interpreted in a way that contradicts/undermines the dominance of legislation as a primary source of Law in the UK.</w:t>
      </w:r>
    </w:p>
    <w:p xmlns:wp14="http://schemas.microsoft.com/office/word/2010/wordml" w14:paraId="43023A02" wp14:textId="7E6C35BE">
      <w:r w:rsidRPr="04858245" w:rsidR="04858245">
        <w:rPr>
          <w:rFonts w:ascii="Calibri" w:hAnsi="Calibri" w:eastAsia="Calibri" w:cs="Calibri"/>
          <w:b w:val="1"/>
          <w:bCs w:val="1"/>
          <w:i w:val="0"/>
          <w:iCs w:val="0"/>
          <w:strike w:val="0"/>
          <w:dstrike w:val="0"/>
          <w:noProof w:val="0"/>
          <w:color w:val="000000" w:themeColor="text1" w:themeTint="FF" w:themeShade="FF"/>
          <w:sz w:val="24"/>
          <w:szCs w:val="24"/>
          <w:u w:val="none"/>
          <w:lang w:val="en-US"/>
        </w:rPr>
        <w:t>References</w:t>
      </w:r>
    </w:p>
    <w:p xmlns:wp14="http://schemas.microsoft.com/office/word/2010/wordml" w14:paraId="7EBD450D" wp14:textId="6CD53FF2">
      <w:r w:rsidRPr="04858245" w:rsidR="04858245">
        <w:rPr>
          <w:rFonts w:ascii="Calibri" w:hAnsi="Calibri" w:eastAsia="Calibri" w:cs="Calibri"/>
          <w:b w:val="1"/>
          <w:bCs w:val="1"/>
          <w:i w:val="0"/>
          <w:iCs w:val="0"/>
          <w:strike w:val="0"/>
          <w:dstrike w:val="0"/>
          <w:noProof w:val="0"/>
          <w:color w:val="000000" w:themeColor="text1" w:themeTint="FF" w:themeShade="FF"/>
          <w:sz w:val="24"/>
          <w:szCs w:val="24"/>
          <w:u w:val="none"/>
          <w:lang w:val="en-US"/>
        </w:rPr>
        <w:t>Case Law</w:t>
      </w:r>
    </w:p>
    <w:p xmlns:wp14="http://schemas.microsoft.com/office/word/2010/wordml" w14:paraId="1F5F23E7" wp14:textId="7A34BB3E">
      <w:r w:rsidRPr="04858245" w:rsidR="04858245">
        <w:rPr>
          <w:rFonts w:ascii="Calibri" w:hAnsi="Calibri" w:eastAsia="Calibri" w:cs="Calibri"/>
          <w:b w:val="0"/>
          <w:bCs w:val="0"/>
          <w:i w:val="0"/>
          <w:iCs w:val="0"/>
          <w:strike w:val="0"/>
          <w:dstrike w:val="0"/>
          <w:noProof w:val="0"/>
          <w:color w:val="444444"/>
          <w:sz w:val="24"/>
          <w:szCs w:val="24"/>
          <w:u w:val="none"/>
          <w:lang w:val="en-US"/>
        </w:rPr>
        <w:t>Duport Steels</w:t>
      </w: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Ltd v Sirs HL 3 Jan 1980</w:t>
      </w:r>
    </w:p>
    <w:p xmlns:wp14="http://schemas.microsoft.com/office/word/2010/wordml" w14:paraId="6D0DACA3" wp14:textId="3BF6CFE1">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DPP V Bull [1995] QB 88</w:t>
      </w:r>
    </w:p>
    <w:p xmlns:wp14="http://schemas.microsoft.com/office/word/2010/wordml" w14:paraId="6C4FAECE" wp14:textId="553D6060">
      <w:r w:rsidRPr="04858245" w:rsidR="04858245">
        <w:rPr>
          <w:rFonts w:ascii="Calibri" w:hAnsi="Calibri" w:eastAsia="Calibri" w:cs="Calibri"/>
          <w:b w:val="0"/>
          <w:bCs w:val="0"/>
          <w:i w:val="0"/>
          <w:iCs w:val="0"/>
          <w:strike w:val="0"/>
          <w:dstrike w:val="0"/>
          <w:noProof w:val="0"/>
          <w:color w:val="444444"/>
          <w:sz w:val="24"/>
          <w:szCs w:val="24"/>
          <w:u w:val="none"/>
          <w:lang w:val="en-US"/>
        </w:rPr>
        <w:t>Magor &amp; St. Mellons Rural District Council v Newport Corporation [1950] 2 All ER 1226</w:t>
      </w:r>
    </w:p>
    <w:p xmlns:wp14="http://schemas.microsoft.com/office/word/2010/wordml" w14:paraId="735F6200" wp14:textId="41E8C3D5">
      <w:r w:rsidRPr="04858245" w:rsidR="04858245">
        <w:rPr>
          <w:rFonts w:ascii="Calibri" w:hAnsi="Calibri" w:eastAsia="Calibri" w:cs="Calibri"/>
          <w:b w:val="0"/>
          <w:bCs w:val="0"/>
          <w:i w:val="0"/>
          <w:iCs w:val="0"/>
          <w:strike w:val="0"/>
          <w:dstrike w:val="0"/>
          <w:noProof w:val="0"/>
          <w:color w:val="444444"/>
          <w:sz w:val="24"/>
          <w:szCs w:val="24"/>
          <w:u w:val="none"/>
          <w:lang w:val="en-US"/>
        </w:rPr>
        <w:t>Maunsell V Ollins [1975] AC 373</w:t>
      </w:r>
    </w:p>
    <w:p xmlns:wp14="http://schemas.microsoft.com/office/word/2010/wordml" w14:paraId="77DEFA09" wp14:textId="38F6D64F">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R v R [1991]</w:t>
      </w:r>
      <w:r w:rsidRPr="04858245" w:rsidR="04858245">
        <w:rPr>
          <w:rFonts w:ascii="Calibri" w:hAnsi="Calibri" w:eastAsia="Calibri" w:cs="Calibri"/>
          <w:b w:val="1"/>
          <w:bCs w:val="1"/>
          <w:i w:val="0"/>
          <w:iCs w:val="0"/>
          <w:strike w:val="0"/>
          <w:dstrike w:val="0"/>
          <w:noProof w:val="0"/>
          <w:color w:val="000000" w:themeColor="text1" w:themeTint="FF" w:themeShade="FF"/>
          <w:sz w:val="24"/>
          <w:szCs w:val="24"/>
          <w:u w:val="none"/>
          <w:lang w:val="en-US"/>
        </w:rPr>
        <w:t xml:space="preserve"> </w:t>
      </w:r>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UKHL 12</w:t>
      </w:r>
    </w:p>
    <w:p xmlns:wp14="http://schemas.microsoft.com/office/word/2010/wordml" w14:paraId="0979D751" wp14:textId="5542A25B">
      <w:r w:rsidRPr="04858245" w:rsidR="04858245">
        <w:rPr>
          <w:rFonts w:ascii="Calibri" w:hAnsi="Calibri" w:eastAsia="Calibri" w:cs="Calibri"/>
          <w:b w:val="0"/>
          <w:bCs w:val="0"/>
          <w:i w:val="0"/>
          <w:iCs w:val="0"/>
          <w:strike w:val="0"/>
          <w:dstrike w:val="0"/>
          <w:noProof w:val="0"/>
          <w:color w:val="222222"/>
          <w:sz w:val="24"/>
          <w:szCs w:val="24"/>
          <w:u w:val="none"/>
          <w:lang w:val="en-US"/>
        </w:rPr>
        <w:t>Regina (R) v City of London Court Judge &amp; Payne  CA 1892</w:t>
      </w:r>
    </w:p>
    <w:p xmlns:wp14="http://schemas.microsoft.com/office/word/2010/wordml" w14:paraId="48F4D75F" wp14:textId="0441E4A3">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Stock V Frank Jones (Tipton) Ltd. [1978] 1 WLR 231</w:t>
      </w:r>
    </w:p>
    <w:p xmlns:wp14="http://schemas.microsoft.com/office/word/2010/wordml" w14:paraId="494C9006" wp14:textId="2939AF90">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Sussex Peerage Case </w:t>
      </w:r>
      <w:r w:rsidRPr="04858245" w:rsidR="04858245">
        <w:rPr>
          <w:rFonts w:ascii="Calibri" w:hAnsi="Calibri" w:eastAsia="Calibri" w:cs="Calibri"/>
          <w:b w:val="0"/>
          <w:bCs w:val="0"/>
          <w:i w:val="0"/>
          <w:iCs w:val="0"/>
          <w:strike w:val="0"/>
          <w:dstrike w:val="0"/>
          <w:noProof w:val="0"/>
          <w:color w:val="222222"/>
          <w:sz w:val="24"/>
          <w:szCs w:val="24"/>
          <w:u w:val="none"/>
          <w:lang w:val="en-US"/>
        </w:rPr>
        <w:t>[1844] EngR 822</w:t>
      </w:r>
    </w:p>
    <w:p xmlns:wp14="http://schemas.microsoft.com/office/word/2010/wordml" w14:paraId="6A2DB916" wp14:textId="55CE68D5">
      <w:r>
        <w:br/>
      </w:r>
    </w:p>
    <w:p xmlns:wp14="http://schemas.microsoft.com/office/word/2010/wordml" w14:paraId="675441C2" wp14:textId="10F20C28">
      <w:r w:rsidRPr="04858245" w:rsidR="04858245">
        <w:rPr>
          <w:rFonts w:ascii="Calibri" w:hAnsi="Calibri" w:eastAsia="Calibri" w:cs="Calibri"/>
          <w:b w:val="1"/>
          <w:bCs w:val="1"/>
          <w:i w:val="0"/>
          <w:iCs w:val="0"/>
          <w:strike w:val="0"/>
          <w:dstrike w:val="0"/>
          <w:noProof w:val="0"/>
          <w:color w:val="222222"/>
          <w:sz w:val="24"/>
          <w:szCs w:val="24"/>
          <w:u w:val="none"/>
          <w:lang w:val="en-US"/>
        </w:rPr>
        <w:t>Books</w:t>
      </w:r>
    </w:p>
    <w:p xmlns:wp14="http://schemas.microsoft.com/office/word/2010/wordml" w14:paraId="55934770" wp14:textId="4C11B24B">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Goltzberg, Stefan (2016). Les Sources du droit. Paris: Presses Universitaires de France.</w:t>
      </w:r>
    </w:p>
    <w:p xmlns:wp14="http://schemas.microsoft.com/office/word/2010/wordml" w14:paraId="21996EA9" wp14:textId="1B930EE8">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Slapper &amp; Kelly, English Legal System, Routledge, 2016</w:t>
      </w:r>
    </w:p>
    <w:p xmlns:wp14="http://schemas.microsoft.com/office/word/2010/wordml" w14:paraId="331302F1" wp14:textId="76184AF9">
      <w:r>
        <w:br/>
      </w:r>
    </w:p>
    <w:p xmlns:wp14="http://schemas.microsoft.com/office/word/2010/wordml" w14:paraId="7075F577" wp14:textId="391D3019">
      <w:r w:rsidRPr="04858245" w:rsidR="04858245">
        <w:rPr>
          <w:rFonts w:ascii="Calibri" w:hAnsi="Calibri" w:eastAsia="Calibri" w:cs="Calibri"/>
          <w:b w:val="1"/>
          <w:bCs w:val="1"/>
          <w:i w:val="0"/>
          <w:iCs w:val="0"/>
          <w:strike w:val="0"/>
          <w:dstrike w:val="0"/>
          <w:noProof w:val="0"/>
          <w:color w:val="2D2D2D"/>
          <w:sz w:val="24"/>
          <w:szCs w:val="24"/>
          <w:u w:val="none"/>
          <w:lang w:val="en-US"/>
        </w:rPr>
        <w:t xml:space="preserve"> </w:t>
      </w:r>
      <w:r w:rsidRPr="04858245" w:rsidR="04858245">
        <w:rPr>
          <w:rFonts w:ascii="Calibri" w:hAnsi="Calibri" w:eastAsia="Calibri" w:cs="Calibri"/>
          <w:b w:val="1"/>
          <w:bCs w:val="1"/>
          <w:i w:val="0"/>
          <w:iCs w:val="0"/>
          <w:strike w:val="0"/>
          <w:dstrike w:val="0"/>
          <w:noProof w:val="0"/>
          <w:color w:val="000000" w:themeColor="text1" w:themeTint="FF" w:themeShade="FF"/>
          <w:sz w:val="24"/>
          <w:szCs w:val="24"/>
          <w:u w:val="none"/>
          <w:lang w:val="en-US"/>
        </w:rPr>
        <w:t>Legislation</w:t>
      </w:r>
    </w:p>
    <w:p xmlns:wp14="http://schemas.microsoft.com/office/word/2010/wordml" w14:paraId="61465CED" wp14:textId="427F3354">
      <w:r w:rsidRPr="04858245" w:rsidR="04858245">
        <w:rPr>
          <w:rFonts w:ascii="Calibri" w:hAnsi="Calibri" w:eastAsia="Calibri" w:cs="Calibri"/>
          <w:b w:val="0"/>
          <w:bCs w:val="0"/>
          <w:i w:val="0"/>
          <w:iCs w:val="0"/>
          <w:strike w:val="0"/>
          <w:dstrike w:val="0"/>
          <w:noProof w:val="0"/>
          <w:color w:val="2D2D2D"/>
          <w:sz w:val="24"/>
          <w:szCs w:val="24"/>
          <w:u w:val="none"/>
          <w:lang w:val="en-US"/>
        </w:rPr>
        <w:t>Sexual Offences (Amendment) Act 1976</w:t>
      </w:r>
    </w:p>
    <w:p xmlns:wp14="http://schemas.microsoft.com/office/word/2010/wordml" w14:paraId="2175A349" wp14:textId="6B3620E1">
      <w:r w:rsidRPr="04858245" w:rsidR="04858245">
        <w:rPr>
          <w:rFonts w:ascii="Calibri" w:hAnsi="Calibri" w:eastAsia="Calibri" w:cs="Calibri"/>
          <w:b w:val="0"/>
          <w:bCs w:val="0"/>
          <w:i w:val="0"/>
          <w:iCs w:val="0"/>
          <w:strike w:val="0"/>
          <w:dstrike w:val="0"/>
          <w:noProof w:val="0"/>
          <w:color w:val="000000" w:themeColor="text1" w:themeTint="FF" w:themeShade="FF"/>
          <w:sz w:val="24"/>
          <w:szCs w:val="24"/>
          <w:u w:val="none"/>
          <w:lang w:val="en-US"/>
        </w:rPr>
        <w:t>Street Offences (Amendment) Act 1959</w:t>
      </w:r>
    </w:p>
    <w:p xmlns:wp14="http://schemas.microsoft.com/office/word/2010/wordml" w:rsidP="04858245" w14:paraId="2C078E63" wp14:textId="38F0D77F">
      <w:pPr>
        <w:pStyle w:val="Normal"/>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a099f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61C9A5"/>
    <w:rsid w:val="04858245"/>
    <w:rsid w:val="153278A6"/>
    <w:rsid w:val="153278A6"/>
    <w:rsid w:val="26EC5A57"/>
    <w:rsid w:val="28882AB8"/>
    <w:rsid w:val="295AD7C8"/>
    <w:rsid w:val="5061C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F1C5D"/>
  <w15:chartTrackingRefBased/>
  <w15:docId w15:val="{2B6C6306-F743-4DD8-A6F1-FF2FBA145E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0e690008581445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2022-07-22T08:53:31.4929071Z</dcterms:created>
  <dcterms:modified xsi:type="dcterms:W3CDTF">2022-07-22T08:57:36.6849407Z</dcterms:modified>
  <dc:creator>Landa Rrapi (1712901)</dc:creator>
  <lastModifiedBy>Landa Rrapi (1712901)</lastModifiedBy>
</coreProperties>
</file>