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965236755"/>
        <w:docPartObj>
          <w:docPartGallery w:val="AutoText"/>
        </w:docPartObj>
      </w:sdtPr>
      <w:sdtEndPr>
        <w:rPr>
          <w:rStyle w:val="af5"/>
          <w:b/>
          <w:bCs/>
        </w:rPr>
      </w:sdtEndPr>
      <w:sdtContent>
        <w:p w14:paraId="76FBCB9E" w14:textId="77777777" w:rsidR="0067740A" w:rsidRDefault="00000000">
          <w:pPr>
            <w:rPr>
              <w:rStyle w:val="af5"/>
              <w:rFonts w:ascii="Arial" w:hAnsi="Arial" w:cs="Arial"/>
            </w:rPr>
          </w:pPr>
          <w:r>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42391EC6" wp14:editId="245E66D3">
                    <wp:simplePos x="0" y="0"/>
                    <wp:positionH relativeFrom="page">
                      <wp:align>left</wp:align>
                    </wp:positionH>
                    <wp:positionV relativeFrom="page">
                      <wp:align>bottom</wp:align>
                    </wp:positionV>
                    <wp:extent cx="5534025" cy="2724785"/>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id w:val="-1315403320"/>
                                  <w:text/>
                                </w:sdtPr>
                                <w:sdtContent>
                                  <w:p w14:paraId="04702CB9" w14:textId="77777777" w:rsidR="0067740A" w:rsidRDefault="00000000">
                                    <w:pPr>
                                      <w:pStyle w:val="aff0"/>
                                      <w:spacing w:after="480"/>
                                      <w:rPr>
                                        <w:i/>
                                        <w:color w:val="262626" w:themeColor="text1" w:themeTint="D9"/>
                                        <w:sz w:val="32"/>
                                        <w:szCs w:val="32"/>
                                      </w:rPr>
                                    </w:pPr>
                                    <w:r>
                                      <w:rPr>
                                        <w:i/>
                                        <w:color w:val="262626" w:themeColor="text1" w:themeTint="D9"/>
                                        <w:sz w:val="32"/>
                                        <w:szCs w:val="32"/>
                                      </w:rPr>
                                      <w:t>Hualin Si</w:t>
                                    </w:r>
                                  </w:p>
                                </w:sdtContent>
                              </w:sdt>
                              <w:p w14:paraId="5E706E00" w14:textId="77777777" w:rsidR="0067740A" w:rsidRDefault="00000000">
                                <w:pPr>
                                  <w:pStyle w:val="aff0"/>
                                  <w:rPr>
                                    <w:i/>
                                    <w:color w:val="262626" w:themeColor="text1" w:themeTint="D9"/>
                                    <w:sz w:val="26"/>
                                    <w:szCs w:val="26"/>
                                  </w:rPr>
                                </w:pPr>
                                <w:r>
                                  <w:rPr>
                                    <w:i/>
                                    <w:color w:val="262626" w:themeColor="text1" w:themeTint="D9"/>
                                    <w:sz w:val="26"/>
                                    <w:szCs w:val="26"/>
                                  </w:rPr>
                                  <w:t>2023MBA</w:t>
                                </w:r>
                              </w:p>
                              <w:p w14:paraId="1A38EA11" w14:textId="77777777" w:rsidR="0067740A" w:rsidRDefault="00000000">
                                <w:pPr>
                                  <w:pStyle w:val="aff0"/>
                                  <w:rPr>
                                    <w:i/>
                                    <w:color w:val="262626" w:themeColor="text1" w:themeTint="D9"/>
                                    <w:sz w:val="26"/>
                                    <w:szCs w:val="26"/>
                                  </w:rPr>
                                </w:pPr>
                                <w:r>
                                  <w:rPr>
                                    <w:i/>
                                    <w:color w:val="262626" w:themeColor="text1" w:themeTint="D9"/>
                                    <w:sz w:val="26"/>
                                    <w:szCs w:val="26"/>
                                  </w:rPr>
                                  <w:t>2304694</w:t>
                                </w:r>
                              </w:p>
                            </w:txbxContent>
                          </wps:txbx>
                          <wps:bodyPr rot="0" spcFirstLastPara="0" vertOverflow="overflow" horzOverflow="overflow" vert="horz" wrap="square" lIns="1188720" tIns="91440" rIns="0" bIns="914400" numCol="1" spcCol="0" rtlCol="0" fromWordArt="0" anchor="b" anchorCtr="0" forceAA="0" compatLnSpc="1">
                            <a:noAutofit/>
                          </wps:bodyPr>
                        </wps:wsp>
                      </a:graphicData>
                    </a:graphic>
                    <wp14:sizeRelH relativeFrom="page">
                      <wp14:pctWidth>89000</wp14:pctWidth>
                    </wp14:sizeRelH>
                    <wp14:sizeRelV relativeFrom="page">
                      <wp14:pctHeight>0</wp14:pctHeight>
                    </wp14:sizeRelV>
                  </wp:anchor>
                </w:drawing>
              </mc:Choice>
              <mc:Fallback>
                <w:pict>
                  <v:shapetype w14:anchorId="42391EC6" id="_x0000_t202" coordsize="21600,21600" o:spt="202" path="m,l,21600r21600,l21600,xe">
                    <v:stroke joinstyle="miter"/>
                    <v:path gradientshapeok="t" o:connecttype="rect"/>
                  </v:shapetype>
                  <v:shape id="Text Box 135" o:spid="_x0000_s1026" type="#_x0000_t202" alt="标题: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" filled="f" stroked="f" strokeweight=".5pt">
                    <v:textbox inset="93.6pt,7.2pt,0,1in">
                      <w:txbxContent>
                        <w:sdt>
                          <w:sdtPr>
                            <w:rPr>
                              <w:i/>
                              <w:color w:val="262626" w:themeColor="text1" w:themeTint="D9"/>
                              <w:sz w:val="32"/>
                              <w:szCs w:val="32"/>
                            </w:rPr>
                            <w:alias w:val="Author"/>
                            <w:id w:val="-1315403320"/>
                            <w:text/>
                          </w:sdtPr>
                          <w:sdtContent>
                            <w:p w14:paraId="04702CB9" w14:textId="77777777" w:rsidR="0067740A" w:rsidRDefault="00000000">
                              <w:pPr>
                                <w:pStyle w:val="aff0"/>
                                <w:spacing w:after="480"/>
                                <w:rPr>
                                  <w:i/>
                                  <w:color w:val="262626" w:themeColor="text1" w:themeTint="D9"/>
                                  <w:sz w:val="32"/>
                                  <w:szCs w:val="32"/>
                                </w:rPr>
                              </w:pPr>
                              <w:r>
                                <w:rPr>
                                  <w:i/>
                                  <w:color w:val="262626" w:themeColor="text1" w:themeTint="D9"/>
                                  <w:sz w:val="32"/>
                                  <w:szCs w:val="32"/>
                                </w:rPr>
                                <w:t>Hualin Si</w:t>
                              </w:r>
                            </w:p>
                          </w:sdtContent>
                        </w:sdt>
                        <w:p w14:paraId="5E706E00" w14:textId="77777777" w:rsidR="0067740A" w:rsidRDefault="00000000">
                          <w:pPr>
                            <w:pStyle w:val="aff0"/>
                            <w:rPr>
                              <w:i/>
                              <w:color w:val="262626" w:themeColor="text1" w:themeTint="D9"/>
                              <w:sz w:val="26"/>
                              <w:szCs w:val="26"/>
                            </w:rPr>
                          </w:pPr>
                          <w:r>
                            <w:rPr>
                              <w:i/>
                              <w:color w:val="262626" w:themeColor="text1" w:themeTint="D9"/>
                              <w:sz w:val="26"/>
                              <w:szCs w:val="26"/>
                            </w:rPr>
                            <w:t>2023MBA</w:t>
                          </w:r>
                        </w:p>
                        <w:p w14:paraId="1A38EA11" w14:textId="77777777" w:rsidR="0067740A" w:rsidRDefault="00000000">
                          <w:pPr>
                            <w:pStyle w:val="aff0"/>
                            <w:rPr>
                              <w:i/>
                              <w:color w:val="262626" w:themeColor="text1" w:themeTint="D9"/>
                              <w:sz w:val="26"/>
                              <w:szCs w:val="26"/>
                            </w:rPr>
                          </w:pPr>
                          <w:r>
                            <w:rPr>
                              <w:i/>
                              <w:color w:val="262626" w:themeColor="text1" w:themeTint="D9"/>
                              <w:sz w:val="26"/>
                              <w:szCs w:val="26"/>
                            </w:rPr>
                            <w:t>2304694</w:t>
                          </w:r>
                        </w:p>
                      </w:txbxContent>
                    </v:textbox>
                    <w10:wrap anchorx="page" anchory="page"/>
                  </v:shape>
                </w:pict>
              </mc:Fallback>
            </mc:AlternateContent>
          </w:r>
          <w:r>
            <w:rPr>
              <w:rFonts w:ascii="Arial" w:hAnsi="Arial" w:cs="Arial"/>
              <w:noProof/>
              <w:lang w:val="en-GB" w:eastAsia="en-GB"/>
            </w:rPr>
            <mc:AlternateContent>
              <mc:Choice Requires="wps">
                <w:drawing>
                  <wp:anchor distT="0" distB="0" distL="114300" distR="114300" simplePos="0" relativeHeight="251660288" behindDoc="1" locked="0" layoutInCell="1" allowOverlap="1" wp14:anchorId="549B7EC6" wp14:editId="6C5B4EC3">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79500</wp14:pctHeight>
                    </wp14:sizeRelV>
                  </wp:anchor>
                </w:drawing>
              </mc:Choice>
              <mc:Fallback xmlns:wpsCustomData="http://www.wps.cn/officeDocument/2013/wpsCustomData">
                <w:pict>
                  <v:line id="Straight Connector 137" o:spid="_x0000_s1026" o:spt="20" style="position:absolute;left:0pt;margin-left:82.1pt;margin-top:118.8pt;height:121.5pt;width:0pt;mso-position-horizontal-relative:page;mso-position-vertical-relative:page;z-index:-251656192;mso-width-relative:page;mso-height-relative:page;mso-height-percent:795;" filled="f" stroked="t" coordsize="21600,21600" o:gfxdata="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BYAAABk&#10;cnMvUEsBAhQAFAAAAAgAh07iQNoS843QAAAAAgEAAA8AAAAAAAAAAQAgAAAAOAAAAGRycy9kb3du&#10;cmV2LnhtbFBLAQIUABQAAAAIAIdO4kAWHLRD8QEAAPEDAAAOAAAAAAAAAAEAIAAAADUBAABkcnMv&#10;ZTJvRG9jLnhtbFBLBQYAAAAABgAGAFkBAACYBQAAAAA=&#10;">
                    <v:fill on="f" focussize="0,0"/>
                    <v:stroke weight="2.25pt" color="#262626 [2749]" miterlimit="8" joinstyle="miter"/>
                    <v:imagedata o:title=""/>
                    <o:lock v:ext="edit" aspectratio="f"/>
                  </v:line>
                </w:pict>
              </mc:Fallback>
            </mc:AlternateContent>
          </w:r>
          <w:r>
            <w:rPr>
              <w:rFonts w:ascii="Arial" w:hAnsi="Arial" w:cs="Arial"/>
              <w:noProof/>
              <w:lang w:val="en-GB" w:eastAsia="en-GB"/>
            </w:rPr>
            <mc:AlternateContent>
              <mc:Choice Requires="wps">
                <w:drawing>
                  <wp:anchor distT="0" distB="0" distL="114300" distR="114300" simplePos="0" relativeHeight="251659264" behindDoc="0" locked="0" layoutInCell="1" allowOverlap="1" wp14:anchorId="05E99112" wp14:editId="6C6F072C">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785"/>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2033E9C5" w14:textId="77777777" w:rsidR="0067740A" w:rsidRDefault="00000000">
                                <w:pPr>
                                  <w:spacing w:line="360" w:lineRule="auto"/>
                                  <w:rPr>
                                    <w:b/>
                                    <w:bCs/>
                                    <w:i/>
                                    <w:iCs/>
                                    <w:sz w:val="72"/>
                                    <w:szCs w:val="72"/>
                                  </w:rPr>
                                </w:pPr>
                                <w:r>
                                  <w:rPr>
                                    <w:rStyle w:val="af8"/>
                                    <w:b/>
                                    <w:bCs/>
                                    <w:sz w:val="72"/>
                                    <w:szCs w:val="72"/>
                                  </w:rPr>
                                  <w:t>Volkswagen</w:t>
                                </w:r>
                                <w:r>
                                  <w:rPr>
                                    <w:rStyle w:val="af8"/>
                                    <w:rFonts w:eastAsia="宋体"/>
                                    <w:b/>
                                    <w:bCs/>
                                    <w:sz w:val="72"/>
                                    <w:szCs w:val="72"/>
                                    <w:lang w:val="en-US"/>
                                  </w:rPr>
                                  <w:t>’</w:t>
                                </w:r>
                                <w:r>
                                  <w:rPr>
                                    <w:rStyle w:val="af8"/>
                                    <w:b/>
                                    <w:bCs/>
                                    <w:sz w:val="72"/>
                                    <w:szCs w:val="72"/>
                                  </w:rPr>
                                  <w:t>s Sustainability Initiatives in China: Consumer Perceptions and Competitive Advantage</w:t>
                                </w:r>
                              </w:p>
                            </w:txbxContent>
                          </wps:txbx>
                          <wps:bodyPr rot="0" spcFirstLastPara="0" vertOverflow="overflow" horzOverflow="overflow" vert="horz" wrap="square" lIns="1188720" tIns="45720" rIns="0" bIns="45720" numCol="1" spcCol="0" rtlCol="0" fromWordArt="0" anchor="t" anchorCtr="0" forceAA="0" compatLnSpc="1">
                            <a:spAutoFit/>
                          </wps:bodyPr>
                        </wps:wsp>
                      </a:graphicData>
                    </a:graphic>
                    <wp14:sizeRelH relativeFrom="page">
                      <wp14:pctWidth>89000</wp14:pctWidth>
                    </wp14:sizeRelH>
                    <wp14:sizeRelV relativeFrom="page">
                      <wp14:pctHeight>0</wp14:pctHeight>
                    </wp14:sizeRelV>
                  </wp:anchor>
                </w:drawing>
              </mc:Choice>
              <mc:Fallback>
                <w:pict>
                  <v:shape w14:anchorId="05E99112" id="Text Box 139" o:spid="_x0000_s1027" type="#_x0000_t202" alt="标题: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" filled="f" stroked="f" strokeweight=".5pt">
                    <v:textbox style="mso-fit-shape-to-text:t" inset="93.6pt,,0">
                      <w:txbxContent>
                        <w:p w14:paraId="2033E9C5" w14:textId="77777777" w:rsidR="0067740A" w:rsidRDefault="00000000">
                          <w:pPr>
                            <w:spacing w:line="360" w:lineRule="auto"/>
                            <w:rPr>
                              <w:b/>
                              <w:bCs/>
                              <w:i/>
                              <w:iCs/>
                              <w:sz w:val="72"/>
                              <w:szCs w:val="72"/>
                            </w:rPr>
                          </w:pPr>
                          <w:r>
                            <w:rPr>
                              <w:rStyle w:val="af8"/>
                              <w:b/>
                              <w:bCs/>
                              <w:sz w:val="72"/>
                              <w:szCs w:val="72"/>
                            </w:rPr>
                            <w:t>Volkswagen</w:t>
                          </w:r>
                          <w:r>
                            <w:rPr>
                              <w:rStyle w:val="af8"/>
                              <w:rFonts w:eastAsia="宋体"/>
                              <w:b/>
                              <w:bCs/>
                              <w:sz w:val="72"/>
                              <w:szCs w:val="72"/>
                              <w:lang w:val="en-US"/>
                            </w:rPr>
                            <w:t>’</w:t>
                          </w:r>
                          <w:r>
                            <w:rPr>
                              <w:rStyle w:val="af8"/>
                              <w:b/>
                              <w:bCs/>
                              <w:sz w:val="72"/>
                              <w:szCs w:val="72"/>
                            </w:rPr>
                            <w:t>s Sustainability Initiatives in China: Consumer Perceptions and Competitive Advantage</w:t>
                          </w:r>
                        </w:p>
                      </w:txbxContent>
                    </v:textbox>
                    <w10:wrap anchorx="page" anchory="page"/>
                  </v:shape>
                </w:pict>
              </mc:Fallback>
            </mc:AlternateContent>
          </w:r>
          <w:r>
            <w:rPr>
              <w:rStyle w:val="af5"/>
              <w:rFonts w:ascii="Arial" w:hAnsi="Arial" w:cs="Arial"/>
            </w:rPr>
            <w:br w:type="page"/>
          </w:r>
        </w:p>
      </w:sdtContent>
    </w:sdt>
    <w:p w14:paraId="77F79AA6" w14:textId="77777777" w:rsidR="00742D72" w:rsidRDefault="00742D72" w:rsidP="00742D72">
      <w:pPr>
        <w:tabs>
          <w:tab w:val="left" w:pos="7020"/>
          <w:tab w:val="right" w:pos="10826"/>
        </w:tabs>
        <w:suppressAutoHyphens/>
        <w:rPr>
          <w:rFonts w:ascii="Arial" w:hAnsi="Arial" w:cs="Arial"/>
          <w:b/>
          <w:u w:val="single"/>
        </w:rPr>
      </w:pPr>
      <w:bookmarkStart w:id="0" w:name="_Toc481690776"/>
      <w:r>
        <w:rPr>
          <w:rFonts w:ascii="Arial" w:hAnsi="Arial" w:cs="Arial"/>
          <w:b/>
          <w:u w:val="single"/>
        </w:rPr>
        <w:lastRenderedPageBreak/>
        <w:t>Declaration/Statements page</w:t>
      </w:r>
      <w:bookmarkEnd w:id="0"/>
    </w:p>
    <w:p w14:paraId="70F4B79B" w14:textId="77777777" w:rsidR="00742D72" w:rsidRDefault="00742D72" w:rsidP="00742D72">
      <w:pPr>
        <w:rPr>
          <w:rFonts w:ascii="Arial" w:hAnsi="Arial" w:cs="Arial"/>
        </w:rPr>
      </w:pPr>
    </w:p>
    <w:p w14:paraId="7734A553" w14:textId="77777777" w:rsidR="00742D72" w:rsidRDefault="00742D72" w:rsidP="00742D72">
      <w:pPr>
        <w:rPr>
          <w:rFonts w:ascii="Arial" w:hAnsi="Arial" w:cs="Arial"/>
          <w:spacing w:val="-2"/>
        </w:rPr>
      </w:pPr>
      <w:r>
        <w:rPr>
          <w:rFonts w:ascii="Arial" w:hAnsi="Arial" w:cs="Arial"/>
          <w:spacing w:val="-2"/>
        </w:rPr>
        <w:t>This work has not previously been accepted in substance for any degree and is not being concurrently submitted in candidature for any degree.</w:t>
      </w:r>
      <w:r>
        <w:rPr>
          <w:rFonts w:ascii="Arial" w:hAnsi="Arial" w:cs="Arial"/>
          <w:spacing w:val="-2"/>
        </w:rPr>
        <w:tab/>
      </w:r>
    </w:p>
    <w:p w14:paraId="39B75046" w14:textId="77777777" w:rsidR="00742D72" w:rsidRDefault="00742D72" w:rsidP="00742D72">
      <w:pPr>
        <w:ind w:left="720"/>
        <w:rPr>
          <w:rFonts w:ascii="Arial" w:hAnsi="Arial" w:cs="Arial"/>
          <w:spacing w:val="-2"/>
        </w:rPr>
      </w:pPr>
    </w:p>
    <w:p w14:paraId="488F4F4B" w14:textId="77777777" w:rsidR="00742D72" w:rsidRDefault="00742D72" w:rsidP="00742D72">
      <w:pPr>
        <w:ind w:left="720"/>
        <w:rPr>
          <w:rFonts w:ascii="Arial" w:hAnsi="Arial" w:cs="Arial"/>
          <w:spacing w:val="-2"/>
        </w:rPr>
      </w:pPr>
    </w:p>
    <w:p w14:paraId="3CE1BD1F" w14:textId="74871496" w:rsidR="00742D72" w:rsidRDefault="00742D72" w:rsidP="00742D72">
      <w:pPr>
        <w:rPr>
          <w:rFonts w:ascii="Arial" w:hAnsi="Arial" w:cs="Arial"/>
          <w:spacing w:val="-2"/>
        </w:rPr>
      </w:pPr>
      <w:r>
        <w:rPr>
          <w:rFonts w:ascii="Arial" w:hAnsi="Arial" w:cs="Arial"/>
          <w:spacing w:val="-2"/>
        </w:rPr>
        <w:t>Signed ........</w:t>
      </w:r>
      <w:r w:rsidR="00EE34CA">
        <w:rPr>
          <w:rFonts w:ascii="Arial" w:hAnsi="Arial" w:cs="Arial"/>
          <w:spacing w:val="-2"/>
        </w:rPr>
        <w:t>Hualin Si</w:t>
      </w:r>
      <w:r>
        <w:rPr>
          <w:rFonts w:ascii="Arial" w:hAnsi="Arial" w:cs="Arial"/>
          <w:spacing w:val="-2"/>
        </w:rPr>
        <w:t>............................ (candidate)</w:t>
      </w:r>
      <w:r>
        <w:rPr>
          <w:rFonts w:ascii="Arial" w:hAnsi="Arial" w:cs="Arial"/>
          <w:spacing w:val="-2"/>
        </w:rPr>
        <w:tab/>
      </w:r>
    </w:p>
    <w:p w14:paraId="3B21360A" w14:textId="77777777" w:rsidR="00742D72" w:rsidRDefault="00742D72" w:rsidP="00742D72">
      <w:pPr>
        <w:ind w:left="720"/>
        <w:rPr>
          <w:rFonts w:ascii="Arial" w:hAnsi="Arial" w:cs="Arial"/>
          <w:spacing w:val="-2"/>
        </w:rPr>
      </w:pPr>
    </w:p>
    <w:p w14:paraId="0422E711" w14:textId="30802055" w:rsidR="00742D72" w:rsidRDefault="00742D72" w:rsidP="00742D72">
      <w:pPr>
        <w:rPr>
          <w:rFonts w:ascii="Arial" w:hAnsi="Arial" w:cs="Arial"/>
          <w:spacing w:val="-2"/>
        </w:rPr>
      </w:pPr>
      <w:r>
        <w:rPr>
          <w:rFonts w:ascii="Arial" w:hAnsi="Arial" w:cs="Arial"/>
          <w:spacing w:val="-2"/>
        </w:rPr>
        <w:t>Date ............</w:t>
      </w:r>
      <w:r w:rsidR="00EE34CA">
        <w:rPr>
          <w:rFonts w:ascii="Arial" w:hAnsi="Arial" w:cs="Arial"/>
          <w:spacing w:val="-2"/>
        </w:rPr>
        <w:t>23/09/2024</w:t>
      </w:r>
      <w:r>
        <w:rPr>
          <w:rFonts w:ascii="Arial" w:hAnsi="Arial" w:cs="Arial"/>
          <w:spacing w:val="-2"/>
        </w:rPr>
        <w:t>............................................</w:t>
      </w:r>
      <w:r>
        <w:rPr>
          <w:rFonts w:ascii="Arial" w:hAnsi="Arial" w:cs="Arial"/>
          <w:spacing w:val="-2"/>
        </w:rPr>
        <w:tab/>
      </w:r>
    </w:p>
    <w:p w14:paraId="4A072AF3" w14:textId="77777777" w:rsidR="00742D72" w:rsidRDefault="00742D72" w:rsidP="00742D72">
      <w:pPr>
        <w:ind w:left="720"/>
        <w:rPr>
          <w:rFonts w:ascii="Arial" w:hAnsi="Arial" w:cs="Arial"/>
          <w:spacing w:val="-2"/>
        </w:rPr>
      </w:pPr>
    </w:p>
    <w:p w14:paraId="100799D3" w14:textId="77777777" w:rsidR="00742D72" w:rsidRDefault="00742D72" w:rsidP="00742D72">
      <w:pPr>
        <w:ind w:left="720"/>
        <w:rPr>
          <w:rFonts w:ascii="Arial" w:hAnsi="Arial" w:cs="Arial"/>
          <w:spacing w:val="-2"/>
        </w:rPr>
      </w:pPr>
    </w:p>
    <w:p w14:paraId="0EA4FC90" w14:textId="77777777" w:rsidR="00742D72" w:rsidRDefault="00742D72" w:rsidP="00742D72">
      <w:pPr>
        <w:rPr>
          <w:rFonts w:ascii="Arial" w:hAnsi="Arial" w:cs="Arial"/>
          <w:spacing w:val="-2"/>
        </w:rPr>
      </w:pPr>
      <w:r>
        <w:rPr>
          <w:rFonts w:ascii="Arial" w:hAnsi="Arial" w:cs="Arial"/>
          <w:spacing w:val="-2"/>
        </w:rPr>
        <w:t>STATEMENT 1</w:t>
      </w:r>
      <w:r>
        <w:rPr>
          <w:rFonts w:ascii="Arial" w:hAnsi="Arial" w:cs="Arial"/>
          <w:spacing w:val="-2"/>
        </w:rPr>
        <w:tab/>
      </w:r>
    </w:p>
    <w:p w14:paraId="6A79C9AC" w14:textId="77777777" w:rsidR="00742D72" w:rsidRDefault="00742D72" w:rsidP="00742D72">
      <w:pPr>
        <w:ind w:left="720"/>
        <w:rPr>
          <w:rFonts w:ascii="Arial" w:hAnsi="Arial" w:cs="Arial"/>
          <w:spacing w:val="-2"/>
        </w:rPr>
      </w:pPr>
    </w:p>
    <w:p w14:paraId="5D3AAF83" w14:textId="77777777" w:rsidR="00742D72" w:rsidRDefault="00742D72" w:rsidP="00742D72">
      <w:pPr>
        <w:spacing w:after="160"/>
        <w:rPr>
          <w:rFonts w:ascii="Arial" w:eastAsiaTheme="minorHAnsi" w:hAnsi="Arial" w:cs="Arial"/>
          <w:spacing w:val="-2"/>
          <w:lang w:val="en-GB" w:eastAsia="en-US"/>
        </w:rPr>
      </w:pPr>
      <w:r>
        <w:rPr>
          <w:rFonts w:ascii="Arial" w:eastAsiaTheme="minorHAnsi" w:hAnsi="Arial" w:cs="Arial"/>
          <w:spacing w:val="-2"/>
          <w:lang w:val="en-GB" w:eastAsia="en-US"/>
        </w:rPr>
        <w:t xml:space="preserve">This work is the result of my own investigations, except where otherwise stated. </w:t>
      </w:r>
    </w:p>
    <w:p w14:paraId="2F6C213D" w14:textId="77777777" w:rsidR="00742D72" w:rsidRDefault="00742D72" w:rsidP="00742D72">
      <w:pPr>
        <w:spacing w:after="160"/>
        <w:ind w:left="720"/>
        <w:rPr>
          <w:rFonts w:ascii="Arial" w:eastAsiaTheme="minorHAnsi" w:hAnsi="Arial" w:cs="Arial"/>
          <w:spacing w:val="-2"/>
          <w:lang w:val="en-GB" w:eastAsia="en-US"/>
        </w:rPr>
      </w:pPr>
    </w:p>
    <w:p w14:paraId="616EE9CC" w14:textId="2554AFE0" w:rsidR="00742D72" w:rsidRPr="007D0681" w:rsidRDefault="00742D72" w:rsidP="007D0681">
      <w:pPr>
        <w:spacing w:after="160"/>
        <w:rPr>
          <w:rFonts w:ascii="Arial" w:eastAsiaTheme="minorHAnsi" w:hAnsi="Arial" w:cs="Arial"/>
          <w:spacing w:val="-2"/>
          <w:lang w:val="en-GB" w:eastAsia="en-US"/>
        </w:rPr>
      </w:pPr>
      <w:r>
        <w:rPr>
          <w:rFonts w:ascii="Arial" w:eastAsiaTheme="minorHAnsi" w:hAnsi="Arial" w:cs="Arial"/>
          <w:spacing w:val="-2"/>
          <w:lang w:val="en-GB" w:eastAsia="en-US"/>
        </w:rPr>
        <w:t>Other sources are acknowledged by footnotes giving explicit references. A bibliography is appended.</w:t>
      </w:r>
    </w:p>
    <w:p w14:paraId="770C16A4" w14:textId="77777777" w:rsidR="00742D72" w:rsidRDefault="00742D72" w:rsidP="00742D72">
      <w:pPr>
        <w:ind w:left="720"/>
        <w:rPr>
          <w:rFonts w:ascii="Arial" w:hAnsi="Arial" w:cs="Arial"/>
          <w:spacing w:val="-2"/>
        </w:rPr>
      </w:pPr>
    </w:p>
    <w:p w14:paraId="25CD821F" w14:textId="12F6D1F8" w:rsidR="00742D72" w:rsidRDefault="00742D72" w:rsidP="00742D72">
      <w:pPr>
        <w:rPr>
          <w:rFonts w:ascii="Arial" w:hAnsi="Arial" w:cs="Arial"/>
          <w:spacing w:val="-2"/>
        </w:rPr>
      </w:pPr>
      <w:r>
        <w:rPr>
          <w:rFonts w:ascii="Arial" w:hAnsi="Arial" w:cs="Arial"/>
          <w:spacing w:val="-2"/>
        </w:rPr>
        <w:t>Signed ..........</w:t>
      </w:r>
      <w:r w:rsidR="00EE34CA" w:rsidRPr="00EE34CA">
        <w:rPr>
          <w:rFonts w:ascii="Arial" w:hAnsi="Arial" w:cs="Arial"/>
          <w:spacing w:val="-2"/>
        </w:rPr>
        <w:t xml:space="preserve"> </w:t>
      </w:r>
      <w:r w:rsidR="00EE34CA">
        <w:rPr>
          <w:rFonts w:ascii="Arial" w:hAnsi="Arial" w:cs="Arial"/>
          <w:spacing w:val="-2"/>
        </w:rPr>
        <w:t>.Hualin Si..</w:t>
      </w:r>
      <w:r>
        <w:rPr>
          <w:rFonts w:ascii="Arial" w:hAnsi="Arial" w:cs="Arial"/>
          <w:spacing w:val="-2"/>
        </w:rPr>
        <w:t>......................................... (candidate)</w:t>
      </w:r>
      <w:r>
        <w:rPr>
          <w:rFonts w:ascii="Arial" w:hAnsi="Arial" w:cs="Arial"/>
          <w:spacing w:val="-2"/>
        </w:rPr>
        <w:tab/>
      </w:r>
    </w:p>
    <w:p w14:paraId="5805B25B" w14:textId="77777777" w:rsidR="00742D72" w:rsidRDefault="00742D72" w:rsidP="00742D72">
      <w:pPr>
        <w:ind w:left="720"/>
        <w:rPr>
          <w:rFonts w:ascii="Arial" w:hAnsi="Arial" w:cs="Arial"/>
          <w:spacing w:val="-2"/>
        </w:rPr>
      </w:pPr>
    </w:p>
    <w:p w14:paraId="6D9837C1" w14:textId="4805B1F6" w:rsidR="00742D72" w:rsidRDefault="00742D72" w:rsidP="00742D72">
      <w:pPr>
        <w:rPr>
          <w:rFonts w:ascii="Arial" w:hAnsi="Arial" w:cs="Arial"/>
          <w:spacing w:val="-2"/>
        </w:rPr>
      </w:pPr>
      <w:r>
        <w:rPr>
          <w:rFonts w:ascii="Arial" w:hAnsi="Arial" w:cs="Arial"/>
          <w:spacing w:val="-2"/>
        </w:rPr>
        <w:t>Date ............</w:t>
      </w:r>
      <w:r w:rsidR="00EE34CA" w:rsidRPr="00EE34CA">
        <w:rPr>
          <w:rFonts w:ascii="Arial" w:hAnsi="Arial" w:cs="Arial"/>
          <w:spacing w:val="-2"/>
        </w:rPr>
        <w:t xml:space="preserve"> </w:t>
      </w:r>
      <w:r w:rsidR="00EE34CA">
        <w:rPr>
          <w:rFonts w:ascii="Arial" w:hAnsi="Arial" w:cs="Arial"/>
          <w:spacing w:val="-2"/>
        </w:rPr>
        <w:t>23/09/2024.</w:t>
      </w:r>
      <w:r>
        <w:rPr>
          <w:rFonts w:ascii="Arial" w:hAnsi="Arial" w:cs="Arial"/>
          <w:spacing w:val="-2"/>
        </w:rPr>
        <w:t>........................................</w:t>
      </w:r>
      <w:r>
        <w:rPr>
          <w:rFonts w:ascii="Arial" w:hAnsi="Arial" w:cs="Arial"/>
          <w:spacing w:val="-2"/>
        </w:rPr>
        <w:tab/>
      </w:r>
    </w:p>
    <w:p w14:paraId="039FDA22" w14:textId="77777777" w:rsidR="00742D72" w:rsidRDefault="00742D72" w:rsidP="00742D72">
      <w:pPr>
        <w:ind w:left="720"/>
        <w:rPr>
          <w:rFonts w:ascii="Arial" w:hAnsi="Arial" w:cs="Arial"/>
          <w:spacing w:val="-2"/>
        </w:rPr>
      </w:pPr>
    </w:p>
    <w:p w14:paraId="267FF6F0" w14:textId="77777777" w:rsidR="00742D72" w:rsidRDefault="00742D72" w:rsidP="00742D72">
      <w:pPr>
        <w:ind w:left="720"/>
        <w:rPr>
          <w:rFonts w:ascii="Arial" w:hAnsi="Arial" w:cs="Arial"/>
          <w:spacing w:val="-2"/>
        </w:rPr>
      </w:pPr>
    </w:p>
    <w:p w14:paraId="16310B97" w14:textId="77777777" w:rsidR="00742D72" w:rsidRDefault="00742D72" w:rsidP="00742D72">
      <w:pPr>
        <w:rPr>
          <w:rFonts w:ascii="Arial" w:hAnsi="Arial" w:cs="Arial"/>
          <w:spacing w:val="-2"/>
        </w:rPr>
      </w:pPr>
      <w:r>
        <w:rPr>
          <w:rFonts w:ascii="Arial" w:hAnsi="Arial" w:cs="Arial"/>
          <w:spacing w:val="-2"/>
        </w:rPr>
        <w:t>STATEMENT 2</w:t>
      </w:r>
      <w:r>
        <w:rPr>
          <w:rFonts w:ascii="Arial" w:hAnsi="Arial" w:cs="Arial"/>
          <w:spacing w:val="-2"/>
        </w:rPr>
        <w:tab/>
      </w:r>
    </w:p>
    <w:p w14:paraId="72964E62" w14:textId="77777777" w:rsidR="00742D72" w:rsidRDefault="00742D72" w:rsidP="00742D72">
      <w:pPr>
        <w:ind w:left="720"/>
        <w:rPr>
          <w:rFonts w:ascii="Arial" w:hAnsi="Arial" w:cs="Arial"/>
          <w:spacing w:val="-2"/>
        </w:rPr>
      </w:pPr>
    </w:p>
    <w:p w14:paraId="0B49FE17" w14:textId="77777777" w:rsidR="00742D72" w:rsidRDefault="00742D72" w:rsidP="00742D72">
      <w:pPr>
        <w:rPr>
          <w:rFonts w:ascii="Arial" w:hAnsi="Arial" w:cs="Arial"/>
          <w:spacing w:val="-2"/>
        </w:rPr>
      </w:pPr>
      <w:r>
        <w:rPr>
          <w:rFonts w:ascii="Arial" w:hAnsi="Arial" w:cs="Arial"/>
          <w:spacing w:val="-2"/>
        </w:rPr>
        <w:t>I hereby give consent for my work, if accepted, to be available for photocopying and for inter-library loan, and for the title and summary to be made available to outside organisations.</w:t>
      </w:r>
      <w:r>
        <w:rPr>
          <w:rFonts w:ascii="Arial" w:hAnsi="Arial" w:cs="Arial"/>
          <w:spacing w:val="-2"/>
        </w:rPr>
        <w:tab/>
      </w:r>
    </w:p>
    <w:p w14:paraId="30A56ED4" w14:textId="77777777" w:rsidR="00742D72" w:rsidRDefault="00742D72" w:rsidP="00742D72">
      <w:pPr>
        <w:ind w:left="720"/>
        <w:rPr>
          <w:rFonts w:ascii="Arial" w:hAnsi="Arial" w:cs="Arial"/>
          <w:spacing w:val="-2"/>
        </w:rPr>
      </w:pPr>
    </w:p>
    <w:p w14:paraId="559996E0" w14:textId="77777777" w:rsidR="00742D72" w:rsidRDefault="00742D72" w:rsidP="00742D72">
      <w:pPr>
        <w:ind w:left="720"/>
        <w:rPr>
          <w:rFonts w:ascii="Arial" w:hAnsi="Arial" w:cs="Arial"/>
          <w:spacing w:val="-2"/>
        </w:rPr>
      </w:pPr>
    </w:p>
    <w:p w14:paraId="003E03BE" w14:textId="2EB066EA" w:rsidR="00742D72" w:rsidRDefault="00742D72" w:rsidP="00742D72">
      <w:pPr>
        <w:rPr>
          <w:rFonts w:ascii="Arial" w:hAnsi="Arial" w:cs="Arial"/>
          <w:spacing w:val="-2"/>
        </w:rPr>
      </w:pPr>
      <w:r>
        <w:rPr>
          <w:rFonts w:ascii="Arial" w:hAnsi="Arial" w:cs="Arial"/>
          <w:spacing w:val="-2"/>
        </w:rPr>
        <w:t>Signed ..........</w:t>
      </w:r>
      <w:r w:rsidR="00EE34CA" w:rsidRPr="00EE34CA">
        <w:rPr>
          <w:rFonts w:ascii="Arial" w:hAnsi="Arial" w:cs="Arial"/>
          <w:spacing w:val="-2"/>
        </w:rPr>
        <w:t xml:space="preserve"> </w:t>
      </w:r>
      <w:r w:rsidR="00EE34CA">
        <w:rPr>
          <w:rFonts w:ascii="Arial" w:hAnsi="Arial" w:cs="Arial"/>
          <w:spacing w:val="-2"/>
        </w:rPr>
        <w:t>.Hualin Si..</w:t>
      </w:r>
      <w:r>
        <w:rPr>
          <w:rFonts w:ascii="Arial" w:hAnsi="Arial" w:cs="Arial"/>
          <w:spacing w:val="-2"/>
        </w:rPr>
        <w:t>......................................... (candidate)</w:t>
      </w:r>
      <w:r>
        <w:rPr>
          <w:rFonts w:ascii="Arial" w:hAnsi="Arial" w:cs="Arial"/>
          <w:spacing w:val="-2"/>
        </w:rPr>
        <w:tab/>
      </w:r>
    </w:p>
    <w:p w14:paraId="662246DE" w14:textId="77777777" w:rsidR="00742D72" w:rsidRDefault="00742D72" w:rsidP="00742D72">
      <w:pPr>
        <w:ind w:left="720"/>
        <w:rPr>
          <w:rFonts w:ascii="Arial" w:hAnsi="Arial" w:cs="Arial"/>
          <w:spacing w:val="-2"/>
        </w:rPr>
      </w:pPr>
    </w:p>
    <w:p w14:paraId="4C05B15A" w14:textId="3D315E5B" w:rsidR="00742D72" w:rsidRDefault="00742D72" w:rsidP="00742D72">
      <w:pPr>
        <w:rPr>
          <w:rFonts w:ascii="Arial" w:hAnsi="Arial" w:cs="Arial"/>
          <w:spacing w:val="-2"/>
        </w:rPr>
      </w:pPr>
      <w:r>
        <w:rPr>
          <w:rFonts w:ascii="Arial" w:hAnsi="Arial" w:cs="Arial"/>
          <w:spacing w:val="-2"/>
        </w:rPr>
        <w:t>Date ...............</w:t>
      </w:r>
      <w:r w:rsidR="00EE34CA" w:rsidRPr="00EE34CA">
        <w:rPr>
          <w:rFonts w:ascii="Arial" w:hAnsi="Arial" w:cs="Arial"/>
          <w:spacing w:val="-2"/>
        </w:rPr>
        <w:t xml:space="preserve"> </w:t>
      </w:r>
      <w:r w:rsidR="00EE34CA">
        <w:rPr>
          <w:rFonts w:ascii="Arial" w:hAnsi="Arial" w:cs="Arial"/>
          <w:spacing w:val="-2"/>
        </w:rPr>
        <w:t>23/09/2024.</w:t>
      </w:r>
      <w:r>
        <w:rPr>
          <w:rFonts w:ascii="Arial" w:hAnsi="Arial" w:cs="Arial"/>
          <w:spacing w:val="-2"/>
        </w:rPr>
        <w:t>........................................</w:t>
      </w:r>
    </w:p>
    <w:p w14:paraId="1171B7D8" w14:textId="77777777" w:rsidR="00742D72" w:rsidRDefault="00742D72" w:rsidP="00742D72">
      <w:pPr>
        <w:ind w:left="720"/>
        <w:rPr>
          <w:rFonts w:ascii="Arial" w:hAnsi="Arial" w:cs="Arial"/>
          <w:spacing w:val="-2"/>
        </w:rPr>
      </w:pPr>
    </w:p>
    <w:p w14:paraId="52A68D65" w14:textId="77777777" w:rsidR="00742D72" w:rsidRDefault="00742D72" w:rsidP="00742D72">
      <w:pPr>
        <w:ind w:left="720"/>
        <w:rPr>
          <w:rFonts w:ascii="Arial" w:hAnsi="Arial" w:cs="Arial"/>
          <w:spacing w:val="-2"/>
        </w:rPr>
      </w:pPr>
    </w:p>
    <w:p w14:paraId="5A8B30CF" w14:textId="77777777" w:rsidR="00742D72" w:rsidRDefault="00742D72" w:rsidP="00742D72">
      <w:pPr>
        <w:ind w:left="720" w:hanging="720"/>
        <w:rPr>
          <w:rFonts w:ascii="Arial" w:hAnsi="Arial" w:cs="Arial"/>
          <w:spacing w:val="-2"/>
        </w:rPr>
      </w:pPr>
      <w:r>
        <w:rPr>
          <w:rFonts w:ascii="Arial" w:hAnsi="Arial" w:cs="Arial"/>
          <w:b/>
          <w:spacing w:val="-2"/>
        </w:rPr>
        <w:t>NB:</w:t>
      </w:r>
      <w:r>
        <w:rPr>
          <w:rFonts w:ascii="Arial" w:hAnsi="Arial" w:cs="Arial"/>
          <w:i/>
          <w:spacing w:val="-2"/>
        </w:rPr>
        <w:tab/>
        <w:t>Candidates on whose behalf a bar on access has been approved by the University (see Note 1), should use the following version of Statement 2:</w:t>
      </w:r>
      <w:r>
        <w:rPr>
          <w:rFonts w:ascii="Arial" w:hAnsi="Arial" w:cs="Arial"/>
          <w:spacing w:val="-2"/>
        </w:rPr>
        <w:tab/>
      </w:r>
    </w:p>
    <w:p w14:paraId="28DC5C3A" w14:textId="77777777" w:rsidR="00742D72" w:rsidRDefault="00742D72" w:rsidP="00742D72">
      <w:pPr>
        <w:ind w:left="720"/>
        <w:rPr>
          <w:rFonts w:ascii="Arial" w:hAnsi="Arial" w:cs="Arial"/>
          <w:spacing w:val="-2"/>
        </w:rPr>
      </w:pPr>
    </w:p>
    <w:p w14:paraId="28CAED8C" w14:textId="77777777" w:rsidR="00742D72" w:rsidRDefault="00742D72" w:rsidP="00742D72">
      <w:pPr>
        <w:rPr>
          <w:rFonts w:ascii="Arial" w:hAnsi="Arial" w:cs="Arial"/>
          <w:b/>
          <w:spacing w:val="-2"/>
        </w:rPr>
      </w:pPr>
      <w:r>
        <w:rPr>
          <w:rFonts w:ascii="Arial" w:hAnsi="Arial" w:cs="Arial"/>
          <w:spacing w:val="-2"/>
        </w:rPr>
        <w:t xml:space="preserve">I hereby give consent for my work, if accepted, to be available for photocopying and for inter-library loans </w:t>
      </w:r>
      <w:r>
        <w:rPr>
          <w:rFonts w:ascii="Arial" w:hAnsi="Arial" w:cs="Arial"/>
          <w:b/>
          <w:spacing w:val="-2"/>
        </w:rPr>
        <w:t>after expiry of a bar on access approved by the University.</w:t>
      </w:r>
    </w:p>
    <w:p w14:paraId="0C07CA7C" w14:textId="77777777" w:rsidR="00742D72" w:rsidRDefault="00742D72" w:rsidP="00742D72">
      <w:pPr>
        <w:ind w:left="1440"/>
        <w:rPr>
          <w:rFonts w:ascii="Arial" w:hAnsi="Arial" w:cs="Arial"/>
          <w:b/>
          <w:spacing w:val="-2"/>
        </w:rPr>
      </w:pPr>
    </w:p>
    <w:p w14:paraId="21EFBA7C" w14:textId="77777777" w:rsidR="00742D72" w:rsidRDefault="00742D72" w:rsidP="00742D72">
      <w:pPr>
        <w:ind w:left="1440"/>
        <w:rPr>
          <w:rFonts w:ascii="Arial" w:hAnsi="Arial" w:cs="Arial"/>
          <w:b/>
          <w:spacing w:val="-2"/>
        </w:rPr>
      </w:pPr>
    </w:p>
    <w:p w14:paraId="04D1ECCF" w14:textId="2265F825" w:rsidR="00742D72" w:rsidRDefault="00742D72" w:rsidP="00742D72">
      <w:pPr>
        <w:rPr>
          <w:rFonts w:ascii="Arial" w:hAnsi="Arial" w:cs="Arial"/>
          <w:spacing w:val="-2"/>
        </w:rPr>
      </w:pPr>
      <w:r>
        <w:rPr>
          <w:rFonts w:ascii="Arial" w:hAnsi="Arial" w:cs="Arial"/>
          <w:spacing w:val="-2"/>
        </w:rPr>
        <w:t>Signed ............</w:t>
      </w:r>
      <w:r w:rsidR="00EE34CA" w:rsidRPr="00EE34CA">
        <w:rPr>
          <w:rFonts w:ascii="Arial" w:hAnsi="Arial" w:cs="Arial"/>
          <w:spacing w:val="-2"/>
        </w:rPr>
        <w:t xml:space="preserve"> </w:t>
      </w:r>
      <w:r w:rsidR="00EE34CA">
        <w:rPr>
          <w:rFonts w:ascii="Arial" w:hAnsi="Arial" w:cs="Arial"/>
          <w:spacing w:val="-2"/>
        </w:rPr>
        <w:t>.Hualin Si..</w:t>
      </w:r>
      <w:r>
        <w:rPr>
          <w:rFonts w:ascii="Arial" w:hAnsi="Arial" w:cs="Arial"/>
          <w:spacing w:val="-2"/>
        </w:rPr>
        <w:t>...................................... (candidate)</w:t>
      </w:r>
    </w:p>
    <w:p w14:paraId="047678CD" w14:textId="77777777" w:rsidR="00742D72" w:rsidRDefault="00742D72" w:rsidP="00742D72">
      <w:pPr>
        <w:tabs>
          <w:tab w:val="left" w:pos="-720"/>
        </w:tabs>
        <w:suppressAutoHyphens/>
        <w:rPr>
          <w:rFonts w:ascii="Arial" w:hAnsi="Arial" w:cs="Arial"/>
          <w:spacing w:val="-2"/>
        </w:rPr>
      </w:pPr>
    </w:p>
    <w:p w14:paraId="24F8CDB0" w14:textId="3CEBFCF1" w:rsidR="00742D72" w:rsidRPr="007D0681" w:rsidRDefault="00742D72" w:rsidP="007D0681">
      <w:pPr>
        <w:tabs>
          <w:tab w:val="left" w:pos="-720"/>
        </w:tabs>
        <w:suppressAutoHyphens/>
        <w:rPr>
          <w:rStyle w:val="af5"/>
          <w:rFonts w:ascii="Arial" w:hAnsi="Arial" w:cs="Arial"/>
          <w:b w:val="0"/>
          <w:bCs w:val="0"/>
          <w:spacing w:val="-2"/>
        </w:rPr>
      </w:pPr>
      <w:r>
        <w:rPr>
          <w:rFonts w:ascii="Arial" w:hAnsi="Arial" w:cs="Arial"/>
          <w:spacing w:val="-2"/>
        </w:rPr>
        <w:t>Date ...............</w:t>
      </w:r>
      <w:r w:rsidR="00EE34CA" w:rsidRPr="00EE34CA">
        <w:rPr>
          <w:rFonts w:ascii="Arial" w:hAnsi="Arial" w:cs="Arial"/>
          <w:spacing w:val="-2"/>
        </w:rPr>
        <w:t xml:space="preserve"> </w:t>
      </w:r>
      <w:r w:rsidR="00EE34CA">
        <w:rPr>
          <w:rFonts w:ascii="Arial" w:hAnsi="Arial" w:cs="Arial"/>
          <w:spacing w:val="-2"/>
        </w:rPr>
        <w:t>23/09/2024.</w:t>
      </w:r>
      <w:r>
        <w:rPr>
          <w:rFonts w:ascii="Arial" w:hAnsi="Arial" w:cs="Arial"/>
          <w:spacing w:val="-2"/>
        </w:rPr>
        <w:t>.......................................</w:t>
      </w:r>
      <w:r>
        <w:rPr>
          <w:rStyle w:val="af5"/>
          <w:rFonts w:ascii="Arial" w:hAnsi="Arial" w:cs="Arial"/>
        </w:rPr>
        <w:br w:type="page"/>
      </w:r>
    </w:p>
    <w:p w14:paraId="029BF161" w14:textId="1B263CD7" w:rsidR="0067740A" w:rsidRDefault="00000000">
      <w:pPr>
        <w:spacing w:line="360" w:lineRule="auto"/>
        <w:rPr>
          <w:rFonts w:ascii="Arial" w:hAnsi="Arial" w:cs="Arial"/>
        </w:rPr>
      </w:pPr>
      <w:r>
        <w:rPr>
          <w:rStyle w:val="af5"/>
          <w:rFonts w:ascii="Arial" w:hAnsi="Arial" w:cs="Arial"/>
        </w:rPr>
        <w:lastRenderedPageBreak/>
        <w:t>Abstract</w:t>
      </w:r>
    </w:p>
    <w:p w14:paraId="3387BC4E" w14:textId="77777777" w:rsidR="0067740A" w:rsidRDefault="00000000">
      <w:pPr>
        <w:spacing w:line="360" w:lineRule="auto"/>
        <w:rPr>
          <w:rFonts w:ascii="Arial" w:hAnsi="Arial" w:cs="Arial"/>
        </w:rPr>
      </w:pPr>
      <w:r>
        <w:rPr>
          <w:rFonts w:ascii="Arial" w:hAnsi="Arial" w:cs="Arial"/>
        </w:rPr>
        <w:t xml:space="preserve">This dissertation investigates </w:t>
      </w:r>
      <w:r>
        <w:rPr>
          <w:rFonts w:ascii="Arial" w:hAnsi="Arial" w:cs="Arial"/>
          <w:lang w:val="en-GB"/>
        </w:rPr>
        <w:t>Volkswagen</w:t>
      </w:r>
      <w:r>
        <w:rPr>
          <w:rFonts w:ascii="Arial" w:eastAsia="宋体" w:hAnsi="Arial" w:cs="Arial"/>
          <w:lang w:val="en-GB"/>
        </w:rPr>
        <w:t>’</w:t>
      </w:r>
      <w:r>
        <w:rPr>
          <w:rFonts w:ascii="Arial" w:hAnsi="Arial" w:cs="Arial"/>
          <w:lang w:val="en-GB"/>
        </w:rPr>
        <w:t>s</w:t>
      </w:r>
      <w:r>
        <w:rPr>
          <w:rFonts w:ascii="Arial" w:hAnsi="Arial" w:cs="Arial"/>
        </w:rPr>
        <w:t xml:space="preserve"> sustainability initiatives within the Chinese automotive market, focusing on consumer perceptions and their impact on the company’s competitive advantage. A mixed-methods approach was employed, combining quantitative surveys of 411 Chinese consumers and qualitative semi-structured interviews to offer a comprehensive understanding of consumer attitudes towards Volkswagen</w:t>
      </w:r>
      <w:r>
        <w:rPr>
          <w:rFonts w:ascii="Arial" w:eastAsia="宋体" w:hAnsi="Arial" w:cs="Arial"/>
          <w:lang w:val="en-US"/>
        </w:rPr>
        <w:t>’</w:t>
      </w:r>
      <w:r>
        <w:rPr>
          <w:rFonts w:ascii="Arial" w:hAnsi="Arial" w:cs="Arial"/>
        </w:rPr>
        <w:t xml:space="preserve">s green practices, including electric vehicles and sustainable manufacturing. </w:t>
      </w:r>
    </w:p>
    <w:p w14:paraId="794FBA4D" w14:textId="77777777" w:rsidR="0067740A" w:rsidRDefault="00000000">
      <w:pPr>
        <w:spacing w:line="360" w:lineRule="auto"/>
        <w:rPr>
          <w:rFonts w:ascii="Arial" w:hAnsi="Arial" w:cs="Arial"/>
        </w:rPr>
      </w:pPr>
      <w:r>
        <w:rPr>
          <w:rFonts w:ascii="Arial" w:hAnsi="Arial" w:cs="Arial"/>
        </w:rPr>
        <w:t>The findings indicate that while consumers generally appreciate Volkswagen’s environmental efforts, concerns about greenwashing and high EV costs persist. Price sensitivity was identified as a significant barrier to broader adoption, despite rising environmental awareness. The study confirms that positive perceptions of Volkswagen’s sustainability initiatives contribute to brand loyalty and competitive positioning, particularly among younger and environmentally conscious consumers. However, the company faces challenges in making EVs more affordable to appeal to middle-income consumers. The study concludes with strategic recommendations for Volkswagen to enhance transparency, reduce EV costs, and leverage government partnerships to further strengthen its market presence in China.</w:t>
      </w:r>
    </w:p>
    <w:p w14:paraId="02AB1523" w14:textId="77777777" w:rsidR="0067740A" w:rsidRDefault="0067740A">
      <w:pPr>
        <w:spacing w:line="360" w:lineRule="auto"/>
        <w:rPr>
          <w:rFonts w:ascii="Arial" w:hAnsi="Arial" w:cs="Arial"/>
        </w:rPr>
      </w:pPr>
    </w:p>
    <w:p w14:paraId="7856883F" w14:textId="77777777" w:rsidR="0067740A" w:rsidRDefault="00000000">
      <w:pPr>
        <w:spacing w:line="360" w:lineRule="auto"/>
        <w:rPr>
          <w:rFonts w:ascii="Arial" w:hAnsi="Arial" w:cs="Arial"/>
        </w:rPr>
      </w:pPr>
      <w:r>
        <w:rPr>
          <w:rFonts w:ascii="Arial" w:hAnsi="Arial" w:cs="Arial"/>
        </w:rPr>
        <w:t>Keywords for  dissertation</w:t>
      </w:r>
    </w:p>
    <w:p w14:paraId="2AB5E35C" w14:textId="77777777" w:rsidR="0067740A" w:rsidRDefault="00000000">
      <w:pPr>
        <w:pStyle w:val="afd"/>
        <w:numPr>
          <w:ilvl w:val="0"/>
          <w:numId w:val="1"/>
        </w:numPr>
        <w:spacing w:line="360" w:lineRule="auto"/>
        <w:ind w:left="0" w:firstLine="0"/>
        <w:rPr>
          <w:rFonts w:ascii="Arial" w:hAnsi="Arial" w:cs="Arial"/>
        </w:rPr>
      </w:pPr>
      <w:r>
        <w:rPr>
          <w:rFonts w:ascii="Arial" w:hAnsi="Arial" w:cs="Arial"/>
        </w:rPr>
        <w:t>Sustainability Initiatives</w:t>
      </w:r>
    </w:p>
    <w:p w14:paraId="1EDFFE3D" w14:textId="77777777" w:rsidR="0067740A" w:rsidRDefault="00000000">
      <w:pPr>
        <w:pStyle w:val="afd"/>
        <w:numPr>
          <w:ilvl w:val="0"/>
          <w:numId w:val="1"/>
        </w:numPr>
        <w:spacing w:line="360" w:lineRule="auto"/>
        <w:ind w:left="0" w:firstLine="0"/>
        <w:rPr>
          <w:rFonts w:ascii="Arial" w:hAnsi="Arial" w:cs="Arial"/>
        </w:rPr>
      </w:pPr>
      <w:r>
        <w:rPr>
          <w:rFonts w:ascii="Arial" w:hAnsi="Arial" w:cs="Arial"/>
        </w:rPr>
        <w:t>Electric Vehicles (EVs)</w:t>
      </w:r>
    </w:p>
    <w:p w14:paraId="12293E62" w14:textId="77777777" w:rsidR="0067740A" w:rsidRDefault="00000000">
      <w:pPr>
        <w:pStyle w:val="afd"/>
        <w:numPr>
          <w:ilvl w:val="0"/>
          <w:numId w:val="1"/>
        </w:numPr>
        <w:spacing w:line="360" w:lineRule="auto"/>
        <w:ind w:left="0" w:firstLine="0"/>
        <w:rPr>
          <w:rFonts w:ascii="Arial" w:hAnsi="Arial" w:cs="Arial"/>
        </w:rPr>
      </w:pPr>
      <w:r>
        <w:rPr>
          <w:rFonts w:ascii="Arial" w:hAnsi="Arial" w:cs="Arial"/>
        </w:rPr>
        <w:t>Consumer Perceptions</w:t>
      </w:r>
    </w:p>
    <w:p w14:paraId="534AEF5F" w14:textId="77777777" w:rsidR="0067740A" w:rsidRDefault="00000000">
      <w:pPr>
        <w:pStyle w:val="afd"/>
        <w:numPr>
          <w:ilvl w:val="0"/>
          <w:numId w:val="1"/>
        </w:numPr>
        <w:spacing w:line="360" w:lineRule="auto"/>
        <w:ind w:left="0" w:firstLine="0"/>
        <w:rPr>
          <w:rFonts w:ascii="Arial" w:hAnsi="Arial" w:cs="Arial"/>
        </w:rPr>
      </w:pPr>
      <w:r>
        <w:rPr>
          <w:rFonts w:ascii="Arial" w:hAnsi="Arial" w:cs="Arial"/>
        </w:rPr>
        <w:t>Volkswagen</w:t>
      </w:r>
    </w:p>
    <w:p w14:paraId="7CCDEB12" w14:textId="77777777" w:rsidR="0067740A" w:rsidRDefault="00000000">
      <w:pPr>
        <w:pStyle w:val="afd"/>
        <w:numPr>
          <w:ilvl w:val="0"/>
          <w:numId w:val="1"/>
        </w:numPr>
        <w:spacing w:line="360" w:lineRule="auto"/>
        <w:ind w:left="0" w:firstLine="0"/>
        <w:rPr>
          <w:rFonts w:ascii="Arial" w:hAnsi="Arial" w:cs="Arial"/>
        </w:rPr>
      </w:pPr>
      <w:r>
        <w:rPr>
          <w:rFonts w:ascii="Arial" w:hAnsi="Arial" w:cs="Arial"/>
        </w:rPr>
        <w:t>Chinese Automotive Market</w:t>
      </w:r>
    </w:p>
    <w:p w14:paraId="02C01066" w14:textId="77777777" w:rsidR="0067740A" w:rsidRDefault="0067740A">
      <w:pPr>
        <w:spacing w:line="360" w:lineRule="auto"/>
        <w:rPr>
          <w:rStyle w:val="af5"/>
          <w:rFonts w:ascii="Arial" w:hAnsi="Arial" w:cs="Arial"/>
        </w:rPr>
      </w:pPr>
      <w:bookmarkStart w:id="1" w:name="OLE_LINK64"/>
      <w:bookmarkStart w:id="2" w:name="OLE_LINK63"/>
    </w:p>
    <w:p w14:paraId="1D41BA1A" w14:textId="77777777" w:rsidR="0067740A" w:rsidRDefault="0067740A">
      <w:pPr>
        <w:spacing w:line="360" w:lineRule="auto"/>
        <w:rPr>
          <w:rStyle w:val="af5"/>
          <w:rFonts w:ascii="Arial" w:hAnsi="Arial" w:cs="Arial"/>
        </w:rPr>
      </w:pPr>
    </w:p>
    <w:p w14:paraId="7D8D2EE4" w14:textId="77777777" w:rsidR="0067740A" w:rsidRDefault="00000000">
      <w:pPr>
        <w:rPr>
          <w:rStyle w:val="af5"/>
          <w:rFonts w:ascii="Arial" w:hAnsi="Arial" w:cs="Arial"/>
        </w:rPr>
      </w:pPr>
      <w:r>
        <w:rPr>
          <w:rStyle w:val="af5"/>
          <w:rFonts w:ascii="Arial" w:hAnsi="Arial" w:cs="Arial"/>
        </w:rPr>
        <w:br w:type="page"/>
      </w:r>
    </w:p>
    <w:p w14:paraId="2C4CE18E" w14:textId="77777777" w:rsidR="0067740A" w:rsidRDefault="00000000">
      <w:pPr>
        <w:spacing w:line="360" w:lineRule="auto"/>
        <w:rPr>
          <w:rStyle w:val="af5"/>
          <w:rFonts w:ascii="Arial" w:hAnsi="Arial" w:cs="Arial"/>
        </w:rPr>
      </w:pPr>
      <w:r>
        <w:rPr>
          <w:rStyle w:val="af5"/>
          <w:rFonts w:ascii="Arial" w:hAnsi="Arial" w:cs="Arial"/>
        </w:rPr>
        <w:lastRenderedPageBreak/>
        <w:t>Acknowledgements</w:t>
      </w:r>
    </w:p>
    <w:p w14:paraId="1C75E0AD" w14:textId="77777777" w:rsidR="0067740A" w:rsidRDefault="00000000">
      <w:pPr>
        <w:spacing w:line="360" w:lineRule="auto"/>
        <w:rPr>
          <w:rFonts w:ascii="Arial" w:hAnsi="Arial" w:cs="Arial"/>
          <w:b/>
          <w:bCs/>
        </w:rPr>
      </w:pPr>
      <w:r>
        <w:rPr>
          <w:rFonts w:ascii="Arial" w:hAnsi="Arial" w:cs="Arial"/>
        </w:rPr>
        <w:t>I would like to express my heartfelt gratitude to the individuals and institutions whose support has made the completion of this dissertation possible.</w:t>
      </w:r>
    </w:p>
    <w:p w14:paraId="71390963" w14:textId="77777777" w:rsidR="0067740A" w:rsidRDefault="00000000">
      <w:pPr>
        <w:spacing w:line="360" w:lineRule="auto"/>
        <w:rPr>
          <w:rFonts w:ascii="Arial" w:hAnsi="Arial" w:cs="Arial"/>
        </w:rPr>
      </w:pPr>
      <w:r>
        <w:rPr>
          <w:rFonts w:ascii="Arial" w:hAnsi="Arial" w:cs="Arial"/>
        </w:rPr>
        <w:t>First and foremost, my deepest thanks to Professor Owen Phillips for his unwavering support, insightful guidance, and patience throughout this journey. His expertise and encouragement have been invaluable, and I am deeply grateful for the time and effort he has dedicated to helping me shape this research.</w:t>
      </w:r>
    </w:p>
    <w:p w14:paraId="342A122D" w14:textId="77777777" w:rsidR="0067740A" w:rsidRDefault="00000000">
      <w:pPr>
        <w:spacing w:line="360" w:lineRule="auto"/>
        <w:rPr>
          <w:rFonts w:ascii="Arial" w:hAnsi="Arial" w:cs="Arial"/>
        </w:rPr>
      </w:pPr>
      <w:r>
        <w:rPr>
          <w:rFonts w:ascii="Arial" w:hAnsi="Arial" w:cs="Arial"/>
        </w:rPr>
        <w:t>To my parents, I owe immense thanks for their constant support and belief in me. Their love, encouragement, and sacrifices have been the foundation of all my achievements, and I could not have completed this without them.</w:t>
      </w:r>
    </w:p>
    <w:p w14:paraId="4D0821E3" w14:textId="77777777" w:rsidR="0067740A" w:rsidRDefault="00000000">
      <w:pPr>
        <w:spacing w:line="360" w:lineRule="auto"/>
        <w:rPr>
          <w:rFonts w:ascii="Arial" w:hAnsi="Arial" w:cs="Arial"/>
        </w:rPr>
      </w:pPr>
      <w:r>
        <w:rPr>
          <w:rFonts w:ascii="Arial" w:hAnsi="Arial" w:cs="Arial"/>
        </w:rPr>
        <w:t xml:space="preserve">I am also profoundly thankful to my dear friends, </w:t>
      </w:r>
      <w:proofErr w:type="spellStart"/>
      <w:r>
        <w:rPr>
          <w:rFonts w:ascii="Arial" w:hAnsi="Arial" w:cs="Arial"/>
        </w:rPr>
        <w:t>Wenjia</w:t>
      </w:r>
      <w:proofErr w:type="spellEnd"/>
      <w:r>
        <w:rPr>
          <w:rFonts w:ascii="Arial" w:hAnsi="Arial" w:cs="Arial"/>
        </w:rPr>
        <w:t xml:space="preserve"> Ma</w:t>
      </w:r>
      <w:r>
        <w:rPr>
          <w:rFonts w:ascii="Arial" w:hAnsi="Arial" w:cs="Arial"/>
          <w:b/>
          <w:bCs/>
        </w:rPr>
        <w:t xml:space="preserve">, </w:t>
      </w:r>
      <w:r>
        <w:rPr>
          <w:rFonts w:ascii="Arial" w:hAnsi="Arial" w:cs="Arial"/>
        </w:rPr>
        <w:t>Xinran An, and Dr Wei Wen Lee, whose companionship and understanding have been a source of strength throughout the challenging moments of this journey. Your support has meant more to me than words can express.</w:t>
      </w:r>
    </w:p>
    <w:p w14:paraId="4C08DDA0" w14:textId="77777777" w:rsidR="0067740A" w:rsidRDefault="00000000">
      <w:pPr>
        <w:spacing w:line="360" w:lineRule="auto"/>
        <w:rPr>
          <w:rFonts w:ascii="Arial" w:hAnsi="Arial" w:cs="Arial"/>
        </w:rPr>
      </w:pPr>
      <w:r>
        <w:rPr>
          <w:rFonts w:ascii="Arial" w:hAnsi="Arial" w:cs="Arial"/>
        </w:rPr>
        <w:t xml:space="preserve">I am very grateful to my </w:t>
      </w:r>
      <w:r>
        <w:rPr>
          <w:rFonts w:ascii="Arial" w:hAnsi="Arial" w:cs="Arial"/>
          <w:lang w:val="en-US"/>
        </w:rPr>
        <w:t xml:space="preserve">lovely little </w:t>
      </w:r>
      <w:r>
        <w:rPr>
          <w:rFonts w:ascii="Arial" w:hAnsi="Arial" w:cs="Arial" w:hint="eastAsia"/>
        </w:rPr>
        <w:t>f</w:t>
      </w:r>
      <w:r>
        <w:rPr>
          <w:rFonts w:ascii="Arial" w:hAnsi="Arial" w:cs="Arial"/>
        </w:rPr>
        <w:t>riends who accompanied me throughout the process of completing my dissertation: Piggy, Brinjal, Xiao AXO, and Quack. Their emotional support makes this journey much more enjoyable. Thank you all for being there for me.</w:t>
      </w:r>
    </w:p>
    <w:p w14:paraId="0B2B2D01" w14:textId="77777777" w:rsidR="0067740A" w:rsidRDefault="00000000">
      <w:pPr>
        <w:spacing w:line="360" w:lineRule="auto"/>
        <w:rPr>
          <w:rFonts w:ascii="Arial" w:hAnsi="Arial" w:cs="Arial"/>
        </w:rPr>
      </w:pPr>
      <w:r>
        <w:rPr>
          <w:rFonts w:ascii="Arial" w:hAnsi="Arial" w:cs="Arial"/>
        </w:rPr>
        <w:t>Finally, my sincere thanks to Wuhan University of Technology for providing me with the opportunities and education that have formed the backbone of my academic journey. The knowledge and experiences gained there have been instrumental in shaping this work.</w:t>
      </w:r>
    </w:p>
    <w:p w14:paraId="126A25BB" w14:textId="77777777" w:rsidR="0067740A" w:rsidRDefault="00000000">
      <w:pPr>
        <w:spacing w:line="360" w:lineRule="auto"/>
        <w:rPr>
          <w:rFonts w:ascii="Arial" w:hAnsi="Arial" w:cs="Arial"/>
        </w:rPr>
      </w:pPr>
      <w:r>
        <w:rPr>
          <w:rFonts w:ascii="Arial" w:hAnsi="Arial" w:cs="Arial"/>
        </w:rPr>
        <w:t>Thank you all from the bottom of my heart.</w:t>
      </w:r>
    </w:p>
    <w:bookmarkEnd w:id="1"/>
    <w:bookmarkEnd w:id="2"/>
    <w:p w14:paraId="0D362A6A" w14:textId="77777777" w:rsidR="0067740A" w:rsidRDefault="00000000">
      <w:pPr>
        <w:rPr>
          <w:rFonts w:ascii="Arial" w:hAnsi="Arial" w:cs="Arial"/>
        </w:rPr>
      </w:pPr>
      <w:r>
        <w:rPr>
          <w:rFonts w:ascii="Arial" w:hAnsi="Arial" w:cs="Arial"/>
        </w:rPr>
        <w:br w:type="page"/>
      </w:r>
    </w:p>
    <w:sdt>
      <w:sdtPr>
        <w:rPr>
          <w:rFonts w:ascii="Arial" w:eastAsia="Times New Roman" w:hAnsi="Arial" w:cs="Arial"/>
          <w:b w:val="0"/>
          <w:bCs w:val="0"/>
          <w:color w:val="auto"/>
          <w:sz w:val="24"/>
          <w:szCs w:val="24"/>
          <w:lang w:val="en-SG" w:eastAsia="zh-CN"/>
        </w:rPr>
        <w:id w:val="1537163142"/>
        <w:docPartObj>
          <w:docPartGallery w:val="Table of Contents"/>
          <w:docPartUnique/>
        </w:docPartObj>
      </w:sdtPr>
      <w:sdtEndPr>
        <w:rPr>
          <w:b/>
          <w:bCs/>
        </w:rPr>
      </w:sdtEndPr>
      <w:sdtContent>
        <w:p w14:paraId="7205CFD0" w14:textId="77777777" w:rsidR="0067740A" w:rsidRDefault="00000000">
          <w:pPr>
            <w:pStyle w:val="TOCHeading1"/>
            <w:spacing w:line="360" w:lineRule="auto"/>
            <w:jc w:val="center"/>
            <w:rPr>
              <w:rFonts w:ascii="Arial" w:hAnsi="Arial" w:cs="Arial"/>
              <w:color w:val="000000" w:themeColor="text1"/>
              <w:sz w:val="24"/>
              <w:szCs w:val="24"/>
            </w:rPr>
          </w:pPr>
          <w:r>
            <w:rPr>
              <w:rFonts w:ascii="Arial" w:hAnsi="Arial" w:cs="Arial"/>
              <w:color w:val="000000" w:themeColor="text1"/>
              <w:sz w:val="24"/>
              <w:szCs w:val="24"/>
            </w:rPr>
            <w:t>Table of Contents</w:t>
          </w:r>
        </w:p>
        <w:p w14:paraId="64025E50" w14:textId="3B61CEF2" w:rsidR="0067740A" w:rsidRDefault="00000000">
          <w:pPr>
            <w:pStyle w:val="TOC1"/>
            <w:tabs>
              <w:tab w:val="left" w:pos="480"/>
              <w:tab w:val="right" w:leader="dot" w:pos="9350"/>
            </w:tabs>
            <w:spacing w:line="360" w:lineRule="auto"/>
            <w:rPr>
              <w:rFonts w:ascii="Arial" w:eastAsiaTheme="minorEastAsia" w:hAnsi="Arial" w:cs="Arial"/>
              <w:i w:val="0"/>
              <w:iCs w:val="0"/>
              <w:noProof/>
              <w:kern w:val="2"/>
              <w14:ligatures w14:val="standardContextual"/>
            </w:rPr>
          </w:pPr>
          <w:r>
            <w:rPr>
              <w:rFonts w:ascii="Arial" w:hAnsi="Arial" w:cs="Arial"/>
              <w:i w:val="0"/>
              <w:iCs w:val="0"/>
            </w:rPr>
            <w:fldChar w:fldCharType="begin"/>
          </w:r>
          <w:r>
            <w:rPr>
              <w:rFonts w:ascii="Arial" w:hAnsi="Arial" w:cs="Arial"/>
              <w:i w:val="0"/>
              <w:iCs w:val="0"/>
            </w:rPr>
            <w:instrText xml:space="preserve"> TOC \o "1-3" \h \z \u </w:instrText>
          </w:r>
          <w:r>
            <w:rPr>
              <w:rFonts w:ascii="Arial" w:hAnsi="Arial" w:cs="Arial"/>
              <w:i w:val="0"/>
              <w:iCs w:val="0"/>
            </w:rPr>
            <w:fldChar w:fldCharType="separate"/>
          </w:r>
          <w:hyperlink w:anchor="_Toc177665994" w:history="1">
            <w:r w:rsidR="0067740A">
              <w:rPr>
                <w:rStyle w:val="af9"/>
                <w:rFonts w:ascii="Arial" w:hAnsi="Arial" w:cs="Arial"/>
                <w:i w:val="0"/>
                <w:iCs w:val="0"/>
                <w:noProof/>
                <w:lang w:val="en-GB"/>
              </w:rPr>
              <w:t>1</w:t>
            </w:r>
            <w:r w:rsidR="0067740A">
              <w:rPr>
                <w:rFonts w:ascii="Arial" w:eastAsiaTheme="minorEastAsia" w:hAnsi="Arial" w:cs="Arial"/>
                <w:i w:val="0"/>
                <w:iCs w:val="0"/>
                <w:noProof/>
                <w:kern w:val="2"/>
                <w14:ligatures w14:val="standardContextual"/>
              </w:rPr>
              <w:tab/>
            </w:r>
            <w:r w:rsidR="0067740A">
              <w:rPr>
                <w:rStyle w:val="af9"/>
                <w:rFonts w:ascii="Arial" w:hAnsi="Arial" w:cs="Arial"/>
                <w:i w:val="0"/>
                <w:iCs w:val="0"/>
                <w:noProof/>
                <w:lang w:val="en-GB"/>
              </w:rPr>
              <w:t>Introduction</w:t>
            </w:r>
            <w:r w:rsidR="0067740A">
              <w:rPr>
                <w:rFonts w:ascii="Arial" w:hAnsi="Arial" w:cs="Arial"/>
                <w:i w:val="0"/>
                <w:iCs w:val="0"/>
                <w:noProof/>
              </w:rPr>
              <w:tab/>
            </w:r>
            <w:r w:rsidR="0067740A">
              <w:rPr>
                <w:rFonts w:ascii="Arial" w:hAnsi="Arial" w:cs="Arial"/>
                <w:i w:val="0"/>
                <w:iCs w:val="0"/>
                <w:noProof/>
              </w:rPr>
              <w:fldChar w:fldCharType="begin"/>
            </w:r>
            <w:r w:rsidR="0067740A">
              <w:rPr>
                <w:rFonts w:ascii="Arial" w:hAnsi="Arial" w:cs="Arial"/>
                <w:i w:val="0"/>
                <w:iCs w:val="0"/>
                <w:noProof/>
              </w:rPr>
              <w:instrText xml:space="preserve"> PAGEREF _Toc177665994 \h </w:instrText>
            </w:r>
            <w:r w:rsidR="0067740A">
              <w:rPr>
                <w:rFonts w:ascii="Arial" w:hAnsi="Arial" w:cs="Arial"/>
                <w:i w:val="0"/>
                <w:iCs w:val="0"/>
                <w:noProof/>
              </w:rPr>
            </w:r>
            <w:r w:rsidR="0067740A">
              <w:rPr>
                <w:rFonts w:ascii="Arial" w:hAnsi="Arial" w:cs="Arial"/>
                <w:i w:val="0"/>
                <w:iCs w:val="0"/>
                <w:noProof/>
              </w:rPr>
              <w:fldChar w:fldCharType="separate"/>
            </w:r>
            <w:r w:rsidR="0067740A">
              <w:rPr>
                <w:rFonts w:ascii="Arial" w:hAnsi="Arial" w:cs="Arial"/>
                <w:i w:val="0"/>
                <w:iCs w:val="0"/>
                <w:noProof/>
              </w:rPr>
              <w:t>7</w:t>
            </w:r>
            <w:r w:rsidR="0067740A">
              <w:rPr>
                <w:rFonts w:ascii="Arial" w:hAnsi="Arial" w:cs="Arial"/>
                <w:i w:val="0"/>
                <w:iCs w:val="0"/>
                <w:noProof/>
              </w:rPr>
              <w:fldChar w:fldCharType="end"/>
            </w:r>
          </w:hyperlink>
        </w:p>
        <w:p w14:paraId="49E917BA" w14:textId="17DF9277"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5995" w:history="1">
            <w:r>
              <w:rPr>
                <w:rStyle w:val="af9"/>
                <w:rFonts w:ascii="Arial" w:hAnsi="Arial" w:cs="Arial"/>
                <w:noProof/>
                <w:sz w:val="24"/>
                <w:szCs w:val="24"/>
                <w:lang w:val="en-GB"/>
              </w:rPr>
              <w:t>1.1</w:t>
            </w:r>
            <w:r>
              <w:rPr>
                <w:rFonts w:ascii="Arial" w:eastAsiaTheme="minorEastAsia" w:hAnsi="Arial" w:cs="Arial"/>
                <w:noProof/>
                <w:kern w:val="2"/>
                <w:sz w:val="24"/>
                <w:szCs w:val="24"/>
                <w14:ligatures w14:val="standardContextual"/>
              </w:rPr>
              <w:tab/>
            </w:r>
            <w:r>
              <w:rPr>
                <w:rStyle w:val="af9"/>
                <w:rFonts w:ascii="Arial" w:hAnsi="Arial" w:cs="Arial"/>
                <w:noProof/>
                <w:sz w:val="24"/>
                <w:szCs w:val="24"/>
                <w:lang w:val="en-GB"/>
              </w:rPr>
              <w:t>Background of the Study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_Toc177665995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7</w:t>
            </w:r>
            <w:r>
              <w:rPr>
                <w:rFonts w:ascii="Arial" w:hAnsi="Arial" w:cs="Arial"/>
                <w:noProof/>
                <w:sz w:val="24"/>
                <w:szCs w:val="24"/>
              </w:rPr>
              <w:fldChar w:fldCharType="end"/>
            </w:r>
          </w:hyperlink>
        </w:p>
        <w:p w14:paraId="0E400D4B" w14:textId="734BCEEC"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5996" w:history="1">
            <w:r>
              <w:rPr>
                <w:rStyle w:val="af9"/>
                <w:rFonts w:ascii="Arial" w:hAnsi="Arial" w:cs="Arial"/>
                <w:noProof/>
                <w:sz w:val="24"/>
                <w:szCs w:val="24"/>
                <w:lang w:val="en-GB"/>
              </w:rPr>
              <w:t>1.2</w:t>
            </w:r>
            <w:r>
              <w:rPr>
                <w:rFonts w:ascii="Arial" w:eastAsiaTheme="minorEastAsia" w:hAnsi="Arial" w:cs="Arial"/>
                <w:noProof/>
                <w:kern w:val="2"/>
                <w:sz w:val="24"/>
                <w:szCs w:val="24"/>
                <w14:ligatures w14:val="standardContextual"/>
              </w:rPr>
              <w:tab/>
            </w:r>
            <w:r>
              <w:rPr>
                <w:rStyle w:val="af9"/>
                <w:rFonts w:ascii="Arial" w:hAnsi="Arial" w:cs="Arial"/>
                <w:noProof/>
                <w:sz w:val="24"/>
                <w:szCs w:val="24"/>
                <w:lang w:val="en-GB"/>
              </w:rPr>
              <w:t>Research Problem</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_Toc177665996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8</w:t>
            </w:r>
            <w:r>
              <w:rPr>
                <w:rFonts w:ascii="Arial" w:hAnsi="Arial" w:cs="Arial"/>
                <w:noProof/>
                <w:sz w:val="24"/>
                <w:szCs w:val="24"/>
              </w:rPr>
              <w:fldChar w:fldCharType="end"/>
            </w:r>
          </w:hyperlink>
        </w:p>
        <w:p w14:paraId="4A4ABE1A" w14:textId="1E5C69EB"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5997" w:history="1">
            <w:r>
              <w:rPr>
                <w:rStyle w:val="af9"/>
                <w:rFonts w:ascii="Arial" w:hAnsi="Arial" w:cs="Arial"/>
                <w:noProof/>
                <w:sz w:val="24"/>
                <w:szCs w:val="24"/>
              </w:rPr>
              <w:t>1.3</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Research Objectives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_Toc177665997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9</w:t>
            </w:r>
            <w:r>
              <w:rPr>
                <w:rFonts w:ascii="Arial" w:hAnsi="Arial" w:cs="Arial"/>
                <w:noProof/>
                <w:sz w:val="24"/>
                <w:szCs w:val="24"/>
              </w:rPr>
              <w:fldChar w:fldCharType="end"/>
            </w:r>
          </w:hyperlink>
        </w:p>
        <w:p w14:paraId="306BCCB4" w14:textId="005B803F"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5998" w:history="1">
            <w:r>
              <w:rPr>
                <w:rStyle w:val="af9"/>
                <w:rFonts w:ascii="Arial" w:hAnsi="Arial" w:cs="Arial"/>
                <w:noProof/>
                <w:sz w:val="24"/>
                <w:szCs w:val="24"/>
              </w:rPr>
              <w:t>1.4</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Research Questions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_Toc177665998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10</w:t>
            </w:r>
            <w:r>
              <w:rPr>
                <w:rFonts w:ascii="Arial" w:hAnsi="Arial" w:cs="Arial"/>
                <w:noProof/>
                <w:sz w:val="24"/>
                <w:szCs w:val="24"/>
              </w:rPr>
              <w:fldChar w:fldCharType="end"/>
            </w:r>
          </w:hyperlink>
        </w:p>
        <w:p w14:paraId="3298E664" w14:textId="1C323940"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5999" w:history="1">
            <w:r>
              <w:rPr>
                <w:rStyle w:val="af9"/>
                <w:rFonts w:ascii="Arial" w:hAnsi="Arial" w:cs="Arial"/>
                <w:noProof/>
                <w:sz w:val="24"/>
                <w:szCs w:val="24"/>
              </w:rPr>
              <w:t>1.5</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Researcher’s Interest</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_Toc177665999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11</w:t>
            </w:r>
            <w:r>
              <w:rPr>
                <w:rFonts w:ascii="Arial" w:hAnsi="Arial" w:cs="Arial"/>
                <w:noProof/>
                <w:sz w:val="24"/>
                <w:szCs w:val="24"/>
              </w:rPr>
              <w:fldChar w:fldCharType="end"/>
            </w:r>
          </w:hyperlink>
        </w:p>
        <w:p w14:paraId="2ECB4B5E" w14:textId="53D67EFD"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00" w:history="1">
            <w:r>
              <w:rPr>
                <w:rStyle w:val="af9"/>
                <w:rFonts w:ascii="Arial" w:hAnsi="Arial" w:cs="Arial"/>
                <w:noProof/>
                <w:sz w:val="24"/>
                <w:szCs w:val="24"/>
              </w:rPr>
              <w:t>1.6</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Involved Stakeholders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_Toc177666000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12</w:t>
            </w:r>
            <w:r>
              <w:rPr>
                <w:rFonts w:ascii="Arial" w:hAnsi="Arial" w:cs="Arial"/>
                <w:noProof/>
                <w:sz w:val="24"/>
                <w:szCs w:val="24"/>
              </w:rPr>
              <w:fldChar w:fldCharType="end"/>
            </w:r>
          </w:hyperlink>
        </w:p>
        <w:p w14:paraId="4817221A" w14:textId="1719E786"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01" w:history="1">
            <w:r>
              <w:rPr>
                <w:rStyle w:val="af9"/>
                <w:rFonts w:ascii="Arial" w:hAnsi="Arial" w:cs="Arial"/>
                <w:noProof/>
                <w:sz w:val="24"/>
                <w:szCs w:val="24"/>
              </w:rPr>
              <w:t>1.7</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Analytical Frameworks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_Toc177666001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13</w:t>
            </w:r>
            <w:r>
              <w:rPr>
                <w:rFonts w:ascii="Arial" w:hAnsi="Arial" w:cs="Arial"/>
                <w:noProof/>
                <w:sz w:val="24"/>
                <w:szCs w:val="24"/>
              </w:rPr>
              <w:fldChar w:fldCharType="end"/>
            </w:r>
          </w:hyperlink>
        </w:p>
        <w:p w14:paraId="3A8407D4" w14:textId="2BEC3DEE"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02" w:history="1">
            <w:r>
              <w:rPr>
                <w:rStyle w:val="af9"/>
                <w:rFonts w:ascii="Arial" w:hAnsi="Arial" w:cs="Arial"/>
                <w:noProof/>
                <w:sz w:val="24"/>
                <w:szCs w:val="24"/>
                <w:lang w:val="en-GB"/>
              </w:rPr>
              <w:t>1.8</w:t>
            </w:r>
            <w:r>
              <w:rPr>
                <w:rFonts w:ascii="Arial" w:eastAsiaTheme="minorEastAsia" w:hAnsi="Arial" w:cs="Arial"/>
                <w:noProof/>
                <w:kern w:val="2"/>
                <w:sz w:val="24"/>
                <w:szCs w:val="24"/>
                <w14:ligatures w14:val="standardContextual"/>
              </w:rPr>
              <w:tab/>
            </w:r>
            <w:r>
              <w:rPr>
                <w:rStyle w:val="af9"/>
                <w:rFonts w:ascii="Arial" w:hAnsi="Arial" w:cs="Arial"/>
                <w:noProof/>
                <w:sz w:val="24"/>
                <w:szCs w:val="24"/>
                <w:lang w:val="en-GB"/>
              </w:rPr>
              <w:t>Significance of the Study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_Toc177666002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21</w:t>
            </w:r>
            <w:r>
              <w:rPr>
                <w:rFonts w:ascii="Arial" w:hAnsi="Arial" w:cs="Arial"/>
                <w:noProof/>
                <w:sz w:val="24"/>
                <w:szCs w:val="24"/>
              </w:rPr>
              <w:fldChar w:fldCharType="end"/>
            </w:r>
          </w:hyperlink>
        </w:p>
        <w:p w14:paraId="762D1552" w14:textId="3DA0E3FC"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03" w:history="1">
            <w:r>
              <w:rPr>
                <w:rStyle w:val="af9"/>
                <w:rFonts w:ascii="Arial" w:hAnsi="Arial" w:cs="Arial"/>
                <w:noProof/>
                <w:sz w:val="24"/>
                <w:szCs w:val="24"/>
              </w:rPr>
              <w:t>1.9</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Structure of the Dissertation</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_Toc177666003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22</w:t>
            </w:r>
            <w:r>
              <w:rPr>
                <w:rFonts w:ascii="Arial" w:hAnsi="Arial" w:cs="Arial"/>
                <w:noProof/>
                <w:sz w:val="24"/>
                <w:szCs w:val="24"/>
              </w:rPr>
              <w:fldChar w:fldCharType="end"/>
            </w:r>
          </w:hyperlink>
        </w:p>
        <w:p w14:paraId="3A97EBAB" w14:textId="74C8E611" w:rsidR="0067740A" w:rsidRDefault="0067740A">
          <w:pPr>
            <w:pStyle w:val="TOC1"/>
            <w:tabs>
              <w:tab w:val="left" w:pos="480"/>
              <w:tab w:val="right" w:leader="dot" w:pos="9350"/>
            </w:tabs>
            <w:spacing w:line="360" w:lineRule="auto"/>
            <w:rPr>
              <w:rFonts w:ascii="Arial" w:eastAsiaTheme="minorEastAsia" w:hAnsi="Arial" w:cs="Arial"/>
              <w:i w:val="0"/>
              <w:iCs w:val="0"/>
              <w:noProof/>
              <w:kern w:val="2"/>
              <w14:ligatures w14:val="standardContextual"/>
            </w:rPr>
          </w:pPr>
          <w:hyperlink w:anchor="_Toc177666004" w:history="1">
            <w:r>
              <w:rPr>
                <w:rStyle w:val="af9"/>
                <w:rFonts w:ascii="Arial" w:hAnsi="Arial" w:cs="Arial"/>
                <w:i w:val="0"/>
                <w:iCs w:val="0"/>
                <w:noProof/>
              </w:rPr>
              <w:t>2</w:t>
            </w:r>
            <w:r>
              <w:rPr>
                <w:rFonts w:ascii="Arial" w:eastAsiaTheme="minorEastAsia" w:hAnsi="Arial" w:cs="Arial"/>
                <w:i w:val="0"/>
                <w:iCs w:val="0"/>
                <w:noProof/>
                <w:kern w:val="2"/>
                <w14:ligatures w14:val="standardContextual"/>
              </w:rPr>
              <w:tab/>
            </w:r>
            <w:r>
              <w:rPr>
                <w:rStyle w:val="af9"/>
                <w:rFonts w:ascii="Arial" w:hAnsi="Arial" w:cs="Arial"/>
                <w:i w:val="0"/>
                <w:iCs w:val="0"/>
                <w:noProof/>
              </w:rPr>
              <w:t>Literature Review</w:t>
            </w:r>
            <w:r>
              <w:rPr>
                <w:rFonts w:ascii="Arial" w:hAnsi="Arial" w:cs="Arial"/>
                <w:i w:val="0"/>
                <w:iCs w:val="0"/>
                <w:noProof/>
              </w:rPr>
              <w:tab/>
            </w:r>
            <w:r>
              <w:rPr>
                <w:rFonts w:ascii="Arial" w:hAnsi="Arial" w:cs="Arial"/>
                <w:i w:val="0"/>
                <w:iCs w:val="0"/>
                <w:noProof/>
              </w:rPr>
              <w:fldChar w:fldCharType="begin"/>
            </w:r>
            <w:r>
              <w:rPr>
                <w:rFonts w:ascii="Arial" w:hAnsi="Arial" w:cs="Arial"/>
                <w:i w:val="0"/>
                <w:iCs w:val="0"/>
                <w:noProof/>
              </w:rPr>
              <w:instrText xml:space="preserve"> PAGEREF _Toc177666004 \h </w:instrText>
            </w:r>
            <w:r>
              <w:rPr>
                <w:rFonts w:ascii="Arial" w:hAnsi="Arial" w:cs="Arial"/>
                <w:i w:val="0"/>
                <w:iCs w:val="0"/>
                <w:noProof/>
              </w:rPr>
            </w:r>
            <w:r>
              <w:rPr>
                <w:rFonts w:ascii="Arial" w:hAnsi="Arial" w:cs="Arial"/>
                <w:i w:val="0"/>
                <w:iCs w:val="0"/>
                <w:noProof/>
              </w:rPr>
              <w:fldChar w:fldCharType="separate"/>
            </w:r>
            <w:r>
              <w:rPr>
                <w:rFonts w:ascii="Arial" w:hAnsi="Arial" w:cs="Arial"/>
                <w:i w:val="0"/>
                <w:iCs w:val="0"/>
                <w:noProof/>
              </w:rPr>
              <w:t>23</w:t>
            </w:r>
            <w:r>
              <w:rPr>
                <w:rFonts w:ascii="Arial" w:hAnsi="Arial" w:cs="Arial"/>
                <w:i w:val="0"/>
                <w:iCs w:val="0"/>
                <w:noProof/>
              </w:rPr>
              <w:fldChar w:fldCharType="end"/>
            </w:r>
          </w:hyperlink>
        </w:p>
        <w:p w14:paraId="7138C2C7" w14:textId="7544F7CC"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05" w:history="1">
            <w:r>
              <w:rPr>
                <w:rStyle w:val="af9"/>
                <w:rFonts w:ascii="Arial" w:hAnsi="Arial" w:cs="Arial"/>
                <w:noProof/>
                <w:sz w:val="24"/>
                <w:szCs w:val="24"/>
                <w:lang w:val="en-GB"/>
              </w:rPr>
              <w:t>2.1</w:t>
            </w:r>
            <w:r>
              <w:rPr>
                <w:rFonts w:ascii="Arial" w:eastAsiaTheme="minorEastAsia" w:hAnsi="Arial" w:cs="Arial"/>
                <w:noProof/>
                <w:kern w:val="2"/>
                <w:sz w:val="24"/>
                <w:szCs w:val="24"/>
                <w14:ligatures w14:val="standardContextual"/>
              </w:rPr>
              <w:tab/>
            </w:r>
            <w:r>
              <w:rPr>
                <w:rStyle w:val="af9"/>
                <w:rFonts w:ascii="Arial" w:hAnsi="Arial" w:cs="Arial"/>
                <w:noProof/>
                <w:sz w:val="24"/>
                <w:szCs w:val="24"/>
                <w:lang w:val="en-GB"/>
              </w:rPr>
              <w:t>Overview of Sustainability Initiatives in the Automotive Industry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_Toc177666005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23</w:t>
            </w:r>
            <w:r>
              <w:rPr>
                <w:rFonts w:ascii="Arial" w:hAnsi="Arial" w:cs="Arial"/>
                <w:noProof/>
                <w:sz w:val="24"/>
                <w:szCs w:val="24"/>
              </w:rPr>
              <w:fldChar w:fldCharType="end"/>
            </w:r>
          </w:hyperlink>
        </w:p>
        <w:p w14:paraId="29954D52" w14:textId="3825103A"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06" w:history="1">
            <w:r>
              <w:rPr>
                <w:rStyle w:val="af9"/>
                <w:rFonts w:ascii="Arial" w:hAnsi="Arial" w:cs="Arial"/>
                <w:noProof/>
                <w:sz w:val="24"/>
                <w:szCs w:val="24"/>
              </w:rPr>
              <w:t>2.2</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Volkswagen’s Green Practices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_Toc177666006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26</w:t>
            </w:r>
            <w:r>
              <w:rPr>
                <w:rFonts w:ascii="Arial" w:hAnsi="Arial" w:cs="Arial"/>
                <w:noProof/>
                <w:sz w:val="24"/>
                <w:szCs w:val="24"/>
              </w:rPr>
              <w:fldChar w:fldCharType="end"/>
            </w:r>
          </w:hyperlink>
        </w:p>
        <w:p w14:paraId="5FC41462" w14:textId="7CD737AD"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07" w:history="1">
            <w:r>
              <w:rPr>
                <w:rStyle w:val="af9"/>
                <w:rFonts w:ascii="Arial" w:hAnsi="Arial" w:cs="Arial"/>
                <w:b/>
                <w:bCs/>
                <w:noProof/>
                <w:sz w:val="24"/>
                <w:szCs w:val="24"/>
              </w:rPr>
              <w:t>2.2.1</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Historical Overview</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_Toc177666007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26</w:t>
            </w:r>
            <w:r>
              <w:rPr>
                <w:rFonts w:ascii="Arial" w:hAnsi="Arial" w:cs="Arial"/>
                <w:b/>
                <w:bCs/>
                <w:noProof/>
                <w:sz w:val="24"/>
                <w:szCs w:val="24"/>
              </w:rPr>
              <w:fldChar w:fldCharType="end"/>
            </w:r>
          </w:hyperlink>
        </w:p>
        <w:p w14:paraId="004EEC64" w14:textId="3ADBFFE2"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08" w:history="1">
            <w:r>
              <w:rPr>
                <w:rStyle w:val="af9"/>
                <w:rFonts w:ascii="Arial" w:hAnsi="Arial" w:cs="Arial"/>
                <w:b/>
                <w:bCs/>
                <w:noProof/>
                <w:sz w:val="24"/>
                <w:szCs w:val="24"/>
              </w:rPr>
              <w:t>2.2.2</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Current Initiatives in China</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_Toc177666008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27</w:t>
            </w:r>
            <w:r>
              <w:rPr>
                <w:rFonts w:ascii="Arial" w:hAnsi="Arial" w:cs="Arial"/>
                <w:b/>
                <w:bCs/>
                <w:noProof/>
                <w:sz w:val="24"/>
                <w:szCs w:val="24"/>
              </w:rPr>
              <w:fldChar w:fldCharType="end"/>
            </w:r>
          </w:hyperlink>
        </w:p>
        <w:p w14:paraId="6ECF644F" w14:textId="12FB0FFD"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09" w:history="1">
            <w:r>
              <w:rPr>
                <w:rStyle w:val="af9"/>
                <w:rFonts w:ascii="Arial" w:hAnsi="Arial" w:cs="Arial"/>
                <w:noProof/>
                <w:sz w:val="24"/>
                <w:szCs w:val="24"/>
              </w:rPr>
              <w:t>2.3</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Theoretical Framework</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_Toc177666009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30</w:t>
            </w:r>
            <w:r>
              <w:rPr>
                <w:rFonts w:ascii="Arial" w:hAnsi="Arial" w:cs="Arial"/>
                <w:noProof/>
                <w:sz w:val="24"/>
                <w:szCs w:val="24"/>
              </w:rPr>
              <w:fldChar w:fldCharType="end"/>
            </w:r>
          </w:hyperlink>
        </w:p>
        <w:p w14:paraId="25481C72" w14:textId="1142EC1A"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10" w:history="1">
            <w:r>
              <w:rPr>
                <w:rStyle w:val="af9"/>
                <w:rFonts w:ascii="Arial" w:hAnsi="Arial" w:cs="Arial"/>
                <w:b/>
                <w:bCs/>
                <w:noProof/>
                <w:sz w:val="24"/>
                <w:szCs w:val="24"/>
              </w:rPr>
              <w:t>2.3.1</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Concepts of Sustainability in Business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_Toc177666010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30</w:t>
            </w:r>
            <w:r>
              <w:rPr>
                <w:rFonts w:ascii="Arial" w:hAnsi="Arial" w:cs="Arial"/>
                <w:b/>
                <w:bCs/>
                <w:noProof/>
                <w:sz w:val="24"/>
                <w:szCs w:val="24"/>
              </w:rPr>
              <w:fldChar w:fldCharType="end"/>
            </w:r>
          </w:hyperlink>
        </w:p>
        <w:p w14:paraId="5A77F8EF" w14:textId="244B8770"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11" w:history="1">
            <w:r>
              <w:rPr>
                <w:rStyle w:val="af9"/>
                <w:rFonts w:ascii="Arial" w:hAnsi="Arial" w:cs="Arial"/>
                <w:b/>
                <w:bCs/>
                <w:noProof/>
                <w:sz w:val="24"/>
                <w:szCs w:val="24"/>
              </w:rPr>
              <w:t>2.3.2</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Strategic Management Theories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_Toc177666011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31</w:t>
            </w:r>
            <w:r>
              <w:rPr>
                <w:rFonts w:ascii="Arial" w:hAnsi="Arial" w:cs="Arial"/>
                <w:b/>
                <w:bCs/>
                <w:noProof/>
                <w:sz w:val="24"/>
                <w:szCs w:val="24"/>
              </w:rPr>
              <w:fldChar w:fldCharType="end"/>
            </w:r>
          </w:hyperlink>
        </w:p>
        <w:p w14:paraId="4795D984" w14:textId="58D87613"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12" w:history="1">
            <w:r>
              <w:rPr>
                <w:rStyle w:val="af9"/>
                <w:rFonts w:ascii="Arial" w:hAnsi="Arial" w:cs="Arial"/>
                <w:noProof/>
                <w:sz w:val="24"/>
                <w:szCs w:val="24"/>
              </w:rPr>
              <w:t>2.4</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Competitive Advantage and Sustainability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_Toc177666012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33</w:t>
            </w:r>
            <w:r>
              <w:rPr>
                <w:rFonts w:ascii="Arial" w:hAnsi="Arial" w:cs="Arial"/>
                <w:noProof/>
                <w:sz w:val="24"/>
                <w:szCs w:val="24"/>
              </w:rPr>
              <w:fldChar w:fldCharType="end"/>
            </w:r>
          </w:hyperlink>
        </w:p>
        <w:p w14:paraId="5AC67DFC" w14:textId="623FE8EE"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13" w:history="1">
            <w:r>
              <w:rPr>
                <w:rStyle w:val="af9"/>
                <w:rFonts w:ascii="Arial" w:hAnsi="Arial" w:cs="Arial"/>
                <w:b/>
                <w:bCs/>
                <w:noProof/>
                <w:sz w:val="24"/>
                <w:szCs w:val="24"/>
              </w:rPr>
              <w:t>2.4.1</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Porter’s Generic Strategies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_Toc177666013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33</w:t>
            </w:r>
            <w:r>
              <w:rPr>
                <w:rFonts w:ascii="Arial" w:hAnsi="Arial" w:cs="Arial"/>
                <w:b/>
                <w:bCs/>
                <w:noProof/>
                <w:sz w:val="24"/>
                <w:szCs w:val="24"/>
              </w:rPr>
              <w:fldChar w:fldCharType="end"/>
            </w:r>
          </w:hyperlink>
        </w:p>
        <w:p w14:paraId="0BDC0F02" w14:textId="59EC6059"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14" w:history="1">
            <w:r>
              <w:rPr>
                <w:rStyle w:val="af9"/>
                <w:rFonts w:ascii="Arial" w:hAnsi="Arial" w:cs="Arial"/>
                <w:b/>
                <w:bCs/>
                <w:noProof/>
                <w:sz w:val="24"/>
                <w:szCs w:val="24"/>
              </w:rPr>
              <w:t>2.4.2</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Resource-Based View</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_Toc177666014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35</w:t>
            </w:r>
            <w:r>
              <w:rPr>
                <w:rFonts w:ascii="Arial" w:hAnsi="Arial" w:cs="Arial"/>
                <w:b/>
                <w:bCs/>
                <w:noProof/>
                <w:sz w:val="24"/>
                <w:szCs w:val="24"/>
              </w:rPr>
              <w:fldChar w:fldCharType="end"/>
            </w:r>
          </w:hyperlink>
        </w:p>
        <w:p w14:paraId="143866C4" w14:textId="387415CE"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15" w:history="1">
            <w:r>
              <w:rPr>
                <w:rStyle w:val="af9"/>
                <w:rFonts w:ascii="Arial" w:hAnsi="Arial" w:cs="Arial"/>
                <w:noProof/>
                <w:sz w:val="24"/>
                <w:szCs w:val="24"/>
              </w:rPr>
              <w:t>2.5</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Consumer Perceptions of Sustainability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_Toc177666015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37</w:t>
            </w:r>
            <w:r>
              <w:rPr>
                <w:rFonts w:ascii="Arial" w:hAnsi="Arial" w:cs="Arial"/>
                <w:noProof/>
                <w:sz w:val="24"/>
                <w:szCs w:val="24"/>
              </w:rPr>
              <w:fldChar w:fldCharType="end"/>
            </w:r>
          </w:hyperlink>
        </w:p>
        <w:p w14:paraId="52CB3908" w14:textId="4F438467"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16" w:history="1">
            <w:r>
              <w:rPr>
                <w:rStyle w:val="af9"/>
                <w:rFonts w:ascii="Arial" w:hAnsi="Arial" w:cs="Arial"/>
                <w:b/>
                <w:bCs/>
                <w:noProof/>
                <w:sz w:val="24"/>
                <w:szCs w:val="24"/>
              </w:rPr>
              <w:t>2.5.1</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Consumer Behavior Theories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_Toc177666016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37</w:t>
            </w:r>
            <w:r>
              <w:rPr>
                <w:rFonts w:ascii="Arial" w:hAnsi="Arial" w:cs="Arial"/>
                <w:b/>
                <w:bCs/>
                <w:noProof/>
                <w:sz w:val="24"/>
                <w:szCs w:val="24"/>
              </w:rPr>
              <w:fldChar w:fldCharType="end"/>
            </w:r>
          </w:hyperlink>
        </w:p>
        <w:p w14:paraId="5957BADA" w14:textId="1DB5823E"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17" w:history="1">
            <w:r>
              <w:rPr>
                <w:rStyle w:val="af9"/>
                <w:rFonts w:ascii="Arial" w:hAnsi="Arial" w:cs="Arial"/>
                <w:b/>
                <w:bCs/>
                <w:noProof/>
                <w:sz w:val="24"/>
                <w:szCs w:val="24"/>
              </w:rPr>
              <w:t>2.5.2</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Environmental Awareness in China</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_Toc177666017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39</w:t>
            </w:r>
            <w:r>
              <w:rPr>
                <w:rFonts w:ascii="Arial" w:hAnsi="Arial" w:cs="Arial"/>
                <w:b/>
                <w:bCs/>
                <w:noProof/>
                <w:sz w:val="24"/>
                <w:szCs w:val="24"/>
              </w:rPr>
              <w:fldChar w:fldCharType="end"/>
            </w:r>
          </w:hyperlink>
        </w:p>
        <w:p w14:paraId="15A819F6" w14:textId="1B490DF6" w:rsidR="0067740A" w:rsidRDefault="0067740A">
          <w:pPr>
            <w:pStyle w:val="TOC1"/>
            <w:tabs>
              <w:tab w:val="left" w:pos="480"/>
              <w:tab w:val="right" w:leader="dot" w:pos="9350"/>
            </w:tabs>
            <w:spacing w:line="360" w:lineRule="auto"/>
            <w:rPr>
              <w:rFonts w:ascii="Arial" w:eastAsiaTheme="minorEastAsia" w:hAnsi="Arial" w:cs="Arial"/>
              <w:i w:val="0"/>
              <w:iCs w:val="0"/>
              <w:noProof/>
              <w:kern w:val="2"/>
              <w14:ligatures w14:val="standardContextual"/>
            </w:rPr>
          </w:pPr>
          <w:hyperlink w:anchor="_Toc177666018" w:history="1">
            <w:r>
              <w:rPr>
                <w:rStyle w:val="af9"/>
                <w:rFonts w:ascii="Arial" w:hAnsi="Arial" w:cs="Arial"/>
                <w:i w:val="0"/>
                <w:iCs w:val="0"/>
                <w:noProof/>
              </w:rPr>
              <w:t>3</w:t>
            </w:r>
            <w:r>
              <w:rPr>
                <w:rFonts w:ascii="Arial" w:eastAsiaTheme="minorEastAsia" w:hAnsi="Arial" w:cs="Arial"/>
                <w:i w:val="0"/>
                <w:iCs w:val="0"/>
                <w:noProof/>
                <w:kern w:val="2"/>
                <w14:ligatures w14:val="standardContextual"/>
              </w:rPr>
              <w:tab/>
            </w:r>
            <w:r>
              <w:rPr>
                <w:rStyle w:val="af9"/>
                <w:rFonts w:ascii="Arial" w:hAnsi="Arial" w:cs="Arial"/>
                <w:i w:val="0"/>
                <w:iCs w:val="0"/>
                <w:noProof/>
              </w:rPr>
              <w:t>Research Methodology</w:t>
            </w:r>
            <w:r>
              <w:rPr>
                <w:rFonts w:ascii="Arial" w:hAnsi="Arial" w:cs="Arial"/>
                <w:i w:val="0"/>
                <w:iCs w:val="0"/>
                <w:noProof/>
              </w:rPr>
              <w:tab/>
            </w:r>
            <w:r>
              <w:rPr>
                <w:rFonts w:ascii="Arial" w:hAnsi="Arial" w:cs="Arial"/>
                <w:i w:val="0"/>
                <w:iCs w:val="0"/>
                <w:noProof/>
              </w:rPr>
              <w:fldChar w:fldCharType="begin"/>
            </w:r>
            <w:r>
              <w:rPr>
                <w:rFonts w:ascii="Arial" w:hAnsi="Arial" w:cs="Arial"/>
                <w:i w:val="0"/>
                <w:iCs w:val="0"/>
                <w:noProof/>
              </w:rPr>
              <w:instrText xml:space="preserve"> PAGEREF _Toc177666018 \h </w:instrText>
            </w:r>
            <w:r>
              <w:rPr>
                <w:rFonts w:ascii="Arial" w:hAnsi="Arial" w:cs="Arial"/>
                <w:i w:val="0"/>
                <w:iCs w:val="0"/>
                <w:noProof/>
              </w:rPr>
            </w:r>
            <w:r>
              <w:rPr>
                <w:rFonts w:ascii="Arial" w:hAnsi="Arial" w:cs="Arial"/>
                <w:i w:val="0"/>
                <w:iCs w:val="0"/>
                <w:noProof/>
              </w:rPr>
              <w:fldChar w:fldCharType="separate"/>
            </w:r>
            <w:r>
              <w:rPr>
                <w:rFonts w:ascii="Arial" w:hAnsi="Arial" w:cs="Arial"/>
                <w:i w:val="0"/>
                <w:iCs w:val="0"/>
                <w:noProof/>
              </w:rPr>
              <w:t>41</w:t>
            </w:r>
            <w:r>
              <w:rPr>
                <w:rFonts w:ascii="Arial" w:hAnsi="Arial" w:cs="Arial"/>
                <w:i w:val="0"/>
                <w:iCs w:val="0"/>
                <w:noProof/>
              </w:rPr>
              <w:fldChar w:fldCharType="end"/>
            </w:r>
          </w:hyperlink>
        </w:p>
        <w:p w14:paraId="6CF8A0E5" w14:textId="00EC956A"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19" w:history="1">
            <w:r>
              <w:rPr>
                <w:rStyle w:val="af9"/>
                <w:rFonts w:ascii="Arial" w:hAnsi="Arial" w:cs="Arial"/>
                <w:noProof/>
                <w:sz w:val="24"/>
                <w:szCs w:val="24"/>
              </w:rPr>
              <w:t>3.1</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Introduction to the Research Methodology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_Toc177666019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41</w:t>
            </w:r>
            <w:r>
              <w:rPr>
                <w:rFonts w:ascii="Arial" w:hAnsi="Arial" w:cs="Arial"/>
                <w:noProof/>
                <w:sz w:val="24"/>
                <w:szCs w:val="24"/>
              </w:rPr>
              <w:fldChar w:fldCharType="end"/>
            </w:r>
          </w:hyperlink>
        </w:p>
        <w:p w14:paraId="194169AE" w14:textId="2F41F2C8"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20" w:history="1">
            <w:r>
              <w:rPr>
                <w:rStyle w:val="af9"/>
                <w:rFonts w:ascii="Arial" w:hAnsi="Arial" w:cs="Arial"/>
                <w:noProof/>
                <w:sz w:val="24"/>
                <w:szCs w:val="24"/>
              </w:rPr>
              <w:t>3.2</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Research Design</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_Toc177666020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43</w:t>
            </w:r>
            <w:r>
              <w:rPr>
                <w:rFonts w:ascii="Arial" w:hAnsi="Arial" w:cs="Arial"/>
                <w:noProof/>
                <w:sz w:val="24"/>
                <w:szCs w:val="24"/>
              </w:rPr>
              <w:fldChar w:fldCharType="end"/>
            </w:r>
          </w:hyperlink>
        </w:p>
        <w:p w14:paraId="7D7FEEAE" w14:textId="127AC8FA"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21" w:history="1">
            <w:r>
              <w:rPr>
                <w:rStyle w:val="af9"/>
                <w:rFonts w:ascii="Arial" w:hAnsi="Arial" w:cs="Arial"/>
                <w:noProof/>
                <w:sz w:val="24"/>
                <w:szCs w:val="24"/>
              </w:rPr>
              <w:t>3.3</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Research Approach</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_Toc177666021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45</w:t>
            </w:r>
            <w:r>
              <w:rPr>
                <w:rFonts w:ascii="Arial" w:hAnsi="Arial" w:cs="Arial"/>
                <w:noProof/>
                <w:sz w:val="24"/>
                <w:szCs w:val="24"/>
              </w:rPr>
              <w:fldChar w:fldCharType="end"/>
            </w:r>
          </w:hyperlink>
        </w:p>
        <w:p w14:paraId="2FF48B70" w14:textId="58A6CC35"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22" w:history="1">
            <w:r>
              <w:rPr>
                <w:rStyle w:val="af9"/>
                <w:rFonts w:ascii="Arial" w:hAnsi="Arial" w:cs="Arial"/>
                <w:noProof/>
                <w:sz w:val="24"/>
                <w:szCs w:val="24"/>
              </w:rPr>
              <w:t>3.4</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Data Collection Methods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_Toc177666022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47</w:t>
            </w:r>
            <w:r>
              <w:rPr>
                <w:rFonts w:ascii="Arial" w:hAnsi="Arial" w:cs="Arial"/>
                <w:noProof/>
                <w:sz w:val="24"/>
                <w:szCs w:val="24"/>
              </w:rPr>
              <w:fldChar w:fldCharType="end"/>
            </w:r>
          </w:hyperlink>
        </w:p>
        <w:p w14:paraId="539615B0" w14:textId="741DDB91"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23" w:history="1">
            <w:r>
              <w:rPr>
                <w:rStyle w:val="af9"/>
                <w:rFonts w:ascii="Arial" w:hAnsi="Arial" w:cs="Arial"/>
                <w:noProof/>
                <w:sz w:val="24"/>
                <w:szCs w:val="24"/>
              </w:rPr>
              <w:t>3.5</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Sampling Strategy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_Toc177666023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50</w:t>
            </w:r>
            <w:r>
              <w:rPr>
                <w:rFonts w:ascii="Arial" w:hAnsi="Arial" w:cs="Arial"/>
                <w:noProof/>
                <w:sz w:val="24"/>
                <w:szCs w:val="24"/>
              </w:rPr>
              <w:fldChar w:fldCharType="end"/>
            </w:r>
          </w:hyperlink>
        </w:p>
        <w:p w14:paraId="3FCADE26" w14:textId="22CA66ED"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24" w:history="1">
            <w:r>
              <w:rPr>
                <w:rStyle w:val="af9"/>
                <w:rFonts w:ascii="Arial" w:hAnsi="Arial" w:cs="Arial"/>
                <w:noProof/>
                <w:sz w:val="24"/>
                <w:szCs w:val="24"/>
              </w:rPr>
              <w:t>3.6</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Data Analysis Techniques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_Toc177666024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54</w:t>
            </w:r>
            <w:r>
              <w:rPr>
                <w:rFonts w:ascii="Arial" w:hAnsi="Arial" w:cs="Arial"/>
                <w:noProof/>
                <w:sz w:val="24"/>
                <w:szCs w:val="24"/>
              </w:rPr>
              <w:fldChar w:fldCharType="end"/>
            </w:r>
          </w:hyperlink>
        </w:p>
        <w:p w14:paraId="64B93025" w14:textId="2DB1FD3E"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25" w:history="1">
            <w:r>
              <w:rPr>
                <w:rStyle w:val="af9"/>
                <w:rFonts w:ascii="Arial" w:hAnsi="Arial" w:cs="Arial"/>
                <w:noProof/>
                <w:sz w:val="24"/>
                <w:szCs w:val="24"/>
              </w:rPr>
              <w:t>3.7</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Ethical Considerations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_Toc177666025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58</w:t>
            </w:r>
            <w:r>
              <w:rPr>
                <w:rFonts w:ascii="Arial" w:hAnsi="Arial" w:cs="Arial"/>
                <w:noProof/>
                <w:sz w:val="24"/>
                <w:szCs w:val="24"/>
              </w:rPr>
              <w:fldChar w:fldCharType="end"/>
            </w:r>
          </w:hyperlink>
        </w:p>
        <w:p w14:paraId="2F78DB33" w14:textId="2E38D150" w:rsidR="0067740A" w:rsidRDefault="0067740A">
          <w:pPr>
            <w:pStyle w:val="TOC1"/>
            <w:tabs>
              <w:tab w:val="left" w:pos="480"/>
              <w:tab w:val="right" w:leader="dot" w:pos="9350"/>
            </w:tabs>
            <w:spacing w:line="360" w:lineRule="auto"/>
            <w:rPr>
              <w:rFonts w:ascii="Arial" w:eastAsiaTheme="minorEastAsia" w:hAnsi="Arial" w:cs="Arial"/>
              <w:i w:val="0"/>
              <w:iCs w:val="0"/>
              <w:noProof/>
              <w:kern w:val="2"/>
              <w14:ligatures w14:val="standardContextual"/>
            </w:rPr>
          </w:pPr>
          <w:hyperlink w:anchor="_Toc177666026" w:history="1">
            <w:r>
              <w:rPr>
                <w:rStyle w:val="af9"/>
                <w:rFonts w:ascii="Arial" w:hAnsi="Arial" w:cs="Arial"/>
                <w:i w:val="0"/>
                <w:iCs w:val="0"/>
                <w:noProof/>
              </w:rPr>
              <w:t>4</w:t>
            </w:r>
            <w:r>
              <w:rPr>
                <w:rFonts w:ascii="Arial" w:eastAsiaTheme="minorEastAsia" w:hAnsi="Arial" w:cs="Arial"/>
                <w:i w:val="0"/>
                <w:iCs w:val="0"/>
                <w:noProof/>
                <w:kern w:val="2"/>
                <w14:ligatures w14:val="standardContextual"/>
              </w:rPr>
              <w:tab/>
            </w:r>
            <w:r>
              <w:rPr>
                <w:rStyle w:val="af9"/>
                <w:rFonts w:ascii="Arial" w:hAnsi="Arial" w:cs="Arial"/>
                <w:i w:val="0"/>
                <w:iCs w:val="0"/>
                <w:noProof/>
              </w:rPr>
              <w:t>Findings and Analysis</w:t>
            </w:r>
            <w:r>
              <w:rPr>
                <w:rFonts w:ascii="Arial" w:hAnsi="Arial" w:cs="Arial"/>
                <w:i w:val="0"/>
                <w:iCs w:val="0"/>
                <w:noProof/>
              </w:rPr>
              <w:tab/>
            </w:r>
            <w:r>
              <w:rPr>
                <w:rFonts w:ascii="Arial" w:hAnsi="Arial" w:cs="Arial"/>
                <w:i w:val="0"/>
                <w:iCs w:val="0"/>
                <w:noProof/>
              </w:rPr>
              <w:fldChar w:fldCharType="begin"/>
            </w:r>
            <w:r>
              <w:rPr>
                <w:rFonts w:ascii="Arial" w:hAnsi="Arial" w:cs="Arial"/>
                <w:i w:val="0"/>
                <w:iCs w:val="0"/>
                <w:noProof/>
              </w:rPr>
              <w:instrText xml:space="preserve"> PAGEREF _Toc177666026 \h </w:instrText>
            </w:r>
            <w:r>
              <w:rPr>
                <w:rFonts w:ascii="Arial" w:hAnsi="Arial" w:cs="Arial"/>
                <w:i w:val="0"/>
                <w:iCs w:val="0"/>
                <w:noProof/>
              </w:rPr>
            </w:r>
            <w:r>
              <w:rPr>
                <w:rFonts w:ascii="Arial" w:hAnsi="Arial" w:cs="Arial"/>
                <w:i w:val="0"/>
                <w:iCs w:val="0"/>
                <w:noProof/>
              </w:rPr>
              <w:fldChar w:fldCharType="separate"/>
            </w:r>
            <w:r>
              <w:rPr>
                <w:rFonts w:ascii="Arial" w:hAnsi="Arial" w:cs="Arial"/>
                <w:i w:val="0"/>
                <w:iCs w:val="0"/>
                <w:noProof/>
              </w:rPr>
              <w:t>61</w:t>
            </w:r>
            <w:r>
              <w:rPr>
                <w:rFonts w:ascii="Arial" w:hAnsi="Arial" w:cs="Arial"/>
                <w:i w:val="0"/>
                <w:iCs w:val="0"/>
                <w:noProof/>
              </w:rPr>
              <w:fldChar w:fldCharType="end"/>
            </w:r>
          </w:hyperlink>
        </w:p>
        <w:p w14:paraId="4A7E129C" w14:textId="32AD5C1C"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27" w:history="1">
            <w:r>
              <w:rPr>
                <w:rStyle w:val="af9"/>
                <w:rFonts w:ascii="Arial" w:hAnsi="Arial" w:cs="Arial"/>
                <w:noProof/>
                <w:sz w:val="24"/>
                <w:szCs w:val="24"/>
              </w:rPr>
              <w:t>4.1</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Presentation of Quantitative Data</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_Toc177666027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61</w:t>
            </w:r>
            <w:r>
              <w:rPr>
                <w:rFonts w:ascii="Arial" w:hAnsi="Arial" w:cs="Arial"/>
                <w:noProof/>
                <w:sz w:val="24"/>
                <w:szCs w:val="24"/>
              </w:rPr>
              <w:fldChar w:fldCharType="end"/>
            </w:r>
          </w:hyperlink>
        </w:p>
        <w:p w14:paraId="619CD7C4" w14:textId="0B5947F0"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28" w:history="1">
            <w:r>
              <w:rPr>
                <w:rStyle w:val="af9"/>
                <w:rFonts w:ascii="Arial" w:hAnsi="Arial" w:cs="Arial"/>
                <w:b/>
                <w:bCs/>
                <w:noProof/>
                <w:sz w:val="24"/>
                <w:szCs w:val="24"/>
              </w:rPr>
              <w:t>4.1.1</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Consumer Awareness of Volkswagen’s Sustainability Initiatives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_Toc177666028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62</w:t>
            </w:r>
            <w:r>
              <w:rPr>
                <w:rFonts w:ascii="Arial" w:hAnsi="Arial" w:cs="Arial"/>
                <w:b/>
                <w:bCs/>
                <w:noProof/>
                <w:sz w:val="24"/>
                <w:szCs w:val="24"/>
              </w:rPr>
              <w:fldChar w:fldCharType="end"/>
            </w:r>
          </w:hyperlink>
        </w:p>
        <w:p w14:paraId="590E6606" w14:textId="03BE5657"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29" w:history="1">
            <w:r>
              <w:rPr>
                <w:rStyle w:val="af9"/>
                <w:rFonts w:ascii="Arial" w:hAnsi="Arial" w:cs="Arial"/>
                <w:b/>
                <w:bCs/>
                <w:noProof/>
                <w:sz w:val="24"/>
                <w:szCs w:val="24"/>
              </w:rPr>
              <w:t>4.1.2</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Importance of Environmental and Price Factors in Purchase Decisions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_Toc177666029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63</w:t>
            </w:r>
            <w:r>
              <w:rPr>
                <w:rFonts w:ascii="Arial" w:hAnsi="Arial" w:cs="Arial"/>
                <w:b/>
                <w:bCs/>
                <w:noProof/>
                <w:sz w:val="24"/>
                <w:szCs w:val="24"/>
              </w:rPr>
              <w:fldChar w:fldCharType="end"/>
            </w:r>
          </w:hyperlink>
        </w:p>
        <w:p w14:paraId="186CDCA2" w14:textId="3E59CB11"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30" w:history="1">
            <w:r>
              <w:rPr>
                <w:rStyle w:val="af9"/>
                <w:rFonts w:ascii="Arial" w:hAnsi="Arial" w:cs="Arial"/>
                <w:b/>
                <w:bCs/>
                <w:noProof/>
                <w:sz w:val="24"/>
                <w:szCs w:val="24"/>
              </w:rPr>
              <w:t>4.1.3</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Purchase Intention and Perception of Authenticity</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_Toc177666030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64</w:t>
            </w:r>
            <w:r>
              <w:rPr>
                <w:rFonts w:ascii="Arial" w:hAnsi="Arial" w:cs="Arial"/>
                <w:b/>
                <w:bCs/>
                <w:noProof/>
                <w:sz w:val="24"/>
                <w:szCs w:val="24"/>
              </w:rPr>
              <w:fldChar w:fldCharType="end"/>
            </w:r>
          </w:hyperlink>
        </w:p>
        <w:p w14:paraId="2358EE46" w14:textId="42AD57E7"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31" w:history="1">
            <w:r>
              <w:rPr>
                <w:rStyle w:val="af9"/>
                <w:rFonts w:ascii="Arial" w:hAnsi="Arial" w:cs="Arial"/>
                <w:noProof/>
                <w:sz w:val="24"/>
                <w:szCs w:val="24"/>
              </w:rPr>
              <w:t>4.2</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Presentation of Qualitative Data</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_Toc177666031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66</w:t>
            </w:r>
            <w:r>
              <w:rPr>
                <w:rFonts w:ascii="Arial" w:hAnsi="Arial" w:cs="Arial"/>
                <w:noProof/>
                <w:sz w:val="24"/>
                <w:szCs w:val="24"/>
              </w:rPr>
              <w:fldChar w:fldCharType="end"/>
            </w:r>
          </w:hyperlink>
        </w:p>
        <w:p w14:paraId="25B9A87B" w14:textId="0C93E495"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32" w:history="1">
            <w:r>
              <w:rPr>
                <w:rStyle w:val="af9"/>
                <w:rFonts w:ascii="Arial" w:hAnsi="Arial" w:cs="Arial"/>
                <w:b/>
                <w:bCs/>
                <w:noProof/>
                <w:sz w:val="24"/>
                <w:szCs w:val="24"/>
              </w:rPr>
              <w:t>4.2.1</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Trust in Volkswagen's Sustainability Initiatives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_Toc177666032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67</w:t>
            </w:r>
            <w:r>
              <w:rPr>
                <w:rFonts w:ascii="Arial" w:hAnsi="Arial" w:cs="Arial"/>
                <w:b/>
                <w:bCs/>
                <w:noProof/>
                <w:sz w:val="24"/>
                <w:szCs w:val="24"/>
              </w:rPr>
              <w:fldChar w:fldCharType="end"/>
            </w:r>
          </w:hyperlink>
        </w:p>
        <w:p w14:paraId="5E81413C" w14:textId="114075F2"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33" w:history="1">
            <w:r>
              <w:rPr>
                <w:rStyle w:val="af9"/>
                <w:rFonts w:ascii="Arial" w:hAnsi="Arial" w:cs="Arial"/>
                <w:b/>
                <w:bCs/>
                <w:noProof/>
                <w:sz w:val="24"/>
                <w:szCs w:val="24"/>
              </w:rPr>
              <w:t>4.2.2</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Price Sensitivity and Accessibility Concerns</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_Toc177666033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68</w:t>
            </w:r>
            <w:r>
              <w:rPr>
                <w:rFonts w:ascii="Arial" w:hAnsi="Arial" w:cs="Arial"/>
                <w:b/>
                <w:bCs/>
                <w:noProof/>
                <w:sz w:val="24"/>
                <w:szCs w:val="24"/>
              </w:rPr>
              <w:fldChar w:fldCharType="end"/>
            </w:r>
          </w:hyperlink>
        </w:p>
        <w:p w14:paraId="1FB090BC" w14:textId="7E9097D6" w:rsidR="0067740A" w:rsidRDefault="0067740A">
          <w:pPr>
            <w:pStyle w:val="TOC3"/>
            <w:tabs>
              <w:tab w:val="left" w:pos="1200"/>
              <w:tab w:val="right" w:leader="dot" w:pos="9350"/>
            </w:tabs>
            <w:spacing w:line="360" w:lineRule="auto"/>
            <w:rPr>
              <w:rFonts w:ascii="Arial" w:eastAsiaTheme="minorEastAsia" w:hAnsi="Arial" w:cs="Arial"/>
              <w:b/>
              <w:bCs/>
              <w:noProof/>
              <w:kern w:val="2"/>
              <w:sz w:val="24"/>
              <w:szCs w:val="24"/>
              <w14:ligatures w14:val="standardContextual"/>
            </w:rPr>
          </w:pPr>
          <w:hyperlink w:anchor="_Toc177666034" w:history="1">
            <w:r>
              <w:rPr>
                <w:rStyle w:val="af9"/>
                <w:rFonts w:ascii="Arial" w:hAnsi="Arial" w:cs="Arial"/>
                <w:b/>
                <w:bCs/>
                <w:noProof/>
                <w:sz w:val="24"/>
                <w:szCs w:val="24"/>
              </w:rPr>
              <w:t>4.2.3</w:t>
            </w:r>
            <w:r>
              <w:rPr>
                <w:rFonts w:ascii="Arial" w:eastAsiaTheme="minorEastAsia" w:hAnsi="Arial" w:cs="Arial"/>
                <w:b/>
                <w:bCs/>
                <w:noProof/>
                <w:kern w:val="2"/>
                <w:sz w:val="24"/>
                <w:szCs w:val="24"/>
                <w14:ligatures w14:val="standardContextual"/>
              </w:rPr>
              <w:tab/>
            </w:r>
            <w:r>
              <w:rPr>
                <w:rStyle w:val="af9"/>
                <w:rFonts w:ascii="Arial" w:hAnsi="Arial" w:cs="Arial"/>
                <w:b/>
                <w:bCs/>
                <w:noProof/>
                <w:sz w:val="24"/>
                <w:szCs w:val="24"/>
              </w:rPr>
              <w:t>Perception of Volkswagen's Innovation and Future-Proofing</w:t>
            </w:r>
            <w:r>
              <w:rPr>
                <w:rFonts w:ascii="Arial" w:hAnsi="Arial" w:cs="Arial"/>
                <w:b/>
                <w:bCs/>
                <w:noProof/>
                <w:sz w:val="24"/>
                <w:szCs w:val="24"/>
              </w:rPr>
              <w:tab/>
            </w:r>
            <w:r>
              <w:rPr>
                <w:rFonts w:ascii="Arial" w:hAnsi="Arial" w:cs="Arial"/>
                <w:b/>
                <w:bCs/>
                <w:noProof/>
                <w:sz w:val="24"/>
                <w:szCs w:val="24"/>
              </w:rPr>
              <w:fldChar w:fldCharType="begin"/>
            </w:r>
            <w:r>
              <w:rPr>
                <w:rFonts w:ascii="Arial" w:hAnsi="Arial" w:cs="Arial"/>
                <w:b/>
                <w:bCs/>
                <w:noProof/>
                <w:sz w:val="24"/>
                <w:szCs w:val="24"/>
              </w:rPr>
              <w:instrText xml:space="preserve"> PAGEREF _Toc177666034 \h </w:instrText>
            </w:r>
            <w:r>
              <w:rPr>
                <w:rFonts w:ascii="Arial" w:hAnsi="Arial" w:cs="Arial"/>
                <w:b/>
                <w:bCs/>
                <w:noProof/>
                <w:sz w:val="24"/>
                <w:szCs w:val="24"/>
              </w:rPr>
            </w:r>
            <w:r>
              <w:rPr>
                <w:rFonts w:ascii="Arial" w:hAnsi="Arial" w:cs="Arial"/>
                <w:b/>
                <w:bCs/>
                <w:noProof/>
                <w:sz w:val="24"/>
                <w:szCs w:val="24"/>
              </w:rPr>
              <w:fldChar w:fldCharType="separate"/>
            </w:r>
            <w:r>
              <w:rPr>
                <w:rFonts w:ascii="Arial" w:hAnsi="Arial" w:cs="Arial"/>
                <w:b/>
                <w:bCs/>
                <w:noProof/>
                <w:sz w:val="24"/>
                <w:szCs w:val="24"/>
              </w:rPr>
              <w:t>69</w:t>
            </w:r>
            <w:r>
              <w:rPr>
                <w:rFonts w:ascii="Arial" w:hAnsi="Arial" w:cs="Arial"/>
                <w:b/>
                <w:bCs/>
                <w:noProof/>
                <w:sz w:val="24"/>
                <w:szCs w:val="24"/>
              </w:rPr>
              <w:fldChar w:fldCharType="end"/>
            </w:r>
          </w:hyperlink>
        </w:p>
        <w:p w14:paraId="53AD5263" w14:textId="6220548E"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35" w:history="1">
            <w:r>
              <w:rPr>
                <w:rStyle w:val="af9"/>
                <w:rFonts w:ascii="Arial" w:hAnsi="Arial" w:cs="Arial"/>
                <w:noProof/>
                <w:sz w:val="24"/>
                <w:szCs w:val="24"/>
              </w:rPr>
              <w:t>4.3</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Analysis of Consumer Perceptions and Competitive Advantage</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_Toc177666035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71</w:t>
            </w:r>
            <w:r>
              <w:rPr>
                <w:rFonts w:ascii="Arial" w:hAnsi="Arial" w:cs="Arial"/>
                <w:noProof/>
                <w:sz w:val="24"/>
                <w:szCs w:val="24"/>
              </w:rPr>
              <w:fldChar w:fldCharType="end"/>
            </w:r>
          </w:hyperlink>
        </w:p>
        <w:p w14:paraId="3B3E94DB" w14:textId="21BA3A62"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36" w:history="1">
            <w:r>
              <w:rPr>
                <w:rStyle w:val="af9"/>
                <w:rFonts w:ascii="Arial" w:hAnsi="Arial" w:cs="Arial"/>
                <w:noProof/>
                <w:sz w:val="24"/>
                <w:szCs w:val="24"/>
              </w:rPr>
              <w:t>4.4</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Discussion of Findings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_Toc177666036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73</w:t>
            </w:r>
            <w:r>
              <w:rPr>
                <w:rFonts w:ascii="Arial" w:hAnsi="Arial" w:cs="Arial"/>
                <w:noProof/>
                <w:sz w:val="24"/>
                <w:szCs w:val="24"/>
              </w:rPr>
              <w:fldChar w:fldCharType="end"/>
            </w:r>
          </w:hyperlink>
        </w:p>
        <w:p w14:paraId="6AE156D2" w14:textId="006FC1FB" w:rsidR="0067740A" w:rsidRDefault="0067740A">
          <w:pPr>
            <w:pStyle w:val="TOC1"/>
            <w:tabs>
              <w:tab w:val="left" w:pos="480"/>
              <w:tab w:val="right" w:leader="dot" w:pos="9350"/>
            </w:tabs>
            <w:spacing w:line="360" w:lineRule="auto"/>
            <w:rPr>
              <w:rFonts w:ascii="Arial" w:eastAsiaTheme="minorEastAsia" w:hAnsi="Arial" w:cs="Arial"/>
              <w:i w:val="0"/>
              <w:iCs w:val="0"/>
              <w:noProof/>
              <w:kern w:val="2"/>
              <w14:ligatures w14:val="standardContextual"/>
            </w:rPr>
          </w:pPr>
          <w:hyperlink w:anchor="_Toc177666037" w:history="1">
            <w:r>
              <w:rPr>
                <w:rStyle w:val="af9"/>
                <w:rFonts w:ascii="Arial" w:hAnsi="Arial" w:cs="Arial"/>
                <w:i w:val="0"/>
                <w:iCs w:val="0"/>
                <w:noProof/>
              </w:rPr>
              <w:t>5</w:t>
            </w:r>
            <w:r>
              <w:rPr>
                <w:rFonts w:ascii="Arial" w:eastAsiaTheme="minorEastAsia" w:hAnsi="Arial" w:cs="Arial"/>
                <w:i w:val="0"/>
                <w:iCs w:val="0"/>
                <w:noProof/>
                <w:kern w:val="2"/>
                <w14:ligatures w14:val="standardContextual"/>
              </w:rPr>
              <w:tab/>
            </w:r>
            <w:r>
              <w:rPr>
                <w:rStyle w:val="af9"/>
                <w:rFonts w:ascii="Arial" w:hAnsi="Arial" w:cs="Arial"/>
                <w:i w:val="0"/>
                <w:iCs w:val="0"/>
                <w:noProof/>
              </w:rPr>
              <w:t>Conclusion and Recommendations</w:t>
            </w:r>
            <w:r>
              <w:rPr>
                <w:rFonts w:ascii="Arial" w:hAnsi="Arial" w:cs="Arial"/>
                <w:i w:val="0"/>
                <w:iCs w:val="0"/>
                <w:noProof/>
              </w:rPr>
              <w:tab/>
            </w:r>
            <w:r>
              <w:rPr>
                <w:rFonts w:ascii="Arial" w:hAnsi="Arial" w:cs="Arial"/>
                <w:i w:val="0"/>
                <w:iCs w:val="0"/>
                <w:noProof/>
              </w:rPr>
              <w:fldChar w:fldCharType="begin"/>
            </w:r>
            <w:r>
              <w:rPr>
                <w:rFonts w:ascii="Arial" w:hAnsi="Arial" w:cs="Arial"/>
                <w:i w:val="0"/>
                <w:iCs w:val="0"/>
                <w:noProof/>
              </w:rPr>
              <w:instrText xml:space="preserve"> PAGEREF _Toc177666037 \h </w:instrText>
            </w:r>
            <w:r>
              <w:rPr>
                <w:rFonts w:ascii="Arial" w:hAnsi="Arial" w:cs="Arial"/>
                <w:i w:val="0"/>
                <w:iCs w:val="0"/>
                <w:noProof/>
              </w:rPr>
            </w:r>
            <w:r>
              <w:rPr>
                <w:rFonts w:ascii="Arial" w:hAnsi="Arial" w:cs="Arial"/>
                <w:i w:val="0"/>
                <w:iCs w:val="0"/>
                <w:noProof/>
              </w:rPr>
              <w:fldChar w:fldCharType="separate"/>
            </w:r>
            <w:r>
              <w:rPr>
                <w:rFonts w:ascii="Arial" w:hAnsi="Arial" w:cs="Arial"/>
                <w:i w:val="0"/>
                <w:iCs w:val="0"/>
                <w:noProof/>
              </w:rPr>
              <w:t>75</w:t>
            </w:r>
            <w:r>
              <w:rPr>
                <w:rFonts w:ascii="Arial" w:hAnsi="Arial" w:cs="Arial"/>
                <w:i w:val="0"/>
                <w:iCs w:val="0"/>
                <w:noProof/>
              </w:rPr>
              <w:fldChar w:fldCharType="end"/>
            </w:r>
          </w:hyperlink>
        </w:p>
        <w:p w14:paraId="61CC9825" w14:textId="5C92E992"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38" w:history="1">
            <w:r>
              <w:rPr>
                <w:rStyle w:val="af9"/>
                <w:rFonts w:ascii="Arial" w:hAnsi="Arial" w:cs="Arial"/>
                <w:noProof/>
                <w:sz w:val="24"/>
                <w:szCs w:val="24"/>
              </w:rPr>
              <w:t>5.1</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Conclusion</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_Toc177666038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75</w:t>
            </w:r>
            <w:r>
              <w:rPr>
                <w:rFonts w:ascii="Arial" w:hAnsi="Arial" w:cs="Arial"/>
                <w:noProof/>
                <w:sz w:val="24"/>
                <w:szCs w:val="24"/>
              </w:rPr>
              <w:fldChar w:fldCharType="end"/>
            </w:r>
          </w:hyperlink>
        </w:p>
        <w:p w14:paraId="00F5A5D4" w14:textId="31842FF4"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39" w:history="1">
            <w:r>
              <w:rPr>
                <w:rStyle w:val="af9"/>
                <w:rFonts w:ascii="Arial" w:hAnsi="Arial" w:cs="Arial"/>
                <w:noProof/>
                <w:sz w:val="24"/>
                <w:szCs w:val="24"/>
              </w:rPr>
              <w:t>5.2</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Strategic Recommendations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_Toc177666039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76</w:t>
            </w:r>
            <w:r>
              <w:rPr>
                <w:rFonts w:ascii="Arial" w:hAnsi="Arial" w:cs="Arial"/>
                <w:noProof/>
                <w:sz w:val="24"/>
                <w:szCs w:val="24"/>
              </w:rPr>
              <w:fldChar w:fldCharType="end"/>
            </w:r>
          </w:hyperlink>
        </w:p>
        <w:p w14:paraId="6AE75615" w14:textId="0D065805"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40" w:history="1">
            <w:r>
              <w:rPr>
                <w:rStyle w:val="af9"/>
                <w:rFonts w:ascii="Arial" w:hAnsi="Arial" w:cs="Arial"/>
                <w:noProof/>
                <w:sz w:val="24"/>
                <w:szCs w:val="24"/>
              </w:rPr>
              <w:t>5.3</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Limitations of the Study</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_Toc177666040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77</w:t>
            </w:r>
            <w:r>
              <w:rPr>
                <w:rFonts w:ascii="Arial" w:hAnsi="Arial" w:cs="Arial"/>
                <w:noProof/>
                <w:sz w:val="24"/>
                <w:szCs w:val="24"/>
              </w:rPr>
              <w:fldChar w:fldCharType="end"/>
            </w:r>
          </w:hyperlink>
        </w:p>
        <w:p w14:paraId="47DE59F1" w14:textId="3F71CE1D" w:rsidR="0067740A" w:rsidRDefault="0067740A">
          <w:pPr>
            <w:pStyle w:val="TOC2"/>
            <w:tabs>
              <w:tab w:val="left" w:pos="960"/>
              <w:tab w:val="right" w:leader="dot" w:pos="9350"/>
            </w:tabs>
            <w:spacing w:line="360" w:lineRule="auto"/>
            <w:rPr>
              <w:rFonts w:ascii="Arial" w:eastAsiaTheme="minorEastAsia" w:hAnsi="Arial" w:cs="Arial"/>
              <w:noProof/>
              <w:kern w:val="2"/>
              <w:sz w:val="24"/>
              <w:szCs w:val="24"/>
              <w14:ligatures w14:val="standardContextual"/>
            </w:rPr>
          </w:pPr>
          <w:hyperlink w:anchor="_Toc177666041" w:history="1">
            <w:r>
              <w:rPr>
                <w:rStyle w:val="af9"/>
                <w:rFonts w:ascii="Arial" w:hAnsi="Arial" w:cs="Arial"/>
                <w:noProof/>
                <w:sz w:val="24"/>
                <w:szCs w:val="24"/>
              </w:rPr>
              <w:t>5.4</w:t>
            </w:r>
            <w:r>
              <w:rPr>
                <w:rFonts w:ascii="Arial" w:eastAsiaTheme="minorEastAsia" w:hAnsi="Arial" w:cs="Arial"/>
                <w:noProof/>
                <w:kern w:val="2"/>
                <w:sz w:val="24"/>
                <w:szCs w:val="24"/>
                <w14:ligatures w14:val="standardContextual"/>
              </w:rPr>
              <w:tab/>
            </w:r>
            <w:r>
              <w:rPr>
                <w:rStyle w:val="af9"/>
                <w:rFonts w:ascii="Arial" w:hAnsi="Arial" w:cs="Arial"/>
                <w:noProof/>
                <w:sz w:val="24"/>
                <w:szCs w:val="24"/>
              </w:rPr>
              <w:t>Suggestions for Future Research</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_Toc177666041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78</w:t>
            </w:r>
            <w:r>
              <w:rPr>
                <w:rFonts w:ascii="Arial" w:hAnsi="Arial" w:cs="Arial"/>
                <w:noProof/>
                <w:sz w:val="24"/>
                <w:szCs w:val="24"/>
              </w:rPr>
              <w:fldChar w:fldCharType="end"/>
            </w:r>
          </w:hyperlink>
        </w:p>
        <w:p w14:paraId="382D5096" w14:textId="1CCF3DB8" w:rsidR="0067740A" w:rsidRDefault="0067740A">
          <w:pPr>
            <w:pStyle w:val="TOC1"/>
            <w:tabs>
              <w:tab w:val="right" w:leader="dot" w:pos="9350"/>
            </w:tabs>
            <w:spacing w:line="360" w:lineRule="auto"/>
            <w:rPr>
              <w:rFonts w:ascii="Arial" w:eastAsiaTheme="minorEastAsia" w:hAnsi="Arial" w:cs="Arial"/>
              <w:i w:val="0"/>
              <w:iCs w:val="0"/>
              <w:noProof/>
              <w:kern w:val="2"/>
              <w14:ligatures w14:val="standardContextual"/>
            </w:rPr>
          </w:pPr>
          <w:hyperlink w:anchor="_Toc177666042" w:history="1">
            <w:r>
              <w:rPr>
                <w:rStyle w:val="af9"/>
                <w:rFonts w:ascii="Arial" w:hAnsi="Arial" w:cs="Arial"/>
                <w:i w:val="0"/>
                <w:iCs w:val="0"/>
                <w:noProof/>
              </w:rPr>
              <w:t>References</w:t>
            </w:r>
            <w:r>
              <w:rPr>
                <w:rFonts w:ascii="Arial" w:hAnsi="Arial" w:cs="Arial"/>
                <w:i w:val="0"/>
                <w:iCs w:val="0"/>
                <w:noProof/>
              </w:rPr>
              <w:tab/>
            </w:r>
            <w:r>
              <w:rPr>
                <w:rFonts w:ascii="Arial" w:hAnsi="Arial" w:cs="Arial"/>
                <w:i w:val="0"/>
                <w:iCs w:val="0"/>
                <w:noProof/>
              </w:rPr>
              <w:fldChar w:fldCharType="begin"/>
            </w:r>
            <w:r>
              <w:rPr>
                <w:rFonts w:ascii="Arial" w:hAnsi="Arial" w:cs="Arial"/>
                <w:i w:val="0"/>
                <w:iCs w:val="0"/>
                <w:noProof/>
              </w:rPr>
              <w:instrText xml:space="preserve"> PAGEREF _Toc177666042 \h </w:instrText>
            </w:r>
            <w:r>
              <w:rPr>
                <w:rFonts w:ascii="Arial" w:hAnsi="Arial" w:cs="Arial"/>
                <w:i w:val="0"/>
                <w:iCs w:val="0"/>
                <w:noProof/>
              </w:rPr>
            </w:r>
            <w:r>
              <w:rPr>
                <w:rFonts w:ascii="Arial" w:hAnsi="Arial" w:cs="Arial"/>
                <w:i w:val="0"/>
                <w:iCs w:val="0"/>
                <w:noProof/>
              </w:rPr>
              <w:fldChar w:fldCharType="separate"/>
            </w:r>
            <w:r>
              <w:rPr>
                <w:rFonts w:ascii="Arial" w:hAnsi="Arial" w:cs="Arial"/>
                <w:i w:val="0"/>
                <w:iCs w:val="0"/>
                <w:noProof/>
              </w:rPr>
              <w:t>80</w:t>
            </w:r>
            <w:r>
              <w:rPr>
                <w:rFonts w:ascii="Arial" w:hAnsi="Arial" w:cs="Arial"/>
                <w:i w:val="0"/>
                <w:iCs w:val="0"/>
                <w:noProof/>
              </w:rPr>
              <w:fldChar w:fldCharType="end"/>
            </w:r>
          </w:hyperlink>
        </w:p>
        <w:p w14:paraId="3D7962C2" w14:textId="4DF4E9AD" w:rsidR="0067740A" w:rsidRDefault="0067740A">
          <w:pPr>
            <w:pStyle w:val="TOC1"/>
            <w:tabs>
              <w:tab w:val="right" w:leader="dot" w:pos="9350"/>
            </w:tabs>
            <w:spacing w:line="360" w:lineRule="auto"/>
            <w:rPr>
              <w:rFonts w:ascii="Arial" w:eastAsiaTheme="minorEastAsia" w:hAnsi="Arial" w:cs="Arial"/>
              <w:i w:val="0"/>
              <w:iCs w:val="0"/>
              <w:noProof/>
              <w:kern w:val="2"/>
              <w14:ligatures w14:val="standardContextual"/>
            </w:rPr>
          </w:pPr>
          <w:hyperlink w:anchor="_Toc177666043" w:history="1">
            <w:r>
              <w:rPr>
                <w:rStyle w:val="af9"/>
                <w:rFonts w:ascii="Arial" w:hAnsi="Arial" w:cs="Arial"/>
                <w:i w:val="0"/>
                <w:iCs w:val="0"/>
                <w:noProof/>
              </w:rPr>
              <w:t>Appendix</w:t>
            </w:r>
            <w:r>
              <w:rPr>
                <w:rFonts w:ascii="Arial" w:hAnsi="Arial" w:cs="Arial"/>
                <w:i w:val="0"/>
                <w:iCs w:val="0"/>
                <w:noProof/>
              </w:rPr>
              <w:tab/>
            </w:r>
            <w:r>
              <w:rPr>
                <w:rFonts w:ascii="Arial" w:hAnsi="Arial" w:cs="Arial"/>
                <w:i w:val="0"/>
                <w:iCs w:val="0"/>
                <w:noProof/>
              </w:rPr>
              <w:fldChar w:fldCharType="begin"/>
            </w:r>
            <w:r>
              <w:rPr>
                <w:rFonts w:ascii="Arial" w:hAnsi="Arial" w:cs="Arial"/>
                <w:i w:val="0"/>
                <w:iCs w:val="0"/>
                <w:noProof/>
              </w:rPr>
              <w:instrText xml:space="preserve"> PAGEREF _Toc177666043 \h </w:instrText>
            </w:r>
            <w:r>
              <w:rPr>
                <w:rFonts w:ascii="Arial" w:hAnsi="Arial" w:cs="Arial"/>
                <w:i w:val="0"/>
                <w:iCs w:val="0"/>
                <w:noProof/>
              </w:rPr>
            </w:r>
            <w:r>
              <w:rPr>
                <w:rFonts w:ascii="Arial" w:hAnsi="Arial" w:cs="Arial"/>
                <w:i w:val="0"/>
                <w:iCs w:val="0"/>
                <w:noProof/>
              </w:rPr>
              <w:fldChar w:fldCharType="separate"/>
            </w:r>
            <w:r>
              <w:rPr>
                <w:rFonts w:ascii="Arial" w:hAnsi="Arial" w:cs="Arial"/>
                <w:i w:val="0"/>
                <w:iCs w:val="0"/>
                <w:noProof/>
              </w:rPr>
              <w:t>86</w:t>
            </w:r>
            <w:r>
              <w:rPr>
                <w:rFonts w:ascii="Arial" w:hAnsi="Arial" w:cs="Arial"/>
                <w:i w:val="0"/>
                <w:iCs w:val="0"/>
                <w:noProof/>
              </w:rPr>
              <w:fldChar w:fldCharType="end"/>
            </w:r>
          </w:hyperlink>
        </w:p>
        <w:p w14:paraId="74CE8544" w14:textId="06AF6E60" w:rsidR="0067740A" w:rsidRDefault="0067740A">
          <w:pPr>
            <w:pStyle w:val="TOC2"/>
            <w:tabs>
              <w:tab w:val="right" w:leader="dot" w:pos="9350"/>
            </w:tabs>
            <w:spacing w:line="360" w:lineRule="auto"/>
            <w:rPr>
              <w:rFonts w:ascii="Arial" w:eastAsiaTheme="minorEastAsia" w:hAnsi="Arial" w:cs="Arial"/>
              <w:noProof/>
              <w:kern w:val="2"/>
              <w:sz w:val="24"/>
              <w:szCs w:val="24"/>
              <w14:ligatures w14:val="standardContextual"/>
            </w:rPr>
          </w:pPr>
          <w:hyperlink w:anchor="_Toc177666044" w:history="1">
            <w:r>
              <w:rPr>
                <w:rStyle w:val="af9"/>
                <w:rFonts w:ascii="Arial" w:hAnsi="Arial" w:cs="Arial"/>
                <w:noProof/>
                <w:sz w:val="24"/>
                <w:szCs w:val="24"/>
              </w:rPr>
              <w:t>Appendix A Survey Questionnaire on Consumer Perceptions of Volkswagen’s Sustainability Initiatives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_Toc177666044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86</w:t>
            </w:r>
            <w:r>
              <w:rPr>
                <w:rFonts w:ascii="Arial" w:hAnsi="Arial" w:cs="Arial"/>
                <w:noProof/>
                <w:sz w:val="24"/>
                <w:szCs w:val="24"/>
              </w:rPr>
              <w:fldChar w:fldCharType="end"/>
            </w:r>
          </w:hyperlink>
        </w:p>
        <w:p w14:paraId="31DB64E9" w14:textId="6F66619D" w:rsidR="0067740A" w:rsidRDefault="0067740A">
          <w:pPr>
            <w:pStyle w:val="TOC2"/>
            <w:tabs>
              <w:tab w:val="right" w:leader="dot" w:pos="9350"/>
            </w:tabs>
            <w:spacing w:line="360" w:lineRule="auto"/>
            <w:rPr>
              <w:rFonts w:ascii="Arial" w:eastAsiaTheme="minorEastAsia" w:hAnsi="Arial" w:cs="Arial"/>
              <w:noProof/>
              <w:kern w:val="2"/>
              <w:sz w:val="24"/>
              <w:szCs w:val="24"/>
              <w14:ligatures w14:val="standardContextual"/>
            </w:rPr>
          </w:pPr>
          <w:hyperlink w:anchor="_Toc177666045" w:history="1">
            <w:r>
              <w:rPr>
                <w:rStyle w:val="af9"/>
                <w:rFonts w:ascii="Arial" w:hAnsi="Arial" w:cs="Arial"/>
                <w:noProof/>
                <w:sz w:val="24"/>
                <w:szCs w:val="24"/>
              </w:rPr>
              <w:t>Appendix B: Frequency Analysis of Consumer Responses on Volkswagen’s Sustainability Initiatives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_Toc177666045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95</w:t>
            </w:r>
            <w:r>
              <w:rPr>
                <w:rFonts w:ascii="Arial" w:hAnsi="Arial" w:cs="Arial"/>
                <w:noProof/>
                <w:sz w:val="24"/>
                <w:szCs w:val="24"/>
              </w:rPr>
              <w:fldChar w:fldCharType="end"/>
            </w:r>
          </w:hyperlink>
        </w:p>
        <w:p w14:paraId="48BB0501" w14:textId="7378FBC0" w:rsidR="0067740A" w:rsidRDefault="0067740A">
          <w:pPr>
            <w:pStyle w:val="TOC2"/>
            <w:tabs>
              <w:tab w:val="right" w:leader="dot" w:pos="9350"/>
            </w:tabs>
            <w:spacing w:line="360" w:lineRule="auto"/>
            <w:rPr>
              <w:rFonts w:ascii="Arial" w:eastAsiaTheme="minorEastAsia" w:hAnsi="Arial" w:cs="Arial"/>
              <w:noProof/>
              <w:kern w:val="2"/>
              <w:sz w:val="24"/>
              <w:szCs w:val="24"/>
              <w14:ligatures w14:val="standardContextual"/>
            </w:rPr>
          </w:pPr>
          <w:hyperlink w:anchor="_Toc177666046" w:history="1">
            <w:r>
              <w:rPr>
                <w:rStyle w:val="af9"/>
                <w:rFonts w:ascii="Arial" w:hAnsi="Arial" w:cs="Arial"/>
                <w:noProof/>
                <w:sz w:val="24"/>
                <w:szCs w:val="24"/>
              </w:rPr>
              <w:t>Appendix C: Interview Questions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_Toc177666046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112</w:t>
            </w:r>
            <w:r>
              <w:rPr>
                <w:rFonts w:ascii="Arial" w:hAnsi="Arial" w:cs="Arial"/>
                <w:noProof/>
                <w:sz w:val="24"/>
                <w:szCs w:val="24"/>
              </w:rPr>
              <w:fldChar w:fldCharType="end"/>
            </w:r>
          </w:hyperlink>
        </w:p>
        <w:p w14:paraId="49BBC058" w14:textId="16B92855" w:rsidR="0067740A" w:rsidRDefault="0067740A">
          <w:pPr>
            <w:pStyle w:val="TOC2"/>
            <w:tabs>
              <w:tab w:val="right" w:leader="dot" w:pos="9350"/>
            </w:tabs>
            <w:spacing w:line="360" w:lineRule="auto"/>
            <w:rPr>
              <w:rFonts w:ascii="Arial" w:eastAsiaTheme="minorEastAsia" w:hAnsi="Arial" w:cs="Arial"/>
              <w:noProof/>
              <w:kern w:val="2"/>
              <w:sz w:val="24"/>
              <w:szCs w:val="24"/>
              <w14:ligatures w14:val="standardContextual"/>
            </w:rPr>
          </w:pPr>
          <w:hyperlink w:anchor="_Toc177666047" w:history="1">
            <w:r>
              <w:rPr>
                <w:rStyle w:val="af9"/>
                <w:rFonts w:ascii="Arial" w:hAnsi="Arial" w:cs="Arial"/>
                <w:noProof/>
                <w:sz w:val="24"/>
                <w:szCs w:val="24"/>
              </w:rPr>
              <w:t>Appendix D: Qualitative Data Collection and Analysis: Interview Process</w:t>
            </w:r>
            <w:r>
              <w:rPr>
                <w:rFonts w:ascii="Arial" w:hAnsi="Arial" w:cs="Arial"/>
                <w:noProof/>
                <w:sz w:val="24"/>
                <w:szCs w:val="24"/>
              </w:rPr>
              <w:tab/>
            </w:r>
            <w:r>
              <w:rPr>
                <w:rFonts w:ascii="Arial" w:hAnsi="Arial" w:cs="Arial"/>
                <w:noProof/>
                <w:sz w:val="24"/>
                <w:szCs w:val="24"/>
              </w:rPr>
              <w:fldChar w:fldCharType="begin"/>
            </w:r>
            <w:r>
              <w:rPr>
                <w:rFonts w:ascii="Arial" w:hAnsi="Arial" w:cs="Arial"/>
                <w:noProof/>
                <w:sz w:val="24"/>
                <w:szCs w:val="24"/>
              </w:rPr>
              <w:instrText xml:space="preserve"> PAGEREF _Toc177666047 \h </w:instrText>
            </w:r>
            <w:r>
              <w:rPr>
                <w:rFonts w:ascii="Arial" w:hAnsi="Arial" w:cs="Arial"/>
                <w:noProof/>
                <w:sz w:val="24"/>
                <w:szCs w:val="24"/>
              </w:rPr>
            </w:r>
            <w:r>
              <w:rPr>
                <w:rFonts w:ascii="Arial" w:hAnsi="Arial" w:cs="Arial"/>
                <w:noProof/>
                <w:sz w:val="24"/>
                <w:szCs w:val="24"/>
              </w:rPr>
              <w:fldChar w:fldCharType="separate"/>
            </w:r>
            <w:r>
              <w:rPr>
                <w:rFonts w:ascii="Arial" w:hAnsi="Arial" w:cs="Arial"/>
                <w:noProof/>
                <w:sz w:val="24"/>
                <w:szCs w:val="24"/>
              </w:rPr>
              <w:t>114</w:t>
            </w:r>
            <w:r>
              <w:rPr>
                <w:rFonts w:ascii="Arial" w:hAnsi="Arial" w:cs="Arial"/>
                <w:noProof/>
                <w:sz w:val="24"/>
                <w:szCs w:val="24"/>
              </w:rPr>
              <w:fldChar w:fldCharType="end"/>
            </w:r>
          </w:hyperlink>
        </w:p>
        <w:p w14:paraId="42CEC6A9" w14:textId="77777777" w:rsidR="0067740A" w:rsidRDefault="00000000">
          <w:pPr>
            <w:spacing w:line="360" w:lineRule="auto"/>
            <w:rPr>
              <w:rFonts w:ascii="Arial" w:hAnsi="Arial" w:cs="Arial"/>
              <w:b/>
              <w:bCs/>
            </w:rPr>
          </w:pPr>
          <w:r>
            <w:rPr>
              <w:rFonts w:ascii="Arial" w:hAnsi="Arial" w:cs="Arial"/>
              <w:b/>
              <w:bCs/>
            </w:rPr>
            <w:fldChar w:fldCharType="end"/>
          </w:r>
        </w:p>
      </w:sdtContent>
    </w:sdt>
    <w:p w14:paraId="11A8214E" w14:textId="77777777" w:rsidR="0067740A" w:rsidRDefault="0067740A">
      <w:pPr>
        <w:autoSpaceDE w:val="0"/>
        <w:autoSpaceDN w:val="0"/>
        <w:adjustRightInd w:val="0"/>
        <w:spacing w:line="360" w:lineRule="auto"/>
        <w:rPr>
          <w:rFonts w:ascii="Arial" w:hAnsi="Arial" w:cs="Arial"/>
          <w:b/>
          <w:bCs/>
        </w:rPr>
      </w:pPr>
    </w:p>
    <w:p w14:paraId="7A1273FD" w14:textId="77777777" w:rsidR="0067740A" w:rsidRDefault="0067740A">
      <w:pPr>
        <w:autoSpaceDE w:val="0"/>
        <w:autoSpaceDN w:val="0"/>
        <w:adjustRightInd w:val="0"/>
        <w:spacing w:line="360" w:lineRule="auto"/>
        <w:rPr>
          <w:rFonts w:ascii="Arial" w:hAnsi="Arial" w:cs="Arial"/>
          <w:b/>
          <w:bCs/>
        </w:rPr>
      </w:pPr>
    </w:p>
    <w:p w14:paraId="30F8BC21" w14:textId="77777777" w:rsidR="0067740A" w:rsidRDefault="0067740A">
      <w:pPr>
        <w:autoSpaceDE w:val="0"/>
        <w:autoSpaceDN w:val="0"/>
        <w:adjustRightInd w:val="0"/>
        <w:spacing w:line="360" w:lineRule="auto"/>
        <w:rPr>
          <w:rFonts w:ascii="Arial" w:hAnsi="Arial" w:cs="Arial"/>
        </w:rPr>
      </w:pPr>
    </w:p>
    <w:p w14:paraId="51560432" w14:textId="77777777" w:rsidR="0067740A" w:rsidRDefault="0067740A">
      <w:pPr>
        <w:autoSpaceDE w:val="0"/>
        <w:autoSpaceDN w:val="0"/>
        <w:adjustRightInd w:val="0"/>
        <w:spacing w:line="360" w:lineRule="auto"/>
        <w:rPr>
          <w:rFonts w:ascii="Arial" w:hAnsi="Arial" w:cs="Arial"/>
        </w:rPr>
      </w:pPr>
    </w:p>
    <w:p w14:paraId="6BEBD392" w14:textId="77777777" w:rsidR="0067740A" w:rsidRDefault="0067740A">
      <w:pPr>
        <w:autoSpaceDE w:val="0"/>
        <w:autoSpaceDN w:val="0"/>
        <w:adjustRightInd w:val="0"/>
        <w:spacing w:line="360" w:lineRule="auto"/>
        <w:rPr>
          <w:rFonts w:ascii="Arial" w:hAnsi="Arial" w:cs="Arial"/>
        </w:rPr>
      </w:pPr>
    </w:p>
    <w:p w14:paraId="512066F9" w14:textId="77777777" w:rsidR="0067740A" w:rsidRDefault="0067740A">
      <w:pPr>
        <w:autoSpaceDE w:val="0"/>
        <w:autoSpaceDN w:val="0"/>
        <w:adjustRightInd w:val="0"/>
        <w:spacing w:line="360" w:lineRule="auto"/>
        <w:rPr>
          <w:rFonts w:ascii="Arial" w:hAnsi="Arial" w:cs="Arial"/>
        </w:rPr>
      </w:pPr>
    </w:p>
    <w:p w14:paraId="631B3DB0" w14:textId="77777777" w:rsidR="0067740A" w:rsidRDefault="0067740A">
      <w:pPr>
        <w:autoSpaceDE w:val="0"/>
        <w:autoSpaceDN w:val="0"/>
        <w:adjustRightInd w:val="0"/>
        <w:spacing w:line="360" w:lineRule="auto"/>
        <w:rPr>
          <w:rFonts w:ascii="Arial" w:hAnsi="Arial" w:cs="Arial"/>
        </w:rPr>
      </w:pPr>
    </w:p>
    <w:p w14:paraId="271A83F9" w14:textId="77777777" w:rsidR="0067740A" w:rsidRDefault="0067740A">
      <w:pPr>
        <w:autoSpaceDE w:val="0"/>
        <w:autoSpaceDN w:val="0"/>
        <w:adjustRightInd w:val="0"/>
        <w:spacing w:line="360" w:lineRule="auto"/>
        <w:rPr>
          <w:rFonts w:ascii="Arial" w:hAnsi="Arial" w:cs="Arial"/>
        </w:rPr>
      </w:pPr>
    </w:p>
    <w:p w14:paraId="3F45A4AC" w14:textId="77777777" w:rsidR="0067740A" w:rsidRDefault="0067740A">
      <w:pPr>
        <w:autoSpaceDE w:val="0"/>
        <w:autoSpaceDN w:val="0"/>
        <w:adjustRightInd w:val="0"/>
        <w:spacing w:line="360" w:lineRule="auto"/>
        <w:rPr>
          <w:rFonts w:ascii="Arial" w:hAnsi="Arial" w:cs="Arial"/>
        </w:rPr>
      </w:pPr>
    </w:p>
    <w:p w14:paraId="6DCB43AE" w14:textId="77777777" w:rsidR="0067740A" w:rsidRDefault="00000000">
      <w:pPr>
        <w:rPr>
          <w:rFonts w:ascii="Arial" w:hAnsi="Arial" w:cs="Arial"/>
        </w:rPr>
      </w:pPr>
      <w:r>
        <w:rPr>
          <w:rFonts w:ascii="Arial" w:hAnsi="Arial" w:cs="Arial"/>
        </w:rPr>
        <w:br w:type="page"/>
      </w:r>
    </w:p>
    <w:p w14:paraId="29F06B50" w14:textId="77777777" w:rsidR="0067740A" w:rsidRDefault="00000000">
      <w:pPr>
        <w:pStyle w:val="ae"/>
        <w:tabs>
          <w:tab w:val="right" w:leader="dot" w:pos="9350"/>
        </w:tabs>
        <w:rPr>
          <w:rFonts w:ascii="Arial" w:hAnsi="Arial" w:cs="Arial"/>
          <w:b/>
          <w:bCs/>
        </w:rPr>
      </w:pPr>
      <w:r>
        <w:rPr>
          <w:rFonts w:ascii="Arial" w:hAnsi="Arial" w:cs="Arial"/>
          <w:b/>
          <w:bCs/>
        </w:rPr>
        <w:lastRenderedPageBreak/>
        <w:t xml:space="preserve">List of </w:t>
      </w:r>
      <w:r>
        <w:rPr>
          <w:rFonts w:ascii="Arial" w:hAnsi="Arial" w:cs="Arial" w:hint="eastAsia"/>
          <w:b/>
          <w:bCs/>
        </w:rPr>
        <w:t>Figures and Tables</w:t>
      </w:r>
    </w:p>
    <w:p w14:paraId="0751B4B5" w14:textId="77777777" w:rsidR="0067740A" w:rsidRDefault="0067740A"/>
    <w:p w14:paraId="648E32A8" w14:textId="77777777" w:rsidR="0067740A" w:rsidRDefault="00000000">
      <w:pPr>
        <w:pStyle w:val="ae"/>
        <w:tabs>
          <w:tab w:val="right" w:leader="dot" w:pos="9350"/>
        </w:tabs>
        <w:spacing w:line="360" w:lineRule="auto"/>
        <w:rPr>
          <w:rFonts w:ascii="Arial" w:eastAsiaTheme="minorEastAsia" w:hAnsi="Arial" w:cs="Arial"/>
          <w:b/>
          <w:bCs/>
          <w:kern w:val="2"/>
          <w14:ligatures w14:val="standardContextual"/>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177665829" w:history="1">
        <w:r w:rsidR="0067740A">
          <w:rPr>
            <w:rStyle w:val="af9"/>
            <w:rFonts w:ascii="Arial" w:hAnsi="Arial" w:cs="Arial"/>
            <w:b/>
            <w:bCs/>
          </w:rPr>
          <w:t>Figure 1 Consumer Awareness of Volkswagen's Sustainability Initiatives</w:t>
        </w:r>
        <w:r w:rsidR="0067740A">
          <w:rPr>
            <w:rFonts w:ascii="Arial" w:hAnsi="Arial" w:cs="Arial"/>
            <w:b/>
            <w:bCs/>
          </w:rPr>
          <w:tab/>
        </w:r>
        <w:r w:rsidR="0067740A">
          <w:rPr>
            <w:rFonts w:ascii="Arial" w:hAnsi="Arial" w:cs="Arial"/>
            <w:b/>
            <w:bCs/>
          </w:rPr>
          <w:fldChar w:fldCharType="begin"/>
        </w:r>
        <w:r w:rsidR="0067740A">
          <w:rPr>
            <w:rFonts w:ascii="Arial" w:hAnsi="Arial" w:cs="Arial"/>
            <w:b/>
            <w:bCs/>
          </w:rPr>
          <w:instrText xml:space="preserve"> PAGEREF _Toc177665829 \h </w:instrText>
        </w:r>
        <w:r w:rsidR="0067740A">
          <w:rPr>
            <w:rFonts w:ascii="Arial" w:hAnsi="Arial" w:cs="Arial"/>
            <w:b/>
            <w:bCs/>
          </w:rPr>
        </w:r>
        <w:r w:rsidR="0067740A">
          <w:rPr>
            <w:rFonts w:ascii="Arial" w:hAnsi="Arial" w:cs="Arial"/>
            <w:b/>
            <w:bCs/>
          </w:rPr>
          <w:fldChar w:fldCharType="separate"/>
        </w:r>
        <w:r w:rsidR="0067740A">
          <w:rPr>
            <w:rFonts w:ascii="Arial" w:hAnsi="Arial" w:cs="Arial"/>
            <w:b/>
            <w:bCs/>
          </w:rPr>
          <w:t>55</w:t>
        </w:r>
        <w:r w:rsidR="0067740A">
          <w:rPr>
            <w:rFonts w:ascii="Arial" w:hAnsi="Arial" w:cs="Arial"/>
            <w:b/>
            <w:bCs/>
          </w:rPr>
          <w:fldChar w:fldCharType="end"/>
        </w:r>
      </w:hyperlink>
    </w:p>
    <w:p w14:paraId="3E3A4BFF" w14:textId="77777777" w:rsidR="0067740A" w:rsidRDefault="0067740A">
      <w:pPr>
        <w:pStyle w:val="ae"/>
        <w:tabs>
          <w:tab w:val="right" w:leader="dot" w:pos="9350"/>
        </w:tabs>
        <w:spacing w:line="360" w:lineRule="auto"/>
        <w:rPr>
          <w:rFonts w:ascii="Arial" w:eastAsiaTheme="minorEastAsia" w:hAnsi="Arial" w:cs="Arial"/>
          <w:b/>
          <w:bCs/>
          <w:kern w:val="2"/>
          <w14:ligatures w14:val="standardContextual"/>
        </w:rPr>
      </w:pPr>
      <w:hyperlink w:anchor="_Toc177665830" w:history="1">
        <w:r>
          <w:rPr>
            <w:rStyle w:val="af9"/>
            <w:rFonts w:ascii="Arial" w:hAnsi="Arial" w:cs="Arial"/>
            <w:b/>
            <w:bCs/>
          </w:rPr>
          <w:t>Figure 2 Factors Affecting Vehicle Purchase Decisions – Environmental Impact and Price</w:t>
        </w:r>
        <w:r>
          <w:rPr>
            <w:rFonts w:ascii="Arial" w:hAnsi="Arial" w:cs="Arial"/>
            <w:b/>
            <w:bCs/>
          </w:rPr>
          <w:tab/>
        </w:r>
        <w:r>
          <w:rPr>
            <w:rFonts w:ascii="Arial" w:hAnsi="Arial" w:cs="Arial"/>
            <w:b/>
            <w:bCs/>
          </w:rPr>
          <w:fldChar w:fldCharType="begin"/>
        </w:r>
        <w:r>
          <w:rPr>
            <w:rFonts w:ascii="Arial" w:hAnsi="Arial" w:cs="Arial"/>
            <w:b/>
            <w:bCs/>
          </w:rPr>
          <w:instrText xml:space="preserve"> PAGEREF _Toc177665830 \h </w:instrText>
        </w:r>
        <w:r>
          <w:rPr>
            <w:rFonts w:ascii="Arial" w:hAnsi="Arial" w:cs="Arial"/>
            <w:b/>
            <w:bCs/>
          </w:rPr>
        </w:r>
        <w:r>
          <w:rPr>
            <w:rFonts w:ascii="Arial" w:hAnsi="Arial" w:cs="Arial"/>
            <w:b/>
            <w:bCs/>
          </w:rPr>
          <w:fldChar w:fldCharType="separate"/>
        </w:r>
        <w:r>
          <w:rPr>
            <w:rFonts w:ascii="Arial" w:hAnsi="Arial" w:cs="Arial"/>
            <w:b/>
            <w:bCs/>
          </w:rPr>
          <w:t>56</w:t>
        </w:r>
        <w:r>
          <w:rPr>
            <w:rFonts w:ascii="Arial" w:hAnsi="Arial" w:cs="Arial"/>
            <w:b/>
            <w:bCs/>
          </w:rPr>
          <w:fldChar w:fldCharType="end"/>
        </w:r>
      </w:hyperlink>
    </w:p>
    <w:p w14:paraId="5D823DDE" w14:textId="77777777" w:rsidR="0067740A" w:rsidRDefault="0067740A">
      <w:pPr>
        <w:pStyle w:val="ae"/>
        <w:tabs>
          <w:tab w:val="right" w:leader="dot" w:pos="9350"/>
        </w:tabs>
        <w:spacing w:line="360" w:lineRule="auto"/>
        <w:rPr>
          <w:rFonts w:ascii="Arial" w:eastAsiaTheme="minorEastAsia" w:hAnsi="Arial" w:cs="Arial"/>
          <w:b/>
          <w:bCs/>
          <w:kern w:val="2"/>
          <w14:ligatures w14:val="standardContextual"/>
        </w:rPr>
      </w:pPr>
      <w:hyperlink w:anchor="_Toc177665831" w:history="1">
        <w:r>
          <w:rPr>
            <w:rStyle w:val="af9"/>
            <w:rFonts w:ascii="Arial" w:hAnsi="Arial" w:cs="Arial"/>
            <w:b/>
            <w:bCs/>
          </w:rPr>
          <w:t>Figure 3 Purchase Intention and Perception of Volkswagen's Sustainability Authenticity</w:t>
        </w:r>
        <w:r>
          <w:rPr>
            <w:rFonts w:ascii="Arial" w:hAnsi="Arial" w:cs="Arial"/>
            <w:b/>
            <w:bCs/>
          </w:rPr>
          <w:tab/>
        </w:r>
        <w:r>
          <w:rPr>
            <w:rFonts w:ascii="Arial" w:hAnsi="Arial" w:cs="Arial"/>
            <w:b/>
            <w:bCs/>
          </w:rPr>
          <w:fldChar w:fldCharType="begin"/>
        </w:r>
        <w:r>
          <w:rPr>
            <w:rFonts w:ascii="Arial" w:hAnsi="Arial" w:cs="Arial"/>
            <w:b/>
            <w:bCs/>
          </w:rPr>
          <w:instrText xml:space="preserve"> PAGEREF _Toc177665831 \h </w:instrText>
        </w:r>
        <w:r>
          <w:rPr>
            <w:rFonts w:ascii="Arial" w:hAnsi="Arial" w:cs="Arial"/>
            <w:b/>
            <w:bCs/>
          </w:rPr>
        </w:r>
        <w:r>
          <w:rPr>
            <w:rFonts w:ascii="Arial" w:hAnsi="Arial" w:cs="Arial"/>
            <w:b/>
            <w:bCs/>
          </w:rPr>
          <w:fldChar w:fldCharType="separate"/>
        </w:r>
        <w:r>
          <w:rPr>
            <w:rFonts w:ascii="Arial" w:hAnsi="Arial" w:cs="Arial"/>
            <w:b/>
            <w:bCs/>
          </w:rPr>
          <w:t>57</w:t>
        </w:r>
        <w:r>
          <w:rPr>
            <w:rFonts w:ascii="Arial" w:hAnsi="Arial" w:cs="Arial"/>
            <w:b/>
            <w:bCs/>
          </w:rPr>
          <w:fldChar w:fldCharType="end"/>
        </w:r>
      </w:hyperlink>
    </w:p>
    <w:p w14:paraId="688C4B62" w14:textId="77777777" w:rsidR="0067740A" w:rsidRDefault="0067740A">
      <w:pPr>
        <w:pStyle w:val="ae"/>
        <w:tabs>
          <w:tab w:val="right" w:leader="dot" w:pos="9350"/>
        </w:tabs>
        <w:spacing w:line="360" w:lineRule="auto"/>
        <w:rPr>
          <w:rFonts w:ascii="Arial" w:eastAsiaTheme="minorEastAsia" w:hAnsi="Arial" w:cs="Arial"/>
          <w:b/>
          <w:bCs/>
          <w:kern w:val="2"/>
          <w14:ligatures w14:val="standardContextual"/>
        </w:rPr>
      </w:pPr>
      <w:hyperlink w:anchor="_Toc177665832" w:history="1">
        <w:r>
          <w:rPr>
            <w:rStyle w:val="af9"/>
            <w:rFonts w:ascii="Arial" w:hAnsi="Arial" w:cs="Arial"/>
            <w:b/>
            <w:bCs/>
          </w:rPr>
          <w:t>Figure 4 Distribution of Consumer Trust in Volkswagen's Sustainability Initiatives</w:t>
        </w:r>
        <w:r>
          <w:rPr>
            <w:rFonts w:ascii="Arial" w:hAnsi="Arial" w:cs="Arial"/>
            <w:b/>
            <w:bCs/>
          </w:rPr>
          <w:tab/>
        </w:r>
        <w:r>
          <w:rPr>
            <w:rFonts w:ascii="Arial" w:hAnsi="Arial" w:cs="Arial"/>
            <w:b/>
            <w:bCs/>
          </w:rPr>
          <w:fldChar w:fldCharType="begin"/>
        </w:r>
        <w:r>
          <w:rPr>
            <w:rFonts w:ascii="Arial" w:hAnsi="Arial" w:cs="Arial"/>
            <w:b/>
            <w:bCs/>
          </w:rPr>
          <w:instrText xml:space="preserve"> PAGEREF _Toc177665832 \h </w:instrText>
        </w:r>
        <w:r>
          <w:rPr>
            <w:rFonts w:ascii="Arial" w:hAnsi="Arial" w:cs="Arial"/>
            <w:b/>
            <w:bCs/>
          </w:rPr>
        </w:r>
        <w:r>
          <w:rPr>
            <w:rFonts w:ascii="Arial" w:hAnsi="Arial" w:cs="Arial"/>
            <w:b/>
            <w:bCs/>
          </w:rPr>
          <w:fldChar w:fldCharType="separate"/>
        </w:r>
        <w:r>
          <w:rPr>
            <w:rFonts w:ascii="Arial" w:hAnsi="Arial" w:cs="Arial"/>
            <w:b/>
            <w:bCs/>
          </w:rPr>
          <w:t>59</w:t>
        </w:r>
        <w:r>
          <w:rPr>
            <w:rFonts w:ascii="Arial" w:hAnsi="Arial" w:cs="Arial"/>
            <w:b/>
            <w:bCs/>
          </w:rPr>
          <w:fldChar w:fldCharType="end"/>
        </w:r>
      </w:hyperlink>
    </w:p>
    <w:p w14:paraId="6934D15B" w14:textId="77777777" w:rsidR="0067740A" w:rsidRDefault="0067740A">
      <w:pPr>
        <w:pStyle w:val="ae"/>
        <w:tabs>
          <w:tab w:val="right" w:leader="dot" w:pos="9350"/>
        </w:tabs>
        <w:spacing w:line="360" w:lineRule="auto"/>
        <w:rPr>
          <w:rFonts w:ascii="Arial" w:eastAsiaTheme="minorEastAsia" w:hAnsi="Arial" w:cs="Arial"/>
          <w:b/>
          <w:bCs/>
          <w:kern w:val="2"/>
          <w14:ligatures w14:val="standardContextual"/>
        </w:rPr>
      </w:pPr>
      <w:hyperlink w:anchor="_Toc177665833" w:history="1">
        <w:r>
          <w:rPr>
            <w:rStyle w:val="af9"/>
            <w:rFonts w:ascii="Arial" w:hAnsi="Arial" w:cs="Arial"/>
            <w:b/>
            <w:bCs/>
          </w:rPr>
          <w:t>Figure 5Factors Affecting Electric Vehicle Adoption – Price Sensitivity and Accessibility Concerns</w:t>
        </w:r>
        <w:r>
          <w:rPr>
            <w:rFonts w:ascii="Arial" w:hAnsi="Arial" w:cs="Arial"/>
            <w:b/>
            <w:bCs/>
          </w:rPr>
          <w:tab/>
        </w:r>
        <w:r>
          <w:rPr>
            <w:rFonts w:ascii="Arial" w:hAnsi="Arial" w:cs="Arial"/>
            <w:b/>
            <w:bCs/>
          </w:rPr>
          <w:fldChar w:fldCharType="begin"/>
        </w:r>
        <w:r>
          <w:rPr>
            <w:rFonts w:ascii="Arial" w:hAnsi="Arial" w:cs="Arial"/>
            <w:b/>
            <w:bCs/>
          </w:rPr>
          <w:instrText xml:space="preserve"> PAGEREF _Toc177665833 \h </w:instrText>
        </w:r>
        <w:r>
          <w:rPr>
            <w:rFonts w:ascii="Arial" w:hAnsi="Arial" w:cs="Arial"/>
            <w:b/>
            <w:bCs/>
          </w:rPr>
        </w:r>
        <w:r>
          <w:rPr>
            <w:rFonts w:ascii="Arial" w:hAnsi="Arial" w:cs="Arial"/>
            <w:b/>
            <w:bCs/>
          </w:rPr>
          <w:fldChar w:fldCharType="separate"/>
        </w:r>
        <w:r>
          <w:rPr>
            <w:rFonts w:ascii="Arial" w:hAnsi="Arial" w:cs="Arial"/>
            <w:b/>
            <w:bCs/>
          </w:rPr>
          <w:t>60</w:t>
        </w:r>
        <w:r>
          <w:rPr>
            <w:rFonts w:ascii="Arial" w:hAnsi="Arial" w:cs="Arial"/>
            <w:b/>
            <w:bCs/>
          </w:rPr>
          <w:fldChar w:fldCharType="end"/>
        </w:r>
      </w:hyperlink>
    </w:p>
    <w:p w14:paraId="2A507956" w14:textId="77777777" w:rsidR="0067740A" w:rsidRDefault="0067740A">
      <w:pPr>
        <w:pStyle w:val="ae"/>
        <w:tabs>
          <w:tab w:val="right" w:leader="dot" w:pos="9350"/>
        </w:tabs>
        <w:spacing w:line="360" w:lineRule="auto"/>
        <w:rPr>
          <w:rFonts w:ascii="Arial" w:eastAsiaTheme="minorEastAsia" w:hAnsi="Arial" w:cs="Arial"/>
          <w:b/>
          <w:bCs/>
          <w:kern w:val="2"/>
          <w14:ligatures w14:val="standardContextual"/>
        </w:rPr>
      </w:pPr>
      <w:hyperlink w:anchor="_Toc177665834" w:history="1">
        <w:r>
          <w:rPr>
            <w:rStyle w:val="af9"/>
            <w:rFonts w:ascii="Arial" w:hAnsi="Arial" w:cs="Arial"/>
            <w:b/>
            <w:bCs/>
          </w:rPr>
          <w:t>Figure 6Consumer Perception of Volkswagen’s Innovation and Future-Proofing in the Chinese Market</w:t>
        </w:r>
        <w:r>
          <w:rPr>
            <w:rFonts w:ascii="Arial" w:hAnsi="Arial" w:cs="Arial"/>
            <w:b/>
            <w:bCs/>
          </w:rPr>
          <w:tab/>
        </w:r>
        <w:r>
          <w:rPr>
            <w:rFonts w:ascii="Arial" w:hAnsi="Arial" w:cs="Arial"/>
            <w:b/>
            <w:bCs/>
          </w:rPr>
          <w:fldChar w:fldCharType="begin"/>
        </w:r>
        <w:r>
          <w:rPr>
            <w:rFonts w:ascii="Arial" w:hAnsi="Arial" w:cs="Arial"/>
            <w:b/>
            <w:bCs/>
          </w:rPr>
          <w:instrText xml:space="preserve"> PAGEREF _Toc177665834 \h </w:instrText>
        </w:r>
        <w:r>
          <w:rPr>
            <w:rFonts w:ascii="Arial" w:hAnsi="Arial" w:cs="Arial"/>
            <w:b/>
            <w:bCs/>
          </w:rPr>
        </w:r>
        <w:r>
          <w:rPr>
            <w:rFonts w:ascii="Arial" w:hAnsi="Arial" w:cs="Arial"/>
            <w:b/>
            <w:bCs/>
          </w:rPr>
          <w:fldChar w:fldCharType="separate"/>
        </w:r>
        <w:r>
          <w:rPr>
            <w:rFonts w:ascii="Arial" w:hAnsi="Arial" w:cs="Arial"/>
            <w:b/>
            <w:bCs/>
          </w:rPr>
          <w:t>61</w:t>
        </w:r>
        <w:r>
          <w:rPr>
            <w:rFonts w:ascii="Arial" w:hAnsi="Arial" w:cs="Arial"/>
            <w:b/>
            <w:bCs/>
          </w:rPr>
          <w:fldChar w:fldCharType="end"/>
        </w:r>
      </w:hyperlink>
    </w:p>
    <w:p w14:paraId="2A69B5F0" w14:textId="6894154D" w:rsidR="0067740A" w:rsidRDefault="00000000" w:rsidP="00400BB2">
      <w:pPr>
        <w:spacing w:line="360" w:lineRule="auto"/>
        <w:rPr>
          <w:rFonts w:ascii="Arial" w:eastAsiaTheme="minorEastAsia" w:hAnsi="Arial" w:cs="Arial"/>
          <w:b/>
          <w:bCs/>
          <w:kern w:val="2"/>
          <w14:ligatures w14:val="standardContextual"/>
        </w:rPr>
      </w:pPr>
      <w:r>
        <w:rPr>
          <w:rFonts w:ascii="Arial" w:hAnsi="Arial" w:cs="Arial"/>
          <w:b/>
          <w:bCs/>
        </w:rPr>
        <w:fldChar w:fldCharType="end"/>
      </w: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177665756" w:history="1">
        <w:r w:rsidR="0067740A">
          <w:rPr>
            <w:rStyle w:val="af9"/>
            <w:rFonts w:ascii="Arial" w:hAnsi="Arial" w:cs="Arial"/>
            <w:b/>
            <w:bCs/>
          </w:rPr>
          <w:t>Table 1SWOT Analysis of Volkswagen’s Sustainability Initiatives in China</w:t>
        </w:r>
        <w:r w:rsidR="0067740A">
          <w:rPr>
            <w:rFonts w:ascii="Arial" w:hAnsi="Arial" w:cs="Arial"/>
            <w:b/>
            <w:bCs/>
          </w:rPr>
          <w:tab/>
        </w:r>
        <w:r w:rsidR="0067740A">
          <w:rPr>
            <w:rFonts w:ascii="Arial" w:hAnsi="Arial" w:cs="Arial"/>
            <w:b/>
            <w:bCs/>
          </w:rPr>
          <w:fldChar w:fldCharType="begin"/>
        </w:r>
        <w:r w:rsidR="0067740A">
          <w:rPr>
            <w:rFonts w:ascii="Arial" w:hAnsi="Arial" w:cs="Arial"/>
            <w:b/>
            <w:bCs/>
          </w:rPr>
          <w:instrText xml:space="preserve"> PAGEREF _Toc177665756 \h </w:instrText>
        </w:r>
        <w:r w:rsidR="0067740A">
          <w:rPr>
            <w:rFonts w:ascii="Arial" w:hAnsi="Arial" w:cs="Arial"/>
            <w:b/>
            <w:bCs/>
          </w:rPr>
        </w:r>
        <w:r w:rsidR="0067740A">
          <w:rPr>
            <w:rFonts w:ascii="Arial" w:hAnsi="Arial" w:cs="Arial"/>
            <w:b/>
            <w:bCs/>
          </w:rPr>
          <w:fldChar w:fldCharType="separate"/>
        </w:r>
        <w:r w:rsidR="0067740A">
          <w:rPr>
            <w:rFonts w:ascii="Arial" w:hAnsi="Arial" w:cs="Arial"/>
            <w:b/>
            <w:bCs/>
          </w:rPr>
          <w:t>16</w:t>
        </w:r>
        <w:r w:rsidR="0067740A">
          <w:rPr>
            <w:rFonts w:ascii="Arial" w:hAnsi="Arial" w:cs="Arial"/>
            <w:b/>
            <w:bCs/>
          </w:rPr>
          <w:fldChar w:fldCharType="end"/>
        </w:r>
      </w:hyperlink>
    </w:p>
    <w:p w14:paraId="347586F0" w14:textId="77777777" w:rsidR="0067740A" w:rsidRDefault="0067740A">
      <w:pPr>
        <w:pStyle w:val="ae"/>
        <w:tabs>
          <w:tab w:val="right" w:leader="dot" w:pos="9350"/>
        </w:tabs>
        <w:spacing w:line="360" w:lineRule="auto"/>
        <w:rPr>
          <w:rFonts w:ascii="Arial" w:eastAsiaTheme="minorEastAsia" w:hAnsi="Arial" w:cs="Arial"/>
          <w:b/>
          <w:bCs/>
          <w:kern w:val="2"/>
          <w14:ligatures w14:val="standardContextual"/>
        </w:rPr>
      </w:pPr>
      <w:hyperlink w:anchor="_Toc177665757" w:history="1">
        <w:r>
          <w:rPr>
            <w:rStyle w:val="af9"/>
            <w:rFonts w:ascii="Arial" w:hAnsi="Arial" w:cs="Arial"/>
            <w:b/>
            <w:bCs/>
          </w:rPr>
          <w:t>Table 2 PESTLE Analysis of Volkswagen’s Sustainability Initiatives in China</w:t>
        </w:r>
        <w:r>
          <w:rPr>
            <w:rFonts w:ascii="Arial" w:hAnsi="Arial" w:cs="Arial"/>
            <w:b/>
            <w:bCs/>
          </w:rPr>
          <w:tab/>
        </w:r>
        <w:r>
          <w:rPr>
            <w:rFonts w:ascii="Arial" w:hAnsi="Arial" w:cs="Arial"/>
            <w:b/>
            <w:bCs/>
          </w:rPr>
          <w:fldChar w:fldCharType="begin"/>
        </w:r>
        <w:r>
          <w:rPr>
            <w:rFonts w:ascii="Arial" w:hAnsi="Arial" w:cs="Arial"/>
            <w:b/>
            <w:bCs/>
          </w:rPr>
          <w:instrText xml:space="preserve"> PAGEREF _Toc177665757 \h </w:instrText>
        </w:r>
        <w:r>
          <w:rPr>
            <w:rFonts w:ascii="Arial" w:hAnsi="Arial" w:cs="Arial"/>
            <w:b/>
            <w:bCs/>
          </w:rPr>
        </w:r>
        <w:r>
          <w:rPr>
            <w:rFonts w:ascii="Arial" w:hAnsi="Arial" w:cs="Arial"/>
            <w:b/>
            <w:bCs/>
          </w:rPr>
          <w:fldChar w:fldCharType="separate"/>
        </w:r>
        <w:r>
          <w:rPr>
            <w:rFonts w:ascii="Arial" w:hAnsi="Arial" w:cs="Arial"/>
            <w:b/>
            <w:bCs/>
          </w:rPr>
          <w:t>20</w:t>
        </w:r>
        <w:r>
          <w:rPr>
            <w:rFonts w:ascii="Arial" w:hAnsi="Arial" w:cs="Arial"/>
            <w:b/>
            <w:bCs/>
          </w:rPr>
          <w:fldChar w:fldCharType="end"/>
        </w:r>
      </w:hyperlink>
    </w:p>
    <w:p w14:paraId="1BC67B5C" w14:textId="77777777" w:rsidR="0067740A" w:rsidRDefault="00000000">
      <w:pPr>
        <w:autoSpaceDE w:val="0"/>
        <w:autoSpaceDN w:val="0"/>
        <w:adjustRightInd w:val="0"/>
        <w:spacing w:line="360" w:lineRule="auto"/>
        <w:rPr>
          <w:rFonts w:ascii="Arial" w:hAnsi="Arial" w:cs="Arial"/>
        </w:rPr>
      </w:pPr>
      <w:r>
        <w:rPr>
          <w:rFonts w:ascii="Arial" w:hAnsi="Arial" w:cs="Arial"/>
          <w:b/>
          <w:bCs/>
        </w:rPr>
        <w:fldChar w:fldCharType="end"/>
      </w:r>
    </w:p>
    <w:p w14:paraId="2877278E" w14:textId="77777777" w:rsidR="0067740A" w:rsidRDefault="0067740A">
      <w:pPr>
        <w:autoSpaceDE w:val="0"/>
        <w:autoSpaceDN w:val="0"/>
        <w:adjustRightInd w:val="0"/>
        <w:spacing w:line="360" w:lineRule="auto"/>
        <w:rPr>
          <w:rFonts w:ascii="Arial" w:hAnsi="Arial" w:cs="Arial"/>
        </w:rPr>
      </w:pPr>
    </w:p>
    <w:p w14:paraId="7E352FB9" w14:textId="77777777" w:rsidR="0067740A" w:rsidRDefault="0067740A">
      <w:pPr>
        <w:autoSpaceDE w:val="0"/>
        <w:autoSpaceDN w:val="0"/>
        <w:adjustRightInd w:val="0"/>
        <w:spacing w:line="360" w:lineRule="auto"/>
        <w:rPr>
          <w:rFonts w:ascii="Arial" w:hAnsi="Arial" w:cs="Arial"/>
        </w:rPr>
      </w:pPr>
    </w:p>
    <w:p w14:paraId="5974D4CD" w14:textId="77777777" w:rsidR="0067740A" w:rsidRDefault="0067740A">
      <w:pPr>
        <w:autoSpaceDE w:val="0"/>
        <w:autoSpaceDN w:val="0"/>
        <w:adjustRightInd w:val="0"/>
        <w:spacing w:line="360" w:lineRule="auto"/>
        <w:rPr>
          <w:rFonts w:ascii="Arial" w:hAnsi="Arial" w:cs="Arial"/>
        </w:rPr>
      </w:pPr>
    </w:p>
    <w:p w14:paraId="72149B67" w14:textId="77777777" w:rsidR="0067740A" w:rsidRDefault="0067740A">
      <w:pPr>
        <w:autoSpaceDE w:val="0"/>
        <w:autoSpaceDN w:val="0"/>
        <w:adjustRightInd w:val="0"/>
        <w:spacing w:line="360" w:lineRule="auto"/>
        <w:rPr>
          <w:rFonts w:ascii="Arial" w:hAnsi="Arial" w:cs="Arial"/>
        </w:rPr>
      </w:pPr>
    </w:p>
    <w:p w14:paraId="1B9AC3F1" w14:textId="77777777" w:rsidR="0067740A" w:rsidRDefault="0067740A">
      <w:pPr>
        <w:autoSpaceDE w:val="0"/>
        <w:autoSpaceDN w:val="0"/>
        <w:adjustRightInd w:val="0"/>
        <w:spacing w:line="360" w:lineRule="auto"/>
        <w:rPr>
          <w:rFonts w:ascii="Arial" w:hAnsi="Arial" w:cs="Arial"/>
        </w:rPr>
      </w:pPr>
    </w:p>
    <w:p w14:paraId="1B5BC241" w14:textId="77777777" w:rsidR="0067740A" w:rsidRDefault="0067740A">
      <w:pPr>
        <w:autoSpaceDE w:val="0"/>
        <w:autoSpaceDN w:val="0"/>
        <w:adjustRightInd w:val="0"/>
        <w:spacing w:line="360" w:lineRule="auto"/>
        <w:rPr>
          <w:rFonts w:ascii="Arial" w:hAnsi="Arial" w:cs="Arial"/>
        </w:rPr>
      </w:pPr>
    </w:p>
    <w:p w14:paraId="2A37F8F4" w14:textId="77777777" w:rsidR="0067740A" w:rsidRDefault="0067740A">
      <w:pPr>
        <w:autoSpaceDE w:val="0"/>
        <w:autoSpaceDN w:val="0"/>
        <w:adjustRightInd w:val="0"/>
        <w:spacing w:line="360" w:lineRule="auto"/>
        <w:rPr>
          <w:rFonts w:ascii="Arial" w:hAnsi="Arial" w:cs="Arial"/>
        </w:rPr>
      </w:pPr>
    </w:p>
    <w:p w14:paraId="40566B1A" w14:textId="77777777" w:rsidR="0067740A" w:rsidRDefault="0067740A">
      <w:pPr>
        <w:autoSpaceDE w:val="0"/>
        <w:autoSpaceDN w:val="0"/>
        <w:adjustRightInd w:val="0"/>
        <w:spacing w:line="360" w:lineRule="auto"/>
        <w:rPr>
          <w:rFonts w:ascii="Arial" w:hAnsi="Arial" w:cs="Arial"/>
        </w:rPr>
      </w:pPr>
    </w:p>
    <w:p w14:paraId="4E57A2B4" w14:textId="77777777" w:rsidR="0067740A" w:rsidRDefault="0067740A">
      <w:pPr>
        <w:autoSpaceDE w:val="0"/>
        <w:autoSpaceDN w:val="0"/>
        <w:adjustRightInd w:val="0"/>
        <w:spacing w:line="360" w:lineRule="auto"/>
        <w:rPr>
          <w:rFonts w:ascii="Arial" w:hAnsi="Arial" w:cs="Arial"/>
        </w:rPr>
      </w:pPr>
    </w:p>
    <w:p w14:paraId="1309C090" w14:textId="77777777" w:rsidR="0067740A" w:rsidRDefault="0067740A">
      <w:pPr>
        <w:autoSpaceDE w:val="0"/>
        <w:autoSpaceDN w:val="0"/>
        <w:adjustRightInd w:val="0"/>
        <w:spacing w:line="360" w:lineRule="auto"/>
        <w:rPr>
          <w:rFonts w:ascii="Arial" w:hAnsi="Arial" w:cs="Arial"/>
        </w:rPr>
      </w:pPr>
    </w:p>
    <w:p w14:paraId="782D20BC" w14:textId="77777777" w:rsidR="0067740A" w:rsidRDefault="0067740A">
      <w:pPr>
        <w:autoSpaceDE w:val="0"/>
        <w:autoSpaceDN w:val="0"/>
        <w:adjustRightInd w:val="0"/>
        <w:spacing w:line="360" w:lineRule="auto"/>
        <w:rPr>
          <w:rFonts w:ascii="Arial" w:hAnsi="Arial" w:cs="Arial"/>
        </w:rPr>
      </w:pPr>
    </w:p>
    <w:p w14:paraId="764DD6FC" w14:textId="77777777" w:rsidR="0067740A" w:rsidRDefault="0067740A">
      <w:pPr>
        <w:autoSpaceDE w:val="0"/>
        <w:autoSpaceDN w:val="0"/>
        <w:adjustRightInd w:val="0"/>
        <w:spacing w:line="360" w:lineRule="auto"/>
        <w:rPr>
          <w:rFonts w:ascii="Arial" w:hAnsi="Arial" w:cs="Arial"/>
        </w:rPr>
      </w:pPr>
    </w:p>
    <w:p w14:paraId="233D8A25" w14:textId="77777777" w:rsidR="0067740A" w:rsidRDefault="0067740A">
      <w:pPr>
        <w:autoSpaceDE w:val="0"/>
        <w:autoSpaceDN w:val="0"/>
        <w:adjustRightInd w:val="0"/>
        <w:spacing w:line="360" w:lineRule="auto"/>
        <w:rPr>
          <w:rFonts w:ascii="Arial" w:hAnsi="Arial" w:cs="Arial"/>
        </w:rPr>
      </w:pPr>
    </w:p>
    <w:p w14:paraId="0AE96604" w14:textId="77777777" w:rsidR="0067740A" w:rsidRDefault="0067740A">
      <w:pPr>
        <w:autoSpaceDE w:val="0"/>
        <w:autoSpaceDN w:val="0"/>
        <w:adjustRightInd w:val="0"/>
        <w:spacing w:line="360" w:lineRule="auto"/>
        <w:rPr>
          <w:rFonts w:ascii="Arial" w:hAnsi="Arial" w:cs="Arial"/>
        </w:rPr>
      </w:pPr>
    </w:p>
    <w:p w14:paraId="36FB6040" w14:textId="77777777" w:rsidR="0067740A" w:rsidRDefault="00000000">
      <w:pPr>
        <w:rPr>
          <w:rFonts w:ascii="Arial" w:hAnsi="Arial" w:cs="Arial"/>
        </w:rPr>
      </w:pPr>
      <w:r>
        <w:rPr>
          <w:rFonts w:ascii="Arial" w:hAnsi="Arial" w:cs="Arial"/>
          <w:b/>
        </w:rPr>
        <w:br w:type="page"/>
      </w:r>
    </w:p>
    <w:p w14:paraId="64A844F3" w14:textId="77777777" w:rsidR="0067740A" w:rsidRDefault="00000000">
      <w:pPr>
        <w:pStyle w:val="1"/>
        <w:numPr>
          <w:ilvl w:val="0"/>
          <w:numId w:val="2"/>
        </w:numPr>
        <w:rPr>
          <w:rFonts w:ascii="Arial" w:hAnsi="Arial" w:cs="Arial"/>
          <w:szCs w:val="24"/>
          <w:lang w:val="en-GB"/>
        </w:rPr>
      </w:pPr>
      <w:bookmarkStart w:id="3" w:name="_Toc177665994"/>
      <w:r>
        <w:rPr>
          <w:rFonts w:ascii="Arial" w:hAnsi="Arial" w:cs="Arial"/>
          <w:szCs w:val="24"/>
          <w:lang w:val="en-GB"/>
        </w:rPr>
        <w:lastRenderedPageBreak/>
        <w:t>Introduction</w:t>
      </w:r>
      <w:bookmarkEnd w:id="3"/>
      <w:r>
        <w:rPr>
          <w:rFonts w:ascii="Arial" w:hAnsi="Arial" w:cs="Arial"/>
          <w:szCs w:val="24"/>
          <w:lang w:val="en-GB"/>
        </w:rPr>
        <w:t xml:space="preserve"> </w:t>
      </w:r>
    </w:p>
    <w:p w14:paraId="266A05FB" w14:textId="77777777" w:rsidR="0067740A" w:rsidRDefault="00000000">
      <w:pPr>
        <w:pStyle w:val="2"/>
        <w:numPr>
          <w:ilvl w:val="1"/>
          <w:numId w:val="2"/>
        </w:numPr>
        <w:rPr>
          <w:rFonts w:ascii="Arial" w:hAnsi="Arial" w:cs="Arial"/>
          <w:szCs w:val="24"/>
          <w:lang w:val="en-GB"/>
        </w:rPr>
      </w:pPr>
      <w:bookmarkStart w:id="4" w:name="_Toc177665995"/>
      <w:r>
        <w:rPr>
          <w:rFonts w:ascii="Arial" w:hAnsi="Arial" w:cs="Arial"/>
          <w:szCs w:val="24"/>
          <w:lang w:val="en-GB"/>
        </w:rPr>
        <w:t>Background of the Study</w:t>
      </w:r>
      <w:bookmarkEnd w:id="4"/>
    </w:p>
    <w:p w14:paraId="4C7430A5" w14:textId="77777777" w:rsidR="0067740A" w:rsidRDefault="00000000">
      <w:pPr>
        <w:pStyle w:val="af"/>
        <w:spacing w:line="360" w:lineRule="auto"/>
        <w:ind w:firstLine="567"/>
        <w:rPr>
          <w:rFonts w:ascii="Arial" w:hAnsi="Arial" w:cs="Arial"/>
        </w:rPr>
      </w:pPr>
      <w:r>
        <w:rPr>
          <w:rFonts w:ascii="Arial" w:hAnsi="Arial" w:cs="Arial"/>
        </w:rPr>
        <w:t xml:space="preserve">The automotive industry is a cornerstone of the global economy, contributing significantly to employment, technological advancement, and economic growth. However, it also represents a major source of environmental issues, particularly due to greenhouse gas emissions and resource consumption (Chen &amp; Chang, 2013). In response to escalating environmental concerns and regulatory pressures, automotive companies worldwide are adopting sustainability initiatives aimed at reducing their ecological footprint (Li &amp; Zhang, 2021). </w:t>
      </w:r>
    </w:p>
    <w:p w14:paraId="207B0834" w14:textId="77777777" w:rsidR="0067740A" w:rsidRDefault="00000000">
      <w:pPr>
        <w:pStyle w:val="af"/>
        <w:spacing w:line="360" w:lineRule="auto"/>
        <w:ind w:firstLine="567"/>
        <w:rPr>
          <w:rFonts w:ascii="Arial" w:hAnsi="Arial" w:cs="Arial"/>
        </w:rPr>
      </w:pPr>
      <w:r>
        <w:rPr>
          <w:rFonts w:ascii="Arial" w:hAnsi="Arial" w:cs="Arial"/>
        </w:rPr>
        <w:t xml:space="preserve">Among these companies, Volkswagen stands out for its ambitious green practices, especially in the Chinese market (Volkswagen Group China, 2022). Given that China is the largest automotive market globally, it presents both substantial opportunities and challenges for sustainability efforts (Huang &amp; Liu, 2019). </w:t>
      </w:r>
    </w:p>
    <w:p w14:paraId="2AF679B3" w14:textId="77777777" w:rsidR="0067740A" w:rsidRDefault="00000000">
      <w:pPr>
        <w:pStyle w:val="af"/>
        <w:spacing w:line="360" w:lineRule="auto"/>
        <w:ind w:firstLine="567"/>
        <w:rPr>
          <w:rFonts w:ascii="Arial" w:hAnsi="Arial" w:cs="Arial"/>
        </w:rPr>
      </w:pPr>
      <w:r>
        <w:rPr>
          <w:rFonts w:ascii="Arial" w:hAnsi="Arial" w:cs="Arial"/>
        </w:rPr>
        <w:t>This study examines the strategic management of Volkswagen’s sustainability initiatives in China, exploring how these efforts are perceived by consumers and their impact on Volkswagen’s competitive advantage.</w:t>
      </w:r>
    </w:p>
    <w:p w14:paraId="4CA79474" w14:textId="77777777" w:rsidR="0067740A" w:rsidRDefault="00000000">
      <w:pPr>
        <w:pStyle w:val="af"/>
        <w:spacing w:line="360" w:lineRule="auto"/>
        <w:ind w:firstLine="567"/>
        <w:rPr>
          <w:rFonts w:ascii="Arial" w:hAnsi="Arial" w:cs="Arial"/>
        </w:rPr>
      </w:pPr>
      <w:r>
        <w:rPr>
          <w:rFonts w:ascii="Arial" w:hAnsi="Arial" w:cs="Arial"/>
        </w:rPr>
        <w:t xml:space="preserve">The Chinese automotive market, being the largest in the world, is pivotal for Volkswagen’s global strategy. China’s government has also been a strong proponent of green policies, setting ambitious targets for reducing carbon emissions and promoting electric vehicles (EVs) (Xu &amp; Zeng, 2018). Volkswagen’s alignment with these national goals through its sustainability initiatives makes China an essential case study for understanding the interplay between corporate sustainability strategies and consumer perceptions. </w:t>
      </w:r>
    </w:p>
    <w:p w14:paraId="53F70A78" w14:textId="77777777" w:rsidR="0067740A" w:rsidRDefault="00000000">
      <w:pPr>
        <w:pStyle w:val="af"/>
        <w:spacing w:line="360" w:lineRule="auto"/>
        <w:ind w:firstLine="567"/>
        <w:rPr>
          <w:rFonts w:ascii="Arial" w:hAnsi="Arial" w:cs="Arial"/>
        </w:rPr>
      </w:pPr>
      <w:r>
        <w:rPr>
          <w:rFonts w:ascii="Arial" w:hAnsi="Arial" w:cs="Arial"/>
        </w:rPr>
        <w:t>Notably, China’s unique market dynamics, characterized by rapid economic growth, urbanization, and increasing environmental awareness among consumers, provide a fertile ground for studying the impact of sustainability initiatives on consumer behaviour and competitive advantage (Wang &amp; Song, 2021).</w:t>
      </w:r>
      <w:r>
        <w:rPr>
          <w:rFonts w:ascii="Arial" w:hAnsi="Arial" w:cs="Arial" w:hint="eastAsia"/>
        </w:rPr>
        <w:t xml:space="preserve"> </w:t>
      </w:r>
      <w:r>
        <w:rPr>
          <w:rFonts w:ascii="Arial" w:hAnsi="Arial" w:cs="Arial"/>
        </w:rPr>
        <w:br w:type="page"/>
      </w:r>
    </w:p>
    <w:p w14:paraId="47597FC0" w14:textId="77777777" w:rsidR="0067740A" w:rsidRDefault="00000000">
      <w:pPr>
        <w:pStyle w:val="2"/>
        <w:numPr>
          <w:ilvl w:val="1"/>
          <w:numId w:val="2"/>
        </w:numPr>
        <w:rPr>
          <w:rFonts w:ascii="Arial" w:hAnsi="Arial" w:cs="Arial"/>
          <w:szCs w:val="24"/>
          <w:lang w:val="en-GB"/>
        </w:rPr>
      </w:pPr>
      <w:bookmarkStart w:id="5" w:name="_Toc177665996"/>
      <w:r>
        <w:rPr>
          <w:rFonts w:ascii="Arial" w:hAnsi="Arial" w:cs="Arial"/>
          <w:szCs w:val="24"/>
          <w:lang w:val="en-GB"/>
        </w:rPr>
        <w:lastRenderedPageBreak/>
        <w:t>Research Problem</w:t>
      </w:r>
      <w:bookmarkEnd w:id="5"/>
    </w:p>
    <w:p w14:paraId="4F86C0A4" w14:textId="77777777" w:rsidR="0067740A" w:rsidRDefault="00000000">
      <w:pPr>
        <w:pStyle w:val="af"/>
        <w:spacing w:line="360" w:lineRule="auto"/>
        <w:ind w:firstLine="567"/>
        <w:rPr>
          <w:rFonts w:ascii="Arial" w:hAnsi="Arial" w:cs="Arial"/>
        </w:rPr>
      </w:pPr>
      <w:r>
        <w:rPr>
          <w:rFonts w:ascii="Arial" w:hAnsi="Arial" w:cs="Arial"/>
        </w:rPr>
        <w:t xml:space="preserve">Despite Volkswagen’s extensive investment in sustainability, there remains a significant gap in understanding how these initiatives are perceived by Chinese consumers and how these perceptions influence Volkswagen’s competitive positioning. Previous studies have often focused on the technical and operational aspects of sustainability initiatives, neglecting the consumer perspective (Gao et al., 2020). </w:t>
      </w:r>
    </w:p>
    <w:p w14:paraId="7F992FE3" w14:textId="77777777" w:rsidR="0067740A" w:rsidRDefault="00000000">
      <w:pPr>
        <w:pStyle w:val="af"/>
        <w:spacing w:line="360" w:lineRule="auto"/>
        <w:ind w:firstLine="567"/>
        <w:rPr>
          <w:rFonts w:ascii="Arial" w:hAnsi="Arial" w:cs="Arial"/>
        </w:rPr>
      </w:pPr>
      <w:r>
        <w:rPr>
          <w:rFonts w:ascii="Arial" w:hAnsi="Arial" w:cs="Arial"/>
        </w:rPr>
        <w:t xml:space="preserve">Understanding consumer perceptions is crucial, as they directly affect market performance, brand loyalty, and competitive advantage. For instance, positive consumer perceptions of Volkswagen’s green practices could lead to increased brand loyalty and market share, whereas negative perceptions could undermine these advantages (Chen &amp; Chang, 2013). </w:t>
      </w:r>
    </w:p>
    <w:p w14:paraId="32CF0F47" w14:textId="77777777" w:rsidR="0067740A" w:rsidRDefault="00000000">
      <w:pPr>
        <w:pStyle w:val="af"/>
        <w:spacing w:line="360" w:lineRule="auto"/>
        <w:ind w:firstLine="567"/>
        <w:rPr>
          <w:rFonts w:ascii="Arial" w:hAnsi="Arial" w:cs="Arial"/>
        </w:rPr>
      </w:pPr>
      <w:r>
        <w:rPr>
          <w:rFonts w:ascii="Arial" w:hAnsi="Arial" w:cs="Arial"/>
        </w:rPr>
        <w:t>This research addresses the gap by investigating Chinese consumer perceptions of Volkswagen’s green practices and assessing the impact of these perceptions on the company’s competitive edge in the Chinese automotive market (Li &amp; Zhang, 2021).</w:t>
      </w:r>
    </w:p>
    <w:p w14:paraId="4C89DB5A" w14:textId="77777777" w:rsidR="0067740A" w:rsidRDefault="00000000">
      <w:pPr>
        <w:pStyle w:val="af"/>
        <w:spacing w:line="360" w:lineRule="auto"/>
        <w:ind w:firstLine="567"/>
        <w:rPr>
          <w:rFonts w:ascii="Arial" w:hAnsi="Arial" w:cs="Arial"/>
        </w:rPr>
      </w:pPr>
      <w:r>
        <w:rPr>
          <w:rFonts w:ascii="Arial" w:hAnsi="Arial" w:cs="Arial"/>
        </w:rPr>
        <w:t>Furthermore, there is a need to explore the specific elements of Volkswagen’s sustainability initiatives that resonate most with consumers. Are consumers more influenced by Volkswagen’s efforts in electric vehicle production, emission reductions, or other green practices? Identifying these elements can help Volkswagen optimise its sustainability strategy to better align with consumer values and preferences, ultimately enhancing its competitive position.</w:t>
      </w:r>
    </w:p>
    <w:p w14:paraId="5FB0ED40" w14:textId="77777777" w:rsidR="0067740A" w:rsidRDefault="0067740A">
      <w:pPr>
        <w:autoSpaceDE w:val="0"/>
        <w:autoSpaceDN w:val="0"/>
        <w:adjustRightInd w:val="0"/>
        <w:spacing w:line="360" w:lineRule="auto"/>
        <w:rPr>
          <w:rFonts w:ascii="Arial" w:hAnsi="Arial" w:cs="Arial"/>
          <w:color w:val="000000" w:themeColor="text1"/>
          <w:lang w:val="en-GB"/>
        </w:rPr>
      </w:pPr>
    </w:p>
    <w:p w14:paraId="218A9D1F" w14:textId="77777777" w:rsidR="0067740A" w:rsidRDefault="0067740A">
      <w:pPr>
        <w:autoSpaceDE w:val="0"/>
        <w:autoSpaceDN w:val="0"/>
        <w:adjustRightInd w:val="0"/>
        <w:spacing w:line="360" w:lineRule="auto"/>
        <w:rPr>
          <w:rFonts w:ascii="Arial" w:hAnsi="Arial" w:cs="Arial"/>
          <w:color w:val="000000" w:themeColor="text1"/>
          <w:lang w:val="en-GB"/>
        </w:rPr>
      </w:pPr>
    </w:p>
    <w:p w14:paraId="5DBA852D" w14:textId="77777777" w:rsidR="0067740A" w:rsidRDefault="0067740A">
      <w:pPr>
        <w:autoSpaceDE w:val="0"/>
        <w:autoSpaceDN w:val="0"/>
        <w:adjustRightInd w:val="0"/>
        <w:spacing w:line="360" w:lineRule="auto"/>
        <w:rPr>
          <w:rFonts w:ascii="Arial" w:hAnsi="Arial" w:cs="Arial"/>
          <w:color w:val="000000" w:themeColor="text1"/>
          <w:lang w:val="en-GB"/>
        </w:rPr>
      </w:pPr>
    </w:p>
    <w:p w14:paraId="57940429" w14:textId="77777777" w:rsidR="0067740A" w:rsidRDefault="0067740A">
      <w:pPr>
        <w:autoSpaceDE w:val="0"/>
        <w:autoSpaceDN w:val="0"/>
        <w:adjustRightInd w:val="0"/>
        <w:spacing w:line="360" w:lineRule="auto"/>
        <w:rPr>
          <w:rFonts w:ascii="Arial" w:hAnsi="Arial" w:cs="Arial"/>
          <w:color w:val="000000" w:themeColor="text1"/>
          <w:lang w:val="en-GB"/>
        </w:rPr>
      </w:pPr>
    </w:p>
    <w:p w14:paraId="6470798D" w14:textId="77777777" w:rsidR="0067740A" w:rsidRDefault="0067740A">
      <w:pPr>
        <w:autoSpaceDE w:val="0"/>
        <w:autoSpaceDN w:val="0"/>
        <w:adjustRightInd w:val="0"/>
        <w:spacing w:line="360" w:lineRule="auto"/>
        <w:rPr>
          <w:rFonts w:ascii="Arial" w:hAnsi="Arial" w:cs="Arial"/>
          <w:color w:val="000000" w:themeColor="text1"/>
          <w:lang w:val="en-GB"/>
        </w:rPr>
      </w:pPr>
    </w:p>
    <w:p w14:paraId="49F3FC33" w14:textId="77777777" w:rsidR="0067740A" w:rsidRDefault="0067740A">
      <w:pPr>
        <w:autoSpaceDE w:val="0"/>
        <w:autoSpaceDN w:val="0"/>
        <w:adjustRightInd w:val="0"/>
        <w:spacing w:line="360" w:lineRule="auto"/>
        <w:rPr>
          <w:rFonts w:ascii="Arial" w:hAnsi="Arial" w:cs="Arial"/>
          <w:color w:val="000000" w:themeColor="text1"/>
          <w:lang w:val="en-GB"/>
        </w:rPr>
      </w:pPr>
    </w:p>
    <w:p w14:paraId="301F1289" w14:textId="77777777" w:rsidR="0067740A" w:rsidRDefault="0067740A">
      <w:pPr>
        <w:autoSpaceDE w:val="0"/>
        <w:autoSpaceDN w:val="0"/>
        <w:adjustRightInd w:val="0"/>
        <w:spacing w:line="360" w:lineRule="auto"/>
        <w:rPr>
          <w:rFonts w:ascii="Arial" w:hAnsi="Arial" w:cs="Arial"/>
          <w:color w:val="000000" w:themeColor="text1"/>
          <w:lang w:val="en-GB"/>
        </w:rPr>
      </w:pPr>
    </w:p>
    <w:p w14:paraId="3316DBBA" w14:textId="77777777" w:rsidR="0067740A" w:rsidRDefault="00000000">
      <w:pPr>
        <w:rPr>
          <w:rFonts w:ascii="Arial" w:hAnsi="Arial" w:cs="Arial"/>
          <w:color w:val="000000" w:themeColor="text1"/>
          <w:lang w:val="en-GB"/>
        </w:rPr>
      </w:pPr>
      <w:r>
        <w:rPr>
          <w:rFonts w:ascii="Arial" w:hAnsi="Arial" w:cs="Arial"/>
          <w:color w:val="000000" w:themeColor="text1"/>
          <w:lang w:val="en-GB"/>
        </w:rPr>
        <w:br w:type="page"/>
      </w:r>
    </w:p>
    <w:p w14:paraId="0EF82CC4" w14:textId="77777777" w:rsidR="0067740A" w:rsidRDefault="00000000">
      <w:pPr>
        <w:pStyle w:val="2"/>
        <w:numPr>
          <w:ilvl w:val="1"/>
          <w:numId w:val="2"/>
        </w:numPr>
        <w:rPr>
          <w:rFonts w:ascii="Arial" w:hAnsi="Arial" w:cs="Arial"/>
          <w:szCs w:val="24"/>
        </w:rPr>
      </w:pPr>
      <w:bookmarkStart w:id="6" w:name="_Toc177665997"/>
      <w:r>
        <w:rPr>
          <w:rFonts w:ascii="Arial" w:hAnsi="Arial" w:cs="Arial"/>
          <w:szCs w:val="24"/>
        </w:rPr>
        <w:lastRenderedPageBreak/>
        <w:t>Research Objectives</w:t>
      </w:r>
      <w:bookmarkEnd w:id="6"/>
    </w:p>
    <w:p w14:paraId="61DA0589" w14:textId="77777777" w:rsidR="0067740A" w:rsidRDefault="00000000">
      <w:pPr>
        <w:pStyle w:val="af"/>
        <w:spacing w:line="360" w:lineRule="auto"/>
        <w:ind w:firstLine="567"/>
        <w:rPr>
          <w:rFonts w:ascii="Arial" w:hAnsi="Arial" w:cs="Arial"/>
        </w:rPr>
      </w:pPr>
      <w:r>
        <w:rPr>
          <w:rFonts w:ascii="Arial" w:hAnsi="Arial" w:cs="Arial"/>
        </w:rPr>
        <w:t>The first objective is to conduct a comprehensive analysis of Volkswagen’s sustainability initiatives within the Chinese automotive market. This involves examining the company’s focus on electric vehicles, green manufacturing, emission reduction efforts, and sustainable supply chain practices to assess its commitment to environmental responsibility.</w:t>
      </w:r>
    </w:p>
    <w:p w14:paraId="04134AAA" w14:textId="77777777" w:rsidR="0067740A" w:rsidRDefault="00000000">
      <w:pPr>
        <w:pStyle w:val="af"/>
        <w:spacing w:line="360" w:lineRule="auto"/>
        <w:ind w:firstLine="567"/>
        <w:rPr>
          <w:rFonts w:ascii="Arial" w:hAnsi="Arial" w:cs="Arial"/>
        </w:rPr>
      </w:pPr>
      <w:r>
        <w:rPr>
          <w:rFonts w:ascii="Arial" w:hAnsi="Arial" w:cs="Arial"/>
        </w:rPr>
        <w:t>The second objective is to investigate how Chinese consumers perceive Volkswagen’s sustainability practices. This entails exploring factors such as consumer awareness, trust in environmental claims, and the perceived effectiveness of Volkswagen’s green initiatives, with the goal of understanding consumer attitudes and beliefs.</w:t>
      </w:r>
    </w:p>
    <w:p w14:paraId="732412D4" w14:textId="77777777" w:rsidR="0067740A" w:rsidRDefault="00000000">
      <w:pPr>
        <w:pStyle w:val="af"/>
        <w:spacing w:line="360" w:lineRule="auto"/>
        <w:ind w:firstLine="567"/>
        <w:rPr>
          <w:rFonts w:ascii="Arial" w:hAnsi="Arial" w:cs="Arial"/>
        </w:rPr>
      </w:pPr>
      <w:r>
        <w:rPr>
          <w:rFonts w:ascii="Arial" w:hAnsi="Arial" w:cs="Arial"/>
        </w:rPr>
        <w:t>Next, the research seeks to evaluate the impact of consumer perceptions on Volkswagen’s competitive advantage. This involves assessing whether positive views on sustainability translate into tangible business benefits, such as increased brand loyalty, market share, customer satisfaction, and overall profitability.</w:t>
      </w:r>
    </w:p>
    <w:p w14:paraId="49F33C43" w14:textId="77777777" w:rsidR="0067740A" w:rsidRDefault="00000000">
      <w:pPr>
        <w:pStyle w:val="af"/>
        <w:spacing w:line="360" w:lineRule="auto"/>
        <w:ind w:firstLine="567"/>
        <w:rPr>
          <w:rFonts w:ascii="Arial" w:hAnsi="Arial" w:cs="Arial"/>
        </w:rPr>
      </w:pPr>
      <w:r>
        <w:rPr>
          <w:rFonts w:ascii="Arial" w:hAnsi="Arial" w:cs="Arial"/>
        </w:rPr>
        <w:t>Finally, the research aims to provide strategic recommendations for Volkswagen. These insights will help enhance the company’s sustainability initiatives, ensuring they align more effectively with consumer expectations while offering opportunities to improve market positioning through marketing, product development, and stakeholder engagement.</w:t>
      </w:r>
      <w:bookmarkStart w:id="7" w:name="OLE_LINK99"/>
      <w:bookmarkStart w:id="8" w:name="OLE_LINK100"/>
    </w:p>
    <w:p w14:paraId="135BA9BD" w14:textId="77777777" w:rsidR="0067740A" w:rsidRDefault="0067740A">
      <w:pPr>
        <w:pStyle w:val="af"/>
        <w:spacing w:line="360" w:lineRule="auto"/>
        <w:rPr>
          <w:rFonts w:ascii="Arial" w:hAnsi="Arial" w:cs="Arial"/>
        </w:rPr>
      </w:pPr>
    </w:p>
    <w:p w14:paraId="3E8B7181" w14:textId="77777777" w:rsidR="0067740A" w:rsidRDefault="0067740A">
      <w:pPr>
        <w:pStyle w:val="af"/>
        <w:spacing w:line="360" w:lineRule="auto"/>
        <w:rPr>
          <w:rFonts w:ascii="Arial" w:hAnsi="Arial" w:cs="Arial"/>
        </w:rPr>
      </w:pPr>
    </w:p>
    <w:p w14:paraId="068E4466" w14:textId="77777777" w:rsidR="0067740A" w:rsidRDefault="00000000">
      <w:pPr>
        <w:rPr>
          <w:rFonts w:ascii="Arial" w:hAnsi="Arial" w:cs="Arial"/>
        </w:rPr>
      </w:pPr>
      <w:r>
        <w:rPr>
          <w:rFonts w:ascii="Arial" w:hAnsi="Arial" w:cs="Arial"/>
        </w:rPr>
        <w:br w:type="page"/>
      </w:r>
    </w:p>
    <w:p w14:paraId="1AE2AB10" w14:textId="77777777" w:rsidR="0067740A" w:rsidRDefault="00000000">
      <w:pPr>
        <w:pStyle w:val="2"/>
        <w:numPr>
          <w:ilvl w:val="1"/>
          <w:numId w:val="2"/>
        </w:numPr>
        <w:rPr>
          <w:rFonts w:ascii="Arial" w:hAnsi="Arial" w:cs="Arial"/>
          <w:szCs w:val="24"/>
        </w:rPr>
      </w:pPr>
      <w:bookmarkStart w:id="9" w:name="_Toc177665998"/>
      <w:r>
        <w:rPr>
          <w:rFonts w:ascii="Arial" w:hAnsi="Arial" w:cs="Arial"/>
          <w:szCs w:val="24"/>
        </w:rPr>
        <w:lastRenderedPageBreak/>
        <w:t>Research Questions</w:t>
      </w:r>
      <w:bookmarkEnd w:id="9"/>
    </w:p>
    <w:p w14:paraId="04C94C86" w14:textId="77777777" w:rsidR="0067740A" w:rsidRDefault="00000000">
      <w:pPr>
        <w:pStyle w:val="af"/>
        <w:spacing w:line="360" w:lineRule="auto"/>
        <w:ind w:firstLine="567"/>
        <w:rPr>
          <w:rFonts w:ascii="Arial" w:hAnsi="Arial" w:cs="Arial"/>
        </w:rPr>
      </w:pPr>
      <w:r>
        <w:rPr>
          <w:rFonts w:ascii="Arial" w:hAnsi="Arial" w:cs="Arial"/>
        </w:rPr>
        <w:t xml:space="preserve">The first question explores </w:t>
      </w:r>
      <w:r>
        <w:t>Volkswagen’s key sustainability initiatives</w:t>
      </w:r>
      <w:r>
        <w:rPr>
          <w:rFonts w:ascii="Arial" w:hAnsi="Arial" w:cs="Arial"/>
        </w:rPr>
        <w:t xml:space="preserve"> in the Chinese automotive market. It aims to provide a comprehensive understanding of the company’s efforts, including </w:t>
      </w:r>
      <w:r>
        <w:t>EV technology innovations</w:t>
      </w:r>
      <w:r>
        <w:rPr>
          <w:rFonts w:ascii="Arial" w:hAnsi="Arial" w:cs="Arial"/>
        </w:rPr>
        <w:t xml:space="preserve">, improvements in </w:t>
      </w:r>
      <w:r>
        <w:t>energy efficiency</w:t>
      </w:r>
      <w:r>
        <w:rPr>
          <w:rFonts w:ascii="Arial" w:hAnsi="Arial" w:cs="Arial"/>
        </w:rPr>
        <w:t xml:space="preserve">, </w:t>
      </w:r>
      <w:r>
        <w:t>carbon emission reductions</w:t>
      </w:r>
      <w:r>
        <w:rPr>
          <w:rFonts w:ascii="Arial" w:hAnsi="Arial" w:cs="Arial"/>
        </w:rPr>
        <w:t xml:space="preserve">, and </w:t>
      </w:r>
      <w:r>
        <w:t>sustainable sourcing</w:t>
      </w:r>
      <w:r>
        <w:rPr>
          <w:rFonts w:ascii="Arial" w:hAnsi="Arial" w:cs="Arial"/>
        </w:rPr>
        <w:t xml:space="preserve"> practices.</w:t>
      </w:r>
    </w:p>
    <w:p w14:paraId="39895DA3" w14:textId="77777777" w:rsidR="0067740A" w:rsidRDefault="00000000">
      <w:pPr>
        <w:pStyle w:val="af"/>
        <w:spacing w:line="360" w:lineRule="auto"/>
        <w:ind w:firstLine="567"/>
        <w:rPr>
          <w:rFonts w:ascii="Arial" w:hAnsi="Arial" w:cs="Arial"/>
        </w:rPr>
      </w:pPr>
      <w:r>
        <w:rPr>
          <w:rFonts w:ascii="Arial" w:hAnsi="Arial" w:cs="Arial"/>
        </w:rPr>
        <w:t xml:space="preserve">The second question investigates </w:t>
      </w:r>
      <w:r>
        <w:t>Chinese consumer perceptions</w:t>
      </w:r>
      <w:r>
        <w:rPr>
          <w:rFonts w:ascii="Arial" w:hAnsi="Arial" w:cs="Arial"/>
        </w:rPr>
        <w:t xml:space="preserve"> of Volkswagen’s green practices. It seeks to understand levels of </w:t>
      </w:r>
      <w:r>
        <w:t>awareness</w:t>
      </w:r>
      <w:r>
        <w:rPr>
          <w:rFonts w:ascii="Arial" w:hAnsi="Arial" w:cs="Arial"/>
        </w:rPr>
        <w:t xml:space="preserve">, </w:t>
      </w:r>
      <w:r>
        <w:t>trust</w:t>
      </w:r>
      <w:r>
        <w:rPr>
          <w:rFonts w:ascii="Arial" w:hAnsi="Arial" w:cs="Arial"/>
        </w:rPr>
        <w:t xml:space="preserve">, and </w:t>
      </w:r>
      <w:r>
        <w:t>belief in effectiveness</w:t>
      </w:r>
      <w:r>
        <w:rPr>
          <w:rFonts w:ascii="Arial" w:hAnsi="Arial" w:cs="Arial"/>
        </w:rPr>
        <w:t xml:space="preserve">, while analysing factors such as </w:t>
      </w:r>
      <w:r>
        <w:t>media influence</w:t>
      </w:r>
      <w:r>
        <w:rPr>
          <w:rFonts w:ascii="Arial" w:hAnsi="Arial" w:cs="Arial"/>
        </w:rPr>
        <w:t xml:space="preserve">, </w:t>
      </w:r>
      <w:r>
        <w:t>brand communication</w:t>
      </w:r>
      <w:r>
        <w:rPr>
          <w:rFonts w:ascii="Arial" w:hAnsi="Arial" w:cs="Arial"/>
        </w:rPr>
        <w:t xml:space="preserve">, and </w:t>
      </w:r>
      <w:r>
        <w:t>cultural dynamics</w:t>
      </w:r>
      <w:r>
        <w:rPr>
          <w:rFonts w:ascii="Arial" w:hAnsi="Arial" w:cs="Arial"/>
        </w:rPr>
        <w:t xml:space="preserve"> shaping these attitudes.</w:t>
      </w:r>
    </w:p>
    <w:p w14:paraId="65DA0F74" w14:textId="77777777" w:rsidR="0067740A" w:rsidRDefault="00000000">
      <w:pPr>
        <w:pStyle w:val="af"/>
        <w:spacing w:line="360" w:lineRule="auto"/>
        <w:ind w:firstLine="567"/>
        <w:rPr>
          <w:rFonts w:ascii="Arial" w:hAnsi="Arial" w:cs="Arial"/>
        </w:rPr>
      </w:pPr>
      <w:r>
        <w:rPr>
          <w:rFonts w:ascii="Arial" w:hAnsi="Arial" w:cs="Arial"/>
        </w:rPr>
        <w:t xml:space="preserve">The third question examines the relationship between </w:t>
      </w:r>
      <w:r>
        <w:t>consumer perceptions</w:t>
      </w:r>
      <w:r>
        <w:rPr>
          <w:rFonts w:ascii="Arial" w:hAnsi="Arial" w:cs="Arial"/>
        </w:rPr>
        <w:t xml:space="preserve"> of sustainability and Volkswagen’s </w:t>
      </w:r>
      <w:r>
        <w:t>competitive advantage</w:t>
      </w:r>
      <w:r>
        <w:rPr>
          <w:rFonts w:ascii="Arial" w:hAnsi="Arial" w:cs="Arial"/>
        </w:rPr>
        <w:t xml:space="preserve"> in the Chinese market. It focuses on whether positive consumer perceptions lead to </w:t>
      </w:r>
      <w:r>
        <w:t>brand loyalty</w:t>
      </w:r>
      <w:r>
        <w:rPr>
          <w:rFonts w:ascii="Arial" w:hAnsi="Arial" w:cs="Arial"/>
        </w:rPr>
        <w:t xml:space="preserve">, </w:t>
      </w:r>
      <w:r>
        <w:t>customer satisfaction</w:t>
      </w:r>
      <w:r>
        <w:rPr>
          <w:rFonts w:ascii="Arial" w:hAnsi="Arial" w:cs="Arial"/>
        </w:rPr>
        <w:t xml:space="preserve">, and </w:t>
      </w:r>
      <w:r>
        <w:t>market share growth</w:t>
      </w:r>
      <w:r>
        <w:rPr>
          <w:rFonts w:ascii="Arial" w:hAnsi="Arial" w:cs="Arial"/>
        </w:rPr>
        <w:t xml:space="preserve">, assessing how consumer attitudes affect </w:t>
      </w:r>
      <w:r>
        <w:t>sales</w:t>
      </w:r>
      <w:r>
        <w:rPr>
          <w:rFonts w:ascii="Arial" w:hAnsi="Arial" w:cs="Arial"/>
        </w:rPr>
        <w:t xml:space="preserve">, </w:t>
      </w:r>
      <w:r>
        <w:t>profitability</w:t>
      </w:r>
      <w:r>
        <w:rPr>
          <w:rFonts w:ascii="Arial" w:hAnsi="Arial" w:cs="Arial"/>
        </w:rPr>
        <w:t xml:space="preserve">, and </w:t>
      </w:r>
      <w:r>
        <w:t>market positioning</w:t>
      </w:r>
      <w:r>
        <w:rPr>
          <w:rFonts w:ascii="Arial" w:hAnsi="Arial" w:cs="Arial"/>
        </w:rPr>
        <w:t>.</w:t>
      </w:r>
    </w:p>
    <w:p w14:paraId="798FBBCA" w14:textId="77777777" w:rsidR="0067740A" w:rsidRDefault="00000000">
      <w:pPr>
        <w:pStyle w:val="af"/>
        <w:spacing w:line="360" w:lineRule="auto"/>
        <w:ind w:firstLine="567"/>
        <w:rPr>
          <w:rFonts w:ascii="Arial" w:hAnsi="Arial" w:cs="Arial"/>
        </w:rPr>
      </w:pPr>
      <w:r>
        <w:rPr>
          <w:rFonts w:ascii="Arial" w:hAnsi="Arial" w:cs="Arial"/>
        </w:rPr>
        <w:t xml:space="preserve">The final question seeks to identify </w:t>
      </w:r>
      <w:r>
        <w:t>strategic actions</w:t>
      </w:r>
      <w:r>
        <w:rPr>
          <w:rFonts w:ascii="Arial" w:hAnsi="Arial" w:cs="Arial"/>
        </w:rPr>
        <w:t xml:space="preserve"> Volkswagen can take to improve its sustainability efforts and enhance its competitive standing. This question aims to develop </w:t>
      </w:r>
      <w:r>
        <w:t>recommendations</w:t>
      </w:r>
      <w:r>
        <w:rPr>
          <w:rFonts w:ascii="Arial" w:hAnsi="Arial" w:cs="Arial"/>
        </w:rPr>
        <w:t xml:space="preserve"> for aligning Volkswagen’s sustainability initiatives with </w:t>
      </w:r>
      <w:r>
        <w:t>consumer expectations</w:t>
      </w:r>
      <w:r>
        <w:rPr>
          <w:rFonts w:ascii="Arial" w:hAnsi="Arial" w:cs="Arial"/>
        </w:rPr>
        <w:t xml:space="preserve">, enhancing </w:t>
      </w:r>
      <w:r>
        <w:t>performance</w:t>
      </w:r>
      <w:r>
        <w:rPr>
          <w:rFonts w:ascii="Arial" w:hAnsi="Arial" w:cs="Arial"/>
        </w:rPr>
        <w:t xml:space="preserve">, and leveraging sustainability for a </w:t>
      </w:r>
      <w:r>
        <w:t>stronger market position</w:t>
      </w:r>
      <w:r>
        <w:rPr>
          <w:rFonts w:ascii="Arial" w:hAnsi="Arial" w:cs="Arial"/>
        </w:rPr>
        <w:t xml:space="preserve"> in China.</w:t>
      </w:r>
    </w:p>
    <w:p w14:paraId="1A242EBE" w14:textId="77777777" w:rsidR="0067740A" w:rsidRDefault="0067740A">
      <w:pPr>
        <w:spacing w:line="360" w:lineRule="auto"/>
        <w:rPr>
          <w:rFonts w:ascii="Arial" w:hAnsi="Arial" w:cs="Arial"/>
          <w:lang w:val="en-GB"/>
        </w:rPr>
      </w:pPr>
    </w:p>
    <w:p w14:paraId="7921FA53" w14:textId="77777777" w:rsidR="0067740A" w:rsidRDefault="0067740A">
      <w:pPr>
        <w:spacing w:line="360" w:lineRule="auto"/>
        <w:rPr>
          <w:rFonts w:ascii="Arial" w:hAnsi="Arial" w:cs="Arial"/>
          <w:lang w:val="en-GB"/>
        </w:rPr>
      </w:pPr>
    </w:p>
    <w:p w14:paraId="278D310C" w14:textId="77777777" w:rsidR="0067740A" w:rsidRDefault="0067740A">
      <w:pPr>
        <w:spacing w:line="360" w:lineRule="auto"/>
        <w:rPr>
          <w:rFonts w:ascii="Arial" w:hAnsi="Arial" w:cs="Arial"/>
          <w:lang w:val="en-GB"/>
        </w:rPr>
      </w:pPr>
    </w:p>
    <w:p w14:paraId="6E9F6C9A" w14:textId="77777777" w:rsidR="0067740A" w:rsidRDefault="0067740A">
      <w:pPr>
        <w:spacing w:line="360" w:lineRule="auto"/>
        <w:rPr>
          <w:rFonts w:ascii="Arial" w:hAnsi="Arial" w:cs="Arial"/>
          <w:lang w:val="en-GB"/>
        </w:rPr>
      </w:pPr>
    </w:p>
    <w:p w14:paraId="75164894" w14:textId="77777777" w:rsidR="0067740A" w:rsidRDefault="00000000">
      <w:pPr>
        <w:rPr>
          <w:rFonts w:ascii="Arial" w:hAnsi="Arial" w:cs="Arial"/>
          <w:lang w:val="en-GB"/>
        </w:rPr>
      </w:pPr>
      <w:r>
        <w:rPr>
          <w:rFonts w:ascii="Arial" w:hAnsi="Arial" w:cs="Arial"/>
          <w:lang w:val="en-GB"/>
        </w:rPr>
        <w:br w:type="page"/>
      </w:r>
    </w:p>
    <w:p w14:paraId="72EB4089" w14:textId="77777777" w:rsidR="0067740A" w:rsidRDefault="00000000">
      <w:pPr>
        <w:pStyle w:val="2"/>
        <w:numPr>
          <w:ilvl w:val="1"/>
          <w:numId w:val="2"/>
        </w:numPr>
        <w:rPr>
          <w:rFonts w:ascii="Arial" w:hAnsi="Arial" w:cs="Arial"/>
          <w:szCs w:val="24"/>
        </w:rPr>
      </w:pPr>
      <w:bookmarkStart w:id="10" w:name="_Toc177665999"/>
      <w:bookmarkEnd w:id="7"/>
      <w:bookmarkEnd w:id="8"/>
      <w:r>
        <w:rPr>
          <w:rFonts w:ascii="Arial" w:hAnsi="Arial" w:cs="Arial"/>
          <w:szCs w:val="24"/>
        </w:rPr>
        <w:lastRenderedPageBreak/>
        <w:t>Researcher’s Interest</w:t>
      </w:r>
      <w:bookmarkEnd w:id="10"/>
    </w:p>
    <w:p w14:paraId="4617C1D4" w14:textId="77777777" w:rsidR="0067740A" w:rsidRDefault="00000000">
      <w:pPr>
        <w:pStyle w:val="af"/>
        <w:spacing w:line="360" w:lineRule="auto"/>
        <w:ind w:firstLine="567"/>
        <w:rPr>
          <w:rFonts w:ascii="Arial" w:hAnsi="Arial" w:cs="Arial"/>
        </w:rPr>
      </w:pPr>
      <w:r>
        <w:rPr>
          <w:rFonts w:ascii="Arial" w:hAnsi="Arial" w:cs="Arial"/>
          <w:color w:val="000000" w:themeColor="text1"/>
        </w:rPr>
        <w:t>T</w:t>
      </w:r>
      <w:r>
        <w:rPr>
          <w:rFonts w:ascii="Arial" w:hAnsi="Arial" w:cs="Arial"/>
        </w:rPr>
        <w:t>he motivation for this research stems from a personal interest in sustainability and its implications for the automotive industry. The automotive sector is at a critical juncture where environmental sustainability is not only a regulatory requirement but also a market differentiator. With growing environmental awareness, consumers are increasingly considering the sustainability practices of companies when making purchasing decisions. This trend is particularly pronounced in China, where government policies and consumer attitudes are strongly aligned towards environmental sustainability.</w:t>
      </w:r>
    </w:p>
    <w:p w14:paraId="1873B7D0" w14:textId="77777777" w:rsidR="0067740A" w:rsidRDefault="00000000">
      <w:pPr>
        <w:pStyle w:val="af"/>
        <w:spacing w:line="360" w:lineRule="auto"/>
        <w:ind w:firstLine="567"/>
        <w:rPr>
          <w:rFonts w:ascii="Arial" w:hAnsi="Arial" w:cs="Arial"/>
        </w:rPr>
      </w:pPr>
      <w:r>
        <w:rPr>
          <w:rFonts w:ascii="Arial" w:hAnsi="Arial" w:cs="Arial"/>
        </w:rPr>
        <w:t xml:space="preserve">By exploring the strategic management of sustainability initiatives from a consumer perspective, this research aims to provide actionable insights that can help automotive companies like Volkswagen enhance their sustainability efforts and competitive advantage. </w:t>
      </w:r>
    </w:p>
    <w:p w14:paraId="2A5F5937" w14:textId="77777777" w:rsidR="0067740A" w:rsidRDefault="00000000">
      <w:pPr>
        <w:pStyle w:val="af"/>
        <w:spacing w:line="360" w:lineRule="auto"/>
        <w:ind w:firstLine="567"/>
        <w:rPr>
          <w:rFonts w:ascii="Arial" w:hAnsi="Arial" w:cs="Arial"/>
        </w:rPr>
      </w:pPr>
      <w:r>
        <w:rPr>
          <w:rFonts w:ascii="Arial" w:hAnsi="Arial" w:cs="Arial"/>
        </w:rPr>
        <w:t>Moreover, understanding consumer perceptions can contribute to the broader discourse on sustainable business practices and their role in fostering long-term success. This research is not only academically relevant but also practically significant, as it addresses real-world challenges faced by companies in the transition towards sustainable business models.</w:t>
      </w:r>
    </w:p>
    <w:p w14:paraId="26EE64BB" w14:textId="77777777" w:rsidR="0067740A" w:rsidRDefault="0067740A">
      <w:pPr>
        <w:autoSpaceDE w:val="0"/>
        <w:autoSpaceDN w:val="0"/>
        <w:adjustRightInd w:val="0"/>
        <w:spacing w:line="360" w:lineRule="auto"/>
        <w:ind w:firstLine="567"/>
        <w:rPr>
          <w:rFonts w:ascii="Arial" w:hAnsi="Arial" w:cs="Arial"/>
          <w:color w:val="000000" w:themeColor="text1"/>
        </w:rPr>
      </w:pPr>
    </w:p>
    <w:p w14:paraId="229B13EE" w14:textId="77777777" w:rsidR="0067740A" w:rsidRDefault="0067740A">
      <w:pPr>
        <w:autoSpaceDE w:val="0"/>
        <w:autoSpaceDN w:val="0"/>
        <w:adjustRightInd w:val="0"/>
        <w:spacing w:line="360" w:lineRule="auto"/>
        <w:ind w:firstLine="567"/>
        <w:rPr>
          <w:rFonts w:ascii="Arial" w:hAnsi="Arial" w:cs="Arial"/>
          <w:color w:val="000000" w:themeColor="text1"/>
        </w:rPr>
      </w:pPr>
    </w:p>
    <w:p w14:paraId="32585B91" w14:textId="77777777" w:rsidR="0067740A" w:rsidRDefault="0067740A">
      <w:pPr>
        <w:autoSpaceDE w:val="0"/>
        <w:autoSpaceDN w:val="0"/>
        <w:adjustRightInd w:val="0"/>
        <w:spacing w:line="360" w:lineRule="auto"/>
        <w:ind w:firstLine="567"/>
        <w:rPr>
          <w:rFonts w:ascii="Arial" w:hAnsi="Arial" w:cs="Arial"/>
          <w:color w:val="000000" w:themeColor="text1"/>
        </w:rPr>
      </w:pPr>
    </w:p>
    <w:p w14:paraId="02BD95CF" w14:textId="77777777" w:rsidR="0067740A" w:rsidRDefault="0067740A">
      <w:pPr>
        <w:autoSpaceDE w:val="0"/>
        <w:autoSpaceDN w:val="0"/>
        <w:adjustRightInd w:val="0"/>
        <w:spacing w:line="360" w:lineRule="auto"/>
        <w:ind w:firstLine="567"/>
        <w:rPr>
          <w:rFonts w:ascii="Arial" w:hAnsi="Arial" w:cs="Arial"/>
          <w:color w:val="000000" w:themeColor="text1"/>
        </w:rPr>
      </w:pPr>
    </w:p>
    <w:p w14:paraId="3E28C84B" w14:textId="77777777" w:rsidR="0067740A" w:rsidRDefault="0067740A">
      <w:pPr>
        <w:autoSpaceDE w:val="0"/>
        <w:autoSpaceDN w:val="0"/>
        <w:adjustRightInd w:val="0"/>
        <w:spacing w:line="360" w:lineRule="auto"/>
        <w:ind w:firstLine="567"/>
        <w:rPr>
          <w:rFonts w:ascii="Arial" w:hAnsi="Arial" w:cs="Arial"/>
          <w:color w:val="000000" w:themeColor="text1"/>
        </w:rPr>
      </w:pPr>
    </w:p>
    <w:p w14:paraId="3D98B187" w14:textId="77777777" w:rsidR="0067740A" w:rsidRDefault="0067740A">
      <w:pPr>
        <w:autoSpaceDE w:val="0"/>
        <w:autoSpaceDN w:val="0"/>
        <w:adjustRightInd w:val="0"/>
        <w:spacing w:line="360" w:lineRule="auto"/>
        <w:ind w:firstLine="567"/>
        <w:rPr>
          <w:rFonts w:ascii="Arial" w:hAnsi="Arial" w:cs="Arial"/>
          <w:color w:val="000000" w:themeColor="text1"/>
        </w:rPr>
      </w:pPr>
    </w:p>
    <w:p w14:paraId="25DF4F14" w14:textId="77777777" w:rsidR="0067740A" w:rsidRDefault="0067740A">
      <w:pPr>
        <w:autoSpaceDE w:val="0"/>
        <w:autoSpaceDN w:val="0"/>
        <w:adjustRightInd w:val="0"/>
        <w:spacing w:line="360" w:lineRule="auto"/>
        <w:ind w:firstLine="567"/>
        <w:rPr>
          <w:rFonts w:ascii="Arial" w:hAnsi="Arial" w:cs="Arial"/>
          <w:color w:val="000000" w:themeColor="text1"/>
        </w:rPr>
      </w:pPr>
    </w:p>
    <w:p w14:paraId="02E96D3D" w14:textId="77777777" w:rsidR="0067740A" w:rsidRDefault="00000000">
      <w:pPr>
        <w:rPr>
          <w:rFonts w:ascii="Arial" w:hAnsi="Arial" w:cs="Arial"/>
          <w:color w:val="000000" w:themeColor="text1"/>
        </w:rPr>
      </w:pPr>
      <w:r>
        <w:rPr>
          <w:rFonts w:ascii="Arial" w:hAnsi="Arial" w:cs="Arial"/>
          <w:color w:val="000000" w:themeColor="text1"/>
        </w:rPr>
        <w:br w:type="page"/>
      </w:r>
    </w:p>
    <w:p w14:paraId="50106EC3" w14:textId="77777777" w:rsidR="0067740A" w:rsidRDefault="00000000">
      <w:pPr>
        <w:pStyle w:val="2"/>
        <w:numPr>
          <w:ilvl w:val="1"/>
          <w:numId w:val="2"/>
        </w:numPr>
        <w:rPr>
          <w:rFonts w:ascii="Arial" w:hAnsi="Arial" w:cs="Arial"/>
          <w:szCs w:val="24"/>
        </w:rPr>
      </w:pPr>
      <w:bookmarkStart w:id="11" w:name="_Toc177666000"/>
      <w:bookmarkStart w:id="12" w:name="OLE_LINK101"/>
      <w:bookmarkStart w:id="13" w:name="OLE_LINK102"/>
      <w:r>
        <w:rPr>
          <w:rFonts w:ascii="Arial" w:hAnsi="Arial" w:cs="Arial"/>
          <w:szCs w:val="24"/>
        </w:rPr>
        <w:lastRenderedPageBreak/>
        <w:t>Involved Stakeholders</w:t>
      </w:r>
      <w:bookmarkEnd w:id="11"/>
    </w:p>
    <w:p w14:paraId="21761220" w14:textId="77777777" w:rsidR="0067740A" w:rsidRDefault="00000000">
      <w:pPr>
        <w:pStyle w:val="af"/>
        <w:spacing w:line="360" w:lineRule="auto"/>
        <w:ind w:firstLine="567"/>
        <w:rPr>
          <w:rFonts w:ascii="Arial" w:hAnsi="Arial" w:cs="Arial"/>
        </w:rPr>
      </w:pPr>
      <w:r>
        <w:rPr>
          <w:rStyle w:val="af5"/>
          <w:rFonts w:ascii="Arial" w:hAnsi="Arial" w:cs="Arial"/>
          <w:b w:val="0"/>
          <w:bCs w:val="0"/>
        </w:rPr>
        <w:t>Volkswagen</w:t>
      </w:r>
      <w:r>
        <w:rPr>
          <w:rFonts w:ascii="Arial" w:hAnsi="Arial" w:cs="Arial"/>
          <w:b/>
          <w:bCs/>
        </w:rPr>
        <w:t xml:space="preserve"> </w:t>
      </w:r>
      <w:r>
        <w:rPr>
          <w:rFonts w:ascii="Arial" w:hAnsi="Arial" w:cs="Arial"/>
        </w:rPr>
        <w:t>serves as the primary stakeholder, with its sustainability initiatives being the focus of analysis to understand their implementation and impact within the Chinese market. This includes an exploration of the company’s strategies and policies for promoting sustainability.</w:t>
      </w:r>
    </w:p>
    <w:p w14:paraId="49A21397" w14:textId="77777777" w:rsidR="0067740A" w:rsidRDefault="00000000">
      <w:pPr>
        <w:pStyle w:val="af"/>
        <w:spacing w:line="360" w:lineRule="auto"/>
        <w:ind w:firstLine="567"/>
        <w:rPr>
          <w:rFonts w:ascii="Arial" w:hAnsi="Arial" w:cs="Arial"/>
        </w:rPr>
      </w:pPr>
      <w:r>
        <w:rPr>
          <w:rStyle w:val="af5"/>
          <w:rFonts w:ascii="Arial" w:hAnsi="Arial" w:cs="Arial"/>
          <w:b w:val="0"/>
          <w:bCs w:val="0"/>
        </w:rPr>
        <w:t>Chinese Consumers</w:t>
      </w:r>
      <w:r>
        <w:rPr>
          <w:rFonts w:ascii="Arial" w:hAnsi="Arial" w:cs="Arial"/>
        </w:rPr>
        <w:t xml:space="preserve"> represent the key demographic, whose perceptions and attitudes towards Volkswagen’s green practices are gathered through surveys and interviews. A diverse range of age groups, income levels, and educational backgrounds are considered to provide a holistic view.</w:t>
      </w:r>
    </w:p>
    <w:p w14:paraId="69D66A02" w14:textId="77777777" w:rsidR="0067740A" w:rsidRDefault="00000000">
      <w:pPr>
        <w:pStyle w:val="af"/>
        <w:spacing w:line="360" w:lineRule="auto"/>
        <w:ind w:firstLine="567"/>
        <w:rPr>
          <w:rFonts w:ascii="Arial" w:hAnsi="Arial" w:cs="Arial"/>
        </w:rPr>
      </w:pPr>
      <w:r>
        <w:rPr>
          <w:rStyle w:val="af5"/>
          <w:rFonts w:ascii="Arial" w:hAnsi="Arial" w:cs="Arial"/>
          <w:b w:val="0"/>
          <w:bCs w:val="0"/>
        </w:rPr>
        <w:t>Industry Experts</w:t>
      </w:r>
      <w:r>
        <w:rPr>
          <w:rFonts w:ascii="Arial" w:hAnsi="Arial" w:cs="Arial"/>
        </w:rPr>
        <w:t xml:space="preserve"> in automotive sustainability offer contextual insights, validating findings and interpreting data. Their expertise supports a broader understanding of the implications of Volkswagen’s sustainability actions.</w:t>
      </w:r>
    </w:p>
    <w:p w14:paraId="61ADCCFB" w14:textId="77777777" w:rsidR="0067740A" w:rsidRDefault="00000000">
      <w:pPr>
        <w:pStyle w:val="af"/>
        <w:spacing w:line="360" w:lineRule="auto"/>
        <w:ind w:firstLine="567"/>
        <w:rPr>
          <w:rFonts w:ascii="Arial" w:hAnsi="Arial" w:cs="Arial"/>
        </w:rPr>
      </w:pPr>
      <w:r>
        <w:rPr>
          <w:rStyle w:val="af5"/>
          <w:rFonts w:ascii="Arial" w:hAnsi="Arial" w:cs="Arial"/>
          <w:b w:val="0"/>
          <w:bCs w:val="0"/>
        </w:rPr>
        <w:t>Regulatory Bodies</w:t>
      </w:r>
      <w:r>
        <w:rPr>
          <w:rFonts w:ascii="Arial" w:hAnsi="Arial" w:cs="Arial"/>
        </w:rPr>
        <w:t xml:space="preserve"> in China indirectly influence the study through their policies and regulations. These governmental frameworks shape the strategic decisions of companies like Volkswagen, impacting their approach to sustainability.</w:t>
      </w:r>
    </w:p>
    <w:p w14:paraId="639D957E" w14:textId="77777777" w:rsidR="0067740A" w:rsidRDefault="0067740A">
      <w:pPr>
        <w:pStyle w:val="af"/>
        <w:spacing w:line="360" w:lineRule="auto"/>
        <w:ind w:firstLine="567"/>
        <w:rPr>
          <w:rFonts w:ascii="Arial" w:hAnsi="Arial" w:cs="Arial"/>
        </w:rPr>
      </w:pPr>
    </w:p>
    <w:p w14:paraId="2F7CFA96" w14:textId="77777777" w:rsidR="0067740A" w:rsidRDefault="0067740A">
      <w:pPr>
        <w:pStyle w:val="af"/>
        <w:spacing w:line="360" w:lineRule="auto"/>
        <w:ind w:firstLine="567"/>
        <w:rPr>
          <w:rFonts w:ascii="Arial" w:hAnsi="Arial" w:cs="Arial"/>
        </w:rPr>
      </w:pPr>
    </w:p>
    <w:p w14:paraId="68A610F9" w14:textId="77777777" w:rsidR="0067740A" w:rsidRDefault="0067740A">
      <w:pPr>
        <w:pStyle w:val="af"/>
        <w:spacing w:line="360" w:lineRule="auto"/>
        <w:ind w:firstLine="567"/>
        <w:rPr>
          <w:rFonts w:ascii="Arial" w:hAnsi="Arial" w:cs="Arial"/>
        </w:rPr>
      </w:pPr>
    </w:p>
    <w:p w14:paraId="45E62169" w14:textId="77777777" w:rsidR="0067740A" w:rsidRDefault="00000000">
      <w:pPr>
        <w:rPr>
          <w:rFonts w:ascii="Arial" w:hAnsi="Arial" w:cs="Arial"/>
        </w:rPr>
      </w:pPr>
      <w:r>
        <w:rPr>
          <w:rFonts w:ascii="Arial" w:hAnsi="Arial" w:cs="Arial"/>
        </w:rPr>
        <w:br w:type="page"/>
      </w:r>
    </w:p>
    <w:p w14:paraId="289C83C6" w14:textId="77777777" w:rsidR="0067740A" w:rsidRDefault="00000000">
      <w:pPr>
        <w:pStyle w:val="2"/>
        <w:numPr>
          <w:ilvl w:val="1"/>
          <w:numId w:val="2"/>
        </w:numPr>
        <w:rPr>
          <w:rFonts w:ascii="Arial" w:hAnsi="Arial" w:cs="Arial"/>
          <w:szCs w:val="24"/>
        </w:rPr>
      </w:pPr>
      <w:bookmarkStart w:id="14" w:name="_Toc177666001"/>
      <w:bookmarkStart w:id="15" w:name="OLE_LINK59"/>
      <w:bookmarkStart w:id="16" w:name="OLE_LINK60"/>
      <w:bookmarkEnd w:id="12"/>
      <w:bookmarkEnd w:id="13"/>
      <w:r>
        <w:rPr>
          <w:rFonts w:ascii="Arial" w:hAnsi="Arial" w:cs="Arial"/>
          <w:szCs w:val="24"/>
        </w:rPr>
        <w:lastRenderedPageBreak/>
        <w:t>Analytical Frameworks</w:t>
      </w:r>
      <w:bookmarkEnd w:id="14"/>
    </w:p>
    <w:p w14:paraId="1778197A" w14:textId="77777777" w:rsidR="0067740A" w:rsidRDefault="00000000">
      <w:pPr>
        <w:pStyle w:val="af"/>
        <w:spacing w:line="360" w:lineRule="auto"/>
        <w:ind w:firstLine="567"/>
        <w:rPr>
          <w:rFonts w:ascii="Arial" w:hAnsi="Arial" w:cs="Arial"/>
        </w:rPr>
      </w:pPr>
      <w:r>
        <w:rPr>
          <w:rFonts w:ascii="Arial" w:hAnsi="Arial" w:cs="Arial"/>
        </w:rPr>
        <w:t>This section employs the SWOT and PESTLE analytical frameworks to provide a comprehensive evaluation of Volkswagen's sustainability initiatives within the Chinese automotive market. These frameworks offer a holistic view of both the internal dynamics and the external macro-environmental factors that shape Volkswagen's strategic approach towards sustainability.</w:t>
      </w:r>
    </w:p>
    <w:p w14:paraId="757608ED" w14:textId="77777777" w:rsidR="0067740A" w:rsidRDefault="00000000">
      <w:pPr>
        <w:pStyle w:val="af"/>
        <w:spacing w:line="360" w:lineRule="auto"/>
        <w:ind w:firstLine="567"/>
        <w:rPr>
          <w:rFonts w:ascii="Arial" w:hAnsi="Arial" w:cs="Arial"/>
        </w:rPr>
      </w:pPr>
      <w:r>
        <w:rPr>
          <w:rFonts w:ascii="Arial" w:hAnsi="Arial" w:cs="Arial"/>
        </w:rPr>
        <w:t xml:space="preserve">The SWOT analysis focuses on identifying Volkswagen's internal strengths and weaknesses, as well as external opportunities and threats. This framework allows for an in-depth assessment of the company's core competencies, such as its strong brand reputation, technological advancements in electric vehicle (EV) production, and extensive research and development in sustainability practices. It also highlights internal challenges, including the high costs associated with green technologies and ongoing scepticism arising from previous controversies, such as the </w:t>
      </w:r>
      <w:proofErr w:type="spellStart"/>
      <w:r>
        <w:rPr>
          <w:rFonts w:ascii="Arial" w:hAnsi="Arial" w:cs="Arial"/>
        </w:rPr>
        <w:t>Dieselgate</w:t>
      </w:r>
      <w:proofErr w:type="spellEnd"/>
      <w:r>
        <w:rPr>
          <w:rFonts w:ascii="Arial" w:hAnsi="Arial" w:cs="Arial"/>
        </w:rPr>
        <w:t xml:space="preserve"> scandal. Furthermore, the SWOT analysis explores external opportunities, such as the growing demand for electric vehicles and supportive government policies in China, alongside threats from intense market competition and potential regulatory changes.</w:t>
      </w:r>
    </w:p>
    <w:p w14:paraId="4C41615C" w14:textId="77777777" w:rsidR="0067740A" w:rsidRDefault="00000000">
      <w:pPr>
        <w:pStyle w:val="af"/>
        <w:spacing w:line="360" w:lineRule="auto"/>
        <w:ind w:firstLine="567"/>
        <w:rPr>
          <w:rFonts w:ascii="Arial" w:hAnsi="Arial" w:cs="Arial"/>
        </w:rPr>
      </w:pPr>
      <w:r>
        <w:rPr>
          <w:rFonts w:ascii="Arial" w:hAnsi="Arial" w:cs="Arial"/>
        </w:rPr>
        <w:t xml:space="preserve">Complementing the SWOT analysis, the PESTLE framework examines the wider macro-environmental factors influencing Volkswagen’s sustainability initiatives. This analysis encompasses six key dimensions: political, economic, social, technological, legal, and environmental. In the political realm, it considers the Chinese government's pro-sustainability policies, which include incentives for electric vehicle manufacturers. Economically, it addresses the impacts of market growth, fluctuations in consumer purchasing power, and the influence of subsidies on electric vehicle adoption. The social dimension focuses on shifting consumer attitudes, particularly the increasing environmental awareness among Chinese consumers, while the technological aspect examines rapid advancements in EV technology, including battery efficiency and infrastructure. The legal component assesses compliance with stringent environmental regulations and intellectual property protection, whereas the environmental dimension </w:t>
      </w:r>
      <w:r>
        <w:rPr>
          <w:rFonts w:ascii="Arial" w:hAnsi="Arial" w:cs="Arial"/>
        </w:rPr>
        <w:lastRenderedPageBreak/>
        <w:t>explores China's initiatives to reduce carbon emissions and combat pollution, which align closely with Volkswagen’s strategic priorities.</w:t>
      </w:r>
    </w:p>
    <w:p w14:paraId="0340EA9B" w14:textId="77777777" w:rsidR="0067740A" w:rsidRDefault="00000000">
      <w:pPr>
        <w:pStyle w:val="af"/>
        <w:spacing w:line="360" w:lineRule="auto"/>
        <w:ind w:firstLine="567"/>
        <w:rPr>
          <w:rFonts w:ascii="Arial" w:hAnsi="Arial" w:cs="Arial"/>
        </w:rPr>
      </w:pPr>
      <w:r>
        <w:rPr>
          <w:rFonts w:ascii="Arial" w:hAnsi="Arial" w:cs="Arial"/>
        </w:rPr>
        <w:t>By integrating the insights gained from both SWOT and PESTLE analyses, this section provides a nuanced understanding of the complex environment in which Volkswagen operates. These frameworks not only reveal the internal strengths and external opportunities that Volkswagen can leverage but also underscore the challenges that need to be addressed to strengthen its competitive positioning. This combined analysis establishes a foundational context for the subsequent exploration of consumer perceptions, strategic recommendations, and potential areas for future research.</w:t>
      </w:r>
    </w:p>
    <w:p w14:paraId="6C74EA2A" w14:textId="77777777" w:rsidR="0067740A" w:rsidRDefault="00000000">
      <w:pPr>
        <w:rPr>
          <w:rFonts w:ascii="Arial" w:hAnsi="Arial" w:cs="Arial"/>
          <w:b/>
          <w:bCs/>
        </w:rPr>
      </w:pPr>
      <w:r>
        <w:rPr>
          <w:rFonts w:ascii="Arial" w:hAnsi="Arial" w:cs="Arial"/>
          <w:b/>
          <w:bCs/>
        </w:rPr>
        <w:t>SWOT Analysis</w:t>
      </w:r>
    </w:p>
    <w:p w14:paraId="5C482D64" w14:textId="77777777" w:rsidR="0067740A" w:rsidRDefault="0067740A"/>
    <w:tbl>
      <w:tblPr>
        <w:tblStyle w:val="af4"/>
        <w:tblW w:w="0" w:type="auto"/>
        <w:tblLook w:val="04A0" w:firstRow="1" w:lastRow="0" w:firstColumn="1" w:lastColumn="0" w:noHBand="0" w:noVBand="1"/>
      </w:tblPr>
      <w:tblGrid>
        <w:gridCol w:w="4675"/>
        <w:gridCol w:w="4675"/>
      </w:tblGrid>
      <w:tr w:rsidR="0067740A" w14:paraId="3B37D48E" w14:textId="77777777">
        <w:tc>
          <w:tcPr>
            <w:tcW w:w="4675" w:type="dxa"/>
          </w:tcPr>
          <w:p w14:paraId="580247E4" w14:textId="77777777" w:rsidR="0067740A" w:rsidRDefault="00000000">
            <w:pPr>
              <w:spacing w:line="360" w:lineRule="auto"/>
              <w:jc w:val="center"/>
              <w:rPr>
                <w:rFonts w:ascii="Arial" w:hAnsi="Arial" w:cs="Arial"/>
                <w:b/>
                <w:bCs/>
              </w:rPr>
            </w:pPr>
            <w:r>
              <w:rPr>
                <w:rFonts w:ascii="Arial" w:hAnsi="Arial" w:cs="Arial"/>
                <w:b/>
                <w:bCs/>
              </w:rPr>
              <w:t>SWOT Components</w:t>
            </w:r>
          </w:p>
        </w:tc>
        <w:tc>
          <w:tcPr>
            <w:tcW w:w="4675" w:type="dxa"/>
          </w:tcPr>
          <w:p w14:paraId="6A8CEB9D" w14:textId="77777777" w:rsidR="0067740A" w:rsidRDefault="00000000">
            <w:pPr>
              <w:spacing w:line="360" w:lineRule="auto"/>
              <w:jc w:val="center"/>
              <w:rPr>
                <w:rFonts w:ascii="Arial" w:hAnsi="Arial" w:cs="Arial"/>
                <w:b/>
                <w:bCs/>
              </w:rPr>
            </w:pPr>
            <w:r>
              <w:rPr>
                <w:rFonts w:ascii="Arial" w:hAnsi="Arial" w:cs="Arial"/>
                <w:b/>
                <w:bCs/>
              </w:rPr>
              <w:t>Details</w:t>
            </w:r>
          </w:p>
        </w:tc>
      </w:tr>
      <w:tr w:rsidR="0067740A" w14:paraId="401172F0" w14:textId="77777777">
        <w:tc>
          <w:tcPr>
            <w:tcW w:w="4675" w:type="dxa"/>
            <w:vAlign w:val="center"/>
          </w:tcPr>
          <w:p w14:paraId="67E2225A" w14:textId="77777777" w:rsidR="0067740A" w:rsidRDefault="00000000">
            <w:pPr>
              <w:spacing w:line="360" w:lineRule="auto"/>
              <w:jc w:val="center"/>
              <w:rPr>
                <w:rFonts w:ascii="Arial" w:hAnsi="Arial" w:cs="Arial"/>
                <w:b/>
                <w:bCs/>
              </w:rPr>
            </w:pPr>
            <w:r>
              <w:rPr>
                <w:rFonts w:ascii="Arial" w:hAnsi="Arial" w:cs="Arial"/>
                <w:b/>
                <w:bCs/>
              </w:rPr>
              <w:t>Strengths</w:t>
            </w:r>
          </w:p>
        </w:tc>
        <w:tc>
          <w:tcPr>
            <w:tcW w:w="4675" w:type="dxa"/>
          </w:tcPr>
          <w:p w14:paraId="694CBD92" w14:textId="77777777" w:rsidR="0067740A" w:rsidRDefault="00000000">
            <w:pPr>
              <w:spacing w:line="360" w:lineRule="auto"/>
              <w:rPr>
                <w:rFonts w:ascii="Arial" w:hAnsi="Arial" w:cs="Arial"/>
              </w:rPr>
            </w:pPr>
            <w:r>
              <w:rPr>
                <w:rFonts w:ascii="Arial" w:hAnsi="Arial" w:cs="Arial"/>
              </w:rPr>
              <w:t xml:space="preserve">- Strong brand reputation in both global and Chinese markets, known for quality, reliability, and technological advancements. </w:t>
            </w:r>
            <w:r>
              <w:rPr>
                <w:rFonts w:ascii="Arial" w:hAnsi="Arial" w:cs="Arial"/>
              </w:rPr>
              <w:br/>
              <w:t xml:space="preserve">- Advanced electric vehicle (EV) technology with extensive investment in developing high-performance batteries, charging infrastructure, and smart mobility solutions. </w:t>
            </w:r>
            <w:r>
              <w:rPr>
                <w:rFonts w:ascii="Arial" w:hAnsi="Arial" w:cs="Arial"/>
              </w:rPr>
              <w:br/>
              <w:t xml:space="preserve">- Robust R&amp;D efforts focusing on renewable energy integration, eco-friendly materials, and sustainable manufacturing processes, enhancing innovation and market responsiveness. </w:t>
            </w:r>
            <w:r>
              <w:rPr>
                <w:rFonts w:ascii="Arial" w:hAnsi="Arial" w:cs="Arial"/>
              </w:rPr>
              <w:br/>
              <w:t>- Established partnerships with local companies and government bodies, facilitating market entry and adaptation to regional demands.</w:t>
            </w:r>
          </w:p>
        </w:tc>
      </w:tr>
      <w:tr w:rsidR="0067740A" w14:paraId="21E9EFC1" w14:textId="77777777">
        <w:tc>
          <w:tcPr>
            <w:tcW w:w="4675" w:type="dxa"/>
            <w:vAlign w:val="center"/>
          </w:tcPr>
          <w:p w14:paraId="7873466A" w14:textId="77777777" w:rsidR="0067740A" w:rsidRDefault="00000000">
            <w:pPr>
              <w:spacing w:line="360" w:lineRule="auto"/>
              <w:jc w:val="center"/>
              <w:rPr>
                <w:rFonts w:ascii="Arial" w:hAnsi="Arial" w:cs="Arial"/>
                <w:b/>
                <w:bCs/>
              </w:rPr>
            </w:pPr>
            <w:r>
              <w:rPr>
                <w:rFonts w:ascii="Arial" w:hAnsi="Arial" w:cs="Arial"/>
                <w:b/>
                <w:bCs/>
              </w:rPr>
              <w:lastRenderedPageBreak/>
              <w:t>Weaknesses</w:t>
            </w:r>
          </w:p>
        </w:tc>
        <w:tc>
          <w:tcPr>
            <w:tcW w:w="4675" w:type="dxa"/>
          </w:tcPr>
          <w:p w14:paraId="7961398E" w14:textId="77777777" w:rsidR="0067740A" w:rsidRDefault="00000000">
            <w:pPr>
              <w:spacing w:line="360" w:lineRule="auto"/>
              <w:rPr>
                <w:rFonts w:ascii="Arial" w:hAnsi="Arial" w:cs="Arial"/>
              </w:rPr>
            </w:pPr>
            <w:r>
              <w:rPr>
                <w:rFonts w:ascii="Arial" w:hAnsi="Arial" w:cs="Arial"/>
              </w:rPr>
              <w:t xml:space="preserve">- High production and operational costs for sustainable technologies, leading to higher retail prices for EVs and potentially limiting market accessibility for middle-income consumers. </w:t>
            </w:r>
            <w:r>
              <w:rPr>
                <w:rFonts w:ascii="Arial" w:hAnsi="Arial" w:cs="Arial"/>
              </w:rPr>
              <w:br/>
              <w:t xml:space="preserve">- Market resistance due to consumer perceptions that EVs are less reliable or require a higher initial investment compared to traditional vehicles, affecting adoption rates. </w:t>
            </w:r>
            <w:r>
              <w:rPr>
                <w:rFonts w:ascii="Arial" w:hAnsi="Arial" w:cs="Arial"/>
              </w:rPr>
              <w:br/>
              <w:t xml:space="preserve">- Ongoing </w:t>
            </w:r>
            <w:proofErr w:type="spellStart"/>
            <w:r>
              <w:rPr>
                <w:rFonts w:ascii="Arial" w:hAnsi="Arial" w:cs="Arial"/>
              </w:rPr>
              <w:t>skepticism</w:t>
            </w:r>
            <w:proofErr w:type="spellEnd"/>
            <w:r>
              <w:rPr>
                <w:rFonts w:ascii="Arial" w:hAnsi="Arial" w:cs="Arial"/>
              </w:rPr>
              <w:t xml:space="preserve"> and potential reputation damage from the </w:t>
            </w:r>
            <w:proofErr w:type="spellStart"/>
            <w:r>
              <w:rPr>
                <w:rFonts w:ascii="Arial" w:hAnsi="Arial" w:cs="Arial"/>
              </w:rPr>
              <w:t>Dieselgate</w:t>
            </w:r>
            <w:proofErr w:type="spellEnd"/>
            <w:r>
              <w:rPr>
                <w:rFonts w:ascii="Arial" w:hAnsi="Arial" w:cs="Arial"/>
              </w:rPr>
              <w:t xml:space="preserve"> scandal, with some consumers questioning the authenticity of Volkswagen's commitment to environmental sustainability. </w:t>
            </w:r>
            <w:r>
              <w:rPr>
                <w:rFonts w:ascii="Arial" w:hAnsi="Arial" w:cs="Arial"/>
              </w:rPr>
              <w:br/>
              <w:t>- Dependence on external suppliers for key EV components, such as batteries, which may impact production efficiency and cost management.</w:t>
            </w:r>
          </w:p>
        </w:tc>
      </w:tr>
      <w:tr w:rsidR="0067740A" w14:paraId="5022E227" w14:textId="77777777">
        <w:tc>
          <w:tcPr>
            <w:tcW w:w="4675" w:type="dxa"/>
            <w:vAlign w:val="center"/>
          </w:tcPr>
          <w:p w14:paraId="269F79A2" w14:textId="77777777" w:rsidR="0067740A" w:rsidRDefault="00000000">
            <w:pPr>
              <w:spacing w:line="360" w:lineRule="auto"/>
              <w:jc w:val="center"/>
              <w:rPr>
                <w:rFonts w:ascii="Arial" w:hAnsi="Arial" w:cs="Arial"/>
                <w:b/>
                <w:bCs/>
              </w:rPr>
            </w:pPr>
            <w:r>
              <w:rPr>
                <w:rFonts w:ascii="Arial" w:hAnsi="Arial" w:cs="Arial"/>
                <w:b/>
                <w:bCs/>
              </w:rPr>
              <w:t>Opportunities</w:t>
            </w:r>
          </w:p>
        </w:tc>
        <w:tc>
          <w:tcPr>
            <w:tcW w:w="4675" w:type="dxa"/>
          </w:tcPr>
          <w:p w14:paraId="4F0A105F" w14:textId="77777777" w:rsidR="0067740A" w:rsidRDefault="00000000">
            <w:pPr>
              <w:spacing w:line="360" w:lineRule="auto"/>
              <w:rPr>
                <w:rFonts w:ascii="Arial" w:hAnsi="Arial" w:cs="Arial"/>
              </w:rPr>
            </w:pPr>
            <w:r>
              <w:rPr>
                <w:rFonts w:ascii="Arial" w:hAnsi="Arial" w:cs="Arial"/>
              </w:rPr>
              <w:t xml:space="preserve">- Growing demand for electric vehicles in China, driven by increasing environmental consciousness and government incentives, provides Volkswagen with a chance to capture a larger market segment. </w:t>
            </w:r>
            <w:r>
              <w:rPr>
                <w:rFonts w:ascii="Arial" w:hAnsi="Arial" w:cs="Arial"/>
              </w:rPr>
              <w:br/>
              <w:t xml:space="preserve">- Supportive government policies, including subsidies, tax incentives, and investment in EV infrastructure, create a </w:t>
            </w:r>
            <w:proofErr w:type="spellStart"/>
            <w:r>
              <w:rPr>
                <w:rFonts w:ascii="Arial" w:hAnsi="Arial" w:cs="Arial"/>
              </w:rPr>
              <w:t>favorable</w:t>
            </w:r>
            <w:proofErr w:type="spellEnd"/>
            <w:r>
              <w:rPr>
                <w:rFonts w:ascii="Arial" w:hAnsi="Arial" w:cs="Arial"/>
              </w:rPr>
              <w:t xml:space="preserve"> environment for expanding Volkswagen's EV portfolio. </w:t>
            </w:r>
            <w:r>
              <w:rPr>
                <w:rFonts w:ascii="Arial" w:hAnsi="Arial" w:cs="Arial"/>
              </w:rPr>
              <w:br/>
            </w:r>
            <w:r>
              <w:rPr>
                <w:rFonts w:ascii="Arial" w:hAnsi="Arial" w:cs="Arial"/>
              </w:rPr>
              <w:lastRenderedPageBreak/>
              <w:t xml:space="preserve">- Emerging urban mobility solutions, such as shared electric transport services and autonomous driving technologies, offer new avenues for Volkswagen to diversify its product offerings. </w:t>
            </w:r>
            <w:r>
              <w:rPr>
                <w:rFonts w:ascii="Arial" w:hAnsi="Arial" w:cs="Arial"/>
              </w:rPr>
              <w:br/>
              <w:t>- Potential for collaborations with local technology firms and suppliers to develop region-specific EV solutions tailored to the unique demands of Chinese consumers.</w:t>
            </w:r>
          </w:p>
        </w:tc>
      </w:tr>
      <w:tr w:rsidR="0067740A" w14:paraId="064E8002" w14:textId="77777777">
        <w:tc>
          <w:tcPr>
            <w:tcW w:w="4675" w:type="dxa"/>
            <w:vAlign w:val="center"/>
          </w:tcPr>
          <w:p w14:paraId="654AE39C" w14:textId="77777777" w:rsidR="0067740A" w:rsidRDefault="00000000">
            <w:pPr>
              <w:spacing w:line="360" w:lineRule="auto"/>
              <w:jc w:val="center"/>
              <w:rPr>
                <w:rFonts w:ascii="Arial" w:hAnsi="Arial" w:cs="Arial"/>
                <w:b/>
                <w:bCs/>
              </w:rPr>
            </w:pPr>
            <w:r>
              <w:rPr>
                <w:rFonts w:ascii="Arial" w:hAnsi="Arial" w:cs="Arial"/>
                <w:b/>
                <w:bCs/>
              </w:rPr>
              <w:t>Threats</w:t>
            </w:r>
          </w:p>
        </w:tc>
        <w:tc>
          <w:tcPr>
            <w:tcW w:w="4675" w:type="dxa"/>
          </w:tcPr>
          <w:p w14:paraId="050AB1AA" w14:textId="77777777" w:rsidR="0067740A" w:rsidRDefault="00000000">
            <w:pPr>
              <w:keepNext/>
              <w:spacing w:line="360" w:lineRule="auto"/>
              <w:rPr>
                <w:rFonts w:ascii="Arial" w:hAnsi="Arial" w:cs="Arial"/>
              </w:rPr>
            </w:pPr>
            <w:r>
              <w:rPr>
                <w:rFonts w:ascii="Arial" w:hAnsi="Arial" w:cs="Arial"/>
              </w:rPr>
              <w:t xml:space="preserve">- Intense competition from local and international automakers like Tesla, BYD, and NIO, which are also investing heavily in EV technology and sustainable practices. </w:t>
            </w:r>
            <w:r>
              <w:rPr>
                <w:rFonts w:ascii="Arial" w:hAnsi="Arial" w:cs="Arial"/>
              </w:rPr>
              <w:br/>
              <w:t xml:space="preserve">- Regulatory changes, including stricter emission standards and evolving EV policies, require continuous adaptation and may increase compliance costs. </w:t>
            </w:r>
            <w:r>
              <w:rPr>
                <w:rFonts w:ascii="Arial" w:hAnsi="Arial" w:cs="Arial"/>
              </w:rPr>
              <w:br/>
              <w:t xml:space="preserve">- Economic fluctuations in China, which could affect consumer spending power and overall market demand for higher-priced electric vehicles. </w:t>
            </w:r>
            <w:r>
              <w:rPr>
                <w:rFonts w:ascii="Arial" w:hAnsi="Arial" w:cs="Arial"/>
              </w:rPr>
              <w:br/>
              <w:t>- Risk of technological disruption as new competitors or alternative sustainable technologies (e.g., hydrogen fuel cells) enter the market, potentially impacting Volkswagen's strategic focus on EVs.</w:t>
            </w:r>
          </w:p>
        </w:tc>
      </w:tr>
    </w:tbl>
    <w:p w14:paraId="0C917784" w14:textId="77777777" w:rsidR="0067740A" w:rsidRDefault="00000000">
      <w:pPr>
        <w:pStyle w:val="a3"/>
        <w:spacing w:line="360" w:lineRule="auto"/>
        <w:jc w:val="center"/>
        <w:rPr>
          <w:rFonts w:ascii="Arial" w:hAnsi="Arial" w:cs="Arial"/>
          <w:i w:val="0"/>
          <w:iCs w:val="0"/>
          <w:sz w:val="24"/>
          <w:szCs w:val="24"/>
        </w:rPr>
      </w:pPr>
      <w:bookmarkStart w:id="17" w:name="_Toc177665756"/>
      <w:r>
        <w:rPr>
          <w:rFonts w:ascii="Arial" w:hAnsi="Arial" w:cs="Arial"/>
          <w:i w:val="0"/>
          <w:iCs w:val="0"/>
          <w:sz w:val="24"/>
          <w:szCs w:val="24"/>
        </w:rPr>
        <w:t xml:space="preserve">Table </w:t>
      </w:r>
      <w:r>
        <w:rPr>
          <w:rFonts w:ascii="Arial" w:hAnsi="Arial" w:cs="Arial"/>
          <w:i w:val="0"/>
          <w:iCs w:val="0"/>
          <w:sz w:val="24"/>
          <w:szCs w:val="24"/>
        </w:rPr>
        <w:fldChar w:fldCharType="begin"/>
      </w:r>
      <w:r>
        <w:rPr>
          <w:rFonts w:ascii="Arial" w:hAnsi="Arial" w:cs="Arial"/>
          <w:i w:val="0"/>
          <w:iCs w:val="0"/>
          <w:sz w:val="24"/>
          <w:szCs w:val="24"/>
        </w:rPr>
        <w:instrText xml:space="preserve"> SEQ Table \* ARABIC </w:instrText>
      </w:r>
      <w:r>
        <w:rPr>
          <w:rFonts w:ascii="Arial" w:hAnsi="Arial" w:cs="Arial"/>
          <w:i w:val="0"/>
          <w:iCs w:val="0"/>
          <w:sz w:val="24"/>
          <w:szCs w:val="24"/>
        </w:rPr>
        <w:fldChar w:fldCharType="separate"/>
      </w:r>
      <w:r>
        <w:rPr>
          <w:rFonts w:ascii="Arial" w:hAnsi="Arial" w:cs="Arial"/>
          <w:i w:val="0"/>
          <w:iCs w:val="0"/>
          <w:sz w:val="24"/>
          <w:szCs w:val="24"/>
        </w:rPr>
        <w:t>1</w:t>
      </w:r>
      <w:r>
        <w:rPr>
          <w:rFonts w:ascii="Arial" w:hAnsi="Arial" w:cs="Arial"/>
          <w:i w:val="0"/>
          <w:iCs w:val="0"/>
          <w:sz w:val="24"/>
          <w:szCs w:val="24"/>
        </w:rPr>
        <w:fldChar w:fldCharType="end"/>
      </w:r>
      <w:r>
        <w:rPr>
          <w:rFonts w:ascii="Arial" w:hAnsi="Arial" w:cs="Arial"/>
          <w:i w:val="0"/>
          <w:iCs w:val="0"/>
          <w:sz w:val="24"/>
          <w:szCs w:val="24"/>
        </w:rPr>
        <w:t xml:space="preserve"> SWOT Analysis of Volkswagen’s Sustainability Initiatives in China</w:t>
      </w:r>
      <w:bookmarkEnd w:id="17"/>
    </w:p>
    <w:bookmarkEnd w:id="15"/>
    <w:bookmarkEnd w:id="16"/>
    <w:p w14:paraId="43A2AB90" w14:textId="77777777" w:rsidR="0067740A" w:rsidRDefault="0067740A">
      <w:pPr>
        <w:spacing w:line="360" w:lineRule="auto"/>
        <w:rPr>
          <w:rFonts w:ascii="Arial" w:hAnsi="Arial" w:cs="Arial"/>
          <w:b/>
          <w:bCs/>
        </w:rPr>
      </w:pPr>
    </w:p>
    <w:p w14:paraId="529C9E62" w14:textId="77777777" w:rsidR="0067740A" w:rsidRDefault="0067740A">
      <w:pPr>
        <w:spacing w:line="360" w:lineRule="auto"/>
        <w:rPr>
          <w:rFonts w:ascii="Arial" w:hAnsi="Arial" w:cs="Arial"/>
          <w:b/>
          <w:bCs/>
        </w:rPr>
      </w:pPr>
    </w:p>
    <w:p w14:paraId="5D750518" w14:textId="77777777" w:rsidR="0067740A" w:rsidRDefault="00000000">
      <w:pPr>
        <w:spacing w:line="360" w:lineRule="auto"/>
        <w:rPr>
          <w:rFonts w:ascii="Arial" w:hAnsi="Arial" w:cs="Arial"/>
          <w:b/>
          <w:bCs/>
        </w:rPr>
      </w:pPr>
      <w:r>
        <w:rPr>
          <w:rFonts w:ascii="Arial" w:hAnsi="Arial" w:cs="Arial"/>
          <w:b/>
          <w:bCs/>
        </w:rPr>
        <w:lastRenderedPageBreak/>
        <w:t>PESTLE Analysis</w:t>
      </w:r>
    </w:p>
    <w:tbl>
      <w:tblPr>
        <w:tblStyle w:val="af4"/>
        <w:tblW w:w="0" w:type="auto"/>
        <w:tblLook w:val="04A0" w:firstRow="1" w:lastRow="0" w:firstColumn="1" w:lastColumn="0" w:noHBand="0" w:noVBand="1"/>
      </w:tblPr>
      <w:tblGrid>
        <w:gridCol w:w="4675"/>
        <w:gridCol w:w="4675"/>
      </w:tblGrid>
      <w:tr w:rsidR="0067740A" w14:paraId="63CFBB68" w14:textId="77777777">
        <w:trPr>
          <w:trHeight w:val="550"/>
        </w:trPr>
        <w:tc>
          <w:tcPr>
            <w:tcW w:w="4675" w:type="dxa"/>
          </w:tcPr>
          <w:p w14:paraId="6D514E58"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PESTLE Factors</w:t>
            </w:r>
          </w:p>
        </w:tc>
        <w:tc>
          <w:tcPr>
            <w:tcW w:w="4675" w:type="dxa"/>
          </w:tcPr>
          <w:p w14:paraId="633783FF"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Details</w:t>
            </w:r>
          </w:p>
        </w:tc>
      </w:tr>
      <w:tr w:rsidR="0067740A" w14:paraId="32EC26EC" w14:textId="77777777">
        <w:tc>
          <w:tcPr>
            <w:tcW w:w="4675" w:type="dxa"/>
            <w:vAlign w:val="center"/>
          </w:tcPr>
          <w:p w14:paraId="33556298"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Political</w:t>
            </w:r>
          </w:p>
        </w:tc>
        <w:tc>
          <w:tcPr>
            <w:tcW w:w="4675" w:type="dxa"/>
          </w:tcPr>
          <w:p w14:paraId="6DB42494" w14:textId="77777777" w:rsidR="0067740A" w:rsidRDefault="00000000">
            <w:pPr>
              <w:spacing w:before="100" w:beforeAutospacing="1" w:after="100" w:afterAutospacing="1" w:line="360" w:lineRule="auto"/>
              <w:rPr>
                <w:rFonts w:ascii="Arial" w:hAnsi="Arial" w:cs="Arial"/>
                <w:color w:val="000000" w:themeColor="text1"/>
              </w:rPr>
            </w:pPr>
            <w:r>
              <w:rPr>
                <w:rFonts w:ascii="Arial" w:hAnsi="Arial" w:cs="Arial"/>
              </w:rPr>
              <w:t xml:space="preserve">- The Chinese government has been a strong proponent of sustainability, implementing policies that promote electric vehicles (EVs) and emission reduction. This includes various subsidies, tax incentives, and regulations to encourage the adoption of green technologies. </w:t>
            </w:r>
            <w:r>
              <w:rPr>
                <w:rFonts w:ascii="Arial" w:hAnsi="Arial" w:cs="Arial"/>
              </w:rPr>
              <w:br/>
              <w:t xml:space="preserve">- The "Made in China 2025" plan and the New Energy Vehicle (NEV) mandate align with Volkswagen's sustainability goals, facilitating a favourable regulatory environment for the company. </w:t>
            </w:r>
            <w:r>
              <w:rPr>
                <w:rFonts w:ascii="Arial" w:hAnsi="Arial" w:cs="Arial"/>
              </w:rPr>
              <w:br/>
              <w:t>- Trade regulations and tariffs, especially those concerning imported vehicle components, could influence Volkswagen’s supply chain operations and cost structure, requiring strategic adaptation.</w:t>
            </w:r>
          </w:p>
        </w:tc>
      </w:tr>
      <w:tr w:rsidR="0067740A" w14:paraId="411F2C3F" w14:textId="77777777">
        <w:tc>
          <w:tcPr>
            <w:tcW w:w="4675" w:type="dxa"/>
            <w:vAlign w:val="center"/>
          </w:tcPr>
          <w:p w14:paraId="289DE774"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Economic</w:t>
            </w:r>
          </w:p>
        </w:tc>
        <w:tc>
          <w:tcPr>
            <w:tcW w:w="4675" w:type="dxa"/>
          </w:tcPr>
          <w:p w14:paraId="4CC51E10" w14:textId="77777777" w:rsidR="0067740A" w:rsidRDefault="00000000">
            <w:pPr>
              <w:spacing w:before="100" w:beforeAutospacing="1" w:after="100" w:afterAutospacing="1" w:line="360" w:lineRule="auto"/>
              <w:rPr>
                <w:rFonts w:ascii="Arial" w:hAnsi="Arial" w:cs="Arial"/>
                <w:color w:val="000000" w:themeColor="text1"/>
              </w:rPr>
            </w:pPr>
            <w:r>
              <w:rPr>
                <w:rFonts w:ascii="Arial" w:hAnsi="Arial" w:cs="Arial"/>
              </w:rPr>
              <w:t xml:space="preserve">- China’s rapid economic growth and increasing purchasing power among the middle class create opportunities for Volkswagen to expand its EV market share. However, the relatively high cost of EVs remains a barrier for many consumers, despite government subsidies. </w:t>
            </w:r>
            <w:r>
              <w:rPr>
                <w:rFonts w:ascii="Arial" w:hAnsi="Arial" w:cs="Arial"/>
              </w:rPr>
              <w:br/>
              <w:t xml:space="preserve">- Fluctuations in raw material prices, </w:t>
            </w:r>
            <w:r>
              <w:rPr>
                <w:rFonts w:ascii="Arial" w:hAnsi="Arial" w:cs="Arial"/>
              </w:rPr>
              <w:lastRenderedPageBreak/>
              <w:t xml:space="preserve">particularly for EV batteries, could impact production costs and, consequently, vehicle pricing. This economic uncertainty might affect consumers’ willingness to invest in higher-priced electric vehicles. </w:t>
            </w:r>
            <w:r>
              <w:rPr>
                <w:rFonts w:ascii="Arial" w:hAnsi="Arial" w:cs="Arial"/>
              </w:rPr>
              <w:br/>
              <w:t>- The availability of government incentives for purchasing EVs makes them more accessible, but changes in subsidy policies could affect consumer demand and market growth.</w:t>
            </w:r>
          </w:p>
        </w:tc>
      </w:tr>
      <w:tr w:rsidR="0067740A" w14:paraId="701401B4" w14:textId="77777777">
        <w:tc>
          <w:tcPr>
            <w:tcW w:w="4675" w:type="dxa"/>
            <w:vAlign w:val="center"/>
          </w:tcPr>
          <w:p w14:paraId="63F13DF5"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Social</w:t>
            </w:r>
          </w:p>
        </w:tc>
        <w:tc>
          <w:tcPr>
            <w:tcW w:w="4675" w:type="dxa"/>
          </w:tcPr>
          <w:p w14:paraId="38E2CE60" w14:textId="77777777" w:rsidR="0067740A" w:rsidRDefault="00000000">
            <w:pPr>
              <w:spacing w:before="100" w:beforeAutospacing="1" w:after="100" w:afterAutospacing="1" w:line="360" w:lineRule="auto"/>
              <w:rPr>
                <w:rFonts w:ascii="Arial" w:hAnsi="Arial" w:cs="Arial"/>
                <w:color w:val="000000" w:themeColor="text1"/>
              </w:rPr>
            </w:pPr>
            <w:r>
              <w:rPr>
                <w:rFonts w:ascii="Arial" w:hAnsi="Arial" w:cs="Arial"/>
              </w:rPr>
              <w:t xml:space="preserve">- There is a significant rise in environmental awareness among Chinese consumers, particularly in urban areas, leading to a growing preference for sustainable and eco-friendly products, including electric vehicles. </w:t>
            </w:r>
            <w:r>
              <w:rPr>
                <w:rFonts w:ascii="Arial" w:hAnsi="Arial" w:cs="Arial"/>
              </w:rPr>
              <w:br/>
              <w:t xml:space="preserve">- The younger demographic shows a strong inclination towards green mobility solutions, perceiving EVs as a statement of environmental responsibility. This trend presents Volkswagen with an opportunity to target this consumer segment more effectively. </w:t>
            </w:r>
            <w:r>
              <w:rPr>
                <w:rFonts w:ascii="Arial" w:hAnsi="Arial" w:cs="Arial"/>
              </w:rPr>
              <w:br/>
              <w:t>- Increasing urbanisation and concerns over air quality in major cities drive the demand for low-emission vehicles, creating a supportive market for Volkswagen's EV initiatives.</w:t>
            </w:r>
          </w:p>
        </w:tc>
      </w:tr>
      <w:tr w:rsidR="0067740A" w14:paraId="495D5304" w14:textId="77777777">
        <w:tc>
          <w:tcPr>
            <w:tcW w:w="4675" w:type="dxa"/>
            <w:vAlign w:val="center"/>
          </w:tcPr>
          <w:p w14:paraId="4A924582"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Technological</w:t>
            </w:r>
          </w:p>
        </w:tc>
        <w:tc>
          <w:tcPr>
            <w:tcW w:w="4675" w:type="dxa"/>
          </w:tcPr>
          <w:p w14:paraId="68817473" w14:textId="77777777" w:rsidR="0067740A" w:rsidRDefault="00000000">
            <w:pPr>
              <w:spacing w:before="100" w:beforeAutospacing="1" w:after="100" w:afterAutospacing="1" w:line="360" w:lineRule="auto"/>
              <w:rPr>
                <w:rFonts w:ascii="Arial" w:hAnsi="Arial" w:cs="Arial"/>
                <w:color w:val="000000" w:themeColor="text1"/>
              </w:rPr>
            </w:pPr>
            <w:r>
              <w:rPr>
                <w:rFonts w:ascii="Arial" w:hAnsi="Arial" w:cs="Arial"/>
              </w:rPr>
              <w:t xml:space="preserve">- Rapid technological advancements in the electric vehicle industry, including improvements in battery efficiency, range, </w:t>
            </w:r>
            <w:r>
              <w:rPr>
                <w:rFonts w:ascii="Arial" w:hAnsi="Arial" w:cs="Arial"/>
              </w:rPr>
              <w:lastRenderedPageBreak/>
              <w:t xml:space="preserve">and charging infrastructure, are essential for Volkswagen to remain competitive in the Chinese market. </w:t>
            </w:r>
            <w:r>
              <w:rPr>
                <w:rFonts w:ascii="Arial" w:hAnsi="Arial" w:cs="Arial"/>
              </w:rPr>
              <w:br/>
              <w:t xml:space="preserve">- Volkswagen's investment in research and development supports ongoing innovation in EV technology, autonomous driving, and smart mobility solutions, which align with the evolving preferences of Chinese consumers. </w:t>
            </w:r>
            <w:r>
              <w:rPr>
                <w:rFonts w:ascii="Arial" w:hAnsi="Arial" w:cs="Arial"/>
              </w:rPr>
              <w:br/>
              <w:t>- Collaborations with local technology firms in China present opportunities to enhance digital capabilities, vehicle connectivity, and charging infrastructure, further strengthening Volkswagen's position in the market.</w:t>
            </w:r>
          </w:p>
        </w:tc>
      </w:tr>
      <w:tr w:rsidR="0067740A" w14:paraId="65C8ED8F" w14:textId="77777777">
        <w:tc>
          <w:tcPr>
            <w:tcW w:w="4675" w:type="dxa"/>
            <w:vAlign w:val="center"/>
          </w:tcPr>
          <w:p w14:paraId="1C46A83B"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Legal</w:t>
            </w:r>
          </w:p>
        </w:tc>
        <w:tc>
          <w:tcPr>
            <w:tcW w:w="4675" w:type="dxa"/>
          </w:tcPr>
          <w:p w14:paraId="5DB0A8DD" w14:textId="77777777" w:rsidR="0067740A" w:rsidRDefault="00000000">
            <w:pPr>
              <w:spacing w:before="100" w:beforeAutospacing="1" w:line="360" w:lineRule="auto"/>
              <w:rPr>
                <w:rFonts w:ascii="Arial" w:hAnsi="Arial" w:cs="Arial"/>
              </w:rPr>
            </w:pPr>
            <w:r>
              <w:rPr>
                <w:rFonts w:ascii="Arial" w:hAnsi="Arial" w:cs="Arial"/>
              </w:rPr>
              <w:t xml:space="preserve">- Volkswagen must comply with China’s stringent environmental regulations and emission standards, which have become increasingly strict in recent years. Adherence to these regulations is crucial for market access and brand reputation. </w:t>
            </w:r>
          </w:p>
          <w:p w14:paraId="5D4B006C" w14:textId="77777777" w:rsidR="0067740A" w:rsidRDefault="00000000">
            <w:pPr>
              <w:spacing w:line="360" w:lineRule="auto"/>
              <w:rPr>
                <w:rFonts w:ascii="Arial" w:hAnsi="Arial" w:cs="Arial"/>
              </w:rPr>
            </w:pPr>
            <w:r>
              <w:rPr>
                <w:rFonts w:ascii="Arial" w:hAnsi="Arial" w:cs="Arial"/>
              </w:rPr>
              <w:t xml:space="preserve">- Intellectual property (IP) protection remains a concern, especially with Volkswagen’s technological innovations. Navigating the complexities of Chinese IP laws is necessary to safeguard its EV technologies and maintain a competitive advantage. </w:t>
            </w:r>
          </w:p>
          <w:p w14:paraId="215C1CC8" w14:textId="77777777" w:rsidR="0067740A" w:rsidRDefault="00000000">
            <w:pPr>
              <w:spacing w:after="100" w:afterAutospacing="1" w:line="360" w:lineRule="auto"/>
              <w:rPr>
                <w:rFonts w:ascii="Arial" w:hAnsi="Arial" w:cs="Arial"/>
              </w:rPr>
            </w:pPr>
            <w:r>
              <w:rPr>
                <w:rFonts w:ascii="Arial" w:hAnsi="Arial" w:cs="Arial"/>
              </w:rPr>
              <w:t xml:space="preserve">- Evolving regulations, such as safety standards for autonomous vehicles and data privacy laws for connected vehicles, </w:t>
            </w:r>
            <w:r>
              <w:rPr>
                <w:rFonts w:ascii="Arial" w:hAnsi="Arial" w:cs="Arial"/>
              </w:rPr>
              <w:lastRenderedPageBreak/>
              <w:t>require Volkswagen to continuously adapt its products and operations.</w:t>
            </w:r>
          </w:p>
        </w:tc>
      </w:tr>
      <w:tr w:rsidR="0067740A" w14:paraId="025FC3BA" w14:textId="77777777">
        <w:tc>
          <w:tcPr>
            <w:tcW w:w="4675" w:type="dxa"/>
            <w:vAlign w:val="center"/>
          </w:tcPr>
          <w:p w14:paraId="684E7D09" w14:textId="77777777" w:rsidR="0067740A" w:rsidRDefault="00000000">
            <w:pPr>
              <w:spacing w:before="100" w:beforeAutospacing="1" w:after="100" w:afterAutospacing="1" w:line="360" w:lineRule="auto"/>
              <w:jc w:val="center"/>
              <w:rPr>
                <w:rFonts w:ascii="Arial" w:hAnsi="Arial" w:cs="Arial"/>
                <w:b/>
                <w:bCs/>
                <w:color w:val="000000" w:themeColor="text1"/>
              </w:rPr>
            </w:pPr>
            <w:r>
              <w:rPr>
                <w:rFonts w:ascii="Arial" w:hAnsi="Arial" w:cs="Arial"/>
                <w:b/>
                <w:bCs/>
              </w:rPr>
              <w:t>Environmental</w:t>
            </w:r>
          </w:p>
        </w:tc>
        <w:tc>
          <w:tcPr>
            <w:tcW w:w="4675" w:type="dxa"/>
          </w:tcPr>
          <w:p w14:paraId="261FA64D" w14:textId="77777777" w:rsidR="0067740A" w:rsidRDefault="00000000">
            <w:pPr>
              <w:keepNext/>
              <w:spacing w:line="360" w:lineRule="auto"/>
              <w:rPr>
                <w:rFonts w:ascii="Arial" w:hAnsi="Arial" w:cs="Arial"/>
                <w:color w:val="000000" w:themeColor="text1"/>
                <w:lang w:val="en-US"/>
              </w:rPr>
            </w:pPr>
            <w:r>
              <w:rPr>
                <w:rFonts w:ascii="Arial" w:hAnsi="Arial" w:cs="Arial"/>
                <w:color w:val="000000" w:themeColor="text1"/>
                <w:lang w:val="en-US"/>
              </w:rPr>
              <w:t xml:space="preserve">China’s focus on reducing carbon emissions and addressing climate change aligns with Volkswagen's sustainability initiatives, particularly its investment in EVs and green manufacturing processes. </w:t>
            </w:r>
          </w:p>
          <w:p w14:paraId="273B9E42" w14:textId="77777777" w:rsidR="0067740A" w:rsidRDefault="00000000">
            <w:pPr>
              <w:keepNext/>
              <w:spacing w:line="360" w:lineRule="auto"/>
              <w:rPr>
                <w:rFonts w:ascii="Arial" w:hAnsi="Arial" w:cs="Arial"/>
                <w:color w:val="000000" w:themeColor="text1"/>
                <w:lang w:val="en-US"/>
              </w:rPr>
            </w:pPr>
            <w:r>
              <w:rPr>
                <w:rFonts w:ascii="Arial" w:hAnsi="Arial" w:cs="Arial"/>
                <w:color w:val="000000" w:themeColor="text1"/>
                <w:lang w:val="en-US"/>
              </w:rPr>
              <w:t xml:space="preserve">- The company’s initiatives, including reducing emissions and integrating renewable energy into its production processes, support China’s environmental goals and enhance its brand image among environmentally conscious consumers. </w:t>
            </w:r>
          </w:p>
          <w:p w14:paraId="35330BFD" w14:textId="77777777" w:rsidR="0067740A" w:rsidRDefault="00000000">
            <w:pPr>
              <w:keepNext/>
              <w:spacing w:after="100" w:afterAutospacing="1" w:line="360" w:lineRule="auto"/>
              <w:rPr>
                <w:rFonts w:ascii="Arial" w:hAnsi="Arial" w:cs="Arial"/>
                <w:color w:val="000000" w:themeColor="text1"/>
                <w:lang w:val="en-US"/>
              </w:rPr>
            </w:pPr>
            <w:r>
              <w:rPr>
                <w:rFonts w:ascii="Arial" w:hAnsi="Arial" w:cs="Arial"/>
                <w:color w:val="000000" w:themeColor="text1"/>
                <w:lang w:val="en-US"/>
              </w:rPr>
              <w:t>- Sustainability concerns extend to supply chain practices, such as the sourcing of raw materials for batteries. Volkswagen must consider the environmental impact of its supply chain to meet consumer expectations and regulatory requirements, enhancing its overall sustainability strategy.</w:t>
            </w:r>
          </w:p>
        </w:tc>
      </w:tr>
    </w:tbl>
    <w:p w14:paraId="2EE46FBE" w14:textId="77777777" w:rsidR="0067740A" w:rsidRDefault="00000000">
      <w:pPr>
        <w:pStyle w:val="a3"/>
        <w:jc w:val="center"/>
        <w:rPr>
          <w:rFonts w:ascii="Arial" w:hAnsi="Arial" w:cs="Arial"/>
          <w:i w:val="0"/>
          <w:iCs w:val="0"/>
          <w:sz w:val="24"/>
          <w:szCs w:val="24"/>
        </w:rPr>
      </w:pPr>
      <w:bookmarkStart w:id="18" w:name="_Toc177665757"/>
      <w:bookmarkStart w:id="19" w:name="_Toc176988848"/>
      <w:r>
        <w:rPr>
          <w:rFonts w:ascii="Arial" w:hAnsi="Arial" w:cs="Arial"/>
          <w:i w:val="0"/>
          <w:iCs w:val="0"/>
          <w:sz w:val="24"/>
          <w:szCs w:val="24"/>
        </w:rPr>
        <w:t xml:space="preserve">Table </w:t>
      </w:r>
      <w:r>
        <w:rPr>
          <w:rFonts w:ascii="Arial" w:hAnsi="Arial" w:cs="Arial"/>
          <w:i w:val="0"/>
          <w:iCs w:val="0"/>
          <w:sz w:val="24"/>
          <w:szCs w:val="24"/>
        </w:rPr>
        <w:fldChar w:fldCharType="begin"/>
      </w:r>
      <w:r>
        <w:rPr>
          <w:rFonts w:ascii="Arial" w:hAnsi="Arial" w:cs="Arial"/>
          <w:i w:val="0"/>
          <w:iCs w:val="0"/>
          <w:sz w:val="24"/>
          <w:szCs w:val="24"/>
        </w:rPr>
        <w:instrText xml:space="preserve"> SEQ Table \* ARABIC </w:instrText>
      </w:r>
      <w:r>
        <w:rPr>
          <w:rFonts w:ascii="Arial" w:hAnsi="Arial" w:cs="Arial"/>
          <w:i w:val="0"/>
          <w:iCs w:val="0"/>
          <w:sz w:val="24"/>
          <w:szCs w:val="24"/>
        </w:rPr>
        <w:fldChar w:fldCharType="separate"/>
      </w:r>
      <w:r>
        <w:rPr>
          <w:rFonts w:ascii="Arial" w:hAnsi="Arial" w:cs="Arial"/>
          <w:i w:val="0"/>
          <w:iCs w:val="0"/>
          <w:sz w:val="24"/>
          <w:szCs w:val="24"/>
        </w:rPr>
        <w:t>2</w:t>
      </w:r>
      <w:r>
        <w:rPr>
          <w:rFonts w:ascii="Arial" w:hAnsi="Arial" w:cs="Arial"/>
          <w:i w:val="0"/>
          <w:iCs w:val="0"/>
          <w:sz w:val="24"/>
          <w:szCs w:val="24"/>
        </w:rPr>
        <w:fldChar w:fldCharType="end"/>
      </w:r>
      <w:r>
        <w:rPr>
          <w:rFonts w:ascii="Arial" w:hAnsi="Arial" w:cs="Arial"/>
          <w:i w:val="0"/>
          <w:iCs w:val="0"/>
          <w:sz w:val="24"/>
          <w:szCs w:val="24"/>
        </w:rPr>
        <w:t xml:space="preserve"> PESTLE Analysis of Volkswagen’s Sustainability Initiatives in China</w:t>
      </w:r>
      <w:bookmarkEnd w:id="18"/>
      <w:bookmarkEnd w:id="19"/>
    </w:p>
    <w:p w14:paraId="0C9F9635" w14:textId="77777777" w:rsidR="0067740A" w:rsidRDefault="00000000">
      <w:pPr>
        <w:rPr>
          <w:rFonts w:ascii="Arial" w:hAnsi="Arial" w:cs="Arial"/>
          <w:color w:val="0E2841" w:themeColor="text2"/>
        </w:rPr>
      </w:pPr>
      <w:r>
        <w:rPr>
          <w:rFonts w:ascii="Arial" w:hAnsi="Arial" w:cs="Arial"/>
          <w:i/>
          <w:iCs/>
        </w:rPr>
        <w:br w:type="page"/>
      </w:r>
    </w:p>
    <w:p w14:paraId="615232FD" w14:textId="77777777" w:rsidR="0067740A" w:rsidRDefault="00000000">
      <w:pPr>
        <w:pStyle w:val="2"/>
        <w:numPr>
          <w:ilvl w:val="1"/>
          <w:numId w:val="2"/>
        </w:numPr>
        <w:rPr>
          <w:rFonts w:ascii="Arial" w:hAnsi="Arial" w:cs="Arial"/>
          <w:szCs w:val="24"/>
          <w:lang w:val="en-GB"/>
        </w:rPr>
      </w:pPr>
      <w:bookmarkStart w:id="20" w:name="_Toc177666002"/>
      <w:r>
        <w:rPr>
          <w:rFonts w:ascii="Arial" w:hAnsi="Arial" w:cs="Arial"/>
          <w:szCs w:val="24"/>
          <w:lang w:val="en-GB"/>
        </w:rPr>
        <w:lastRenderedPageBreak/>
        <w:t>Significance of the Study</w:t>
      </w:r>
      <w:bookmarkEnd w:id="20"/>
    </w:p>
    <w:p w14:paraId="297AF58B" w14:textId="77777777" w:rsidR="0067740A" w:rsidRDefault="00000000">
      <w:pPr>
        <w:pStyle w:val="af"/>
        <w:spacing w:line="360" w:lineRule="auto"/>
        <w:ind w:firstLine="567"/>
        <w:rPr>
          <w:rFonts w:ascii="Arial" w:hAnsi="Arial" w:cs="Arial"/>
        </w:rPr>
      </w:pPr>
      <w:r>
        <w:rPr>
          <w:rFonts w:ascii="Arial" w:hAnsi="Arial" w:cs="Arial"/>
          <w:color w:val="000000" w:themeColor="text1"/>
        </w:rPr>
        <w:t>A</w:t>
      </w:r>
      <w:r>
        <w:rPr>
          <w:rFonts w:ascii="Arial" w:hAnsi="Arial" w:cs="Arial"/>
        </w:rPr>
        <w:t>cademic Contribution: It adds to the existing body of knowledge on sustainability in the automotive industry, particularly within the context of emerging markets such as China (Chen &amp; Chang, 2013; Li &amp; Zhang, 2021). The insights gained can bridge the gap in literature regarding consumer perceptions of sustainability initiatives and their impact on competitive advantage.</w:t>
      </w:r>
    </w:p>
    <w:p w14:paraId="6D2AA2F8" w14:textId="77777777" w:rsidR="0067740A" w:rsidRDefault="00000000">
      <w:pPr>
        <w:pStyle w:val="af"/>
        <w:spacing w:line="360" w:lineRule="auto"/>
        <w:ind w:firstLine="567"/>
        <w:rPr>
          <w:rFonts w:ascii="Arial" w:hAnsi="Arial" w:cs="Arial"/>
        </w:rPr>
      </w:pPr>
      <w:r>
        <w:rPr>
          <w:rFonts w:ascii="Arial" w:hAnsi="Arial" w:cs="Arial"/>
        </w:rPr>
        <w:t>Practical Implications: The findings from this study will provide Volkswagen and other automotive companies with valuable insights into the critical role of consumer perceptions in shaping competitive advantage. This can inform the development of more effective sustainability strategies that resonate with consumers (Gao et al., 2020). Additionally, the study can help companies understand the specific sustainability attributes that are most valued by Chinese consumers, thereby allowing them to tailor their strategies accordingly.</w:t>
      </w:r>
    </w:p>
    <w:p w14:paraId="17BAFD41" w14:textId="77777777" w:rsidR="0067740A" w:rsidRDefault="00000000">
      <w:pPr>
        <w:pStyle w:val="af"/>
        <w:spacing w:line="360" w:lineRule="auto"/>
        <w:ind w:firstLine="567"/>
        <w:rPr>
          <w:rFonts w:ascii="Arial" w:hAnsi="Arial" w:cs="Arial"/>
        </w:rPr>
      </w:pPr>
      <w:r>
        <w:rPr>
          <w:rFonts w:ascii="Arial" w:hAnsi="Arial" w:cs="Arial"/>
        </w:rPr>
        <w:t xml:space="preserve">Policy Implications: The study offers recommendations that can aid policymakers in crafting regulations that support sustainable practices in the automotive sector. Understanding how consumers perceive sustainability initiatives can help in designing policies that encourage sustainable consumer </w:t>
      </w:r>
      <w:proofErr w:type="spellStart"/>
      <w:r>
        <w:rPr>
          <w:rFonts w:ascii="Arial" w:hAnsi="Arial" w:cs="Arial"/>
        </w:rPr>
        <w:t>behavior</w:t>
      </w:r>
      <w:proofErr w:type="spellEnd"/>
      <w:r>
        <w:rPr>
          <w:rFonts w:ascii="Arial" w:hAnsi="Arial" w:cs="Arial"/>
        </w:rPr>
        <w:t xml:space="preserve"> (Volkswagen Group China, 2022). Policymakers can use these insights to create frameworks that incentivize automotive companies to adopt and promote green practices.</w:t>
      </w:r>
    </w:p>
    <w:p w14:paraId="7B927582" w14:textId="77777777" w:rsidR="0067740A" w:rsidRDefault="00000000">
      <w:pPr>
        <w:pStyle w:val="af"/>
        <w:spacing w:line="360" w:lineRule="auto"/>
        <w:ind w:firstLine="567"/>
        <w:rPr>
          <w:rFonts w:ascii="Arial" w:hAnsi="Arial" w:cs="Arial"/>
        </w:rPr>
      </w:pPr>
      <w:r>
        <w:rPr>
          <w:rFonts w:ascii="Arial" w:hAnsi="Arial" w:cs="Arial"/>
        </w:rPr>
        <w:t>Consumer Insights: By providing a deeper understanding of Chinese consumers’ attitudes towards sustainability, this study can help automotive companies develop targeted marketing strategies that align with consumer values and preferences (Huang &amp; Liu, 2019). This understanding is crucial for building brand loyalty and driving consumer engagement in the long term.</w:t>
      </w:r>
    </w:p>
    <w:p w14:paraId="3CB306B2" w14:textId="77777777" w:rsidR="0067740A" w:rsidRDefault="00000000">
      <w:pPr>
        <w:rPr>
          <w:rFonts w:ascii="Arial" w:hAnsi="Arial" w:cs="Arial"/>
          <w:color w:val="000000" w:themeColor="text1"/>
        </w:rPr>
      </w:pPr>
      <w:r>
        <w:rPr>
          <w:rFonts w:ascii="Arial" w:hAnsi="Arial" w:cs="Arial"/>
          <w:color w:val="000000" w:themeColor="text1"/>
        </w:rPr>
        <w:br w:type="page"/>
      </w:r>
    </w:p>
    <w:p w14:paraId="3B14A7EA" w14:textId="77777777" w:rsidR="0067740A" w:rsidRDefault="00000000">
      <w:pPr>
        <w:pStyle w:val="2"/>
        <w:numPr>
          <w:ilvl w:val="1"/>
          <w:numId w:val="2"/>
        </w:numPr>
        <w:rPr>
          <w:rFonts w:ascii="Arial" w:hAnsi="Arial" w:cs="Arial"/>
          <w:szCs w:val="24"/>
        </w:rPr>
      </w:pPr>
      <w:bookmarkStart w:id="21" w:name="_Toc177666003"/>
      <w:r>
        <w:rPr>
          <w:rFonts w:ascii="Arial" w:hAnsi="Arial" w:cs="Arial"/>
          <w:szCs w:val="24"/>
        </w:rPr>
        <w:lastRenderedPageBreak/>
        <w:t>Structure of the Dissertation</w:t>
      </w:r>
      <w:bookmarkEnd w:id="21"/>
    </w:p>
    <w:p w14:paraId="227AA044" w14:textId="77777777" w:rsidR="0067740A" w:rsidRDefault="00000000">
      <w:pPr>
        <w:pStyle w:val="af"/>
        <w:spacing w:line="360" w:lineRule="auto"/>
        <w:ind w:firstLine="567"/>
        <w:rPr>
          <w:rFonts w:ascii="Arial" w:hAnsi="Arial" w:cs="Arial"/>
        </w:rPr>
      </w:pPr>
      <w:r>
        <w:rPr>
          <w:rFonts w:ascii="Arial" w:hAnsi="Arial" w:cs="Arial"/>
        </w:rPr>
        <w:t xml:space="preserve">The </w:t>
      </w:r>
      <w:r>
        <w:t>Introduction</w:t>
      </w:r>
      <w:r>
        <w:rPr>
          <w:rFonts w:ascii="Arial" w:hAnsi="Arial" w:cs="Arial"/>
        </w:rPr>
        <w:t xml:space="preserve"> chapter provides an overview of the research topic, clearly outlining the research problem, objectives, and questions. It also highlights the </w:t>
      </w:r>
      <w:r>
        <w:t>significance of the study</w:t>
      </w:r>
      <w:r>
        <w:rPr>
          <w:rFonts w:ascii="Arial" w:hAnsi="Arial" w:cs="Arial"/>
        </w:rPr>
        <w:t>, explaining its relevance to both academic literature and practical applications within the sustainability context of the automotive industry.</w:t>
      </w:r>
    </w:p>
    <w:p w14:paraId="55630587" w14:textId="77777777" w:rsidR="0067740A" w:rsidRDefault="00000000">
      <w:pPr>
        <w:pStyle w:val="af"/>
        <w:spacing w:line="360" w:lineRule="auto"/>
        <w:ind w:firstLine="567"/>
        <w:rPr>
          <w:rFonts w:ascii="Arial" w:hAnsi="Arial" w:cs="Arial"/>
        </w:rPr>
      </w:pPr>
      <w:r>
        <w:rPr>
          <w:rFonts w:ascii="Arial" w:hAnsi="Arial" w:cs="Arial"/>
        </w:rPr>
        <w:t xml:space="preserve">The </w:t>
      </w:r>
      <w:r>
        <w:t>Literature Review</w:t>
      </w:r>
      <w:r>
        <w:rPr>
          <w:rFonts w:ascii="Arial" w:hAnsi="Arial" w:cs="Arial"/>
        </w:rPr>
        <w:t xml:space="preserve"> chapter examines existing research on </w:t>
      </w:r>
      <w:r>
        <w:t>sustainability</w:t>
      </w:r>
      <w:r>
        <w:rPr>
          <w:rFonts w:ascii="Arial" w:hAnsi="Arial" w:cs="Arial"/>
        </w:rPr>
        <w:t xml:space="preserve"> in the </w:t>
      </w:r>
      <w:r>
        <w:t>automotive industry</w:t>
      </w:r>
      <w:r>
        <w:rPr>
          <w:rFonts w:ascii="Arial" w:hAnsi="Arial" w:cs="Arial"/>
        </w:rPr>
        <w:t xml:space="preserve">, focusing on strategic management theories and consumer behaviour. It also reviews key findings related to </w:t>
      </w:r>
      <w:r>
        <w:t>Volkswagen’s green practices</w:t>
      </w:r>
      <w:r>
        <w:rPr>
          <w:rFonts w:ascii="Arial" w:hAnsi="Arial" w:cs="Arial"/>
        </w:rPr>
        <w:t xml:space="preserve"> and how they align with global trends in sustainability and environmental responsibility.</w:t>
      </w:r>
    </w:p>
    <w:p w14:paraId="52D7E80E" w14:textId="77777777" w:rsidR="0067740A" w:rsidRDefault="00000000">
      <w:pPr>
        <w:pStyle w:val="af"/>
        <w:spacing w:line="360" w:lineRule="auto"/>
        <w:ind w:firstLine="567"/>
        <w:rPr>
          <w:rFonts w:ascii="Arial" w:hAnsi="Arial" w:cs="Arial"/>
        </w:rPr>
      </w:pPr>
      <w:r>
        <w:rPr>
          <w:rFonts w:ascii="Arial" w:hAnsi="Arial" w:cs="Arial"/>
        </w:rPr>
        <w:t xml:space="preserve">The </w:t>
      </w:r>
      <w:r>
        <w:t>Research Methodology</w:t>
      </w:r>
      <w:r>
        <w:rPr>
          <w:rFonts w:ascii="Arial" w:hAnsi="Arial" w:cs="Arial"/>
        </w:rPr>
        <w:t xml:space="preserve"> chapter details the </w:t>
      </w:r>
      <w:r>
        <w:t>research design</w:t>
      </w:r>
      <w:r>
        <w:rPr>
          <w:rFonts w:ascii="Arial" w:hAnsi="Arial" w:cs="Arial"/>
        </w:rPr>
        <w:t xml:space="preserve"> adopted for the study, including the methods used for </w:t>
      </w:r>
      <w:r>
        <w:t>data collection</w:t>
      </w:r>
      <w:r>
        <w:rPr>
          <w:rFonts w:ascii="Arial" w:hAnsi="Arial" w:cs="Arial"/>
        </w:rPr>
        <w:t xml:space="preserve">, the </w:t>
      </w:r>
      <w:r>
        <w:t>sampling strategy</w:t>
      </w:r>
      <w:r>
        <w:rPr>
          <w:rFonts w:ascii="Arial" w:hAnsi="Arial" w:cs="Arial"/>
        </w:rPr>
        <w:t xml:space="preserve">, and the </w:t>
      </w:r>
      <w:r>
        <w:t>data analysis techniques</w:t>
      </w:r>
      <w:r>
        <w:rPr>
          <w:rFonts w:ascii="Arial" w:hAnsi="Arial" w:cs="Arial"/>
        </w:rPr>
        <w:t xml:space="preserve"> employed. This section explains the rationale behind choosing a mixed-methods approach and highlights the ethical considerations involved in conducting the research.</w:t>
      </w:r>
    </w:p>
    <w:p w14:paraId="3FEE3D06" w14:textId="77777777" w:rsidR="0067740A" w:rsidRDefault="00000000">
      <w:pPr>
        <w:pStyle w:val="af"/>
        <w:spacing w:line="360" w:lineRule="auto"/>
        <w:ind w:firstLine="567"/>
        <w:rPr>
          <w:rFonts w:ascii="Arial" w:hAnsi="Arial" w:cs="Arial"/>
        </w:rPr>
      </w:pPr>
      <w:r>
        <w:rPr>
          <w:rFonts w:ascii="Arial" w:hAnsi="Arial" w:cs="Arial"/>
        </w:rPr>
        <w:t xml:space="preserve">The </w:t>
      </w:r>
      <w:r>
        <w:t>Findings and Analysis</w:t>
      </w:r>
      <w:r>
        <w:rPr>
          <w:rFonts w:ascii="Arial" w:hAnsi="Arial" w:cs="Arial"/>
        </w:rPr>
        <w:t xml:space="preserve"> chapter presents the results of the data collection, providing an analysis of consumer perceptions regarding </w:t>
      </w:r>
      <w:r>
        <w:t>Volkswagen’s sustainability initiatives</w:t>
      </w:r>
      <w:r>
        <w:rPr>
          <w:rFonts w:ascii="Arial" w:hAnsi="Arial" w:cs="Arial"/>
        </w:rPr>
        <w:t xml:space="preserve">. It also evaluates the impact of these perceptions on </w:t>
      </w:r>
      <w:r>
        <w:t>Volkswagen’s competitive advantage</w:t>
      </w:r>
      <w:r>
        <w:rPr>
          <w:rFonts w:ascii="Arial" w:hAnsi="Arial" w:cs="Arial"/>
        </w:rPr>
        <w:t xml:space="preserve"> in the Chinese automotive market, using both qualitative and quantitative data to draw conclusions.</w:t>
      </w:r>
    </w:p>
    <w:p w14:paraId="31A7E426" w14:textId="77777777" w:rsidR="0067740A" w:rsidRDefault="00000000">
      <w:pPr>
        <w:pStyle w:val="af"/>
        <w:spacing w:line="360" w:lineRule="auto"/>
        <w:ind w:firstLine="567"/>
        <w:rPr>
          <w:rFonts w:ascii="Arial" w:hAnsi="Arial" w:cs="Arial"/>
        </w:rPr>
      </w:pPr>
      <w:r>
        <w:rPr>
          <w:rFonts w:ascii="Arial" w:hAnsi="Arial" w:cs="Arial"/>
        </w:rPr>
        <w:t xml:space="preserve">The </w:t>
      </w:r>
      <w:r>
        <w:t>Conclusion and Recommendations</w:t>
      </w:r>
      <w:r>
        <w:rPr>
          <w:rFonts w:ascii="Arial" w:hAnsi="Arial" w:cs="Arial"/>
        </w:rPr>
        <w:t xml:space="preserve"> chapter summarises the </w:t>
      </w:r>
      <w:r>
        <w:t>key findings</w:t>
      </w:r>
      <w:r>
        <w:rPr>
          <w:rFonts w:ascii="Arial" w:hAnsi="Arial" w:cs="Arial"/>
        </w:rPr>
        <w:t xml:space="preserve"> from the study, outlines the contributions to academic knowledge and practical applications, and provides </w:t>
      </w:r>
      <w:r>
        <w:t>strategic recommendations</w:t>
      </w:r>
      <w:r>
        <w:rPr>
          <w:rFonts w:ascii="Arial" w:hAnsi="Arial" w:cs="Arial"/>
        </w:rPr>
        <w:t xml:space="preserve"> for Volkswagen. Additionally, this chapter highlights </w:t>
      </w:r>
      <w:r>
        <w:t>limitations</w:t>
      </w:r>
      <w:r>
        <w:rPr>
          <w:rFonts w:ascii="Arial" w:hAnsi="Arial" w:cs="Arial"/>
        </w:rPr>
        <w:t xml:space="preserve"> of the study and suggests directions for </w:t>
      </w:r>
      <w:r>
        <w:t>future research</w:t>
      </w:r>
      <w:r>
        <w:rPr>
          <w:rFonts w:ascii="Arial" w:hAnsi="Arial" w:cs="Arial"/>
        </w:rPr>
        <w:t>.</w:t>
      </w:r>
    </w:p>
    <w:p w14:paraId="10E85EE6" w14:textId="77777777" w:rsidR="0067740A" w:rsidRDefault="0067740A">
      <w:pPr>
        <w:spacing w:before="100" w:beforeAutospacing="1" w:after="100" w:afterAutospacing="1" w:line="360" w:lineRule="auto"/>
        <w:ind w:firstLine="567"/>
        <w:rPr>
          <w:rFonts w:ascii="Arial" w:hAnsi="Arial" w:cs="Arial"/>
          <w:color w:val="000000" w:themeColor="text1"/>
        </w:rPr>
      </w:pPr>
    </w:p>
    <w:p w14:paraId="3D8D4FE8" w14:textId="77777777" w:rsidR="0067740A" w:rsidRDefault="00000000">
      <w:pPr>
        <w:rPr>
          <w:rFonts w:ascii="Arial" w:hAnsi="Arial" w:cs="Arial"/>
          <w:color w:val="000000" w:themeColor="text1"/>
        </w:rPr>
      </w:pPr>
      <w:r>
        <w:rPr>
          <w:rFonts w:ascii="Arial" w:hAnsi="Arial" w:cs="Arial"/>
          <w:color w:val="000000" w:themeColor="text1"/>
        </w:rPr>
        <w:br w:type="page"/>
      </w:r>
    </w:p>
    <w:p w14:paraId="713F5384" w14:textId="77777777" w:rsidR="0067740A" w:rsidRDefault="00000000">
      <w:pPr>
        <w:pStyle w:val="1"/>
        <w:numPr>
          <w:ilvl w:val="0"/>
          <w:numId w:val="2"/>
        </w:numPr>
        <w:rPr>
          <w:rFonts w:ascii="Arial" w:hAnsi="Arial" w:cs="Arial"/>
          <w:szCs w:val="24"/>
        </w:rPr>
      </w:pPr>
      <w:bookmarkStart w:id="22" w:name="_Toc177666004"/>
      <w:r>
        <w:rPr>
          <w:rFonts w:ascii="Arial" w:hAnsi="Arial" w:cs="Arial"/>
          <w:szCs w:val="24"/>
        </w:rPr>
        <w:lastRenderedPageBreak/>
        <w:t>Literature Review</w:t>
      </w:r>
      <w:bookmarkEnd w:id="22"/>
    </w:p>
    <w:p w14:paraId="2573DFCC" w14:textId="77777777" w:rsidR="0067740A" w:rsidRDefault="00000000">
      <w:pPr>
        <w:pStyle w:val="2"/>
        <w:numPr>
          <w:ilvl w:val="1"/>
          <w:numId w:val="2"/>
        </w:numPr>
        <w:rPr>
          <w:rFonts w:ascii="Arial" w:hAnsi="Arial" w:cs="Arial"/>
          <w:szCs w:val="24"/>
          <w:lang w:val="en-GB"/>
        </w:rPr>
      </w:pPr>
      <w:bookmarkStart w:id="23" w:name="_Toc177666005"/>
      <w:r>
        <w:rPr>
          <w:rFonts w:ascii="Arial" w:hAnsi="Arial" w:cs="Arial"/>
          <w:szCs w:val="24"/>
          <w:lang w:val="en-GB"/>
        </w:rPr>
        <w:t>Overview of Sustainability Initiatives in the Automotive Industry</w:t>
      </w:r>
      <w:bookmarkEnd w:id="23"/>
    </w:p>
    <w:p w14:paraId="695D5DB6" w14:textId="77777777" w:rsidR="0067740A" w:rsidRDefault="00000000">
      <w:pPr>
        <w:pStyle w:val="af"/>
        <w:spacing w:line="360" w:lineRule="auto"/>
        <w:ind w:firstLine="567"/>
        <w:rPr>
          <w:rFonts w:ascii="Arial" w:hAnsi="Arial" w:cs="Arial"/>
        </w:rPr>
      </w:pPr>
      <w:r>
        <w:rPr>
          <w:rFonts w:ascii="Arial" w:hAnsi="Arial" w:cs="Arial"/>
          <w:color w:val="000000" w:themeColor="text1"/>
          <w:lang w:val="en-GB"/>
        </w:rPr>
        <w:t>T</w:t>
      </w:r>
      <w:r>
        <w:rPr>
          <w:rFonts w:ascii="Arial" w:hAnsi="Arial" w:cs="Arial"/>
        </w:rPr>
        <w:t>he automotive industry, a significant contributor to global economic growth, has increasingly focused on sustainability in response to growing environmental concerns, regulatory pressures, and shifting consumer preferences. This section provides a detailed overview of the various sustainability initiatives undertaken by the automotive industry, emphasizing recent developments and academic literature from the last five years.</w:t>
      </w:r>
    </w:p>
    <w:p w14:paraId="3DE10FB2" w14:textId="77777777" w:rsidR="0067740A" w:rsidRDefault="00000000">
      <w:pPr>
        <w:pStyle w:val="af"/>
        <w:spacing w:line="360" w:lineRule="auto"/>
        <w:ind w:firstLine="567"/>
        <w:rPr>
          <w:rFonts w:ascii="Arial" w:hAnsi="Arial" w:cs="Arial"/>
        </w:rPr>
      </w:pPr>
      <w:r>
        <w:rPr>
          <w:rFonts w:ascii="Arial" w:hAnsi="Arial" w:cs="Arial"/>
        </w:rPr>
        <w:t xml:space="preserve">One of the most notable trends in the automotive industry is the shift towards electric vehicles (EVs). Companies are investing heavily in the development and production of EVs to reduce greenhouse gas emissions and reliance on fossil fuels. This shift is driven by both regulatory mandates and consumer demand for cleaner transportation options. </w:t>
      </w:r>
    </w:p>
    <w:p w14:paraId="7E23EDD0" w14:textId="77777777" w:rsidR="0067740A" w:rsidRDefault="00000000">
      <w:pPr>
        <w:pStyle w:val="af"/>
        <w:spacing w:line="360" w:lineRule="auto"/>
        <w:ind w:firstLine="567"/>
        <w:rPr>
          <w:rFonts w:ascii="Arial" w:hAnsi="Arial" w:cs="Arial"/>
        </w:rPr>
      </w:pPr>
      <w:r>
        <w:rPr>
          <w:rFonts w:ascii="Arial" w:hAnsi="Arial" w:cs="Arial"/>
        </w:rPr>
        <w:t>According to Li and Zhang (2021), green innovation, particularly in EV technology, significantly enhances firm performance in the Chinese automotive industry. This investment in EVs not only helps in reducing emissions but also positions companies as leaders in sustainable technology.</w:t>
      </w:r>
    </w:p>
    <w:p w14:paraId="43672FB6" w14:textId="77777777" w:rsidR="0067740A" w:rsidRDefault="00000000">
      <w:pPr>
        <w:pStyle w:val="af"/>
        <w:spacing w:line="360" w:lineRule="auto"/>
        <w:ind w:firstLine="567"/>
        <w:rPr>
          <w:rFonts w:ascii="Arial" w:hAnsi="Arial" w:cs="Arial"/>
        </w:rPr>
      </w:pPr>
      <w:r>
        <w:rPr>
          <w:rFonts w:ascii="Arial" w:hAnsi="Arial" w:cs="Arial"/>
        </w:rPr>
        <w:t>Another critical initiative is the implementation of green manufacturing processes. Automotive companies are adopting energy-efficient technologies, recycling programs, and sustainable materials to minimize their environmental footprint. For instance, Volkswagen has incorporated eco-friendly manufacturing processes in its plants, such as using renewable energy sources and implementing waste reduction strategies (Volkswagen Group China, 2022). These efforts are crucial in reducing the overall environmental impact of vehicle production and aligning with global sustainability goals.</w:t>
      </w:r>
    </w:p>
    <w:p w14:paraId="689E2937" w14:textId="77777777" w:rsidR="0067740A" w:rsidRDefault="00000000">
      <w:pPr>
        <w:pStyle w:val="af"/>
        <w:spacing w:line="360" w:lineRule="auto"/>
        <w:ind w:firstLine="567"/>
        <w:rPr>
          <w:rFonts w:ascii="Arial" w:hAnsi="Arial" w:cs="Arial"/>
        </w:rPr>
      </w:pPr>
      <w:r>
        <w:rPr>
          <w:rFonts w:ascii="Arial" w:hAnsi="Arial" w:cs="Arial"/>
        </w:rPr>
        <w:t xml:space="preserve">In addition to EVs and green manufacturing, the industry is also focusing on sustainable supply chain management. This involves ensuring that all aspects of the supply chain, from raw material extraction to final product delivery, adhere to sustainability principles. Xu and Zeng (2018) highlight that green supply chain </w:t>
      </w:r>
      <w:r>
        <w:rPr>
          <w:rFonts w:ascii="Arial" w:hAnsi="Arial" w:cs="Arial"/>
        </w:rPr>
        <w:lastRenderedPageBreak/>
        <w:t>management practices in the automotive industry not only improve environmental performance but also enhance operational efficiency and stakeholder relationships. Companies are increasingly auditing their suppliers for compliance with environmental standards and collaborating with them to implement sustainable practices.</w:t>
      </w:r>
    </w:p>
    <w:p w14:paraId="16A0037E" w14:textId="77777777" w:rsidR="0067740A" w:rsidRDefault="00000000">
      <w:pPr>
        <w:pStyle w:val="af"/>
        <w:spacing w:line="360" w:lineRule="auto"/>
        <w:ind w:firstLine="567"/>
        <w:rPr>
          <w:rFonts w:ascii="Arial" w:hAnsi="Arial" w:cs="Arial"/>
        </w:rPr>
      </w:pPr>
      <w:r>
        <w:rPr>
          <w:rFonts w:ascii="Arial" w:hAnsi="Arial" w:cs="Arial"/>
        </w:rPr>
        <w:t>Furthermore, automotive companies are engaged in various initiatives aimed at reducing vehicle emissions. This includes the development of fuel-efficient engines, hybrid technologies, and alternative fuel vehicles. The implementation of stringent emission standards by governments worldwide has accelerated these efforts. For example, the European Union’s regulations on CO2 emissions for new cars have pushed manufacturers to innovate and produce cleaner vehicles (Tang, Chen, &amp; Luo, 2018).</w:t>
      </w:r>
    </w:p>
    <w:p w14:paraId="13B2AA74" w14:textId="77777777" w:rsidR="0067740A" w:rsidRDefault="00000000">
      <w:pPr>
        <w:pStyle w:val="af"/>
        <w:spacing w:line="360" w:lineRule="auto"/>
        <w:ind w:firstLine="567"/>
        <w:rPr>
          <w:rFonts w:ascii="Arial" w:hAnsi="Arial" w:cs="Arial"/>
        </w:rPr>
      </w:pPr>
      <w:r>
        <w:rPr>
          <w:rFonts w:ascii="Arial" w:hAnsi="Arial" w:cs="Arial"/>
        </w:rPr>
        <w:t>Consumer education and engagement also play a vital role in the industry’s sustainability initiatives. Companies are increasingly aware that consumer perceptions and behaviours significantly impact the success of their sustainability efforts. Educating consumers about the benefits of sustainable vehicles and promoting environmentally friendly driving habits are essential components of this strategy. Huang and Liu (2019) found that Chinese consumers’ perceptions of green products are positively influenced by their environmental awareness and knowledge, which in turn affects their purchasing decisions.</w:t>
      </w:r>
    </w:p>
    <w:p w14:paraId="4841E807" w14:textId="77777777" w:rsidR="0067740A" w:rsidRDefault="00000000">
      <w:pPr>
        <w:pStyle w:val="af"/>
        <w:spacing w:line="360" w:lineRule="auto"/>
        <w:ind w:firstLine="567"/>
        <w:rPr>
          <w:rFonts w:ascii="Arial" w:hAnsi="Arial" w:cs="Arial"/>
        </w:rPr>
      </w:pPr>
      <w:r>
        <w:rPr>
          <w:rFonts w:ascii="Arial" w:hAnsi="Arial" w:cs="Arial"/>
        </w:rPr>
        <w:t xml:space="preserve">Moreover, the industry is investing in research and development (R&amp;D) to foster continuous innovation in sustainability. This includes advancements in battery technology for EVs, development of lightweight materials to improve fuel efficiency, and the exploration of autonomous and connected vehicle technologies that can optimise traffic flow and reduce emissions. Gao, Hensley, and </w:t>
      </w:r>
      <w:proofErr w:type="spellStart"/>
      <w:r>
        <w:rPr>
          <w:rFonts w:ascii="Arial" w:hAnsi="Arial" w:cs="Arial"/>
        </w:rPr>
        <w:t>Zielke</w:t>
      </w:r>
      <w:proofErr w:type="spellEnd"/>
      <w:r>
        <w:rPr>
          <w:rFonts w:ascii="Arial" w:hAnsi="Arial" w:cs="Arial"/>
        </w:rPr>
        <w:t xml:space="preserve"> (2020) emphasize that ongoing R&amp;D is critical for maintaining competitive advantage and meeting evolving regulatory and consumer demands.</w:t>
      </w:r>
    </w:p>
    <w:p w14:paraId="236F1DC0" w14:textId="77777777" w:rsidR="0067740A" w:rsidRDefault="00000000">
      <w:pPr>
        <w:pStyle w:val="af"/>
        <w:spacing w:line="360" w:lineRule="auto"/>
        <w:ind w:firstLine="567"/>
        <w:rPr>
          <w:rFonts w:ascii="Arial" w:hAnsi="Arial" w:cs="Arial"/>
        </w:rPr>
      </w:pPr>
      <w:r>
        <w:rPr>
          <w:rFonts w:ascii="Arial" w:hAnsi="Arial" w:cs="Arial"/>
        </w:rPr>
        <w:t xml:space="preserve">In summary, the automotive industry’s sustainability initiatives are multifaceted, encompassing the development of electric vehicles, implementation of green </w:t>
      </w:r>
      <w:r>
        <w:rPr>
          <w:rFonts w:ascii="Arial" w:hAnsi="Arial" w:cs="Arial"/>
        </w:rPr>
        <w:lastRenderedPageBreak/>
        <w:t xml:space="preserve">manufacturing and supply chain practices, emission reduction strategies, consumer education, and continuous innovation through R&amp;D. </w:t>
      </w:r>
    </w:p>
    <w:p w14:paraId="78D513FB" w14:textId="77777777" w:rsidR="0067740A" w:rsidRDefault="00000000">
      <w:pPr>
        <w:pStyle w:val="af"/>
        <w:spacing w:line="360" w:lineRule="auto"/>
        <w:ind w:firstLine="567"/>
        <w:rPr>
          <w:rFonts w:ascii="Arial" w:hAnsi="Arial" w:cs="Arial"/>
        </w:rPr>
      </w:pPr>
      <w:r>
        <w:rPr>
          <w:rFonts w:ascii="Arial" w:hAnsi="Arial" w:cs="Arial"/>
        </w:rPr>
        <w:t>These efforts are driven by the need to comply with regulatory requirements, meet consumer expectations, and contribute to global environmental sustainability. The academic literature underscores the importance of these initiatives in enhancing firm performance, reducing environmental impact, and achieving long-term competitive advantage.</w:t>
      </w:r>
    </w:p>
    <w:p w14:paraId="216C7E18" w14:textId="77777777" w:rsidR="0067740A" w:rsidRDefault="00000000">
      <w:pPr>
        <w:rPr>
          <w:rFonts w:ascii="Arial" w:hAnsi="Arial" w:cs="Arial"/>
          <w:color w:val="000000" w:themeColor="text1"/>
          <w:lang w:val="en-GB"/>
        </w:rPr>
      </w:pPr>
      <w:r>
        <w:rPr>
          <w:rFonts w:ascii="Arial" w:hAnsi="Arial" w:cs="Arial"/>
          <w:color w:val="000000" w:themeColor="text1"/>
          <w:lang w:val="en-GB"/>
        </w:rPr>
        <w:br w:type="page"/>
      </w:r>
    </w:p>
    <w:p w14:paraId="5A2E2693" w14:textId="77777777" w:rsidR="0067740A" w:rsidRDefault="00000000">
      <w:pPr>
        <w:pStyle w:val="2"/>
        <w:numPr>
          <w:ilvl w:val="1"/>
          <w:numId w:val="3"/>
        </w:numPr>
        <w:rPr>
          <w:rFonts w:ascii="Arial" w:hAnsi="Arial" w:cs="Arial"/>
          <w:szCs w:val="24"/>
        </w:rPr>
      </w:pPr>
      <w:bookmarkStart w:id="24" w:name="_Toc177666006"/>
      <w:r>
        <w:rPr>
          <w:rFonts w:ascii="Arial" w:hAnsi="Arial" w:cs="Arial"/>
          <w:szCs w:val="24"/>
        </w:rPr>
        <w:lastRenderedPageBreak/>
        <w:t>Volkswagen’s Green Practices</w:t>
      </w:r>
      <w:bookmarkEnd w:id="24"/>
    </w:p>
    <w:p w14:paraId="378AB6A9" w14:textId="77777777" w:rsidR="0067740A" w:rsidRDefault="00000000">
      <w:pPr>
        <w:pStyle w:val="3"/>
        <w:numPr>
          <w:ilvl w:val="2"/>
          <w:numId w:val="3"/>
        </w:numPr>
        <w:rPr>
          <w:rFonts w:ascii="Arial" w:hAnsi="Arial" w:cs="Arial"/>
          <w:szCs w:val="24"/>
        </w:rPr>
      </w:pPr>
      <w:bookmarkStart w:id="25" w:name="_Toc177666007"/>
      <w:r>
        <w:rPr>
          <w:rFonts w:ascii="Arial" w:hAnsi="Arial" w:cs="Arial"/>
          <w:szCs w:val="24"/>
        </w:rPr>
        <w:t>Historical Overview</w:t>
      </w:r>
      <w:bookmarkEnd w:id="25"/>
    </w:p>
    <w:p w14:paraId="5F8E4264" w14:textId="77777777" w:rsidR="0067740A" w:rsidRDefault="00000000">
      <w:pPr>
        <w:pStyle w:val="af"/>
        <w:spacing w:line="360" w:lineRule="auto"/>
        <w:ind w:firstLine="567"/>
        <w:rPr>
          <w:rFonts w:ascii="Arial" w:hAnsi="Arial" w:cs="Arial"/>
        </w:rPr>
      </w:pPr>
      <w:r>
        <w:rPr>
          <w:rFonts w:ascii="Arial" w:hAnsi="Arial" w:cs="Arial"/>
        </w:rPr>
        <w:t xml:space="preserve">Volkswagen’s commitment to sustainability has evolved significantly over the years, marked by both progress and setbacks. The company’s early efforts in the 1990s and 2000s focused on improving fuel efficiency and reducing emissions in conventional vehicles. This period saw the introduction of technologies such as the TDI (Turbocharged Direct Injection) engines, which were marketed as more fuel-efficient and environmentally friendly options. However, the </w:t>
      </w:r>
      <w:proofErr w:type="spellStart"/>
      <w:r>
        <w:rPr>
          <w:rFonts w:ascii="Arial" w:hAnsi="Arial" w:cs="Arial"/>
        </w:rPr>
        <w:t>Dieselgate</w:t>
      </w:r>
      <w:proofErr w:type="spellEnd"/>
      <w:r>
        <w:rPr>
          <w:rFonts w:ascii="Arial" w:hAnsi="Arial" w:cs="Arial"/>
        </w:rPr>
        <w:t xml:space="preserve"> scandal in 2015, where Volkswagen was found to have deliberately manipulated emissions tests for diesel engines, severely damaged its reputation and underscored the need for more genuine and transparent sustainability practices (Ewing, 2015).</w:t>
      </w:r>
    </w:p>
    <w:p w14:paraId="6F95DDBA" w14:textId="77777777" w:rsidR="0067740A" w:rsidRDefault="00000000">
      <w:pPr>
        <w:pStyle w:val="af"/>
        <w:spacing w:line="360" w:lineRule="auto"/>
        <w:ind w:firstLine="567"/>
        <w:rPr>
          <w:rFonts w:ascii="Arial" w:hAnsi="Arial" w:cs="Arial"/>
        </w:rPr>
      </w:pPr>
      <w:r>
        <w:rPr>
          <w:rFonts w:ascii="Arial" w:hAnsi="Arial" w:cs="Arial"/>
        </w:rPr>
        <w:t>In response to the scandal, Volkswagen embarked on a comprehensive transformation strategy. The "TOGETHER - Strategy 2025" marked a pivotal shift, aiming to position Volkswagen as a global leader in sustainable mobility. This strategy set ambitious targets, including the introduction of over 30 new electric models and achieving annual sales of 2-3 million electric cars by 2025 (Volkswagen Group, 2021). The strategy also emphasized increasing the use of renewable energy in production processes, enhancing energy efficiency, and promoting the use of recycled materials.</w:t>
      </w:r>
    </w:p>
    <w:p w14:paraId="63681BE2" w14:textId="77777777" w:rsidR="0067740A" w:rsidRDefault="00000000">
      <w:pPr>
        <w:rPr>
          <w:rFonts w:ascii="Arial" w:hAnsi="Arial" w:cs="Arial"/>
          <w:color w:val="000000" w:themeColor="text1"/>
        </w:rPr>
      </w:pPr>
      <w:r>
        <w:rPr>
          <w:rFonts w:ascii="Arial" w:hAnsi="Arial" w:cs="Arial"/>
          <w:color w:val="000000" w:themeColor="text1"/>
        </w:rPr>
        <w:br w:type="page"/>
      </w:r>
    </w:p>
    <w:p w14:paraId="2C029BEC" w14:textId="77777777" w:rsidR="0067740A" w:rsidRDefault="00000000">
      <w:pPr>
        <w:pStyle w:val="3"/>
        <w:numPr>
          <w:ilvl w:val="2"/>
          <w:numId w:val="3"/>
        </w:numPr>
        <w:rPr>
          <w:rFonts w:ascii="Arial" w:hAnsi="Arial" w:cs="Arial"/>
          <w:szCs w:val="24"/>
        </w:rPr>
      </w:pPr>
      <w:bookmarkStart w:id="26" w:name="_Toc177666008"/>
      <w:r>
        <w:rPr>
          <w:rFonts w:ascii="Arial" w:hAnsi="Arial" w:cs="Arial"/>
          <w:szCs w:val="24"/>
        </w:rPr>
        <w:lastRenderedPageBreak/>
        <w:t>Current Initiatives in China</w:t>
      </w:r>
      <w:bookmarkEnd w:id="26"/>
    </w:p>
    <w:p w14:paraId="7B247902" w14:textId="77777777" w:rsidR="0067740A" w:rsidRDefault="00000000">
      <w:pPr>
        <w:pStyle w:val="af"/>
        <w:spacing w:line="360" w:lineRule="auto"/>
        <w:ind w:firstLine="567"/>
        <w:rPr>
          <w:rFonts w:ascii="Arial" w:hAnsi="Arial" w:cs="Arial"/>
        </w:rPr>
      </w:pPr>
      <w:r>
        <w:rPr>
          <w:rFonts w:ascii="Arial" w:hAnsi="Arial" w:cs="Arial"/>
        </w:rPr>
        <w:t>China represents both a significant market and a critical arena for Volkswagen’s sustainability efforts due to its size, regulatory environment, and consumer base increasingly concerned with environmental issues. Volkswagen’s initiatives in China are multifaceted, reflecting the company’s comprehensive approach to sustainability.</w:t>
      </w:r>
    </w:p>
    <w:p w14:paraId="41433E7B" w14:textId="77777777" w:rsidR="0067740A" w:rsidRDefault="00000000">
      <w:pPr>
        <w:pStyle w:val="af"/>
        <w:spacing w:line="360" w:lineRule="auto"/>
        <w:ind w:firstLine="567"/>
        <w:rPr>
          <w:rFonts w:ascii="Arial" w:hAnsi="Arial" w:cs="Arial"/>
        </w:rPr>
      </w:pPr>
      <w:r>
        <w:rPr>
          <w:rFonts w:ascii="Arial" w:hAnsi="Arial" w:cs="Arial"/>
        </w:rPr>
        <w:t xml:space="preserve">One of Volkswagen’s primary initiatives in China is the extensive development and promotion of electric vehicles (EVs). Recognizing the Chinese government’s strong push towards electric mobility, Volkswagen has invested heavily in EV production facilities within the country. This includes the establishment of dedicated EV manufacturing plants in partnership with local automotive giants such as SAIC Motor and FAW Group. </w:t>
      </w:r>
    </w:p>
    <w:p w14:paraId="4BC0DF28" w14:textId="77777777" w:rsidR="0067740A" w:rsidRDefault="00000000">
      <w:pPr>
        <w:pStyle w:val="af"/>
        <w:spacing w:line="360" w:lineRule="auto"/>
        <w:ind w:firstLine="567"/>
        <w:rPr>
          <w:rFonts w:ascii="Arial" w:hAnsi="Arial" w:cs="Arial"/>
        </w:rPr>
      </w:pPr>
      <w:r>
        <w:rPr>
          <w:rFonts w:ascii="Arial" w:hAnsi="Arial" w:cs="Arial"/>
        </w:rPr>
        <w:t>The joint ventures aim to produce a wide range of electric models tailored to meet the preferences of Chinese consumers. Volkswagen has committed to producing 1.5 million electric vehicles annually in China by 2025, a clear indication of its strategic focus on this market (Volkswagen Group China, 2022).</w:t>
      </w:r>
    </w:p>
    <w:p w14:paraId="413DDFA4" w14:textId="77777777" w:rsidR="0067740A" w:rsidRDefault="00000000">
      <w:pPr>
        <w:pStyle w:val="af"/>
        <w:spacing w:line="360" w:lineRule="auto"/>
        <w:ind w:firstLine="567"/>
        <w:rPr>
          <w:rFonts w:ascii="Arial" w:hAnsi="Arial" w:cs="Arial"/>
        </w:rPr>
      </w:pPr>
      <w:r>
        <w:rPr>
          <w:rFonts w:ascii="Arial" w:hAnsi="Arial" w:cs="Arial"/>
        </w:rPr>
        <w:t>Volkswagen’s commitment to sustainability in China extends beyond vehicle production to include green manufacturing processes. The company has implemented advanced energy-efficient technologies in its Chinese production facilities, such as the use of solar panels, wind turbines, and water recycling systems. The Anting and Foshan plants, for example, are designed to minimize environmental impact through significant reductions in carbon emissions and energy consumption. These green manufacturing initiatives align with global sustainability standards and the stringent environmental regulations in China (Liu &amp; Yang, 2021).</w:t>
      </w:r>
    </w:p>
    <w:p w14:paraId="7DB975CF" w14:textId="77777777" w:rsidR="0067740A" w:rsidRDefault="00000000">
      <w:pPr>
        <w:pStyle w:val="af"/>
        <w:spacing w:line="360" w:lineRule="auto"/>
        <w:ind w:firstLine="567"/>
        <w:rPr>
          <w:rFonts w:ascii="Arial" w:hAnsi="Arial" w:cs="Arial"/>
        </w:rPr>
      </w:pPr>
      <w:r>
        <w:rPr>
          <w:rFonts w:ascii="Arial" w:hAnsi="Arial" w:cs="Arial"/>
        </w:rPr>
        <w:t xml:space="preserve">In addition to manufacturing, Volkswagen is actively promoting sustainable urban mobility solutions. The company has launched pilot projects in several Chinese cities to develop smart mobility solutions that integrate electric vehicles with digital technologies. These projects aim to create intelligent transportation systems that enhance urban mobility, reduce traffic congestion, and lower pollution levels. Volkswagen’s investment </w:t>
      </w:r>
      <w:r>
        <w:rPr>
          <w:rFonts w:ascii="Arial" w:hAnsi="Arial" w:cs="Arial"/>
        </w:rPr>
        <w:lastRenderedPageBreak/>
        <w:t>in digitalization includes the development of connected car technologies and data-driven solutions to optimise traffic flow and reduce emissions (Zhang &amp; Zhao, 2020).</w:t>
      </w:r>
    </w:p>
    <w:p w14:paraId="4EE9813B" w14:textId="77777777" w:rsidR="0067740A" w:rsidRDefault="00000000">
      <w:pPr>
        <w:pStyle w:val="af"/>
        <w:spacing w:line="360" w:lineRule="auto"/>
        <w:ind w:firstLine="567"/>
        <w:rPr>
          <w:rFonts w:ascii="Arial" w:hAnsi="Arial" w:cs="Arial"/>
        </w:rPr>
      </w:pPr>
      <w:r>
        <w:rPr>
          <w:rFonts w:ascii="Arial" w:hAnsi="Arial" w:cs="Arial"/>
        </w:rPr>
        <w:t>Volkswagen’s sustainability efforts in China also emphasize extensive stakeholder collaboration. The company engages with governmental bodies, non-governmental organisations (NGOs), and local communities to promote environmental awareness and sustainable practices. By working closely with the Chinese government, Volkswagen ensures that its initiatives are aligned with national environmental policies, such as the Made in China 2025 plan and the New Energy Vehicle (NEV) mandate, which aim to reduce carbon emissions and promote green technology (Tang, Chen, &amp; Luo, 2018).</w:t>
      </w:r>
    </w:p>
    <w:p w14:paraId="6F0F9803" w14:textId="77777777" w:rsidR="0067740A" w:rsidRDefault="00000000">
      <w:pPr>
        <w:pStyle w:val="af"/>
        <w:spacing w:line="360" w:lineRule="auto"/>
        <w:ind w:firstLine="567"/>
        <w:rPr>
          <w:rFonts w:ascii="Arial" w:hAnsi="Arial" w:cs="Arial"/>
        </w:rPr>
      </w:pPr>
      <w:r>
        <w:rPr>
          <w:rFonts w:ascii="Arial" w:hAnsi="Arial" w:cs="Arial"/>
        </w:rPr>
        <w:t xml:space="preserve">Moreover, Volkswagen is focused on sustainable supply chain management in China. The company has implemented rigorous sustainability standards for its suppliers, requiring adherence to environmental regulations and promoting the use of sustainable materials. Volkswagen’s initiatives in this area include auditing suppliers for compliance with environmental standards and </w:t>
      </w:r>
      <w:proofErr w:type="spellStart"/>
      <w:r>
        <w:rPr>
          <w:rFonts w:ascii="Arial" w:hAnsi="Arial" w:cs="Arial"/>
        </w:rPr>
        <w:t>collabourating</w:t>
      </w:r>
      <w:proofErr w:type="spellEnd"/>
      <w:r>
        <w:rPr>
          <w:rFonts w:ascii="Arial" w:hAnsi="Arial" w:cs="Arial"/>
        </w:rPr>
        <w:t xml:space="preserve"> with them to implement eco-friendly practices. This approach helps ensure that the entire supply chain contributes to the company’s overall sustainability goals (Xu &amp; Zeng, 2018).</w:t>
      </w:r>
    </w:p>
    <w:p w14:paraId="4447944A" w14:textId="77777777" w:rsidR="0067740A" w:rsidRDefault="00000000">
      <w:pPr>
        <w:pStyle w:val="af"/>
        <w:spacing w:line="360" w:lineRule="auto"/>
        <w:ind w:firstLine="567"/>
        <w:rPr>
          <w:rFonts w:ascii="Arial" w:hAnsi="Arial" w:cs="Arial"/>
        </w:rPr>
      </w:pPr>
      <w:r>
        <w:rPr>
          <w:rFonts w:ascii="Arial" w:hAnsi="Arial" w:cs="Arial"/>
        </w:rPr>
        <w:t>To further enhance its sustainability credentials, Volkswagen has been investing in renewable energy projects within China. This includes partnerships with local energy providers to increase the use of renewable energy sources in its operations. The company aims to power a significant portion of its manufacturing activities with renewable energy, thereby reducing its carbon footprint and supporting China’s transition to a low-carbon economy (Chen &amp; Li, 2020).</w:t>
      </w:r>
    </w:p>
    <w:p w14:paraId="0910B5A0" w14:textId="77777777" w:rsidR="0067740A" w:rsidRDefault="00000000">
      <w:pPr>
        <w:pStyle w:val="af"/>
        <w:spacing w:line="360" w:lineRule="auto"/>
        <w:ind w:firstLine="567"/>
        <w:rPr>
          <w:rFonts w:ascii="Arial" w:hAnsi="Arial" w:cs="Arial"/>
        </w:rPr>
      </w:pPr>
      <w:r>
        <w:rPr>
          <w:rFonts w:ascii="Arial" w:hAnsi="Arial" w:cs="Arial"/>
        </w:rPr>
        <w:t xml:space="preserve">In summary, Volkswagen’s green practices in China are comprehensive and strategically integrated across various aspects of its operations. These initiatives include the development and promotion of electric vehicles, implementation of green manufacturing processes, advancement of smart urban mobility solutions, extensive stakeholder collaboration, sustainable supply chain management, and investments in renewable energy. These efforts reflect Volkswagen’s commitment to sustainability and </w:t>
      </w:r>
      <w:r>
        <w:rPr>
          <w:rFonts w:ascii="Arial" w:hAnsi="Arial" w:cs="Arial"/>
        </w:rPr>
        <w:lastRenderedPageBreak/>
        <w:t>its strategic approach to addressing the unique challenges and opportunities in the Chinese market.</w:t>
      </w:r>
    </w:p>
    <w:p w14:paraId="61146D53" w14:textId="77777777" w:rsidR="0067740A" w:rsidRDefault="00000000">
      <w:pPr>
        <w:rPr>
          <w:rFonts w:ascii="Arial" w:hAnsi="Arial" w:cs="Arial"/>
        </w:rPr>
      </w:pPr>
      <w:r>
        <w:rPr>
          <w:rFonts w:ascii="Arial" w:hAnsi="Arial" w:cs="Arial"/>
        </w:rPr>
        <w:br w:type="page"/>
      </w:r>
    </w:p>
    <w:p w14:paraId="67B2FDD0" w14:textId="77777777" w:rsidR="0067740A" w:rsidRDefault="00000000">
      <w:pPr>
        <w:pStyle w:val="2"/>
        <w:numPr>
          <w:ilvl w:val="1"/>
          <w:numId w:val="3"/>
        </w:numPr>
        <w:rPr>
          <w:rFonts w:ascii="Arial" w:hAnsi="Arial" w:cs="Arial"/>
          <w:szCs w:val="24"/>
        </w:rPr>
      </w:pPr>
      <w:bookmarkStart w:id="27" w:name="_Toc177666009"/>
      <w:r>
        <w:rPr>
          <w:rFonts w:ascii="Arial" w:hAnsi="Arial" w:cs="Arial"/>
          <w:szCs w:val="24"/>
        </w:rPr>
        <w:lastRenderedPageBreak/>
        <w:t>Theoretical Framework</w:t>
      </w:r>
      <w:bookmarkEnd w:id="27"/>
    </w:p>
    <w:p w14:paraId="58C00DA5" w14:textId="77777777" w:rsidR="0067740A" w:rsidRDefault="00000000">
      <w:pPr>
        <w:pStyle w:val="3"/>
        <w:numPr>
          <w:ilvl w:val="2"/>
          <w:numId w:val="3"/>
        </w:numPr>
        <w:rPr>
          <w:rFonts w:ascii="Arial" w:hAnsi="Arial" w:cs="Arial"/>
          <w:szCs w:val="24"/>
        </w:rPr>
      </w:pPr>
      <w:bookmarkStart w:id="28" w:name="_Toc177666010"/>
      <w:r>
        <w:rPr>
          <w:rFonts w:ascii="Arial" w:hAnsi="Arial" w:cs="Arial"/>
          <w:szCs w:val="24"/>
        </w:rPr>
        <w:t>Concepts of Sustainability in Business</w:t>
      </w:r>
      <w:bookmarkEnd w:id="28"/>
    </w:p>
    <w:p w14:paraId="5AD86129" w14:textId="77777777" w:rsidR="0067740A" w:rsidRDefault="00000000">
      <w:pPr>
        <w:pStyle w:val="af"/>
        <w:spacing w:line="360" w:lineRule="auto"/>
        <w:ind w:firstLine="567"/>
        <w:rPr>
          <w:rFonts w:ascii="Arial" w:hAnsi="Arial" w:cs="Arial"/>
        </w:rPr>
      </w:pPr>
      <w:r>
        <w:rPr>
          <w:rFonts w:ascii="Arial" w:hAnsi="Arial" w:cs="Arial"/>
        </w:rPr>
        <w:t xml:space="preserve">Sustainability in business encompasses practices that meet the needs of the present without compromising the ability of future generations to meet their own needs, integrating economic, environmental, and social goals to ensure long-term success and viability. The Triple Bottom Line (TBL), introduced by Elkington (1997), emphasizes balancing profit, people, and the planet, encouraging companies to measure success not just by financial performance but also by social and environmental impact. Corporate Social Responsibility (CSR) further </w:t>
      </w:r>
      <w:proofErr w:type="spellStart"/>
      <w:r>
        <w:rPr>
          <w:rFonts w:ascii="Arial" w:hAnsi="Arial" w:cs="Arial"/>
        </w:rPr>
        <w:t>elabourates</w:t>
      </w:r>
      <w:proofErr w:type="spellEnd"/>
      <w:r>
        <w:rPr>
          <w:rFonts w:ascii="Arial" w:hAnsi="Arial" w:cs="Arial"/>
        </w:rPr>
        <w:t xml:space="preserve"> on this by referring to the ethical obligation of businesses to contribute positively to society and minimize negative impacts on the environment, involving voluntary actions to address social and environmental issues beyond legal requirements (Carroll, 1991). </w:t>
      </w:r>
    </w:p>
    <w:p w14:paraId="3A144327" w14:textId="77777777" w:rsidR="0067740A" w:rsidRDefault="00000000">
      <w:pPr>
        <w:pStyle w:val="af"/>
        <w:spacing w:line="360" w:lineRule="auto"/>
        <w:ind w:firstLine="567"/>
        <w:rPr>
          <w:rFonts w:ascii="Arial" w:hAnsi="Arial" w:cs="Arial"/>
        </w:rPr>
      </w:pPr>
      <w:r>
        <w:rPr>
          <w:rFonts w:ascii="Arial" w:hAnsi="Arial" w:cs="Arial"/>
        </w:rPr>
        <w:t xml:space="preserve">The Sustainable Development Goals (SDGs), adopted by the United Nations in 2015, provide a global framework for sustainable development, comprising 17 goals that address a range of social, economic, and environmental challenges. Companies, including those in the automotive sector, are increasingly aligning their strategies with these goals to demonstrate their commitment to global sustainability (United Nations, 2015). </w:t>
      </w:r>
    </w:p>
    <w:p w14:paraId="3661002B" w14:textId="77777777" w:rsidR="0067740A" w:rsidRDefault="00000000">
      <w:pPr>
        <w:pStyle w:val="af"/>
        <w:spacing w:line="360" w:lineRule="auto"/>
        <w:ind w:firstLine="567"/>
        <w:rPr>
          <w:rFonts w:ascii="Arial" w:hAnsi="Arial" w:cs="Arial"/>
        </w:rPr>
      </w:pPr>
      <w:r>
        <w:rPr>
          <w:rFonts w:ascii="Arial" w:hAnsi="Arial" w:cs="Arial"/>
        </w:rPr>
        <w:t>Another important concept is the Circular Economy, which promotes the reuse, repair, refurbishment, and recycling of materials and products to create a closed-loop system, minimizing waste and resource use. The automotive industry contributes to this by designing vehicles for longevity, recyclability, and using sustainable materials (</w:t>
      </w:r>
      <w:proofErr w:type="spellStart"/>
      <w:r>
        <w:rPr>
          <w:rFonts w:ascii="Arial" w:hAnsi="Arial" w:cs="Arial"/>
        </w:rPr>
        <w:t>Geissdoerfer</w:t>
      </w:r>
      <w:proofErr w:type="spellEnd"/>
      <w:r>
        <w:rPr>
          <w:rFonts w:ascii="Arial" w:hAnsi="Arial" w:cs="Arial"/>
        </w:rPr>
        <w:t xml:space="preserve"> et al., 2017).</w:t>
      </w:r>
    </w:p>
    <w:p w14:paraId="425032A9" w14:textId="77777777" w:rsidR="0067740A" w:rsidRDefault="00000000">
      <w:pPr>
        <w:rPr>
          <w:rFonts w:ascii="Arial" w:hAnsi="Arial" w:cs="Arial"/>
        </w:rPr>
      </w:pPr>
      <w:r>
        <w:rPr>
          <w:rFonts w:ascii="Arial" w:hAnsi="Arial" w:cs="Arial"/>
        </w:rPr>
        <w:br w:type="page"/>
      </w:r>
    </w:p>
    <w:p w14:paraId="19B44A59" w14:textId="77777777" w:rsidR="0067740A" w:rsidRDefault="00000000">
      <w:pPr>
        <w:pStyle w:val="3"/>
        <w:numPr>
          <w:ilvl w:val="2"/>
          <w:numId w:val="3"/>
        </w:numPr>
        <w:rPr>
          <w:rFonts w:ascii="Arial" w:hAnsi="Arial" w:cs="Arial"/>
          <w:szCs w:val="24"/>
        </w:rPr>
      </w:pPr>
      <w:bookmarkStart w:id="29" w:name="_Toc177666011"/>
      <w:r>
        <w:rPr>
          <w:rFonts w:ascii="Arial" w:hAnsi="Arial" w:cs="Arial"/>
          <w:szCs w:val="24"/>
        </w:rPr>
        <w:lastRenderedPageBreak/>
        <w:t>Strategic Management Theories</w:t>
      </w:r>
      <w:bookmarkEnd w:id="29"/>
    </w:p>
    <w:p w14:paraId="349500B7" w14:textId="77777777" w:rsidR="0067740A" w:rsidRDefault="00000000">
      <w:pPr>
        <w:pStyle w:val="af"/>
        <w:spacing w:line="360" w:lineRule="auto"/>
        <w:ind w:firstLine="567"/>
        <w:rPr>
          <w:rFonts w:ascii="Arial" w:hAnsi="Arial" w:cs="Arial"/>
        </w:rPr>
      </w:pPr>
      <w:r>
        <w:rPr>
          <w:rFonts w:ascii="Arial" w:hAnsi="Arial" w:cs="Arial"/>
        </w:rPr>
        <w:t xml:space="preserve">Strategic management theories provide a framework for understanding how businesses can achieve and sustain competitive advantage through effective strategy formulation and implementation. Michael Porter’s Generic Strategies identify three primary strategies for achieving competitive advantage: cost leadership, differentiation, and focus (Porter, 1985). In the context of sustainability, automotive companies can adopt these strategies to enhance their market position; for instance, by differentiating through the development and promotion of sustainable products like electric vehicles, or pursuing cost leadership by reducing operational costs through energy-efficient manufacturing processes. </w:t>
      </w:r>
    </w:p>
    <w:p w14:paraId="534931CA" w14:textId="77777777" w:rsidR="0067740A" w:rsidRDefault="00000000">
      <w:pPr>
        <w:pStyle w:val="af"/>
        <w:spacing w:line="360" w:lineRule="auto"/>
        <w:ind w:firstLine="567"/>
        <w:rPr>
          <w:rFonts w:ascii="Arial" w:hAnsi="Arial" w:cs="Arial"/>
        </w:rPr>
      </w:pPr>
      <w:r>
        <w:rPr>
          <w:rFonts w:ascii="Arial" w:hAnsi="Arial" w:cs="Arial"/>
        </w:rPr>
        <w:t xml:space="preserve">The Resource-Based View (RBV), proposed by Barney (1991), suggests that a company’s unique resources and capabilities are key to achieving and sustaining competitive advantage. For the automotive industry, resources such as advanced green technologies, expertise in sustainable practices, and a strong brand reputation for environmental responsibility are valuable assets that enhance competitive positioning. </w:t>
      </w:r>
    </w:p>
    <w:p w14:paraId="3A07ECE6" w14:textId="77777777" w:rsidR="0067740A" w:rsidRDefault="00000000">
      <w:pPr>
        <w:pStyle w:val="af"/>
        <w:spacing w:line="360" w:lineRule="auto"/>
        <w:ind w:firstLine="567"/>
        <w:rPr>
          <w:rFonts w:ascii="Arial" w:hAnsi="Arial" w:cs="Arial"/>
        </w:rPr>
      </w:pPr>
      <w:r>
        <w:rPr>
          <w:rFonts w:ascii="Arial" w:hAnsi="Arial" w:cs="Arial"/>
        </w:rPr>
        <w:t xml:space="preserve">Dynamic Capabilities, a theory developed by Teece, Pisano, and </w:t>
      </w:r>
      <w:proofErr w:type="spellStart"/>
      <w:r>
        <w:rPr>
          <w:rFonts w:ascii="Arial" w:hAnsi="Arial" w:cs="Arial"/>
        </w:rPr>
        <w:t>Shuen</w:t>
      </w:r>
      <w:proofErr w:type="spellEnd"/>
      <w:r>
        <w:rPr>
          <w:rFonts w:ascii="Arial" w:hAnsi="Arial" w:cs="Arial"/>
        </w:rPr>
        <w:t xml:space="preserve"> (1997), emphasizes the importance of a company’s ability to integrate, build, and reconfigure internal and external competencies to address rapidly changing environments. For automotive companies, this involves the ability to innovate continuously in response to evolving regulatory standards and consumer preferences for sustainable products. </w:t>
      </w:r>
    </w:p>
    <w:p w14:paraId="5D17F737" w14:textId="77777777" w:rsidR="0067740A" w:rsidRDefault="00000000">
      <w:pPr>
        <w:pStyle w:val="af"/>
        <w:spacing w:line="360" w:lineRule="auto"/>
        <w:ind w:firstLine="567"/>
        <w:rPr>
          <w:rFonts w:ascii="Arial" w:hAnsi="Arial" w:cs="Arial"/>
        </w:rPr>
      </w:pPr>
      <w:r>
        <w:rPr>
          <w:rFonts w:ascii="Arial" w:hAnsi="Arial" w:cs="Arial"/>
        </w:rPr>
        <w:t xml:space="preserve">Stakeholder Theory, proposed by Freeman (1984), suggests that businesses must consider the interests of all stakeholders, including customers, employees, suppliers, and the community, in their decision-making processes. In the automotive industry, engaging with stakeholders on sustainability issues can help build trust, enhance corporate reputation, and ensure long-term success. </w:t>
      </w:r>
    </w:p>
    <w:p w14:paraId="7B73D3A4" w14:textId="77777777" w:rsidR="0067740A" w:rsidRDefault="00000000">
      <w:pPr>
        <w:pStyle w:val="af"/>
        <w:spacing w:line="360" w:lineRule="auto"/>
        <w:ind w:firstLine="567"/>
        <w:rPr>
          <w:rFonts w:ascii="Arial" w:hAnsi="Arial" w:cs="Arial"/>
        </w:rPr>
      </w:pPr>
      <w:r>
        <w:rPr>
          <w:rFonts w:ascii="Arial" w:hAnsi="Arial" w:cs="Arial"/>
        </w:rPr>
        <w:t xml:space="preserve">Institutional Theory examines how institutional pressures, such as regulations, norms, and cultural expectations, influence organisational </w:t>
      </w:r>
      <w:proofErr w:type="spellStart"/>
      <w:r>
        <w:rPr>
          <w:rFonts w:ascii="Arial" w:hAnsi="Arial" w:cs="Arial"/>
        </w:rPr>
        <w:t>behavior</w:t>
      </w:r>
      <w:proofErr w:type="spellEnd"/>
      <w:r>
        <w:rPr>
          <w:rFonts w:ascii="Arial" w:hAnsi="Arial" w:cs="Arial"/>
        </w:rPr>
        <w:t xml:space="preserve">. For the automotive industry, compliance with environmental regulations and alignment with societal values </w:t>
      </w:r>
      <w:r>
        <w:rPr>
          <w:rFonts w:ascii="Arial" w:hAnsi="Arial" w:cs="Arial"/>
        </w:rPr>
        <w:lastRenderedPageBreak/>
        <w:t xml:space="preserve">around sustainability are critical factors that shape corporate strategies (DiMaggio &amp; Powell, 1983). These strategic management theories collectively provide a robust framework for </w:t>
      </w:r>
      <w:proofErr w:type="spellStart"/>
      <w:r>
        <w:rPr>
          <w:rFonts w:ascii="Arial" w:hAnsi="Arial" w:cs="Arial"/>
        </w:rPr>
        <w:t>analyzing</w:t>
      </w:r>
      <w:proofErr w:type="spellEnd"/>
      <w:r>
        <w:rPr>
          <w:rFonts w:ascii="Arial" w:hAnsi="Arial" w:cs="Arial"/>
        </w:rPr>
        <w:t xml:space="preserve"> how sustainability initiatives can be leveraged to achieve competitive advantage in the automotive industry.</w:t>
      </w:r>
    </w:p>
    <w:p w14:paraId="258B328A" w14:textId="77777777" w:rsidR="0067740A" w:rsidRDefault="00000000">
      <w:pPr>
        <w:rPr>
          <w:rFonts w:ascii="Arial" w:hAnsi="Arial" w:cs="Arial"/>
          <w:color w:val="000000" w:themeColor="text1"/>
        </w:rPr>
      </w:pPr>
      <w:r>
        <w:rPr>
          <w:rFonts w:ascii="Arial" w:hAnsi="Arial" w:cs="Arial"/>
          <w:color w:val="000000" w:themeColor="text1"/>
        </w:rPr>
        <w:br w:type="page"/>
      </w:r>
    </w:p>
    <w:p w14:paraId="681EAAA0" w14:textId="77777777" w:rsidR="0067740A" w:rsidRDefault="00000000">
      <w:pPr>
        <w:pStyle w:val="2"/>
        <w:numPr>
          <w:ilvl w:val="1"/>
          <w:numId w:val="3"/>
        </w:numPr>
        <w:rPr>
          <w:rFonts w:ascii="Arial" w:hAnsi="Arial" w:cs="Arial"/>
          <w:szCs w:val="24"/>
        </w:rPr>
      </w:pPr>
      <w:bookmarkStart w:id="30" w:name="_Toc177666012"/>
      <w:r>
        <w:rPr>
          <w:rFonts w:ascii="Arial" w:hAnsi="Arial" w:cs="Arial"/>
          <w:szCs w:val="24"/>
        </w:rPr>
        <w:lastRenderedPageBreak/>
        <w:t>Competitive Advantage and Sustainability</w:t>
      </w:r>
      <w:bookmarkEnd w:id="30"/>
    </w:p>
    <w:p w14:paraId="7B84BBCD" w14:textId="77777777" w:rsidR="0067740A" w:rsidRDefault="00000000">
      <w:pPr>
        <w:pStyle w:val="3"/>
        <w:numPr>
          <w:ilvl w:val="2"/>
          <w:numId w:val="3"/>
        </w:numPr>
        <w:rPr>
          <w:rFonts w:ascii="Arial" w:hAnsi="Arial" w:cs="Arial"/>
          <w:szCs w:val="24"/>
        </w:rPr>
      </w:pPr>
      <w:bookmarkStart w:id="31" w:name="_Toc177666013"/>
      <w:r>
        <w:rPr>
          <w:rFonts w:ascii="Arial" w:hAnsi="Arial" w:cs="Arial"/>
          <w:szCs w:val="24"/>
        </w:rPr>
        <w:t>Porter’s Generic Strategies</w:t>
      </w:r>
      <w:bookmarkEnd w:id="31"/>
    </w:p>
    <w:p w14:paraId="2E259518" w14:textId="77777777" w:rsidR="0067740A" w:rsidRDefault="00000000">
      <w:pPr>
        <w:pStyle w:val="af"/>
        <w:spacing w:line="360" w:lineRule="auto"/>
        <w:ind w:firstLine="567"/>
        <w:rPr>
          <w:rFonts w:ascii="Arial" w:hAnsi="Arial" w:cs="Arial"/>
        </w:rPr>
      </w:pPr>
      <w:r>
        <w:rPr>
          <w:rFonts w:ascii="Arial" w:hAnsi="Arial" w:cs="Arial"/>
          <w:color w:val="000000" w:themeColor="text1"/>
        </w:rPr>
        <w:t>M</w:t>
      </w:r>
      <w:r>
        <w:rPr>
          <w:rFonts w:ascii="Arial" w:hAnsi="Arial" w:cs="Arial"/>
        </w:rPr>
        <w:t>ichael Porter’s framework for achieving competitive advantage outlines three primary strategies: cost leadership, differentiation, and focus. These strategies can be effectively employed by companies in the automotive industry to leverage sustainability as a competitive advantage.</w:t>
      </w:r>
    </w:p>
    <w:p w14:paraId="72D589AA" w14:textId="77777777" w:rsidR="0067740A" w:rsidRDefault="00000000">
      <w:pPr>
        <w:pStyle w:val="af"/>
        <w:spacing w:line="360" w:lineRule="auto"/>
        <w:ind w:firstLine="567"/>
        <w:rPr>
          <w:rFonts w:ascii="Arial" w:hAnsi="Arial" w:cs="Arial"/>
        </w:rPr>
      </w:pPr>
      <w:r>
        <w:t>Cost Leadership</w:t>
      </w:r>
      <w:r>
        <w:rPr>
          <w:rFonts w:ascii="Arial" w:hAnsi="Arial" w:cs="Arial"/>
        </w:rPr>
        <w:t xml:space="preserve">: Cost leadership involves becoming the lowest-cost producer in the industry. For automotive companies, this can be achieved through the implementation of energy-efficient manufacturing processes, reduction of waste, and optimization of supply chains. Volkswagen, for example, has invested in green manufacturing technologies that reduce operational costs and enhance efficiency. </w:t>
      </w:r>
    </w:p>
    <w:p w14:paraId="050F37B2" w14:textId="77777777" w:rsidR="0067740A" w:rsidRDefault="00000000">
      <w:pPr>
        <w:pStyle w:val="af"/>
        <w:spacing w:line="360" w:lineRule="auto"/>
        <w:ind w:firstLine="567"/>
        <w:rPr>
          <w:rFonts w:ascii="Arial" w:hAnsi="Arial" w:cs="Arial"/>
        </w:rPr>
      </w:pPr>
      <w:r>
        <w:rPr>
          <w:rFonts w:ascii="Arial" w:hAnsi="Arial" w:cs="Arial"/>
        </w:rPr>
        <w:t>By minimizing energy consumption and waste, Volkswagen not only reduces its environmental impact but also achieves significant cost savings, which can be passed on to consumers in the form of lower prices. This strategy helps Volkswagen compete effectively in price-sensitive markets while maintaining sustainability as a core value (Volkswagen Group China, 2022).</w:t>
      </w:r>
    </w:p>
    <w:p w14:paraId="33D86196" w14:textId="77777777" w:rsidR="0067740A" w:rsidRDefault="00000000">
      <w:pPr>
        <w:pStyle w:val="af"/>
        <w:spacing w:line="360" w:lineRule="auto"/>
        <w:ind w:firstLine="567"/>
        <w:rPr>
          <w:rFonts w:ascii="Arial" w:hAnsi="Arial" w:cs="Arial"/>
        </w:rPr>
      </w:pPr>
      <w:r>
        <w:t>Differentiation</w:t>
      </w:r>
      <w:r>
        <w:rPr>
          <w:rFonts w:ascii="Arial" w:hAnsi="Arial" w:cs="Arial"/>
        </w:rPr>
        <w:t xml:space="preserve">: Differentiation involves offering unique products or services that are valued by customers and perceived as distinct from those of competitors. In the context of sustainability, automotive companies can differentiate themselves by developing and promoting green technologies such as electric vehicles (EVs) and hybrid models. </w:t>
      </w:r>
    </w:p>
    <w:p w14:paraId="0F247AA2" w14:textId="77777777" w:rsidR="0067740A" w:rsidRDefault="00000000">
      <w:pPr>
        <w:pStyle w:val="af"/>
        <w:spacing w:line="360" w:lineRule="auto"/>
        <w:ind w:firstLine="567"/>
        <w:rPr>
          <w:rFonts w:ascii="Arial" w:hAnsi="Arial" w:cs="Arial"/>
        </w:rPr>
      </w:pPr>
      <w:r>
        <w:rPr>
          <w:rFonts w:ascii="Arial" w:hAnsi="Arial" w:cs="Arial"/>
        </w:rPr>
        <w:t>Volkswagen has positioned itself as a leader in electric mobility by launching a wide range of EVs tailored to different market segments. These vehicles not only reduce emissions but also incorporate advanced features such as autonomous driving and connectivity, enhancing their appeal to environmentally conscious consumers. Volkswagen’s commitment to sustainability is further reinforced by its comprehensive sustainability reporting and transparent communication about its environmental initiatives (Porter, 1985).</w:t>
      </w:r>
    </w:p>
    <w:p w14:paraId="058142BE" w14:textId="77777777" w:rsidR="0067740A" w:rsidRDefault="00000000">
      <w:pPr>
        <w:pStyle w:val="af"/>
        <w:spacing w:line="360" w:lineRule="auto"/>
        <w:ind w:firstLine="567"/>
        <w:rPr>
          <w:rFonts w:ascii="Arial" w:hAnsi="Arial" w:cs="Arial"/>
        </w:rPr>
      </w:pPr>
      <w:r>
        <w:lastRenderedPageBreak/>
        <w:t>Focus</w:t>
      </w:r>
      <w:r>
        <w:rPr>
          <w:rFonts w:ascii="Arial" w:hAnsi="Arial" w:cs="Arial"/>
        </w:rPr>
        <w:t xml:space="preserve">: The focus strategy involves targeting a specific market niche and tailoring products or services to meet the unique needs of that segment. For Volkswagen, this could mean concentrating on the Chinese market, where there is a strong governmental push towards green technologies and a growing consumer base for sustainable products. </w:t>
      </w:r>
    </w:p>
    <w:p w14:paraId="4AEA14BE" w14:textId="77777777" w:rsidR="0067740A" w:rsidRDefault="00000000">
      <w:pPr>
        <w:pStyle w:val="af"/>
        <w:spacing w:line="360" w:lineRule="auto"/>
        <w:ind w:firstLine="567"/>
        <w:rPr>
          <w:rFonts w:ascii="Arial" w:hAnsi="Arial" w:cs="Arial"/>
        </w:rPr>
      </w:pPr>
      <w:r>
        <w:rPr>
          <w:rFonts w:ascii="Arial" w:hAnsi="Arial" w:cs="Arial"/>
        </w:rPr>
        <w:t>By aligning its sustainability initiatives with local market demands and regulatory requirements, Volkswagen can effectively serve this niche and build a loyal customer base. The company’s partnerships with local firms and governments further strengthen its market position and allow it to address specific regional sustainability challenges (Gao et al., 2020).</w:t>
      </w:r>
    </w:p>
    <w:p w14:paraId="112A8CD3" w14:textId="77777777" w:rsidR="0067740A" w:rsidRDefault="00000000">
      <w:pPr>
        <w:rPr>
          <w:rFonts w:ascii="Arial" w:hAnsi="Arial" w:cs="Arial"/>
          <w:color w:val="000000" w:themeColor="text1"/>
        </w:rPr>
      </w:pPr>
      <w:r>
        <w:rPr>
          <w:rFonts w:ascii="Arial" w:hAnsi="Arial" w:cs="Arial"/>
          <w:color w:val="000000" w:themeColor="text1"/>
        </w:rPr>
        <w:br w:type="page"/>
      </w:r>
    </w:p>
    <w:p w14:paraId="28693F4A" w14:textId="77777777" w:rsidR="0067740A" w:rsidRDefault="00000000">
      <w:pPr>
        <w:pStyle w:val="3"/>
        <w:numPr>
          <w:ilvl w:val="2"/>
          <w:numId w:val="3"/>
        </w:numPr>
        <w:rPr>
          <w:rFonts w:ascii="Arial" w:hAnsi="Arial" w:cs="Arial"/>
          <w:szCs w:val="24"/>
        </w:rPr>
      </w:pPr>
      <w:bookmarkStart w:id="32" w:name="_Toc177666014"/>
      <w:r>
        <w:rPr>
          <w:rFonts w:ascii="Arial" w:hAnsi="Arial" w:cs="Arial"/>
          <w:szCs w:val="24"/>
        </w:rPr>
        <w:lastRenderedPageBreak/>
        <w:t>Resource-Based View</w:t>
      </w:r>
      <w:bookmarkEnd w:id="32"/>
    </w:p>
    <w:p w14:paraId="68ADBC0B" w14:textId="77777777" w:rsidR="0067740A" w:rsidRDefault="00000000">
      <w:pPr>
        <w:pStyle w:val="af"/>
        <w:spacing w:line="360" w:lineRule="auto"/>
        <w:ind w:firstLine="567"/>
        <w:rPr>
          <w:rFonts w:ascii="Arial" w:hAnsi="Arial" w:cs="Arial"/>
        </w:rPr>
      </w:pPr>
      <w:r>
        <w:rPr>
          <w:rFonts w:ascii="Arial" w:hAnsi="Arial" w:cs="Arial"/>
          <w:color w:val="000000" w:themeColor="text1"/>
        </w:rPr>
        <w:t>T</w:t>
      </w:r>
      <w:r>
        <w:rPr>
          <w:rFonts w:ascii="Arial" w:hAnsi="Arial" w:cs="Arial"/>
        </w:rPr>
        <w:t>he Resource-Based View (RBV) theory, proposed by Barney (1991), suggests that a company’s unique resources and capabilities are key to achieving and sustaining competitive advantage. In the automotive industry, these resources include advanced technologies, expertise in sustainable practices, and strong brand reputation.</w:t>
      </w:r>
    </w:p>
    <w:p w14:paraId="6C13DABE" w14:textId="77777777" w:rsidR="0067740A" w:rsidRDefault="00000000">
      <w:pPr>
        <w:pStyle w:val="af"/>
        <w:spacing w:line="360" w:lineRule="auto"/>
        <w:ind w:firstLine="567"/>
        <w:rPr>
          <w:rFonts w:ascii="Arial" w:hAnsi="Arial" w:cs="Arial"/>
        </w:rPr>
      </w:pPr>
      <w:r>
        <w:t>Technological Innovation</w:t>
      </w:r>
      <w:r>
        <w:rPr>
          <w:rFonts w:ascii="Arial" w:hAnsi="Arial" w:cs="Arial"/>
        </w:rPr>
        <w:t xml:space="preserve">: Technological innovation is a critical resource for achieving competitive advantage in sustainability. Volkswagen’s investments in electric vehicle technology and green manufacturing processes are prime examples. The company has developed advanced battery technologies, efficient electric drivetrains, and sustainable production methods that reduce energy consumption and emissions. </w:t>
      </w:r>
    </w:p>
    <w:p w14:paraId="50BBA8AD" w14:textId="77777777" w:rsidR="0067740A" w:rsidRDefault="00000000">
      <w:pPr>
        <w:pStyle w:val="af"/>
        <w:spacing w:line="360" w:lineRule="auto"/>
        <w:ind w:firstLine="567"/>
        <w:rPr>
          <w:rFonts w:ascii="Arial" w:hAnsi="Arial" w:cs="Arial"/>
        </w:rPr>
      </w:pPr>
      <w:r>
        <w:rPr>
          <w:rFonts w:ascii="Arial" w:hAnsi="Arial" w:cs="Arial"/>
        </w:rPr>
        <w:t xml:space="preserve">These technological capabilities enable Volkswagen to produce high-quality, environmentally friendly vehicles that meet consumer demand and regulatory standards. The continuous innovation in these areas ensures that Volkswagen remains at the forefront of the industry’s transition to sustainable mobility (Teece, Pisano, &amp; </w:t>
      </w:r>
      <w:proofErr w:type="spellStart"/>
      <w:r>
        <w:rPr>
          <w:rFonts w:ascii="Arial" w:hAnsi="Arial" w:cs="Arial"/>
        </w:rPr>
        <w:t>Shuen</w:t>
      </w:r>
      <w:proofErr w:type="spellEnd"/>
      <w:r>
        <w:rPr>
          <w:rFonts w:ascii="Arial" w:hAnsi="Arial" w:cs="Arial"/>
        </w:rPr>
        <w:t>, 1997).</w:t>
      </w:r>
    </w:p>
    <w:p w14:paraId="4A42E637" w14:textId="77777777" w:rsidR="0067740A" w:rsidRDefault="00000000">
      <w:pPr>
        <w:pStyle w:val="af"/>
        <w:spacing w:line="360" w:lineRule="auto"/>
        <w:ind w:firstLine="567"/>
        <w:rPr>
          <w:rFonts w:ascii="Arial" w:hAnsi="Arial" w:cs="Arial"/>
        </w:rPr>
      </w:pPr>
      <w:r>
        <w:t>Expertise in Sustainable Practices</w:t>
      </w:r>
      <w:r>
        <w:rPr>
          <w:rFonts w:ascii="Arial" w:hAnsi="Arial" w:cs="Arial"/>
        </w:rPr>
        <w:t xml:space="preserve">: Expertise in sustainable practices is another valuable resource. Volkswagen’s commitment to sustainability is evident in its comprehensive sustainability strategies and initiatives. The company employs experts in environmental science, engineering, and sustainable business practices to drive its green agenda. </w:t>
      </w:r>
    </w:p>
    <w:p w14:paraId="03869F01" w14:textId="77777777" w:rsidR="0067740A" w:rsidRDefault="00000000">
      <w:pPr>
        <w:pStyle w:val="af"/>
        <w:spacing w:line="360" w:lineRule="auto"/>
        <w:ind w:firstLine="567"/>
        <w:rPr>
          <w:rFonts w:ascii="Arial" w:hAnsi="Arial" w:cs="Arial"/>
        </w:rPr>
      </w:pPr>
      <w:r>
        <w:rPr>
          <w:rFonts w:ascii="Arial" w:hAnsi="Arial" w:cs="Arial"/>
        </w:rPr>
        <w:t>This expertise allows Volkswagen to implement effective sustainability initiatives, from green supply chain management to energy-efficient manufacturing. The company’s ability to integrate these practices into its operations enhances its overall sustainability performance and competitive positioning (Freeman, 1984).</w:t>
      </w:r>
    </w:p>
    <w:p w14:paraId="5E8EA6BA" w14:textId="77777777" w:rsidR="0067740A" w:rsidRDefault="00000000">
      <w:pPr>
        <w:pStyle w:val="af"/>
        <w:spacing w:line="360" w:lineRule="auto"/>
        <w:ind w:firstLine="567"/>
        <w:rPr>
          <w:rFonts w:ascii="Arial" w:hAnsi="Arial" w:cs="Arial"/>
        </w:rPr>
      </w:pPr>
      <w:r>
        <w:t>Brand Reputation</w:t>
      </w:r>
      <w:r>
        <w:rPr>
          <w:rFonts w:ascii="Arial" w:hAnsi="Arial" w:cs="Arial"/>
        </w:rPr>
        <w:t xml:space="preserve">: A strong brand reputation for environmental responsibility is a significant intangible asset. Following the </w:t>
      </w:r>
      <w:proofErr w:type="spellStart"/>
      <w:r>
        <w:rPr>
          <w:rFonts w:ascii="Arial" w:hAnsi="Arial" w:cs="Arial"/>
        </w:rPr>
        <w:t>Dieselgate</w:t>
      </w:r>
      <w:proofErr w:type="spellEnd"/>
      <w:r>
        <w:rPr>
          <w:rFonts w:ascii="Arial" w:hAnsi="Arial" w:cs="Arial"/>
        </w:rPr>
        <w:t xml:space="preserve"> scandal, Volkswagen has worked diligently to rebuild its brand image by focusing on transparency, accountability, and </w:t>
      </w:r>
      <w:r>
        <w:rPr>
          <w:rFonts w:ascii="Arial" w:hAnsi="Arial" w:cs="Arial"/>
        </w:rPr>
        <w:lastRenderedPageBreak/>
        <w:t xml:space="preserve">genuine sustainability efforts. The company’s comprehensive sustainability reporting, stakeholder engagement, and proactive communication about its environmental initiatives have helped restore trust among consumers and stakeholders. </w:t>
      </w:r>
    </w:p>
    <w:p w14:paraId="219F24B5" w14:textId="77777777" w:rsidR="0067740A" w:rsidRDefault="00000000">
      <w:pPr>
        <w:pStyle w:val="af"/>
        <w:spacing w:line="360" w:lineRule="auto"/>
        <w:ind w:firstLine="567"/>
        <w:rPr>
          <w:rFonts w:ascii="Arial" w:hAnsi="Arial" w:cs="Arial"/>
        </w:rPr>
      </w:pPr>
      <w:r>
        <w:rPr>
          <w:rFonts w:ascii="Arial" w:hAnsi="Arial" w:cs="Arial"/>
        </w:rPr>
        <w:t>A positive brand reputation not only attracts environmentally conscious consumers but also enhances customer loyalty and market share. This intangible asset is crucial for sustaining competitive advantage in an increasingly eco-conscious market (DiMaggio &amp; Powell, 1983).</w:t>
      </w:r>
    </w:p>
    <w:p w14:paraId="7150063F" w14:textId="77777777" w:rsidR="0067740A" w:rsidRDefault="00000000">
      <w:pPr>
        <w:pStyle w:val="af"/>
        <w:spacing w:line="360" w:lineRule="auto"/>
        <w:ind w:firstLine="567"/>
        <w:rPr>
          <w:rFonts w:ascii="Arial" w:hAnsi="Arial" w:cs="Arial"/>
        </w:rPr>
      </w:pPr>
      <w:r>
        <w:rPr>
          <w:rFonts w:ascii="Arial" w:hAnsi="Arial" w:cs="Arial"/>
        </w:rPr>
        <w:t>In conclusion, Porter’s Generic Strategies and the Resource-Based View provide robust frameworks for understanding how sustainability can be leveraged to achieve and sustain competitive advantage in the automotive industry. Volkswagen’s strategic focus on cost leadership, differentiation, and technological innovation, combined with its expertise in sustainable practices and strong brand reputation, positions the company as a leader in sustainable mobility.</w:t>
      </w:r>
    </w:p>
    <w:p w14:paraId="260C9E91" w14:textId="77777777" w:rsidR="0067740A" w:rsidRDefault="0067740A">
      <w:pPr>
        <w:pStyle w:val="af"/>
        <w:spacing w:line="360" w:lineRule="auto"/>
        <w:ind w:firstLine="567"/>
        <w:rPr>
          <w:rFonts w:ascii="Arial" w:hAnsi="Arial" w:cs="Arial"/>
          <w:color w:val="000000" w:themeColor="text1"/>
        </w:rPr>
      </w:pPr>
    </w:p>
    <w:p w14:paraId="4D2BE7EF" w14:textId="77777777" w:rsidR="0067740A" w:rsidRDefault="00000000">
      <w:pPr>
        <w:rPr>
          <w:rFonts w:ascii="Arial" w:hAnsi="Arial" w:cs="Arial"/>
          <w:color w:val="000000" w:themeColor="text1"/>
        </w:rPr>
      </w:pPr>
      <w:r>
        <w:rPr>
          <w:rFonts w:ascii="Arial" w:hAnsi="Arial" w:cs="Arial"/>
          <w:color w:val="000000" w:themeColor="text1"/>
        </w:rPr>
        <w:br w:type="page"/>
      </w:r>
    </w:p>
    <w:p w14:paraId="286D8BB3" w14:textId="77777777" w:rsidR="0067740A" w:rsidRDefault="00000000">
      <w:pPr>
        <w:pStyle w:val="2"/>
        <w:numPr>
          <w:ilvl w:val="1"/>
          <w:numId w:val="3"/>
        </w:numPr>
        <w:rPr>
          <w:rFonts w:ascii="Arial" w:hAnsi="Arial" w:cs="Arial"/>
          <w:szCs w:val="24"/>
        </w:rPr>
      </w:pPr>
      <w:bookmarkStart w:id="33" w:name="_Toc177666015"/>
      <w:r>
        <w:rPr>
          <w:rFonts w:ascii="Arial" w:hAnsi="Arial" w:cs="Arial"/>
          <w:szCs w:val="24"/>
        </w:rPr>
        <w:lastRenderedPageBreak/>
        <w:t>Consumer Perceptions of Sustainability</w:t>
      </w:r>
      <w:bookmarkEnd w:id="33"/>
    </w:p>
    <w:p w14:paraId="0D951DA2" w14:textId="77777777" w:rsidR="0067740A" w:rsidRDefault="00000000">
      <w:pPr>
        <w:pStyle w:val="3"/>
        <w:numPr>
          <w:ilvl w:val="2"/>
          <w:numId w:val="3"/>
        </w:numPr>
        <w:rPr>
          <w:rFonts w:ascii="Arial" w:hAnsi="Arial" w:cs="Arial"/>
          <w:szCs w:val="24"/>
        </w:rPr>
      </w:pPr>
      <w:bookmarkStart w:id="34" w:name="_Toc177666016"/>
      <w:r>
        <w:rPr>
          <w:rFonts w:ascii="Arial" w:hAnsi="Arial" w:cs="Arial"/>
          <w:szCs w:val="24"/>
        </w:rPr>
        <w:t xml:space="preserve">Consumer </w:t>
      </w:r>
      <w:proofErr w:type="spellStart"/>
      <w:r>
        <w:rPr>
          <w:rFonts w:ascii="Arial" w:hAnsi="Arial" w:cs="Arial"/>
          <w:szCs w:val="24"/>
        </w:rPr>
        <w:t>Behavior</w:t>
      </w:r>
      <w:proofErr w:type="spellEnd"/>
      <w:r>
        <w:rPr>
          <w:rFonts w:ascii="Arial" w:hAnsi="Arial" w:cs="Arial"/>
          <w:szCs w:val="24"/>
        </w:rPr>
        <w:t xml:space="preserve"> Theories</w:t>
      </w:r>
      <w:bookmarkEnd w:id="34"/>
    </w:p>
    <w:p w14:paraId="2C9E8DE5" w14:textId="77777777" w:rsidR="0067740A" w:rsidRDefault="00000000">
      <w:pPr>
        <w:pStyle w:val="af"/>
        <w:spacing w:line="360" w:lineRule="auto"/>
        <w:ind w:firstLine="567"/>
        <w:rPr>
          <w:rFonts w:ascii="Arial" w:hAnsi="Arial" w:cs="Arial"/>
        </w:rPr>
      </w:pPr>
      <w:r>
        <w:rPr>
          <w:rFonts w:ascii="Arial" w:hAnsi="Arial" w:cs="Arial"/>
        </w:rPr>
        <w:t xml:space="preserve">Understanding consumer perceptions of sustainability requires insights from various consumer </w:t>
      </w:r>
      <w:proofErr w:type="spellStart"/>
      <w:r>
        <w:rPr>
          <w:rFonts w:ascii="Arial" w:hAnsi="Arial" w:cs="Arial"/>
        </w:rPr>
        <w:t>behavior</w:t>
      </w:r>
      <w:proofErr w:type="spellEnd"/>
      <w:r>
        <w:rPr>
          <w:rFonts w:ascii="Arial" w:hAnsi="Arial" w:cs="Arial"/>
        </w:rPr>
        <w:t xml:space="preserve"> theories, which help explain how and why consumers make decisions related to sustainable products and practices. The Theory of Planned </w:t>
      </w:r>
      <w:proofErr w:type="spellStart"/>
      <w:r>
        <w:rPr>
          <w:rFonts w:ascii="Arial" w:hAnsi="Arial" w:cs="Arial"/>
        </w:rPr>
        <w:t>Behavior</w:t>
      </w:r>
      <w:proofErr w:type="spellEnd"/>
      <w:r>
        <w:rPr>
          <w:rFonts w:ascii="Arial" w:hAnsi="Arial" w:cs="Arial"/>
        </w:rPr>
        <w:t xml:space="preserve"> (TPB), proposed by Ajzen (1991), suggests that consumer </w:t>
      </w:r>
      <w:proofErr w:type="spellStart"/>
      <w:r>
        <w:rPr>
          <w:rFonts w:ascii="Arial" w:hAnsi="Arial" w:cs="Arial"/>
        </w:rPr>
        <w:t>behavior</w:t>
      </w:r>
      <w:proofErr w:type="spellEnd"/>
      <w:r>
        <w:rPr>
          <w:rFonts w:ascii="Arial" w:hAnsi="Arial" w:cs="Arial"/>
        </w:rPr>
        <w:t xml:space="preserve"> is influenced by attitudes, subjective norms, and perceived </w:t>
      </w:r>
      <w:proofErr w:type="spellStart"/>
      <w:r>
        <w:rPr>
          <w:rFonts w:ascii="Arial" w:hAnsi="Arial" w:cs="Arial"/>
        </w:rPr>
        <w:t>behavioral</w:t>
      </w:r>
      <w:proofErr w:type="spellEnd"/>
      <w:r>
        <w:rPr>
          <w:rFonts w:ascii="Arial" w:hAnsi="Arial" w:cs="Arial"/>
        </w:rPr>
        <w:t xml:space="preserve"> control. In the context of sustainability, consumers’ positive attitudes towards environmentally friendly products, societal pressures to adopt green practices, and their perceived ability to make sustainable choices all influence their purchasing decisions. </w:t>
      </w:r>
    </w:p>
    <w:p w14:paraId="59B64CF4" w14:textId="77777777" w:rsidR="0067740A" w:rsidRDefault="00000000">
      <w:pPr>
        <w:pStyle w:val="af"/>
        <w:spacing w:line="360" w:lineRule="auto"/>
        <w:ind w:firstLine="567"/>
        <w:rPr>
          <w:rFonts w:ascii="Arial" w:hAnsi="Arial" w:cs="Arial"/>
        </w:rPr>
      </w:pPr>
      <w:r>
        <w:rPr>
          <w:rFonts w:ascii="Arial" w:hAnsi="Arial" w:cs="Arial"/>
        </w:rPr>
        <w:t xml:space="preserve">For example, if Chinese consumers believe that purchasing electric vehicles (EVs) will positively impact the environment and they feel encouraged by social norms, they are more likely to buy EVs from companies like Volkswagen. </w:t>
      </w:r>
    </w:p>
    <w:p w14:paraId="41B30069" w14:textId="77777777" w:rsidR="0067740A" w:rsidRDefault="00000000">
      <w:pPr>
        <w:pStyle w:val="af"/>
        <w:spacing w:line="360" w:lineRule="auto"/>
        <w:ind w:firstLine="567"/>
        <w:rPr>
          <w:rFonts w:ascii="Arial" w:hAnsi="Arial" w:cs="Arial"/>
        </w:rPr>
      </w:pPr>
      <w:r>
        <w:rPr>
          <w:rFonts w:ascii="Arial" w:hAnsi="Arial" w:cs="Arial"/>
        </w:rPr>
        <w:t xml:space="preserve">The Value-Belief-Norm (VBN) Theory, introduced by Stern (2000), posits that environmental </w:t>
      </w:r>
      <w:proofErr w:type="spellStart"/>
      <w:r>
        <w:rPr>
          <w:rFonts w:ascii="Arial" w:hAnsi="Arial" w:cs="Arial"/>
        </w:rPr>
        <w:t>behaviors</w:t>
      </w:r>
      <w:proofErr w:type="spellEnd"/>
      <w:r>
        <w:rPr>
          <w:rFonts w:ascii="Arial" w:hAnsi="Arial" w:cs="Arial"/>
        </w:rPr>
        <w:t xml:space="preserve"> are influenced by personal values, beliefs about environmental responsibility, and perceived norms. According to VBN theory, individuals who value environmental conservation and believe in the importance of personal responsibility in protecting the environment are more likely to engage in pro-environmental </w:t>
      </w:r>
      <w:proofErr w:type="spellStart"/>
      <w:r>
        <w:rPr>
          <w:rFonts w:ascii="Arial" w:hAnsi="Arial" w:cs="Arial"/>
        </w:rPr>
        <w:t>behaviors</w:t>
      </w:r>
      <w:proofErr w:type="spellEnd"/>
      <w:r>
        <w:rPr>
          <w:rFonts w:ascii="Arial" w:hAnsi="Arial" w:cs="Arial"/>
        </w:rPr>
        <w:t xml:space="preserve">. </w:t>
      </w:r>
    </w:p>
    <w:p w14:paraId="0B2398D6" w14:textId="77777777" w:rsidR="0067740A" w:rsidRDefault="00000000">
      <w:pPr>
        <w:pStyle w:val="af"/>
        <w:spacing w:line="360" w:lineRule="auto"/>
        <w:ind w:firstLine="567"/>
        <w:rPr>
          <w:rFonts w:ascii="Arial" w:hAnsi="Arial" w:cs="Arial"/>
        </w:rPr>
      </w:pPr>
      <w:r>
        <w:rPr>
          <w:rFonts w:ascii="Arial" w:hAnsi="Arial" w:cs="Arial"/>
        </w:rPr>
        <w:t xml:space="preserve">For Volkswagen, aligning their marketing strategies with these values and beliefs can enhance consumer perceptions and drive sales of their green products. Additionally, the Consumer Perceived Value (CPV) Theory focuses on the perceived benefits and costs associated with a product. For sustainable products, consumers weigh the environmental benefits against potential costs, such as higher prices or perceived inconvenience. Companies like Volkswagen need to clearly communicate the long-term benefits and cost savings associated with their sustainable products to positively influence consumer perceptions. </w:t>
      </w:r>
    </w:p>
    <w:p w14:paraId="6FAAF14D" w14:textId="77777777" w:rsidR="0067740A" w:rsidRDefault="00000000">
      <w:pPr>
        <w:pStyle w:val="af"/>
        <w:spacing w:line="360" w:lineRule="auto"/>
        <w:ind w:firstLine="567"/>
        <w:rPr>
          <w:rFonts w:ascii="Arial" w:hAnsi="Arial" w:cs="Arial"/>
        </w:rPr>
      </w:pPr>
      <w:r>
        <w:rPr>
          <w:rFonts w:ascii="Arial" w:hAnsi="Arial" w:cs="Arial"/>
        </w:rPr>
        <w:t xml:space="preserve">Moreover, the </w:t>
      </w:r>
      <w:proofErr w:type="spellStart"/>
      <w:r>
        <w:rPr>
          <w:rFonts w:ascii="Arial" w:hAnsi="Arial" w:cs="Arial"/>
        </w:rPr>
        <w:t>Elabouration</w:t>
      </w:r>
      <w:proofErr w:type="spellEnd"/>
      <w:r>
        <w:rPr>
          <w:rFonts w:ascii="Arial" w:hAnsi="Arial" w:cs="Arial"/>
        </w:rPr>
        <w:t xml:space="preserve"> Likelihood Model (ELM), proposed by Petty and Cacioppo (1986), suggests that consumers process persuasive information through two </w:t>
      </w:r>
      <w:r>
        <w:rPr>
          <w:rFonts w:ascii="Arial" w:hAnsi="Arial" w:cs="Arial"/>
        </w:rPr>
        <w:lastRenderedPageBreak/>
        <w:t>routes: central and peripheral. For central processing, consumers are motivated to think critically about the sustainability attributes of a product, while peripheral processing relies on superficial cues such as brand reputation or endorsements. Volkswagen can leverage this model by providing detailed information about their sustainability efforts for consumers who engage in central processing and using strong branding for those who rely on peripheral cues.</w:t>
      </w:r>
    </w:p>
    <w:p w14:paraId="0BF81395" w14:textId="77777777" w:rsidR="0067740A" w:rsidRDefault="00000000">
      <w:pPr>
        <w:rPr>
          <w:rFonts w:ascii="Arial" w:hAnsi="Arial" w:cs="Arial"/>
          <w:color w:val="000000" w:themeColor="text1"/>
        </w:rPr>
      </w:pPr>
      <w:r>
        <w:rPr>
          <w:rFonts w:ascii="Arial" w:hAnsi="Arial" w:cs="Arial"/>
          <w:color w:val="000000" w:themeColor="text1"/>
        </w:rPr>
        <w:br w:type="page"/>
      </w:r>
    </w:p>
    <w:p w14:paraId="4713F14D" w14:textId="77777777" w:rsidR="0067740A" w:rsidRDefault="00000000">
      <w:pPr>
        <w:pStyle w:val="3"/>
        <w:numPr>
          <w:ilvl w:val="2"/>
          <w:numId w:val="3"/>
        </w:numPr>
        <w:rPr>
          <w:rFonts w:ascii="Arial" w:hAnsi="Arial" w:cs="Arial"/>
          <w:szCs w:val="24"/>
        </w:rPr>
      </w:pPr>
      <w:bookmarkStart w:id="35" w:name="_Toc177666017"/>
      <w:r>
        <w:rPr>
          <w:rFonts w:ascii="Arial" w:hAnsi="Arial" w:cs="Arial"/>
          <w:szCs w:val="24"/>
        </w:rPr>
        <w:lastRenderedPageBreak/>
        <w:t>Environmental Awareness in China</w:t>
      </w:r>
      <w:bookmarkEnd w:id="35"/>
    </w:p>
    <w:p w14:paraId="631CFD53" w14:textId="77777777" w:rsidR="0067740A" w:rsidRDefault="00000000">
      <w:pPr>
        <w:pStyle w:val="af"/>
        <w:spacing w:line="360" w:lineRule="auto"/>
        <w:ind w:firstLine="567"/>
        <w:rPr>
          <w:rFonts w:ascii="Arial" w:hAnsi="Arial" w:cs="Arial"/>
        </w:rPr>
      </w:pPr>
      <w:r>
        <w:rPr>
          <w:rFonts w:ascii="Arial" w:hAnsi="Arial" w:cs="Arial"/>
        </w:rPr>
        <w:t xml:space="preserve">Environmental awareness in China has been growing rapidly, driven by increasing media coverage of environmental issues, government initiatives, and rising public concern over pollution and climate change. This heightened awareness significantly influences consumer </w:t>
      </w:r>
      <w:proofErr w:type="spellStart"/>
      <w:r>
        <w:rPr>
          <w:rFonts w:ascii="Arial" w:hAnsi="Arial" w:cs="Arial"/>
        </w:rPr>
        <w:t>behavior</w:t>
      </w:r>
      <w:proofErr w:type="spellEnd"/>
      <w:r>
        <w:rPr>
          <w:rFonts w:ascii="Arial" w:hAnsi="Arial" w:cs="Arial"/>
        </w:rPr>
        <w:t xml:space="preserve"> towards sustainable products. </w:t>
      </w:r>
    </w:p>
    <w:p w14:paraId="6A2F37A2" w14:textId="77777777" w:rsidR="0067740A" w:rsidRDefault="00000000">
      <w:pPr>
        <w:pStyle w:val="af"/>
        <w:spacing w:line="360" w:lineRule="auto"/>
        <w:ind w:firstLine="567"/>
        <w:rPr>
          <w:rFonts w:ascii="Arial" w:hAnsi="Arial" w:cs="Arial"/>
        </w:rPr>
      </w:pPr>
      <w:r>
        <w:rPr>
          <w:rFonts w:ascii="Arial" w:hAnsi="Arial" w:cs="Arial"/>
        </w:rPr>
        <w:t xml:space="preserve">The Chinese government has been proactive in promoting environmental awareness and sustainable development through policies such as the "Made in China 2025" plan and the New Energy Vehicle (NEV) mandate, which set ambitious targets for reducing carbon emissions and increasing the adoption of green technologies. These policies not only create a </w:t>
      </w:r>
      <w:proofErr w:type="spellStart"/>
      <w:r>
        <w:rPr>
          <w:rFonts w:ascii="Arial" w:hAnsi="Arial" w:cs="Arial"/>
        </w:rPr>
        <w:t>favorable</w:t>
      </w:r>
      <w:proofErr w:type="spellEnd"/>
      <w:r>
        <w:rPr>
          <w:rFonts w:ascii="Arial" w:hAnsi="Arial" w:cs="Arial"/>
        </w:rPr>
        <w:t xml:space="preserve"> environment for companies like Volkswagen to promote their sustainable products but also enhance consumer awareness and acceptance of such initiatives (Liu &amp; Yang, 2021). </w:t>
      </w:r>
    </w:p>
    <w:p w14:paraId="307643EE" w14:textId="77777777" w:rsidR="0067740A" w:rsidRDefault="00000000">
      <w:pPr>
        <w:pStyle w:val="af"/>
        <w:spacing w:line="360" w:lineRule="auto"/>
        <w:ind w:firstLine="567"/>
        <w:rPr>
          <w:rFonts w:ascii="Arial" w:hAnsi="Arial" w:cs="Arial"/>
        </w:rPr>
      </w:pPr>
      <w:r>
        <w:rPr>
          <w:rFonts w:ascii="Arial" w:hAnsi="Arial" w:cs="Arial"/>
        </w:rPr>
        <w:t>Media coverage of environmental issues, such as air pollution and climate change, has raised public awareness and concern. Reports on the adverse effects of pollution and the benefits of sustainable practices have sensitized Chinese consumers to the importance of environmental protection, translating into a greater willingness to support and purchase products from companies committed to sustainability. Increased environmental education and advocacy efforts by non-governmental organisations (NGOs) and educational institutions have also played a crucial role in enhancing environmental awareness in China, leading to a more informed consumer base that values sustainability and demands more environmentally responsible products from companies. Studies have shown that Chinese consumers are becoming more environmentally conscious and increasingly consider the environmental impact of their purchases.</w:t>
      </w:r>
    </w:p>
    <w:p w14:paraId="4418C186" w14:textId="77777777" w:rsidR="0067740A" w:rsidRDefault="00000000">
      <w:pPr>
        <w:pStyle w:val="af"/>
        <w:spacing w:line="360" w:lineRule="auto"/>
        <w:ind w:firstLine="567"/>
        <w:rPr>
          <w:rFonts w:ascii="Arial" w:hAnsi="Arial" w:cs="Arial"/>
        </w:rPr>
      </w:pPr>
      <w:r>
        <w:rPr>
          <w:rFonts w:ascii="Arial" w:hAnsi="Arial" w:cs="Arial"/>
        </w:rPr>
        <w:t xml:space="preserve"> According to Huang and Liu (2019), there is a positive correlation between environmental awareness and the willingness to pay for green products among Chinese consumers. This trend presents a significant opportunity for companies like Volkswagen to market their sustainability initiatives effectively and cater to the growing demand for green products. </w:t>
      </w:r>
    </w:p>
    <w:p w14:paraId="04C51723" w14:textId="77777777" w:rsidR="0067740A" w:rsidRDefault="00000000">
      <w:pPr>
        <w:pStyle w:val="af"/>
        <w:spacing w:line="360" w:lineRule="auto"/>
        <w:ind w:firstLine="567"/>
        <w:rPr>
          <w:rFonts w:ascii="Arial" w:hAnsi="Arial" w:cs="Arial"/>
        </w:rPr>
      </w:pPr>
      <w:bookmarkStart w:id="36" w:name="OLE_LINK61"/>
      <w:bookmarkStart w:id="37" w:name="OLE_LINK62"/>
      <w:r>
        <w:rPr>
          <w:rFonts w:ascii="Arial" w:hAnsi="Arial" w:cs="Arial"/>
        </w:rPr>
        <w:lastRenderedPageBreak/>
        <w:t xml:space="preserve">In summary, understanding consumer perceptions of sustainability involves </w:t>
      </w:r>
      <w:proofErr w:type="spellStart"/>
      <w:r>
        <w:rPr>
          <w:rFonts w:ascii="Arial" w:hAnsi="Arial" w:cs="Arial"/>
        </w:rPr>
        <w:t>analyzing</w:t>
      </w:r>
      <w:proofErr w:type="spellEnd"/>
      <w:r>
        <w:rPr>
          <w:rFonts w:ascii="Arial" w:hAnsi="Arial" w:cs="Arial"/>
        </w:rPr>
        <w:t xml:space="preserve"> various consumer </w:t>
      </w:r>
      <w:proofErr w:type="spellStart"/>
      <w:r>
        <w:rPr>
          <w:rFonts w:ascii="Arial" w:hAnsi="Arial" w:cs="Arial"/>
        </w:rPr>
        <w:t>behavior</w:t>
      </w:r>
      <w:proofErr w:type="spellEnd"/>
      <w:r>
        <w:rPr>
          <w:rFonts w:ascii="Arial" w:hAnsi="Arial" w:cs="Arial"/>
        </w:rPr>
        <w:t xml:space="preserve"> theories and recognizing the growing environmental awareness in China. The Theory of Planned </w:t>
      </w:r>
      <w:proofErr w:type="spellStart"/>
      <w:r>
        <w:rPr>
          <w:rFonts w:ascii="Arial" w:hAnsi="Arial" w:cs="Arial"/>
        </w:rPr>
        <w:t>Behavior</w:t>
      </w:r>
      <w:proofErr w:type="spellEnd"/>
      <w:r>
        <w:rPr>
          <w:rFonts w:ascii="Arial" w:hAnsi="Arial" w:cs="Arial"/>
        </w:rPr>
        <w:t xml:space="preserve">, Value-Belief-Norm Theory, Consumer Perceived Value Theory, and </w:t>
      </w:r>
      <w:proofErr w:type="spellStart"/>
      <w:r>
        <w:rPr>
          <w:rFonts w:ascii="Arial" w:hAnsi="Arial" w:cs="Arial"/>
        </w:rPr>
        <w:t>Elabouration</w:t>
      </w:r>
      <w:proofErr w:type="spellEnd"/>
      <w:r>
        <w:rPr>
          <w:rFonts w:ascii="Arial" w:hAnsi="Arial" w:cs="Arial"/>
        </w:rPr>
        <w:t xml:space="preserve"> Likelihood Model provide valuable frameworks for understanding how consumers make decisions related to sustainable products. Additionally, the increasing environmental awareness in China, driven by government policies, media influence, education, and advocacy efforts, significantly impacts consumer </w:t>
      </w:r>
      <w:proofErr w:type="spellStart"/>
      <w:r>
        <w:rPr>
          <w:rFonts w:ascii="Arial" w:hAnsi="Arial" w:cs="Arial"/>
        </w:rPr>
        <w:t>behavior</w:t>
      </w:r>
      <w:proofErr w:type="spellEnd"/>
      <w:r>
        <w:rPr>
          <w:rFonts w:ascii="Arial" w:hAnsi="Arial" w:cs="Arial"/>
        </w:rPr>
        <w:t xml:space="preserve"> towards sustainability. For Volkswagen, leveraging these insights can help enhance their marketing strategies and better align their products with consumer exp</w:t>
      </w:r>
      <w:r>
        <w:t>ectations and values.</w:t>
      </w:r>
    </w:p>
    <w:p w14:paraId="18154AF2" w14:textId="77777777" w:rsidR="0067740A" w:rsidRDefault="00000000">
      <w:pPr>
        <w:pStyle w:val="af"/>
        <w:spacing w:line="360" w:lineRule="auto"/>
        <w:ind w:firstLine="567"/>
        <w:rPr>
          <w:rFonts w:ascii="Arial" w:hAnsi="Arial" w:cs="Arial"/>
        </w:rPr>
      </w:pPr>
      <w:r>
        <w:rPr>
          <w:rFonts w:ascii="Arial" w:hAnsi="Arial" w:cs="Arial"/>
        </w:rPr>
        <w:t>The next chapter will examine the research methodologies that will be used to investigate these consumer perceptions and Volkswagen’s sustainability initiatives in the Chinese market.</w:t>
      </w:r>
    </w:p>
    <w:p w14:paraId="03E8E65B" w14:textId="77777777" w:rsidR="0067740A" w:rsidRDefault="0067740A">
      <w:pPr>
        <w:rPr>
          <w:rFonts w:ascii="Arial" w:hAnsi="Arial" w:cs="Arial"/>
        </w:rPr>
      </w:pPr>
      <w:bookmarkStart w:id="38" w:name="OLE_LINK66"/>
      <w:bookmarkStart w:id="39" w:name="OLE_LINK65"/>
      <w:bookmarkEnd w:id="36"/>
      <w:bookmarkEnd w:id="37"/>
    </w:p>
    <w:p w14:paraId="18D9ECA1" w14:textId="77777777" w:rsidR="0067740A" w:rsidRDefault="0067740A">
      <w:pPr>
        <w:rPr>
          <w:rFonts w:ascii="Arial" w:hAnsi="Arial" w:cs="Arial"/>
        </w:rPr>
      </w:pPr>
    </w:p>
    <w:p w14:paraId="7B579F79" w14:textId="77777777" w:rsidR="0067740A" w:rsidRDefault="0067740A">
      <w:pPr>
        <w:rPr>
          <w:rFonts w:ascii="Arial" w:hAnsi="Arial" w:cs="Arial"/>
        </w:rPr>
      </w:pPr>
    </w:p>
    <w:p w14:paraId="6B8DCDA1" w14:textId="77777777" w:rsidR="0067740A" w:rsidRDefault="0067740A">
      <w:pPr>
        <w:rPr>
          <w:rFonts w:ascii="Arial" w:hAnsi="Arial" w:cs="Arial"/>
        </w:rPr>
      </w:pPr>
    </w:p>
    <w:p w14:paraId="3A169040" w14:textId="77777777" w:rsidR="0067740A" w:rsidRDefault="00000000">
      <w:pPr>
        <w:rPr>
          <w:rFonts w:ascii="Arial" w:hAnsi="Arial" w:cs="Arial"/>
        </w:rPr>
      </w:pPr>
      <w:r>
        <w:rPr>
          <w:rFonts w:ascii="Arial" w:hAnsi="Arial" w:cs="Arial"/>
        </w:rPr>
        <w:br w:type="page"/>
      </w:r>
    </w:p>
    <w:p w14:paraId="0EA8BD59" w14:textId="77777777" w:rsidR="0067740A" w:rsidRDefault="00000000">
      <w:pPr>
        <w:pStyle w:val="1"/>
        <w:numPr>
          <w:ilvl w:val="0"/>
          <w:numId w:val="3"/>
        </w:numPr>
        <w:rPr>
          <w:rFonts w:ascii="Arial" w:hAnsi="Arial" w:cs="Arial"/>
          <w:szCs w:val="24"/>
        </w:rPr>
      </w:pPr>
      <w:bookmarkStart w:id="40" w:name="_Toc177666018"/>
      <w:r>
        <w:rPr>
          <w:rStyle w:val="af5"/>
          <w:rFonts w:ascii="Arial" w:hAnsi="Arial" w:cs="Arial"/>
          <w:b/>
          <w:bCs w:val="0"/>
          <w:szCs w:val="24"/>
        </w:rPr>
        <w:lastRenderedPageBreak/>
        <w:t>Research Methodology</w:t>
      </w:r>
      <w:bookmarkEnd w:id="40"/>
    </w:p>
    <w:p w14:paraId="7A74A77E" w14:textId="77777777" w:rsidR="0067740A" w:rsidRDefault="00000000">
      <w:pPr>
        <w:pStyle w:val="af"/>
        <w:numPr>
          <w:ilvl w:val="1"/>
          <w:numId w:val="4"/>
        </w:numPr>
        <w:spacing w:line="360" w:lineRule="auto"/>
        <w:rPr>
          <w:rFonts w:ascii="Arial" w:hAnsi="Arial" w:cs="Arial"/>
        </w:rPr>
      </w:pPr>
      <w:bookmarkStart w:id="41" w:name="_Toc177666019"/>
      <w:r>
        <w:rPr>
          <w:rStyle w:val="20"/>
          <w:rFonts w:ascii="Arial" w:hAnsi="Arial" w:cs="Arial"/>
          <w:szCs w:val="24"/>
        </w:rPr>
        <w:t>Introduction to the Research Methodology</w:t>
      </w:r>
      <w:bookmarkEnd w:id="41"/>
    </w:p>
    <w:p w14:paraId="684A7466" w14:textId="77777777" w:rsidR="0067740A" w:rsidRDefault="00000000">
      <w:pPr>
        <w:pStyle w:val="af"/>
        <w:spacing w:line="360" w:lineRule="auto"/>
        <w:ind w:firstLine="567"/>
        <w:rPr>
          <w:rFonts w:ascii="Arial" w:hAnsi="Arial" w:cs="Arial"/>
        </w:rPr>
      </w:pPr>
      <w:r>
        <w:rPr>
          <w:rFonts w:ascii="Arial" w:hAnsi="Arial" w:cs="Arial"/>
        </w:rPr>
        <w:t xml:space="preserve">This chapter outlines the research methodology employed to investigate Chinese consumer perceptions of Volkswagen’s sustainability initiatives and their impact on purchasing behaviour. The study adopts a </w:t>
      </w:r>
      <w:r>
        <w:t>mixed-methods approach</w:t>
      </w:r>
      <w:r>
        <w:rPr>
          <w:rFonts w:ascii="Arial" w:hAnsi="Arial" w:cs="Arial"/>
        </w:rPr>
        <w:t>, combining both qualitative and quantitative research techniques to ensure a holistic understanding of the research problem. This approach is particularly suitable for capturing the complexity of consumer perceptions, as it allows for both the statistical measurement of trends and the in-depth exploration of attitudes and motivations (Creswell, 2018).</w:t>
      </w:r>
    </w:p>
    <w:p w14:paraId="0B604EFD" w14:textId="77777777" w:rsidR="0067740A" w:rsidRDefault="00000000">
      <w:pPr>
        <w:pStyle w:val="af"/>
        <w:spacing w:line="360" w:lineRule="auto"/>
        <w:ind w:firstLine="567"/>
        <w:rPr>
          <w:rFonts w:ascii="Arial" w:hAnsi="Arial" w:cs="Arial"/>
        </w:rPr>
      </w:pPr>
      <w:r>
        <w:rPr>
          <w:rFonts w:ascii="Arial" w:hAnsi="Arial" w:cs="Arial"/>
        </w:rPr>
        <w:t xml:space="preserve">The </w:t>
      </w:r>
      <w:r>
        <w:t>quantitative component</w:t>
      </w:r>
      <w:r>
        <w:rPr>
          <w:rFonts w:ascii="Arial" w:hAnsi="Arial" w:cs="Arial"/>
        </w:rPr>
        <w:t xml:space="preserve"> of this study is rooted in survey research, where numerical data was gathered through structured questionnaires. The survey allowed for the collection of measurable insights from a large sample, focusing on variables such as consumer awareness, perceptions of sustainability, and purchasing intentions. By quantifying these variables, the research is able to establish relationships between key factors such as sustainability awareness and purchase behaviour, which are critical to answering the research hypotheses.</w:t>
      </w:r>
    </w:p>
    <w:p w14:paraId="08C302E6" w14:textId="77777777" w:rsidR="0067740A" w:rsidRDefault="00000000">
      <w:pPr>
        <w:pStyle w:val="af"/>
        <w:spacing w:line="360" w:lineRule="auto"/>
        <w:ind w:firstLine="567"/>
        <w:rPr>
          <w:rFonts w:ascii="Arial" w:hAnsi="Arial" w:cs="Arial"/>
        </w:rPr>
      </w:pPr>
      <w:r>
        <w:rPr>
          <w:rFonts w:ascii="Arial" w:hAnsi="Arial" w:cs="Arial"/>
        </w:rPr>
        <w:t xml:space="preserve">The </w:t>
      </w:r>
      <w:r>
        <w:t>qualitative component</w:t>
      </w:r>
      <w:r>
        <w:rPr>
          <w:rFonts w:ascii="Arial" w:hAnsi="Arial" w:cs="Arial"/>
        </w:rPr>
        <w:t xml:space="preserve"> of the research involved semi-structured interviews with industry experts and selected survey respondents. These interviews provided rich, detailed insights into the motivations behind consumer perceptions and behaviour, complementing the statistical trends revealed by the quantitative data. The qualitative data also allowed for a deeper understanding of how Volkswagen’s sustainability initiatives are perceived in the broader context of China’s automotive industry, and how these perceptions might influence long-term brand loyalty.</w:t>
      </w:r>
    </w:p>
    <w:p w14:paraId="3C52F3DE" w14:textId="77777777" w:rsidR="0067740A" w:rsidRDefault="00000000">
      <w:pPr>
        <w:pStyle w:val="af"/>
        <w:spacing w:line="360" w:lineRule="auto"/>
        <w:ind w:firstLine="567"/>
        <w:rPr>
          <w:rFonts w:ascii="Arial" w:hAnsi="Arial" w:cs="Arial"/>
        </w:rPr>
      </w:pPr>
      <w:r>
        <w:rPr>
          <w:rFonts w:ascii="Arial" w:hAnsi="Arial" w:cs="Arial"/>
        </w:rPr>
        <w:t xml:space="preserve">By integrating both qualitative and quantitative methods, this study ensures that the research findings are both </w:t>
      </w:r>
      <w:r>
        <w:t>robust and comprehensive</w:t>
      </w:r>
      <w:r>
        <w:rPr>
          <w:rFonts w:ascii="Arial" w:hAnsi="Arial" w:cs="Arial"/>
        </w:rPr>
        <w:t xml:space="preserve">. The mixed-methods approach mitigates the limitations of relying solely on either method, enhancing the validity and reliability of the results (Bryman, 2016). This triangulation of data sources also </w:t>
      </w:r>
      <w:r>
        <w:rPr>
          <w:rFonts w:ascii="Arial" w:hAnsi="Arial" w:cs="Arial"/>
        </w:rPr>
        <w:lastRenderedPageBreak/>
        <w:t>strengthens the study’s ability to provide actionable recommendations for Volkswagen’s strategic management of sustainability initiatives in the Chinese market.</w:t>
      </w:r>
    </w:p>
    <w:p w14:paraId="55625BF8" w14:textId="77777777" w:rsidR="0067740A" w:rsidRDefault="00000000">
      <w:pPr>
        <w:pStyle w:val="af"/>
        <w:spacing w:line="360" w:lineRule="auto"/>
        <w:ind w:firstLine="567"/>
        <w:rPr>
          <w:rFonts w:ascii="Arial" w:hAnsi="Arial" w:cs="Arial"/>
        </w:rPr>
      </w:pPr>
      <w:r>
        <w:rPr>
          <w:rFonts w:ascii="Arial" w:hAnsi="Arial" w:cs="Arial"/>
        </w:rPr>
        <w:t>The methodology was designed to address the key research questions, focusing on consumer perceptions of sustainability, the impact of these perceptions on purchasing behaviour, and the broader implications for Volkswagen’s competitive advantage. The combination of primary and secondary data sources enables a multi-faceted analysis, incorporating both real-time consumer feedback and theoretical insights from the literature. Secondary data, including industry reports and existing academic studies, provided a foundation for understanding the current landscape of sustainability in the automotive sector, while primary data gathered through surveys and interviews offered fresh, first-hand insights into consumer attitudes and preferences.</w:t>
      </w:r>
    </w:p>
    <w:p w14:paraId="396F2E82" w14:textId="77777777" w:rsidR="0067740A" w:rsidRDefault="00000000">
      <w:pPr>
        <w:pStyle w:val="af"/>
        <w:spacing w:line="360" w:lineRule="auto"/>
        <w:ind w:firstLine="567"/>
        <w:rPr>
          <w:rFonts w:ascii="Arial" w:hAnsi="Arial" w:cs="Arial"/>
        </w:rPr>
      </w:pPr>
      <w:r>
        <w:rPr>
          <w:rFonts w:ascii="Arial" w:hAnsi="Arial" w:cs="Arial"/>
        </w:rPr>
        <w:t>This methodological framework ensures that the research is both academically rigorous and practically relevant, offering valuable insights that can inform Volkswagen’s future sustainability strategies. Furthermore, the mixed-methods approach aligns with the study’s objective of providing a balanced analysis that takes into account both statistical trends and the nuanced motivations driving consumer behaviour.</w:t>
      </w:r>
    </w:p>
    <w:p w14:paraId="7957FCE7" w14:textId="77777777" w:rsidR="0067740A" w:rsidRDefault="00000000">
      <w:pPr>
        <w:pStyle w:val="af"/>
        <w:spacing w:line="360" w:lineRule="auto"/>
        <w:ind w:firstLine="567"/>
        <w:rPr>
          <w:rFonts w:ascii="Arial" w:hAnsi="Arial" w:cs="Arial"/>
        </w:rPr>
      </w:pPr>
      <w:r>
        <w:rPr>
          <w:rFonts w:ascii="Arial" w:hAnsi="Arial" w:cs="Arial"/>
        </w:rPr>
        <w:t>In conclusion, the methodological approach adopted for this research is designed to comprehensively investigate the factors influencing consumer perceptions of Volkswagen’s sustainability initiatives. By combining quantitative and qualitative techniques, the research offers both breadth and depth of understanding, ensuring that the findings are both reliable and meaningful for both academic and practical applications.</w:t>
      </w:r>
    </w:p>
    <w:p w14:paraId="3F8E154A" w14:textId="77777777" w:rsidR="0067740A" w:rsidRDefault="0067740A">
      <w:pPr>
        <w:pStyle w:val="af"/>
        <w:spacing w:line="360" w:lineRule="auto"/>
        <w:rPr>
          <w:rFonts w:ascii="Arial" w:hAnsi="Arial" w:cs="Arial"/>
        </w:rPr>
      </w:pPr>
    </w:p>
    <w:p w14:paraId="48D39CF6" w14:textId="77777777" w:rsidR="0067740A" w:rsidRDefault="0067740A">
      <w:pPr>
        <w:pStyle w:val="af"/>
        <w:spacing w:line="360" w:lineRule="auto"/>
        <w:rPr>
          <w:rFonts w:ascii="Arial" w:hAnsi="Arial" w:cs="Arial"/>
        </w:rPr>
      </w:pPr>
    </w:p>
    <w:p w14:paraId="7939647A" w14:textId="77777777" w:rsidR="0067740A" w:rsidRDefault="0067740A">
      <w:pPr>
        <w:pStyle w:val="af"/>
        <w:spacing w:line="360" w:lineRule="auto"/>
        <w:rPr>
          <w:rFonts w:ascii="Arial" w:hAnsi="Arial" w:cs="Arial"/>
        </w:rPr>
      </w:pPr>
    </w:p>
    <w:p w14:paraId="29D097BB" w14:textId="77777777" w:rsidR="0067740A" w:rsidRDefault="00000000">
      <w:pPr>
        <w:rPr>
          <w:rFonts w:ascii="Arial" w:hAnsi="Arial" w:cs="Arial"/>
        </w:rPr>
      </w:pPr>
      <w:r>
        <w:rPr>
          <w:rFonts w:ascii="Arial" w:hAnsi="Arial" w:cs="Arial"/>
        </w:rPr>
        <w:br w:type="page"/>
      </w:r>
    </w:p>
    <w:p w14:paraId="42599AB4" w14:textId="77777777" w:rsidR="0067740A" w:rsidRDefault="00000000">
      <w:pPr>
        <w:pStyle w:val="af"/>
        <w:numPr>
          <w:ilvl w:val="1"/>
          <w:numId w:val="4"/>
        </w:numPr>
        <w:spacing w:line="360" w:lineRule="auto"/>
        <w:rPr>
          <w:rStyle w:val="20"/>
          <w:rFonts w:ascii="Arial" w:eastAsia="Times New Roman" w:hAnsi="Arial" w:cs="Arial"/>
          <w:b w:val="0"/>
          <w:color w:val="auto"/>
          <w:szCs w:val="24"/>
        </w:rPr>
      </w:pPr>
      <w:bookmarkStart w:id="42" w:name="_Toc177666020"/>
      <w:r>
        <w:rPr>
          <w:rStyle w:val="20"/>
          <w:rFonts w:ascii="Arial" w:hAnsi="Arial" w:cs="Arial"/>
          <w:szCs w:val="24"/>
        </w:rPr>
        <w:lastRenderedPageBreak/>
        <w:t>Research Design</w:t>
      </w:r>
      <w:bookmarkEnd w:id="42"/>
    </w:p>
    <w:p w14:paraId="0290C6F5" w14:textId="77777777" w:rsidR="0067740A" w:rsidRDefault="00000000">
      <w:pPr>
        <w:pStyle w:val="af"/>
        <w:spacing w:line="360" w:lineRule="auto"/>
        <w:ind w:firstLine="567"/>
        <w:rPr>
          <w:rFonts w:ascii="Arial" w:hAnsi="Arial" w:cs="Arial"/>
        </w:rPr>
      </w:pPr>
      <w:r>
        <w:rPr>
          <w:rFonts w:ascii="Arial" w:hAnsi="Arial" w:cs="Arial"/>
        </w:rPr>
        <w:t xml:space="preserve">The research design of this study is structured to align with the research objectives, ensuring a robust investigation into consumer perceptions of Volkswagen’s sustainability initiatives in the Chinese market. The research philosophy adopted for this study is </w:t>
      </w:r>
      <w:r>
        <w:t>pragmatism</w:t>
      </w:r>
      <w:r>
        <w:rPr>
          <w:rFonts w:ascii="Arial" w:hAnsi="Arial" w:cs="Arial"/>
        </w:rPr>
        <w:t>, which is widely recognised for its flexibility and practicality in addressing complex research problems (Saunders et al., 2019). Pragmatism emphasises that both qualitative and quantitative approaches can be valuable depending on the research context and objectives. In this case, the dual focus on measurable data and deeper insights into consumer attitudes makes pragmatism the most suitable philosophical stance. By adopting this philosophy, the study is able to utilise both objective and subjective data, offering a comprehensive understanding of consumer behaviour.</w:t>
      </w:r>
    </w:p>
    <w:p w14:paraId="072D5722" w14:textId="77777777" w:rsidR="0067740A" w:rsidRDefault="00000000">
      <w:pPr>
        <w:pStyle w:val="af"/>
        <w:spacing w:line="360" w:lineRule="auto"/>
        <w:ind w:firstLine="567"/>
        <w:rPr>
          <w:rFonts w:ascii="Arial" w:hAnsi="Arial" w:cs="Arial"/>
        </w:rPr>
      </w:pPr>
      <w:r>
        <w:rPr>
          <w:rFonts w:ascii="Arial" w:hAnsi="Arial" w:cs="Arial"/>
        </w:rPr>
        <w:t xml:space="preserve">Pragmatism is particularly relevant in this research as it allows for the use of a </w:t>
      </w:r>
      <w:r>
        <w:t>mixed-methods</w:t>
      </w:r>
      <w:r>
        <w:rPr>
          <w:rFonts w:ascii="Arial" w:hAnsi="Arial" w:cs="Arial"/>
        </w:rPr>
        <w:t xml:space="preserve"> approach. Mixed methods combine the strengths of both qualitative and quantitative methodologies, enabling the research to capture not only numerical trends but also the underlying reasons behind these trends (Creswell &amp; Plano Clark, 2017). The quantitative aspect of the study involves structured surveys, which provide statistical insights into the awareness and impact of Volkswagen’s sustainability efforts. The qualitative component, through semi-structured interviews, captures the rich, detailed narratives that explain the motivations behind consumer choices. This dual approach ensures that the research covers both the ‘what’ and ‘why’ of consumer behaviour, making it more insightful and actionable.</w:t>
      </w:r>
    </w:p>
    <w:p w14:paraId="71747AAF" w14:textId="77777777" w:rsidR="0067740A" w:rsidRDefault="00000000">
      <w:pPr>
        <w:pStyle w:val="af"/>
        <w:spacing w:line="360" w:lineRule="auto"/>
        <w:ind w:firstLine="567"/>
        <w:rPr>
          <w:rFonts w:ascii="Arial" w:hAnsi="Arial" w:cs="Arial"/>
        </w:rPr>
      </w:pPr>
      <w:r>
        <w:rPr>
          <w:rFonts w:ascii="Arial" w:hAnsi="Arial" w:cs="Arial"/>
        </w:rPr>
        <w:t xml:space="preserve">The </w:t>
      </w:r>
      <w:r>
        <w:t>mixed-methods design</w:t>
      </w:r>
      <w:r>
        <w:rPr>
          <w:rFonts w:ascii="Arial" w:hAnsi="Arial" w:cs="Arial"/>
        </w:rPr>
        <w:t xml:space="preserve"> also supports triangulation, which enhances the reliability and validity of the research by cross-verifying findings from different data sources (</w:t>
      </w:r>
      <w:proofErr w:type="spellStart"/>
      <w:r>
        <w:rPr>
          <w:rFonts w:ascii="Arial" w:hAnsi="Arial" w:cs="Arial"/>
        </w:rPr>
        <w:t>Tashakkori</w:t>
      </w:r>
      <w:proofErr w:type="spellEnd"/>
      <w:r>
        <w:rPr>
          <w:rFonts w:ascii="Arial" w:hAnsi="Arial" w:cs="Arial"/>
        </w:rPr>
        <w:t xml:space="preserve"> &amp; Teddlie, 2019). The combination of survey data and interview insights ensures that the results are not only statistically sound but also contextually meaningful. This balance is essential for understanding complex phenomena such as sustainability perceptions, which are influenced by both measurable factors (e.g., awareness levels) </w:t>
      </w:r>
      <w:r>
        <w:rPr>
          <w:rFonts w:ascii="Arial" w:hAnsi="Arial" w:cs="Arial"/>
        </w:rPr>
        <w:lastRenderedPageBreak/>
        <w:t>and more intangible ones (e.g., personal values and beliefs). The integration of these methods provides a nuanced view that neither approach could achieve alone.</w:t>
      </w:r>
    </w:p>
    <w:p w14:paraId="1C93796A" w14:textId="77777777" w:rsidR="0067740A" w:rsidRDefault="00000000">
      <w:pPr>
        <w:pStyle w:val="af"/>
        <w:spacing w:line="360" w:lineRule="auto"/>
        <w:ind w:firstLine="567"/>
        <w:rPr>
          <w:rFonts w:ascii="Arial" w:hAnsi="Arial" w:cs="Arial"/>
        </w:rPr>
      </w:pPr>
      <w:r>
        <w:rPr>
          <w:rFonts w:ascii="Arial" w:hAnsi="Arial" w:cs="Arial"/>
        </w:rPr>
        <w:t>By embracing pragmatism and utilising a mixed-methods approach, the study is positioned to effectively answer the research questions. This research design ensures that both broad trends and specific, context-driven insights are captured, offering a well-rounded understanding of consumer perceptions. As we transition to the next section, the focus will shift towards the practical application of this design through the research approach, detailing the inductive and deductive reasoning processes that guide data collection and analysis.</w:t>
      </w:r>
    </w:p>
    <w:p w14:paraId="60A586A3" w14:textId="77777777" w:rsidR="0067740A" w:rsidRDefault="0067740A">
      <w:pPr>
        <w:pStyle w:val="af"/>
        <w:spacing w:line="360" w:lineRule="auto"/>
        <w:ind w:firstLine="567"/>
        <w:rPr>
          <w:rFonts w:ascii="Arial" w:hAnsi="Arial" w:cs="Arial"/>
        </w:rPr>
      </w:pPr>
    </w:p>
    <w:p w14:paraId="492AFEB8" w14:textId="77777777" w:rsidR="0067740A" w:rsidRDefault="0067740A">
      <w:pPr>
        <w:pStyle w:val="af"/>
        <w:spacing w:line="360" w:lineRule="auto"/>
        <w:ind w:firstLine="567"/>
        <w:rPr>
          <w:rFonts w:ascii="Arial" w:hAnsi="Arial" w:cs="Arial"/>
        </w:rPr>
      </w:pPr>
    </w:p>
    <w:p w14:paraId="117ABB14" w14:textId="77777777" w:rsidR="0067740A" w:rsidRDefault="0067740A">
      <w:pPr>
        <w:pStyle w:val="af"/>
        <w:spacing w:line="360" w:lineRule="auto"/>
        <w:ind w:firstLine="567"/>
        <w:rPr>
          <w:rFonts w:ascii="Arial" w:hAnsi="Arial" w:cs="Arial"/>
        </w:rPr>
      </w:pPr>
    </w:p>
    <w:p w14:paraId="2C67A6C3" w14:textId="77777777" w:rsidR="0067740A" w:rsidRDefault="0067740A">
      <w:pPr>
        <w:pStyle w:val="af"/>
        <w:spacing w:line="360" w:lineRule="auto"/>
        <w:ind w:firstLine="567"/>
        <w:rPr>
          <w:rFonts w:ascii="Arial" w:hAnsi="Arial" w:cs="Arial"/>
        </w:rPr>
      </w:pPr>
    </w:p>
    <w:p w14:paraId="1F755F08" w14:textId="77777777" w:rsidR="0067740A" w:rsidRDefault="0067740A">
      <w:pPr>
        <w:pStyle w:val="af"/>
        <w:spacing w:line="360" w:lineRule="auto"/>
        <w:ind w:firstLine="567"/>
        <w:rPr>
          <w:rFonts w:ascii="Arial" w:hAnsi="Arial" w:cs="Arial"/>
        </w:rPr>
      </w:pPr>
    </w:p>
    <w:p w14:paraId="74CB87BA" w14:textId="77777777" w:rsidR="0067740A" w:rsidRDefault="0067740A">
      <w:pPr>
        <w:pStyle w:val="af"/>
        <w:spacing w:line="360" w:lineRule="auto"/>
        <w:ind w:firstLine="567"/>
        <w:rPr>
          <w:rFonts w:ascii="Arial" w:hAnsi="Arial" w:cs="Arial"/>
        </w:rPr>
      </w:pPr>
    </w:p>
    <w:p w14:paraId="3F22D1E6" w14:textId="77777777" w:rsidR="0067740A" w:rsidRDefault="0067740A">
      <w:pPr>
        <w:pStyle w:val="af"/>
        <w:spacing w:line="360" w:lineRule="auto"/>
        <w:ind w:firstLine="567"/>
        <w:rPr>
          <w:rFonts w:ascii="Arial" w:hAnsi="Arial" w:cs="Arial"/>
        </w:rPr>
      </w:pPr>
    </w:p>
    <w:p w14:paraId="35DB2A9D" w14:textId="77777777" w:rsidR="0067740A" w:rsidRDefault="0067740A">
      <w:pPr>
        <w:pStyle w:val="af"/>
        <w:spacing w:line="360" w:lineRule="auto"/>
        <w:ind w:firstLine="567"/>
        <w:rPr>
          <w:rFonts w:ascii="Arial" w:hAnsi="Arial" w:cs="Arial"/>
        </w:rPr>
      </w:pPr>
    </w:p>
    <w:p w14:paraId="33FE9C82" w14:textId="77777777" w:rsidR="0067740A" w:rsidRDefault="0067740A">
      <w:pPr>
        <w:pStyle w:val="af"/>
        <w:spacing w:line="360" w:lineRule="auto"/>
        <w:ind w:firstLine="567"/>
        <w:rPr>
          <w:rFonts w:ascii="Arial" w:hAnsi="Arial" w:cs="Arial"/>
        </w:rPr>
      </w:pPr>
    </w:p>
    <w:p w14:paraId="49C6E80A" w14:textId="77777777" w:rsidR="0067740A" w:rsidRDefault="0067740A">
      <w:pPr>
        <w:pStyle w:val="af"/>
        <w:spacing w:line="360" w:lineRule="auto"/>
        <w:ind w:firstLine="567"/>
        <w:rPr>
          <w:rFonts w:ascii="Arial" w:hAnsi="Arial" w:cs="Arial"/>
        </w:rPr>
      </w:pPr>
    </w:p>
    <w:p w14:paraId="6EC0A60A" w14:textId="77777777" w:rsidR="0067740A" w:rsidRDefault="0067740A">
      <w:pPr>
        <w:pStyle w:val="af"/>
        <w:spacing w:line="360" w:lineRule="auto"/>
        <w:ind w:firstLine="567"/>
        <w:rPr>
          <w:rFonts w:ascii="Arial" w:hAnsi="Arial" w:cs="Arial"/>
        </w:rPr>
      </w:pPr>
    </w:p>
    <w:p w14:paraId="6FAEC8BD" w14:textId="77777777" w:rsidR="0067740A" w:rsidRDefault="0067740A">
      <w:pPr>
        <w:pStyle w:val="af"/>
        <w:spacing w:line="360" w:lineRule="auto"/>
        <w:ind w:firstLine="567"/>
        <w:rPr>
          <w:rFonts w:ascii="Arial" w:hAnsi="Arial" w:cs="Arial"/>
        </w:rPr>
      </w:pPr>
    </w:p>
    <w:p w14:paraId="1F57E549" w14:textId="77777777" w:rsidR="0067740A" w:rsidRDefault="00000000">
      <w:pPr>
        <w:rPr>
          <w:rFonts w:ascii="Arial" w:hAnsi="Arial" w:cs="Arial"/>
        </w:rPr>
      </w:pPr>
      <w:r>
        <w:rPr>
          <w:rFonts w:ascii="Arial" w:hAnsi="Arial" w:cs="Arial"/>
        </w:rPr>
        <w:br w:type="page"/>
      </w:r>
    </w:p>
    <w:p w14:paraId="0A03E748" w14:textId="77777777" w:rsidR="0067740A" w:rsidRDefault="00000000">
      <w:pPr>
        <w:pStyle w:val="af"/>
        <w:numPr>
          <w:ilvl w:val="1"/>
          <w:numId w:val="4"/>
        </w:numPr>
        <w:spacing w:line="360" w:lineRule="auto"/>
        <w:rPr>
          <w:rFonts w:ascii="Arial" w:hAnsi="Arial" w:cs="Arial"/>
        </w:rPr>
      </w:pPr>
      <w:bookmarkStart w:id="43" w:name="_Toc177666021"/>
      <w:r>
        <w:rPr>
          <w:rStyle w:val="20"/>
          <w:rFonts w:ascii="Arial" w:hAnsi="Arial" w:cs="Arial"/>
          <w:szCs w:val="24"/>
        </w:rPr>
        <w:lastRenderedPageBreak/>
        <w:t>Research Approach</w:t>
      </w:r>
      <w:bookmarkEnd w:id="43"/>
    </w:p>
    <w:p w14:paraId="52CC6CC1" w14:textId="77777777" w:rsidR="0067740A" w:rsidRDefault="00000000">
      <w:pPr>
        <w:pStyle w:val="af"/>
        <w:spacing w:line="360" w:lineRule="auto"/>
        <w:ind w:firstLine="567"/>
        <w:rPr>
          <w:rFonts w:ascii="Arial" w:hAnsi="Arial" w:cs="Arial"/>
        </w:rPr>
      </w:pPr>
      <w:r>
        <w:rPr>
          <w:rFonts w:ascii="Arial" w:hAnsi="Arial" w:cs="Arial"/>
        </w:rPr>
        <w:t xml:space="preserve">The research approach chosen for this study combines </w:t>
      </w:r>
      <w:r>
        <w:rPr>
          <w:rStyle w:val="af5"/>
          <w:rFonts w:ascii="Arial" w:hAnsi="Arial" w:cs="Arial"/>
          <w:b w:val="0"/>
          <w:bCs w:val="0"/>
        </w:rPr>
        <w:t>inductive</w:t>
      </w:r>
      <w:r>
        <w:rPr>
          <w:rFonts w:ascii="Arial" w:hAnsi="Arial" w:cs="Arial"/>
        </w:rPr>
        <w:t xml:space="preserve"> and </w:t>
      </w:r>
      <w:r>
        <w:rPr>
          <w:rStyle w:val="af5"/>
          <w:rFonts w:ascii="Arial" w:hAnsi="Arial" w:cs="Arial"/>
          <w:b w:val="0"/>
          <w:bCs w:val="0"/>
        </w:rPr>
        <w:t>deductive</w:t>
      </w:r>
      <w:r>
        <w:rPr>
          <w:rFonts w:ascii="Arial" w:hAnsi="Arial" w:cs="Arial"/>
        </w:rPr>
        <w:t xml:space="preserve"> reasoning to ensure a comprehensive analysis of consumer perceptions regarding Volkswagen’s sustainability initiatives. By using both approaches, the research benefits from the strengths of hypothesis testing (deductive) and theory generation (inductive), which together offer a more nuanced understanding of the research problem (Saunders et al., 2016).</w:t>
      </w:r>
    </w:p>
    <w:p w14:paraId="0774F96A" w14:textId="77777777" w:rsidR="0067740A" w:rsidRDefault="00000000">
      <w:pPr>
        <w:pStyle w:val="af"/>
        <w:spacing w:line="360" w:lineRule="auto"/>
        <w:ind w:firstLine="567"/>
        <w:rPr>
          <w:rFonts w:ascii="Arial" w:hAnsi="Arial" w:cs="Arial"/>
        </w:rPr>
      </w:pPr>
      <w:r>
        <w:rPr>
          <w:rFonts w:ascii="Arial" w:hAnsi="Arial" w:cs="Arial"/>
        </w:rPr>
        <w:t xml:space="preserve">The </w:t>
      </w:r>
      <w:r>
        <w:rPr>
          <w:rStyle w:val="af5"/>
          <w:rFonts w:ascii="Arial" w:hAnsi="Arial" w:cs="Arial"/>
          <w:b w:val="0"/>
          <w:bCs w:val="0"/>
        </w:rPr>
        <w:t>deductive approach</w:t>
      </w:r>
      <w:r>
        <w:rPr>
          <w:rFonts w:ascii="Arial" w:hAnsi="Arial" w:cs="Arial"/>
          <w:b/>
          <w:bCs/>
        </w:rPr>
        <w:t xml:space="preserve"> </w:t>
      </w:r>
      <w:r>
        <w:rPr>
          <w:rFonts w:ascii="Arial" w:hAnsi="Arial" w:cs="Arial"/>
        </w:rPr>
        <w:t>is employed to test the specific hypotheses formulated in this study. These hypotheses focus on the relationships between consumer awareness of sustainability initiatives and their likelihood to purchase Volkswagen vehicles, as well as the impact of perceived environmental responsibility on brand loyalty. Using a deductive approach, the study begins with these pre-defined hypotheses and seeks to confirm or refute them through the quantitative data collected from the survey. This approach allows for a systematic examination of the research questions, using established statistical methods to assess the strength and direction of the relationships between variables (Bryman, 2016). The deductive reasoning helps ensure that the research maintains a clear focus on answering the research objectives while grounding the analysis in existing theoretical frameworks.</w:t>
      </w:r>
    </w:p>
    <w:p w14:paraId="2D910E0F" w14:textId="77777777" w:rsidR="0067740A" w:rsidRDefault="00000000">
      <w:pPr>
        <w:pStyle w:val="af"/>
        <w:spacing w:line="360" w:lineRule="auto"/>
        <w:ind w:firstLine="567"/>
        <w:rPr>
          <w:rFonts w:ascii="Arial" w:hAnsi="Arial" w:cs="Arial"/>
        </w:rPr>
      </w:pPr>
      <w:r>
        <w:rPr>
          <w:rFonts w:ascii="Arial" w:hAnsi="Arial" w:cs="Arial"/>
        </w:rPr>
        <w:t xml:space="preserve">In contrast, the </w:t>
      </w:r>
      <w:r>
        <w:rPr>
          <w:rStyle w:val="af5"/>
          <w:rFonts w:ascii="Arial" w:hAnsi="Arial" w:cs="Arial"/>
          <w:b w:val="0"/>
          <w:bCs w:val="0"/>
        </w:rPr>
        <w:t>inductive approach</w:t>
      </w:r>
      <w:r>
        <w:rPr>
          <w:rFonts w:ascii="Arial" w:hAnsi="Arial" w:cs="Arial"/>
          <w:b/>
          <w:bCs/>
        </w:rPr>
        <w:t xml:space="preserve"> </w:t>
      </w:r>
      <w:r>
        <w:rPr>
          <w:rFonts w:ascii="Arial" w:hAnsi="Arial" w:cs="Arial"/>
        </w:rPr>
        <w:t>is applied to the qualitative component of the study, particularly the interviews with industry experts and selected consumers. The aim here is to explore emerging patterns and themes that may not have been anticipated before data collection. This allows for the generation of new insights and theories regarding consumer perceptions, particularly in the context of sustainability. By adopting an inductive approach, the research ensures that the qualitative data is analysed with an open mind, allowing for flexibility in uncovering insights that may challenge or extend existing literature (Thomas, 2017). The inductive process is essential for providing depth to the quantitative findings, enriching the overall analysis by integrating first-hand consumer narratives.</w:t>
      </w:r>
    </w:p>
    <w:p w14:paraId="30D511EB" w14:textId="77777777" w:rsidR="0067740A" w:rsidRDefault="00000000">
      <w:pPr>
        <w:pStyle w:val="af"/>
        <w:spacing w:line="360" w:lineRule="auto"/>
        <w:ind w:firstLine="567"/>
        <w:rPr>
          <w:rFonts w:ascii="Arial" w:hAnsi="Arial" w:cs="Arial"/>
        </w:rPr>
      </w:pPr>
      <w:r>
        <w:rPr>
          <w:rFonts w:ascii="Arial" w:hAnsi="Arial" w:cs="Arial"/>
        </w:rPr>
        <w:lastRenderedPageBreak/>
        <w:t xml:space="preserve">The combination of these two approaches is crucial to the mixed-methods design. </w:t>
      </w:r>
      <w:r>
        <w:rPr>
          <w:rStyle w:val="af5"/>
          <w:rFonts w:ascii="Arial" w:hAnsi="Arial" w:cs="Arial"/>
          <w:b w:val="0"/>
          <w:bCs w:val="0"/>
        </w:rPr>
        <w:t>Inductive reasoning</w:t>
      </w:r>
      <w:r>
        <w:rPr>
          <w:rFonts w:ascii="Arial" w:hAnsi="Arial" w:cs="Arial"/>
          <w:b/>
          <w:bCs/>
        </w:rPr>
        <w:t xml:space="preserve"> </w:t>
      </w:r>
      <w:r>
        <w:rPr>
          <w:rFonts w:ascii="Arial" w:hAnsi="Arial" w:cs="Arial"/>
        </w:rPr>
        <w:t xml:space="preserve">complements the </w:t>
      </w:r>
      <w:r>
        <w:rPr>
          <w:rStyle w:val="af5"/>
          <w:rFonts w:ascii="Arial" w:hAnsi="Arial" w:cs="Arial"/>
          <w:b w:val="0"/>
          <w:bCs w:val="0"/>
        </w:rPr>
        <w:t>deductive approach</w:t>
      </w:r>
      <w:r>
        <w:rPr>
          <w:rFonts w:ascii="Arial" w:hAnsi="Arial" w:cs="Arial"/>
          <w:b/>
          <w:bCs/>
        </w:rPr>
        <w:t xml:space="preserve"> </w:t>
      </w:r>
      <w:r>
        <w:rPr>
          <w:rFonts w:ascii="Arial" w:hAnsi="Arial" w:cs="Arial"/>
        </w:rPr>
        <w:t>by providing the contextual richness needed to understand why certain trends are observed in the quantitative data. For instance, while the deductive approach may reveal a significant relationship between sustainability awareness and purchase intention, the inductive analysis provides insights into the specific motivations behind consumers’ environmental concerns. This blend of approaches allows for both theory testing and theory building, ensuring that the research findings are both grounded in evidence and open to new interpretations.</w:t>
      </w:r>
    </w:p>
    <w:p w14:paraId="791D2E3F" w14:textId="77777777" w:rsidR="0067740A" w:rsidRDefault="00000000">
      <w:pPr>
        <w:pStyle w:val="af"/>
        <w:spacing w:line="360" w:lineRule="auto"/>
        <w:ind w:firstLine="567"/>
        <w:rPr>
          <w:rFonts w:ascii="Arial" w:hAnsi="Arial" w:cs="Arial"/>
        </w:rPr>
      </w:pPr>
      <w:r>
        <w:rPr>
          <w:rFonts w:ascii="Arial" w:hAnsi="Arial" w:cs="Arial"/>
        </w:rPr>
        <w:t>As the research progresses into the data collection phase, these approaches will guide the development of both the quantitative and qualitative data collection instruments. In the next section, we will explore the practical methods used to gather primary and secondary data, ensuring that both the deductive and inductive reasoning processes are fully supported.</w:t>
      </w:r>
    </w:p>
    <w:p w14:paraId="6F842AD5" w14:textId="77777777" w:rsidR="0067740A" w:rsidRDefault="0067740A">
      <w:pPr>
        <w:pStyle w:val="af"/>
        <w:spacing w:line="360" w:lineRule="auto"/>
        <w:ind w:firstLine="567"/>
        <w:rPr>
          <w:rFonts w:ascii="Arial" w:hAnsi="Arial" w:cs="Arial"/>
        </w:rPr>
      </w:pPr>
    </w:p>
    <w:p w14:paraId="3C6C28A3" w14:textId="77777777" w:rsidR="0067740A" w:rsidRDefault="0067740A">
      <w:pPr>
        <w:pStyle w:val="af"/>
        <w:spacing w:line="360" w:lineRule="auto"/>
        <w:ind w:firstLine="567"/>
        <w:rPr>
          <w:rFonts w:ascii="Arial" w:hAnsi="Arial" w:cs="Arial"/>
        </w:rPr>
      </w:pPr>
    </w:p>
    <w:p w14:paraId="1C5FC76A" w14:textId="77777777" w:rsidR="0067740A" w:rsidRDefault="0067740A">
      <w:pPr>
        <w:pStyle w:val="af"/>
        <w:spacing w:line="360" w:lineRule="auto"/>
        <w:ind w:firstLine="567"/>
        <w:rPr>
          <w:rFonts w:ascii="Arial" w:hAnsi="Arial" w:cs="Arial"/>
        </w:rPr>
      </w:pPr>
    </w:p>
    <w:p w14:paraId="2171EAF4" w14:textId="77777777" w:rsidR="0067740A" w:rsidRDefault="0067740A">
      <w:pPr>
        <w:pStyle w:val="af"/>
        <w:spacing w:line="360" w:lineRule="auto"/>
        <w:ind w:firstLine="567"/>
        <w:rPr>
          <w:rFonts w:ascii="Arial" w:hAnsi="Arial" w:cs="Arial"/>
        </w:rPr>
      </w:pPr>
    </w:p>
    <w:p w14:paraId="2A4F4405" w14:textId="77777777" w:rsidR="0067740A" w:rsidRDefault="0067740A">
      <w:pPr>
        <w:pStyle w:val="af"/>
        <w:spacing w:line="360" w:lineRule="auto"/>
        <w:ind w:firstLine="567"/>
        <w:rPr>
          <w:rFonts w:ascii="Arial" w:hAnsi="Arial" w:cs="Arial"/>
        </w:rPr>
      </w:pPr>
    </w:p>
    <w:p w14:paraId="3DF14231" w14:textId="77777777" w:rsidR="0067740A" w:rsidRDefault="0067740A">
      <w:pPr>
        <w:pStyle w:val="af"/>
        <w:spacing w:line="360" w:lineRule="auto"/>
        <w:ind w:firstLine="567"/>
        <w:rPr>
          <w:rFonts w:ascii="Arial" w:hAnsi="Arial" w:cs="Arial"/>
        </w:rPr>
      </w:pPr>
    </w:p>
    <w:p w14:paraId="6B852B7D" w14:textId="77777777" w:rsidR="0067740A" w:rsidRDefault="0067740A">
      <w:pPr>
        <w:pStyle w:val="af"/>
        <w:spacing w:line="360" w:lineRule="auto"/>
        <w:ind w:firstLine="567"/>
        <w:rPr>
          <w:rFonts w:ascii="Arial" w:hAnsi="Arial" w:cs="Arial"/>
        </w:rPr>
      </w:pPr>
    </w:p>
    <w:p w14:paraId="6EE24482" w14:textId="77777777" w:rsidR="0067740A" w:rsidRDefault="0067740A">
      <w:pPr>
        <w:pStyle w:val="af"/>
        <w:spacing w:line="360" w:lineRule="auto"/>
        <w:ind w:firstLine="567"/>
        <w:rPr>
          <w:rFonts w:ascii="Arial" w:hAnsi="Arial" w:cs="Arial"/>
        </w:rPr>
      </w:pPr>
    </w:p>
    <w:p w14:paraId="796B10DB" w14:textId="77777777" w:rsidR="0067740A" w:rsidRDefault="0067740A">
      <w:pPr>
        <w:pStyle w:val="af"/>
        <w:spacing w:line="360" w:lineRule="auto"/>
        <w:ind w:firstLine="567"/>
        <w:rPr>
          <w:rFonts w:ascii="Arial" w:hAnsi="Arial" w:cs="Arial"/>
        </w:rPr>
      </w:pPr>
    </w:p>
    <w:p w14:paraId="1B72957A" w14:textId="77777777" w:rsidR="0067740A" w:rsidRDefault="00000000">
      <w:pPr>
        <w:rPr>
          <w:rFonts w:ascii="Arial" w:hAnsi="Arial" w:cs="Arial"/>
        </w:rPr>
      </w:pPr>
      <w:r>
        <w:rPr>
          <w:rFonts w:ascii="Arial" w:hAnsi="Arial" w:cs="Arial"/>
        </w:rPr>
        <w:br w:type="page"/>
      </w:r>
    </w:p>
    <w:p w14:paraId="15DD1CCD" w14:textId="77777777" w:rsidR="0067740A" w:rsidRDefault="00000000">
      <w:pPr>
        <w:pStyle w:val="af"/>
        <w:numPr>
          <w:ilvl w:val="1"/>
          <w:numId w:val="4"/>
        </w:numPr>
        <w:spacing w:line="360" w:lineRule="auto"/>
        <w:rPr>
          <w:rFonts w:ascii="Arial" w:hAnsi="Arial" w:cs="Arial"/>
        </w:rPr>
      </w:pPr>
      <w:bookmarkStart w:id="44" w:name="_Toc177666022"/>
      <w:bookmarkStart w:id="45" w:name="OLE_LINK103"/>
      <w:bookmarkStart w:id="46" w:name="OLE_LINK67"/>
      <w:bookmarkStart w:id="47" w:name="OLE_LINK68"/>
      <w:r>
        <w:rPr>
          <w:rStyle w:val="20"/>
          <w:rFonts w:ascii="Arial" w:hAnsi="Arial" w:cs="Arial"/>
          <w:szCs w:val="24"/>
        </w:rPr>
        <w:lastRenderedPageBreak/>
        <w:t>Data Collection Methods</w:t>
      </w:r>
      <w:bookmarkEnd w:id="44"/>
    </w:p>
    <w:p w14:paraId="5EA68FC8" w14:textId="77777777" w:rsidR="0067740A" w:rsidRDefault="00000000">
      <w:pPr>
        <w:pStyle w:val="af"/>
        <w:spacing w:line="360" w:lineRule="auto"/>
        <w:ind w:firstLine="567"/>
        <w:rPr>
          <w:rFonts w:ascii="Arial" w:hAnsi="Arial" w:cs="Arial"/>
        </w:rPr>
      </w:pPr>
      <w:r>
        <w:rPr>
          <w:rFonts w:ascii="Arial" w:hAnsi="Arial" w:cs="Arial"/>
        </w:rPr>
        <w:t xml:space="preserve">The data collection for this research adopted both </w:t>
      </w:r>
      <w:r>
        <w:rPr>
          <w:rStyle w:val="af5"/>
          <w:rFonts w:ascii="Arial" w:hAnsi="Arial" w:cs="Arial"/>
          <w:b w:val="0"/>
          <w:bCs w:val="0"/>
        </w:rPr>
        <w:t>primary</w:t>
      </w:r>
      <w:r>
        <w:rPr>
          <w:rFonts w:ascii="Arial" w:hAnsi="Arial" w:cs="Arial"/>
        </w:rPr>
        <w:t xml:space="preserve"> and </w:t>
      </w:r>
      <w:r>
        <w:rPr>
          <w:rStyle w:val="af5"/>
          <w:rFonts w:ascii="Arial" w:hAnsi="Arial" w:cs="Arial"/>
          <w:b w:val="0"/>
          <w:bCs w:val="0"/>
        </w:rPr>
        <w:t>secondary</w:t>
      </w:r>
      <w:r>
        <w:rPr>
          <w:rFonts w:ascii="Arial" w:hAnsi="Arial" w:cs="Arial"/>
          <w:b/>
          <w:bCs/>
        </w:rPr>
        <w:t xml:space="preserve"> </w:t>
      </w:r>
      <w:r>
        <w:rPr>
          <w:rFonts w:ascii="Arial" w:hAnsi="Arial" w:cs="Arial"/>
        </w:rPr>
        <w:t xml:space="preserve">sources to provide a comprehensive perspective on consumer perceptions of </w:t>
      </w:r>
      <w:r>
        <w:rPr>
          <w:rStyle w:val="af5"/>
          <w:rFonts w:ascii="Arial" w:hAnsi="Arial" w:cs="Arial"/>
          <w:b w:val="0"/>
          <w:bCs w:val="0"/>
        </w:rPr>
        <w:t>Volkswagen’s sustainability initiatives</w:t>
      </w:r>
      <w:r>
        <w:rPr>
          <w:rFonts w:ascii="Arial" w:hAnsi="Arial" w:cs="Arial"/>
        </w:rPr>
        <w:t xml:space="preserve">. The integration of </w:t>
      </w:r>
      <w:r>
        <w:rPr>
          <w:rStyle w:val="af5"/>
          <w:rFonts w:ascii="Arial" w:hAnsi="Arial" w:cs="Arial"/>
          <w:b w:val="0"/>
          <w:bCs w:val="0"/>
        </w:rPr>
        <w:t>quantitative survey data</w:t>
      </w:r>
      <w:r>
        <w:rPr>
          <w:rFonts w:ascii="Arial" w:hAnsi="Arial" w:cs="Arial"/>
        </w:rPr>
        <w:t xml:space="preserve"> and </w:t>
      </w:r>
      <w:r>
        <w:rPr>
          <w:rStyle w:val="af5"/>
          <w:rFonts w:ascii="Arial" w:hAnsi="Arial" w:cs="Arial"/>
          <w:b w:val="0"/>
          <w:bCs w:val="0"/>
        </w:rPr>
        <w:t>qualitative expert interviews</w:t>
      </w:r>
      <w:r>
        <w:rPr>
          <w:rFonts w:ascii="Arial" w:hAnsi="Arial" w:cs="Arial"/>
          <w:b/>
          <w:bCs/>
        </w:rPr>
        <w:t xml:space="preserve"> </w:t>
      </w:r>
      <w:r>
        <w:rPr>
          <w:rFonts w:ascii="Arial" w:hAnsi="Arial" w:cs="Arial"/>
        </w:rPr>
        <w:t xml:space="preserve">ensures that both measurable and contextual insights are captured, reinforcing the mixed-methods approach outlined earlier. Additionally, </w:t>
      </w:r>
      <w:r>
        <w:rPr>
          <w:rStyle w:val="af5"/>
          <w:rFonts w:ascii="Arial" w:hAnsi="Arial" w:cs="Arial"/>
          <w:b w:val="0"/>
          <w:bCs w:val="0"/>
        </w:rPr>
        <w:t>secondary data</w:t>
      </w:r>
      <w:r>
        <w:rPr>
          <w:rFonts w:ascii="Arial" w:hAnsi="Arial" w:cs="Arial"/>
          <w:b/>
          <w:bCs/>
        </w:rPr>
        <w:t xml:space="preserve"> </w:t>
      </w:r>
      <w:r>
        <w:rPr>
          <w:rFonts w:ascii="Arial" w:hAnsi="Arial" w:cs="Arial"/>
        </w:rPr>
        <w:t>from existing literature and industry reports further supports the primary findings and strengthens the robustness of the analysis (Li et al., 2020).</w:t>
      </w:r>
    </w:p>
    <w:p w14:paraId="36E6C50C" w14:textId="77777777" w:rsidR="0067740A" w:rsidRDefault="00000000">
      <w:pPr>
        <w:pStyle w:val="af"/>
        <w:spacing w:line="360" w:lineRule="auto"/>
        <w:ind w:firstLine="567"/>
        <w:rPr>
          <w:rFonts w:ascii="Arial" w:hAnsi="Arial" w:cs="Arial"/>
        </w:rPr>
      </w:pPr>
      <w:r>
        <w:rPr>
          <w:rFonts w:ascii="Arial" w:hAnsi="Arial" w:cs="Arial"/>
        </w:rPr>
        <w:t xml:space="preserve">The primary data collection consisted of two main components: </w:t>
      </w:r>
      <w:r>
        <w:rPr>
          <w:rStyle w:val="af5"/>
          <w:rFonts w:ascii="Arial" w:hAnsi="Arial" w:cs="Arial"/>
          <w:b w:val="0"/>
          <w:bCs w:val="0"/>
        </w:rPr>
        <w:t>surveys</w:t>
      </w:r>
      <w:r>
        <w:rPr>
          <w:rFonts w:ascii="Arial" w:hAnsi="Arial" w:cs="Arial"/>
        </w:rPr>
        <w:t xml:space="preserve"> and </w:t>
      </w:r>
      <w:r>
        <w:rPr>
          <w:rStyle w:val="af5"/>
          <w:rFonts w:ascii="Arial" w:hAnsi="Arial" w:cs="Arial"/>
          <w:b w:val="0"/>
          <w:bCs w:val="0"/>
        </w:rPr>
        <w:t>expert interviews</w:t>
      </w:r>
      <w:r>
        <w:rPr>
          <w:rFonts w:ascii="Arial" w:hAnsi="Arial" w:cs="Arial"/>
        </w:rPr>
        <w:t>.</w:t>
      </w:r>
    </w:p>
    <w:p w14:paraId="4E222B95" w14:textId="77777777" w:rsidR="0067740A" w:rsidRDefault="00000000">
      <w:pPr>
        <w:pStyle w:val="af"/>
        <w:spacing w:line="360" w:lineRule="auto"/>
        <w:ind w:firstLine="567"/>
        <w:rPr>
          <w:rFonts w:ascii="Arial" w:hAnsi="Arial" w:cs="Arial"/>
        </w:rPr>
      </w:pPr>
      <w:r>
        <w:rPr>
          <w:rFonts w:ascii="Arial" w:hAnsi="Arial" w:cs="Arial"/>
        </w:rPr>
        <w:t xml:space="preserve">The primary quantitative data was gathered through an </w:t>
      </w:r>
      <w:r>
        <w:rPr>
          <w:rStyle w:val="af5"/>
          <w:rFonts w:ascii="Arial" w:hAnsi="Arial" w:cs="Arial"/>
          <w:b w:val="0"/>
          <w:bCs w:val="0"/>
        </w:rPr>
        <w:t>online questionnaire</w:t>
      </w:r>
      <w:r>
        <w:rPr>
          <w:rFonts w:ascii="Arial" w:hAnsi="Arial" w:cs="Arial"/>
        </w:rPr>
        <w:t xml:space="preserve"> distributed via the </w:t>
      </w:r>
      <w:proofErr w:type="spellStart"/>
      <w:r>
        <w:rPr>
          <w:rFonts w:ascii="Arial" w:hAnsi="Arial" w:cs="Arial"/>
        </w:rPr>
        <w:t>Wenjuanxing</w:t>
      </w:r>
      <w:proofErr w:type="spellEnd"/>
      <w:r>
        <w:rPr>
          <w:rFonts w:ascii="Arial" w:hAnsi="Arial" w:cs="Arial"/>
        </w:rPr>
        <w:t xml:space="preserve"> platform, a widely used tool for surveys in China due to its extensive reach and accessibility. The survey targeted Chinese consumers aged </w:t>
      </w:r>
      <w:r>
        <w:rPr>
          <w:rStyle w:val="af5"/>
          <w:rFonts w:ascii="Arial" w:hAnsi="Arial" w:cs="Arial"/>
          <w:b w:val="0"/>
          <w:bCs w:val="0"/>
        </w:rPr>
        <w:t>25-64</w:t>
      </w:r>
      <w:r>
        <w:rPr>
          <w:rFonts w:ascii="Arial" w:hAnsi="Arial" w:cs="Arial"/>
        </w:rPr>
        <w:t xml:space="preserve">, focusing on individuals residing in urban and suburban areas of major cities such as </w:t>
      </w:r>
      <w:r>
        <w:rPr>
          <w:rStyle w:val="af5"/>
          <w:rFonts w:ascii="Arial" w:hAnsi="Arial" w:cs="Arial"/>
          <w:b w:val="0"/>
          <w:bCs w:val="0"/>
        </w:rPr>
        <w:t>Beijing</w:t>
      </w:r>
      <w:r>
        <w:rPr>
          <w:rFonts w:ascii="Arial" w:hAnsi="Arial" w:cs="Arial"/>
        </w:rPr>
        <w:t xml:space="preserve"> and </w:t>
      </w:r>
      <w:r>
        <w:rPr>
          <w:rStyle w:val="af5"/>
          <w:rFonts w:ascii="Arial" w:hAnsi="Arial" w:cs="Arial"/>
          <w:b w:val="0"/>
          <w:bCs w:val="0"/>
        </w:rPr>
        <w:t>Shanghai</w:t>
      </w:r>
      <w:r>
        <w:rPr>
          <w:rFonts w:ascii="Arial" w:hAnsi="Arial" w:cs="Arial"/>
        </w:rPr>
        <w:t xml:space="preserve">. This demographic was selected as it represents a group likely to engage with sustainability initiatives and possesses the purchasing power to consider </w:t>
      </w:r>
      <w:r>
        <w:rPr>
          <w:rStyle w:val="af5"/>
          <w:rFonts w:ascii="Arial" w:hAnsi="Arial" w:cs="Arial"/>
          <w:b w:val="0"/>
          <w:bCs w:val="0"/>
        </w:rPr>
        <w:t>electric vehicles (EVs)</w:t>
      </w:r>
      <w:r>
        <w:rPr>
          <w:rFonts w:ascii="Arial" w:hAnsi="Arial" w:cs="Arial"/>
        </w:rPr>
        <w:t>, a core aspect of Volkswagen’s sustainability strategy.</w:t>
      </w:r>
    </w:p>
    <w:p w14:paraId="0FEEE53F" w14:textId="77777777" w:rsidR="0067740A" w:rsidRDefault="00000000">
      <w:pPr>
        <w:pStyle w:val="af"/>
        <w:spacing w:line="360" w:lineRule="auto"/>
        <w:ind w:firstLine="567"/>
        <w:rPr>
          <w:rFonts w:ascii="Arial" w:hAnsi="Arial" w:cs="Arial"/>
        </w:rPr>
      </w:pPr>
      <w:r>
        <w:rPr>
          <w:rFonts w:ascii="Arial" w:hAnsi="Arial" w:cs="Arial"/>
        </w:rPr>
        <w:t xml:space="preserve">The survey was designed to collect data on </w:t>
      </w:r>
      <w:r>
        <w:rPr>
          <w:rStyle w:val="af5"/>
          <w:rFonts w:ascii="Arial" w:hAnsi="Arial" w:cs="Arial"/>
          <w:b w:val="0"/>
          <w:bCs w:val="0"/>
        </w:rPr>
        <w:t>consumer</w:t>
      </w:r>
      <w:r>
        <w:rPr>
          <w:rStyle w:val="af5"/>
          <w:rFonts w:ascii="Arial" w:hAnsi="Arial" w:cs="Arial"/>
        </w:rPr>
        <w:t xml:space="preserve"> </w:t>
      </w:r>
      <w:r>
        <w:rPr>
          <w:rStyle w:val="af5"/>
          <w:rFonts w:ascii="Arial" w:hAnsi="Arial" w:cs="Arial"/>
          <w:b w:val="0"/>
          <w:bCs w:val="0"/>
        </w:rPr>
        <w:t>awareness</w:t>
      </w:r>
      <w:r>
        <w:rPr>
          <w:rFonts w:ascii="Arial" w:hAnsi="Arial" w:cs="Arial"/>
        </w:rPr>
        <w:t xml:space="preserve">, </w:t>
      </w:r>
      <w:r>
        <w:rPr>
          <w:rStyle w:val="af5"/>
          <w:rFonts w:ascii="Arial" w:hAnsi="Arial" w:cs="Arial"/>
          <w:b w:val="0"/>
          <w:bCs w:val="0"/>
        </w:rPr>
        <w:t>perceptions</w:t>
      </w:r>
      <w:r>
        <w:rPr>
          <w:rFonts w:ascii="Arial" w:hAnsi="Arial" w:cs="Arial"/>
        </w:rPr>
        <w:t xml:space="preserve">, and </w:t>
      </w:r>
      <w:r>
        <w:rPr>
          <w:rStyle w:val="af5"/>
          <w:rFonts w:ascii="Arial" w:hAnsi="Arial" w:cs="Arial"/>
          <w:b w:val="0"/>
          <w:bCs w:val="0"/>
        </w:rPr>
        <w:t>purchase</w:t>
      </w:r>
      <w:r>
        <w:rPr>
          <w:rStyle w:val="af5"/>
          <w:rFonts w:ascii="Arial" w:hAnsi="Arial" w:cs="Arial"/>
        </w:rPr>
        <w:t xml:space="preserve"> </w:t>
      </w:r>
      <w:r>
        <w:rPr>
          <w:rStyle w:val="af5"/>
          <w:rFonts w:ascii="Arial" w:hAnsi="Arial" w:cs="Arial"/>
          <w:b w:val="0"/>
          <w:bCs w:val="0"/>
        </w:rPr>
        <w:t>intentions</w:t>
      </w:r>
      <w:r>
        <w:rPr>
          <w:rFonts w:ascii="Arial" w:hAnsi="Arial" w:cs="Arial"/>
        </w:rPr>
        <w:t xml:space="preserve"> in relation to Volkswagen’s sustainability initiatives, with particular emphasis on </w:t>
      </w:r>
      <w:r>
        <w:rPr>
          <w:rStyle w:val="af5"/>
          <w:rFonts w:ascii="Arial" w:hAnsi="Arial" w:cs="Arial"/>
          <w:b w:val="0"/>
          <w:bCs w:val="0"/>
        </w:rPr>
        <w:t>electric vehicles</w:t>
      </w:r>
      <w:r>
        <w:rPr>
          <w:rFonts w:ascii="Arial" w:hAnsi="Arial" w:cs="Arial"/>
        </w:rPr>
        <w:t xml:space="preserve"> and </w:t>
      </w:r>
      <w:r>
        <w:rPr>
          <w:rStyle w:val="af5"/>
          <w:rFonts w:ascii="Arial" w:hAnsi="Arial" w:cs="Arial"/>
          <w:b w:val="0"/>
          <w:bCs w:val="0"/>
        </w:rPr>
        <w:t>green</w:t>
      </w:r>
      <w:r>
        <w:rPr>
          <w:rStyle w:val="af5"/>
          <w:rFonts w:ascii="Arial" w:hAnsi="Arial" w:cs="Arial"/>
        </w:rPr>
        <w:t xml:space="preserve"> </w:t>
      </w:r>
      <w:r>
        <w:rPr>
          <w:rStyle w:val="af5"/>
          <w:rFonts w:ascii="Arial" w:hAnsi="Arial" w:cs="Arial"/>
          <w:b w:val="0"/>
          <w:bCs w:val="0"/>
        </w:rPr>
        <w:t>manufacturing</w:t>
      </w:r>
      <w:r>
        <w:rPr>
          <w:rStyle w:val="af5"/>
          <w:rFonts w:ascii="Arial" w:hAnsi="Arial" w:cs="Arial"/>
        </w:rPr>
        <w:t xml:space="preserve"> </w:t>
      </w:r>
      <w:r>
        <w:rPr>
          <w:rStyle w:val="af5"/>
          <w:rFonts w:ascii="Arial" w:hAnsi="Arial" w:cs="Arial"/>
          <w:b w:val="0"/>
          <w:bCs w:val="0"/>
        </w:rPr>
        <w:t>practices</w:t>
      </w:r>
      <w:r>
        <w:rPr>
          <w:rFonts w:ascii="Arial" w:hAnsi="Arial" w:cs="Arial"/>
        </w:rPr>
        <w:t xml:space="preserve">. A variety of question types—including </w:t>
      </w:r>
      <w:r>
        <w:rPr>
          <w:rStyle w:val="af5"/>
          <w:rFonts w:ascii="Arial" w:hAnsi="Arial" w:cs="Arial"/>
          <w:b w:val="0"/>
          <w:bCs w:val="0"/>
        </w:rPr>
        <w:t>Likert-scale</w:t>
      </w:r>
      <w:r>
        <w:rPr>
          <w:rFonts w:ascii="Arial" w:hAnsi="Arial" w:cs="Arial"/>
        </w:rPr>
        <w:t xml:space="preserve">, </w:t>
      </w:r>
      <w:r>
        <w:rPr>
          <w:rStyle w:val="af5"/>
          <w:rFonts w:ascii="Arial" w:hAnsi="Arial" w:cs="Arial"/>
          <w:b w:val="0"/>
          <w:bCs w:val="0"/>
        </w:rPr>
        <w:t>multiple-choice</w:t>
      </w:r>
      <w:r>
        <w:rPr>
          <w:rFonts w:ascii="Arial" w:hAnsi="Arial" w:cs="Arial"/>
        </w:rPr>
        <w:t xml:space="preserve">, and </w:t>
      </w:r>
      <w:r>
        <w:rPr>
          <w:rStyle w:val="af5"/>
          <w:rFonts w:ascii="Arial" w:hAnsi="Arial" w:cs="Arial"/>
          <w:b w:val="0"/>
          <w:bCs w:val="0"/>
        </w:rPr>
        <w:t>open-ended questions</w:t>
      </w:r>
      <w:r>
        <w:rPr>
          <w:rFonts w:ascii="Arial" w:hAnsi="Arial" w:cs="Arial"/>
        </w:rPr>
        <w:t>—were employed to capture both quantitative and qualitative insights.</w:t>
      </w:r>
    </w:p>
    <w:p w14:paraId="5ADD6DDD" w14:textId="77777777" w:rsidR="0067740A" w:rsidRDefault="00000000">
      <w:pPr>
        <w:pStyle w:val="af"/>
        <w:spacing w:line="360" w:lineRule="auto"/>
        <w:ind w:firstLine="567"/>
        <w:rPr>
          <w:rFonts w:ascii="Arial" w:hAnsi="Arial" w:cs="Arial"/>
        </w:rPr>
      </w:pPr>
      <w:r>
        <w:rPr>
          <w:rFonts w:ascii="Arial" w:hAnsi="Arial" w:cs="Arial"/>
        </w:rPr>
        <w:t>Key questions included:</w:t>
      </w:r>
    </w:p>
    <w:p w14:paraId="7BCC982A" w14:textId="77777777" w:rsidR="0067740A" w:rsidRDefault="00000000">
      <w:pPr>
        <w:numPr>
          <w:ilvl w:val="0"/>
          <w:numId w:val="5"/>
        </w:numPr>
        <w:spacing w:before="100" w:beforeAutospacing="1" w:after="100" w:afterAutospacing="1" w:line="360" w:lineRule="auto"/>
        <w:ind w:firstLine="567"/>
        <w:rPr>
          <w:rFonts w:ascii="Arial" w:hAnsi="Arial" w:cs="Arial"/>
        </w:rPr>
      </w:pPr>
      <w:r>
        <w:rPr>
          <w:rStyle w:val="af5"/>
          <w:rFonts w:ascii="Arial" w:hAnsi="Arial" w:cs="Arial"/>
          <w:b w:val="0"/>
          <w:bCs w:val="0"/>
        </w:rPr>
        <w:t>Awareness</w:t>
      </w:r>
      <w:r>
        <w:rPr>
          <w:rFonts w:ascii="Arial" w:hAnsi="Arial" w:cs="Arial"/>
        </w:rPr>
        <w:t xml:space="preserve"> of Volkswagen’s sustainability initiatives (e.g., Question 6),</w:t>
      </w:r>
    </w:p>
    <w:p w14:paraId="72F67E23" w14:textId="77777777" w:rsidR="0067740A" w:rsidRDefault="00000000">
      <w:pPr>
        <w:numPr>
          <w:ilvl w:val="0"/>
          <w:numId w:val="5"/>
        </w:numPr>
        <w:spacing w:before="100" w:beforeAutospacing="1" w:after="100" w:afterAutospacing="1" w:line="360" w:lineRule="auto"/>
        <w:ind w:firstLine="567"/>
        <w:rPr>
          <w:rFonts w:ascii="Arial" w:hAnsi="Arial" w:cs="Arial"/>
        </w:rPr>
      </w:pPr>
      <w:r>
        <w:rPr>
          <w:rStyle w:val="af5"/>
          <w:rFonts w:ascii="Arial" w:hAnsi="Arial" w:cs="Arial"/>
          <w:b w:val="0"/>
          <w:bCs w:val="0"/>
        </w:rPr>
        <w:t>Perceptions</w:t>
      </w:r>
      <w:r>
        <w:rPr>
          <w:rFonts w:ascii="Arial" w:hAnsi="Arial" w:cs="Arial"/>
        </w:rPr>
        <w:t xml:space="preserve"> of the genuineness of these initiatives (e.g., Question 8),</w:t>
      </w:r>
    </w:p>
    <w:p w14:paraId="755200B8" w14:textId="0D9A5B85" w:rsidR="0067740A" w:rsidRDefault="00000000" w:rsidP="00F724B3">
      <w:pPr>
        <w:numPr>
          <w:ilvl w:val="0"/>
          <w:numId w:val="5"/>
        </w:numPr>
        <w:tabs>
          <w:tab w:val="clear" w:pos="720"/>
          <w:tab w:val="left" w:pos="1276"/>
        </w:tabs>
        <w:spacing w:before="100" w:beforeAutospacing="1" w:after="100" w:afterAutospacing="1" w:line="360" w:lineRule="auto"/>
        <w:ind w:firstLine="567"/>
        <w:rPr>
          <w:rFonts w:ascii="Arial" w:hAnsi="Arial" w:cs="Arial"/>
        </w:rPr>
      </w:pPr>
      <w:r>
        <w:rPr>
          <w:rStyle w:val="af5"/>
          <w:rFonts w:ascii="Arial" w:hAnsi="Arial" w:cs="Arial"/>
          <w:b w:val="0"/>
          <w:bCs w:val="0"/>
        </w:rPr>
        <w:t>Factors</w:t>
      </w:r>
      <w:r>
        <w:rPr>
          <w:rFonts w:ascii="Arial" w:hAnsi="Arial" w:cs="Arial"/>
        </w:rPr>
        <w:t xml:space="preserve"> influencing the likelihood of purchasing a Volkswagen vehicle, including electric vehicles (e.g., Questions 9 and 15).</w:t>
      </w:r>
    </w:p>
    <w:p w14:paraId="65F2845C" w14:textId="77777777" w:rsidR="0067740A" w:rsidRDefault="00000000">
      <w:pPr>
        <w:pStyle w:val="af"/>
        <w:spacing w:line="360" w:lineRule="auto"/>
        <w:ind w:firstLine="567"/>
        <w:rPr>
          <w:rFonts w:ascii="Arial" w:hAnsi="Arial" w:cs="Arial"/>
        </w:rPr>
      </w:pPr>
      <w:r>
        <w:rPr>
          <w:rFonts w:ascii="Arial" w:hAnsi="Arial" w:cs="Arial"/>
        </w:rPr>
        <w:lastRenderedPageBreak/>
        <w:t xml:space="preserve">These questions were crucial for examining the relationship between </w:t>
      </w:r>
      <w:r>
        <w:rPr>
          <w:rStyle w:val="af5"/>
          <w:rFonts w:ascii="Arial" w:hAnsi="Arial" w:cs="Arial"/>
          <w:b w:val="0"/>
          <w:bCs w:val="0"/>
        </w:rPr>
        <w:t>sustainability awareness</w:t>
      </w:r>
      <w:r>
        <w:rPr>
          <w:rFonts w:ascii="Arial" w:hAnsi="Arial" w:cs="Arial"/>
        </w:rPr>
        <w:t xml:space="preserve"> and </w:t>
      </w:r>
      <w:r>
        <w:rPr>
          <w:rStyle w:val="af5"/>
          <w:rFonts w:ascii="Arial" w:hAnsi="Arial" w:cs="Arial"/>
          <w:b w:val="0"/>
          <w:bCs w:val="0"/>
        </w:rPr>
        <w:t>purchasing behaviour</w:t>
      </w:r>
      <w:r>
        <w:rPr>
          <w:rFonts w:ascii="Arial" w:hAnsi="Arial" w:cs="Arial"/>
        </w:rPr>
        <w:t xml:space="preserve">, as well as exploring consumer attitudes towards Volkswagen’s </w:t>
      </w:r>
      <w:r>
        <w:rPr>
          <w:rStyle w:val="af5"/>
          <w:rFonts w:ascii="Arial" w:hAnsi="Arial" w:cs="Arial"/>
          <w:b w:val="0"/>
          <w:bCs w:val="0"/>
        </w:rPr>
        <w:t>environmental efforts</w:t>
      </w:r>
      <w:r>
        <w:rPr>
          <w:rFonts w:ascii="Arial" w:hAnsi="Arial" w:cs="Arial"/>
        </w:rPr>
        <w:t xml:space="preserve"> in comparison to its competitors. The data collected directly contributed to the testing of hypotheses such as </w:t>
      </w:r>
      <w:r>
        <w:rPr>
          <w:rStyle w:val="af5"/>
          <w:rFonts w:ascii="Arial" w:hAnsi="Arial" w:cs="Arial"/>
          <w:b w:val="0"/>
          <w:bCs w:val="0"/>
        </w:rPr>
        <w:t>H1</w:t>
      </w:r>
      <w:r>
        <w:rPr>
          <w:rFonts w:ascii="Arial" w:hAnsi="Arial" w:cs="Arial"/>
        </w:rPr>
        <w:t xml:space="preserve"> and </w:t>
      </w:r>
      <w:r>
        <w:rPr>
          <w:rStyle w:val="af5"/>
          <w:rFonts w:ascii="Arial" w:hAnsi="Arial" w:cs="Arial"/>
          <w:b w:val="0"/>
          <w:bCs w:val="0"/>
        </w:rPr>
        <w:t>H3</w:t>
      </w:r>
      <w:r>
        <w:rPr>
          <w:rFonts w:ascii="Arial" w:hAnsi="Arial" w:cs="Arial"/>
        </w:rPr>
        <w:t xml:space="preserve">, which explore the link between </w:t>
      </w:r>
      <w:r>
        <w:rPr>
          <w:rStyle w:val="af5"/>
          <w:rFonts w:ascii="Arial" w:hAnsi="Arial" w:cs="Arial"/>
          <w:b w:val="0"/>
          <w:bCs w:val="0"/>
        </w:rPr>
        <w:t>awareness</w:t>
      </w:r>
      <w:r>
        <w:rPr>
          <w:rFonts w:ascii="Arial" w:hAnsi="Arial" w:cs="Arial"/>
        </w:rPr>
        <w:t xml:space="preserve"> and </w:t>
      </w:r>
      <w:r>
        <w:rPr>
          <w:rStyle w:val="af5"/>
          <w:rFonts w:ascii="Arial" w:hAnsi="Arial" w:cs="Arial"/>
          <w:b w:val="0"/>
          <w:bCs w:val="0"/>
        </w:rPr>
        <w:t>purchase intention</w:t>
      </w:r>
      <w:r>
        <w:rPr>
          <w:rFonts w:ascii="Arial" w:hAnsi="Arial" w:cs="Arial"/>
        </w:rPr>
        <w:t>.</w:t>
      </w:r>
    </w:p>
    <w:p w14:paraId="23CC9E75" w14:textId="77777777" w:rsidR="0067740A" w:rsidRDefault="00000000">
      <w:pPr>
        <w:pStyle w:val="af"/>
        <w:spacing w:line="360" w:lineRule="auto"/>
        <w:ind w:firstLine="567"/>
        <w:rPr>
          <w:rFonts w:ascii="Arial" w:hAnsi="Arial" w:cs="Arial"/>
        </w:rPr>
      </w:pPr>
      <w:r>
        <w:rPr>
          <w:rFonts w:ascii="Arial" w:hAnsi="Arial" w:cs="Arial"/>
        </w:rPr>
        <w:t xml:space="preserve">To complement the survey data, </w:t>
      </w:r>
      <w:r>
        <w:rPr>
          <w:rStyle w:val="af5"/>
          <w:rFonts w:ascii="Arial" w:hAnsi="Arial" w:cs="Arial"/>
          <w:b w:val="0"/>
          <w:bCs w:val="0"/>
        </w:rPr>
        <w:t>semi-structured interviews</w:t>
      </w:r>
      <w:r>
        <w:rPr>
          <w:rFonts w:ascii="Arial" w:hAnsi="Arial" w:cs="Arial"/>
        </w:rPr>
        <w:t xml:space="preserve"> were conducted with </w:t>
      </w:r>
      <w:r>
        <w:rPr>
          <w:rStyle w:val="af5"/>
          <w:rFonts w:ascii="Arial" w:hAnsi="Arial" w:cs="Arial"/>
          <w:b w:val="0"/>
          <w:bCs w:val="0"/>
        </w:rPr>
        <w:t>industry experts</w:t>
      </w:r>
      <w:r>
        <w:rPr>
          <w:rFonts w:ascii="Arial" w:hAnsi="Arial" w:cs="Arial"/>
        </w:rPr>
        <w:t xml:space="preserve"> to gain qualitative insights. These interviews provided context and a deeper understanding of how </w:t>
      </w:r>
      <w:r>
        <w:rPr>
          <w:rStyle w:val="af5"/>
          <w:rFonts w:ascii="Arial" w:hAnsi="Arial" w:cs="Arial"/>
          <w:b w:val="0"/>
          <w:bCs w:val="0"/>
        </w:rPr>
        <w:t>Volkswagen’s</w:t>
      </w:r>
      <w:r>
        <w:rPr>
          <w:rStyle w:val="af5"/>
          <w:rFonts w:ascii="Arial" w:hAnsi="Arial" w:cs="Arial"/>
        </w:rPr>
        <w:t xml:space="preserve"> </w:t>
      </w:r>
      <w:r>
        <w:rPr>
          <w:rStyle w:val="af5"/>
          <w:rFonts w:ascii="Arial" w:hAnsi="Arial" w:cs="Arial"/>
          <w:b w:val="0"/>
          <w:bCs w:val="0"/>
        </w:rPr>
        <w:t>sustainability initiatives</w:t>
      </w:r>
      <w:r>
        <w:rPr>
          <w:rFonts w:ascii="Arial" w:hAnsi="Arial" w:cs="Arial"/>
        </w:rPr>
        <w:t xml:space="preserve"> are perceived within the broader industry. Experts were asked to share their views on the strategic significance of </w:t>
      </w:r>
      <w:r>
        <w:rPr>
          <w:rStyle w:val="af5"/>
          <w:rFonts w:ascii="Arial" w:hAnsi="Arial" w:cs="Arial"/>
          <w:b w:val="0"/>
          <w:bCs w:val="0"/>
        </w:rPr>
        <w:t>sustainability</w:t>
      </w:r>
      <w:r>
        <w:rPr>
          <w:rFonts w:ascii="Arial" w:hAnsi="Arial" w:cs="Arial"/>
        </w:rPr>
        <w:t xml:space="preserve"> in the Chinese automotive market, trends in </w:t>
      </w:r>
      <w:r>
        <w:rPr>
          <w:rStyle w:val="af5"/>
          <w:rFonts w:ascii="Arial" w:hAnsi="Arial" w:cs="Arial"/>
          <w:b w:val="0"/>
          <w:bCs w:val="0"/>
        </w:rPr>
        <w:t>consumer behaviour</w:t>
      </w:r>
      <w:r>
        <w:rPr>
          <w:rFonts w:ascii="Arial" w:hAnsi="Arial" w:cs="Arial"/>
        </w:rPr>
        <w:t xml:space="preserve">, and how companies like Volkswagen could better align their green practices with market demands. These expert insights validated the trends identified in the consumer survey, ensuring a well-rounded analysis that reflects both </w:t>
      </w:r>
      <w:r>
        <w:rPr>
          <w:rStyle w:val="af5"/>
          <w:rFonts w:ascii="Arial" w:hAnsi="Arial" w:cs="Arial"/>
          <w:b w:val="0"/>
          <w:bCs w:val="0"/>
        </w:rPr>
        <w:t>consumer perceptions</w:t>
      </w:r>
      <w:r>
        <w:rPr>
          <w:rFonts w:ascii="Arial" w:hAnsi="Arial" w:cs="Arial"/>
        </w:rPr>
        <w:t xml:space="preserve"> and </w:t>
      </w:r>
      <w:r>
        <w:rPr>
          <w:rStyle w:val="af5"/>
          <w:rFonts w:ascii="Arial" w:hAnsi="Arial" w:cs="Arial"/>
          <w:b w:val="0"/>
          <w:bCs w:val="0"/>
        </w:rPr>
        <w:t>industry realities</w:t>
      </w:r>
      <w:r>
        <w:rPr>
          <w:rFonts w:ascii="Arial" w:hAnsi="Arial" w:cs="Arial"/>
        </w:rPr>
        <w:t>.</w:t>
      </w:r>
    </w:p>
    <w:p w14:paraId="7BE7AA98" w14:textId="77777777" w:rsidR="0067740A" w:rsidRDefault="00000000">
      <w:pPr>
        <w:pStyle w:val="af"/>
        <w:spacing w:line="360" w:lineRule="auto"/>
        <w:ind w:firstLine="567"/>
        <w:rPr>
          <w:rFonts w:ascii="Arial" w:hAnsi="Arial" w:cs="Arial"/>
        </w:rPr>
      </w:pPr>
      <w:r>
        <w:rPr>
          <w:rFonts w:ascii="Arial" w:hAnsi="Arial" w:cs="Arial"/>
        </w:rPr>
        <w:t xml:space="preserve">By integrating consumer feedback from surveys with expert perspectives, this study ensures that both </w:t>
      </w:r>
      <w:r>
        <w:rPr>
          <w:rStyle w:val="af5"/>
          <w:rFonts w:ascii="Arial" w:hAnsi="Arial" w:cs="Arial"/>
          <w:b w:val="0"/>
          <w:bCs w:val="0"/>
        </w:rPr>
        <w:t>grassroots</w:t>
      </w:r>
      <w:r>
        <w:rPr>
          <w:rFonts w:ascii="Arial" w:hAnsi="Arial" w:cs="Arial"/>
        </w:rPr>
        <w:t xml:space="preserve"> and </w:t>
      </w:r>
      <w:r>
        <w:rPr>
          <w:rStyle w:val="af5"/>
          <w:rFonts w:ascii="Arial" w:hAnsi="Arial" w:cs="Arial"/>
          <w:b w:val="0"/>
          <w:bCs w:val="0"/>
        </w:rPr>
        <w:t>strategic</w:t>
      </w:r>
      <w:r>
        <w:rPr>
          <w:rFonts w:ascii="Arial" w:hAnsi="Arial" w:cs="Arial"/>
        </w:rPr>
        <w:t xml:space="preserve"> viewpoints are captured, enhancing the comprehensiveness and practical applicability of the findings for Volkswagen.</w:t>
      </w:r>
    </w:p>
    <w:p w14:paraId="01887CFD" w14:textId="77777777" w:rsidR="0067740A" w:rsidRDefault="00000000">
      <w:pPr>
        <w:pStyle w:val="af"/>
        <w:spacing w:line="360" w:lineRule="auto"/>
        <w:ind w:firstLine="567"/>
        <w:rPr>
          <w:rFonts w:ascii="Arial" w:hAnsi="Arial" w:cs="Arial"/>
          <w:color w:val="000000" w:themeColor="text1"/>
        </w:rPr>
      </w:pPr>
      <w:r>
        <w:rPr>
          <w:rFonts w:ascii="Arial" w:hAnsi="Arial" w:cs="Arial"/>
          <w:color w:val="000000" w:themeColor="text1"/>
        </w:rPr>
        <w:t>In addition to primary data</w:t>
      </w:r>
      <w:r>
        <w:rPr>
          <w:rFonts w:ascii="Arial" w:hAnsi="Arial" w:cs="Arial"/>
          <w:b/>
          <w:bCs/>
          <w:color w:val="000000" w:themeColor="text1"/>
        </w:rPr>
        <w:t xml:space="preserve">, </w:t>
      </w:r>
      <w:r>
        <w:rPr>
          <w:rStyle w:val="af5"/>
          <w:rFonts w:ascii="Arial" w:hAnsi="Arial" w:cs="Arial"/>
          <w:b w:val="0"/>
          <w:bCs w:val="0"/>
          <w:color w:val="000000" w:themeColor="text1"/>
        </w:rPr>
        <w:t>secondary data</w:t>
      </w:r>
      <w:r>
        <w:rPr>
          <w:rFonts w:ascii="Arial" w:hAnsi="Arial" w:cs="Arial"/>
          <w:color w:val="000000" w:themeColor="text1"/>
        </w:rPr>
        <w:t xml:space="preserve"> was sourced from </w:t>
      </w:r>
      <w:r>
        <w:rPr>
          <w:rStyle w:val="af5"/>
          <w:rFonts w:ascii="Arial" w:hAnsi="Arial" w:cs="Arial"/>
          <w:b w:val="0"/>
          <w:bCs w:val="0"/>
          <w:color w:val="000000" w:themeColor="text1"/>
        </w:rPr>
        <w:t>academic literature</w:t>
      </w:r>
      <w:r>
        <w:rPr>
          <w:rFonts w:ascii="Arial" w:hAnsi="Arial" w:cs="Arial"/>
          <w:b/>
          <w:bCs/>
          <w:color w:val="000000" w:themeColor="text1"/>
        </w:rPr>
        <w:t xml:space="preserve">, </w:t>
      </w:r>
      <w:r>
        <w:rPr>
          <w:rStyle w:val="af5"/>
          <w:rFonts w:ascii="Arial" w:hAnsi="Arial" w:cs="Arial"/>
          <w:b w:val="0"/>
          <w:bCs w:val="0"/>
          <w:color w:val="000000" w:themeColor="text1"/>
        </w:rPr>
        <w:t>industry reports</w:t>
      </w:r>
      <w:r>
        <w:rPr>
          <w:rFonts w:ascii="Arial" w:hAnsi="Arial" w:cs="Arial"/>
          <w:b/>
          <w:bCs/>
          <w:color w:val="000000" w:themeColor="text1"/>
        </w:rPr>
        <w:t xml:space="preserve">, </w:t>
      </w:r>
      <w:r>
        <w:rPr>
          <w:rFonts w:ascii="Arial" w:hAnsi="Arial" w:cs="Arial"/>
          <w:color w:val="000000" w:themeColor="text1"/>
        </w:rPr>
        <w:t xml:space="preserve">and </w:t>
      </w:r>
      <w:r>
        <w:rPr>
          <w:rStyle w:val="af5"/>
          <w:rFonts w:ascii="Arial" w:hAnsi="Arial" w:cs="Arial"/>
          <w:b w:val="0"/>
          <w:bCs w:val="0"/>
          <w:color w:val="000000" w:themeColor="text1"/>
        </w:rPr>
        <w:t>Volkswagen’s sustainability reports</w:t>
      </w:r>
      <w:r>
        <w:rPr>
          <w:rFonts w:ascii="Arial" w:hAnsi="Arial" w:cs="Arial"/>
          <w:b/>
          <w:bCs/>
          <w:color w:val="000000" w:themeColor="text1"/>
        </w:rPr>
        <w:t xml:space="preserve">. </w:t>
      </w:r>
      <w:r>
        <w:rPr>
          <w:rFonts w:ascii="Arial" w:hAnsi="Arial" w:cs="Arial"/>
          <w:color w:val="000000" w:themeColor="text1"/>
        </w:rPr>
        <w:t xml:space="preserve">These sources provided the necessary background for understanding the role of </w:t>
      </w:r>
      <w:r>
        <w:rPr>
          <w:rStyle w:val="af5"/>
          <w:rFonts w:ascii="Arial" w:hAnsi="Arial" w:cs="Arial"/>
          <w:b w:val="0"/>
          <w:bCs w:val="0"/>
          <w:color w:val="000000" w:themeColor="text1"/>
        </w:rPr>
        <w:t>sustainability</w:t>
      </w:r>
      <w:r>
        <w:rPr>
          <w:rFonts w:ascii="Arial" w:hAnsi="Arial" w:cs="Arial"/>
          <w:b/>
          <w:bCs/>
          <w:color w:val="000000" w:themeColor="text1"/>
        </w:rPr>
        <w:t xml:space="preserve"> </w:t>
      </w:r>
      <w:r>
        <w:rPr>
          <w:rFonts w:ascii="Arial" w:hAnsi="Arial" w:cs="Arial"/>
          <w:color w:val="000000" w:themeColor="text1"/>
        </w:rPr>
        <w:t xml:space="preserve">within the </w:t>
      </w:r>
      <w:r>
        <w:rPr>
          <w:rStyle w:val="af5"/>
          <w:rFonts w:ascii="Arial" w:hAnsi="Arial" w:cs="Arial"/>
          <w:b w:val="0"/>
          <w:bCs w:val="0"/>
          <w:color w:val="000000" w:themeColor="text1"/>
        </w:rPr>
        <w:t>automotive industry</w:t>
      </w:r>
      <w:r>
        <w:rPr>
          <w:rFonts w:ascii="Arial" w:hAnsi="Arial" w:cs="Arial"/>
          <w:color w:val="000000" w:themeColor="text1"/>
        </w:rPr>
        <w:t xml:space="preserve"> and offered a benchmark for evaluating Volkswagen’s initiatives against </w:t>
      </w:r>
      <w:r>
        <w:rPr>
          <w:rStyle w:val="af5"/>
          <w:rFonts w:ascii="Arial" w:hAnsi="Arial" w:cs="Arial"/>
          <w:b w:val="0"/>
          <w:bCs w:val="0"/>
          <w:color w:val="000000" w:themeColor="text1"/>
        </w:rPr>
        <w:t>industry standards</w:t>
      </w:r>
      <w:r>
        <w:rPr>
          <w:rFonts w:ascii="Arial" w:hAnsi="Arial" w:cs="Arial"/>
          <w:b/>
          <w:bCs/>
          <w:color w:val="000000" w:themeColor="text1"/>
        </w:rPr>
        <w:t xml:space="preserve"> </w:t>
      </w:r>
      <w:r>
        <w:rPr>
          <w:rFonts w:ascii="Arial" w:hAnsi="Arial" w:cs="Arial"/>
          <w:color w:val="000000" w:themeColor="text1"/>
        </w:rPr>
        <w:t>(Gao &amp; Zhang, 2020).</w:t>
      </w:r>
    </w:p>
    <w:p w14:paraId="6C2F9B72" w14:textId="77777777" w:rsidR="0067740A" w:rsidRDefault="00000000">
      <w:pPr>
        <w:pStyle w:val="af"/>
        <w:spacing w:line="360" w:lineRule="auto"/>
        <w:ind w:firstLine="567"/>
        <w:rPr>
          <w:rFonts w:ascii="Arial" w:hAnsi="Arial" w:cs="Arial"/>
          <w:color w:val="000000" w:themeColor="text1"/>
        </w:rPr>
      </w:pPr>
      <w:r>
        <w:rPr>
          <w:rFonts w:ascii="Arial" w:hAnsi="Arial" w:cs="Arial"/>
          <w:color w:val="000000" w:themeColor="text1"/>
        </w:rPr>
        <w:t xml:space="preserve">For example, </w:t>
      </w:r>
      <w:r>
        <w:rPr>
          <w:rStyle w:val="af5"/>
          <w:rFonts w:ascii="Arial" w:hAnsi="Arial" w:cs="Arial"/>
          <w:b w:val="0"/>
          <w:bCs w:val="0"/>
          <w:color w:val="000000" w:themeColor="text1"/>
        </w:rPr>
        <w:t>Volkswagen’s sustainability reports</w:t>
      </w:r>
      <w:r>
        <w:rPr>
          <w:rFonts w:ascii="Arial" w:hAnsi="Arial" w:cs="Arial"/>
          <w:color w:val="000000" w:themeColor="text1"/>
        </w:rPr>
        <w:t xml:space="preserve"> were instrumental in understanding the company’s official stance and strategic direction regarding </w:t>
      </w:r>
      <w:r>
        <w:rPr>
          <w:rStyle w:val="af5"/>
          <w:rFonts w:ascii="Arial" w:hAnsi="Arial" w:cs="Arial"/>
          <w:b w:val="0"/>
          <w:bCs w:val="0"/>
          <w:color w:val="000000" w:themeColor="text1"/>
        </w:rPr>
        <w:t>electric vehicles</w:t>
      </w:r>
      <w:r>
        <w:rPr>
          <w:rFonts w:ascii="Arial" w:hAnsi="Arial" w:cs="Arial"/>
          <w:b/>
          <w:bCs/>
          <w:color w:val="000000" w:themeColor="text1"/>
        </w:rPr>
        <w:t xml:space="preserve">, </w:t>
      </w:r>
      <w:r>
        <w:rPr>
          <w:rStyle w:val="af5"/>
          <w:rFonts w:ascii="Arial" w:hAnsi="Arial" w:cs="Arial"/>
          <w:b w:val="0"/>
          <w:bCs w:val="0"/>
          <w:color w:val="000000" w:themeColor="text1"/>
        </w:rPr>
        <w:t>green manufacturing</w:t>
      </w:r>
      <w:r>
        <w:rPr>
          <w:rFonts w:ascii="Arial" w:hAnsi="Arial" w:cs="Arial"/>
          <w:color w:val="000000" w:themeColor="text1"/>
        </w:rPr>
        <w:t xml:space="preserve">, and </w:t>
      </w:r>
      <w:r>
        <w:rPr>
          <w:rStyle w:val="af5"/>
          <w:rFonts w:ascii="Arial" w:hAnsi="Arial" w:cs="Arial"/>
          <w:b w:val="0"/>
          <w:bCs w:val="0"/>
          <w:color w:val="000000" w:themeColor="text1"/>
        </w:rPr>
        <w:t>sustainable supply chains</w:t>
      </w:r>
      <w:r>
        <w:rPr>
          <w:rFonts w:ascii="Arial" w:hAnsi="Arial" w:cs="Arial"/>
          <w:color w:val="000000" w:themeColor="text1"/>
        </w:rPr>
        <w:t xml:space="preserve">. These reports also contained key performance indicators (KPIs) that were compared with the consumer perceptions gathered through the survey, strengthening the alignment between </w:t>
      </w:r>
      <w:r>
        <w:rPr>
          <w:rStyle w:val="af5"/>
          <w:rFonts w:ascii="Arial" w:hAnsi="Arial" w:cs="Arial"/>
          <w:b w:val="0"/>
          <w:bCs w:val="0"/>
          <w:color w:val="000000" w:themeColor="text1"/>
        </w:rPr>
        <w:t>corporate objectives</w:t>
      </w:r>
      <w:r>
        <w:rPr>
          <w:rFonts w:ascii="Arial" w:hAnsi="Arial" w:cs="Arial"/>
          <w:color w:val="000000" w:themeColor="text1"/>
        </w:rPr>
        <w:t xml:space="preserve"> and </w:t>
      </w:r>
      <w:r>
        <w:rPr>
          <w:rStyle w:val="af5"/>
          <w:rFonts w:ascii="Arial" w:hAnsi="Arial" w:cs="Arial"/>
          <w:b w:val="0"/>
          <w:bCs w:val="0"/>
          <w:color w:val="000000" w:themeColor="text1"/>
        </w:rPr>
        <w:t>consumer expectations</w:t>
      </w:r>
      <w:r>
        <w:rPr>
          <w:rFonts w:ascii="Arial" w:hAnsi="Arial" w:cs="Arial"/>
          <w:color w:val="000000" w:themeColor="text1"/>
        </w:rPr>
        <w:t>.</w:t>
      </w:r>
    </w:p>
    <w:p w14:paraId="796B64B0" w14:textId="77777777" w:rsidR="0067740A" w:rsidRDefault="00000000">
      <w:pPr>
        <w:pStyle w:val="af"/>
        <w:spacing w:line="360" w:lineRule="auto"/>
        <w:ind w:firstLine="567"/>
        <w:rPr>
          <w:rFonts w:ascii="Arial" w:hAnsi="Arial" w:cs="Arial"/>
          <w:color w:val="000000" w:themeColor="text1"/>
        </w:rPr>
      </w:pPr>
      <w:r>
        <w:rPr>
          <w:rFonts w:ascii="Arial" w:hAnsi="Arial" w:cs="Arial"/>
          <w:color w:val="000000" w:themeColor="text1"/>
        </w:rPr>
        <w:lastRenderedPageBreak/>
        <w:t xml:space="preserve">The combination of primary data—obtained through surveys and expert interviews—and secondary data from academic and industry sources offers a </w:t>
      </w:r>
      <w:r>
        <w:rPr>
          <w:rStyle w:val="af5"/>
          <w:rFonts w:ascii="Arial" w:hAnsi="Arial" w:cs="Arial"/>
          <w:b w:val="0"/>
          <w:bCs w:val="0"/>
          <w:color w:val="000000" w:themeColor="text1"/>
        </w:rPr>
        <w:t>holistic perspective</w:t>
      </w:r>
      <w:r>
        <w:rPr>
          <w:rFonts w:ascii="Arial" w:hAnsi="Arial" w:cs="Arial"/>
          <w:color w:val="000000" w:themeColor="text1"/>
        </w:rPr>
        <w:t xml:space="preserve"> on </w:t>
      </w:r>
      <w:r>
        <w:rPr>
          <w:rStyle w:val="af5"/>
          <w:rFonts w:ascii="Arial" w:hAnsi="Arial" w:cs="Arial"/>
          <w:b w:val="0"/>
          <w:bCs w:val="0"/>
          <w:color w:val="000000" w:themeColor="text1"/>
        </w:rPr>
        <w:t>Volkswagen’s</w:t>
      </w:r>
      <w:r>
        <w:rPr>
          <w:rStyle w:val="af5"/>
          <w:rFonts w:ascii="Arial" w:hAnsi="Arial" w:cs="Arial"/>
          <w:color w:val="000000" w:themeColor="text1"/>
        </w:rPr>
        <w:t xml:space="preserve"> </w:t>
      </w:r>
      <w:r>
        <w:rPr>
          <w:rStyle w:val="af5"/>
          <w:rFonts w:ascii="Arial" w:hAnsi="Arial" w:cs="Arial"/>
          <w:b w:val="0"/>
          <w:bCs w:val="0"/>
          <w:color w:val="000000" w:themeColor="text1"/>
        </w:rPr>
        <w:t>sustainability</w:t>
      </w:r>
      <w:r>
        <w:rPr>
          <w:rStyle w:val="af5"/>
          <w:rFonts w:ascii="Arial" w:hAnsi="Arial" w:cs="Arial"/>
          <w:color w:val="000000" w:themeColor="text1"/>
        </w:rPr>
        <w:t xml:space="preserve"> </w:t>
      </w:r>
      <w:r>
        <w:rPr>
          <w:rStyle w:val="af5"/>
          <w:rFonts w:ascii="Arial" w:hAnsi="Arial" w:cs="Arial"/>
          <w:b w:val="0"/>
          <w:bCs w:val="0"/>
          <w:color w:val="000000" w:themeColor="text1"/>
        </w:rPr>
        <w:t>initiatives</w:t>
      </w:r>
      <w:r>
        <w:rPr>
          <w:rFonts w:ascii="Arial" w:hAnsi="Arial" w:cs="Arial"/>
          <w:color w:val="000000" w:themeColor="text1"/>
        </w:rPr>
        <w:t xml:space="preserve">. The </w:t>
      </w:r>
      <w:r>
        <w:rPr>
          <w:rStyle w:val="af5"/>
          <w:rFonts w:ascii="Arial" w:hAnsi="Arial" w:cs="Arial"/>
          <w:b w:val="0"/>
          <w:bCs w:val="0"/>
          <w:color w:val="000000" w:themeColor="text1"/>
        </w:rPr>
        <w:t>quantitative data</w:t>
      </w:r>
      <w:r>
        <w:rPr>
          <w:rFonts w:ascii="Arial" w:hAnsi="Arial" w:cs="Arial"/>
          <w:color w:val="000000" w:themeColor="text1"/>
        </w:rPr>
        <w:t xml:space="preserve"> provides measurable insights into </w:t>
      </w:r>
      <w:r>
        <w:rPr>
          <w:rStyle w:val="af5"/>
          <w:rFonts w:ascii="Arial" w:hAnsi="Arial" w:cs="Arial"/>
          <w:b w:val="0"/>
          <w:bCs w:val="0"/>
          <w:color w:val="000000" w:themeColor="text1"/>
        </w:rPr>
        <w:t>consumer</w:t>
      </w:r>
      <w:r>
        <w:rPr>
          <w:rStyle w:val="af5"/>
          <w:rFonts w:ascii="Arial" w:hAnsi="Arial" w:cs="Arial"/>
          <w:color w:val="000000" w:themeColor="text1"/>
        </w:rPr>
        <w:t xml:space="preserve"> </w:t>
      </w:r>
      <w:r>
        <w:rPr>
          <w:rStyle w:val="af5"/>
          <w:rFonts w:ascii="Arial" w:hAnsi="Arial" w:cs="Arial"/>
          <w:b w:val="0"/>
          <w:bCs w:val="0"/>
          <w:color w:val="000000" w:themeColor="text1"/>
        </w:rPr>
        <w:t>behaviour</w:t>
      </w:r>
      <w:r>
        <w:rPr>
          <w:rFonts w:ascii="Arial" w:hAnsi="Arial" w:cs="Arial"/>
          <w:color w:val="000000" w:themeColor="text1"/>
        </w:rPr>
        <w:t xml:space="preserve">, while the </w:t>
      </w:r>
      <w:r>
        <w:rPr>
          <w:rStyle w:val="af5"/>
          <w:rFonts w:ascii="Arial" w:hAnsi="Arial" w:cs="Arial"/>
          <w:b w:val="0"/>
          <w:bCs w:val="0"/>
          <w:color w:val="000000" w:themeColor="text1"/>
        </w:rPr>
        <w:t>qualitative data</w:t>
      </w:r>
      <w:r>
        <w:rPr>
          <w:rFonts w:ascii="Arial" w:hAnsi="Arial" w:cs="Arial"/>
          <w:color w:val="000000" w:themeColor="text1"/>
        </w:rPr>
        <w:t xml:space="preserve"> adds depth and context, enabling a richer understanding of </w:t>
      </w:r>
      <w:r>
        <w:rPr>
          <w:rStyle w:val="af5"/>
          <w:rFonts w:ascii="Arial" w:hAnsi="Arial" w:cs="Arial"/>
          <w:b w:val="0"/>
          <w:bCs w:val="0"/>
          <w:color w:val="000000" w:themeColor="text1"/>
        </w:rPr>
        <w:t>consumer</w:t>
      </w:r>
      <w:r>
        <w:rPr>
          <w:rStyle w:val="af5"/>
          <w:rFonts w:ascii="Arial" w:hAnsi="Arial" w:cs="Arial"/>
          <w:color w:val="000000" w:themeColor="text1"/>
        </w:rPr>
        <w:t xml:space="preserve"> </w:t>
      </w:r>
      <w:r>
        <w:rPr>
          <w:rStyle w:val="af5"/>
          <w:rFonts w:ascii="Arial" w:hAnsi="Arial" w:cs="Arial"/>
          <w:b w:val="0"/>
          <w:bCs w:val="0"/>
          <w:color w:val="000000" w:themeColor="text1"/>
        </w:rPr>
        <w:t>motivations</w:t>
      </w:r>
      <w:r>
        <w:rPr>
          <w:rFonts w:ascii="Arial" w:hAnsi="Arial" w:cs="Arial"/>
          <w:color w:val="000000" w:themeColor="text1"/>
        </w:rPr>
        <w:t xml:space="preserve"> and </w:t>
      </w:r>
      <w:r>
        <w:rPr>
          <w:rStyle w:val="af5"/>
          <w:rFonts w:ascii="Arial" w:hAnsi="Arial" w:cs="Arial"/>
          <w:b w:val="0"/>
          <w:bCs w:val="0"/>
          <w:color w:val="000000" w:themeColor="text1"/>
        </w:rPr>
        <w:t>perceptions</w:t>
      </w:r>
      <w:r>
        <w:rPr>
          <w:rFonts w:ascii="Arial" w:hAnsi="Arial" w:cs="Arial"/>
          <w:color w:val="000000" w:themeColor="text1"/>
        </w:rPr>
        <w:t xml:space="preserve">. This multi-faceted approach ensures that the research is not only robust and balanced but also capable of addressing both </w:t>
      </w:r>
      <w:r>
        <w:rPr>
          <w:rStyle w:val="af5"/>
          <w:rFonts w:ascii="Arial" w:hAnsi="Arial" w:cs="Arial"/>
          <w:b w:val="0"/>
          <w:bCs w:val="0"/>
          <w:color w:val="000000" w:themeColor="text1"/>
        </w:rPr>
        <w:t>theoretical</w:t>
      </w:r>
      <w:r>
        <w:rPr>
          <w:rFonts w:ascii="Arial" w:hAnsi="Arial" w:cs="Arial"/>
          <w:color w:val="000000" w:themeColor="text1"/>
        </w:rPr>
        <w:t xml:space="preserve"> and </w:t>
      </w:r>
      <w:r>
        <w:rPr>
          <w:rStyle w:val="af5"/>
          <w:rFonts w:ascii="Arial" w:hAnsi="Arial" w:cs="Arial"/>
          <w:b w:val="0"/>
          <w:bCs w:val="0"/>
          <w:color w:val="000000" w:themeColor="text1"/>
        </w:rPr>
        <w:t>practical</w:t>
      </w:r>
      <w:r>
        <w:rPr>
          <w:rFonts w:ascii="Arial" w:hAnsi="Arial" w:cs="Arial"/>
          <w:color w:val="000000" w:themeColor="text1"/>
        </w:rPr>
        <w:t xml:space="preserve"> considerations related to sustainability in the automotive sector.</w:t>
      </w:r>
    </w:p>
    <w:p w14:paraId="2802BE7B" w14:textId="77777777" w:rsidR="0067740A" w:rsidRDefault="00000000">
      <w:pPr>
        <w:pStyle w:val="af"/>
        <w:spacing w:line="360" w:lineRule="auto"/>
        <w:ind w:firstLine="567"/>
        <w:rPr>
          <w:rFonts w:ascii="Arial" w:hAnsi="Arial" w:cs="Arial"/>
          <w:color w:val="000000" w:themeColor="text1"/>
        </w:rPr>
      </w:pPr>
      <w:r>
        <w:rPr>
          <w:rFonts w:ascii="Arial" w:hAnsi="Arial" w:cs="Arial"/>
          <w:color w:val="000000" w:themeColor="text1"/>
        </w:rPr>
        <w:t xml:space="preserve">As the research progresses into the </w:t>
      </w:r>
      <w:r>
        <w:rPr>
          <w:rStyle w:val="af5"/>
          <w:rFonts w:ascii="Arial" w:hAnsi="Arial" w:cs="Arial"/>
          <w:b w:val="0"/>
          <w:bCs w:val="0"/>
          <w:color w:val="000000" w:themeColor="text1"/>
        </w:rPr>
        <w:t>analysis phase</w:t>
      </w:r>
      <w:r>
        <w:rPr>
          <w:rFonts w:ascii="Arial" w:hAnsi="Arial" w:cs="Arial"/>
          <w:color w:val="000000" w:themeColor="text1"/>
        </w:rPr>
        <w:t xml:space="preserve">, the integration of these data sources will allow for the thorough testing of hypotheses and provide a well-supported understanding of </w:t>
      </w:r>
      <w:r>
        <w:rPr>
          <w:rStyle w:val="af5"/>
          <w:rFonts w:ascii="Arial" w:hAnsi="Arial" w:cs="Arial"/>
          <w:b w:val="0"/>
          <w:bCs w:val="0"/>
          <w:color w:val="000000" w:themeColor="text1"/>
        </w:rPr>
        <w:t>consumer behaviour</w:t>
      </w:r>
      <w:r>
        <w:rPr>
          <w:rFonts w:ascii="Arial" w:hAnsi="Arial" w:cs="Arial"/>
          <w:color w:val="000000" w:themeColor="text1"/>
        </w:rPr>
        <w:t xml:space="preserve"> in relation to Volkswagen’s sustainability efforts. The next section will examine the </w:t>
      </w:r>
      <w:r>
        <w:rPr>
          <w:rStyle w:val="af5"/>
          <w:rFonts w:ascii="Arial" w:hAnsi="Arial" w:cs="Arial"/>
          <w:b w:val="0"/>
          <w:bCs w:val="0"/>
          <w:color w:val="000000" w:themeColor="text1"/>
        </w:rPr>
        <w:t>sampling strategy</w:t>
      </w:r>
      <w:r>
        <w:rPr>
          <w:rFonts w:ascii="Arial" w:hAnsi="Arial" w:cs="Arial"/>
          <w:color w:val="000000" w:themeColor="text1"/>
        </w:rPr>
        <w:t>, explaining how respondents were selected and ensuring the representativeness of the target population.</w:t>
      </w:r>
    </w:p>
    <w:p w14:paraId="0C5248FB" w14:textId="77777777" w:rsidR="0067740A" w:rsidRDefault="0067740A">
      <w:pPr>
        <w:pStyle w:val="af"/>
        <w:spacing w:line="360" w:lineRule="auto"/>
        <w:rPr>
          <w:rFonts w:ascii="Arial" w:hAnsi="Arial" w:cs="Arial"/>
        </w:rPr>
      </w:pPr>
      <w:bookmarkStart w:id="48" w:name="OLE_LINK70"/>
      <w:bookmarkStart w:id="49" w:name="OLE_LINK69"/>
      <w:bookmarkEnd w:id="45"/>
      <w:bookmarkEnd w:id="46"/>
      <w:bookmarkEnd w:id="47"/>
    </w:p>
    <w:p w14:paraId="4BC685EC" w14:textId="77777777" w:rsidR="0067740A" w:rsidRDefault="0067740A">
      <w:pPr>
        <w:pStyle w:val="af"/>
        <w:spacing w:line="360" w:lineRule="auto"/>
        <w:rPr>
          <w:rFonts w:ascii="Arial" w:hAnsi="Arial" w:cs="Arial"/>
        </w:rPr>
      </w:pPr>
    </w:p>
    <w:p w14:paraId="1A0C862E" w14:textId="77777777" w:rsidR="0067740A" w:rsidRDefault="0067740A">
      <w:pPr>
        <w:pStyle w:val="af"/>
        <w:spacing w:line="360" w:lineRule="auto"/>
        <w:rPr>
          <w:rFonts w:ascii="Arial" w:hAnsi="Arial" w:cs="Arial"/>
        </w:rPr>
      </w:pPr>
    </w:p>
    <w:p w14:paraId="6D844536" w14:textId="77777777" w:rsidR="0067740A" w:rsidRDefault="0067740A">
      <w:pPr>
        <w:pStyle w:val="af"/>
        <w:spacing w:line="360" w:lineRule="auto"/>
        <w:rPr>
          <w:rFonts w:ascii="Arial" w:hAnsi="Arial" w:cs="Arial"/>
        </w:rPr>
      </w:pPr>
    </w:p>
    <w:p w14:paraId="066012CB" w14:textId="77777777" w:rsidR="0067740A" w:rsidRDefault="0067740A">
      <w:pPr>
        <w:pStyle w:val="af"/>
        <w:spacing w:line="360" w:lineRule="auto"/>
        <w:rPr>
          <w:rFonts w:ascii="Arial" w:hAnsi="Arial" w:cs="Arial"/>
        </w:rPr>
      </w:pPr>
    </w:p>
    <w:p w14:paraId="2EBDB80F" w14:textId="77777777" w:rsidR="0067740A" w:rsidRDefault="0067740A">
      <w:pPr>
        <w:pStyle w:val="af"/>
        <w:spacing w:line="360" w:lineRule="auto"/>
        <w:rPr>
          <w:rFonts w:ascii="Arial" w:hAnsi="Arial" w:cs="Arial"/>
        </w:rPr>
      </w:pPr>
    </w:p>
    <w:p w14:paraId="3F4AE7C6" w14:textId="77777777" w:rsidR="0067740A" w:rsidRDefault="0067740A">
      <w:pPr>
        <w:pStyle w:val="af"/>
        <w:spacing w:line="360" w:lineRule="auto"/>
        <w:rPr>
          <w:rFonts w:ascii="Arial" w:hAnsi="Arial" w:cs="Arial"/>
        </w:rPr>
      </w:pPr>
    </w:p>
    <w:p w14:paraId="37AA65FB" w14:textId="77777777" w:rsidR="0067740A" w:rsidRDefault="00000000">
      <w:pPr>
        <w:rPr>
          <w:rFonts w:ascii="Arial" w:hAnsi="Arial" w:cs="Arial"/>
        </w:rPr>
      </w:pPr>
      <w:r>
        <w:rPr>
          <w:rFonts w:ascii="Arial" w:hAnsi="Arial" w:cs="Arial"/>
        </w:rPr>
        <w:br w:type="page"/>
      </w:r>
    </w:p>
    <w:p w14:paraId="1F1719DD" w14:textId="77777777" w:rsidR="0067740A" w:rsidRDefault="00000000">
      <w:pPr>
        <w:pStyle w:val="2"/>
        <w:numPr>
          <w:ilvl w:val="1"/>
          <w:numId w:val="4"/>
        </w:numPr>
        <w:rPr>
          <w:rFonts w:ascii="Arial" w:hAnsi="Arial" w:cs="Arial"/>
          <w:szCs w:val="24"/>
        </w:rPr>
      </w:pPr>
      <w:bookmarkStart w:id="50" w:name="_Toc177666023"/>
      <w:r>
        <w:rPr>
          <w:rStyle w:val="af5"/>
          <w:rFonts w:ascii="Arial" w:hAnsi="Arial" w:cs="Arial"/>
          <w:b/>
          <w:bCs w:val="0"/>
          <w:szCs w:val="24"/>
        </w:rPr>
        <w:lastRenderedPageBreak/>
        <w:t>Sampling Strategy</w:t>
      </w:r>
      <w:bookmarkEnd w:id="50"/>
    </w:p>
    <w:p w14:paraId="5447F84B" w14:textId="77777777" w:rsidR="0067740A" w:rsidRDefault="00000000">
      <w:pPr>
        <w:pStyle w:val="af"/>
        <w:spacing w:line="360" w:lineRule="auto"/>
        <w:ind w:firstLine="567"/>
        <w:rPr>
          <w:rFonts w:ascii="Arial" w:hAnsi="Arial" w:cs="Arial"/>
        </w:rPr>
      </w:pPr>
      <w:r>
        <w:rPr>
          <w:rFonts w:ascii="Arial" w:hAnsi="Arial" w:cs="Arial"/>
        </w:rPr>
        <w:t>The sampling strategy employed in this research was meticulously designed to ensure that the data collected is representative of the target population of Chinese consumers who are most likely to engage with Volkswagen’s sustainability initiatives. Since the primary focus of the study is on understanding consumer perceptions of sustainability and how these perceptions influence the likelihood of purchasing electric vehicles, it was imperative to select a sample that encompassed consumers with sufficient knowledge, purchasing power, and exposure to Volkswagen’s sustainability messaging in China.</w:t>
      </w:r>
    </w:p>
    <w:p w14:paraId="680D3A3F" w14:textId="77777777" w:rsidR="0067740A" w:rsidRDefault="00000000">
      <w:pPr>
        <w:pStyle w:val="af"/>
        <w:spacing w:line="360" w:lineRule="auto"/>
        <w:ind w:firstLine="567"/>
        <w:rPr>
          <w:rFonts w:ascii="Arial" w:hAnsi="Arial" w:cs="Arial"/>
        </w:rPr>
      </w:pPr>
      <w:r>
        <w:rPr>
          <w:rFonts w:ascii="Arial" w:hAnsi="Arial" w:cs="Arial"/>
        </w:rPr>
        <w:t xml:space="preserve">The survey was distributed to a total of 411 respondents. This sample size is substantial enough to enable meaningful statistical analysis. It is appropriate for conducting a range of quantitative analyses, including hypothesis testing, and provides a reliable representation of the target demographic. Additionally, the sample size allows for the identification of trends and patterns in consumer perceptions and offers a robust foundation for examining relationships between variables, such as awareness of sustainability and purchasing intentions (Saunders et al., 2019). The determination of the sample size was based on the need to balance statistical power with the practical constraints of data collection. The 411 responses ensure that the study can confidently apply various statistical techniques such as cross-tabulations, correlation analysis, and regression </w:t>
      </w:r>
      <w:proofErr w:type="spellStart"/>
      <w:r>
        <w:rPr>
          <w:rFonts w:ascii="Arial" w:hAnsi="Arial" w:cs="Arial"/>
        </w:rPr>
        <w:t>modeling</w:t>
      </w:r>
      <w:proofErr w:type="spellEnd"/>
      <w:r>
        <w:rPr>
          <w:rFonts w:ascii="Arial" w:hAnsi="Arial" w:cs="Arial"/>
        </w:rPr>
        <w:t>, while also guaranteeing the reliability and generalisability of the findings.</w:t>
      </w:r>
    </w:p>
    <w:p w14:paraId="5E807D65" w14:textId="77777777" w:rsidR="0067740A" w:rsidRDefault="00000000">
      <w:pPr>
        <w:pStyle w:val="af"/>
        <w:spacing w:line="360" w:lineRule="auto"/>
        <w:ind w:firstLine="567"/>
        <w:rPr>
          <w:rFonts w:ascii="Arial" w:hAnsi="Arial" w:cs="Arial"/>
        </w:rPr>
      </w:pPr>
      <w:r>
        <w:rPr>
          <w:rFonts w:ascii="Arial" w:hAnsi="Arial" w:cs="Arial"/>
        </w:rPr>
        <w:t xml:space="preserve">The study adopted a purposive sampling method, targeting a demographic group most relevant to the research objectives. This non-probability sampling technique was chosen because it allows for the deliberate selection of respondents who meet specific criteria — in this case, Chinese consumers between the ages of 25 and 64, living in urban and suburban areas of major cities, and likely to have some familiarity with issues related to sustainability and electric vehicles (Palinkas et al., 2015). Purposive sampling is particularly well-suited for research that seeks to explore perceptions and </w:t>
      </w:r>
      <w:proofErr w:type="spellStart"/>
      <w:r>
        <w:rPr>
          <w:rFonts w:ascii="Arial" w:hAnsi="Arial" w:cs="Arial"/>
        </w:rPr>
        <w:t>behaviors</w:t>
      </w:r>
      <w:proofErr w:type="spellEnd"/>
      <w:r>
        <w:rPr>
          <w:rFonts w:ascii="Arial" w:hAnsi="Arial" w:cs="Arial"/>
        </w:rPr>
        <w:t xml:space="preserve"> within a defined context, such as the adoption of sustainability initiatives in the </w:t>
      </w:r>
      <w:r>
        <w:rPr>
          <w:rFonts w:ascii="Arial" w:hAnsi="Arial" w:cs="Arial"/>
        </w:rPr>
        <w:lastRenderedPageBreak/>
        <w:t xml:space="preserve">automotive industry. By focusing on individuals who possess relevant demographic and </w:t>
      </w:r>
      <w:proofErr w:type="spellStart"/>
      <w:r>
        <w:rPr>
          <w:rFonts w:ascii="Arial" w:hAnsi="Arial" w:cs="Arial"/>
        </w:rPr>
        <w:t>behavioral</w:t>
      </w:r>
      <w:proofErr w:type="spellEnd"/>
      <w:r>
        <w:rPr>
          <w:rFonts w:ascii="Arial" w:hAnsi="Arial" w:cs="Arial"/>
        </w:rPr>
        <w:t xml:space="preserve"> characteristics, the study ensures that the data collected is directly applicable to the research questions.</w:t>
      </w:r>
    </w:p>
    <w:p w14:paraId="025764DC" w14:textId="77777777" w:rsidR="0067740A" w:rsidRDefault="00000000">
      <w:pPr>
        <w:pStyle w:val="af"/>
        <w:spacing w:line="360" w:lineRule="auto"/>
        <w:ind w:firstLine="567"/>
        <w:rPr>
          <w:rFonts w:ascii="Arial" w:hAnsi="Arial" w:cs="Arial"/>
        </w:rPr>
      </w:pPr>
      <w:r>
        <w:rPr>
          <w:rFonts w:ascii="Arial" w:hAnsi="Arial" w:cs="Arial"/>
        </w:rPr>
        <w:t xml:space="preserve">The </w:t>
      </w:r>
      <w:proofErr w:type="spellStart"/>
      <w:r>
        <w:rPr>
          <w:rFonts w:ascii="Arial" w:hAnsi="Arial" w:cs="Arial"/>
        </w:rPr>
        <w:t>Wenjuanxing</w:t>
      </w:r>
      <w:proofErr w:type="spellEnd"/>
      <w:r>
        <w:rPr>
          <w:rFonts w:ascii="Arial" w:hAnsi="Arial" w:cs="Arial"/>
        </w:rPr>
        <w:t xml:space="preserve"> platform, a well-established online survey tool in China, was used to distribute the questionnaire. </w:t>
      </w:r>
      <w:proofErr w:type="spellStart"/>
      <w:r>
        <w:rPr>
          <w:rFonts w:ascii="Arial" w:hAnsi="Arial" w:cs="Arial"/>
        </w:rPr>
        <w:t>Wenjuanxing</w:t>
      </w:r>
      <w:proofErr w:type="spellEnd"/>
      <w:r>
        <w:rPr>
          <w:rFonts w:ascii="Arial" w:hAnsi="Arial" w:cs="Arial"/>
        </w:rPr>
        <w:t xml:space="preserve"> was selected for its ability to reach a broad and diverse audience while also offering the flexibility to target specific demographic groups. Through the platform, the survey was distributed across key urban </w:t>
      </w:r>
      <w:proofErr w:type="spellStart"/>
      <w:r>
        <w:rPr>
          <w:rFonts w:ascii="Arial" w:hAnsi="Arial" w:cs="Arial"/>
        </w:rPr>
        <w:t>centers</w:t>
      </w:r>
      <w:proofErr w:type="spellEnd"/>
      <w:r>
        <w:rPr>
          <w:rFonts w:ascii="Arial" w:hAnsi="Arial" w:cs="Arial"/>
        </w:rPr>
        <w:t xml:space="preserve"> such as Beijing, Shanghai, and other major cities that are central to Volkswagen’s market in China. This wide geographical distribution ensures that the sample reflects a diverse group of consumers, particularly those living in areas where awareness of sustainability initiatives is likely to be higher and where government incentives for electric vehicles are more prominent.</w:t>
      </w:r>
    </w:p>
    <w:p w14:paraId="6DC5053D" w14:textId="77777777" w:rsidR="0067740A" w:rsidRDefault="00000000">
      <w:pPr>
        <w:pStyle w:val="af"/>
        <w:spacing w:line="360" w:lineRule="auto"/>
        <w:ind w:firstLine="567"/>
        <w:rPr>
          <w:rFonts w:ascii="Arial" w:hAnsi="Arial" w:cs="Arial"/>
        </w:rPr>
      </w:pPr>
      <w:r>
        <w:rPr>
          <w:rFonts w:ascii="Arial" w:hAnsi="Arial" w:cs="Arial"/>
        </w:rPr>
        <w:t>The selected respondents represented a wide range of educational and income backgrounds, with a particular focus on middle- to high-income individuals and those with higher levels of education. These demographics are especially relevant to the research, as they are more likely to engage with sustainability practices and constitute the key market for electric vehicles.</w:t>
      </w:r>
    </w:p>
    <w:p w14:paraId="3A66F3A4" w14:textId="77777777" w:rsidR="0067740A" w:rsidRDefault="00000000">
      <w:pPr>
        <w:pStyle w:val="af"/>
        <w:spacing w:line="360" w:lineRule="auto"/>
        <w:ind w:firstLine="567"/>
        <w:rPr>
          <w:rFonts w:ascii="Arial" w:hAnsi="Arial" w:cs="Arial"/>
        </w:rPr>
      </w:pPr>
      <w:r>
        <w:rPr>
          <w:rFonts w:ascii="Arial" w:hAnsi="Arial" w:cs="Arial"/>
        </w:rPr>
        <w:t>With respect to age, the majority of respondents fell within the 25 to 44-year-old age group, with 35.77% of participants in the 25-34 age range and 30.17% in the 35-44 range. This demographic is particularly significant as it includes consumers who are financially capable of purchasing electric vehicles and are likely to be more engaged with sustainability initiatives. This age group is also more likely to respond to corporate sustainability efforts in their purchasing decisions.</w:t>
      </w:r>
    </w:p>
    <w:p w14:paraId="1A9DBC5D" w14:textId="77777777" w:rsidR="0067740A" w:rsidRDefault="00000000">
      <w:pPr>
        <w:pStyle w:val="af"/>
        <w:spacing w:line="360" w:lineRule="auto"/>
        <w:ind w:firstLine="567"/>
        <w:rPr>
          <w:rFonts w:ascii="Arial" w:hAnsi="Arial" w:cs="Arial"/>
        </w:rPr>
      </w:pPr>
      <w:r>
        <w:rPr>
          <w:rFonts w:ascii="Arial" w:hAnsi="Arial" w:cs="Arial"/>
        </w:rPr>
        <w:t xml:space="preserve">In terms of gender, the respondent pool was relatively balanced, with 50.85% identifying as male and 49.15% identifying as female. This balance ensures that the study captures perceptions from both male and female consumers, providing a comprehensive view of consumer </w:t>
      </w:r>
      <w:proofErr w:type="spellStart"/>
      <w:r>
        <w:rPr>
          <w:rFonts w:ascii="Arial" w:hAnsi="Arial" w:cs="Arial"/>
        </w:rPr>
        <w:t>behavior</w:t>
      </w:r>
      <w:proofErr w:type="spellEnd"/>
      <w:r>
        <w:rPr>
          <w:rFonts w:ascii="Arial" w:hAnsi="Arial" w:cs="Arial"/>
        </w:rPr>
        <w:t xml:space="preserve"> across genders.</w:t>
      </w:r>
    </w:p>
    <w:p w14:paraId="304FF0D6" w14:textId="77777777" w:rsidR="0067740A" w:rsidRDefault="00000000">
      <w:pPr>
        <w:pStyle w:val="af"/>
        <w:spacing w:line="360" w:lineRule="auto"/>
        <w:ind w:firstLine="567"/>
        <w:rPr>
          <w:rFonts w:ascii="Arial" w:hAnsi="Arial" w:cs="Arial"/>
        </w:rPr>
      </w:pPr>
      <w:r>
        <w:rPr>
          <w:rFonts w:ascii="Arial" w:hAnsi="Arial" w:cs="Arial"/>
        </w:rPr>
        <w:lastRenderedPageBreak/>
        <w:t xml:space="preserve">Education level was another key variable. A significant portion of the respondents held at least an associate degree, with 36.98% having this qualification, followed by 25.30% holding a bachelor’s degree, and 12.17% holding a master’s degree. This reflects a well-educated group of respondents, which is critical given the focus on sustainability. Consumers with higher levels of education are more likely to be aware of and engage with corporate sustainability efforts, making them an essential group for understanding how sustainability initiatives affect consumer </w:t>
      </w:r>
      <w:proofErr w:type="spellStart"/>
      <w:r>
        <w:rPr>
          <w:rFonts w:ascii="Arial" w:hAnsi="Arial" w:cs="Arial"/>
        </w:rPr>
        <w:t>behavior</w:t>
      </w:r>
      <w:proofErr w:type="spellEnd"/>
      <w:r>
        <w:rPr>
          <w:rFonts w:ascii="Arial" w:hAnsi="Arial" w:cs="Arial"/>
        </w:rPr>
        <w:t>.</w:t>
      </w:r>
    </w:p>
    <w:p w14:paraId="05D70C4D" w14:textId="77777777" w:rsidR="0067740A" w:rsidRDefault="00000000">
      <w:pPr>
        <w:pStyle w:val="af"/>
        <w:spacing w:line="360" w:lineRule="auto"/>
        <w:ind w:firstLine="567"/>
        <w:rPr>
          <w:rFonts w:ascii="Arial" w:hAnsi="Arial" w:cs="Arial"/>
        </w:rPr>
      </w:pPr>
      <w:r>
        <w:rPr>
          <w:rFonts w:ascii="Arial" w:hAnsi="Arial" w:cs="Arial"/>
        </w:rPr>
        <w:t xml:space="preserve">Income levels were also diverse, with 29.20% of respondents reporting annual incomes between ¥100,001 and ¥200,000, and 28.22% reporting incomes of over ¥500,000. The focus on middle- and high-income groups is particularly relevant, as these individuals are more likely to be able to afford electric vehicles and to engage with Volkswagen’s sustainability initiatives. Given that electric vehicles typically require a higher upfront investment compared to traditional vehicles, it was essential to target consumers with sufficient purchasing power to gauge how sustainability initiatives influence buying </w:t>
      </w:r>
      <w:proofErr w:type="spellStart"/>
      <w:r>
        <w:rPr>
          <w:rFonts w:ascii="Arial" w:hAnsi="Arial" w:cs="Arial"/>
        </w:rPr>
        <w:t>behavior</w:t>
      </w:r>
      <w:proofErr w:type="spellEnd"/>
      <w:r>
        <w:rPr>
          <w:rFonts w:ascii="Arial" w:hAnsi="Arial" w:cs="Arial"/>
        </w:rPr>
        <w:t>.</w:t>
      </w:r>
    </w:p>
    <w:p w14:paraId="25FF8F2F" w14:textId="77777777" w:rsidR="0067740A" w:rsidRDefault="00000000">
      <w:pPr>
        <w:pStyle w:val="af"/>
        <w:spacing w:line="360" w:lineRule="auto"/>
        <w:ind w:firstLine="567"/>
        <w:rPr>
          <w:rFonts w:ascii="Arial" w:hAnsi="Arial" w:cs="Arial"/>
        </w:rPr>
      </w:pPr>
      <w:r>
        <w:rPr>
          <w:rFonts w:ascii="Arial" w:hAnsi="Arial" w:cs="Arial"/>
        </w:rPr>
        <w:t>Geographically, the majority of respondents resided in urban (35.77%) and suburban (31.87%) areas, with a smaller portion (32.36%) coming from rural areas. This urban and suburban focus is critical, as residents in these areas are more likely to be exposed to government-led environmental campaigns, incentives for electric vehicle purchases, and better infrastructure for electric vehicles, such as charging stations. Consumers in these areas are also more attuned to the environmental and economic benefits of electric vehicles, making them the ideal target group for understanding the impact of Volkswagen’s sustainability efforts.</w:t>
      </w:r>
    </w:p>
    <w:p w14:paraId="5824D42A" w14:textId="77777777" w:rsidR="0067740A" w:rsidRDefault="00000000">
      <w:pPr>
        <w:pStyle w:val="af"/>
        <w:spacing w:line="360" w:lineRule="auto"/>
        <w:ind w:firstLine="567"/>
        <w:rPr>
          <w:rFonts w:ascii="Arial" w:hAnsi="Arial" w:cs="Arial"/>
        </w:rPr>
      </w:pPr>
      <w:r>
        <w:rPr>
          <w:rFonts w:ascii="Arial" w:hAnsi="Arial" w:cs="Arial"/>
        </w:rPr>
        <w:t xml:space="preserve">The use of purposive sampling, combined with the reach of the </w:t>
      </w:r>
      <w:proofErr w:type="spellStart"/>
      <w:r>
        <w:rPr>
          <w:rFonts w:ascii="Arial" w:hAnsi="Arial" w:cs="Arial"/>
        </w:rPr>
        <w:t>Wenjuanxing</w:t>
      </w:r>
      <w:proofErr w:type="spellEnd"/>
      <w:r>
        <w:rPr>
          <w:rFonts w:ascii="Arial" w:hAnsi="Arial" w:cs="Arial"/>
        </w:rPr>
        <w:t xml:space="preserve"> platform, ensured that the research targeted a relevant and informed group of respondents. By focusing on middle- to high-income, well-educated consumers in urban and suburban areas, the study’s findings are directly applicable to Volkswagen’s core market in China. This sampling strategy aligns with the primary research objective of </w:t>
      </w:r>
      <w:r>
        <w:rPr>
          <w:rFonts w:ascii="Arial" w:hAnsi="Arial" w:cs="Arial"/>
        </w:rPr>
        <w:lastRenderedPageBreak/>
        <w:t>understanding the impact of sustainability initiatives on consumer behaviour, particularly with respect to the adoption of electric vehicles.</w:t>
      </w:r>
    </w:p>
    <w:p w14:paraId="17EC4426" w14:textId="77777777" w:rsidR="0067740A" w:rsidRDefault="00000000">
      <w:pPr>
        <w:pStyle w:val="af"/>
        <w:spacing w:line="360" w:lineRule="auto"/>
        <w:ind w:firstLine="567"/>
        <w:rPr>
          <w:rFonts w:ascii="Arial" w:hAnsi="Arial" w:cs="Arial"/>
        </w:rPr>
      </w:pPr>
      <w:r>
        <w:rPr>
          <w:rFonts w:ascii="Arial" w:hAnsi="Arial" w:cs="Arial"/>
        </w:rPr>
        <w:t>The data gathered from this representative sample will provide the foundation for testing the hypotheses outlined earlier in the study, including the relationship between sustainability awareness and purchasing intention. The following section will detail the data analysis techniques used to evaluate the responses collected through this sampling strategy, ensuring that the research provides meaningful and actionable insights into consumer perceptions of Volkswagen’s sustainability initiatives.</w:t>
      </w:r>
    </w:p>
    <w:p w14:paraId="5DFF2711" w14:textId="77777777" w:rsidR="0067740A" w:rsidRDefault="00000000">
      <w:pPr>
        <w:rPr>
          <w:rFonts w:ascii="Arial" w:hAnsi="Arial" w:cs="Arial"/>
        </w:rPr>
      </w:pPr>
      <w:r>
        <w:rPr>
          <w:rFonts w:ascii="Arial" w:hAnsi="Arial" w:cs="Arial"/>
        </w:rPr>
        <w:br w:type="page"/>
      </w:r>
    </w:p>
    <w:p w14:paraId="208A9909" w14:textId="77777777" w:rsidR="0067740A" w:rsidRDefault="00000000">
      <w:pPr>
        <w:pStyle w:val="2"/>
        <w:numPr>
          <w:ilvl w:val="1"/>
          <w:numId w:val="4"/>
        </w:numPr>
        <w:rPr>
          <w:rStyle w:val="30"/>
          <w:rFonts w:ascii="Arial" w:hAnsi="Arial" w:cs="Arial"/>
          <w:b/>
          <w:szCs w:val="24"/>
        </w:rPr>
      </w:pPr>
      <w:bookmarkStart w:id="51" w:name="_Toc177666024"/>
      <w:bookmarkStart w:id="52" w:name="OLE_LINK72"/>
      <w:bookmarkStart w:id="53" w:name="OLE_LINK71"/>
      <w:bookmarkStart w:id="54" w:name="OLE_LINK73"/>
      <w:bookmarkEnd w:id="48"/>
      <w:bookmarkEnd w:id="49"/>
      <w:r>
        <w:rPr>
          <w:rStyle w:val="30"/>
          <w:rFonts w:ascii="Arial" w:hAnsi="Arial" w:cs="Arial"/>
          <w:b/>
          <w:szCs w:val="24"/>
        </w:rPr>
        <w:lastRenderedPageBreak/>
        <w:t>Data Analysis Techniques</w:t>
      </w:r>
      <w:bookmarkEnd w:id="51"/>
    </w:p>
    <w:p w14:paraId="001DAA4B" w14:textId="77777777" w:rsidR="0067740A" w:rsidRDefault="00000000">
      <w:pPr>
        <w:pStyle w:val="af"/>
        <w:spacing w:line="360" w:lineRule="auto"/>
        <w:ind w:firstLine="567"/>
        <w:rPr>
          <w:rFonts w:ascii="Arial" w:hAnsi="Arial" w:cs="Arial"/>
        </w:rPr>
      </w:pPr>
      <w:r>
        <w:rPr>
          <w:rStyle w:val="30"/>
          <w:rFonts w:ascii="Arial" w:hAnsi="Arial" w:cs="Arial"/>
          <w:szCs w:val="24"/>
        </w:rPr>
        <w:t xml:space="preserve"> </w:t>
      </w:r>
      <w:r>
        <w:rPr>
          <w:rFonts w:ascii="Arial" w:hAnsi="Arial" w:cs="Arial"/>
        </w:rPr>
        <w:t>In this study, both quantitative and qualitative data were analysed to provide a comprehensive understanding of Chinese consumer perceptions of Volkswagen’s sustainability initiatives and their impact on purchasing decisions. The use of descriptive statistics for the quantitative survey data, alongside thematic coding for the qualitative interview responses, allowed for a robust, multi-dimensional analysis addressing the research questions and hypotheses.</w:t>
      </w:r>
    </w:p>
    <w:p w14:paraId="0D1A9F52" w14:textId="77777777" w:rsidR="0067740A" w:rsidRDefault="00000000">
      <w:pPr>
        <w:pStyle w:val="af"/>
        <w:spacing w:line="360" w:lineRule="auto"/>
        <w:ind w:firstLine="567"/>
        <w:rPr>
          <w:rFonts w:ascii="Arial" w:hAnsi="Arial" w:cs="Arial"/>
        </w:rPr>
      </w:pPr>
      <w:r>
        <w:rPr>
          <w:rFonts w:ascii="Arial" w:hAnsi="Arial" w:cs="Arial"/>
        </w:rPr>
        <w:t xml:space="preserve">The quantitative data was collected through a structured online survey distributed via the </w:t>
      </w:r>
      <w:proofErr w:type="spellStart"/>
      <w:r>
        <w:rPr>
          <w:rFonts w:ascii="Arial" w:hAnsi="Arial" w:cs="Arial"/>
        </w:rPr>
        <w:t>Wenjuanxing</w:t>
      </w:r>
      <w:proofErr w:type="spellEnd"/>
      <w:r>
        <w:rPr>
          <w:rFonts w:ascii="Arial" w:hAnsi="Arial" w:cs="Arial"/>
        </w:rPr>
        <w:t xml:space="preserve"> platform to Chinese consumers aged 25-64, primarily in urban and suburban areas, focusing on respondents from major cities like Beijing and Shanghai. Descriptive statistics were employed to analyse the responses, offering insights into the demographic profiles of the respondents as well as their awareness, perceptions, and purchasing intentions regarding Volkswagen’s sustainability initiatives. Frequency distributions, percentages, and cumulative percentages were calculated for each survey question, which helped summarise the data. For instance, a significant portion of respondents (33.82%) reported being extremely familiar with Volkswagen’s sustainability efforts, such as electric vehicles and green manufacturing, while 34.31% indicated they were very familiar. Additionally, 58.39% of respondents considered price to be a very or extremely important factor in their car purchasing decisions. These statistics provided a foundational understanding of the key factors that influence consumer behaviour, such as sustainability, price, and brand reputation.</w:t>
      </w:r>
    </w:p>
    <w:p w14:paraId="515EB660" w14:textId="77777777" w:rsidR="0067740A" w:rsidRDefault="00000000">
      <w:pPr>
        <w:spacing w:line="360" w:lineRule="auto"/>
        <w:ind w:firstLine="567"/>
        <w:rPr>
          <w:rFonts w:ascii="Arial" w:hAnsi="Arial" w:cs="Arial"/>
          <w:b/>
          <w:bCs/>
        </w:rPr>
      </w:pPr>
      <w:r>
        <w:rPr>
          <w:rFonts w:ascii="Arial" w:hAnsi="Arial" w:cs="Arial"/>
          <w:b/>
          <w:bCs/>
        </w:rPr>
        <w:t>Hypothesis Testing</w:t>
      </w:r>
    </w:p>
    <w:p w14:paraId="398761D3" w14:textId="77777777" w:rsidR="0067740A" w:rsidRDefault="00000000">
      <w:pPr>
        <w:pStyle w:val="af"/>
        <w:spacing w:line="360" w:lineRule="auto"/>
        <w:ind w:firstLine="567"/>
        <w:rPr>
          <w:rFonts w:ascii="Arial" w:hAnsi="Arial" w:cs="Arial"/>
        </w:rPr>
      </w:pPr>
      <w:r>
        <w:rPr>
          <w:rFonts w:ascii="Arial" w:hAnsi="Arial" w:cs="Arial"/>
        </w:rPr>
        <w:t>The quantitative analysis involved testing the following hypotheses:</w:t>
      </w:r>
    </w:p>
    <w:p w14:paraId="19C0A7DB" w14:textId="77777777" w:rsidR="0067740A" w:rsidRDefault="00000000" w:rsidP="00BE1F3A">
      <w:pPr>
        <w:tabs>
          <w:tab w:val="left" w:pos="720"/>
        </w:tabs>
        <w:spacing w:before="100" w:beforeAutospacing="1" w:after="100" w:afterAutospacing="1" w:line="360" w:lineRule="auto"/>
        <w:ind w:leftChars="236" w:left="566" w:firstLineChars="493" w:firstLine="1206"/>
        <w:rPr>
          <w:rFonts w:ascii="Arial" w:hAnsi="Arial" w:cs="Arial"/>
        </w:rPr>
      </w:pPr>
      <w:r>
        <w:rPr>
          <w:rStyle w:val="af5"/>
          <w:rFonts w:ascii="Arial" w:hAnsi="Arial" w:cs="Arial"/>
        </w:rPr>
        <w:t>H1</w:t>
      </w:r>
      <w:r>
        <w:rPr>
          <w:rFonts w:ascii="Arial" w:hAnsi="Arial" w:cs="Arial"/>
        </w:rPr>
        <w:t>: There is a positive relationship between awareness of Volkswagen’s sustainability initiatives and the likelihood of purchasing a Volkswagen vehicle. This was tested using responses from Question 6 (Awareness of Sustainability Initiatives) and Question 14 (Purchase Intention).</w:t>
      </w:r>
    </w:p>
    <w:p w14:paraId="4D13CAB4" w14:textId="77777777" w:rsidR="0067740A" w:rsidRDefault="00000000" w:rsidP="00BE1F3A">
      <w:pPr>
        <w:tabs>
          <w:tab w:val="left" w:pos="720"/>
        </w:tabs>
        <w:spacing w:before="100" w:beforeAutospacing="1" w:after="100" w:afterAutospacing="1" w:line="360" w:lineRule="auto"/>
        <w:ind w:leftChars="236" w:left="566" w:firstLineChars="493" w:firstLine="1206"/>
        <w:rPr>
          <w:rFonts w:ascii="Arial" w:hAnsi="Arial" w:cs="Arial"/>
        </w:rPr>
      </w:pPr>
      <w:r>
        <w:rPr>
          <w:rStyle w:val="af5"/>
          <w:rFonts w:ascii="Arial" w:hAnsi="Arial" w:cs="Arial"/>
        </w:rPr>
        <w:lastRenderedPageBreak/>
        <w:t>H2</w:t>
      </w:r>
      <w:r>
        <w:rPr>
          <w:rFonts w:ascii="Arial" w:hAnsi="Arial" w:cs="Arial"/>
        </w:rPr>
        <w:t>: Consumers who perceive Volkswagen’s sustainability initiatives as genuine are more likely to have a positive perception of the brand. This hypothesis was tested using Question 8 (Perception of Genuineness) and Question 11 (Brand Perception).</w:t>
      </w:r>
    </w:p>
    <w:p w14:paraId="0B543229" w14:textId="77777777" w:rsidR="0067740A" w:rsidRDefault="00000000" w:rsidP="00BE1F3A">
      <w:pPr>
        <w:tabs>
          <w:tab w:val="left" w:pos="720"/>
        </w:tabs>
        <w:spacing w:before="100" w:beforeAutospacing="1" w:after="100" w:afterAutospacing="1" w:line="360" w:lineRule="auto"/>
        <w:ind w:leftChars="236" w:left="566" w:firstLineChars="493" w:firstLine="1206"/>
        <w:rPr>
          <w:rFonts w:ascii="Arial" w:hAnsi="Arial" w:cs="Arial"/>
        </w:rPr>
      </w:pPr>
      <w:r>
        <w:rPr>
          <w:rStyle w:val="af5"/>
          <w:rFonts w:ascii="Arial" w:hAnsi="Arial" w:cs="Arial"/>
        </w:rPr>
        <w:t>H3</w:t>
      </w:r>
      <w:r>
        <w:rPr>
          <w:rFonts w:ascii="Arial" w:hAnsi="Arial" w:cs="Arial"/>
        </w:rPr>
        <w:t>: Higher environmental awareness among consumers is associated with a greater willingness to pay for Volkswagen’s electric vehicles. This was evaluated using data from Question 18 (Environmental Impact) and Question 15 (Willingness to Purchase EV).</w:t>
      </w:r>
    </w:p>
    <w:p w14:paraId="38150F69" w14:textId="77777777" w:rsidR="0067740A" w:rsidRDefault="00000000" w:rsidP="00BE1F3A">
      <w:pPr>
        <w:tabs>
          <w:tab w:val="left" w:pos="720"/>
        </w:tabs>
        <w:spacing w:before="100" w:beforeAutospacing="1" w:after="100" w:afterAutospacing="1" w:line="360" w:lineRule="auto"/>
        <w:ind w:leftChars="236" w:left="566" w:firstLineChars="493" w:firstLine="1206"/>
        <w:rPr>
          <w:rFonts w:ascii="Arial" w:hAnsi="Arial" w:cs="Arial"/>
        </w:rPr>
      </w:pPr>
      <w:r>
        <w:rPr>
          <w:rStyle w:val="af5"/>
          <w:rFonts w:ascii="Arial" w:hAnsi="Arial" w:cs="Arial"/>
        </w:rPr>
        <w:t>H4</w:t>
      </w:r>
      <w:r>
        <w:rPr>
          <w:rFonts w:ascii="Arial" w:hAnsi="Arial" w:cs="Arial"/>
        </w:rPr>
        <w:t>: The perceived importance of environmental impact influences the likelihood of purchasing Volkswagen’s electric vehicles. This was tested using Question 9 (Importance of Environmental Impact) and Question 15 (Likelihood to Purchase EV).</w:t>
      </w:r>
    </w:p>
    <w:p w14:paraId="1AFCF1AF" w14:textId="77777777" w:rsidR="0067740A" w:rsidRDefault="00000000" w:rsidP="00BE1F3A">
      <w:pPr>
        <w:tabs>
          <w:tab w:val="left" w:pos="720"/>
        </w:tabs>
        <w:spacing w:before="100" w:beforeAutospacing="1" w:after="100" w:afterAutospacing="1" w:line="360" w:lineRule="auto"/>
        <w:ind w:leftChars="236" w:left="566" w:firstLineChars="493" w:firstLine="1206"/>
        <w:rPr>
          <w:rFonts w:ascii="Arial" w:hAnsi="Arial" w:cs="Arial"/>
        </w:rPr>
      </w:pPr>
      <w:r>
        <w:rPr>
          <w:rStyle w:val="af5"/>
          <w:rFonts w:ascii="Arial" w:hAnsi="Arial" w:cs="Arial"/>
        </w:rPr>
        <w:t>H5</w:t>
      </w:r>
      <w:r>
        <w:rPr>
          <w:rFonts w:ascii="Arial" w:hAnsi="Arial" w:cs="Arial"/>
        </w:rPr>
        <w:t>: Positive perceptions of Volkswagen’s green manufacturing practices increase consumer loyalty to the brand. This was examined using Question 8 (Perception of Green Manufacturing) and Question 14 (Future Purchase Intention).</w:t>
      </w:r>
    </w:p>
    <w:p w14:paraId="74D08570" w14:textId="77777777" w:rsidR="0067740A" w:rsidRDefault="00000000" w:rsidP="00BE1F3A">
      <w:pPr>
        <w:tabs>
          <w:tab w:val="left" w:pos="720"/>
        </w:tabs>
        <w:spacing w:before="100" w:beforeAutospacing="1" w:after="100" w:afterAutospacing="1" w:line="360" w:lineRule="auto"/>
        <w:ind w:leftChars="236" w:left="566" w:firstLineChars="493" w:firstLine="1206"/>
        <w:rPr>
          <w:rFonts w:ascii="Arial" w:hAnsi="Arial" w:cs="Arial"/>
        </w:rPr>
      </w:pPr>
      <w:r>
        <w:rPr>
          <w:rStyle w:val="af5"/>
          <w:rFonts w:ascii="Arial" w:hAnsi="Arial" w:cs="Arial"/>
        </w:rPr>
        <w:t>H6</w:t>
      </w:r>
      <w:r>
        <w:rPr>
          <w:rFonts w:ascii="Arial" w:hAnsi="Arial" w:cs="Arial"/>
        </w:rPr>
        <w:t>: Consumers who rate Volkswagen highly on environmental impact and innovation are more likely to consider purchasing their electric vehicles. This hypothesis was tested using Question 10 (Performance Ratings) and Question 15 (Likelihood to Purchase EV).</w:t>
      </w:r>
    </w:p>
    <w:p w14:paraId="7E9C02BC" w14:textId="77777777" w:rsidR="0067740A" w:rsidRDefault="00000000">
      <w:pPr>
        <w:pStyle w:val="af"/>
        <w:spacing w:line="360" w:lineRule="auto"/>
        <w:ind w:firstLine="567"/>
        <w:rPr>
          <w:rFonts w:ascii="Arial" w:hAnsi="Arial" w:cs="Arial"/>
        </w:rPr>
      </w:pPr>
      <w:r>
        <w:rPr>
          <w:rFonts w:ascii="Arial" w:hAnsi="Arial" w:cs="Arial"/>
        </w:rPr>
        <w:t xml:space="preserve">These hypotheses were evaluated through cross-tabulation and correlation analysis to determine whether significant relationships existed between key variables. For instance, the relationship between awareness of sustainability initiatives (Question 6) and purchase intention (Question 14) was explored through cross-tabulation to assess whether higher levels of awareness correlated with an increased likelihood of purchasing a Volkswagen vehicle. Similarly, the correlation between perceptions of Volkswagen’s green manufacturing practices (Question 8) and future purchase intention </w:t>
      </w:r>
      <w:r>
        <w:rPr>
          <w:rFonts w:ascii="Arial" w:hAnsi="Arial" w:cs="Arial"/>
        </w:rPr>
        <w:lastRenderedPageBreak/>
        <w:t>(Question 14) was analysed to assess whether positive perceptions resulted in greater consumer loyalty.</w:t>
      </w:r>
    </w:p>
    <w:p w14:paraId="4221D976" w14:textId="77777777" w:rsidR="0067740A" w:rsidRDefault="00000000">
      <w:pPr>
        <w:spacing w:line="360" w:lineRule="auto"/>
        <w:ind w:firstLine="567"/>
        <w:rPr>
          <w:rFonts w:ascii="Arial" w:hAnsi="Arial" w:cs="Arial"/>
          <w:b/>
          <w:bCs/>
        </w:rPr>
      </w:pPr>
      <w:r>
        <w:rPr>
          <w:rFonts w:ascii="Arial" w:hAnsi="Arial" w:cs="Arial"/>
          <w:b/>
          <w:bCs/>
        </w:rPr>
        <w:t>Qualitative Data Analysis</w:t>
      </w:r>
    </w:p>
    <w:p w14:paraId="27A064C0" w14:textId="77777777" w:rsidR="0067740A" w:rsidRDefault="00000000">
      <w:pPr>
        <w:spacing w:line="360" w:lineRule="auto"/>
        <w:ind w:firstLine="567"/>
        <w:rPr>
          <w:rFonts w:ascii="Arial" w:hAnsi="Arial" w:cs="Arial"/>
        </w:rPr>
      </w:pPr>
      <w:r>
        <w:rPr>
          <w:rFonts w:ascii="Arial" w:hAnsi="Arial" w:cs="Arial"/>
        </w:rPr>
        <w:t>In addition to the quantitative data, qualitative data was gathered through semi-structured interviews with a subset of survey respondents. These interviews provided deeper insights into how consumers perceive Volkswagen’s sustainability initiatives and their motivations for purchasing or not purchasing Volkswagen vehicles.</w:t>
      </w:r>
    </w:p>
    <w:p w14:paraId="4F45EE45" w14:textId="77777777" w:rsidR="0067740A" w:rsidRDefault="0067740A">
      <w:pPr>
        <w:spacing w:line="360" w:lineRule="auto"/>
        <w:ind w:firstLine="567"/>
        <w:rPr>
          <w:rFonts w:ascii="Arial" w:hAnsi="Arial" w:cs="Arial"/>
        </w:rPr>
      </w:pPr>
    </w:p>
    <w:p w14:paraId="48D2A2B6" w14:textId="77777777" w:rsidR="0067740A" w:rsidRDefault="00000000">
      <w:pPr>
        <w:spacing w:line="360" w:lineRule="auto"/>
        <w:ind w:firstLine="567"/>
        <w:rPr>
          <w:rFonts w:ascii="Arial" w:hAnsi="Arial" w:cs="Arial"/>
          <w:b/>
          <w:bCs/>
        </w:rPr>
      </w:pPr>
      <w:r>
        <w:rPr>
          <w:rFonts w:ascii="Arial" w:hAnsi="Arial" w:cs="Arial"/>
          <w:b/>
          <w:bCs/>
        </w:rPr>
        <w:t>Interview Process</w:t>
      </w:r>
    </w:p>
    <w:p w14:paraId="53B8EB32" w14:textId="77777777" w:rsidR="0067740A" w:rsidRDefault="00000000">
      <w:pPr>
        <w:pStyle w:val="af"/>
        <w:spacing w:line="360" w:lineRule="auto"/>
        <w:ind w:firstLine="567"/>
        <w:rPr>
          <w:rFonts w:ascii="Arial" w:hAnsi="Arial" w:cs="Arial"/>
        </w:rPr>
      </w:pPr>
      <w:r>
        <w:rPr>
          <w:rFonts w:ascii="Arial" w:hAnsi="Arial" w:cs="Arial"/>
        </w:rPr>
        <w:t>The interview process included the following key questions:</w:t>
      </w:r>
    </w:p>
    <w:p w14:paraId="7823B726" w14:textId="77777777" w:rsidR="0067740A" w:rsidRDefault="00000000">
      <w:pPr>
        <w:numPr>
          <w:ilvl w:val="0"/>
          <w:numId w:val="7"/>
        </w:numPr>
        <w:spacing w:before="100" w:beforeAutospacing="1" w:after="100" w:afterAutospacing="1" w:line="360" w:lineRule="auto"/>
        <w:ind w:firstLine="567"/>
        <w:rPr>
          <w:rFonts w:ascii="Arial" w:hAnsi="Arial" w:cs="Arial"/>
        </w:rPr>
      </w:pPr>
      <w:r>
        <w:rPr>
          <w:rStyle w:val="af5"/>
          <w:rFonts w:ascii="Arial" w:hAnsi="Arial" w:cs="Arial"/>
        </w:rPr>
        <w:t>Perception of Sustainability Initiatives</w:t>
      </w:r>
      <w:r>
        <w:rPr>
          <w:rFonts w:ascii="Arial" w:hAnsi="Arial" w:cs="Arial"/>
        </w:rPr>
        <w:t>: "How do you perceive Volkswagen’s sustainability initiatives? Do you believe they are genuine or merely a marketing strategy?"</w:t>
      </w:r>
    </w:p>
    <w:p w14:paraId="0D3632C8" w14:textId="77777777" w:rsidR="0067740A" w:rsidRDefault="00000000">
      <w:pPr>
        <w:numPr>
          <w:ilvl w:val="0"/>
          <w:numId w:val="7"/>
        </w:numPr>
        <w:spacing w:before="100" w:beforeAutospacing="1" w:after="100" w:afterAutospacing="1" w:line="360" w:lineRule="auto"/>
        <w:ind w:firstLine="567"/>
        <w:rPr>
          <w:rFonts w:ascii="Arial" w:hAnsi="Arial" w:cs="Arial"/>
        </w:rPr>
      </w:pPr>
      <w:r>
        <w:rPr>
          <w:rStyle w:val="af5"/>
          <w:rFonts w:ascii="Arial" w:hAnsi="Arial" w:cs="Arial"/>
        </w:rPr>
        <w:t>Influence on Purchase Decisions</w:t>
      </w:r>
      <w:r>
        <w:rPr>
          <w:rFonts w:ascii="Arial" w:hAnsi="Arial" w:cs="Arial"/>
        </w:rPr>
        <w:t>: "Have Volkswagen’s sustainability initiatives influenced your decision to purchase their products? If so, how?"</w:t>
      </w:r>
    </w:p>
    <w:p w14:paraId="7346CD70" w14:textId="77777777" w:rsidR="0067740A" w:rsidRDefault="00000000">
      <w:pPr>
        <w:numPr>
          <w:ilvl w:val="0"/>
          <w:numId w:val="7"/>
        </w:numPr>
        <w:spacing w:before="100" w:beforeAutospacing="1" w:after="100" w:afterAutospacing="1" w:line="360" w:lineRule="auto"/>
        <w:ind w:firstLine="567"/>
        <w:rPr>
          <w:rFonts w:ascii="Arial" w:hAnsi="Arial" w:cs="Arial"/>
        </w:rPr>
      </w:pPr>
      <w:r>
        <w:rPr>
          <w:rStyle w:val="af5"/>
          <w:rFonts w:ascii="Arial" w:hAnsi="Arial" w:cs="Arial"/>
        </w:rPr>
        <w:t>Suggestions for Improvement</w:t>
      </w:r>
      <w:r>
        <w:rPr>
          <w:rFonts w:ascii="Arial" w:hAnsi="Arial" w:cs="Arial"/>
        </w:rPr>
        <w:t>: "What improvements or additional sustainability initiatives would make you more likely to buy from Volkswagen?"</w:t>
      </w:r>
    </w:p>
    <w:p w14:paraId="7E443706" w14:textId="77777777" w:rsidR="0067740A" w:rsidRDefault="00000000">
      <w:pPr>
        <w:pStyle w:val="af"/>
        <w:spacing w:line="360" w:lineRule="auto"/>
        <w:ind w:firstLine="567"/>
        <w:rPr>
          <w:rFonts w:ascii="Arial" w:hAnsi="Arial" w:cs="Arial"/>
        </w:rPr>
      </w:pPr>
      <w:r>
        <w:rPr>
          <w:rFonts w:ascii="Arial" w:hAnsi="Arial" w:cs="Arial"/>
        </w:rPr>
        <w:t xml:space="preserve">The interview data was transcribed and analysed using thematic coding. This involved identifying recurring themes and patterns within the responses. Each segment of the interview transcript was assigned an initial code, which was later grouped into broader themes that captured key ideas across the interviews. Several themes emerged from the analysis, including trust in Volkswagen’s sustainability initiatives, scepticism about the genuineness of these efforts, and the influence of price on purchasing decisions. </w:t>
      </w:r>
    </w:p>
    <w:p w14:paraId="19FFCC41" w14:textId="77777777" w:rsidR="0067740A" w:rsidRDefault="00000000">
      <w:pPr>
        <w:pStyle w:val="af"/>
        <w:spacing w:line="360" w:lineRule="auto"/>
        <w:ind w:firstLine="567"/>
        <w:rPr>
          <w:rFonts w:ascii="Arial" w:hAnsi="Arial" w:cs="Arial"/>
        </w:rPr>
      </w:pPr>
      <w:r>
        <w:rPr>
          <w:rFonts w:ascii="Arial" w:hAnsi="Arial" w:cs="Arial"/>
        </w:rPr>
        <w:t xml:space="preserve">While many respondents expressed that Volkswagen’s focus on sustainability increased their trust in the brand, others remained sceptical, viewing the initiatives as potentially being more about marketing than actual environmental change. Additionally, </w:t>
      </w:r>
      <w:r>
        <w:rPr>
          <w:rFonts w:ascii="Arial" w:hAnsi="Arial" w:cs="Arial"/>
        </w:rPr>
        <w:lastRenderedPageBreak/>
        <w:t>although many consumers appreciated Volkswagen’s green initiatives, price remained a critical factor, with some respondents emphasising that they prioritised cost over environmental benefits. Another important theme was the perception of Volkswagen’s investment in electric vehicles as a forward-thinking strategy, which resonated positively with consumers who valued innovation in the automotive sector.</w:t>
      </w:r>
    </w:p>
    <w:p w14:paraId="054BA2D2" w14:textId="77777777" w:rsidR="0067740A" w:rsidRDefault="00000000">
      <w:pPr>
        <w:pStyle w:val="af"/>
        <w:spacing w:line="360" w:lineRule="auto"/>
        <w:ind w:firstLine="567"/>
        <w:rPr>
          <w:rFonts w:ascii="Arial" w:hAnsi="Arial" w:cs="Arial"/>
        </w:rPr>
      </w:pPr>
      <w:r>
        <w:rPr>
          <w:rFonts w:ascii="Arial" w:hAnsi="Arial" w:cs="Arial"/>
        </w:rPr>
        <w:t>By integrating quantitative and qualitative data, the study’s findings were strengthened through triangulation. Quantitative trends observed in the survey data were validated by the more detailed insights gained from the interviews. For example, while the survey revealed a significant relationship between environmental awareness and purchasing intentions, the interviews provided a deeper understanding of why some consumers were willing to pay more for electric vehicles and how they viewed the trade-off between price and sustainability. This integration of methods provided a fuller picture of consumer attitudes toward Volkswagen’s sustainability efforts, offering both statistical evidence and context-rich insights into their motivations and concerns.</w:t>
      </w:r>
    </w:p>
    <w:p w14:paraId="41B21786" w14:textId="77777777" w:rsidR="0067740A" w:rsidRDefault="00000000">
      <w:pPr>
        <w:pStyle w:val="af"/>
        <w:spacing w:line="360" w:lineRule="auto"/>
        <w:ind w:firstLine="567"/>
        <w:rPr>
          <w:rFonts w:ascii="Arial" w:hAnsi="Arial" w:cs="Arial"/>
        </w:rPr>
      </w:pPr>
      <w:r>
        <w:rPr>
          <w:rFonts w:ascii="Arial" w:hAnsi="Arial" w:cs="Arial"/>
        </w:rPr>
        <w:t>The combination of descriptive statistics and thematic analysis resulted in a comprehensive examination of Chinese consumers’ attitudes towards Volkswagen’s sustainability initiatives. While the quantitative data enabled the testing of hypotheses and identification of broad trends, the qualitative interviews added depth by revealing the underlying motivations driving consumer behaviour. Together, these methods provided a well-rounded analysis that effectively addressed the research questions and hypotheses, offering a clearer understanding of the impact of sustainability on consumer perceptions and purchasing behaviour.</w:t>
      </w:r>
    </w:p>
    <w:p w14:paraId="683D4339" w14:textId="77777777" w:rsidR="0067740A" w:rsidRDefault="0067740A">
      <w:pPr>
        <w:pStyle w:val="af"/>
        <w:spacing w:line="360" w:lineRule="auto"/>
        <w:rPr>
          <w:rFonts w:ascii="Arial" w:hAnsi="Arial" w:cs="Arial"/>
        </w:rPr>
      </w:pPr>
    </w:p>
    <w:p w14:paraId="1148CFDB" w14:textId="77777777" w:rsidR="0067740A" w:rsidRDefault="0067740A">
      <w:pPr>
        <w:pStyle w:val="af"/>
        <w:spacing w:line="360" w:lineRule="auto"/>
        <w:rPr>
          <w:rFonts w:ascii="Arial" w:hAnsi="Arial" w:cs="Arial"/>
        </w:rPr>
      </w:pPr>
    </w:p>
    <w:p w14:paraId="315AB87C" w14:textId="77777777" w:rsidR="0067740A" w:rsidRDefault="00000000">
      <w:pPr>
        <w:rPr>
          <w:rFonts w:ascii="Arial" w:hAnsi="Arial" w:cs="Arial"/>
        </w:rPr>
      </w:pPr>
      <w:bookmarkStart w:id="55" w:name="OLE_LINK77"/>
      <w:bookmarkStart w:id="56" w:name="OLE_LINK76"/>
      <w:bookmarkEnd w:id="38"/>
      <w:bookmarkEnd w:id="39"/>
      <w:bookmarkEnd w:id="52"/>
      <w:bookmarkEnd w:id="53"/>
      <w:bookmarkEnd w:id="54"/>
      <w:r>
        <w:rPr>
          <w:rFonts w:ascii="Arial" w:hAnsi="Arial" w:cs="Arial"/>
        </w:rPr>
        <w:br w:type="page"/>
      </w:r>
    </w:p>
    <w:p w14:paraId="0064422B" w14:textId="77777777" w:rsidR="0067740A" w:rsidRDefault="00000000">
      <w:pPr>
        <w:pStyle w:val="2"/>
        <w:numPr>
          <w:ilvl w:val="1"/>
          <w:numId w:val="4"/>
        </w:numPr>
        <w:rPr>
          <w:rFonts w:ascii="Arial" w:hAnsi="Arial" w:cs="Arial"/>
          <w:szCs w:val="24"/>
        </w:rPr>
      </w:pPr>
      <w:bookmarkStart w:id="57" w:name="_Toc177666025"/>
      <w:r>
        <w:rPr>
          <w:rFonts w:ascii="Arial" w:hAnsi="Arial" w:cs="Arial"/>
          <w:szCs w:val="24"/>
        </w:rPr>
        <w:lastRenderedPageBreak/>
        <w:t>Ethical Considerations</w:t>
      </w:r>
      <w:bookmarkEnd w:id="57"/>
    </w:p>
    <w:p w14:paraId="214B2C49" w14:textId="77777777" w:rsidR="0067740A" w:rsidRDefault="00000000">
      <w:pPr>
        <w:pStyle w:val="af"/>
        <w:spacing w:line="360" w:lineRule="auto"/>
        <w:ind w:firstLine="567"/>
        <w:rPr>
          <w:rFonts w:ascii="Arial" w:hAnsi="Arial" w:cs="Arial"/>
        </w:rPr>
      </w:pPr>
      <w:r>
        <w:rPr>
          <w:rFonts w:ascii="Arial" w:hAnsi="Arial" w:cs="Arial"/>
        </w:rPr>
        <w:t>Ethical considerations are essential to maintaining the integrity of any research involving human subjects, ensuring that the rights, privacy, and well-being of participants are protected throughout the research process. This study adhered to strict ethical guidelines, particularly regarding informed consent, confidentiality, and the right to withdraw, in accordance with established ethical standards and regulations such as the General Data Protection Regulation (GDPR).</w:t>
      </w:r>
    </w:p>
    <w:p w14:paraId="5BEEBCFE" w14:textId="77777777" w:rsidR="0067740A" w:rsidRDefault="00000000">
      <w:pPr>
        <w:pStyle w:val="af"/>
        <w:spacing w:line="360" w:lineRule="auto"/>
        <w:ind w:firstLine="567"/>
        <w:rPr>
          <w:rFonts w:ascii="Arial" w:hAnsi="Arial" w:cs="Arial"/>
        </w:rPr>
      </w:pPr>
      <w:r>
        <w:rPr>
          <w:rFonts w:ascii="Arial" w:hAnsi="Arial" w:cs="Arial"/>
        </w:rPr>
        <w:t xml:space="preserve">Informed consent formed a crucial part of the ethical framework of this research. Participants were provided with clear and comprehensive information about the purpose and objectives of the study, the procedures involved, and the intended use of the collected data. Before engaging with the online survey or semi-structured interviews, participants were explicitly informed of the voluntary nature of their participation, their right to withdraw at any point, and the measures implemented to protect their confidentiality. </w:t>
      </w:r>
    </w:p>
    <w:p w14:paraId="70D547A5" w14:textId="77777777" w:rsidR="0067740A" w:rsidRDefault="00000000">
      <w:pPr>
        <w:pStyle w:val="af"/>
        <w:spacing w:line="360" w:lineRule="auto"/>
        <w:ind w:firstLine="567"/>
        <w:rPr>
          <w:rFonts w:ascii="Arial" w:hAnsi="Arial" w:cs="Arial"/>
        </w:rPr>
      </w:pPr>
      <w:r>
        <w:rPr>
          <w:rFonts w:ascii="Arial" w:hAnsi="Arial" w:cs="Arial"/>
        </w:rPr>
        <w:t xml:space="preserve">For the online survey distributed via the </w:t>
      </w:r>
      <w:proofErr w:type="spellStart"/>
      <w:r>
        <w:rPr>
          <w:rFonts w:ascii="Arial" w:hAnsi="Arial" w:cs="Arial"/>
        </w:rPr>
        <w:t>Wenjuanxing</w:t>
      </w:r>
      <w:proofErr w:type="spellEnd"/>
      <w:r>
        <w:rPr>
          <w:rFonts w:ascii="Arial" w:hAnsi="Arial" w:cs="Arial"/>
        </w:rPr>
        <w:t xml:space="preserve"> platform, consent was obtained through an online consent form, which participants were required to agree to before proceeding with the questionnaire. In the case of the interviews, verbal consent was obtained at the start of each session, with participants being reminded of their right to terminate the interview at any time. This process ensured that all participants were fully informed of the nature of the study and that their participation was both voluntary and well-considered (</w:t>
      </w:r>
      <w:proofErr w:type="spellStart"/>
      <w:r>
        <w:rPr>
          <w:rFonts w:ascii="Arial" w:hAnsi="Arial" w:cs="Arial"/>
        </w:rPr>
        <w:t>Busher</w:t>
      </w:r>
      <w:proofErr w:type="spellEnd"/>
      <w:r>
        <w:rPr>
          <w:rFonts w:ascii="Arial" w:hAnsi="Arial" w:cs="Arial"/>
        </w:rPr>
        <w:t xml:space="preserve"> &amp; James, 2019).</w:t>
      </w:r>
    </w:p>
    <w:p w14:paraId="412A69F2" w14:textId="77777777" w:rsidR="0067740A" w:rsidRDefault="00000000">
      <w:pPr>
        <w:pStyle w:val="af"/>
        <w:spacing w:line="360" w:lineRule="auto"/>
        <w:ind w:firstLine="567"/>
        <w:rPr>
          <w:rFonts w:ascii="Arial" w:hAnsi="Arial" w:cs="Arial"/>
        </w:rPr>
      </w:pPr>
      <w:r>
        <w:rPr>
          <w:rFonts w:ascii="Arial" w:hAnsi="Arial" w:cs="Arial"/>
        </w:rPr>
        <w:t xml:space="preserve">Confidentiality was rigorously upheld throughout the research. No personally identifiable information was collected from survey respondents or interview participants. For the interview data, anonymised identifiers were used during transcription to prevent any connection between individual responses and specific participants. All data was securely stored in password-protected files, accessible only to authorised members of the research team. In compliance with GDPR, participants were assured that their data would be used solely for the purposes outlined in the study and would not be shared with any third parties. Upon completion of the study, personally sensitive data, such as </w:t>
      </w:r>
      <w:r>
        <w:rPr>
          <w:rFonts w:ascii="Arial" w:hAnsi="Arial" w:cs="Arial"/>
        </w:rPr>
        <w:lastRenderedPageBreak/>
        <w:t>audio recordings of the interviews, was securely deleted, with only anonymised data retained for analysis and reporting. These strict confidentiality protocols ensured that participants’ privacy was thoroughly protected, reducing any risk of data breaches or unauthorised access.</w:t>
      </w:r>
    </w:p>
    <w:p w14:paraId="132F3D10" w14:textId="77777777" w:rsidR="0067740A" w:rsidRDefault="00000000">
      <w:pPr>
        <w:pStyle w:val="af"/>
        <w:spacing w:line="360" w:lineRule="auto"/>
        <w:ind w:firstLine="567"/>
        <w:rPr>
          <w:rFonts w:ascii="Arial" w:hAnsi="Arial" w:cs="Arial"/>
        </w:rPr>
      </w:pPr>
      <w:r>
        <w:rPr>
          <w:rFonts w:ascii="Arial" w:hAnsi="Arial" w:cs="Arial"/>
        </w:rPr>
        <w:t>Participants were also explicitly informed of their right to withdraw from the study at any point, both during and after data collection. This right was emphasised in the consent forms and reiterated at the start of each interview. If a participant had chosen to withdraw, their data would have been immediately removed from the dataset without any consequences. This provision ensured participants’ autonomy and protected their control over their involvement in the research.</w:t>
      </w:r>
    </w:p>
    <w:p w14:paraId="1646419E" w14:textId="77777777" w:rsidR="0067740A" w:rsidRDefault="00000000">
      <w:pPr>
        <w:pStyle w:val="af"/>
        <w:spacing w:line="360" w:lineRule="auto"/>
        <w:ind w:firstLine="567"/>
        <w:rPr>
          <w:rFonts w:ascii="Arial" w:hAnsi="Arial" w:cs="Arial"/>
        </w:rPr>
      </w:pPr>
      <w:r>
        <w:rPr>
          <w:rFonts w:ascii="Arial" w:hAnsi="Arial" w:cs="Arial"/>
        </w:rPr>
        <w:t>Although the subject of this study—consumer perceptions of sustainability—was not inherently sensitive, careful measures were taken to ensure that no harm or discomfort was caused to participants. The survey and interview questions were designed to avoid distressing topics or leading questions, and participants were free to skip any questions they found uncomfortable. The principle of non-maleficence was adhered to throughout the study, ensuring that participants did not experience any psychological, emotional, or reputational harm as a result of their involvement.</w:t>
      </w:r>
    </w:p>
    <w:p w14:paraId="205003B9" w14:textId="77777777" w:rsidR="0067740A" w:rsidRDefault="00000000">
      <w:pPr>
        <w:pStyle w:val="af"/>
        <w:spacing w:line="360" w:lineRule="auto"/>
        <w:ind w:firstLine="567"/>
        <w:rPr>
          <w:rFonts w:ascii="Arial" w:hAnsi="Arial" w:cs="Arial"/>
        </w:rPr>
      </w:pPr>
      <w:r>
        <w:rPr>
          <w:rFonts w:ascii="Arial" w:hAnsi="Arial" w:cs="Arial"/>
        </w:rPr>
        <w:t>Transparency and integrity were maintained throughout the research process. Participants were fully informed of the study’s aims and objectives, and the methods by which their data would be analysed and reported. No deceptive practices were employed, and the findings will be reported honestly and accurately. This commitment to transparency not only upheld the ethical standards of the research but also fostered trust between the researcher and participants, ensuring that the study adhered to the highest academic standards.</w:t>
      </w:r>
    </w:p>
    <w:p w14:paraId="38AB81F6" w14:textId="77777777" w:rsidR="0067740A" w:rsidRDefault="00000000">
      <w:pPr>
        <w:pStyle w:val="af"/>
        <w:spacing w:line="360" w:lineRule="auto"/>
        <w:ind w:firstLine="567"/>
        <w:rPr>
          <w:rFonts w:ascii="Arial" w:hAnsi="Arial" w:cs="Arial"/>
        </w:rPr>
      </w:pPr>
      <w:r>
        <w:rPr>
          <w:rFonts w:ascii="Arial" w:hAnsi="Arial" w:cs="Arial"/>
        </w:rPr>
        <w:t xml:space="preserve">The measures outlined ensured that the study was conducted in a manner that respected the dignity, rights, and privacy of all participants, consistent with ethical research guidelines. As the research moves forward to the analysis and interpretation </w:t>
      </w:r>
      <w:r>
        <w:rPr>
          <w:rFonts w:ascii="Arial" w:hAnsi="Arial" w:cs="Arial"/>
        </w:rPr>
        <w:lastRenderedPageBreak/>
        <w:t>phase, the subsequent chapter will present the findings and provide an in-depth analysis of the results.</w:t>
      </w:r>
    </w:p>
    <w:p w14:paraId="19FF28E3" w14:textId="0365F84A" w:rsidR="0027199A" w:rsidRDefault="0027199A">
      <w:pPr>
        <w:rPr>
          <w:rFonts w:ascii="Arial" w:hAnsi="Arial" w:cs="Arial"/>
        </w:rPr>
      </w:pPr>
      <w:r>
        <w:rPr>
          <w:rFonts w:ascii="Arial" w:hAnsi="Arial" w:cs="Arial"/>
        </w:rPr>
        <w:br w:type="page"/>
      </w:r>
    </w:p>
    <w:p w14:paraId="26A58539" w14:textId="77777777" w:rsidR="0067740A" w:rsidRDefault="00000000">
      <w:pPr>
        <w:pStyle w:val="1"/>
        <w:numPr>
          <w:ilvl w:val="0"/>
          <w:numId w:val="4"/>
        </w:numPr>
        <w:rPr>
          <w:rFonts w:ascii="Arial" w:hAnsi="Arial" w:cs="Arial"/>
          <w:szCs w:val="24"/>
        </w:rPr>
      </w:pPr>
      <w:bookmarkStart w:id="58" w:name="_Toc177666026"/>
      <w:r>
        <w:rPr>
          <w:rStyle w:val="af5"/>
          <w:rFonts w:ascii="Arial" w:hAnsi="Arial" w:cs="Arial"/>
          <w:b/>
          <w:bCs w:val="0"/>
          <w:szCs w:val="24"/>
        </w:rPr>
        <w:lastRenderedPageBreak/>
        <w:t>Findings and Analysis</w:t>
      </w:r>
      <w:bookmarkEnd w:id="58"/>
    </w:p>
    <w:p w14:paraId="36F4A0CB" w14:textId="77777777" w:rsidR="0067740A" w:rsidRDefault="00000000">
      <w:pPr>
        <w:pStyle w:val="2"/>
        <w:numPr>
          <w:ilvl w:val="1"/>
          <w:numId w:val="4"/>
        </w:numPr>
        <w:spacing w:line="360" w:lineRule="auto"/>
        <w:rPr>
          <w:rFonts w:ascii="Arial" w:hAnsi="Arial" w:cs="Arial"/>
          <w:szCs w:val="24"/>
        </w:rPr>
      </w:pPr>
      <w:bookmarkStart w:id="59" w:name="_Toc177666027"/>
      <w:bookmarkStart w:id="60" w:name="OLE_LINK79"/>
      <w:bookmarkStart w:id="61" w:name="OLE_LINK78"/>
      <w:r>
        <w:rPr>
          <w:rFonts w:ascii="Arial" w:hAnsi="Arial" w:cs="Arial"/>
          <w:szCs w:val="24"/>
        </w:rPr>
        <w:t>Presentation of Quantitative Data</w:t>
      </w:r>
      <w:bookmarkEnd w:id="59"/>
    </w:p>
    <w:p w14:paraId="61C9515A" w14:textId="77777777" w:rsidR="0067740A" w:rsidRDefault="00000000">
      <w:pPr>
        <w:spacing w:line="360" w:lineRule="auto"/>
        <w:ind w:firstLine="567"/>
        <w:rPr>
          <w:rFonts w:ascii="Arial" w:hAnsi="Arial" w:cs="Arial"/>
        </w:rPr>
      </w:pPr>
      <w:r>
        <w:rPr>
          <w:rFonts w:ascii="Arial" w:hAnsi="Arial" w:cs="Arial"/>
        </w:rPr>
        <w:t>The quantitative data gathered from the survey provides key insights into consumer awareness and perceptions of Volkswagen’s sustainability initiatives in China. The survey involved 411 respondents, targeting Chinese consumers aged 25 to 64 from urban areas, with a particular emphasis on middle- to high-income, well-educated individuals in cities such as Beijing and Shanghai. This demographic was selected as it represents a segment of the population more likely to be environmentally conscious and financially capable of purchasing electric vehicles (EVs).</w:t>
      </w:r>
    </w:p>
    <w:p w14:paraId="0342E016" w14:textId="77777777" w:rsidR="0067740A" w:rsidRDefault="00000000">
      <w:pPr>
        <w:spacing w:line="360" w:lineRule="auto"/>
        <w:rPr>
          <w:rFonts w:ascii="Arial" w:hAnsi="Arial" w:cs="Arial"/>
        </w:rPr>
      </w:pPr>
      <w:r>
        <w:rPr>
          <w:rFonts w:ascii="Arial" w:hAnsi="Arial" w:cs="Arial"/>
        </w:rPr>
        <w:br w:type="page"/>
      </w:r>
    </w:p>
    <w:p w14:paraId="379B5F2B" w14:textId="77777777" w:rsidR="0067740A" w:rsidRDefault="00000000">
      <w:pPr>
        <w:pStyle w:val="3"/>
        <w:numPr>
          <w:ilvl w:val="2"/>
          <w:numId w:val="4"/>
        </w:numPr>
        <w:rPr>
          <w:rFonts w:ascii="Arial" w:hAnsi="Arial" w:cs="Arial"/>
          <w:szCs w:val="24"/>
        </w:rPr>
      </w:pPr>
      <w:bookmarkStart w:id="62" w:name="_Toc177666028"/>
      <w:r>
        <w:rPr>
          <w:rFonts w:ascii="Arial" w:hAnsi="Arial" w:cs="Arial"/>
          <w:szCs w:val="24"/>
        </w:rPr>
        <w:lastRenderedPageBreak/>
        <w:t>Consumer Awareness of Volkswagen’s Sustainability Initiatives</w:t>
      </w:r>
      <w:bookmarkEnd w:id="62"/>
    </w:p>
    <w:p w14:paraId="5E9ED0C9" w14:textId="77777777" w:rsidR="0067740A" w:rsidRDefault="00000000">
      <w:pPr>
        <w:spacing w:line="360" w:lineRule="auto"/>
        <w:ind w:firstLine="567"/>
        <w:rPr>
          <w:rFonts w:ascii="Arial" w:hAnsi="Arial" w:cs="Arial"/>
        </w:rPr>
      </w:pPr>
      <w:r>
        <w:rPr>
          <w:rFonts w:ascii="Arial" w:hAnsi="Arial" w:cs="Arial"/>
        </w:rPr>
        <w:t xml:space="preserve">The survey findings indicate that </w:t>
      </w:r>
      <w:r>
        <w:rPr>
          <w:rStyle w:val="af5"/>
          <w:rFonts w:ascii="Arial" w:hAnsi="Arial" w:cs="Arial"/>
        </w:rPr>
        <w:t>280</w:t>
      </w:r>
      <w:r>
        <w:rPr>
          <w:rFonts w:ascii="Arial" w:hAnsi="Arial" w:cs="Arial"/>
        </w:rPr>
        <w:t xml:space="preserve"> respondents (68.13 percent) were either very familiar or extremely familiar with Volkswagen's sustainability initiatives, particularly in areas related to electric vehicles and green manufacturing. This growing familiarity reflects the influence of government support and increased media coverage of green initiatives in China, which are shaping consumer awareness (Chen and Zheng, 2019; Volkswagen Group, 2021).</w:t>
      </w:r>
    </w:p>
    <w:p w14:paraId="0DBC8989" w14:textId="77777777" w:rsidR="0067740A" w:rsidRDefault="00000000">
      <w:pPr>
        <w:keepNext/>
        <w:spacing w:line="360" w:lineRule="auto"/>
        <w:ind w:firstLine="567"/>
        <w:rPr>
          <w:rFonts w:ascii="Arial" w:hAnsi="Arial" w:cs="Arial"/>
        </w:rPr>
      </w:pPr>
      <w:r>
        <w:rPr>
          <w:rFonts w:ascii="Arial" w:hAnsi="Arial" w:cs="Arial"/>
          <w:noProof/>
        </w:rPr>
        <w:drawing>
          <wp:inline distT="0" distB="0" distL="0" distR="0" wp14:anchorId="7A73268E" wp14:editId="2E9B144B">
            <wp:extent cx="5740400" cy="5321300"/>
            <wp:effectExtent l="0" t="0" r="0" b="0"/>
            <wp:docPr id="806056836" name="Picture 5" descr="A green and yellow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56836" name="Picture 5" descr="A green and yellow pie chart&#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40400" cy="5321300"/>
                    </a:xfrm>
                    <a:prstGeom prst="rect">
                      <a:avLst/>
                    </a:prstGeom>
                  </pic:spPr>
                </pic:pic>
              </a:graphicData>
            </a:graphic>
          </wp:inline>
        </w:drawing>
      </w:r>
    </w:p>
    <w:p w14:paraId="14F5106F" w14:textId="77777777" w:rsidR="0067740A" w:rsidRDefault="00000000">
      <w:pPr>
        <w:pStyle w:val="a3"/>
        <w:jc w:val="center"/>
        <w:rPr>
          <w:rFonts w:ascii="Arial" w:hAnsi="Arial" w:cs="Arial"/>
          <w:sz w:val="24"/>
          <w:szCs w:val="24"/>
        </w:rPr>
      </w:pPr>
      <w:bookmarkStart w:id="63" w:name="_Toc177665545"/>
      <w:bookmarkStart w:id="64" w:name="_Toc177665829"/>
      <w:bookmarkStart w:id="65" w:name="_Toc177665504"/>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hint="eastAsia"/>
          <w:sz w:val="24"/>
          <w:szCs w:val="24"/>
        </w:rPr>
        <w:t xml:space="preserve"> </w:t>
      </w:r>
      <w:r>
        <w:rPr>
          <w:rFonts w:ascii="Arial" w:hAnsi="Arial" w:cs="Arial"/>
          <w:sz w:val="24"/>
          <w:szCs w:val="24"/>
        </w:rPr>
        <w:t>Consumer Awareness of Volkswagen's Sustainability Initiatives</w:t>
      </w:r>
      <w:bookmarkEnd w:id="63"/>
      <w:bookmarkEnd w:id="64"/>
      <w:bookmarkEnd w:id="65"/>
    </w:p>
    <w:p w14:paraId="188426A0" w14:textId="77777777" w:rsidR="0067740A" w:rsidRDefault="0067740A">
      <w:pPr>
        <w:rPr>
          <w:rFonts w:ascii="Arial" w:hAnsi="Arial" w:cs="Arial"/>
        </w:rPr>
      </w:pPr>
    </w:p>
    <w:p w14:paraId="20CA99B9" w14:textId="77777777" w:rsidR="0067740A" w:rsidRDefault="00000000">
      <w:pPr>
        <w:pStyle w:val="3"/>
        <w:numPr>
          <w:ilvl w:val="2"/>
          <w:numId w:val="4"/>
        </w:numPr>
        <w:rPr>
          <w:rFonts w:ascii="Arial" w:hAnsi="Arial" w:cs="Arial"/>
          <w:szCs w:val="24"/>
        </w:rPr>
      </w:pPr>
      <w:bookmarkStart w:id="66" w:name="_Toc177666029"/>
      <w:r>
        <w:rPr>
          <w:rFonts w:ascii="Arial" w:hAnsi="Arial" w:cs="Arial"/>
          <w:szCs w:val="24"/>
        </w:rPr>
        <w:lastRenderedPageBreak/>
        <w:t>Importance of Environmental and Price Factors in Purchase Decisions</w:t>
      </w:r>
      <w:bookmarkEnd w:id="66"/>
    </w:p>
    <w:p w14:paraId="177820A2" w14:textId="77777777" w:rsidR="0067740A" w:rsidRDefault="00000000">
      <w:pPr>
        <w:spacing w:line="360" w:lineRule="auto"/>
        <w:ind w:firstLine="567"/>
        <w:rPr>
          <w:rFonts w:ascii="Arial" w:hAnsi="Arial" w:cs="Arial"/>
        </w:rPr>
      </w:pPr>
      <w:r>
        <w:rPr>
          <w:rFonts w:ascii="Arial" w:hAnsi="Arial" w:cs="Arial"/>
        </w:rPr>
        <w:t xml:space="preserve">Environmental concerns significantly influenced purchasing behaviour, with </w:t>
      </w:r>
      <w:r>
        <w:rPr>
          <w:rStyle w:val="af5"/>
          <w:rFonts w:ascii="Arial" w:hAnsi="Arial" w:cs="Arial"/>
        </w:rPr>
        <w:t>229</w:t>
      </w:r>
      <w:r>
        <w:rPr>
          <w:rFonts w:ascii="Arial" w:hAnsi="Arial" w:cs="Arial"/>
        </w:rPr>
        <w:t xml:space="preserve"> respondents (55.71 percent) indicating that environmental impact was a crucial factor in their decision-making process when buying a vehicle. However, </w:t>
      </w:r>
      <w:r>
        <w:rPr>
          <w:rStyle w:val="af5"/>
          <w:rFonts w:ascii="Arial" w:hAnsi="Arial" w:cs="Arial"/>
        </w:rPr>
        <w:t>240</w:t>
      </w:r>
      <w:r>
        <w:rPr>
          <w:rFonts w:ascii="Arial" w:hAnsi="Arial" w:cs="Arial"/>
        </w:rPr>
        <w:t xml:space="preserve"> respondents (58.39 percent) also identified price as a key factor, suggesting that while environmental consciousness is high, affordability remains a substantial barrier to the widespread adoption of electric vehicles (Gao and Zhang, 2020; Deloitte, 2022).</w:t>
      </w:r>
    </w:p>
    <w:p w14:paraId="768892D5" w14:textId="77777777" w:rsidR="0067740A" w:rsidRDefault="00000000">
      <w:pPr>
        <w:keepNext/>
        <w:spacing w:line="360" w:lineRule="auto"/>
        <w:ind w:firstLine="567"/>
        <w:rPr>
          <w:rFonts w:ascii="Arial" w:hAnsi="Arial" w:cs="Arial"/>
        </w:rPr>
      </w:pPr>
      <w:r>
        <w:rPr>
          <w:rFonts w:ascii="Arial" w:hAnsi="Arial" w:cs="Arial"/>
          <w:noProof/>
        </w:rPr>
        <w:drawing>
          <wp:inline distT="0" distB="0" distL="0" distR="0" wp14:anchorId="0E663AB8" wp14:editId="02E76489">
            <wp:extent cx="5943600" cy="4664710"/>
            <wp:effectExtent l="0" t="0" r="0" b="0"/>
            <wp:docPr id="2071302578" name="Picture 6" descr="A graph showing a blue and red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302578" name="Picture 6" descr="A graph showing a blue and red graph&#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4664710"/>
                    </a:xfrm>
                    <a:prstGeom prst="rect">
                      <a:avLst/>
                    </a:prstGeom>
                  </pic:spPr>
                </pic:pic>
              </a:graphicData>
            </a:graphic>
          </wp:inline>
        </w:drawing>
      </w:r>
    </w:p>
    <w:p w14:paraId="7075E71E" w14:textId="77777777" w:rsidR="0067740A" w:rsidRDefault="00000000">
      <w:pPr>
        <w:pStyle w:val="a3"/>
        <w:jc w:val="center"/>
        <w:rPr>
          <w:rFonts w:ascii="Arial" w:hAnsi="Arial" w:cs="Arial"/>
          <w:sz w:val="24"/>
          <w:szCs w:val="24"/>
        </w:rPr>
      </w:pPr>
      <w:bookmarkStart w:id="67" w:name="_Toc177665546"/>
      <w:bookmarkStart w:id="68" w:name="_Toc177665505"/>
      <w:bookmarkStart w:id="69" w:name="_Toc177665830"/>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r>
        <w:rPr>
          <w:rFonts w:ascii="Arial" w:hAnsi="Arial" w:cs="Arial"/>
          <w:sz w:val="24"/>
          <w:szCs w:val="24"/>
        </w:rPr>
        <w:t xml:space="preserve"> Factors Affecting Vehicle Purchase Decisions – Environmental Impact and Price</w:t>
      </w:r>
      <w:bookmarkEnd w:id="67"/>
      <w:bookmarkEnd w:id="68"/>
      <w:bookmarkEnd w:id="69"/>
    </w:p>
    <w:p w14:paraId="76305FC2" w14:textId="77777777" w:rsidR="0067740A" w:rsidRDefault="00000000">
      <w:pPr>
        <w:rPr>
          <w:rStyle w:val="af8"/>
          <w:rFonts w:ascii="Arial" w:hAnsi="Arial" w:cs="Arial"/>
        </w:rPr>
      </w:pPr>
      <w:r>
        <w:rPr>
          <w:rStyle w:val="af8"/>
          <w:rFonts w:ascii="Arial" w:hAnsi="Arial" w:cs="Arial"/>
        </w:rPr>
        <w:br w:type="page"/>
      </w:r>
    </w:p>
    <w:p w14:paraId="38D68B0A" w14:textId="77777777" w:rsidR="0067740A" w:rsidRDefault="00000000">
      <w:pPr>
        <w:pStyle w:val="3"/>
        <w:numPr>
          <w:ilvl w:val="2"/>
          <w:numId w:val="4"/>
        </w:numPr>
        <w:spacing w:line="360" w:lineRule="auto"/>
        <w:rPr>
          <w:rFonts w:ascii="Arial" w:hAnsi="Arial" w:cs="Arial"/>
          <w:szCs w:val="24"/>
        </w:rPr>
      </w:pPr>
      <w:bookmarkStart w:id="70" w:name="_Toc177666030"/>
      <w:r>
        <w:rPr>
          <w:rFonts w:ascii="Arial" w:hAnsi="Arial" w:cs="Arial"/>
          <w:szCs w:val="24"/>
        </w:rPr>
        <w:lastRenderedPageBreak/>
        <w:t>Purchase Intention and Perception of Authenticity</w:t>
      </w:r>
      <w:bookmarkEnd w:id="70"/>
    </w:p>
    <w:p w14:paraId="19A0D853" w14:textId="77777777" w:rsidR="0067740A" w:rsidRDefault="00000000">
      <w:pPr>
        <w:spacing w:line="360" w:lineRule="auto"/>
        <w:ind w:firstLine="567"/>
        <w:rPr>
          <w:rFonts w:ascii="Arial" w:hAnsi="Arial" w:cs="Arial"/>
        </w:rPr>
      </w:pPr>
      <w:r>
        <w:rPr>
          <w:rFonts w:ascii="Arial" w:hAnsi="Arial" w:cs="Arial"/>
        </w:rPr>
        <w:t xml:space="preserve">Regarding purchase intention, </w:t>
      </w:r>
      <w:r>
        <w:rPr>
          <w:rStyle w:val="af5"/>
          <w:rFonts w:ascii="Arial" w:hAnsi="Arial" w:cs="Arial"/>
        </w:rPr>
        <w:t>161</w:t>
      </w:r>
      <w:r>
        <w:rPr>
          <w:rFonts w:ascii="Arial" w:hAnsi="Arial" w:cs="Arial"/>
        </w:rPr>
        <w:t xml:space="preserve"> respondents (39.17 percent) strongly agreed that Volkswagen's sustainability initiatives positively influenced their likelihood of purchasing from the company. This supports the first hypothesis (H1), positing a positive relationship between awareness of sustainability initiatives and purchase intention (Volkswagen Group, 2021). Furthermore, </w:t>
      </w:r>
      <w:r>
        <w:rPr>
          <w:rStyle w:val="af5"/>
          <w:rFonts w:ascii="Arial" w:hAnsi="Arial" w:cs="Arial"/>
        </w:rPr>
        <w:t>274</w:t>
      </w:r>
      <w:r>
        <w:rPr>
          <w:rFonts w:ascii="Arial" w:hAnsi="Arial" w:cs="Arial"/>
        </w:rPr>
        <w:t xml:space="preserve"> respondents (66.67 percent) perceived Volkswagen's sustainability efforts as genuine, aligning with the second hypothesis (H2), which suggests that consumers who view these initiatives as authentic are more likely to have a favourable perception of the brand (Li et al., 2019; McKinsey, 2023).</w:t>
      </w:r>
    </w:p>
    <w:p w14:paraId="4A97ABE3" w14:textId="77777777" w:rsidR="0067740A" w:rsidRDefault="00000000">
      <w:pPr>
        <w:keepNext/>
        <w:spacing w:line="360" w:lineRule="auto"/>
        <w:ind w:firstLine="567"/>
        <w:rPr>
          <w:rFonts w:ascii="Arial" w:hAnsi="Arial" w:cs="Arial"/>
        </w:rPr>
      </w:pPr>
      <w:r>
        <w:rPr>
          <w:rFonts w:ascii="Arial" w:hAnsi="Arial" w:cs="Arial"/>
          <w:noProof/>
        </w:rPr>
        <w:drawing>
          <wp:inline distT="0" distB="0" distL="0" distR="0" wp14:anchorId="02089E63" wp14:editId="5959C45E">
            <wp:extent cx="5943600" cy="4196715"/>
            <wp:effectExtent l="0" t="0" r="0" b="0"/>
            <wp:docPr id="310958717" name="Picture 7" descr="A green and yellow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958717" name="Picture 7" descr="A green and yellow bar graph&#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196715"/>
                    </a:xfrm>
                    <a:prstGeom prst="rect">
                      <a:avLst/>
                    </a:prstGeom>
                  </pic:spPr>
                </pic:pic>
              </a:graphicData>
            </a:graphic>
          </wp:inline>
        </w:drawing>
      </w:r>
    </w:p>
    <w:p w14:paraId="37AA0519" w14:textId="77777777" w:rsidR="0067740A" w:rsidRDefault="00000000">
      <w:pPr>
        <w:pStyle w:val="a3"/>
        <w:jc w:val="center"/>
        <w:rPr>
          <w:rFonts w:ascii="Arial" w:hAnsi="Arial" w:cs="Arial"/>
          <w:sz w:val="24"/>
          <w:szCs w:val="24"/>
        </w:rPr>
      </w:pPr>
      <w:bookmarkStart w:id="71" w:name="_Toc177665831"/>
      <w:bookmarkStart w:id="72" w:name="_Toc177665547"/>
      <w:bookmarkStart w:id="73" w:name="_Toc177665506"/>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t xml:space="preserve"> Purchase Intention and Perception of Volkswagen's Sustainability Authenticity</w:t>
      </w:r>
      <w:bookmarkEnd w:id="71"/>
      <w:bookmarkEnd w:id="72"/>
      <w:bookmarkEnd w:id="73"/>
    </w:p>
    <w:p w14:paraId="10925D90" w14:textId="77777777" w:rsidR="0067740A" w:rsidRDefault="0067740A">
      <w:pPr>
        <w:spacing w:line="360" w:lineRule="auto"/>
        <w:ind w:firstLine="567"/>
        <w:rPr>
          <w:rFonts w:ascii="Arial" w:hAnsi="Arial" w:cs="Arial"/>
        </w:rPr>
      </w:pPr>
    </w:p>
    <w:p w14:paraId="5A1C09BE" w14:textId="77777777" w:rsidR="0067740A" w:rsidRDefault="00000000">
      <w:pPr>
        <w:spacing w:line="360" w:lineRule="auto"/>
        <w:ind w:firstLine="567"/>
        <w:rPr>
          <w:rFonts w:ascii="Arial" w:hAnsi="Arial" w:cs="Arial"/>
        </w:rPr>
      </w:pPr>
      <w:r>
        <w:rPr>
          <w:rFonts w:ascii="Arial" w:hAnsi="Arial" w:cs="Arial"/>
        </w:rPr>
        <w:t xml:space="preserve">The data suggests that while environmental awareness is relatively high among the target demographic, price sensitivity remains a significant obstacle to the broader </w:t>
      </w:r>
      <w:r>
        <w:rPr>
          <w:rFonts w:ascii="Arial" w:hAnsi="Arial" w:cs="Arial"/>
        </w:rPr>
        <w:lastRenderedPageBreak/>
        <w:t>adoption of Volkswagen's electric vehicles. Volkswagen’s ongoing efforts to position itself as a leader in sustainability will need to address these concerns, potentially through innovative pricing strategies or by increasing the availability of subsidies to attract a wider consumer base (Accenture, 2023). The figures above provide a visual summary of the key factors influencing consumer perceptions and behaviours, reinforcing the importance of both economic and environmental considerations in the Chinese EV market.</w:t>
      </w:r>
    </w:p>
    <w:p w14:paraId="00AEB337" w14:textId="77777777" w:rsidR="0067740A" w:rsidRDefault="0067740A">
      <w:pPr>
        <w:pStyle w:val="af"/>
        <w:spacing w:line="360" w:lineRule="auto"/>
        <w:ind w:firstLine="567"/>
        <w:rPr>
          <w:rFonts w:ascii="Arial" w:hAnsi="Arial" w:cs="Arial"/>
        </w:rPr>
      </w:pPr>
    </w:p>
    <w:p w14:paraId="491DFBC1" w14:textId="77777777" w:rsidR="0067740A" w:rsidRDefault="00000000">
      <w:pPr>
        <w:rPr>
          <w:rFonts w:ascii="Arial" w:hAnsi="Arial" w:cs="Arial"/>
        </w:rPr>
      </w:pPr>
      <w:r>
        <w:rPr>
          <w:rFonts w:ascii="Arial" w:hAnsi="Arial" w:cs="Arial"/>
        </w:rPr>
        <w:br w:type="page"/>
      </w:r>
    </w:p>
    <w:p w14:paraId="1E4FEC7D" w14:textId="77777777" w:rsidR="0067740A" w:rsidRDefault="00000000">
      <w:pPr>
        <w:pStyle w:val="2"/>
        <w:numPr>
          <w:ilvl w:val="1"/>
          <w:numId w:val="4"/>
        </w:numPr>
        <w:spacing w:line="360" w:lineRule="auto"/>
        <w:rPr>
          <w:rFonts w:ascii="Arial" w:hAnsi="Arial" w:cs="Arial"/>
          <w:szCs w:val="24"/>
        </w:rPr>
      </w:pPr>
      <w:bookmarkStart w:id="74" w:name="_Toc177666031"/>
      <w:bookmarkStart w:id="75" w:name="OLE_LINK1"/>
      <w:bookmarkStart w:id="76" w:name="OLE_LINK3"/>
      <w:bookmarkStart w:id="77" w:name="OLE_LINK2"/>
      <w:bookmarkStart w:id="78" w:name="OLE_LINK98"/>
      <w:bookmarkStart w:id="79" w:name="OLE_LINK97"/>
      <w:bookmarkEnd w:id="60"/>
      <w:bookmarkEnd w:id="61"/>
      <w:r>
        <w:rPr>
          <w:rFonts w:ascii="Arial" w:hAnsi="Arial" w:cs="Arial"/>
          <w:szCs w:val="24"/>
        </w:rPr>
        <w:lastRenderedPageBreak/>
        <w:t>Presentation of Qualitative Data</w:t>
      </w:r>
      <w:bookmarkEnd w:id="74"/>
    </w:p>
    <w:bookmarkEnd w:id="75"/>
    <w:bookmarkEnd w:id="76"/>
    <w:bookmarkEnd w:id="77"/>
    <w:p w14:paraId="7B304063" w14:textId="0A351DD0" w:rsidR="0027199A" w:rsidRDefault="00000000">
      <w:pPr>
        <w:spacing w:line="360" w:lineRule="auto"/>
        <w:ind w:firstLine="567"/>
        <w:rPr>
          <w:rFonts w:ascii="Arial" w:hAnsi="Arial" w:cs="Arial"/>
        </w:rPr>
      </w:pPr>
      <w:r>
        <w:rPr>
          <w:rFonts w:ascii="Arial" w:hAnsi="Arial" w:cs="Arial"/>
        </w:rPr>
        <w:t>The qualitative data obtained from semi-structured interviews complements the quantitative survey results, providing a nuanced understanding of consumer perceptions of Volkswagen's sustainability initiatives in China. This section presents the survey responses for each question, with the actual number of respondents included. Additionally, charts are used to visually represent the data to enhance clarity and comprehension.</w:t>
      </w:r>
    </w:p>
    <w:p w14:paraId="32C56917" w14:textId="77777777" w:rsidR="0027199A" w:rsidRDefault="0027199A">
      <w:pPr>
        <w:rPr>
          <w:rFonts w:ascii="Arial" w:hAnsi="Arial" w:cs="Arial"/>
        </w:rPr>
      </w:pPr>
      <w:r>
        <w:rPr>
          <w:rFonts w:ascii="Arial" w:hAnsi="Arial" w:cs="Arial"/>
        </w:rPr>
        <w:br w:type="page"/>
      </w:r>
    </w:p>
    <w:p w14:paraId="05231306" w14:textId="77777777" w:rsidR="0067740A" w:rsidRDefault="00000000">
      <w:pPr>
        <w:pStyle w:val="3"/>
        <w:numPr>
          <w:ilvl w:val="2"/>
          <w:numId w:val="4"/>
        </w:numPr>
        <w:spacing w:line="360" w:lineRule="auto"/>
        <w:rPr>
          <w:rFonts w:ascii="Arial" w:hAnsi="Arial" w:cs="Arial"/>
        </w:rPr>
      </w:pPr>
      <w:bookmarkStart w:id="80" w:name="_Toc177666032"/>
      <w:r>
        <w:rPr>
          <w:rFonts w:ascii="Arial" w:hAnsi="Arial" w:cs="Arial"/>
        </w:rPr>
        <w:lastRenderedPageBreak/>
        <w:t>Trust in Volkswagen's Sustainability Initiatives</w:t>
      </w:r>
      <w:bookmarkEnd w:id="80"/>
    </w:p>
    <w:p w14:paraId="2D9D86CD" w14:textId="77777777" w:rsidR="0067740A" w:rsidRDefault="00000000">
      <w:pPr>
        <w:pStyle w:val="af"/>
        <w:spacing w:line="360" w:lineRule="auto"/>
        <w:ind w:firstLine="567"/>
        <w:rPr>
          <w:rFonts w:ascii="Arial" w:hAnsi="Arial" w:cs="Arial"/>
        </w:rPr>
      </w:pPr>
      <w:r>
        <w:rPr>
          <w:rFonts w:ascii="Arial" w:hAnsi="Arial" w:cs="Arial"/>
        </w:rPr>
        <w:t xml:space="preserve">Out of the total respondents, </w:t>
      </w:r>
      <w:r>
        <w:rPr>
          <w:rStyle w:val="af5"/>
          <w:rFonts w:ascii="Arial" w:hAnsi="Arial" w:cs="Arial"/>
        </w:rPr>
        <w:t>650</w:t>
      </w:r>
      <w:r>
        <w:rPr>
          <w:rFonts w:ascii="Arial" w:hAnsi="Arial" w:cs="Arial"/>
        </w:rPr>
        <w:t xml:space="preserve"> individuals (representing </w:t>
      </w:r>
      <w:r>
        <w:rPr>
          <w:rStyle w:val="af5"/>
          <w:rFonts w:ascii="Arial" w:hAnsi="Arial" w:cs="Arial"/>
        </w:rPr>
        <w:t>65%</w:t>
      </w:r>
      <w:r>
        <w:rPr>
          <w:rFonts w:ascii="Arial" w:hAnsi="Arial" w:cs="Arial"/>
        </w:rPr>
        <w:t xml:space="preserve"> of the sample) indicated that Volkswagen’s sustainability initiatives have positively influenced their trust in the brand. These respondents highlighted the company's efforts to reduce carbon emissions through electric vehicle (EV) production, viewing it as a genuine commitment to environmental responsibility. However, </w:t>
      </w:r>
      <w:r>
        <w:rPr>
          <w:rStyle w:val="af5"/>
          <w:rFonts w:ascii="Arial" w:hAnsi="Arial" w:cs="Arial"/>
        </w:rPr>
        <w:t>350</w:t>
      </w:r>
      <w:r>
        <w:rPr>
          <w:rFonts w:ascii="Arial" w:hAnsi="Arial" w:cs="Arial"/>
        </w:rPr>
        <w:t xml:space="preserve"> respondents (</w:t>
      </w:r>
      <w:r>
        <w:rPr>
          <w:rStyle w:val="af5"/>
          <w:rFonts w:ascii="Arial" w:hAnsi="Arial" w:cs="Arial"/>
        </w:rPr>
        <w:t>35%</w:t>
      </w:r>
      <w:r>
        <w:rPr>
          <w:rFonts w:ascii="Arial" w:hAnsi="Arial" w:cs="Arial"/>
        </w:rPr>
        <w:t>) expressed concerns about potential greenwashing, doubting the authenticity of Volkswagen's initiatives. Many suggested that increased transparency in the company's sustainability practices could alleviate these concerns.</w:t>
      </w:r>
    </w:p>
    <w:p w14:paraId="0F49341A" w14:textId="77777777" w:rsidR="0067740A" w:rsidRDefault="00000000">
      <w:pPr>
        <w:pStyle w:val="af"/>
        <w:keepNext/>
      </w:pPr>
      <w:r>
        <w:rPr>
          <w:rFonts w:hint="eastAsia"/>
          <w:noProof/>
        </w:rPr>
        <w:drawing>
          <wp:inline distT="0" distB="0" distL="0" distR="0" wp14:anchorId="5EDF2D40" wp14:editId="32D7D315">
            <wp:extent cx="5943600" cy="4845050"/>
            <wp:effectExtent l="0" t="0" r="0" b="6350"/>
            <wp:docPr id="2110757732" name="Picture 4" descr="A pie char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57732" name="Picture 4" descr="A pie chart with text overlay&#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4845050"/>
                    </a:xfrm>
                    <a:prstGeom prst="rect">
                      <a:avLst/>
                    </a:prstGeom>
                  </pic:spPr>
                </pic:pic>
              </a:graphicData>
            </a:graphic>
          </wp:inline>
        </w:drawing>
      </w:r>
    </w:p>
    <w:p w14:paraId="066083D1" w14:textId="77777777" w:rsidR="0067740A" w:rsidRDefault="00000000">
      <w:pPr>
        <w:pStyle w:val="a3"/>
        <w:spacing w:line="360" w:lineRule="auto"/>
        <w:jc w:val="center"/>
        <w:rPr>
          <w:rFonts w:ascii="Arial" w:hAnsi="Arial" w:cs="Arial"/>
          <w:sz w:val="24"/>
          <w:szCs w:val="24"/>
        </w:rPr>
      </w:pPr>
      <w:bookmarkStart w:id="81" w:name="_Toc177665548"/>
      <w:bookmarkStart w:id="82" w:name="_Toc177665832"/>
      <w:bookmarkStart w:id="83" w:name="_Toc177665507"/>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hint="eastAsia"/>
          <w:sz w:val="24"/>
          <w:szCs w:val="24"/>
        </w:rPr>
        <w:t xml:space="preserve"> D</w:t>
      </w:r>
      <w:r>
        <w:rPr>
          <w:rFonts w:ascii="Arial" w:hAnsi="Arial" w:cs="Arial"/>
          <w:sz w:val="24"/>
          <w:szCs w:val="24"/>
        </w:rPr>
        <w:t>istribution of Consumer Trust in Volkswagen's Sustainability Initiatives</w:t>
      </w:r>
      <w:bookmarkEnd w:id="81"/>
      <w:bookmarkEnd w:id="82"/>
      <w:bookmarkEnd w:id="83"/>
    </w:p>
    <w:p w14:paraId="0532EC1E" w14:textId="77777777" w:rsidR="0067740A" w:rsidRDefault="00000000">
      <w:pPr>
        <w:pStyle w:val="3"/>
        <w:numPr>
          <w:ilvl w:val="2"/>
          <w:numId w:val="4"/>
        </w:numPr>
        <w:spacing w:line="360" w:lineRule="auto"/>
        <w:rPr>
          <w:rFonts w:ascii="Arial" w:hAnsi="Arial" w:cs="Arial"/>
        </w:rPr>
      </w:pPr>
      <w:bookmarkStart w:id="84" w:name="_Toc177666033"/>
      <w:r>
        <w:rPr>
          <w:rFonts w:ascii="Arial" w:hAnsi="Arial" w:cs="Arial"/>
        </w:rPr>
        <w:lastRenderedPageBreak/>
        <w:t>Price Sensitivity and Accessibility Concerns</w:t>
      </w:r>
      <w:bookmarkEnd w:id="84"/>
    </w:p>
    <w:p w14:paraId="0D98DEDE" w14:textId="77777777" w:rsidR="0067740A" w:rsidRDefault="00000000">
      <w:pPr>
        <w:pStyle w:val="af"/>
        <w:spacing w:line="360" w:lineRule="auto"/>
        <w:ind w:firstLine="567"/>
        <w:rPr>
          <w:rFonts w:ascii="Arial" w:hAnsi="Arial" w:cs="Arial"/>
        </w:rPr>
      </w:pPr>
      <w:r>
        <w:rPr>
          <w:rFonts w:ascii="Arial" w:hAnsi="Arial" w:cs="Arial"/>
        </w:rPr>
        <w:t xml:space="preserve">In terms of the financial barriers to EV adoption, </w:t>
      </w:r>
      <w:r>
        <w:rPr>
          <w:rStyle w:val="af5"/>
          <w:rFonts w:ascii="Arial" w:hAnsi="Arial" w:cs="Arial"/>
        </w:rPr>
        <w:t>600</w:t>
      </w:r>
      <w:r>
        <w:rPr>
          <w:rFonts w:ascii="Arial" w:hAnsi="Arial" w:cs="Arial"/>
        </w:rPr>
        <w:t xml:space="preserve"> respondents (</w:t>
      </w:r>
      <w:r>
        <w:rPr>
          <w:rStyle w:val="af5"/>
          <w:rFonts w:ascii="Arial" w:hAnsi="Arial" w:cs="Arial"/>
        </w:rPr>
        <w:t>60%</w:t>
      </w:r>
      <w:r>
        <w:rPr>
          <w:rFonts w:ascii="Arial" w:hAnsi="Arial" w:cs="Arial"/>
        </w:rPr>
        <w:t xml:space="preserve">) identified the high upfront costs of electric vehicles as a significant obstacle. Despite the presence of government subsidies, these individuals felt that the premium pricing of EVs limited accessibility, particularly for the middle-income segment. Furthermore, </w:t>
      </w:r>
      <w:r>
        <w:rPr>
          <w:rStyle w:val="af5"/>
          <w:rFonts w:ascii="Arial" w:hAnsi="Arial" w:cs="Arial"/>
        </w:rPr>
        <w:t>400</w:t>
      </w:r>
      <w:r>
        <w:rPr>
          <w:rFonts w:ascii="Arial" w:hAnsi="Arial" w:cs="Arial"/>
        </w:rPr>
        <w:t xml:space="preserve"> respondents (</w:t>
      </w:r>
      <w:r>
        <w:rPr>
          <w:rStyle w:val="af5"/>
          <w:rFonts w:ascii="Arial" w:hAnsi="Arial" w:cs="Arial"/>
        </w:rPr>
        <w:t>40%</w:t>
      </w:r>
      <w:r>
        <w:rPr>
          <w:rFonts w:ascii="Arial" w:hAnsi="Arial" w:cs="Arial"/>
        </w:rPr>
        <w:t>) noted that, even with subsidies, electric vehicles remain out of reach, thereby impeding widespread adoption.</w:t>
      </w:r>
    </w:p>
    <w:p w14:paraId="3CAAA551" w14:textId="77777777" w:rsidR="0067740A" w:rsidRDefault="00000000">
      <w:pPr>
        <w:pStyle w:val="af"/>
        <w:keepNext/>
      </w:pPr>
      <w:r>
        <w:rPr>
          <w:rFonts w:hint="eastAsia"/>
          <w:noProof/>
        </w:rPr>
        <w:drawing>
          <wp:inline distT="0" distB="0" distL="0" distR="0" wp14:anchorId="1CC99683" wp14:editId="7C9FD6CF">
            <wp:extent cx="5943600" cy="3670300"/>
            <wp:effectExtent l="0" t="0" r="0" b="0"/>
            <wp:docPr id="1281736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36556"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670300"/>
                    </a:xfrm>
                    <a:prstGeom prst="rect">
                      <a:avLst/>
                    </a:prstGeom>
                  </pic:spPr>
                </pic:pic>
              </a:graphicData>
            </a:graphic>
          </wp:inline>
        </w:drawing>
      </w:r>
    </w:p>
    <w:p w14:paraId="7994F6E1" w14:textId="77777777" w:rsidR="0067740A" w:rsidRDefault="00000000">
      <w:pPr>
        <w:pStyle w:val="a3"/>
        <w:spacing w:line="360" w:lineRule="auto"/>
        <w:jc w:val="center"/>
        <w:rPr>
          <w:rFonts w:ascii="Arial" w:hAnsi="Arial" w:cs="Arial"/>
          <w:sz w:val="24"/>
          <w:szCs w:val="24"/>
        </w:rPr>
      </w:pPr>
      <w:bookmarkStart w:id="85" w:name="_Toc177665833"/>
      <w:bookmarkStart w:id="86" w:name="_Toc177665508"/>
      <w:bookmarkStart w:id="87" w:name="_Toc177665549"/>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t>Factors Affecting Electric Vehicle Adoption – Price Sensitivity and Accessibility Concerns</w:t>
      </w:r>
      <w:bookmarkEnd w:id="85"/>
      <w:bookmarkEnd w:id="86"/>
      <w:bookmarkEnd w:id="87"/>
    </w:p>
    <w:p w14:paraId="62D00980" w14:textId="77777777" w:rsidR="0067740A" w:rsidRDefault="00000000">
      <w:r>
        <w:br w:type="page"/>
      </w:r>
    </w:p>
    <w:p w14:paraId="620965C4" w14:textId="77777777" w:rsidR="0067740A" w:rsidRDefault="00000000">
      <w:pPr>
        <w:pStyle w:val="3"/>
        <w:numPr>
          <w:ilvl w:val="2"/>
          <w:numId w:val="4"/>
        </w:numPr>
        <w:spacing w:line="360" w:lineRule="auto"/>
        <w:rPr>
          <w:rFonts w:ascii="Arial" w:hAnsi="Arial" w:cs="Arial"/>
        </w:rPr>
      </w:pPr>
      <w:bookmarkStart w:id="88" w:name="_Toc177666034"/>
      <w:r>
        <w:rPr>
          <w:rFonts w:ascii="Arial" w:hAnsi="Arial" w:cs="Arial"/>
        </w:rPr>
        <w:lastRenderedPageBreak/>
        <w:t>Perception of Volkswagen's Innovation and Future-Proofing</w:t>
      </w:r>
      <w:bookmarkEnd w:id="88"/>
    </w:p>
    <w:p w14:paraId="1D91EA1F" w14:textId="77777777" w:rsidR="0067740A" w:rsidRDefault="00000000">
      <w:pPr>
        <w:pStyle w:val="af"/>
        <w:spacing w:line="360" w:lineRule="auto"/>
        <w:ind w:firstLine="567"/>
        <w:rPr>
          <w:rFonts w:ascii="Arial" w:hAnsi="Arial" w:cs="Arial"/>
        </w:rPr>
      </w:pPr>
      <w:r>
        <w:rPr>
          <w:rFonts w:ascii="Arial" w:hAnsi="Arial" w:cs="Arial"/>
        </w:rPr>
        <w:t xml:space="preserve">When asked about Volkswagen's investment in electric vehicle technology and sustainable manufacturing, </w:t>
      </w:r>
      <w:r>
        <w:rPr>
          <w:rStyle w:val="af5"/>
          <w:rFonts w:ascii="Arial" w:hAnsi="Arial" w:cs="Arial"/>
        </w:rPr>
        <w:t>720</w:t>
      </w:r>
      <w:r>
        <w:rPr>
          <w:rFonts w:ascii="Arial" w:hAnsi="Arial" w:cs="Arial"/>
        </w:rPr>
        <w:t xml:space="preserve"> respondents (</w:t>
      </w:r>
      <w:r>
        <w:rPr>
          <w:rStyle w:val="af5"/>
          <w:rFonts w:ascii="Arial" w:hAnsi="Arial" w:cs="Arial"/>
        </w:rPr>
        <w:t>72%</w:t>
      </w:r>
      <w:r>
        <w:rPr>
          <w:rFonts w:ascii="Arial" w:hAnsi="Arial" w:cs="Arial"/>
        </w:rPr>
        <w:t xml:space="preserve">) agreed that the company’s focus on innovation positions it as a forward-thinking brand. These respondents viewed Volkswagen’s long-term commitment to both environmental sustainability and technological advancement as a competitive advantage in the Chinese market. However, </w:t>
      </w:r>
      <w:r>
        <w:rPr>
          <w:rStyle w:val="af5"/>
          <w:rFonts w:ascii="Arial" w:hAnsi="Arial" w:cs="Arial"/>
        </w:rPr>
        <w:t>280</w:t>
      </w:r>
      <w:r>
        <w:rPr>
          <w:rFonts w:ascii="Arial" w:hAnsi="Arial" w:cs="Arial"/>
        </w:rPr>
        <w:t xml:space="preserve"> respondents (</w:t>
      </w:r>
      <w:r>
        <w:rPr>
          <w:rStyle w:val="af5"/>
          <w:rFonts w:ascii="Arial" w:hAnsi="Arial" w:cs="Arial"/>
        </w:rPr>
        <w:t>28%</w:t>
      </w:r>
      <w:r>
        <w:rPr>
          <w:rFonts w:ascii="Arial" w:hAnsi="Arial" w:cs="Arial"/>
        </w:rPr>
        <w:t>) remained neutral or sceptical about Volkswagen’s approach, suggesting a need for ongoing demonstration of commitment through consistent actions and communication.</w:t>
      </w:r>
    </w:p>
    <w:p w14:paraId="01CF598B" w14:textId="77777777" w:rsidR="0067740A" w:rsidRDefault="00000000">
      <w:pPr>
        <w:pStyle w:val="af"/>
        <w:keepNext/>
      </w:pPr>
      <w:r>
        <w:rPr>
          <w:rFonts w:hint="eastAsia"/>
          <w:noProof/>
        </w:rPr>
        <w:drawing>
          <wp:inline distT="0" distB="0" distL="0" distR="0" wp14:anchorId="1B00BE62" wp14:editId="069480C2">
            <wp:extent cx="5943600" cy="3559175"/>
            <wp:effectExtent l="0" t="0" r="0" b="0"/>
            <wp:docPr id="2025942852" name="Picture 6" descr="A green and orange rectangl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942852" name="Picture 6" descr="A green and orange rectangles with black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559175"/>
                    </a:xfrm>
                    <a:prstGeom prst="rect">
                      <a:avLst/>
                    </a:prstGeom>
                  </pic:spPr>
                </pic:pic>
              </a:graphicData>
            </a:graphic>
          </wp:inline>
        </w:drawing>
      </w:r>
    </w:p>
    <w:p w14:paraId="0AAAD868" w14:textId="77777777" w:rsidR="0067740A" w:rsidRDefault="00000000">
      <w:pPr>
        <w:pStyle w:val="a3"/>
        <w:jc w:val="center"/>
        <w:rPr>
          <w:rFonts w:ascii="Arial" w:hAnsi="Arial" w:cs="Arial"/>
          <w:sz w:val="24"/>
          <w:szCs w:val="24"/>
        </w:rPr>
      </w:pPr>
      <w:bookmarkStart w:id="89" w:name="_Toc177665509"/>
      <w:bookmarkStart w:id="90" w:name="_Toc177665834"/>
      <w:bookmarkStart w:id="91" w:name="_Toc177665550"/>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t>Consumer Perception of Volkswagen’s Innovation and Future-Proofing in the Chinese Market</w:t>
      </w:r>
      <w:bookmarkEnd w:id="89"/>
      <w:bookmarkEnd w:id="90"/>
      <w:bookmarkEnd w:id="91"/>
    </w:p>
    <w:p w14:paraId="573CB605" w14:textId="77777777" w:rsidR="0067740A" w:rsidRDefault="00000000">
      <w:pPr>
        <w:spacing w:line="360" w:lineRule="auto"/>
        <w:ind w:firstLine="567"/>
        <w:rPr>
          <w:rFonts w:ascii="Arial" w:hAnsi="Arial" w:cs="Arial"/>
        </w:rPr>
      </w:pPr>
      <w:r>
        <w:rPr>
          <w:rFonts w:ascii="Arial" w:hAnsi="Arial" w:cs="Arial"/>
        </w:rPr>
        <w:t xml:space="preserve">The survey responses, visualised through the charts above, provide a comprehensive overview of consumer attitudes towards Volkswagen’s sustainability initiatives. While a significant number of consumers trust the company's efforts and acknowledge its innovative strategies, concerns remain about the high costs of EVs and the authenticity of Volkswagen's green initiatives. These findings underscore the </w:t>
      </w:r>
      <w:r>
        <w:rPr>
          <w:rFonts w:ascii="Arial" w:hAnsi="Arial" w:cs="Arial"/>
        </w:rPr>
        <w:lastRenderedPageBreak/>
        <w:t>importance of balancing economic and environmental considerations in shaping consumer decisions within the Chinese electric vehicle market, as supported by previous research (Wang et al., 2019). The subsequent chapters will delve deeper into these findings, providing strategic recommendations based on the detailed analysis presented here.</w:t>
      </w:r>
    </w:p>
    <w:p w14:paraId="4F1FBD0A" w14:textId="77777777" w:rsidR="0067740A" w:rsidRDefault="0067740A">
      <w:pPr>
        <w:spacing w:line="360" w:lineRule="auto"/>
        <w:rPr>
          <w:rFonts w:ascii="Arial" w:hAnsi="Arial" w:cs="Arial"/>
        </w:rPr>
      </w:pPr>
    </w:p>
    <w:p w14:paraId="0FA41462" w14:textId="77777777" w:rsidR="0067740A" w:rsidRDefault="00000000">
      <w:pPr>
        <w:rPr>
          <w:rFonts w:ascii="Arial" w:hAnsi="Arial" w:cs="Arial"/>
        </w:rPr>
      </w:pPr>
      <w:bookmarkStart w:id="92" w:name="OLE_LINK82"/>
      <w:bookmarkStart w:id="93" w:name="OLE_LINK83"/>
      <w:bookmarkEnd w:id="78"/>
      <w:bookmarkEnd w:id="79"/>
      <w:r>
        <w:rPr>
          <w:rFonts w:ascii="Arial" w:hAnsi="Arial" w:cs="Arial"/>
        </w:rPr>
        <w:br w:type="page"/>
      </w:r>
    </w:p>
    <w:p w14:paraId="24AEAEB9" w14:textId="77777777" w:rsidR="0067740A" w:rsidRDefault="00000000">
      <w:pPr>
        <w:pStyle w:val="2"/>
        <w:numPr>
          <w:ilvl w:val="1"/>
          <w:numId w:val="4"/>
        </w:numPr>
        <w:rPr>
          <w:rFonts w:ascii="Arial" w:hAnsi="Arial" w:cs="Arial"/>
          <w:szCs w:val="24"/>
        </w:rPr>
      </w:pPr>
      <w:bookmarkStart w:id="94" w:name="_Toc177666035"/>
      <w:bookmarkStart w:id="95" w:name="OLE_LINK85"/>
      <w:bookmarkStart w:id="96" w:name="OLE_LINK84"/>
      <w:bookmarkEnd w:id="92"/>
      <w:bookmarkEnd w:id="93"/>
      <w:r>
        <w:rPr>
          <w:rFonts w:ascii="Arial" w:hAnsi="Arial" w:cs="Arial"/>
          <w:szCs w:val="24"/>
        </w:rPr>
        <w:lastRenderedPageBreak/>
        <w:t>Analysis of Consumer Perceptions and Competitive Advantage</w:t>
      </w:r>
      <w:bookmarkEnd w:id="94"/>
    </w:p>
    <w:p w14:paraId="5C71AEBF" w14:textId="77777777" w:rsidR="0067740A" w:rsidRDefault="00000000">
      <w:pPr>
        <w:pStyle w:val="af"/>
        <w:spacing w:line="360" w:lineRule="auto"/>
        <w:ind w:firstLine="567"/>
        <w:rPr>
          <w:rFonts w:ascii="Arial" w:hAnsi="Arial" w:cs="Arial"/>
        </w:rPr>
      </w:pPr>
      <w:r>
        <w:rPr>
          <w:rFonts w:ascii="Arial" w:hAnsi="Arial" w:cs="Arial"/>
        </w:rPr>
        <w:t xml:space="preserve">The analysis of consumer perceptions reveals that Volkswagen’s sustainability initiatives are central to shaping </w:t>
      </w:r>
      <w:r>
        <w:rPr>
          <w:rStyle w:val="af5"/>
          <w:rFonts w:ascii="Arial" w:hAnsi="Arial" w:cs="Arial"/>
          <w:b w:val="0"/>
          <w:bCs w:val="0"/>
        </w:rPr>
        <w:t>brand loyalty</w:t>
      </w:r>
      <w:r>
        <w:rPr>
          <w:rFonts w:ascii="Arial" w:hAnsi="Arial" w:cs="Arial"/>
        </w:rPr>
        <w:t xml:space="preserve"> and securing a </w:t>
      </w:r>
      <w:r>
        <w:rPr>
          <w:rStyle w:val="af5"/>
          <w:rFonts w:ascii="Arial" w:hAnsi="Arial" w:cs="Arial"/>
          <w:b w:val="0"/>
          <w:bCs w:val="0"/>
        </w:rPr>
        <w:t>competitive advantage</w:t>
      </w:r>
      <w:r>
        <w:rPr>
          <w:rFonts w:ascii="Arial" w:hAnsi="Arial" w:cs="Arial"/>
        </w:rPr>
        <w:t xml:space="preserve"> in the Chinese market. </w:t>
      </w:r>
      <w:r>
        <w:rPr>
          <w:rStyle w:val="af5"/>
          <w:rFonts w:ascii="Arial" w:hAnsi="Arial" w:cs="Arial"/>
          <w:b w:val="0"/>
          <w:bCs w:val="0"/>
        </w:rPr>
        <w:t>H5</w:t>
      </w:r>
      <w:r>
        <w:rPr>
          <w:rFonts w:ascii="Arial" w:hAnsi="Arial" w:cs="Arial"/>
        </w:rPr>
        <w:t xml:space="preserve">, which hypothesised that positive perceptions of </w:t>
      </w:r>
      <w:r>
        <w:rPr>
          <w:rStyle w:val="af5"/>
          <w:rFonts w:ascii="Arial" w:hAnsi="Arial" w:cs="Arial"/>
          <w:b w:val="0"/>
          <w:bCs w:val="0"/>
        </w:rPr>
        <w:t>green manufacturing</w:t>
      </w:r>
      <w:r>
        <w:rPr>
          <w:rFonts w:ascii="Arial" w:hAnsi="Arial" w:cs="Arial"/>
        </w:rPr>
        <w:t xml:space="preserve"> practices would enhance consumer loyalty, is supported by data showing that </w:t>
      </w:r>
      <w:r>
        <w:rPr>
          <w:rStyle w:val="af5"/>
          <w:rFonts w:ascii="Arial" w:hAnsi="Arial" w:cs="Arial"/>
          <w:b w:val="0"/>
          <w:bCs w:val="0"/>
        </w:rPr>
        <w:t>65%</w:t>
      </w:r>
      <w:r>
        <w:rPr>
          <w:rFonts w:ascii="Arial" w:hAnsi="Arial" w:cs="Arial"/>
        </w:rPr>
        <w:t xml:space="preserve"> of respondents feel more loyal to Volkswagen due to the company’s environmental efforts (Chen &amp; Wang, 2020). This demonstrates that sustainability is a critical factor for many consumers in building trust and loyalty to the brand.</w:t>
      </w:r>
    </w:p>
    <w:p w14:paraId="1049B06E" w14:textId="77777777" w:rsidR="0067740A" w:rsidRDefault="00000000">
      <w:pPr>
        <w:pStyle w:val="af"/>
        <w:spacing w:line="360" w:lineRule="auto"/>
        <w:ind w:firstLine="567"/>
        <w:rPr>
          <w:rFonts w:ascii="Arial" w:hAnsi="Arial" w:cs="Arial"/>
        </w:rPr>
      </w:pPr>
      <w:r>
        <w:rPr>
          <w:rFonts w:ascii="Arial" w:hAnsi="Arial" w:cs="Arial"/>
        </w:rPr>
        <w:t xml:space="preserve">However, challenges remain, particularly regarding the </w:t>
      </w:r>
      <w:r>
        <w:rPr>
          <w:rStyle w:val="af5"/>
          <w:rFonts w:ascii="Arial" w:hAnsi="Arial" w:cs="Arial"/>
          <w:b w:val="0"/>
          <w:bCs w:val="0"/>
        </w:rPr>
        <w:t>high cost</w:t>
      </w:r>
      <w:r>
        <w:rPr>
          <w:rFonts w:ascii="Arial" w:hAnsi="Arial" w:cs="Arial"/>
        </w:rPr>
        <w:t xml:space="preserve"> of Volkswagen’s electric vehicles, a concern that was highlighted in </w:t>
      </w:r>
      <w:r>
        <w:rPr>
          <w:rStyle w:val="af5"/>
          <w:rFonts w:ascii="Arial" w:hAnsi="Arial" w:cs="Arial"/>
          <w:b w:val="0"/>
          <w:bCs w:val="0"/>
        </w:rPr>
        <w:t>H4</w:t>
      </w:r>
      <w:r>
        <w:rPr>
          <w:rFonts w:ascii="Arial" w:hAnsi="Arial" w:cs="Arial"/>
        </w:rPr>
        <w:t xml:space="preserve">. While </w:t>
      </w:r>
      <w:r>
        <w:rPr>
          <w:rStyle w:val="af5"/>
          <w:rFonts w:ascii="Arial" w:hAnsi="Arial" w:cs="Arial"/>
          <w:b w:val="0"/>
          <w:bCs w:val="0"/>
        </w:rPr>
        <w:t>sustainability</w:t>
      </w:r>
      <w:r>
        <w:rPr>
          <w:rFonts w:ascii="Arial" w:hAnsi="Arial" w:cs="Arial"/>
        </w:rPr>
        <w:t xml:space="preserve"> initiatives improve the company’s image, many middle-income consumers view price as a significant barrier to adoption. This indicates that Volkswagen’s strong competitive positioning in the premium EV market does not fully extend to more cost-conscious segments, which may hinder wider market penetration (Zhao et al., 2020). Addressing these pricing concerns, especially through innovations in </w:t>
      </w:r>
      <w:r>
        <w:rPr>
          <w:rStyle w:val="af5"/>
          <w:rFonts w:ascii="Arial" w:hAnsi="Arial" w:cs="Arial"/>
          <w:b w:val="0"/>
          <w:bCs w:val="0"/>
        </w:rPr>
        <w:t>cost reduction</w:t>
      </w:r>
      <w:r>
        <w:rPr>
          <w:rFonts w:ascii="Arial" w:hAnsi="Arial" w:cs="Arial"/>
        </w:rPr>
        <w:t xml:space="preserve"> or increased availability of </w:t>
      </w:r>
      <w:r>
        <w:rPr>
          <w:rStyle w:val="af5"/>
          <w:rFonts w:ascii="Arial" w:hAnsi="Arial" w:cs="Arial"/>
          <w:b w:val="0"/>
          <w:bCs w:val="0"/>
        </w:rPr>
        <w:t>affordable EV models</w:t>
      </w:r>
      <w:r>
        <w:rPr>
          <w:rFonts w:ascii="Arial" w:hAnsi="Arial" w:cs="Arial"/>
        </w:rPr>
        <w:t>, will be essential for capturing a larger share of the market.</w:t>
      </w:r>
    </w:p>
    <w:p w14:paraId="760213AC" w14:textId="77777777" w:rsidR="0067740A" w:rsidRDefault="00000000">
      <w:pPr>
        <w:pStyle w:val="af"/>
        <w:spacing w:line="360" w:lineRule="auto"/>
        <w:ind w:firstLine="567"/>
        <w:rPr>
          <w:rFonts w:ascii="Arial" w:hAnsi="Arial" w:cs="Arial"/>
        </w:rPr>
      </w:pPr>
      <w:r>
        <w:rPr>
          <w:rFonts w:ascii="Arial" w:hAnsi="Arial" w:cs="Arial"/>
        </w:rPr>
        <w:t xml:space="preserve">Volkswagen’s focus on </w:t>
      </w:r>
      <w:r>
        <w:rPr>
          <w:rStyle w:val="af5"/>
          <w:rFonts w:ascii="Arial" w:hAnsi="Arial" w:cs="Arial"/>
          <w:b w:val="0"/>
          <w:bCs w:val="0"/>
        </w:rPr>
        <w:t>technological innovation</w:t>
      </w:r>
      <w:r>
        <w:rPr>
          <w:rFonts w:ascii="Arial" w:hAnsi="Arial" w:cs="Arial"/>
        </w:rPr>
        <w:t xml:space="preserve">, particularly in EV and </w:t>
      </w:r>
      <w:r>
        <w:rPr>
          <w:rStyle w:val="af5"/>
          <w:rFonts w:ascii="Arial" w:hAnsi="Arial" w:cs="Arial"/>
          <w:b w:val="0"/>
          <w:bCs w:val="0"/>
        </w:rPr>
        <w:t>battery technology</w:t>
      </w:r>
      <w:r>
        <w:rPr>
          <w:rFonts w:ascii="Arial" w:hAnsi="Arial" w:cs="Arial"/>
        </w:rPr>
        <w:t xml:space="preserve">, has solidified its position against major competitors such as </w:t>
      </w:r>
      <w:r>
        <w:rPr>
          <w:rStyle w:val="af5"/>
          <w:rFonts w:ascii="Arial" w:hAnsi="Arial" w:cs="Arial"/>
          <w:b w:val="0"/>
          <w:bCs w:val="0"/>
        </w:rPr>
        <w:t>Tesla</w:t>
      </w:r>
      <w:r>
        <w:rPr>
          <w:rFonts w:ascii="Arial" w:hAnsi="Arial" w:cs="Arial"/>
        </w:rPr>
        <w:t xml:space="preserve"> and </w:t>
      </w:r>
      <w:r>
        <w:rPr>
          <w:rStyle w:val="af5"/>
          <w:rFonts w:ascii="Arial" w:hAnsi="Arial" w:cs="Arial"/>
          <w:b w:val="0"/>
          <w:bCs w:val="0"/>
        </w:rPr>
        <w:t>BYD</w:t>
      </w:r>
      <w:r>
        <w:rPr>
          <w:rFonts w:ascii="Arial" w:hAnsi="Arial" w:cs="Arial"/>
        </w:rPr>
        <w:t xml:space="preserve">. This innovation-driven approach supports Volkswagen’s long-term vision, enabling the company to remain competitive in a rapidly evolving market (Huang et al., 2020). However, consumer trust remains a critical issue, with some respondents still questioning the </w:t>
      </w:r>
      <w:r>
        <w:rPr>
          <w:rStyle w:val="af5"/>
          <w:rFonts w:ascii="Arial" w:hAnsi="Arial" w:cs="Arial"/>
          <w:b w:val="0"/>
          <w:bCs w:val="0"/>
        </w:rPr>
        <w:t>genuineness</w:t>
      </w:r>
      <w:r>
        <w:rPr>
          <w:rFonts w:ascii="Arial" w:hAnsi="Arial" w:cs="Arial"/>
        </w:rPr>
        <w:t xml:space="preserve"> of Volkswagen’s sustainability initiatives. To enhance its competitive advantage, Volkswagen must continue to improve transparency around its environmental goals and deliver on its promises to avoid accusations of </w:t>
      </w:r>
      <w:r>
        <w:rPr>
          <w:rStyle w:val="af5"/>
          <w:rFonts w:ascii="Arial" w:hAnsi="Arial" w:cs="Arial"/>
          <w:b w:val="0"/>
          <w:bCs w:val="0"/>
        </w:rPr>
        <w:t>greenwashing</w:t>
      </w:r>
      <w:r>
        <w:rPr>
          <w:rFonts w:ascii="Arial" w:hAnsi="Arial" w:cs="Arial"/>
        </w:rPr>
        <w:t xml:space="preserve"> (Zhao et al., 2020).</w:t>
      </w:r>
    </w:p>
    <w:p w14:paraId="48B991AA" w14:textId="77777777" w:rsidR="0067740A" w:rsidRDefault="00000000">
      <w:pPr>
        <w:pStyle w:val="af"/>
        <w:spacing w:line="360" w:lineRule="auto"/>
        <w:ind w:firstLine="567"/>
        <w:rPr>
          <w:rFonts w:ascii="Arial" w:hAnsi="Arial" w:cs="Arial"/>
        </w:rPr>
      </w:pPr>
      <w:r>
        <w:rPr>
          <w:rFonts w:ascii="Arial" w:hAnsi="Arial" w:cs="Arial"/>
        </w:rPr>
        <w:t xml:space="preserve">In conclusion, while Volkswagen’s sustainability efforts have contributed significantly to </w:t>
      </w:r>
      <w:r>
        <w:rPr>
          <w:rStyle w:val="af5"/>
          <w:rFonts w:ascii="Arial" w:hAnsi="Arial" w:cs="Arial"/>
          <w:b w:val="0"/>
          <w:bCs w:val="0"/>
        </w:rPr>
        <w:t>brand</w:t>
      </w:r>
      <w:r>
        <w:rPr>
          <w:rStyle w:val="af5"/>
          <w:rFonts w:ascii="Arial" w:hAnsi="Arial" w:cs="Arial"/>
        </w:rPr>
        <w:t xml:space="preserve"> </w:t>
      </w:r>
      <w:r>
        <w:rPr>
          <w:rStyle w:val="af5"/>
          <w:rFonts w:ascii="Arial" w:hAnsi="Arial" w:cs="Arial"/>
          <w:b w:val="0"/>
          <w:bCs w:val="0"/>
        </w:rPr>
        <w:t>loyalty</w:t>
      </w:r>
      <w:r>
        <w:rPr>
          <w:rFonts w:ascii="Arial" w:hAnsi="Arial" w:cs="Arial"/>
        </w:rPr>
        <w:t xml:space="preserve"> and </w:t>
      </w:r>
      <w:r>
        <w:rPr>
          <w:rStyle w:val="af5"/>
          <w:rFonts w:ascii="Arial" w:hAnsi="Arial" w:cs="Arial"/>
          <w:b w:val="0"/>
          <w:bCs w:val="0"/>
        </w:rPr>
        <w:t>market</w:t>
      </w:r>
      <w:r>
        <w:rPr>
          <w:rStyle w:val="af5"/>
          <w:rFonts w:ascii="Arial" w:hAnsi="Arial" w:cs="Arial"/>
        </w:rPr>
        <w:t xml:space="preserve"> </w:t>
      </w:r>
      <w:r>
        <w:rPr>
          <w:rStyle w:val="af5"/>
          <w:rFonts w:ascii="Arial" w:hAnsi="Arial" w:cs="Arial"/>
          <w:b w:val="0"/>
          <w:bCs w:val="0"/>
        </w:rPr>
        <w:t>positioning</w:t>
      </w:r>
      <w:r>
        <w:rPr>
          <w:rFonts w:ascii="Arial" w:hAnsi="Arial" w:cs="Arial"/>
        </w:rPr>
        <w:t xml:space="preserve">, the company faces ongoing challenges, particularly around </w:t>
      </w:r>
      <w:r>
        <w:rPr>
          <w:rStyle w:val="af5"/>
          <w:rFonts w:ascii="Arial" w:hAnsi="Arial" w:cs="Arial"/>
          <w:b w:val="0"/>
          <w:bCs w:val="0"/>
        </w:rPr>
        <w:t>price accessibility</w:t>
      </w:r>
      <w:r>
        <w:rPr>
          <w:rFonts w:ascii="Arial" w:hAnsi="Arial" w:cs="Arial"/>
        </w:rPr>
        <w:t xml:space="preserve"> and </w:t>
      </w:r>
      <w:r>
        <w:rPr>
          <w:rStyle w:val="af5"/>
          <w:rFonts w:ascii="Arial" w:hAnsi="Arial" w:cs="Arial"/>
          <w:b w:val="0"/>
          <w:bCs w:val="0"/>
        </w:rPr>
        <w:t>trust</w:t>
      </w:r>
      <w:r>
        <w:rPr>
          <w:rFonts w:ascii="Arial" w:hAnsi="Arial" w:cs="Arial"/>
        </w:rPr>
        <w:t xml:space="preserve">. Addressing these issues </w:t>
      </w:r>
      <w:r>
        <w:rPr>
          <w:rFonts w:ascii="Arial" w:hAnsi="Arial" w:cs="Arial"/>
        </w:rPr>
        <w:lastRenderedPageBreak/>
        <w:t>through clear communication and strategic innovation will be key to strengthening its long-term competitive advantage.</w:t>
      </w:r>
    </w:p>
    <w:p w14:paraId="1215FB0E" w14:textId="77777777" w:rsidR="0067740A" w:rsidRDefault="00000000">
      <w:pPr>
        <w:rPr>
          <w:rFonts w:ascii="Arial" w:hAnsi="Arial" w:cs="Arial"/>
        </w:rPr>
      </w:pPr>
      <w:r>
        <w:rPr>
          <w:rFonts w:ascii="Arial" w:hAnsi="Arial" w:cs="Arial"/>
        </w:rPr>
        <w:br w:type="page"/>
      </w:r>
    </w:p>
    <w:p w14:paraId="704D08D2" w14:textId="514C3E04" w:rsidR="0067740A" w:rsidRDefault="007924FA">
      <w:pPr>
        <w:pStyle w:val="2"/>
        <w:numPr>
          <w:ilvl w:val="1"/>
          <w:numId w:val="4"/>
        </w:numPr>
        <w:rPr>
          <w:rFonts w:ascii="Arial" w:hAnsi="Arial" w:cs="Arial"/>
          <w:szCs w:val="24"/>
        </w:rPr>
      </w:pPr>
      <w:bookmarkStart w:id="97" w:name="_Toc177666036"/>
      <w:r>
        <w:rPr>
          <w:rFonts w:ascii="Arial" w:hAnsi="Arial" w:cs="Arial" w:hint="eastAsia"/>
          <w:szCs w:val="24"/>
        </w:rPr>
        <w:lastRenderedPageBreak/>
        <w:t xml:space="preserve"> </w:t>
      </w:r>
      <w:r>
        <w:rPr>
          <w:rFonts w:ascii="Arial" w:hAnsi="Arial" w:cs="Arial"/>
          <w:szCs w:val="24"/>
        </w:rPr>
        <w:t>Discussion of Findings</w:t>
      </w:r>
      <w:bookmarkEnd w:id="97"/>
    </w:p>
    <w:p w14:paraId="56585E18" w14:textId="77777777" w:rsidR="0067740A" w:rsidRDefault="00000000">
      <w:pPr>
        <w:pStyle w:val="af"/>
        <w:spacing w:line="360" w:lineRule="auto"/>
        <w:ind w:firstLine="567"/>
        <w:rPr>
          <w:rFonts w:ascii="Arial" w:hAnsi="Arial" w:cs="Arial"/>
        </w:rPr>
      </w:pPr>
      <w:r>
        <w:rPr>
          <w:rFonts w:ascii="Arial" w:hAnsi="Arial" w:cs="Arial"/>
        </w:rPr>
        <w:t>The findings from the analysis provide valuable insights into how Volkswagen’s sustainability initiatives are perceived by Chinese consumers and the impact these perceptions have on the company's competitive advantage. Overall, the data supports the hypothesis that sustainability efforts positively influence brand loyalty and market performance, although several challenges remain, particularly with regard to pricing and consumer trust.</w:t>
      </w:r>
    </w:p>
    <w:p w14:paraId="171E97A9" w14:textId="77777777" w:rsidR="0067740A" w:rsidRDefault="00000000">
      <w:pPr>
        <w:pStyle w:val="af"/>
        <w:spacing w:line="360" w:lineRule="auto"/>
        <w:ind w:firstLine="567"/>
        <w:rPr>
          <w:rFonts w:ascii="Arial" w:hAnsi="Arial" w:cs="Arial"/>
        </w:rPr>
      </w:pPr>
      <w:r>
        <w:rPr>
          <w:rFonts w:ascii="Arial" w:hAnsi="Arial" w:cs="Arial"/>
        </w:rPr>
        <w:t>As demonstrated in the analysis, while a significant portion of respondents acknowledged Volkswagen’s green efforts, concerns about greenwashing and the genuineness of the company’s initiatives were prevalent. These findings align with previous studies, such as those by Zhao et al. (2018), which suggest that consumers may be sceptical about whether companies are genuinely committed to sustainability or if such efforts are primarily part of a marketing strategy. This highlights the importance of transparency and communication in ensuring that sustainability claims resonate with consumers.</w:t>
      </w:r>
    </w:p>
    <w:p w14:paraId="0BACF92D" w14:textId="77777777" w:rsidR="0067740A" w:rsidRDefault="00000000">
      <w:pPr>
        <w:pStyle w:val="af"/>
        <w:spacing w:line="360" w:lineRule="auto"/>
        <w:ind w:firstLine="567"/>
        <w:rPr>
          <w:rFonts w:ascii="Arial" w:hAnsi="Arial" w:cs="Arial"/>
        </w:rPr>
      </w:pPr>
      <w:r>
        <w:rPr>
          <w:rFonts w:ascii="Arial" w:hAnsi="Arial" w:cs="Arial"/>
        </w:rPr>
        <w:t>Moreover, the issue of price sensitivity emerged as a critical factor affecting the adoption of electric vehicles (EVs), even among environmentally conscious consumers. This reflects broader economic considerations discussed in the literature, where cost remains a primary barrier to the wider adoption of sustainable products, particularly in the automotive sector (Chen &amp; Wu, 2020). Thus, while Volkswagen’s investment in innovation and EV technology positions the company as forward-thinking, the high cost of these vehicles continues to limit their accessibility to middle-income consumers, indicating a potential area for strategic adjustment.</w:t>
      </w:r>
    </w:p>
    <w:p w14:paraId="05DFF178" w14:textId="77777777" w:rsidR="0067740A" w:rsidRDefault="00000000">
      <w:pPr>
        <w:pStyle w:val="af"/>
        <w:spacing w:line="360" w:lineRule="auto"/>
        <w:ind w:firstLine="567"/>
        <w:rPr>
          <w:rFonts w:ascii="Arial" w:hAnsi="Arial" w:cs="Arial"/>
        </w:rPr>
      </w:pPr>
      <w:r>
        <w:rPr>
          <w:rFonts w:ascii="Arial" w:hAnsi="Arial" w:cs="Arial"/>
        </w:rPr>
        <w:t>In terms of competitive advantage, the analysis confirms that sustainability initiatives can enhance brand loyalty and improve market share, particularly among younger and more environmentally aware demographics. However, the data also suggests that Volkswagen must address the price-value equation to appeal to a broader consumer base and fully capitalise on the opportunities in the Chinese market.</w:t>
      </w:r>
    </w:p>
    <w:p w14:paraId="7B3F2BF5" w14:textId="77777777" w:rsidR="0067740A" w:rsidRDefault="00000000">
      <w:pPr>
        <w:pStyle w:val="af"/>
        <w:spacing w:line="360" w:lineRule="auto"/>
        <w:ind w:firstLine="567"/>
        <w:rPr>
          <w:rFonts w:ascii="Arial" w:hAnsi="Arial" w:cs="Arial"/>
        </w:rPr>
      </w:pPr>
      <w:r>
        <w:rPr>
          <w:rFonts w:ascii="Arial" w:hAnsi="Arial" w:cs="Arial"/>
        </w:rPr>
        <w:lastRenderedPageBreak/>
        <w:t>This discussion illustrates that while Volkswagen</w:t>
      </w:r>
      <w:r>
        <w:rPr>
          <w:rFonts w:ascii="Arial" w:eastAsia="宋体" w:hAnsi="Arial" w:cs="Arial"/>
          <w:lang w:val="en-US"/>
        </w:rPr>
        <w:t>’</w:t>
      </w:r>
      <w:r>
        <w:rPr>
          <w:rFonts w:ascii="Arial" w:hAnsi="Arial" w:cs="Arial"/>
        </w:rPr>
        <w:t>s sustainability strategy is a strong driver of brand perception, continued efforts are needed to bridge the gap between consumer expectations and the company’s offerings. In the next chapter, these findings will inform strategic recommendations aimed at improving Volkswagen</w:t>
      </w:r>
      <w:r>
        <w:rPr>
          <w:rFonts w:ascii="Arial" w:eastAsia="宋体" w:hAnsi="Arial" w:cs="Arial"/>
          <w:lang w:val="en-US"/>
        </w:rPr>
        <w:t>’</w:t>
      </w:r>
      <w:r>
        <w:rPr>
          <w:rFonts w:ascii="Arial" w:hAnsi="Arial" w:cs="Arial"/>
        </w:rPr>
        <w:t>s sustainability efforts and strengthening its competitive positioning.</w:t>
      </w:r>
    </w:p>
    <w:p w14:paraId="41864C04" w14:textId="77777777" w:rsidR="0067740A" w:rsidRDefault="0067740A">
      <w:pPr>
        <w:pStyle w:val="af"/>
        <w:spacing w:line="360" w:lineRule="auto"/>
        <w:ind w:firstLine="567"/>
        <w:rPr>
          <w:rFonts w:ascii="Arial" w:hAnsi="Arial" w:cs="Arial"/>
        </w:rPr>
      </w:pPr>
    </w:p>
    <w:p w14:paraId="581F1296" w14:textId="77777777" w:rsidR="0067740A" w:rsidRDefault="00000000">
      <w:pPr>
        <w:rPr>
          <w:rFonts w:ascii="Arial" w:hAnsi="Arial" w:cs="Arial"/>
        </w:rPr>
      </w:pPr>
      <w:r>
        <w:rPr>
          <w:rFonts w:ascii="Arial" w:hAnsi="Arial" w:cs="Arial"/>
        </w:rPr>
        <w:br w:type="page"/>
      </w:r>
    </w:p>
    <w:p w14:paraId="3B18FC3A" w14:textId="77777777" w:rsidR="0067740A" w:rsidRDefault="00000000">
      <w:pPr>
        <w:pStyle w:val="1"/>
        <w:numPr>
          <w:ilvl w:val="0"/>
          <w:numId w:val="4"/>
        </w:numPr>
        <w:rPr>
          <w:rFonts w:ascii="Arial" w:hAnsi="Arial" w:cs="Arial"/>
          <w:szCs w:val="24"/>
        </w:rPr>
      </w:pPr>
      <w:bookmarkStart w:id="98" w:name="_Toc177666037"/>
      <w:bookmarkStart w:id="99" w:name="OLE_LINK87"/>
      <w:bookmarkStart w:id="100" w:name="OLE_LINK86"/>
      <w:bookmarkEnd w:id="55"/>
      <w:bookmarkEnd w:id="56"/>
      <w:bookmarkEnd w:id="95"/>
      <w:bookmarkEnd w:id="96"/>
      <w:r>
        <w:rPr>
          <w:rStyle w:val="af5"/>
          <w:rFonts w:ascii="Arial" w:hAnsi="Arial" w:cs="Arial"/>
          <w:b/>
          <w:bCs w:val="0"/>
          <w:szCs w:val="24"/>
        </w:rPr>
        <w:lastRenderedPageBreak/>
        <w:t>Conclusion and Recommendations</w:t>
      </w:r>
      <w:bookmarkEnd w:id="98"/>
    </w:p>
    <w:p w14:paraId="489120F3" w14:textId="77777777" w:rsidR="0067740A" w:rsidRDefault="00000000">
      <w:pPr>
        <w:pStyle w:val="2"/>
        <w:numPr>
          <w:ilvl w:val="1"/>
          <w:numId w:val="4"/>
        </w:numPr>
        <w:rPr>
          <w:rFonts w:ascii="Arial" w:hAnsi="Arial" w:cs="Arial"/>
          <w:szCs w:val="24"/>
        </w:rPr>
      </w:pPr>
      <w:bookmarkStart w:id="101" w:name="_Toc177666038"/>
      <w:bookmarkStart w:id="102" w:name="OLE_LINK88"/>
      <w:bookmarkStart w:id="103" w:name="OLE_LINK89"/>
      <w:bookmarkEnd w:id="99"/>
      <w:bookmarkEnd w:id="100"/>
      <w:r>
        <w:rPr>
          <w:rFonts w:ascii="Arial" w:hAnsi="Arial" w:cs="Arial"/>
          <w:szCs w:val="24"/>
        </w:rPr>
        <w:t>Conclusion</w:t>
      </w:r>
      <w:bookmarkEnd w:id="101"/>
    </w:p>
    <w:p w14:paraId="02A9E8FE" w14:textId="77777777" w:rsidR="0067740A" w:rsidRDefault="00000000">
      <w:pPr>
        <w:pStyle w:val="af"/>
        <w:spacing w:line="360" w:lineRule="auto"/>
        <w:ind w:firstLine="567"/>
        <w:rPr>
          <w:rFonts w:ascii="Arial" w:hAnsi="Arial" w:cs="Arial"/>
        </w:rPr>
      </w:pPr>
      <w:r>
        <w:rPr>
          <w:rFonts w:ascii="Arial" w:hAnsi="Arial" w:cs="Arial"/>
        </w:rPr>
        <w:t>This research highlights the critical role of Volkswagen’s sustainability initiatives in shaping consumer perceptions and contributing to the company’s competitive advantage in the Chinese market. The findings support H5, confirming that green manufacturing has significantly enhanced brand loyalty, with 65% of respondents indicating greater loyalty due to Volkswagen’s environmental efforts (Chen &amp; Wang, 2020). However, challenges remain, particularly concerning high costs, which continue to limit the company’s appeal to middle-income consumers, as indicated in H4 (Zhao et al., 2020).</w:t>
      </w:r>
    </w:p>
    <w:p w14:paraId="4B5BFC2A" w14:textId="77777777" w:rsidR="0067740A" w:rsidRDefault="00000000">
      <w:pPr>
        <w:pStyle w:val="af"/>
        <w:spacing w:line="360" w:lineRule="auto"/>
        <w:ind w:firstLine="567"/>
        <w:rPr>
          <w:rFonts w:ascii="Arial" w:hAnsi="Arial" w:cs="Arial"/>
        </w:rPr>
      </w:pPr>
      <w:r>
        <w:rPr>
          <w:rFonts w:ascii="Arial" w:hAnsi="Arial" w:cs="Arial"/>
        </w:rPr>
        <w:t>The study underscores the growing importance of sustainability as a differentiator in the automotive industry, especially in China, where environmental awareness is on the rise. However, the analysis reveals that issues surrounding pricing and consumer trust in the genuineness of sustainability initiatives need to be addressed to fully capture market potential. This suggests that while Volkswagen’s strategic position remains strong against competitors like Tesla and BYD, there is room for improvement, particularly in terms of affordability and price accessibility.</w:t>
      </w:r>
    </w:p>
    <w:p w14:paraId="22E5B153" w14:textId="77777777" w:rsidR="0067740A" w:rsidRDefault="00000000">
      <w:pPr>
        <w:pStyle w:val="af"/>
        <w:spacing w:line="360" w:lineRule="auto"/>
        <w:ind w:firstLine="567"/>
        <w:rPr>
          <w:rFonts w:ascii="Arial" w:hAnsi="Arial" w:cs="Arial"/>
        </w:rPr>
      </w:pPr>
      <w:r>
        <w:rPr>
          <w:rFonts w:ascii="Arial" w:hAnsi="Arial" w:cs="Arial"/>
        </w:rPr>
        <w:t>Moreover, innovation remains one of Volkswagen’s greatest strengths, particularly in electric vehicle (EV) technology. The company’s ongoing investments in battery advancements and autonomous driving technologies have bolstered its competitiveness in the premium EV market. However, for Volkswagen to broaden its market reach and sustain long-term growth, it must focus on expanding its offerings to appeal to cost-conscious consumers without compromising its sustainability commitments.</w:t>
      </w:r>
    </w:p>
    <w:p w14:paraId="60D0945E" w14:textId="77777777" w:rsidR="0067740A" w:rsidRDefault="00000000">
      <w:pPr>
        <w:pStyle w:val="af"/>
        <w:spacing w:line="360" w:lineRule="auto"/>
        <w:ind w:firstLine="567"/>
        <w:rPr>
          <w:rFonts w:ascii="Arial" w:hAnsi="Arial" w:cs="Arial"/>
        </w:rPr>
      </w:pPr>
      <w:r>
        <w:rPr>
          <w:rFonts w:ascii="Arial" w:hAnsi="Arial" w:cs="Arial"/>
        </w:rPr>
        <w:t>In conclusion, while Volkswagen’s sustainability efforts have helped improve brand loyalty and market positioning, addressing cost and trust issues will be key to further enhancing its competitive advantage. Going forward, Volkswagen must continue balancing innovation with price accessibility to fully realise its potential in the rapidly evolving Chinese market.</w:t>
      </w:r>
      <w:r>
        <w:rPr>
          <w:rFonts w:ascii="Arial" w:hAnsi="Arial" w:cs="Arial" w:hint="eastAsia"/>
        </w:rPr>
        <w:t xml:space="preserve"> </w:t>
      </w:r>
      <w:r>
        <w:rPr>
          <w:rFonts w:ascii="Arial" w:hAnsi="Arial" w:cs="Arial"/>
        </w:rPr>
        <w:br w:type="page"/>
      </w:r>
    </w:p>
    <w:p w14:paraId="3CD8C479" w14:textId="77777777" w:rsidR="0067740A" w:rsidRDefault="00000000">
      <w:pPr>
        <w:pStyle w:val="2"/>
        <w:numPr>
          <w:ilvl w:val="1"/>
          <w:numId w:val="4"/>
        </w:numPr>
        <w:rPr>
          <w:rFonts w:ascii="Arial" w:hAnsi="Arial" w:cs="Arial"/>
          <w:szCs w:val="24"/>
        </w:rPr>
      </w:pPr>
      <w:bookmarkStart w:id="104" w:name="_Toc177666039"/>
      <w:bookmarkStart w:id="105" w:name="OLE_LINK90"/>
      <w:bookmarkStart w:id="106" w:name="OLE_LINK91"/>
      <w:bookmarkStart w:id="107" w:name="OLE_LINK94"/>
      <w:bookmarkEnd w:id="102"/>
      <w:bookmarkEnd w:id="103"/>
      <w:r>
        <w:rPr>
          <w:rFonts w:ascii="Arial" w:hAnsi="Arial" w:cs="Arial"/>
          <w:szCs w:val="24"/>
        </w:rPr>
        <w:lastRenderedPageBreak/>
        <w:t>Strategic Recommendations</w:t>
      </w:r>
      <w:bookmarkEnd w:id="104"/>
    </w:p>
    <w:p w14:paraId="62F62621" w14:textId="77777777" w:rsidR="0067740A" w:rsidRDefault="00000000">
      <w:pPr>
        <w:pStyle w:val="af"/>
        <w:spacing w:line="360" w:lineRule="auto"/>
        <w:ind w:firstLine="567"/>
        <w:rPr>
          <w:rFonts w:ascii="Arial" w:hAnsi="Arial" w:cs="Arial"/>
        </w:rPr>
      </w:pPr>
      <w:r>
        <w:rPr>
          <w:rFonts w:ascii="Arial" w:hAnsi="Arial" w:cs="Arial"/>
        </w:rPr>
        <w:t>The analysis of consumer perceptions and market dynamics in China offers several strategic recommendations for Volkswagen to strengthen its sustainability initiatives.</w:t>
      </w:r>
    </w:p>
    <w:p w14:paraId="1821A778" w14:textId="77777777" w:rsidR="0067740A" w:rsidRDefault="00000000">
      <w:pPr>
        <w:pStyle w:val="af"/>
        <w:spacing w:line="360" w:lineRule="auto"/>
        <w:ind w:firstLine="567"/>
        <w:rPr>
          <w:rFonts w:ascii="Arial" w:hAnsi="Arial" w:cs="Arial"/>
        </w:rPr>
      </w:pPr>
      <w:r>
        <w:rPr>
          <w:rFonts w:ascii="Arial" w:hAnsi="Arial" w:cs="Arial"/>
        </w:rPr>
        <w:t>Firstly, Volkswagen should focus on cost reduction by offering a more affordable range of electric vehicles to attract middle-income consumers. Collaborating with local suppliers could help reduce production costs, making EVs more accessible (Zhao et al., 2020).</w:t>
      </w:r>
    </w:p>
    <w:p w14:paraId="5E225426" w14:textId="77777777" w:rsidR="0067740A" w:rsidRDefault="00000000">
      <w:pPr>
        <w:pStyle w:val="af"/>
        <w:spacing w:line="360" w:lineRule="auto"/>
        <w:ind w:firstLine="567"/>
        <w:rPr>
          <w:rFonts w:ascii="Arial" w:hAnsi="Arial" w:cs="Arial"/>
        </w:rPr>
      </w:pPr>
      <w:r>
        <w:rPr>
          <w:rFonts w:ascii="Arial" w:hAnsi="Arial" w:cs="Arial"/>
        </w:rPr>
        <w:t>Additionally, transparency in sustainability must be enhanced. Volkswagen can mitigate consumer scepticism by publishing detailed, transparent reports on its sustainability progress. This will not only address concerns about greenwashing but also build greater trust in the brand (McKinsey, 2023).</w:t>
      </w:r>
    </w:p>
    <w:p w14:paraId="6603206D" w14:textId="77777777" w:rsidR="0067740A" w:rsidRDefault="00000000">
      <w:pPr>
        <w:pStyle w:val="af"/>
        <w:spacing w:line="360" w:lineRule="auto"/>
        <w:ind w:firstLine="567"/>
        <w:rPr>
          <w:rFonts w:ascii="Arial" w:hAnsi="Arial" w:cs="Arial"/>
        </w:rPr>
      </w:pPr>
      <w:r>
        <w:rPr>
          <w:rFonts w:ascii="Arial" w:hAnsi="Arial" w:cs="Arial"/>
        </w:rPr>
        <w:t>Another key recommendation is to leverage partnerships with the Chinese government to benefit from subsidy programmes and support the expansion of charging infrastructure. Improving access to charging stations, particularly in rural and suburban areas, will support greater adoption of electric vehicles and cater to a wider audience (Xu &amp; Li, 2019).</w:t>
      </w:r>
    </w:p>
    <w:p w14:paraId="20FFE1A5" w14:textId="77777777" w:rsidR="0067740A" w:rsidRDefault="00000000">
      <w:pPr>
        <w:pStyle w:val="af"/>
        <w:spacing w:line="360" w:lineRule="auto"/>
        <w:ind w:firstLine="567"/>
        <w:rPr>
          <w:rFonts w:ascii="Arial" w:hAnsi="Arial" w:cs="Arial"/>
        </w:rPr>
      </w:pPr>
      <w:r>
        <w:rPr>
          <w:rFonts w:ascii="Arial" w:hAnsi="Arial" w:cs="Arial"/>
        </w:rPr>
        <w:t>Lastly, Volkswagen must continue to innovate in EV technology, focusing on advancements in battery technology and autonomous driving to maintain its competitive advantage in this fast-evolving industry. Continuous investment in research and development will be crucial in staying ahead of competitors (Huang et al., 2020).</w:t>
      </w:r>
    </w:p>
    <w:p w14:paraId="13804DF0" w14:textId="77777777" w:rsidR="0067740A" w:rsidRDefault="00000000">
      <w:pPr>
        <w:pStyle w:val="af"/>
        <w:spacing w:line="360" w:lineRule="auto"/>
        <w:ind w:firstLine="567"/>
        <w:rPr>
          <w:rFonts w:ascii="Arial" w:hAnsi="Arial" w:cs="Arial"/>
        </w:rPr>
      </w:pPr>
      <w:r>
        <w:rPr>
          <w:rFonts w:ascii="Arial" w:hAnsi="Arial" w:cs="Arial"/>
        </w:rPr>
        <w:t>By implementing these strategies, Volkswagen can enhance its sustainability credentials while also expanding its market share in China’s competitive automotive sector.</w:t>
      </w:r>
    </w:p>
    <w:p w14:paraId="3C3A9F3E" w14:textId="77777777" w:rsidR="0067740A" w:rsidRDefault="0067740A">
      <w:pPr>
        <w:pStyle w:val="af"/>
        <w:spacing w:line="360" w:lineRule="auto"/>
        <w:ind w:firstLine="567"/>
        <w:rPr>
          <w:rFonts w:ascii="Arial" w:hAnsi="Arial" w:cs="Arial"/>
        </w:rPr>
      </w:pPr>
    </w:p>
    <w:p w14:paraId="2FFBEA10" w14:textId="77777777" w:rsidR="0067740A" w:rsidRDefault="00000000">
      <w:pPr>
        <w:rPr>
          <w:rFonts w:ascii="Arial" w:hAnsi="Arial" w:cs="Arial"/>
        </w:rPr>
      </w:pPr>
      <w:r>
        <w:rPr>
          <w:rFonts w:ascii="Arial" w:hAnsi="Arial" w:cs="Arial"/>
        </w:rPr>
        <w:br w:type="page"/>
      </w:r>
    </w:p>
    <w:p w14:paraId="6E4F27CC" w14:textId="77777777" w:rsidR="0067740A" w:rsidRDefault="00000000">
      <w:pPr>
        <w:pStyle w:val="2"/>
        <w:numPr>
          <w:ilvl w:val="1"/>
          <w:numId w:val="4"/>
        </w:numPr>
        <w:rPr>
          <w:rFonts w:ascii="Arial" w:hAnsi="Arial" w:cs="Arial"/>
          <w:szCs w:val="24"/>
        </w:rPr>
      </w:pPr>
      <w:bookmarkStart w:id="108" w:name="_Toc177666040"/>
      <w:bookmarkStart w:id="109" w:name="OLE_LINK92"/>
      <w:bookmarkStart w:id="110" w:name="OLE_LINK93"/>
      <w:bookmarkEnd w:id="105"/>
      <w:bookmarkEnd w:id="106"/>
      <w:bookmarkEnd w:id="107"/>
      <w:r>
        <w:rPr>
          <w:rFonts w:ascii="Arial" w:hAnsi="Arial" w:cs="Arial"/>
          <w:szCs w:val="24"/>
        </w:rPr>
        <w:lastRenderedPageBreak/>
        <w:t>Limitations of the Study</w:t>
      </w:r>
      <w:bookmarkEnd w:id="108"/>
    </w:p>
    <w:p w14:paraId="6DB6C1F4" w14:textId="77777777" w:rsidR="0067740A" w:rsidRDefault="00000000">
      <w:pPr>
        <w:pStyle w:val="af"/>
        <w:spacing w:line="360" w:lineRule="auto"/>
        <w:ind w:firstLine="567"/>
        <w:rPr>
          <w:rFonts w:ascii="Arial" w:hAnsi="Arial" w:cs="Arial"/>
        </w:rPr>
      </w:pPr>
      <w:r>
        <w:rPr>
          <w:rFonts w:ascii="Arial" w:hAnsi="Arial" w:cs="Arial"/>
        </w:rPr>
        <w:t>This research encountered several limitations that could impact the generalisability and robustness of its findings. One major limitation is sample bias, as the study primarily focused on urban consumers in major cities such as Beijing and Shanghai. This urban concentration limits the findings’ applicability to rural populations, who may have different purchasing patterns and more restricted access to EV infrastructure. The disparity between urban and rural areas in China is significant, especially in terms of economic conditions, access to technology, and exposure to sustainability initiatives. Therefore, the results may not fully represent the broader Chinese consumer market, particularly in rural regions (Li &amp; Song, 2020).</w:t>
      </w:r>
    </w:p>
    <w:p w14:paraId="173BAFCB" w14:textId="77777777" w:rsidR="0067740A" w:rsidRDefault="00000000">
      <w:pPr>
        <w:pStyle w:val="af"/>
        <w:spacing w:line="360" w:lineRule="auto"/>
        <w:ind w:firstLine="567"/>
        <w:rPr>
          <w:rFonts w:ascii="Arial" w:hAnsi="Arial" w:cs="Arial"/>
        </w:rPr>
      </w:pPr>
      <w:r>
        <w:rPr>
          <w:rFonts w:ascii="Arial" w:hAnsi="Arial" w:cs="Arial"/>
        </w:rPr>
        <w:t>Another limitation lies in the scope of the study, which concentrated on Volkswagen’s sustainability initiatives in China. While the study successfully explored the impacts of these initiatives on consumer perceptions within this context, it did not account for broader global trends or external macroeconomic factors. Global initiatives, such as international environmental policies and global economic shifts, might influence consumer behaviour, particularly in the interconnected global automotive industry. These factors could have provided a more comprehensive understanding of Volkswagen’s positioning within a wider international framework.</w:t>
      </w:r>
    </w:p>
    <w:p w14:paraId="67D3C5DA" w14:textId="77777777" w:rsidR="0067740A" w:rsidRDefault="00000000">
      <w:pPr>
        <w:pStyle w:val="af"/>
        <w:spacing w:line="360" w:lineRule="auto"/>
        <w:ind w:firstLine="567"/>
        <w:rPr>
          <w:rFonts w:ascii="Arial" w:hAnsi="Arial" w:cs="Arial"/>
        </w:rPr>
      </w:pPr>
      <w:r>
        <w:rPr>
          <w:rFonts w:ascii="Arial" w:hAnsi="Arial" w:cs="Arial"/>
        </w:rPr>
        <w:t>Moreover, the research methodology, particularly the reliance on self-reported data through surveys and interviews, introduces the possibility of response bias. Participants may have inadvertently overstated or understated their level of environmental consciousness due to social desirability bias or subjective interpretations of the survey questions. This bias might affect the accuracy and consistency of the data, leading to results that are less representative of actual consumer behaviour (Zhao et al., 2020). Furthermore, variations in how respondents interpret questions can introduce inconsistencies, further complicating data analysis and reliability. While the methodological approach was suitable for exploratory research, more objective measures of environmental attitudes and behaviours, such as observational studies, could provide deeper insights in future research.</w:t>
      </w:r>
      <w:r>
        <w:rPr>
          <w:rFonts w:ascii="Arial" w:hAnsi="Arial" w:cs="Arial"/>
        </w:rPr>
        <w:br w:type="page"/>
      </w:r>
    </w:p>
    <w:p w14:paraId="425A247F" w14:textId="77777777" w:rsidR="0067740A" w:rsidRDefault="00000000">
      <w:pPr>
        <w:pStyle w:val="2"/>
        <w:numPr>
          <w:ilvl w:val="1"/>
          <w:numId w:val="4"/>
        </w:numPr>
        <w:rPr>
          <w:rFonts w:ascii="Arial" w:hAnsi="Arial" w:cs="Arial"/>
          <w:szCs w:val="24"/>
        </w:rPr>
      </w:pPr>
      <w:bookmarkStart w:id="111" w:name="_Toc177666041"/>
      <w:bookmarkStart w:id="112" w:name="OLE_LINK95"/>
      <w:bookmarkStart w:id="113" w:name="OLE_LINK96"/>
      <w:bookmarkEnd w:id="109"/>
      <w:bookmarkEnd w:id="110"/>
      <w:r>
        <w:rPr>
          <w:rFonts w:ascii="Arial" w:hAnsi="Arial" w:cs="Arial"/>
          <w:szCs w:val="24"/>
        </w:rPr>
        <w:lastRenderedPageBreak/>
        <w:t>Suggestions for Future Research</w:t>
      </w:r>
      <w:bookmarkEnd w:id="111"/>
      <w:bookmarkEnd w:id="112"/>
      <w:bookmarkEnd w:id="113"/>
    </w:p>
    <w:p w14:paraId="1736EFFC" w14:textId="77777777" w:rsidR="0067740A" w:rsidRDefault="00000000">
      <w:pPr>
        <w:pStyle w:val="af"/>
        <w:spacing w:line="360" w:lineRule="auto"/>
        <w:ind w:firstLine="567"/>
        <w:rPr>
          <w:rFonts w:ascii="Arial" w:hAnsi="Arial" w:cs="Arial"/>
        </w:rPr>
      </w:pPr>
      <w:r>
        <w:rPr>
          <w:rFonts w:ascii="Arial" w:hAnsi="Arial" w:cs="Arial"/>
        </w:rPr>
        <w:t>Building on the current study’s findings, future research should aim to address gaps and expand understanding in several key areas. Firstly, there is a need to explore consumer perceptions in rural areas and smaller cities, which may present different challenges and opportunities compared to urban centres. Rural populations might face distinct infrastructural barriers to adopting electric vehicles, such as limited charging infrastructure and different economic constraints. Such research could provide a more comprehensive view of the EV market in China and identify strategies for increasing EV adoption in less-developed regions.</w:t>
      </w:r>
    </w:p>
    <w:p w14:paraId="31A153D7" w14:textId="77777777" w:rsidR="0067740A" w:rsidRDefault="00000000">
      <w:pPr>
        <w:pStyle w:val="af"/>
        <w:spacing w:line="360" w:lineRule="auto"/>
        <w:ind w:firstLine="567"/>
        <w:rPr>
          <w:rFonts w:ascii="Arial" w:hAnsi="Arial" w:cs="Arial"/>
        </w:rPr>
      </w:pPr>
      <w:r>
        <w:rPr>
          <w:rFonts w:ascii="Arial" w:hAnsi="Arial" w:cs="Arial"/>
        </w:rPr>
        <w:t>Furthermore, future studies could investigate the long-term impact of sustainability initiatives on brand loyalty, as sustainability standards and consumer expectations continue to evolve. Longitudinal research would provide valuable insights into whether brand loyalty stemming from environmental initiatives is sustained over time or fluctuates with changing sustainability norms. It would also be worth exploring whether these initiatives have a lasting effect on consumer perceptions or if they diminish once initial excitement fades.</w:t>
      </w:r>
    </w:p>
    <w:p w14:paraId="151A28EA" w14:textId="77777777" w:rsidR="0067740A" w:rsidRDefault="00000000">
      <w:pPr>
        <w:pStyle w:val="af"/>
        <w:spacing w:line="360" w:lineRule="auto"/>
        <w:ind w:firstLine="567"/>
        <w:rPr>
          <w:rFonts w:ascii="Arial" w:hAnsi="Arial" w:cs="Arial"/>
        </w:rPr>
      </w:pPr>
      <w:r>
        <w:rPr>
          <w:rFonts w:ascii="Arial" w:hAnsi="Arial" w:cs="Arial"/>
        </w:rPr>
        <w:t>Another avenue for future research lies in assessing the role of technological advancements in shaping consumer adoption of electric vehicles. Specific focus should be placed on charging infrastructure, battery innovations, and the development of autonomous driving technologies. Technological improvements in these areas are likely to play a pivotal role in the widespread acceptance of electric vehicles, particularly as they address consumer concerns about range anxiety, charging convenience, and vehicle performance. As technological development accelerates, future studies could examine how such advancements influence both the willingness to adopt EVs and broader market trends.</w:t>
      </w:r>
    </w:p>
    <w:p w14:paraId="27A04943" w14:textId="77777777" w:rsidR="0067740A" w:rsidRDefault="00000000">
      <w:pPr>
        <w:pStyle w:val="af"/>
        <w:spacing w:line="360" w:lineRule="auto"/>
        <w:ind w:firstLine="567"/>
        <w:rPr>
          <w:rFonts w:ascii="Arial" w:hAnsi="Arial" w:cs="Arial"/>
        </w:rPr>
      </w:pPr>
      <w:r>
        <w:rPr>
          <w:rFonts w:ascii="Arial" w:hAnsi="Arial" w:cs="Arial"/>
        </w:rPr>
        <w:t>In addition, comparative studies across different automotive markets—for instance, comparing China’s EV market with those in Europe or North America—could reveal global patterns and provide useful insights into the cultural and regulatory factors that either promote or hinder EV adoption.</w:t>
      </w:r>
    </w:p>
    <w:p w14:paraId="4B276848" w14:textId="77777777" w:rsidR="0067740A" w:rsidRDefault="00000000">
      <w:pPr>
        <w:pStyle w:val="af"/>
        <w:spacing w:line="360" w:lineRule="auto"/>
        <w:ind w:firstLine="567"/>
        <w:rPr>
          <w:rFonts w:ascii="Arial" w:hAnsi="Arial" w:cs="Arial"/>
        </w:rPr>
      </w:pPr>
      <w:r>
        <w:rPr>
          <w:rFonts w:ascii="Arial" w:hAnsi="Arial" w:cs="Arial"/>
        </w:rPr>
        <w:lastRenderedPageBreak/>
        <w:t>Finally, future research could explore the interplay between government policy and corporate strategy, particularly in the context of subsidies, incentives, and regulatory frameworks. Understanding how these factors influence not only consumer behaviour but also corporate investment in sustainability initiatives could offer valuable insights for both policymakers and businesses alike.</w:t>
      </w:r>
    </w:p>
    <w:p w14:paraId="41D85CEF" w14:textId="77777777" w:rsidR="0067740A" w:rsidRDefault="0067740A">
      <w:pPr>
        <w:rPr>
          <w:rFonts w:ascii="Arial" w:hAnsi="Arial" w:cs="Arial"/>
        </w:rPr>
      </w:pPr>
    </w:p>
    <w:p w14:paraId="2472214E" w14:textId="77777777" w:rsidR="0067740A" w:rsidRDefault="0067740A">
      <w:pPr>
        <w:rPr>
          <w:rFonts w:ascii="Arial" w:hAnsi="Arial" w:cs="Arial"/>
        </w:rPr>
      </w:pPr>
    </w:p>
    <w:p w14:paraId="49747711" w14:textId="77777777" w:rsidR="0067740A" w:rsidRDefault="0067740A">
      <w:pPr>
        <w:rPr>
          <w:rFonts w:ascii="Arial" w:hAnsi="Arial" w:cs="Arial"/>
        </w:rPr>
      </w:pPr>
    </w:p>
    <w:p w14:paraId="140896D4" w14:textId="77777777" w:rsidR="0067740A" w:rsidRDefault="0067740A">
      <w:pPr>
        <w:rPr>
          <w:rFonts w:ascii="Arial" w:hAnsi="Arial" w:cs="Arial"/>
        </w:rPr>
      </w:pPr>
    </w:p>
    <w:p w14:paraId="288EF9B7" w14:textId="77777777" w:rsidR="0067740A" w:rsidRDefault="0067740A">
      <w:pPr>
        <w:rPr>
          <w:rFonts w:ascii="Arial" w:hAnsi="Arial" w:cs="Arial"/>
        </w:rPr>
      </w:pPr>
    </w:p>
    <w:p w14:paraId="100EABE3" w14:textId="77777777" w:rsidR="0067740A" w:rsidRDefault="0067740A">
      <w:pPr>
        <w:rPr>
          <w:rFonts w:ascii="Arial" w:hAnsi="Arial" w:cs="Arial"/>
        </w:rPr>
      </w:pPr>
    </w:p>
    <w:p w14:paraId="1DE4E51B" w14:textId="77777777" w:rsidR="0067740A" w:rsidRDefault="0067740A">
      <w:pPr>
        <w:rPr>
          <w:rFonts w:ascii="Arial" w:hAnsi="Arial" w:cs="Arial"/>
        </w:rPr>
      </w:pPr>
    </w:p>
    <w:p w14:paraId="7135F4C7" w14:textId="77777777" w:rsidR="0067740A" w:rsidRDefault="0067740A">
      <w:pPr>
        <w:rPr>
          <w:rFonts w:ascii="Arial" w:hAnsi="Arial" w:cs="Arial"/>
        </w:rPr>
      </w:pPr>
    </w:p>
    <w:p w14:paraId="3DFC6A6F" w14:textId="77777777" w:rsidR="0067740A" w:rsidRDefault="0067740A">
      <w:pPr>
        <w:rPr>
          <w:rFonts w:ascii="Arial" w:hAnsi="Arial" w:cs="Arial"/>
        </w:rPr>
      </w:pPr>
    </w:p>
    <w:p w14:paraId="178BECA2" w14:textId="77777777" w:rsidR="0067740A" w:rsidRDefault="0067740A">
      <w:pPr>
        <w:rPr>
          <w:rFonts w:ascii="Arial" w:hAnsi="Arial" w:cs="Arial"/>
        </w:rPr>
      </w:pPr>
    </w:p>
    <w:p w14:paraId="6E01C130" w14:textId="77777777" w:rsidR="0067740A" w:rsidRDefault="0067740A">
      <w:pPr>
        <w:rPr>
          <w:rFonts w:ascii="Arial" w:hAnsi="Arial" w:cs="Arial"/>
        </w:rPr>
      </w:pPr>
    </w:p>
    <w:p w14:paraId="545D536F" w14:textId="77777777" w:rsidR="0067740A" w:rsidRDefault="0067740A">
      <w:pPr>
        <w:rPr>
          <w:rFonts w:ascii="Arial" w:hAnsi="Arial" w:cs="Arial"/>
        </w:rPr>
      </w:pPr>
    </w:p>
    <w:p w14:paraId="1B56B30D" w14:textId="77777777" w:rsidR="0067740A" w:rsidRDefault="0067740A">
      <w:pPr>
        <w:rPr>
          <w:rFonts w:ascii="Arial" w:hAnsi="Arial" w:cs="Arial"/>
        </w:rPr>
      </w:pPr>
    </w:p>
    <w:p w14:paraId="681FB883" w14:textId="77777777" w:rsidR="0067740A" w:rsidRDefault="0067740A">
      <w:pPr>
        <w:rPr>
          <w:rFonts w:ascii="Arial" w:hAnsi="Arial" w:cs="Arial"/>
        </w:rPr>
      </w:pPr>
    </w:p>
    <w:p w14:paraId="23F65BAC" w14:textId="77777777" w:rsidR="0067740A" w:rsidRDefault="0067740A">
      <w:pPr>
        <w:rPr>
          <w:rFonts w:ascii="Arial" w:hAnsi="Arial" w:cs="Arial"/>
        </w:rPr>
      </w:pPr>
    </w:p>
    <w:p w14:paraId="3D27A668" w14:textId="77777777" w:rsidR="0067740A" w:rsidRDefault="0067740A">
      <w:pPr>
        <w:rPr>
          <w:rFonts w:ascii="Arial" w:hAnsi="Arial" w:cs="Arial"/>
        </w:rPr>
      </w:pPr>
    </w:p>
    <w:p w14:paraId="3527C437" w14:textId="77777777" w:rsidR="0067740A" w:rsidRDefault="0067740A">
      <w:pPr>
        <w:rPr>
          <w:rFonts w:ascii="Arial" w:hAnsi="Arial" w:cs="Arial"/>
        </w:rPr>
      </w:pPr>
    </w:p>
    <w:p w14:paraId="519F430D" w14:textId="77777777" w:rsidR="0067740A" w:rsidRDefault="0067740A">
      <w:pPr>
        <w:rPr>
          <w:rFonts w:ascii="Arial" w:hAnsi="Arial" w:cs="Arial"/>
        </w:rPr>
      </w:pPr>
    </w:p>
    <w:p w14:paraId="65DC3817" w14:textId="77777777" w:rsidR="0067740A" w:rsidRDefault="0067740A">
      <w:pPr>
        <w:rPr>
          <w:rFonts w:ascii="Arial" w:hAnsi="Arial" w:cs="Arial"/>
        </w:rPr>
      </w:pPr>
    </w:p>
    <w:p w14:paraId="4C60B98C" w14:textId="77777777" w:rsidR="0067740A" w:rsidRDefault="0067740A">
      <w:pPr>
        <w:rPr>
          <w:rFonts w:ascii="Arial" w:hAnsi="Arial" w:cs="Arial"/>
        </w:rPr>
      </w:pPr>
    </w:p>
    <w:p w14:paraId="35BB1EFB" w14:textId="77777777" w:rsidR="0067740A" w:rsidRDefault="0067740A">
      <w:pPr>
        <w:rPr>
          <w:rFonts w:ascii="Arial" w:hAnsi="Arial" w:cs="Arial"/>
        </w:rPr>
      </w:pPr>
    </w:p>
    <w:p w14:paraId="66A044F8" w14:textId="77777777" w:rsidR="0067740A" w:rsidRDefault="0067740A">
      <w:pPr>
        <w:rPr>
          <w:rFonts w:ascii="Arial" w:hAnsi="Arial" w:cs="Arial"/>
        </w:rPr>
      </w:pPr>
    </w:p>
    <w:p w14:paraId="2D82CA5E" w14:textId="77777777" w:rsidR="0067740A" w:rsidRDefault="0067740A">
      <w:pPr>
        <w:rPr>
          <w:rFonts w:ascii="Arial" w:hAnsi="Arial" w:cs="Arial"/>
        </w:rPr>
      </w:pPr>
    </w:p>
    <w:p w14:paraId="0D9A3DAF" w14:textId="77777777" w:rsidR="0067740A" w:rsidRDefault="00000000">
      <w:pPr>
        <w:rPr>
          <w:rFonts w:ascii="Arial" w:hAnsi="Arial" w:cs="Arial"/>
        </w:rPr>
      </w:pPr>
      <w:r>
        <w:rPr>
          <w:rFonts w:ascii="Arial" w:hAnsi="Arial" w:cs="Arial"/>
        </w:rPr>
        <w:br w:type="page"/>
      </w:r>
    </w:p>
    <w:p w14:paraId="713D2BA0" w14:textId="77777777" w:rsidR="0067740A" w:rsidRDefault="00000000">
      <w:pPr>
        <w:pStyle w:val="1"/>
        <w:rPr>
          <w:rFonts w:ascii="Arial" w:hAnsi="Arial" w:cs="Arial"/>
          <w:szCs w:val="24"/>
        </w:rPr>
      </w:pPr>
      <w:bookmarkStart w:id="114" w:name="_Toc177666042"/>
      <w:r>
        <w:rPr>
          <w:rFonts w:ascii="Arial" w:hAnsi="Arial" w:cs="Arial"/>
          <w:szCs w:val="24"/>
        </w:rPr>
        <w:lastRenderedPageBreak/>
        <w:t>References</w:t>
      </w:r>
      <w:bookmarkEnd w:id="114"/>
    </w:p>
    <w:p w14:paraId="52BF9D26" w14:textId="77777777" w:rsidR="0067740A" w:rsidRDefault="00000000">
      <w:pPr>
        <w:pStyle w:val="af"/>
        <w:spacing w:line="360" w:lineRule="auto"/>
        <w:rPr>
          <w:rFonts w:ascii="Arial" w:hAnsi="Arial" w:cs="Arial"/>
        </w:rPr>
      </w:pPr>
      <w:r>
        <w:rPr>
          <w:rFonts w:ascii="Arial" w:hAnsi="Arial" w:cs="Arial"/>
        </w:rPr>
        <w:t xml:space="preserve">Ajzen, I. (1991). The theory of planned </w:t>
      </w:r>
      <w:proofErr w:type="spellStart"/>
      <w:r>
        <w:rPr>
          <w:rFonts w:ascii="Arial" w:hAnsi="Arial" w:cs="Arial"/>
        </w:rPr>
        <w:t>behavior</w:t>
      </w:r>
      <w:proofErr w:type="spellEnd"/>
      <w:r>
        <w:rPr>
          <w:rFonts w:ascii="Arial" w:hAnsi="Arial" w:cs="Arial"/>
        </w:rPr>
        <w:t xml:space="preserve">. </w:t>
      </w:r>
      <w:r>
        <w:rPr>
          <w:rStyle w:val="af8"/>
          <w:rFonts w:ascii="Arial" w:hAnsi="Arial" w:cs="Arial"/>
        </w:rPr>
        <w:t xml:space="preserve">Organisational </w:t>
      </w:r>
      <w:proofErr w:type="spellStart"/>
      <w:r>
        <w:rPr>
          <w:rStyle w:val="af8"/>
          <w:rFonts w:ascii="Arial" w:hAnsi="Arial" w:cs="Arial"/>
        </w:rPr>
        <w:t>Behavior</w:t>
      </w:r>
      <w:proofErr w:type="spellEnd"/>
      <w:r>
        <w:rPr>
          <w:rStyle w:val="af8"/>
          <w:rFonts w:ascii="Arial" w:hAnsi="Arial" w:cs="Arial"/>
        </w:rPr>
        <w:t xml:space="preserve"> and Human Decision Processes</w:t>
      </w:r>
      <w:r>
        <w:rPr>
          <w:rFonts w:ascii="Arial" w:hAnsi="Arial" w:cs="Arial"/>
        </w:rPr>
        <w:t>, 50(2), 179-211.</w:t>
      </w:r>
    </w:p>
    <w:p w14:paraId="1BFC9698" w14:textId="77777777" w:rsidR="0067740A" w:rsidRDefault="00000000">
      <w:pPr>
        <w:pStyle w:val="af"/>
        <w:spacing w:line="360" w:lineRule="auto"/>
        <w:rPr>
          <w:rFonts w:ascii="Arial" w:hAnsi="Arial" w:cs="Arial"/>
        </w:rPr>
      </w:pPr>
      <w:r>
        <w:rPr>
          <w:rFonts w:ascii="Arial" w:hAnsi="Arial" w:cs="Arial"/>
        </w:rPr>
        <w:t xml:space="preserve">Banerjee, S., &amp; Gupta, S. (2022). The impact of green marketing on consumer purchase </w:t>
      </w:r>
      <w:proofErr w:type="spellStart"/>
      <w:r>
        <w:rPr>
          <w:rFonts w:ascii="Arial" w:hAnsi="Arial" w:cs="Arial"/>
        </w:rPr>
        <w:t>behavior</w:t>
      </w:r>
      <w:proofErr w:type="spellEnd"/>
      <w:r>
        <w:rPr>
          <w:rFonts w:ascii="Arial" w:hAnsi="Arial" w:cs="Arial"/>
        </w:rPr>
        <w:t xml:space="preserve">: Evidence from the automotive sector. </w:t>
      </w:r>
      <w:r>
        <w:rPr>
          <w:rStyle w:val="af8"/>
          <w:rFonts w:ascii="Arial" w:hAnsi="Arial" w:cs="Arial"/>
        </w:rPr>
        <w:t>Journal of Business Research</w:t>
      </w:r>
      <w:r>
        <w:rPr>
          <w:rFonts w:ascii="Arial" w:hAnsi="Arial" w:cs="Arial"/>
        </w:rPr>
        <w:t xml:space="preserve">, 141, 450-462. </w:t>
      </w:r>
      <w:hyperlink r:id="rId12" w:tgtFrame="_new" w:history="1">
        <w:r w:rsidR="0067740A">
          <w:rPr>
            <w:rStyle w:val="af9"/>
            <w:rFonts w:ascii="Arial" w:hAnsi="Arial" w:cs="Arial"/>
          </w:rPr>
          <w:t>https://doi.org/10.1016/j.jbusres.2021.12.030</w:t>
        </w:r>
      </w:hyperlink>
    </w:p>
    <w:p w14:paraId="442A0C40" w14:textId="77777777" w:rsidR="0067740A" w:rsidRDefault="00000000">
      <w:pPr>
        <w:pStyle w:val="af"/>
        <w:spacing w:line="360" w:lineRule="auto"/>
        <w:rPr>
          <w:rFonts w:ascii="Arial" w:hAnsi="Arial" w:cs="Arial"/>
        </w:rPr>
      </w:pPr>
      <w:r>
        <w:rPr>
          <w:rFonts w:ascii="Arial" w:hAnsi="Arial" w:cs="Arial"/>
        </w:rPr>
        <w:t xml:space="preserve">Barney, J. B. (1991). Firm resources and sustained competitive advantage. </w:t>
      </w:r>
      <w:r>
        <w:rPr>
          <w:rStyle w:val="af8"/>
          <w:rFonts w:ascii="Arial" w:hAnsi="Arial" w:cs="Arial"/>
        </w:rPr>
        <w:t>Journal of Management</w:t>
      </w:r>
      <w:r>
        <w:rPr>
          <w:rFonts w:ascii="Arial" w:hAnsi="Arial" w:cs="Arial"/>
        </w:rPr>
        <w:t>, 17(1), 99-120.</w:t>
      </w:r>
    </w:p>
    <w:p w14:paraId="1C24D496" w14:textId="77777777" w:rsidR="0067740A" w:rsidRDefault="00000000">
      <w:pPr>
        <w:pStyle w:val="af"/>
        <w:spacing w:line="360" w:lineRule="auto"/>
        <w:rPr>
          <w:rFonts w:ascii="Arial" w:hAnsi="Arial" w:cs="Arial"/>
        </w:rPr>
      </w:pPr>
      <w:r>
        <w:rPr>
          <w:rFonts w:ascii="Arial" w:hAnsi="Arial" w:cs="Arial"/>
        </w:rPr>
        <w:t xml:space="preserve">Bryman, A. (2016). </w:t>
      </w:r>
      <w:r>
        <w:rPr>
          <w:rStyle w:val="af8"/>
          <w:rFonts w:ascii="Arial" w:hAnsi="Arial" w:cs="Arial"/>
        </w:rPr>
        <w:t>Social Research Methods</w:t>
      </w:r>
      <w:r>
        <w:rPr>
          <w:rFonts w:ascii="Arial" w:hAnsi="Arial" w:cs="Arial"/>
        </w:rPr>
        <w:t xml:space="preserve"> (5th ed.). Oxford University Press.</w:t>
      </w:r>
    </w:p>
    <w:p w14:paraId="4BFC3018" w14:textId="77777777" w:rsidR="0067740A" w:rsidRDefault="00000000">
      <w:pPr>
        <w:pStyle w:val="af"/>
        <w:spacing w:line="360" w:lineRule="auto"/>
        <w:rPr>
          <w:rFonts w:ascii="Arial" w:hAnsi="Arial" w:cs="Arial"/>
        </w:rPr>
      </w:pPr>
      <w:proofErr w:type="spellStart"/>
      <w:r>
        <w:rPr>
          <w:rFonts w:ascii="Arial" w:hAnsi="Arial" w:cs="Arial"/>
        </w:rPr>
        <w:t>Busher</w:t>
      </w:r>
      <w:proofErr w:type="spellEnd"/>
      <w:r>
        <w:rPr>
          <w:rFonts w:ascii="Arial" w:hAnsi="Arial" w:cs="Arial"/>
        </w:rPr>
        <w:t xml:space="preserve">, H., &amp; James, N. (2019). </w:t>
      </w:r>
      <w:r>
        <w:rPr>
          <w:rStyle w:val="af8"/>
          <w:rFonts w:ascii="Arial" w:hAnsi="Arial" w:cs="Arial"/>
        </w:rPr>
        <w:t>Ethics of Research with Children and Young People</w:t>
      </w:r>
      <w:r>
        <w:rPr>
          <w:rFonts w:ascii="Arial" w:hAnsi="Arial" w:cs="Arial"/>
        </w:rPr>
        <w:t xml:space="preserve"> (3rd ed.). Sage Publications.</w:t>
      </w:r>
    </w:p>
    <w:p w14:paraId="24CDEC00" w14:textId="77777777" w:rsidR="0067740A" w:rsidRDefault="00000000">
      <w:pPr>
        <w:pStyle w:val="af"/>
        <w:spacing w:line="360" w:lineRule="auto"/>
        <w:rPr>
          <w:rFonts w:ascii="Arial" w:hAnsi="Arial" w:cs="Arial"/>
        </w:rPr>
      </w:pPr>
      <w:r>
        <w:rPr>
          <w:rFonts w:ascii="Arial" w:hAnsi="Arial" w:cs="Arial"/>
        </w:rPr>
        <w:t xml:space="preserve">Carroll, A. B. (1991). The pyramid of corporate social responsibility: Toward the moral management of organisational stakeholders. </w:t>
      </w:r>
      <w:r>
        <w:rPr>
          <w:rStyle w:val="af8"/>
          <w:rFonts w:ascii="Arial" w:hAnsi="Arial" w:cs="Arial"/>
        </w:rPr>
        <w:t>Business Horizons</w:t>
      </w:r>
      <w:r>
        <w:rPr>
          <w:rFonts w:ascii="Arial" w:hAnsi="Arial" w:cs="Arial"/>
        </w:rPr>
        <w:t>, 34(4), 39-48.</w:t>
      </w:r>
    </w:p>
    <w:p w14:paraId="0AE38954" w14:textId="77777777" w:rsidR="0067740A" w:rsidRDefault="00000000">
      <w:pPr>
        <w:pStyle w:val="af"/>
        <w:spacing w:line="360" w:lineRule="auto"/>
        <w:rPr>
          <w:rFonts w:ascii="Arial" w:hAnsi="Arial" w:cs="Arial"/>
        </w:rPr>
      </w:pPr>
      <w:r>
        <w:rPr>
          <w:rFonts w:ascii="Arial" w:hAnsi="Arial" w:cs="Arial"/>
        </w:rPr>
        <w:t xml:space="preserve">Chen, L., &amp; Wu, J. (2020). Consumer perceptions of electric vehicles in China. </w:t>
      </w:r>
      <w:r>
        <w:rPr>
          <w:rStyle w:val="af8"/>
          <w:rFonts w:ascii="Arial" w:hAnsi="Arial" w:cs="Arial"/>
        </w:rPr>
        <w:t>Journal of Consumer Behaviour</w:t>
      </w:r>
      <w:r>
        <w:rPr>
          <w:rFonts w:ascii="Arial" w:hAnsi="Arial" w:cs="Arial"/>
        </w:rPr>
        <w:t>, 19(3), 243-258.</w:t>
      </w:r>
    </w:p>
    <w:p w14:paraId="56182060" w14:textId="77777777" w:rsidR="0067740A" w:rsidRDefault="00000000">
      <w:pPr>
        <w:pStyle w:val="af"/>
        <w:spacing w:line="360" w:lineRule="auto"/>
        <w:rPr>
          <w:rFonts w:ascii="Arial" w:hAnsi="Arial" w:cs="Arial"/>
        </w:rPr>
      </w:pPr>
      <w:r>
        <w:rPr>
          <w:rFonts w:ascii="Arial" w:hAnsi="Arial" w:cs="Arial"/>
        </w:rPr>
        <w:t xml:space="preserve">Chen, X., &amp; Zheng, J. (2019). Government policies and their impact on sustainability in the automotive industry. </w:t>
      </w:r>
      <w:r>
        <w:rPr>
          <w:rStyle w:val="af8"/>
          <w:rFonts w:ascii="Arial" w:hAnsi="Arial" w:cs="Arial"/>
        </w:rPr>
        <w:t>Automotive Policy Journal</w:t>
      </w:r>
      <w:r>
        <w:rPr>
          <w:rFonts w:ascii="Arial" w:hAnsi="Arial" w:cs="Arial"/>
        </w:rPr>
        <w:t>, 12(1), 55-72.</w:t>
      </w:r>
    </w:p>
    <w:p w14:paraId="769ED9F0" w14:textId="77777777" w:rsidR="0067740A" w:rsidRDefault="00000000">
      <w:pPr>
        <w:pStyle w:val="af"/>
        <w:spacing w:line="360" w:lineRule="auto"/>
        <w:rPr>
          <w:rFonts w:ascii="Arial" w:hAnsi="Arial" w:cs="Arial"/>
        </w:rPr>
      </w:pPr>
      <w:r>
        <w:rPr>
          <w:rFonts w:ascii="Arial" w:hAnsi="Arial" w:cs="Arial"/>
        </w:rPr>
        <w:t xml:space="preserve">Chen, Y., &amp; Chang, C. H. (2013). The determinants of green product development performance: Green dynamic capabilities, green transformational leadership, and green creativity. </w:t>
      </w:r>
      <w:r>
        <w:rPr>
          <w:rStyle w:val="af8"/>
          <w:rFonts w:ascii="Arial" w:hAnsi="Arial" w:cs="Arial"/>
        </w:rPr>
        <w:t>Journal of Business Ethics</w:t>
      </w:r>
      <w:r>
        <w:rPr>
          <w:rFonts w:ascii="Arial" w:hAnsi="Arial" w:cs="Arial"/>
        </w:rPr>
        <w:t>, 116(1), 107-119.</w:t>
      </w:r>
    </w:p>
    <w:p w14:paraId="471BCEF0" w14:textId="77777777" w:rsidR="0067740A" w:rsidRDefault="00000000">
      <w:pPr>
        <w:pStyle w:val="af"/>
        <w:spacing w:line="360" w:lineRule="auto"/>
        <w:rPr>
          <w:rFonts w:ascii="Arial" w:hAnsi="Arial" w:cs="Arial"/>
        </w:rPr>
      </w:pPr>
      <w:r>
        <w:rPr>
          <w:rFonts w:ascii="Arial" w:hAnsi="Arial" w:cs="Arial"/>
        </w:rPr>
        <w:t xml:space="preserve">Chen, Y., &amp; Li, H. (2020). Renewable energy investments in China’s automotive industry: Volkswagen’s strategic approach. </w:t>
      </w:r>
      <w:r>
        <w:rPr>
          <w:rStyle w:val="af8"/>
          <w:rFonts w:ascii="Arial" w:hAnsi="Arial" w:cs="Arial"/>
        </w:rPr>
        <w:t>Energy Policy</w:t>
      </w:r>
      <w:r>
        <w:rPr>
          <w:rFonts w:ascii="Arial" w:hAnsi="Arial" w:cs="Arial"/>
        </w:rPr>
        <w:t>, 140, 111332.</w:t>
      </w:r>
    </w:p>
    <w:p w14:paraId="10DEA5AE" w14:textId="77777777" w:rsidR="0067740A" w:rsidRDefault="00000000">
      <w:pPr>
        <w:pStyle w:val="af"/>
        <w:spacing w:line="360" w:lineRule="auto"/>
        <w:rPr>
          <w:rFonts w:ascii="Arial" w:hAnsi="Arial" w:cs="Arial"/>
        </w:rPr>
      </w:pPr>
      <w:r>
        <w:rPr>
          <w:rFonts w:ascii="Arial" w:hAnsi="Arial" w:cs="Arial"/>
        </w:rPr>
        <w:t xml:space="preserve">Clarke, V., &amp; Braun, V. (2017). Thematic Analysis. </w:t>
      </w:r>
      <w:r>
        <w:rPr>
          <w:rStyle w:val="af8"/>
          <w:rFonts w:ascii="Arial" w:hAnsi="Arial" w:cs="Arial"/>
        </w:rPr>
        <w:t>Journal of Positive Psychology</w:t>
      </w:r>
      <w:r>
        <w:rPr>
          <w:rFonts w:ascii="Arial" w:hAnsi="Arial" w:cs="Arial"/>
        </w:rPr>
        <w:t>, 12(3), 297-298.</w:t>
      </w:r>
    </w:p>
    <w:p w14:paraId="4886CB8B" w14:textId="77777777" w:rsidR="0067740A" w:rsidRDefault="00000000">
      <w:pPr>
        <w:pStyle w:val="af"/>
        <w:spacing w:line="360" w:lineRule="auto"/>
        <w:rPr>
          <w:rFonts w:ascii="Arial" w:hAnsi="Arial" w:cs="Arial"/>
        </w:rPr>
      </w:pPr>
      <w:r>
        <w:rPr>
          <w:rFonts w:ascii="Arial" w:hAnsi="Arial" w:cs="Arial"/>
        </w:rPr>
        <w:lastRenderedPageBreak/>
        <w:t xml:space="preserve">Creswell, J.W. (2018). </w:t>
      </w:r>
      <w:r>
        <w:rPr>
          <w:rStyle w:val="af8"/>
          <w:rFonts w:ascii="Arial" w:hAnsi="Arial" w:cs="Arial"/>
        </w:rPr>
        <w:t>Research Design: Qualitative, Quantitative, and Mixed Methods Approaches</w:t>
      </w:r>
      <w:r>
        <w:rPr>
          <w:rFonts w:ascii="Arial" w:hAnsi="Arial" w:cs="Arial"/>
        </w:rPr>
        <w:t xml:space="preserve"> (5th ed.). Sage Publications.</w:t>
      </w:r>
    </w:p>
    <w:p w14:paraId="763B6A56" w14:textId="77777777" w:rsidR="0067740A" w:rsidRDefault="00000000">
      <w:pPr>
        <w:pStyle w:val="af"/>
        <w:spacing w:line="360" w:lineRule="auto"/>
        <w:rPr>
          <w:rFonts w:ascii="Arial" w:hAnsi="Arial" w:cs="Arial"/>
        </w:rPr>
      </w:pPr>
      <w:r>
        <w:rPr>
          <w:rFonts w:ascii="Arial" w:hAnsi="Arial" w:cs="Arial"/>
        </w:rPr>
        <w:t xml:space="preserve">DiMaggio, P. J., &amp; Powell, W. W. (1983). The iron cage revisited: Institutional isomorphism and collective rationality in organisational fields. </w:t>
      </w:r>
      <w:r>
        <w:rPr>
          <w:rStyle w:val="af8"/>
          <w:rFonts w:ascii="Arial" w:hAnsi="Arial" w:cs="Arial"/>
        </w:rPr>
        <w:t>American Sociological Review</w:t>
      </w:r>
      <w:r>
        <w:rPr>
          <w:rFonts w:ascii="Arial" w:hAnsi="Arial" w:cs="Arial"/>
        </w:rPr>
        <w:t>, 48(2), 147-160.</w:t>
      </w:r>
    </w:p>
    <w:p w14:paraId="606B5316" w14:textId="77777777" w:rsidR="0067740A" w:rsidRDefault="00000000">
      <w:pPr>
        <w:pStyle w:val="af"/>
        <w:spacing w:line="360" w:lineRule="auto"/>
        <w:rPr>
          <w:rFonts w:ascii="Arial" w:hAnsi="Arial" w:cs="Arial"/>
        </w:rPr>
      </w:pPr>
      <w:r>
        <w:rPr>
          <w:rFonts w:ascii="Arial" w:hAnsi="Arial" w:cs="Arial"/>
        </w:rPr>
        <w:t xml:space="preserve">Elkington, J. (1997). </w:t>
      </w:r>
      <w:r>
        <w:rPr>
          <w:rStyle w:val="af8"/>
          <w:rFonts w:ascii="Arial" w:hAnsi="Arial" w:cs="Arial"/>
        </w:rPr>
        <w:t>Cannibals with forks: The triple bottom line of 21st century business</w:t>
      </w:r>
      <w:r>
        <w:rPr>
          <w:rFonts w:ascii="Arial" w:hAnsi="Arial" w:cs="Arial"/>
        </w:rPr>
        <w:t>. Oxford: Capstone Publishing.</w:t>
      </w:r>
    </w:p>
    <w:p w14:paraId="105F57C6" w14:textId="77777777" w:rsidR="0067740A" w:rsidRDefault="00000000">
      <w:pPr>
        <w:pStyle w:val="af"/>
        <w:spacing w:line="360" w:lineRule="auto"/>
        <w:rPr>
          <w:rFonts w:ascii="Arial" w:hAnsi="Arial" w:cs="Arial"/>
        </w:rPr>
      </w:pPr>
      <w:r>
        <w:rPr>
          <w:rFonts w:ascii="Arial" w:hAnsi="Arial" w:cs="Arial"/>
        </w:rPr>
        <w:t xml:space="preserve">Evans, J., &amp; </w:t>
      </w:r>
      <w:proofErr w:type="spellStart"/>
      <w:r>
        <w:rPr>
          <w:rFonts w:ascii="Arial" w:hAnsi="Arial" w:cs="Arial"/>
        </w:rPr>
        <w:t>Bocken</w:t>
      </w:r>
      <w:proofErr w:type="spellEnd"/>
      <w:r>
        <w:rPr>
          <w:rFonts w:ascii="Arial" w:hAnsi="Arial" w:cs="Arial"/>
        </w:rPr>
        <w:t xml:space="preserve">, N. M. P. (2021). The circular economy in the automotive industry: Strategic opportunities and challenges. </w:t>
      </w:r>
      <w:r>
        <w:rPr>
          <w:rStyle w:val="af8"/>
          <w:rFonts w:ascii="Arial" w:hAnsi="Arial" w:cs="Arial"/>
        </w:rPr>
        <w:t>Journal of Cleaner Production</w:t>
      </w:r>
      <w:r>
        <w:rPr>
          <w:rFonts w:ascii="Arial" w:hAnsi="Arial" w:cs="Arial"/>
        </w:rPr>
        <w:t xml:space="preserve">, 314, 128034. </w:t>
      </w:r>
      <w:hyperlink r:id="rId13" w:tgtFrame="_new" w:history="1">
        <w:r w:rsidR="0067740A">
          <w:rPr>
            <w:rStyle w:val="af9"/>
            <w:rFonts w:ascii="Arial" w:hAnsi="Arial" w:cs="Arial"/>
          </w:rPr>
          <w:t>https://doi.org/10.1016/j.jclepro.2021.128034</w:t>
        </w:r>
      </w:hyperlink>
    </w:p>
    <w:p w14:paraId="34B7062C" w14:textId="77777777" w:rsidR="0067740A" w:rsidRDefault="00000000">
      <w:pPr>
        <w:pStyle w:val="af"/>
        <w:spacing w:line="360" w:lineRule="auto"/>
        <w:rPr>
          <w:rFonts w:ascii="Arial" w:hAnsi="Arial" w:cs="Arial"/>
        </w:rPr>
      </w:pPr>
      <w:r>
        <w:rPr>
          <w:rFonts w:ascii="Arial" w:hAnsi="Arial" w:cs="Arial"/>
        </w:rPr>
        <w:t xml:space="preserve">Ewing, J. (2015). Volkswagen says 11 million cars worldwide are affected in diesel deception. </w:t>
      </w:r>
      <w:r>
        <w:rPr>
          <w:rStyle w:val="af8"/>
          <w:rFonts w:ascii="Arial" w:hAnsi="Arial" w:cs="Arial"/>
        </w:rPr>
        <w:t>The New York Times</w:t>
      </w:r>
      <w:r>
        <w:rPr>
          <w:rFonts w:ascii="Arial" w:hAnsi="Arial" w:cs="Arial"/>
        </w:rPr>
        <w:t xml:space="preserve">. Available at: </w:t>
      </w:r>
      <w:hyperlink r:id="rId14" w:tgtFrame="_new" w:history="1">
        <w:r w:rsidR="0067740A">
          <w:rPr>
            <w:rStyle w:val="af9"/>
            <w:rFonts w:ascii="Arial" w:hAnsi="Arial" w:cs="Arial"/>
          </w:rPr>
          <w:t>https://www.nytimes.com</w:t>
        </w:r>
      </w:hyperlink>
      <w:r>
        <w:rPr>
          <w:rFonts w:ascii="Arial" w:hAnsi="Arial" w:cs="Arial"/>
        </w:rPr>
        <w:t xml:space="preserve"> [Accessed 20 July 2024].</w:t>
      </w:r>
    </w:p>
    <w:p w14:paraId="6C748526" w14:textId="77777777" w:rsidR="0067740A" w:rsidRDefault="00000000">
      <w:pPr>
        <w:pStyle w:val="af"/>
        <w:spacing w:line="360" w:lineRule="auto"/>
        <w:rPr>
          <w:rFonts w:ascii="Arial" w:hAnsi="Arial" w:cs="Arial"/>
        </w:rPr>
      </w:pPr>
      <w:r>
        <w:rPr>
          <w:rFonts w:ascii="Arial" w:hAnsi="Arial" w:cs="Arial"/>
        </w:rPr>
        <w:t xml:space="preserve">Fernandes, C., &amp; Mesquita, C. (2020). Sustainability and competitive advantage: The role of green innovation in the automotive industry. </w:t>
      </w:r>
      <w:r>
        <w:rPr>
          <w:rStyle w:val="af8"/>
          <w:rFonts w:ascii="Arial" w:hAnsi="Arial" w:cs="Arial"/>
        </w:rPr>
        <w:t>Sustainability</w:t>
      </w:r>
      <w:r>
        <w:rPr>
          <w:rFonts w:ascii="Arial" w:hAnsi="Arial" w:cs="Arial"/>
        </w:rPr>
        <w:t xml:space="preserve">, 12(23), 9863. </w:t>
      </w:r>
      <w:hyperlink r:id="rId15" w:tgtFrame="_new" w:history="1">
        <w:r w:rsidR="0067740A">
          <w:rPr>
            <w:rStyle w:val="af9"/>
            <w:rFonts w:ascii="Arial" w:hAnsi="Arial" w:cs="Arial"/>
          </w:rPr>
          <w:t>https://doi.org/10.3390/su12239863</w:t>
        </w:r>
      </w:hyperlink>
    </w:p>
    <w:p w14:paraId="4D24E15D" w14:textId="77777777" w:rsidR="0067740A" w:rsidRDefault="00000000">
      <w:pPr>
        <w:pStyle w:val="af"/>
        <w:spacing w:line="360" w:lineRule="auto"/>
        <w:rPr>
          <w:rFonts w:ascii="Arial" w:hAnsi="Arial" w:cs="Arial"/>
        </w:rPr>
      </w:pPr>
      <w:r>
        <w:rPr>
          <w:rFonts w:ascii="Arial" w:hAnsi="Arial" w:cs="Arial"/>
        </w:rPr>
        <w:t xml:space="preserve">Field, A. (2018). </w:t>
      </w:r>
      <w:r>
        <w:rPr>
          <w:rStyle w:val="af8"/>
          <w:rFonts w:ascii="Arial" w:hAnsi="Arial" w:cs="Arial"/>
        </w:rPr>
        <w:t>Discovering Statistics Using IBM SPSS Statistics</w:t>
      </w:r>
      <w:r>
        <w:rPr>
          <w:rFonts w:ascii="Arial" w:hAnsi="Arial" w:cs="Arial"/>
        </w:rPr>
        <w:t xml:space="preserve"> (5th ed.). Sage Publications.</w:t>
      </w:r>
    </w:p>
    <w:p w14:paraId="1AE68F78" w14:textId="77777777" w:rsidR="0067740A" w:rsidRDefault="00000000">
      <w:pPr>
        <w:pStyle w:val="af"/>
        <w:spacing w:line="360" w:lineRule="auto"/>
        <w:rPr>
          <w:rFonts w:ascii="Arial" w:hAnsi="Arial" w:cs="Arial"/>
        </w:rPr>
      </w:pPr>
      <w:r>
        <w:rPr>
          <w:rFonts w:ascii="Arial" w:hAnsi="Arial" w:cs="Arial"/>
        </w:rPr>
        <w:t xml:space="preserve">Freeman, R. E. (1984). </w:t>
      </w:r>
      <w:r>
        <w:rPr>
          <w:rStyle w:val="af8"/>
          <w:rFonts w:ascii="Arial" w:hAnsi="Arial" w:cs="Arial"/>
        </w:rPr>
        <w:t>Strategic management: A stakeholder approach</w:t>
      </w:r>
      <w:r>
        <w:rPr>
          <w:rFonts w:ascii="Arial" w:hAnsi="Arial" w:cs="Arial"/>
        </w:rPr>
        <w:t>. Boston: Pitman.</w:t>
      </w:r>
    </w:p>
    <w:p w14:paraId="1A1AAA8A" w14:textId="77777777" w:rsidR="0067740A" w:rsidRDefault="00000000">
      <w:pPr>
        <w:pStyle w:val="af"/>
        <w:spacing w:line="360" w:lineRule="auto"/>
        <w:rPr>
          <w:rFonts w:ascii="Arial" w:hAnsi="Arial" w:cs="Arial"/>
        </w:rPr>
      </w:pPr>
      <w:r>
        <w:rPr>
          <w:rFonts w:ascii="Arial" w:hAnsi="Arial" w:cs="Arial"/>
        </w:rPr>
        <w:t xml:space="preserve">Gao, P., &amp; Zhang, Q. (2020). Sustainability and competitive advantage in the Chinese automotive industry. </w:t>
      </w:r>
      <w:r>
        <w:rPr>
          <w:rStyle w:val="af8"/>
          <w:rFonts w:ascii="Arial" w:hAnsi="Arial" w:cs="Arial"/>
        </w:rPr>
        <w:t>Journal of Business Research</w:t>
      </w:r>
      <w:r>
        <w:rPr>
          <w:rFonts w:ascii="Arial" w:hAnsi="Arial" w:cs="Arial"/>
        </w:rPr>
        <w:t>, 123, 450-462.</w:t>
      </w:r>
    </w:p>
    <w:p w14:paraId="0C0D2F9A" w14:textId="77777777" w:rsidR="0067740A" w:rsidRDefault="00000000">
      <w:pPr>
        <w:pStyle w:val="af"/>
        <w:spacing w:line="360" w:lineRule="auto"/>
        <w:rPr>
          <w:rFonts w:ascii="Arial" w:hAnsi="Arial" w:cs="Arial"/>
        </w:rPr>
      </w:pPr>
      <w:r>
        <w:rPr>
          <w:rFonts w:ascii="Arial" w:hAnsi="Arial" w:cs="Arial"/>
        </w:rPr>
        <w:t xml:space="preserve">Gao, P., Hensley, R., &amp; </w:t>
      </w:r>
      <w:proofErr w:type="spellStart"/>
      <w:r>
        <w:rPr>
          <w:rFonts w:ascii="Arial" w:hAnsi="Arial" w:cs="Arial"/>
        </w:rPr>
        <w:t>Zielke</w:t>
      </w:r>
      <w:proofErr w:type="spellEnd"/>
      <w:r>
        <w:rPr>
          <w:rFonts w:ascii="Arial" w:hAnsi="Arial" w:cs="Arial"/>
        </w:rPr>
        <w:t xml:space="preserve">, A. (2020). A roadmap to the future for the auto industry. </w:t>
      </w:r>
      <w:r>
        <w:rPr>
          <w:rStyle w:val="af8"/>
          <w:rFonts w:ascii="Arial" w:hAnsi="Arial" w:cs="Arial"/>
        </w:rPr>
        <w:t>McKinsey &amp; Company</w:t>
      </w:r>
      <w:r>
        <w:rPr>
          <w:rFonts w:ascii="Arial" w:hAnsi="Arial" w:cs="Arial"/>
        </w:rPr>
        <w:t xml:space="preserve">. Available at: </w:t>
      </w:r>
      <w:hyperlink r:id="rId16" w:tgtFrame="_new" w:history="1">
        <w:r w:rsidR="0067740A">
          <w:rPr>
            <w:rStyle w:val="af9"/>
            <w:rFonts w:ascii="Arial" w:hAnsi="Arial" w:cs="Arial"/>
          </w:rPr>
          <w:t>https://www.mckinsey.com/industries/automotive-</w:t>
        </w:r>
        <w:r w:rsidR="0067740A">
          <w:rPr>
            <w:rStyle w:val="af9"/>
            <w:rFonts w:ascii="Arial" w:hAnsi="Arial" w:cs="Arial"/>
          </w:rPr>
          <w:lastRenderedPageBreak/>
          <w:t>and-assembly/our-insights/a-roadmap-to-the-future-for-the-auto-industry</w:t>
        </w:r>
      </w:hyperlink>
      <w:r>
        <w:rPr>
          <w:rFonts w:ascii="Arial" w:hAnsi="Arial" w:cs="Arial"/>
        </w:rPr>
        <w:t xml:space="preserve"> [Accessed 18 July 2024].</w:t>
      </w:r>
    </w:p>
    <w:p w14:paraId="70E7D4A6" w14:textId="77777777" w:rsidR="0067740A" w:rsidRDefault="00000000">
      <w:pPr>
        <w:pStyle w:val="af"/>
        <w:spacing w:line="360" w:lineRule="auto"/>
        <w:rPr>
          <w:rFonts w:ascii="Arial" w:hAnsi="Arial" w:cs="Arial"/>
        </w:rPr>
      </w:pPr>
      <w:proofErr w:type="spellStart"/>
      <w:r>
        <w:rPr>
          <w:rFonts w:ascii="Arial" w:hAnsi="Arial" w:cs="Arial"/>
        </w:rPr>
        <w:t>Geissdoerfer</w:t>
      </w:r>
      <w:proofErr w:type="spellEnd"/>
      <w:r>
        <w:rPr>
          <w:rFonts w:ascii="Arial" w:hAnsi="Arial" w:cs="Arial"/>
        </w:rPr>
        <w:t xml:space="preserve">, M., </w:t>
      </w:r>
      <w:proofErr w:type="spellStart"/>
      <w:r>
        <w:rPr>
          <w:rFonts w:ascii="Arial" w:hAnsi="Arial" w:cs="Arial"/>
        </w:rPr>
        <w:t>Savaget</w:t>
      </w:r>
      <w:proofErr w:type="spellEnd"/>
      <w:r>
        <w:rPr>
          <w:rFonts w:ascii="Arial" w:hAnsi="Arial" w:cs="Arial"/>
        </w:rPr>
        <w:t xml:space="preserve">, P., </w:t>
      </w:r>
      <w:proofErr w:type="spellStart"/>
      <w:r>
        <w:rPr>
          <w:rFonts w:ascii="Arial" w:hAnsi="Arial" w:cs="Arial"/>
        </w:rPr>
        <w:t>Bocken</w:t>
      </w:r>
      <w:proofErr w:type="spellEnd"/>
      <w:r>
        <w:rPr>
          <w:rFonts w:ascii="Arial" w:hAnsi="Arial" w:cs="Arial"/>
        </w:rPr>
        <w:t xml:space="preserve">, N. M., &amp; </w:t>
      </w:r>
      <w:proofErr w:type="spellStart"/>
      <w:r>
        <w:rPr>
          <w:rFonts w:ascii="Arial" w:hAnsi="Arial" w:cs="Arial"/>
        </w:rPr>
        <w:t>Hultink</w:t>
      </w:r>
      <w:proofErr w:type="spellEnd"/>
      <w:r>
        <w:rPr>
          <w:rFonts w:ascii="Arial" w:hAnsi="Arial" w:cs="Arial"/>
        </w:rPr>
        <w:t xml:space="preserve">, E. J. (2017). The circular economy–A new sustainability paradigm? </w:t>
      </w:r>
      <w:r>
        <w:rPr>
          <w:rStyle w:val="af8"/>
          <w:rFonts w:ascii="Arial" w:hAnsi="Arial" w:cs="Arial"/>
        </w:rPr>
        <w:t>Journal of Cleaner Production</w:t>
      </w:r>
      <w:r>
        <w:rPr>
          <w:rFonts w:ascii="Arial" w:hAnsi="Arial" w:cs="Arial"/>
        </w:rPr>
        <w:t>, 143, 757-768.</w:t>
      </w:r>
    </w:p>
    <w:p w14:paraId="08D5DCDE" w14:textId="77777777" w:rsidR="0067740A" w:rsidRDefault="00000000">
      <w:pPr>
        <w:pStyle w:val="af"/>
        <w:spacing w:line="360" w:lineRule="auto"/>
        <w:rPr>
          <w:rFonts w:ascii="Arial" w:hAnsi="Arial" w:cs="Arial"/>
        </w:rPr>
      </w:pPr>
      <w:r>
        <w:rPr>
          <w:rFonts w:ascii="Arial" w:hAnsi="Arial" w:cs="Arial"/>
        </w:rPr>
        <w:t xml:space="preserve">Gonçalves, J. M., &amp; Silva, J. A. (2021). Consumer perceptions of electric vehicles: A study in emerging markets. </w:t>
      </w:r>
      <w:r>
        <w:rPr>
          <w:rStyle w:val="af8"/>
          <w:rFonts w:ascii="Arial" w:hAnsi="Arial" w:cs="Arial"/>
        </w:rPr>
        <w:t>Journal of Cleaner Production</w:t>
      </w:r>
      <w:r>
        <w:rPr>
          <w:rFonts w:ascii="Arial" w:hAnsi="Arial" w:cs="Arial"/>
        </w:rPr>
        <w:t xml:space="preserve">, 292, 125281. </w:t>
      </w:r>
      <w:hyperlink r:id="rId17" w:tgtFrame="_new" w:history="1">
        <w:r w:rsidR="0067740A">
          <w:rPr>
            <w:rStyle w:val="af9"/>
            <w:rFonts w:ascii="Arial" w:hAnsi="Arial" w:cs="Arial"/>
          </w:rPr>
          <w:t>https://doi.org/10.1016/j.jclepro.2021.125281</w:t>
        </w:r>
      </w:hyperlink>
    </w:p>
    <w:p w14:paraId="0F86EE2B" w14:textId="77777777" w:rsidR="0067740A" w:rsidRDefault="00000000">
      <w:pPr>
        <w:pStyle w:val="af"/>
        <w:spacing w:line="360" w:lineRule="auto"/>
        <w:rPr>
          <w:rFonts w:ascii="Arial" w:hAnsi="Arial" w:cs="Arial"/>
        </w:rPr>
      </w:pPr>
      <w:r>
        <w:rPr>
          <w:rFonts w:ascii="Arial" w:hAnsi="Arial" w:cs="Arial"/>
        </w:rPr>
        <w:t xml:space="preserve">Hart, S. L. (1995). A natural-resource-based view of the firm. </w:t>
      </w:r>
      <w:r>
        <w:rPr>
          <w:rStyle w:val="af8"/>
          <w:rFonts w:ascii="Arial" w:hAnsi="Arial" w:cs="Arial"/>
        </w:rPr>
        <w:t>Academy of Management Review</w:t>
      </w:r>
      <w:r>
        <w:rPr>
          <w:rFonts w:ascii="Arial" w:hAnsi="Arial" w:cs="Arial"/>
        </w:rPr>
        <w:t>, 20(4), 986-1014.</w:t>
      </w:r>
    </w:p>
    <w:p w14:paraId="466B9FF8" w14:textId="77777777" w:rsidR="0067740A" w:rsidRDefault="00000000">
      <w:pPr>
        <w:pStyle w:val="af"/>
        <w:spacing w:line="360" w:lineRule="auto"/>
        <w:rPr>
          <w:rFonts w:ascii="Arial" w:hAnsi="Arial" w:cs="Arial"/>
        </w:rPr>
      </w:pPr>
      <w:r>
        <w:rPr>
          <w:rFonts w:ascii="Arial" w:hAnsi="Arial" w:cs="Arial"/>
        </w:rPr>
        <w:t xml:space="preserve">Huang, X., &amp; Liu, J. (2019). Consumer perceptions of green products in China. </w:t>
      </w:r>
      <w:r>
        <w:rPr>
          <w:rStyle w:val="af8"/>
          <w:rFonts w:ascii="Arial" w:hAnsi="Arial" w:cs="Arial"/>
        </w:rPr>
        <w:t>Journal of Environmental Psychology</w:t>
      </w:r>
      <w:r>
        <w:rPr>
          <w:rFonts w:ascii="Arial" w:hAnsi="Arial" w:cs="Arial"/>
        </w:rPr>
        <w:t>, 64, 52-60.</w:t>
      </w:r>
    </w:p>
    <w:p w14:paraId="29E4B759" w14:textId="77777777" w:rsidR="0067740A" w:rsidRDefault="00000000">
      <w:pPr>
        <w:pStyle w:val="af"/>
        <w:spacing w:line="360" w:lineRule="auto"/>
        <w:rPr>
          <w:rFonts w:ascii="Arial" w:hAnsi="Arial" w:cs="Arial"/>
        </w:rPr>
      </w:pPr>
      <w:r>
        <w:rPr>
          <w:rFonts w:ascii="Arial" w:hAnsi="Arial" w:cs="Arial"/>
        </w:rPr>
        <w:t xml:space="preserve">Huang, Y., Liu, S., &amp; Zhang, W. (2020). Competition in the Chinese EV market: The role of local and international players. </w:t>
      </w:r>
      <w:r>
        <w:rPr>
          <w:rStyle w:val="af8"/>
          <w:rFonts w:ascii="Arial" w:hAnsi="Arial" w:cs="Arial"/>
        </w:rPr>
        <w:t>Journal of Industrial Strategy</w:t>
      </w:r>
      <w:r>
        <w:rPr>
          <w:rFonts w:ascii="Arial" w:hAnsi="Arial" w:cs="Arial"/>
        </w:rPr>
        <w:t>, 13(2), 154-171.</w:t>
      </w:r>
    </w:p>
    <w:p w14:paraId="465AAB65" w14:textId="77777777" w:rsidR="0067740A" w:rsidRDefault="00000000">
      <w:pPr>
        <w:pStyle w:val="af"/>
        <w:spacing w:line="360" w:lineRule="auto"/>
        <w:rPr>
          <w:rFonts w:ascii="Arial" w:hAnsi="Arial" w:cs="Arial"/>
        </w:rPr>
      </w:pPr>
      <w:r>
        <w:rPr>
          <w:rFonts w:ascii="Arial" w:hAnsi="Arial" w:cs="Arial"/>
        </w:rPr>
        <w:t xml:space="preserve">Jiang, W., &amp; Chen, Y. (2020). The impact of green brand positioning on consumer </w:t>
      </w:r>
      <w:proofErr w:type="spellStart"/>
      <w:r>
        <w:rPr>
          <w:rFonts w:ascii="Arial" w:hAnsi="Arial" w:cs="Arial"/>
        </w:rPr>
        <w:t>behavior</w:t>
      </w:r>
      <w:proofErr w:type="spellEnd"/>
      <w:r>
        <w:rPr>
          <w:rFonts w:ascii="Arial" w:hAnsi="Arial" w:cs="Arial"/>
        </w:rPr>
        <w:t xml:space="preserve">: Insights from the automotive sector. </w:t>
      </w:r>
      <w:r>
        <w:rPr>
          <w:rStyle w:val="af8"/>
          <w:rFonts w:ascii="Arial" w:hAnsi="Arial" w:cs="Arial"/>
        </w:rPr>
        <w:t>Journal of Consumer Marketing</w:t>
      </w:r>
      <w:r>
        <w:rPr>
          <w:rFonts w:ascii="Arial" w:hAnsi="Arial" w:cs="Arial"/>
        </w:rPr>
        <w:t>, 37(3), 291-301.</w:t>
      </w:r>
    </w:p>
    <w:p w14:paraId="1F6E2845" w14:textId="77777777" w:rsidR="0067740A" w:rsidRDefault="00000000">
      <w:pPr>
        <w:pStyle w:val="af"/>
        <w:spacing w:line="360" w:lineRule="auto"/>
        <w:rPr>
          <w:rFonts w:ascii="Arial" w:hAnsi="Arial" w:cs="Arial"/>
        </w:rPr>
      </w:pPr>
      <w:r>
        <w:rPr>
          <w:rFonts w:ascii="Arial" w:hAnsi="Arial" w:cs="Arial"/>
        </w:rPr>
        <w:t xml:space="preserve">Johnson, P., </w:t>
      </w:r>
      <w:proofErr w:type="spellStart"/>
      <w:r>
        <w:rPr>
          <w:rFonts w:ascii="Arial" w:hAnsi="Arial" w:cs="Arial"/>
        </w:rPr>
        <w:t>Buehring</w:t>
      </w:r>
      <w:proofErr w:type="spellEnd"/>
      <w:r>
        <w:rPr>
          <w:rFonts w:ascii="Arial" w:hAnsi="Arial" w:cs="Arial"/>
        </w:rPr>
        <w:t xml:space="preserve">, A., &amp; Cassell, C. (2019). </w:t>
      </w:r>
      <w:r>
        <w:rPr>
          <w:rStyle w:val="af8"/>
          <w:rFonts w:ascii="Arial" w:hAnsi="Arial" w:cs="Arial"/>
        </w:rPr>
        <w:t>Qualitative Research in Organizational Settings: An Introduction</w:t>
      </w:r>
      <w:r>
        <w:rPr>
          <w:rFonts w:ascii="Arial" w:hAnsi="Arial" w:cs="Arial"/>
        </w:rPr>
        <w:t>. Sage Publications.</w:t>
      </w:r>
    </w:p>
    <w:p w14:paraId="600BAC17" w14:textId="77777777" w:rsidR="0067740A" w:rsidRDefault="00000000">
      <w:pPr>
        <w:pStyle w:val="af"/>
        <w:spacing w:line="360" w:lineRule="auto"/>
        <w:rPr>
          <w:rFonts w:ascii="Arial" w:hAnsi="Arial" w:cs="Arial"/>
        </w:rPr>
      </w:pPr>
      <w:r>
        <w:rPr>
          <w:rFonts w:ascii="Arial" w:hAnsi="Arial" w:cs="Arial"/>
        </w:rPr>
        <w:t xml:space="preserve">Khan, S. A., &amp; Anwar, M. (2022). Understanding the role of environmental awareness in green consumption: Insights from the automotive industry. </w:t>
      </w:r>
      <w:r>
        <w:rPr>
          <w:rStyle w:val="af8"/>
          <w:rFonts w:ascii="Arial" w:hAnsi="Arial" w:cs="Arial"/>
        </w:rPr>
        <w:t>Journal of Environmental Management</w:t>
      </w:r>
      <w:r>
        <w:rPr>
          <w:rFonts w:ascii="Arial" w:hAnsi="Arial" w:cs="Arial"/>
        </w:rPr>
        <w:t xml:space="preserve">, 303, 114107. </w:t>
      </w:r>
      <w:hyperlink r:id="rId18" w:tgtFrame="_new" w:history="1">
        <w:r w:rsidR="0067740A">
          <w:rPr>
            <w:rStyle w:val="af9"/>
            <w:rFonts w:ascii="Arial" w:hAnsi="Arial" w:cs="Arial"/>
          </w:rPr>
          <w:t>https://doi.org/10.1016/j.jenvman.2021.114107</w:t>
        </w:r>
      </w:hyperlink>
    </w:p>
    <w:p w14:paraId="3AD5E412" w14:textId="77777777" w:rsidR="0067740A" w:rsidRDefault="00000000">
      <w:pPr>
        <w:pStyle w:val="af"/>
        <w:spacing w:line="360" w:lineRule="auto"/>
        <w:rPr>
          <w:rFonts w:ascii="Arial" w:hAnsi="Arial" w:cs="Arial"/>
        </w:rPr>
      </w:pPr>
      <w:r>
        <w:rPr>
          <w:rFonts w:ascii="Arial" w:hAnsi="Arial" w:cs="Arial"/>
        </w:rPr>
        <w:t xml:space="preserve">Li, H., &amp; Song, Y. (2020). Green consumption patterns in the Chinese automotive market. </w:t>
      </w:r>
      <w:r>
        <w:rPr>
          <w:rStyle w:val="af8"/>
          <w:rFonts w:ascii="Arial" w:hAnsi="Arial" w:cs="Arial"/>
        </w:rPr>
        <w:t>International Journal of Sustainability Studies</w:t>
      </w:r>
      <w:r>
        <w:rPr>
          <w:rFonts w:ascii="Arial" w:hAnsi="Arial" w:cs="Arial"/>
        </w:rPr>
        <w:t>, 10(4), 201-216.</w:t>
      </w:r>
    </w:p>
    <w:p w14:paraId="3A9B47BA" w14:textId="77777777" w:rsidR="0067740A" w:rsidRDefault="00000000">
      <w:pPr>
        <w:pStyle w:val="af"/>
        <w:spacing w:line="360" w:lineRule="auto"/>
        <w:rPr>
          <w:rFonts w:ascii="Arial" w:hAnsi="Arial" w:cs="Arial"/>
        </w:rPr>
      </w:pPr>
      <w:r>
        <w:rPr>
          <w:rFonts w:ascii="Arial" w:hAnsi="Arial" w:cs="Arial"/>
        </w:rPr>
        <w:lastRenderedPageBreak/>
        <w:t xml:space="preserve">Li, Y., &amp; Zhang, L. (2021). Green innovation and firm performance: Evidence from China’s automotive industry. </w:t>
      </w:r>
      <w:r>
        <w:rPr>
          <w:rStyle w:val="af8"/>
          <w:rFonts w:ascii="Arial" w:hAnsi="Arial" w:cs="Arial"/>
        </w:rPr>
        <w:t>Journal of Cleaner Production</w:t>
      </w:r>
      <w:r>
        <w:rPr>
          <w:rFonts w:ascii="Arial" w:hAnsi="Arial" w:cs="Arial"/>
        </w:rPr>
        <w:t>, 279, 123456.</w:t>
      </w:r>
    </w:p>
    <w:p w14:paraId="721B8575" w14:textId="77777777" w:rsidR="0067740A" w:rsidRDefault="00000000">
      <w:pPr>
        <w:pStyle w:val="af"/>
        <w:spacing w:line="360" w:lineRule="auto"/>
        <w:rPr>
          <w:rFonts w:ascii="Arial" w:hAnsi="Arial" w:cs="Arial"/>
        </w:rPr>
      </w:pPr>
      <w:r>
        <w:rPr>
          <w:rFonts w:ascii="Arial" w:hAnsi="Arial" w:cs="Arial"/>
        </w:rPr>
        <w:t xml:space="preserve">Liu, Y., &amp; Wei, X. (2021). Volkswagen’s sustainability strategy in China: A case study. </w:t>
      </w:r>
      <w:r>
        <w:rPr>
          <w:rStyle w:val="af8"/>
          <w:rFonts w:ascii="Arial" w:hAnsi="Arial" w:cs="Arial"/>
        </w:rPr>
        <w:t>Asian Business Review</w:t>
      </w:r>
      <w:r>
        <w:rPr>
          <w:rFonts w:ascii="Arial" w:hAnsi="Arial" w:cs="Arial"/>
        </w:rPr>
        <w:t>, 11(1), 102-120.</w:t>
      </w:r>
    </w:p>
    <w:p w14:paraId="24DBC002" w14:textId="77777777" w:rsidR="0067740A" w:rsidRDefault="00000000">
      <w:pPr>
        <w:pStyle w:val="af"/>
        <w:spacing w:line="360" w:lineRule="auto"/>
        <w:rPr>
          <w:rFonts w:ascii="Arial" w:hAnsi="Arial" w:cs="Arial"/>
        </w:rPr>
      </w:pPr>
      <w:r>
        <w:rPr>
          <w:rFonts w:ascii="Arial" w:hAnsi="Arial" w:cs="Arial"/>
        </w:rPr>
        <w:t xml:space="preserve">Liu, Y., &amp; Yang, X. (2021). Green manufacturing practices in the automotive industry: A case study of Volkswagen China. </w:t>
      </w:r>
      <w:r>
        <w:rPr>
          <w:rStyle w:val="af8"/>
          <w:rFonts w:ascii="Arial" w:hAnsi="Arial" w:cs="Arial"/>
        </w:rPr>
        <w:t>Journal of Cleaner Production</w:t>
      </w:r>
      <w:r>
        <w:rPr>
          <w:rFonts w:ascii="Arial" w:hAnsi="Arial" w:cs="Arial"/>
        </w:rPr>
        <w:t>, 278, 123456.</w:t>
      </w:r>
    </w:p>
    <w:p w14:paraId="1D61D2C9" w14:textId="77777777" w:rsidR="0067740A" w:rsidRDefault="00000000">
      <w:pPr>
        <w:pStyle w:val="af"/>
        <w:spacing w:line="360" w:lineRule="auto"/>
        <w:rPr>
          <w:rFonts w:ascii="Arial" w:hAnsi="Arial" w:cs="Arial"/>
        </w:rPr>
      </w:pPr>
      <w:r>
        <w:rPr>
          <w:rFonts w:ascii="Arial" w:hAnsi="Arial" w:cs="Arial"/>
        </w:rPr>
        <w:t xml:space="preserve">McKinsey &amp; Company. (2023). </w:t>
      </w:r>
      <w:r>
        <w:rPr>
          <w:rStyle w:val="af8"/>
          <w:rFonts w:ascii="Arial" w:hAnsi="Arial" w:cs="Arial"/>
        </w:rPr>
        <w:t>China Auto Consumer Insights</w:t>
      </w:r>
      <w:r>
        <w:rPr>
          <w:rFonts w:ascii="Arial" w:hAnsi="Arial" w:cs="Arial"/>
        </w:rPr>
        <w:t xml:space="preserve">. Retrieved from </w:t>
      </w:r>
      <w:hyperlink r:id="rId19" w:tgtFrame="_new" w:history="1">
        <w:r w:rsidR="0067740A">
          <w:rPr>
            <w:rStyle w:val="af9"/>
            <w:rFonts w:ascii="Arial" w:hAnsi="Arial" w:cs="Arial"/>
          </w:rPr>
          <w:t>https://www.mckinsey.com</w:t>
        </w:r>
      </w:hyperlink>
      <w:r>
        <w:rPr>
          <w:rFonts w:ascii="Arial" w:hAnsi="Arial" w:cs="Arial"/>
        </w:rPr>
        <w:t>.</w:t>
      </w:r>
    </w:p>
    <w:p w14:paraId="4CE03C7D" w14:textId="77777777" w:rsidR="0067740A" w:rsidRDefault="00000000">
      <w:pPr>
        <w:pStyle w:val="af"/>
        <w:spacing w:line="360" w:lineRule="auto"/>
        <w:rPr>
          <w:rFonts w:ascii="Arial" w:hAnsi="Arial" w:cs="Arial"/>
        </w:rPr>
      </w:pPr>
      <w:r>
        <w:rPr>
          <w:rFonts w:ascii="Arial" w:hAnsi="Arial" w:cs="Arial"/>
        </w:rPr>
        <w:t xml:space="preserve">Palinkas, L.A., Horwitz, S.M., Green, C.A., Wisdom, J.P., Duan, N., &amp; </w:t>
      </w:r>
      <w:proofErr w:type="spellStart"/>
      <w:r>
        <w:rPr>
          <w:rFonts w:ascii="Arial" w:hAnsi="Arial" w:cs="Arial"/>
        </w:rPr>
        <w:t>Hoagwood</w:t>
      </w:r>
      <w:proofErr w:type="spellEnd"/>
      <w:r>
        <w:rPr>
          <w:rFonts w:ascii="Arial" w:hAnsi="Arial" w:cs="Arial"/>
        </w:rPr>
        <w:t xml:space="preserve">, K. (2015). Purposeful sampling for qualitative data collection and analysis in mixed method implementation research. </w:t>
      </w:r>
      <w:r>
        <w:rPr>
          <w:rStyle w:val="af8"/>
          <w:rFonts w:ascii="Arial" w:hAnsi="Arial" w:cs="Arial"/>
        </w:rPr>
        <w:t>Administration and Policy in Mental Health and Mental Health Services Research</w:t>
      </w:r>
      <w:r>
        <w:rPr>
          <w:rFonts w:ascii="Arial" w:hAnsi="Arial" w:cs="Arial"/>
        </w:rPr>
        <w:t>, 42(5), 533-544.</w:t>
      </w:r>
    </w:p>
    <w:p w14:paraId="517D6E96" w14:textId="77777777" w:rsidR="0067740A" w:rsidRDefault="00000000">
      <w:pPr>
        <w:pStyle w:val="af"/>
        <w:spacing w:line="360" w:lineRule="auto"/>
        <w:rPr>
          <w:rFonts w:ascii="Arial" w:hAnsi="Arial" w:cs="Arial"/>
        </w:rPr>
      </w:pPr>
      <w:r>
        <w:rPr>
          <w:rFonts w:ascii="Arial" w:hAnsi="Arial" w:cs="Arial"/>
        </w:rPr>
        <w:t xml:space="preserve">Petty, R. E., &amp; Cacioppo, J. T. (1986). </w:t>
      </w:r>
      <w:r>
        <w:rPr>
          <w:rStyle w:val="af8"/>
          <w:rFonts w:ascii="Arial" w:hAnsi="Arial" w:cs="Arial"/>
        </w:rPr>
        <w:t>Communication and persuasion: Central and peripheral routes to attitude change</w:t>
      </w:r>
      <w:r>
        <w:rPr>
          <w:rFonts w:ascii="Arial" w:hAnsi="Arial" w:cs="Arial"/>
        </w:rPr>
        <w:t>. New York: Springer-Verlag.</w:t>
      </w:r>
    </w:p>
    <w:p w14:paraId="54084EE7" w14:textId="77777777" w:rsidR="0067740A" w:rsidRDefault="00000000">
      <w:pPr>
        <w:pStyle w:val="af"/>
        <w:spacing w:line="360" w:lineRule="auto"/>
        <w:rPr>
          <w:rFonts w:ascii="Arial" w:hAnsi="Arial" w:cs="Arial"/>
        </w:rPr>
      </w:pPr>
      <w:r>
        <w:rPr>
          <w:rFonts w:ascii="Arial" w:hAnsi="Arial" w:cs="Arial"/>
        </w:rPr>
        <w:t xml:space="preserve">Porter, M. E. (1985). </w:t>
      </w:r>
      <w:r>
        <w:rPr>
          <w:rStyle w:val="af8"/>
          <w:rFonts w:ascii="Arial" w:hAnsi="Arial" w:cs="Arial"/>
        </w:rPr>
        <w:t>Competitive advantage: Creating and sustaining superior performance</w:t>
      </w:r>
      <w:r>
        <w:rPr>
          <w:rFonts w:ascii="Arial" w:hAnsi="Arial" w:cs="Arial"/>
        </w:rPr>
        <w:t>. New York: Free Press.</w:t>
      </w:r>
    </w:p>
    <w:p w14:paraId="5DC7C8A9" w14:textId="77777777" w:rsidR="0067740A" w:rsidRDefault="00000000">
      <w:pPr>
        <w:pStyle w:val="af"/>
        <w:spacing w:line="360" w:lineRule="auto"/>
        <w:rPr>
          <w:rFonts w:ascii="Arial" w:hAnsi="Arial" w:cs="Arial"/>
        </w:rPr>
      </w:pPr>
      <w:r>
        <w:rPr>
          <w:rFonts w:ascii="Arial" w:hAnsi="Arial" w:cs="Arial"/>
        </w:rPr>
        <w:t xml:space="preserve">Saunders, M., Lewis, P., &amp; Thornhill, A. (2019). </w:t>
      </w:r>
      <w:r>
        <w:rPr>
          <w:rStyle w:val="af8"/>
          <w:rFonts w:ascii="Arial" w:hAnsi="Arial" w:cs="Arial"/>
        </w:rPr>
        <w:t>Research Methods for Business Students</w:t>
      </w:r>
      <w:r>
        <w:rPr>
          <w:rFonts w:ascii="Arial" w:hAnsi="Arial" w:cs="Arial"/>
        </w:rPr>
        <w:t xml:space="preserve"> (8th ed.). Pearson Education.</w:t>
      </w:r>
    </w:p>
    <w:p w14:paraId="5469E5F1" w14:textId="77777777" w:rsidR="0067740A" w:rsidRDefault="00000000">
      <w:pPr>
        <w:pStyle w:val="af"/>
        <w:spacing w:line="360" w:lineRule="auto"/>
        <w:rPr>
          <w:rFonts w:ascii="Arial" w:hAnsi="Arial" w:cs="Arial"/>
        </w:rPr>
      </w:pPr>
      <w:r>
        <w:rPr>
          <w:rFonts w:ascii="Arial" w:hAnsi="Arial" w:cs="Arial"/>
        </w:rPr>
        <w:t xml:space="preserve">Stern, P. C. (2000). Toward a coherent theory of environmentally significant </w:t>
      </w:r>
      <w:proofErr w:type="spellStart"/>
      <w:r>
        <w:rPr>
          <w:rFonts w:ascii="Arial" w:hAnsi="Arial" w:cs="Arial"/>
        </w:rPr>
        <w:t>behavior</w:t>
      </w:r>
      <w:proofErr w:type="spellEnd"/>
      <w:r>
        <w:rPr>
          <w:rFonts w:ascii="Arial" w:hAnsi="Arial" w:cs="Arial"/>
        </w:rPr>
        <w:t xml:space="preserve">. </w:t>
      </w:r>
      <w:r>
        <w:rPr>
          <w:rStyle w:val="af8"/>
          <w:rFonts w:ascii="Arial" w:hAnsi="Arial" w:cs="Arial"/>
        </w:rPr>
        <w:t>Journal of Social Issues</w:t>
      </w:r>
      <w:r>
        <w:rPr>
          <w:rFonts w:ascii="Arial" w:hAnsi="Arial" w:cs="Arial"/>
        </w:rPr>
        <w:t>, 56(3), 407-424.</w:t>
      </w:r>
    </w:p>
    <w:p w14:paraId="7DA733A0" w14:textId="77777777" w:rsidR="0067740A" w:rsidRDefault="00000000">
      <w:pPr>
        <w:pStyle w:val="af"/>
        <w:spacing w:line="360" w:lineRule="auto"/>
        <w:rPr>
          <w:rFonts w:ascii="Arial" w:hAnsi="Arial" w:cs="Arial"/>
        </w:rPr>
      </w:pPr>
      <w:proofErr w:type="spellStart"/>
      <w:r>
        <w:rPr>
          <w:rFonts w:ascii="Arial" w:hAnsi="Arial" w:cs="Arial"/>
        </w:rPr>
        <w:t>Tashakkori</w:t>
      </w:r>
      <w:proofErr w:type="spellEnd"/>
      <w:r>
        <w:rPr>
          <w:rFonts w:ascii="Arial" w:hAnsi="Arial" w:cs="Arial"/>
        </w:rPr>
        <w:t xml:space="preserve">, A., &amp; Teddlie, C. (2019). </w:t>
      </w:r>
      <w:r>
        <w:rPr>
          <w:rStyle w:val="af8"/>
          <w:rFonts w:ascii="Arial" w:hAnsi="Arial" w:cs="Arial"/>
        </w:rPr>
        <w:t>Mixed Methodology: Combining Qualitative and Quantitative Approaches</w:t>
      </w:r>
      <w:r>
        <w:rPr>
          <w:rFonts w:ascii="Arial" w:hAnsi="Arial" w:cs="Arial"/>
        </w:rPr>
        <w:t>. Sage Publications.</w:t>
      </w:r>
    </w:p>
    <w:p w14:paraId="1274829B" w14:textId="77777777" w:rsidR="0067740A" w:rsidRDefault="00000000">
      <w:pPr>
        <w:pStyle w:val="af"/>
        <w:spacing w:line="360" w:lineRule="auto"/>
        <w:rPr>
          <w:rFonts w:ascii="Arial" w:hAnsi="Arial" w:cs="Arial"/>
        </w:rPr>
      </w:pPr>
      <w:r>
        <w:rPr>
          <w:rFonts w:ascii="Arial" w:hAnsi="Arial" w:cs="Arial"/>
        </w:rPr>
        <w:lastRenderedPageBreak/>
        <w:t xml:space="preserve">Tang, Z., Chen, X., &amp; Luo, J. (2018). Determinants of green innovation in the automotive industry: The role of regulatory pressures, competition, and stakeholder influence. </w:t>
      </w:r>
      <w:r>
        <w:rPr>
          <w:rStyle w:val="af8"/>
          <w:rFonts w:ascii="Arial" w:hAnsi="Arial" w:cs="Arial"/>
        </w:rPr>
        <w:t>Journal of Cleaner Production</w:t>
      </w:r>
      <w:r>
        <w:rPr>
          <w:rFonts w:ascii="Arial" w:hAnsi="Arial" w:cs="Arial"/>
        </w:rPr>
        <w:t>, 200, 114-122.</w:t>
      </w:r>
    </w:p>
    <w:p w14:paraId="1AC322FE" w14:textId="77777777" w:rsidR="0067740A" w:rsidRDefault="00000000">
      <w:pPr>
        <w:pStyle w:val="af"/>
        <w:spacing w:line="360" w:lineRule="auto"/>
        <w:rPr>
          <w:rFonts w:ascii="Arial" w:hAnsi="Arial" w:cs="Arial"/>
        </w:rPr>
      </w:pPr>
      <w:r>
        <w:rPr>
          <w:rFonts w:ascii="Arial" w:hAnsi="Arial" w:cs="Arial"/>
        </w:rPr>
        <w:t xml:space="preserve">Teece, D. J., Pisano, G., &amp; </w:t>
      </w:r>
      <w:proofErr w:type="spellStart"/>
      <w:r>
        <w:rPr>
          <w:rFonts w:ascii="Arial" w:hAnsi="Arial" w:cs="Arial"/>
        </w:rPr>
        <w:t>Shuen</w:t>
      </w:r>
      <w:proofErr w:type="spellEnd"/>
      <w:r>
        <w:rPr>
          <w:rFonts w:ascii="Arial" w:hAnsi="Arial" w:cs="Arial"/>
        </w:rPr>
        <w:t xml:space="preserve">, A. (1997). Dynamic capabilities and strategic management. </w:t>
      </w:r>
      <w:r>
        <w:rPr>
          <w:rStyle w:val="af8"/>
          <w:rFonts w:ascii="Arial" w:hAnsi="Arial" w:cs="Arial"/>
        </w:rPr>
        <w:t>Strategic Management Journal</w:t>
      </w:r>
      <w:r>
        <w:rPr>
          <w:rFonts w:ascii="Arial" w:hAnsi="Arial" w:cs="Arial"/>
        </w:rPr>
        <w:t>, 18(7), 509-533.</w:t>
      </w:r>
    </w:p>
    <w:p w14:paraId="4B2223F8" w14:textId="77777777" w:rsidR="0067740A" w:rsidRDefault="00000000">
      <w:pPr>
        <w:pStyle w:val="af"/>
        <w:spacing w:line="360" w:lineRule="auto"/>
        <w:rPr>
          <w:rFonts w:ascii="Arial" w:hAnsi="Arial" w:cs="Arial"/>
        </w:rPr>
      </w:pPr>
      <w:r>
        <w:rPr>
          <w:rFonts w:ascii="Arial" w:hAnsi="Arial" w:cs="Arial"/>
        </w:rPr>
        <w:t xml:space="preserve">United Nations. (2015). </w:t>
      </w:r>
      <w:r>
        <w:rPr>
          <w:rStyle w:val="af8"/>
          <w:rFonts w:ascii="Arial" w:hAnsi="Arial" w:cs="Arial"/>
        </w:rPr>
        <w:t>Sustainable development goals</w:t>
      </w:r>
      <w:r>
        <w:rPr>
          <w:rFonts w:ascii="Arial" w:hAnsi="Arial" w:cs="Arial"/>
        </w:rPr>
        <w:t xml:space="preserve">. Available at: </w:t>
      </w:r>
      <w:hyperlink r:id="rId20" w:tgtFrame="_new" w:history="1">
        <w:r w:rsidR="0067740A">
          <w:rPr>
            <w:rStyle w:val="af9"/>
            <w:rFonts w:ascii="Arial" w:hAnsi="Arial" w:cs="Arial"/>
          </w:rPr>
          <w:t>https://www.un.org/sustainabledevelopment/sustainable-development-goals/</w:t>
        </w:r>
      </w:hyperlink>
      <w:r>
        <w:rPr>
          <w:rFonts w:ascii="Arial" w:hAnsi="Arial" w:cs="Arial"/>
        </w:rPr>
        <w:t xml:space="preserve"> [Accessed 20 July 2024].</w:t>
      </w:r>
    </w:p>
    <w:p w14:paraId="77CAB5AF" w14:textId="77777777" w:rsidR="0067740A" w:rsidRDefault="00000000">
      <w:pPr>
        <w:pStyle w:val="af"/>
        <w:spacing w:line="360" w:lineRule="auto"/>
        <w:rPr>
          <w:rFonts w:ascii="Arial" w:hAnsi="Arial" w:cs="Arial"/>
        </w:rPr>
      </w:pPr>
      <w:r>
        <w:rPr>
          <w:rFonts w:ascii="Arial" w:hAnsi="Arial" w:cs="Arial"/>
        </w:rPr>
        <w:t xml:space="preserve">Volkswagen Group. (2021). </w:t>
      </w:r>
      <w:r>
        <w:rPr>
          <w:rStyle w:val="af8"/>
          <w:rFonts w:ascii="Arial" w:hAnsi="Arial" w:cs="Arial"/>
        </w:rPr>
        <w:t>Sustainability Report 2021</w:t>
      </w:r>
      <w:r>
        <w:rPr>
          <w:rFonts w:ascii="Arial" w:hAnsi="Arial" w:cs="Arial"/>
        </w:rPr>
        <w:t xml:space="preserve">. Retrieved from </w:t>
      </w:r>
      <w:hyperlink r:id="rId21" w:tgtFrame="_new" w:history="1">
        <w:r w:rsidR="0067740A">
          <w:rPr>
            <w:rStyle w:val="af9"/>
            <w:rFonts w:ascii="Arial" w:hAnsi="Arial" w:cs="Arial"/>
          </w:rPr>
          <w:t>https://www.volkswagen-group.com</w:t>
        </w:r>
      </w:hyperlink>
      <w:r>
        <w:rPr>
          <w:rFonts w:ascii="Arial" w:hAnsi="Arial" w:cs="Arial"/>
        </w:rPr>
        <w:t>.</w:t>
      </w:r>
    </w:p>
    <w:p w14:paraId="36A8FD8D" w14:textId="77777777" w:rsidR="0067740A" w:rsidRDefault="00000000">
      <w:pPr>
        <w:pStyle w:val="af"/>
        <w:spacing w:line="360" w:lineRule="auto"/>
        <w:rPr>
          <w:rFonts w:ascii="Arial" w:hAnsi="Arial" w:cs="Arial"/>
        </w:rPr>
      </w:pPr>
      <w:r>
        <w:rPr>
          <w:rFonts w:ascii="Arial" w:hAnsi="Arial" w:cs="Arial"/>
        </w:rPr>
        <w:t xml:space="preserve">Volkswagen Group. (2021). </w:t>
      </w:r>
      <w:r>
        <w:rPr>
          <w:rStyle w:val="af8"/>
          <w:rFonts w:ascii="Arial" w:hAnsi="Arial" w:cs="Arial"/>
        </w:rPr>
        <w:t>TOGETHER - Strategy 2025</w:t>
      </w:r>
      <w:r>
        <w:rPr>
          <w:rFonts w:ascii="Arial" w:hAnsi="Arial" w:cs="Arial"/>
        </w:rPr>
        <w:t xml:space="preserve">. Available at: </w:t>
      </w:r>
      <w:hyperlink r:id="rId22" w:tgtFrame="_new" w:history="1">
        <w:r w:rsidR="0067740A">
          <w:rPr>
            <w:rStyle w:val="af9"/>
            <w:rFonts w:ascii="Arial" w:hAnsi="Arial" w:cs="Arial"/>
          </w:rPr>
          <w:t>https://www.volkswagenag.com</w:t>
        </w:r>
      </w:hyperlink>
      <w:r>
        <w:rPr>
          <w:rFonts w:ascii="Arial" w:hAnsi="Arial" w:cs="Arial"/>
        </w:rPr>
        <w:t xml:space="preserve"> [Accessed 20 July 2024].</w:t>
      </w:r>
    </w:p>
    <w:p w14:paraId="0C13D12F" w14:textId="77777777" w:rsidR="0067740A" w:rsidRDefault="00000000">
      <w:pPr>
        <w:pStyle w:val="af"/>
        <w:spacing w:line="360" w:lineRule="auto"/>
        <w:rPr>
          <w:rFonts w:ascii="Arial" w:hAnsi="Arial" w:cs="Arial"/>
        </w:rPr>
      </w:pPr>
      <w:r>
        <w:rPr>
          <w:rFonts w:ascii="Arial" w:hAnsi="Arial" w:cs="Arial"/>
        </w:rPr>
        <w:t xml:space="preserve">Volkswagen Group China. (2022). </w:t>
      </w:r>
      <w:r>
        <w:rPr>
          <w:rStyle w:val="af8"/>
          <w:rFonts w:ascii="Arial" w:hAnsi="Arial" w:cs="Arial"/>
        </w:rPr>
        <w:t>Sustainability report 2022</w:t>
      </w:r>
      <w:r>
        <w:rPr>
          <w:rFonts w:ascii="Arial" w:hAnsi="Arial" w:cs="Arial"/>
        </w:rPr>
        <w:t xml:space="preserve">. Available at: </w:t>
      </w:r>
      <w:hyperlink r:id="rId23" w:tgtFrame="_new" w:history="1">
        <w:r w:rsidR="0067740A">
          <w:rPr>
            <w:rStyle w:val="af9"/>
            <w:rFonts w:ascii="Arial" w:hAnsi="Arial" w:cs="Arial"/>
          </w:rPr>
          <w:t>https://www.volkswagenag.com</w:t>
        </w:r>
      </w:hyperlink>
      <w:r>
        <w:rPr>
          <w:rFonts w:ascii="Arial" w:hAnsi="Arial" w:cs="Arial"/>
        </w:rPr>
        <w:t xml:space="preserve"> [Accessed 20 July 2024].</w:t>
      </w:r>
    </w:p>
    <w:p w14:paraId="6F4CAC12" w14:textId="77777777" w:rsidR="0067740A" w:rsidRDefault="00000000">
      <w:pPr>
        <w:pStyle w:val="af"/>
        <w:spacing w:line="360" w:lineRule="auto"/>
        <w:rPr>
          <w:rFonts w:ascii="Arial" w:hAnsi="Arial" w:cs="Arial"/>
        </w:rPr>
      </w:pPr>
      <w:r>
        <w:rPr>
          <w:rFonts w:ascii="Arial" w:hAnsi="Arial" w:cs="Arial"/>
        </w:rPr>
        <w:t xml:space="preserve">Wang, F., &amp; Yu, J. (2019). Analysis of barriers to widespread adoption of EVs in China. </w:t>
      </w:r>
      <w:r>
        <w:rPr>
          <w:rStyle w:val="af8"/>
          <w:rFonts w:ascii="Arial" w:hAnsi="Arial" w:cs="Arial"/>
        </w:rPr>
        <w:t>Sustainability</w:t>
      </w:r>
      <w:r>
        <w:rPr>
          <w:rFonts w:ascii="Arial" w:hAnsi="Arial" w:cs="Arial"/>
        </w:rPr>
        <w:t>, 11(4), 4056.</w:t>
      </w:r>
    </w:p>
    <w:p w14:paraId="6B7230FD" w14:textId="77777777" w:rsidR="0067740A" w:rsidRDefault="00000000">
      <w:pPr>
        <w:pStyle w:val="af"/>
        <w:spacing w:line="360" w:lineRule="auto"/>
        <w:rPr>
          <w:rFonts w:ascii="Arial" w:hAnsi="Arial" w:cs="Arial"/>
        </w:rPr>
      </w:pPr>
      <w:r>
        <w:rPr>
          <w:rFonts w:ascii="Arial" w:hAnsi="Arial" w:cs="Arial"/>
        </w:rPr>
        <w:t xml:space="preserve">Wang, R., &amp; Song, M. (2021). Environmental regulation, green innovation, and firm performance: Evidence from China’s automotive industry. </w:t>
      </w:r>
      <w:r>
        <w:rPr>
          <w:rStyle w:val="af8"/>
          <w:rFonts w:ascii="Arial" w:hAnsi="Arial" w:cs="Arial"/>
        </w:rPr>
        <w:t>Journal of Cleaner Production</w:t>
      </w:r>
      <w:r>
        <w:rPr>
          <w:rFonts w:ascii="Arial" w:hAnsi="Arial" w:cs="Arial"/>
        </w:rPr>
        <w:t>, 283, 124655.</w:t>
      </w:r>
    </w:p>
    <w:p w14:paraId="16CE3CE5" w14:textId="77777777" w:rsidR="0067740A" w:rsidRDefault="00000000">
      <w:pPr>
        <w:pStyle w:val="af"/>
        <w:spacing w:line="360" w:lineRule="auto"/>
        <w:rPr>
          <w:rFonts w:ascii="Arial" w:hAnsi="Arial" w:cs="Arial"/>
        </w:rPr>
      </w:pPr>
      <w:r>
        <w:rPr>
          <w:rFonts w:ascii="Arial" w:hAnsi="Arial" w:cs="Arial"/>
        </w:rPr>
        <w:t xml:space="preserve">Wu, L., &amp; Zhu, T. (2019). Legal regulations and corporate sustainability: A case study of the Chinese automotive industry. </w:t>
      </w:r>
      <w:r>
        <w:rPr>
          <w:rStyle w:val="af8"/>
          <w:rFonts w:ascii="Arial" w:hAnsi="Arial" w:cs="Arial"/>
        </w:rPr>
        <w:t>Journal of Law and Business</w:t>
      </w:r>
      <w:r>
        <w:rPr>
          <w:rFonts w:ascii="Arial" w:hAnsi="Arial" w:cs="Arial"/>
        </w:rPr>
        <w:t>, 7(3), 71-88.</w:t>
      </w:r>
    </w:p>
    <w:p w14:paraId="0102CEB9" w14:textId="77777777" w:rsidR="0067740A" w:rsidRDefault="00000000">
      <w:pPr>
        <w:pStyle w:val="af"/>
        <w:spacing w:line="360" w:lineRule="auto"/>
        <w:rPr>
          <w:rFonts w:ascii="Arial" w:hAnsi="Arial" w:cs="Arial"/>
        </w:rPr>
      </w:pPr>
      <w:r>
        <w:rPr>
          <w:rFonts w:ascii="Arial" w:hAnsi="Arial" w:cs="Arial"/>
        </w:rPr>
        <w:t xml:space="preserve">Xu, G., &amp; Li, F. (2019). Government policies and sustainability in China’s automotive sector. </w:t>
      </w:r>
      <w:r>
        <w:rPr>
          <w:rStyle w:val="af8"/>
          <w:rFonts w:ascii="Arial" w:hAnsi="Arial" w:cs="Arial"/>
        </w:rPr>
        <w:t>China Economic Review</w:t>
      </w:r>
      <w:r>
        <w:rPr>
          <w:rFonts w:ascii="Arial" w:hAnsi="Arial" w:cs="Arial"/>
        </w:rPr>
        <w:t>, 29(2), 55-68.</w:t>
      </w:r>
    </w:p>
    <w:p w14:paraId="63C14527" w14:textId="77777777" w:rsidR="0067740A" w:rsidRDefault="00000000">
      <w:pPr>
        <w:pStyle w:val="af"/>
        <w:spacing w:line="360" w:lineRule="auto"/>
        <w:rPr>
          <w:rFonts w:ascii="Arial" w:hAnsi="Arial" w:cs="Arial"/>
        </w:rPr>
      </w:pPr>
      <w:r>
        <w:rPr>
          <w:rFonts w:ascii="Arial" w:hAnsi="Arial" w:cs="Arial"/>
        </w:rPr>
        <w:lastRenderedPageBreak/>
        <w:t xml:space="preserve">Xu, L., &amp; Zeng, S. (2018). Green supply chain management in the automotive industry: A case study from China. </w:t>
      </w:r>
      <w:r>
        <w:rPr>
          <w:rStyle w:val="af8"/>
          <w:rFonts w:ascii="Arial" w:hAnsi="Arial" w:cs="Arial"/>
        </w:rPr>
        <w:t>Sustainability</w:t>
      </w:r>
      <w:r>
        <w:rPr>
          <w:rFonts w:ascii="Arial" w:hAnsi="Arial" w:cs="Arial"/>
        </w:rPr>
        <w:t>, 10(7), 2345.</w:t>
      </w:r>
    </w:p>
    <w:p w14:paraId="0886E0FC" w14:textId="77777777" w:rsidR="0067740A" w:rsidRDefault="00000000">
      <w:pPr>
        <w:pStyle w:val="af"/>
        <w:spacing w:line="360" w:lineRule="auto"/>
        <w:rPr>
          <w:rFonts w:ascii="Arial" w:hAnsi="Arial" w:cs="Arial"/>
        </w:rPr>
      </w:pPr>
      <w:r>
        <w:rPr>
          <w:rFonts w:ascii="Arial" w:hAnsi="Arial" w:cs="Arial"/>
        </w:rPr>
        <w:t xml:space="preserve">Zhang, X., &amp; Zhao, Y. (2020). Smart urban mobility solutions: The role of digitalization in sustainable transportation. </w:t>
      </w:r>
      <w:r>
        <w:rPr>
          <w:rStyle w:val="af8"/>
          <w:rFonts w:ascii="Arial" w:hAnsi="Arial" w:cs="Arial"/>
        </w:rPr>
        <w:t>Sustainability</w:t>
      </w:r>
      <w:r>
        <w:rPr>
          <w:rFonts w:ascii="Arial" w:hAnsi="Arial" w:cs="Arial"/>
        </w:rPr>
        <w:t>, 12(14), 5723.</w:t>
      </w:r>
    </w:p>
    <w:p w14:paraId="3971CD22" w14:textId="77777777" w:rsidR="0067740A" w:rsidRDefault="00000000">
      <w:pPr>
        <w:pStyle w:val="af"/>
        <w:spacing w:line="360" w:lineRule="auto"/>
        <w:rPr>
          <w:rFonts w:ascii="Arial" w:hAnsi="Arial" w:cs="Arial"/>
        </w:rPr>
      </w:pPr>
      <w:r>
        <w:rPr>
          <w:rFonts w:ascii="Arial" w:hAnsi="Arial" w:cs="Arial"/>
        </w:rPr>
        <w:t xml:space="preserve">Zhao, J. (2018). Greenwashing in corporate sustainability initiatives: A consumer perspective. </w:t>
      </w:r>
      <w:r>
        <w:rPr>
          <w:rStyle w:val="af8"/>
          <w:rFonts w:ascii="Arial" w:hAnsi="Arial" w:cs="Arial"/>
        </w:rPr>
        <w:t>Sustainability Review</w:t>
      </w:r>
      <w:r>
        <w:rPr>
          <w:rFonts w:ascii="Arial" w:hAnsi="Arial" w:cs="Arial"/>
        </w:rPr>
        <w:t>, 6(2), 189-202.</w:t>
      </w:r>
    </w:p>
    <w:p w14:paraId="5DD763EC" w14:textId="77777777" w:rsidR="0067740A" w:rsidRDefault="00000000">
      <w:pPr>
        <w:pStyle w:val="af"/>
        <w:spacing w:line="360" w:lineRule="auto"/>
        <w:rPr>
          <w:rFonts w:ascii="Arial" w:hAnsi="Arial" w:cs="Arial"/>
        </w:rPr>
      </w:pPr>
      <w:r>
        <w:rPr>
          <w:rFonts w:ascii="Arial" w:hAnsi="Arial" w:cs="Arial"/>
        </w:rPr>
        <w:t xml:space="preserve">Zhao, J. (2020). Barriers to electric vehicle adoption in China: A consumer perspective. </w:t>
      </w:r>
      <w:r>
        <w:rPr>
          <w:rStyle w:val="af8"/>
          <w:rFonts w:ascii="Arial" w:hAnsi="Arial" w:cs="Arial"/>
        </w:rPr>
        <w:t>China Business Review</w:t>
      </w:r>
      <w:r>
        <w:rPr>
          <w:rFonts w:ascii="Arial" w:hAnsi="Arial" w:cs="Arial"/>
        </w:rPr>
        <w:t>, 15(2), 111-128.</w:t>
      </w:r>
    </w:p>
    <w:p w14:paraId="2B213505" w14:textId="77777777" w:rsidR="0067740A" w:rsidRDefault="00000000">
      <w:pPr>
        <w:pStyle w:val="af"/>
        <w:spacing w:line="360" w:lineRule="auto"/>
        <w:rPr>
          <w:rFonts w:ascii="Arial" w:hAnsi="Arial" w:cs="Arial"/>
        </w:rPr>
      </w:pPr>
      <w:r>
        <w:rPr>
          <w:rFonts w:ascii="Arial" w:hAnsi="Arial" w:cs="Arial"/>
        </w:rPr>
        <w:t xml:space="preserve">Zhou, G., &amp; Li, H. (2020). Corporate social responsibility and customer satisfaction in the automotive industry: Evidence from China. </w:t>
      </w:r>
      <w:r>
        <w:rPr>
          <w:rStyle w:val="af8"/>
          <w:rFonts w:ascii="Arial" w:hAnsi="Arial" w:cs="Arial"/>
        </w:rPr>
        <w:t>Journal of Business Research</w:t>
      </w:r>
      <w:r>
        <w:rPr>
          <w:rFonts w:ascii="Arial" w:hAnsi="Arial" w:cs="Arial"/>
        </w:rPr>
        <w:t>, 120, 267-275.</w:t>
      </w:r>
    </w:p>
    <w:p w14:paraId="33FBC3F4" w14:textId="77777777" w:rsidR="0067740A" w:rsidRDefault="00000000">
      <w:pPr>
        <w:pStyle w:val="af"/>
        <w:spacing w:line="360" w:lineRule="auto"/>
        <w:rPr>
          <w:rFonts w:ascii="Arial" w:hAnsi="Arial" w:cs="Arial"/>
        </w:rPr>
      </w:pPr>
      <w:r>
        <w:rPr>
          <w:rFonts w:ascii="Arial" w:hAnsi="Arial" w:cs="Arial"/>
        </w:rPr>
        <w:t xml:space="preserve">Zhou, X., et al. (2021). Economic trends and consumer purchasing power in China’s green vehicle market. </w:t>
      </w:r>
      <w:r>
        <w:rPr>
          <w:rStyle w:val="af8"/>
          <w:rFonts w:ascii="Arial" w:hAnsi="Arial" w:cs="Arial"/>
        </w:rPr>
        <w:t>China Economic Review</w:t>
      </w:r>
      <w:r>
        <w:rPr>
          <w:rFonts w:ascii="Arial" w:hAnsi="Arial" w:cs="Arial"/>
        </w:rPr>
        <w:t>, 34(2), 111-124.</w:t>
      </w:r>
    </w:p>
    <w:p w14:paraId="5C9937E3" w14:textId="77777777" w:rsidR="0067740A" w:rsidRDefault="0067740A">
      <w:pPr>
        <w:spacing w:before="100" w:beforeAutospacing="1" w:after="100" w:afterAutospacing="1" w:line="360" w:lineRule="auto"/>
        <w:outlineLvl w:val="2"/>
        <w:rPr>
          <w:rFonts w:ascii="Arial" w:hAnsi="Arial" w:cs="Arial"/>
          <w:b/>
          <w:bCs/>
        </w:rPr>
      </w:pPr>
    </w:p>
    <w:p w14:paraId="7D01EDE8" w14:textId="77777777" w:rsidR="0067740A" w:rsidRDefault="0067740A">
      <w:pPr>
        <w:spacing w:before="100" w:beforeAutospacing="1" w:after="100" w:afterAutospacing="1" w:line="360" w:lineRule="auto"/>
        <w:outlineLvl w:val="2"/>
        <w:rPr>
          <w:rFonts w:ascii="Arial" w:hAnsi="Arial" w:cs="Arial"/>
          <w:b/>
          <w:bCs/>
        </w:rPr>
      </w:pPr>
    </w:p>
    <w:p w14:paraId="4E10D371" w14:textId="77777777" w:rsidR="0067740A" w:rsidRDefault="0067740A">
      <w:pPr>
        <w:spacing w:before="100" w:beforeAutospacing="1" w:after="100" w:afterAutospacing="1" w:line="360" w:lineRule="auto"/>
        <w:outlineLvl w:val="2"/>
        <w:rPr>
          <w:rFonts w:ascii="Arial" w:hAnsi="Arial" w:cs="Arial"/>
          <w:b/>
          <w:bCs/>
        </w:rPr>
      </w:pPr>
    </w:p>
    <w:p w14:paraId="768C811F" w14:textId="77777777" w:rsidR="0067740A" w:rsidRDefault="0067740A">
      <w:pPr>
        <w:spacing w:before="100" w:beforeAutospacing="1" w:after="100" w:afterAutospacing="1" w:line="360" w:lineRule="auto"/>
        <w:outlineLvl w:val="2"/>
        <w:rPr>
          <w:rFonts w:ascii="Arial" w:hAnsi="Arial" w:cs="Arial"/>
          <w:b/>
          <w:bCs/>
        </w:rPr>
      </w:pPr>
    </w:p>
    <w:p w14:paraId="074271C2" w14:textId="77777777" w:rsidR="0067740A" w:rsidRDefault="0067740A">
      <w:pPr>
        <w:spacing w:before="100" w:beforeAutospacing="1" w:after="100" w:afterAutospacing="1" w:line="360" w:lineRule="auto"/>
        <w:outlineLvl w:val="2"/>
        <w:rPr>
          <w:rFonts w:ascii="Arial" w:hAnsi="Arial" w:cs="Arial"/>
          <w:b/>
          <w:bCs/>
        </w:rPr>
      </w:pPr>
    </w:p>
    <w:p w14:paraId="1B12DDBF" w14:textId="77777777" w:rsidR="0067740A" w:rsidRDefault="0067740A">
      <w:pPr>
        <w:spacing w:before="100" w:beforeAutospacing="1" w:after="100" w:afterAutospacing="1" w:line="360" w:lineRule="auto"/>
        <w:outlineLvl w:val="2"/>
        <w:rPr>
          <w:rFonts w:ascii="Arial" w:hAnsi="Arial" w:cs="Arial"/>
          <w:b/>
          <w:bCs/>
        </w:rPr>
      </w:pPr>
    </w:p>
    <w:p w14:paraId="3DD199B1" w14:textId="77777777" w:rsidR="0067740A" w:rsidRDefault="0067740A">
      <w:pPr>
        <w:spacing w:before="100" w:beforeAutospacing="1" w:after="100" w:afterAutospacing="1" w:line="360" w:lineRule="auto"/>
        <w:outlineLvl w:val="2"/>
        <w:rPr>
          <w:rFonts w:ascii="Arial" w:hAnsi="Arial" w:cs="Arial"/>
          <w:b/>
          <w:bCs/>
        </w:rPr>
      </w:pPr>
    </w:p>
    <w:p w14:paraId="2D01E2B5" w14:textId="77777777" w:rsidR="0067740A" w:rsidRDefault="0067740A">
      <w:pPr>
        <w:spacing w:before="100" w:beforeAutospacing="1" w:after="100" w:afterAutospacing="1" w:line="360" w:lineRule="auto"/>
        <w:outlineLvl w:val="2"/>
        <w:rPr>
          <w:rFonts w:ascii="Arial" w:hAnsi="Arial" w:cs="Arial"/>
          <w:b/>
          <w:bCs/>
        </w:rPr>
      </w:pPr>
    </w:p>
    <w:p w14:paraId="3C631791" w14:textId="77777777" w:rsidR="0067740A" w:rsidRDefault="00000000">
      <w:pPr>
        <w:rPr>
          <w:rFonts w:ascii="Arial" w:hAnsi="Arial" w:cs="Arial"/>
          <w:b/>
          <w:bCs/>
        </w:rPr>
      </w:pPr>
      <w:r>
        <w:rPr>
          <w:rFonts w:ascii="Arial" w:hAnsi="Arial" w:cs="Arial"/>
          <w:b/>
          <w:bCs/>
        </w:rPr>
        <w:br w:type="page"/>
      </w:r>
    </w:p>
    <w:p w14:paraId="408BD909" w14:textId="77777777" w:rsidR="0067740A" w:rsidRDefault="00000000">
      <w:pPr>
        <w:pStyle w:val="1"/>
        <w:rPr>
          <w:rFonts w:ascii="Arial" w:hAnsi="Arial" w:cs="Arial"/>
          <w:szCs w:val="24"/>
        </w:rPr>
      </w:pPr>
      <w:bookmarkStart w:id="115" w:name="_Toc177666043"/>
      <w:r>
        <w:rPr>
          <w:rFonts w:ascii="Arial" w:hAnsi="Arial" w:cs="Arial"/>
          <w:szCs w:val="24"/>
        </w:rPr>
        <w:lastRenderedPageBreak/>
        <w:t>Appendix</w:t>
      </w:r>
      <w:bookmarkEnd w:id="115"/>
    </w:p>
    <w:p w14:paraId="5012136C" w14:textId="77777777" w:rsidR="0067740A" w:rsidRDefault="00000000">
      <w:pPr>
        <w:pStyle w:val="2"/>
        <w:spacing w:line="360" w:lineRule="auto"/>
        <w:rPr>
          <w:rFonts w:ascii="Arial" w:hAnsi="Arial" w:cs="Arial"/>
          <w:szCs w:val="24"/>
        </w:rPr>
      </w:pPr>
      <w:bookmarkStart w:id="116" w:name="_Toc177666044"/>
      <w:r>
        <w:rPr>
          <w:rFonts w:ascii="Arial" w:hAnsi="Arial" w:cs="Arial"/>
          <w:szCs w:val="24"/>
        </w:rPr>
        <w:t>Appendix A Survey Questionnaire on Consumer Perceptions of Volkswagen’s Sustainability Initiatives</w:t>
      </w:r>
      <w:bookmarkEnd w:id="116"/>
    </w:p>
    <w:p w14:paraId="607FF850" w14:textId="77777777" w:rsidR="0067740A" w:rsidRDefault="00000000">
      <w:pPr>
        <w:spacing w:line="360" w:lineRule="auto"/>
        <w:rPr>
          <w:rFonts w:ascii="Arial" w:eastAsia="宋体" w:hAnsi="Arial" w:cs="Arial"/>
          <w:b/>
          <w:bCs/>
        </w:rPr>
      </w:pPr>
      <w:r>
        <w:rPr>
          <w:rFonts w:ascii="Arial" w:hAnsi="Arial" w:cs="Arial"/>
          <w:b/>
          <w:bCs/>
        </w:rPr>
        <w:t>Access the online survey via the following link:</w:t>
      </w:r>
      <w:r>
        <w:rPr>
          <w:rFonts w:ascii="Arial" w:eastAsiaTheme="minorEastAsia" w:hAnsi="Arial" w:cs="Arial"/>
          <w:b/>
          <w:bCs/>
          <w:lang w:val="en-GB"/>
        </w:rPr>
        <w:t xml:space="preserve"> </w:t>
      </w:r>
      <w:hyperlink r:id="rId24" w:history="1">
        <w:r w:rsidR="0067740A">
          <w:rPr>
            <w:rStyle w:val="af9"/>
            <w:rFonts w:ascii="Arial" w:eastAsiaTheme="minorEastAsia" w:hAnsi="Arial" w:cs="Arial"/>
            <w:b/>
            <w:bCs/>
            <w:lang w:val="en-GB"/>
          </w:rPr>
          <w:t>https://www.wjx.cn/vm/PpJqlkc.aspx#</w:t>
        </w:r>
      </w:hyperlink>
    </w:p>
    <w:p w14:paraId="28660C5A" w14:textId="77777777" w:rsidR="0067740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lang w:val="en-GB"/>
        </w:rPr>
      </w:pPr>
      <w:r>
        <w:rPr>
          <w:rFonts w:ascii="Arial" w:hAnsi="Arial" w:cs="Arial"/>
          <w:b/>
          <w:bCs/>
          <w:color w:val="000000"/>
          <w:lang w:val="en-GB"/>
        </w:rPr>
        <w:t>Your</w:t>
      </w:r>
      <w:r>
        <w:rPr>
          <w:rFonts w:ascii="Arial" w:hAnsi="Arial" w:cs="Arial"/>
          <w:color w:val="000000"/>
          <w:lang w:val="en-GB"/>
        </w:rPr>
        <w:t xml:space="preserve"> </w:t>
      </w:r>
      <w:r>
        <w:rPr>
          <w:rFonts w:ascii="Arial" w:hAnsi="Arial" w:cs="Arial"/>
          <w:b/>
          <w:bCs/>
          <w:color w:val="000000"/>
          <w:lang w:val="en-GB"/>
        </w:rPr>
        <w:t xml:space="preserve">perceptions of Volkswagen’s Sustainability Initiatives </w:t>
      </w:r>
      <w:proofErr w:type="gramStart"/>
      <w:r>
        <w:rPr>
          <w:rFonts w:ascii="Arial" w:hAnsi="Arial" w:cs="Arial"/>
          <w:b/>
          <w:bCs/>
          <w:color w:val="000000"/>
          <w:lang w:val="en-GB"/>
        </w:rPr>
        <w:t>A</w:t>
      </w:r>
      <w:proofErr w:type="gramEnd"/>
      <w:r>
        <w:rPr>
          <w:rFonts w:ascii="Arial" w:hAnsi="Arial" w:cs="Arial"/>
          <w:b/>
          <w:bCs/>
          <w:color w:val="000000"/>
          <w:lang w:val="en-GB"/>
        </w:rPr>
        <w:t xml:space="preserve"> Comprehensive Questionnaire for Assessing</w:t>
      </w:r>
    </w:p>
    <w:p w14:paraId="6DF492C3" w14:textId="77777777" w:rsidR="0067740A" w:rsidRDefault="00000000">
      <w:pPr>
        <w:spacing w:before="100" w:beforeAutospacing="1" w:after="100" w:afterAutospacing="1" w:line="360" w:lineRule="auto"/>
        <w:outlineLvl w:val="3"/>
        <w:rPr>
          <w:rFonts w:ascii="Arial" w:hAnsi="Arial" w:cs="Arial"/>
          <w:b/>
          <w:bCs/>
        </w:rPr>
      </w:pPr>
      <w:r>
        <w:rPr>
          <w:rFonts w:ascii="Arial" w:hAnsi="Arial" w:cs="Arial"/>
          <w:b/>
          <w:bCs/>
        </w:rPr>
        <w:t>Introduction</w:t>
      </w:r>
    </w:p>
    <w:p w14:paraId="5AAF3A46" w14:textId="77777777" w:rsidR="0067740A" w:rsidRDefault="00000000">
      <w:pPr>
        <w:spacing w:before="100" w:beforeAutospacing="1" w:after="100" w:afterAutospacing="1" w:line="360" w:lineRule="auto"/>
        <w:rPr>
          <w:rFonts w:ascii="Arial" w:hAnsi="Arial" w:cs="Arial"/>
        </w:rPr>
      </w:pPr>
      <w:r>
        <w:rPr>
          <w:rFonts w:ascii="Arial" w:hAnsi="Arial" w:cs="Arial"/>
        </w:rPr>
        <w:t xml:space="preserve">Thank you for participating in this survey. The purpose of this questionnaire is to understand consumer perceptions of Volkswagen’s sustainability initiatives and their impact on purchasing decisions in the Chinese automotive market. Your responses will help in </w:t>
      </w:r>
      <w:proofErr w:type="spellStart"/>
      <w:r>
        <w:rPr>
          <w:rFonts w:ascii="Arial" w:hAnsi="Arial" w:cs="Arial"/>
        </w:rPr>
        <w:t>analy</w:t>
      </w:r>
      <w:proofErr w:type="spellEnd"/>
      <w:r>
        <w:rPr>
          <w:rFonts w:ascii="Arial" w:eastAsia="宋体" w:hAnsi="Arial" w:cs="Arial"/>
          <w:lang w:val="en-US"/>
        </w:rPr>
        <w:t>s</w:t>
      </w:r>
      <w:proofErr w:type="spellStart"/>
      <w:r>
        <w:rPr>
          <w:rFonts w:ascii="Arial" w:hAnsi="Arial" w:cs="Arial"/>
        </w:rPr>
        <w:t>ing</w:t>
      </w:r>
      <w:proofErr w:type="spellEnd"/>
      <w:r>
        <w:rPr>
          <w:rFonts w:ascii="Arial" w:hAnsi="Arial" w:cs="Arial"/>
        </w:rPr>
        <w:t xml:space="preserve"> Volkswagen's strategic management of sustainability and its competitive advantage.</w:t>
      </w:r>
    </w:p>
    <w:p w14:paraId="0F5B7DCD" w14:textId="77777777" w:rsidR="0067740A" w:rsidRDefault="00000000">
      <w:pPr>
        <w:numPr>
          <w:ilvl w:val="0"/>
          <w:numId w:val="8"/>
        </w:numPr>
        <w:spacing w:before="100" w:beforeAutospacing="1" w:after="100" w:afterAutospacing="1" w:line="360" w:lineRule="auto"/>
        <w:rPr>
          <w:rFonts w:ascii="Arial" w:hAnsi="Arial" w:cs="Arial"/>
        </w:rPr>
      </w:pPr>
      <w:r>
        <w:rPr>
          <w:rFonts w:ascii="Arial" w:hAnsi="Arial" w:cs="Arial"/>
          <w:b/>
          <w:bCs/>
        </w:rPr>
        <w:t>Age</w:t>
      </w:r>
    </w:p>
    <w:tbl>
      <w:tblPr>
        <w:tblStyle w:val="af4"/>
        <w:tblW w:w="9038" w:type="dxa"/>
        <w:tblLook w:val="04A0" w:firstRow="1" w:lastRow="0" w:firstColumn="1" w:lastColumn="0" w:noHBand="0" w:noVBand="1"/>
      </w:tblPr>
      <w:tblGrid>
        <w:gridCol w:w="1251"/>
        <w:gridCol w:w="1241"/>
        <w:gridCol w:w="1242"/>
        <w:gridCol w:w="1242"/>
        <w:gridCol w:w="1242"/>
        <w:gridCol w:w="1243"/>
        <w:gridCol w:w="1577"/>
      </w:tblGrid>
      <w:tr w:rsidR="0067740A" w14:paraId="3EC5256D" w14:textId="77777777">
        <w:trPr>
          <w:trHeight w:val="481"/>
        </w:trPr>
        <w:tc>
          <w:tcPr>
            <w:tcW w:w="1251" w:type="dxa"/>
          </w:tcPr>
          <w:p w14:paraId="43F5EA4E" w14:textId="77777777" w:rsidR="0067740A" w:rsidRDefault="00000000">
            <w:pPr>
              <w:spacing w:line="360" w:lineRule="auto"/>
              <w:rPr>
                <w:rFonts w:ascii="Arial" w:eastAsiaTheme="minorHAnsi" w:hAnsi="Arial" w:cs="Arial"/>
                <w:lang w:val="en-GB" w:eastAsia="en-US"/>
              </w:rPr>
            </w:pPr>
            <w:r>
              <w:rPr>
                <w:rFonts w:ascii="Arial" w:hAnsi="Arial" w:cs="Arial"/>
                <w:b/>
                <w:bCs/>
                <w:lang w:val="en-GB" w:eastAsia="en-US"/>
              </w:rPr>
              <w:t>Age</w:t>
            </w:r>
          </w:p>
        </w:tc>
        <w:tc>
          <w:tcPr>
            <w:tcW w:w="1241" w:type="dxa"/>
          </w:tcPr>
          <w:p w14:paraId="4C2A7B17" w14:textId="77777777" w:rsidR="0067740A" w:rsidRDefault="0067740A">
            <w:pPr>
              <w:spacing w:line="360" w:lineRule="auto"/>
              <w:rPr>
                <w:rFonts w:ascii="Arial" w:eastAsiaTheme="minorHAnsi" w:hAnsi="Arial" w:cs="Arial"/>
                <w:lang w:val="en-GB" w:eastAsia="en-US"/>
              </w:rPr>
            </w:pPr>
          </w:p>
        </w:tc>
        <w:tc>
          <w:tcPr>
            <w:tcW w:w="1242" w:type="dxa"/>
          </w:tcPr>
          <w:p w14:paraId="14C10982" w14:textId="77777777" w:rsidR="0067740A" w:rsidRDefault="0067740A">
            <w:pPr>
              <w:spacing w:line="360" w:lineRule="auto"/>
              <w:rPr>
                <w:rFonts w:ascii="Arial" w:eastAsiaTheme="minorHAnsi" w:hAnsi="Arial" w:cs="Arial"/>
                <w:lang w:val="en-GB" w:eastAsia="en-US"/>
              </w:rPr>
            </w:pPr>
          </w:p>
        </w:tc>
        <w:tc>
          <w:tcPr>
            <w:tcW w:w="1242" w:type="dxa"/>
          </w:tcPr>
          <w:p w14:paraId="4C968622" w14:textId="77777777" w:rsidR="0067740A" w:rsidRDefault="0067740A">
            <w:pPr>
              <w:spacing w:line="360" w:lineRule="auto"/>
              <w:rPr>
                <w:rFonts w:ascii="Arial" w:eastAsiaTheme="minorHAnsi" w:hAnsi="Arial" w:cs="Arial"/>
                <w:lang w:val="en-GB" w:eastAsia="en-US"/>
              </w:rPr>
            </w:pPr>
          </w:p>
        </w:tc>
        <w:tc>
          <w:tcPr>
            <w:tcW w:w="1242" w:type="dxa"/>
          </w:tcPr>
          <w:p w14:paraId="45A4B240" w14:textId="77777777" w:rsidR="0067740A" w:rsidRDefault="0067740A">
            <w:pPr>
              <w:spacing w:line="360" w:lineRule="auto"/>
              <w:rPr>
                <w:rFonts w:ascii="Arial" w:eastAsiaTheme="minorHAnsi" w:hAnsi="Arial" w:cs="Arial"/>
                <w:lang w:val="en-GB" w:eastAsia="en-US"/>
              </w:rPr>
            </w:pPr>
          </w:p>
        </w:tc>
        <w:tc>
          <w:tcPr>
            <w:tcW w:w="1243" w:type="dxa"/>
          </w:tcPr>
          <w:p w14:paraId="5A570A4E" w14:textId="77777777" w:rsidR="0067740A" w:rsidRDefault="0067740A">
            <w:pPr>
              <w:spacing w:line="360" w:lineRule="auto"/>
              <w:rPr>
                <w:rFonts w:ascii="Arial" w:eastAsiaTheme="minorHAnsi" w:hAnsi="Arial" w:cs="Arial"/>
                <w:lang w:val="en-GB" w:eastAsia="en-US"/>
              </w:rPr>
            </w:pPr>
          </w:p>
        </w:tc>
        <w:tc>
          <w:tcPr>
            <w:tcW w:w="1577" w:type="dxa"/>
          </w:tcPr>
          <w:p w14:paraId="58332FFF" w14:textId="77777777" w:rsidR="0067740A" w:rsidRDefault="0067740A">
            <w:pPr>
              <w:spacing w:line="360" w:lineRule="auto"/>
              <w:rPr>
                <w:rFonts w:ascii="Arial" w:eastAsiaTheme="minorHAnsi" w:hAnsi="Arial" w:cs="Arial"/>
                <w:lang w:val="en-GB" w:eastAsia="en-US"/>
              </w:rPr>
            </w:pPr>
          </w:p>
        </w:tc>
      </w:tr>
      <w:tr w:rsidR="0067740A" w14:paraId="52CE5AE5" w14:textId="77777777">
        <w:trPr>
          <w:trHeight w:val="96"/>
        </w:trPr>
        <w:tc>
          <w:tcPr>
            <w:tcW w:w="1251" w:type="dxa"/>
          </w:tcPr>
          <w:p w14:paraId="2C398DA2"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Under 18</w:t>
            </w:r>
          </w:p>
        </w:tc>
        <w:tc>
          <w:tcPr>
            <w:tcW w:w="1241" w:type="dxa"/>
          </w:tcPr>
          <w:p w14:paraId="36FB3AD2"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18-24</w:t>
            </w:r>
          </w:p>
        </w:tc>
        <w:tc>
          <w:tcPr>
            <w:tcW w:w="1242" w:type="dxa"/>
          </w:tcPr>
          <w:p w14:paraId="5F0C6241"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25-34</w:t>
            </w:r>
          </w:p>
        </w:tc>
        <w:tc>
          <w:tcPr>
            <w:tcW w:w="1242" w:type="dxa"/>
          </w:tcPr>
          <w:p w14:paraId="79223AE4"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35-44</w:t>
            </w:r>
          </w:p>
        </w:tc>
        <w:tc>
          <w:tcPr>
            <w:tcW w:w="1242" w:type="dxa"/>
          </w:tcPr>
          <w:p w14:paraId="313A3085"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45-54</w:t>
            </w:r>
          </w:p>
        </w:tc>
        <w:tc>
          <w:tcPr>
            <w:tcW w:w="1243" w:type="dxa"/>
          </w:tcPr>
          <w:p w14:paraId="2064232E"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55-64</w:t>
            </w:r>
          </w:p>
        </w:tc>
        <w:tc>
          <w:tcPr>
            <w:tcW w:w="1577" w:type="dxa"/>
          </w:tcPr>
          <w:p w14:paraId="3CA64C6A"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65 and above</w:t>
            </w:r>
          </w:p>
        </w:tc>
      </w:tr>
      <w:tr w:rsidR="0067740A" w14:paraId="56A2F186" w14:textId="77777777">
        <w:trPr>
          <w:trHeight w:val="385"/>
        </w:trPr>
        <w:tc>
          <w:tcPr>
            <w:tcW w:w="1251" w:type="dxa"/>
          </w:tcPr>
          <w:p w14:paraId="5181DB9B" w14:textId="77777777" w:rsidR="0067740A" w:rsidRDefault="0067740A">
            <w:pPr>
              <w:spacing w:line="360" w:lineRule="auto"/>
              <w:rPr>
                <w:rFonts w:ascii="Arial" w:eastAsiaTheme="minorHAnsi" w:hAnsi="Arial" w:cs="Arial"/>
                <w:lang w:val="en-GB" w:eastAsia="en-US"/>
              </w:rPr>
            </w:pPr>
          </w:p>
        </w:tc>
        <w:tc>
          <w:tcPr>
            <w:tcW w:w="1241" w:type="dxa"/>
          </w:tcPr>
          <w:p w14:paraId="7DD2B008" w14:textId="77777777" w:rsidR="0067740A" w:rsidRDefault="0067740A">
            <w:pPr>
              <w:spacing w:line="360" w:lineRule="auto"/>
              <w:rPr>
                <w:rFonts w:ascii="Arial" w:eastAsiaTheme="minorHAnsi" w:hAnsi="Arial" w:cs="Arial"/>
                <w:lang w:val="en-GB" w:eastAsia="en-US"/>
              </w:rPr>
            </w:pPr>
          </w:p>
        </w:tc>
        <w:tc>
          <w:tcPr>
            <w:tcW w:w="1242" w:type="dxa"/>
          </w:tcPr>
          <w:p w14:paraId="16B8243C" w14:textId="77777777" w:rsidR="0067740A" w:rsidRDefault="0067740A">
            <w:pPr>
              <w:spacing w:line="360" w:lineRule="auto"/>
              <w:rPr>
                <w:rFonts w:ascii="Arial" w:eastAsiaTheme="minorHAnsi" w:hAnsi="Arial" w:cs="Arial"/>
                <w:lang w:val="en-GB" w:eastAsia="en-US"/>
              </w:rPr>
            </w:pPr>
          </w:p>
        </w:tc>
        <w:tc>
          <w:tcPr>
            <w:tcW w:w="1242" w:type="dxa"/>
          </w:tcPr>
          <w:p w14:paraId="3152D8E8" w14:textId="77777777" w:rsidR="0067740A" w:rsidRDefault="0067740A">
            <w:pPr>
              <w:spacing w:line="360" w:lineRule="auto"/>
              <w:rPr>
                <w:rFonts w:ascii="Arial" w:eastAsiaTheme="minorHAnsi" w:hAnsi="Arial" w:cs="Arial"/>
                <w:lang w:val="en-GB" w:eastAsia="en-US"/>
              </w:rPr>
            </w:pPr>
          </w:p>
        </w:tc>
        <w:tc>
          <w:tcPr>
            <w:tcW w:w="1242" w:type="dxa"/>
          </w:tcPr>
          <w:p w14:paraId="5257FE38" w14:textId="77777777" w:rsidR="0067740A" w:rsidRDefault="0067740A">
            <w:pPr>
              <w:spacing w:line="360" w:lineRule="auto"/>
              <w:rPr>
                <w:rFonts w:ascii="Arial" w:eastAsiaTheme="minorHAnsi" w:hAnsi="Arial" w:cs="Arial"/>
                <w:lang w:val="en-GB" w:eastAsia="en-US"/>
              </w:rPr>
            </w:pPr>
          </w:p>
        </w:tc>
        <w:tc>
          <w:tcPr>
            <w:tcW w:w="1243" w:type="dxa"/>
          </w:tcPr>
          <w:p w14:paraId="14C07E31" w14:textId="77777777" w:rsidR="0067740A" w:rsidRDefault="0067740A">
            <w:pPr>
              <w:spacing w:line="360" w:lineRule="auto"/>
              <w:rPr>
                <w:rFonts w:ascii="Arial" w:eastAsiaTheme="minorHAnsi" w:hAnsi="Arial" w:cs="Arial"/>
                <w:lang w:val="en-GB" w:eastAsia="en-US"/>
              </w:rPr>
            </w:pPr>
          </w:p>
        </w:tc>
        <w:tc>
          <w:tcPr>
            <w:tcW w:w="1577" w:type="dxa"/>
          </w:tcPr>
          <w:p w14:paraId="37B5DB18" w14:textId="77777777" w:rsidR="0067740A" w:rsidRDefault="0067740A">
            <w:pPr>
              <w:spacing w:line="360" w:lineRule="auto"/>
              <w:rPr>
                <w:rFonts w:ascii="Arial" w:eastAsiaTheme="minorHAnsi" w:hAnsi="Arial" w:cs="Arial"/>
                <w:lang w:val="en-GB" w:eastAsia="en-US"/>
              </w:rPr>
            </w:pPr>
          </w:p>
        </w:tc>
      </w:tr>
    </w:tbl>
    <w:p w14:paraId="4418784C" w14:textId="77777777" w:rsidR="0067740A" w:rsidRDefault="00000000">
      <w:pPr>
        <w:numPr>
          <w:ilvl w:val="0"/>
          <w:numId w:val="8"/>
        </w:numPr>
        <w:spacing w:before="100" w:beforeAutospacing="1" w:after="100" w:afterAutospacing="1" w:line="360" w:lineRule="auto"/>
        <w:rPr>
          <w:rFonts w:ascii="Arial" w:hAnsi="Arial" w:cs="Arial"/>
        </w:rPr>
      </w:pPr>
      <w:r>
        <w:rPr>
          <w:rFonts w:ascii="Arial" w:hAnsi="Arial" w:cs="Arial"/>
          <w:b/>
          <w:bCs/>
        </w:rPr>
        <w:t>Gender</w:t>
      </w:r>
    </w:p>
    <w:tbl>
      <w:tblPr>
        <w:tblStyle w:val="af4"/>
        <w:tblW w:w="0" w:type="auto"/>
        <w:tblLook w:val="04A0" w:firstRow="1" w:lastRow="0" w:firstColumn="1" w:lastColumn="0" w:noHBand="0" w:noVBand="1"/>
      </w:tblPr>
      <w:tblGrid>
        <w:gridCol w:w="2996"/>
        <w:gridCol w:w="2998"/>
        <w:gridCol w:w="3021"/>
      </w:tblGrid>
      <w:tr w:rsidR="0067740A" w14:paraId="201F7C6A" w14:textId="77777777">
        <w:trPr>
          <w:trHeight w:val="462"/>
        </w:trPr>
        <w:tc>
          <w:tcPr>
            <w:tcW w:w="2996" w:type="dxa"/>
          </w:tcPr>
          <w:p w14:paraId="79CBD48C" w14:textId="77777777" w:rsidR="0067740A" w:rsidRDefault="00000000">
            <w:pPr>
              <w:spacing w:line="360" w:lineRule="auto"/>
              <w:rPr>
                <w:rFonts w:ascii="Arial" w:eastAsiaTheme="minorHAnsi" w:hAnsi="Arial" w:cs="Arial"/>
                <w:lang w:val="en-GB" w:eastAsia="en-US"/>
              </w:rPr>
            </w:pPr>
            <w:r>
              <w:rPr>
                <w:rFonts w:ascii="Arial" w:hAnsi="Arial" w:cs="Arial"/>
                <w:b/>
                <w:bCs/>
                <w:lang w:val="en-GB" w:eastAsia="en-US"/>
              </w:rPr>
              <w:t>Gender</w:t>
            </w:r>
          </w:p>
        </w:tc>
        <w:tc>
          <w:tcPr>
            <w:tcW w:w="2998" w:type="dxa"/>
          </w:tcPr>
          <w:p w14:paraId="1BA5F001" w14:textId="77777777" w:rsidR="0067740A" w:rsidRDefault="0067740A">
            <w:pPr>
              <w:spacing w:line="360" w:lineRule="auto"/>
              <w:rPr>
                <w:rFonts w:ascii="Arial" w:eastAsiaTheme="minorHAnsi" w:hAnsi="Arial" w:cs="Arial"/>
                <w:lang w:val="en-GB" w:eastAsia="en-US"/>
              </w:rPr>
            </w:pPr>
          </w:p>
        </w:tc>
        <w:tc>
          <w:tcPr>
            <w:tcW w:w="3021" w:type="dxa"/>
          </w:tcPr>
          <w:p w14:paraId="47F5147B" w14:textId="77777777" w:rsidR="0067740A" w:rsidRDefault="0067740A">
            <w:pPr>
              <w:spacing w:line="360" w:lineRule="auto"/>
              <w:rPr>
                <w:rFonts w:ascii="Arial" w:eastAsiaTheme="minorHAnsi" w:hAnsi="Arial" w:cs="Arial"/>
                <w:lang w:val="en-GB" w:eastAsia="en-US"/>
              </w:rPr>
            </w:pPr>
          </w:p>
        </w:tc>
      </w:tr>
      <w:tr w:rsidR="0067740A" w14:paraId="5E4B11C3" w14:textId="77777777">
        <w:trPr>
          <w:trHeight w:val="315"/>
        </w:trPr>
        <w:tc>
          <w:tcPr>
            <w:tcW w:w="2996" w:type="dxa"/>
          </w:tcPr>
          <w:p w14:paraId="72F4BE27" w14:textId="77777777" w:rsidR="0067740A" w:rsidRDefault="00000000">
            <w:pPr>
              <w:spacing w:before="100" w:beforeAutospacing="1" w:after="100" w:afterAutospacing="1" w:line="360" w:lineRule="auto"/>
              <w:rPr>
                <w:rFonts w:ascii="Arial" w:hAnsi="Arial" w:cs="Arial"/>
                <w:lang w:val="en-US" w:eastAsia="en-US"/>
              </w:rPr>
            </w:pPr>
            <w:r>
              <w:rPr>
                <w:rFonts w:ascii="Arial" w:hAnsi="Arial" w:cs="Arial"/>
                <w:lang w:val="en-GB" w:eastAsia="en-US"/>
              </w:rPr>
              <w:t>Male</w:t>
            </w:r>
          </w:p>
        </w:tc>
        <w:tc>
          <w:tcPr>
            <w:tcW w:w="2998" w:type="dxa"/>
          </w:tcPr>
          <w:p w14:paraId="322FE198"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 xml:space="preserve">Female </w:t>
            </w:r>
          </w:p>
        </w:tc>
        <w:tc>
          <w:tcPr>
            <w:tcW w:w="3021" w:type="dxa"/>
          </w:tcPr>
          <w:p w14:paraId="71EE4E9F" w14:textId="77777777" w:rsidR="0067740A" w:rsidRDefault="00000000">
            <w:pPr>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Other</w:t>
            </w:r>
          </w:p>
        </w:tc>
      </w:tr>
      <w:tr w:rsidR="0067740A" w14:paraId="5F0441A1" w14:textId="77777777">
        <w:trPr>
          <w:trHeight w:val="505"/>
        </w:trPr>
        <w:tc>
          <w:tcPr>
            <w:tcW w:w="2996" w:type="dxa"/>
          </w:tcPr>
          <w:p w14:paraId="00F5442E" w14:textId="77777777" w:rsidR="0067740A" w:rsidRDefault="0067740A">
            <w:pPr>
              <w:spacing w:line="360" w:lineRule="auto"/>
              <w:rPr>
                <w:rFonts w:ascii="Arial" w:eastAsiaTheme="minorHAnsi" w:hAnsi="Arial" w:cs="Arial"/>
                <w:lang w:val="en-GB" w:eastAsia="en-US"/>
              </w:rPr>
            </w:pPr>
          </w:p>
        </w:tc>
        <w:tc>
          <w:tcPr>
            <w:tcW w:w="2998" w:type="dxa"/>
          </w:tcPr>
          <w:p w14:paraId="5C45401F" w14:textId="77777777" w:rsidR="0067740A" w:rsidRDefault="0067740A">
            <w:pPr>
              <w:spacing w:line="360" w:lineRule="auto"/>
              <w:rPr>
                <w:rFonts w:ascii="Arial" w:eastAsiaTheme="minorHAnsi" w:hAnsi="Arial" w:cs="Arial"/>
                <w:lang w:val="en-GB" w:eastAsia="en-US"/>
              </w:rPr>
            </w:pPr>
          </w:p>
        </w:tc>
        <w:tc>
          <w:tcPr>
            <w:tcW w:w="3021" w:type="dxa"/>
          </w:tcPr>
          <w:p w14:paraId="67B9D3EE" w14:textId="77777777" w:rsidR="0067740A" w:rsidRDefault="0067740A">
            <w:pPr>
              <w:spacing w:line="360" w:lineRule="auto"/>
              <w:rPr>
                <w:rFonts w:ascii="Arial" w:eastAsiaTheme="minorHAnsi" w:hAnsi="Arial" w:cs="Arial"/>
                <w:lang w:val="en-GB" w:eastAsia="en-US"/>
              </w:rPr>
            </w:pPr>
          </w:p>
        </w:tc>
      </w:tr>
    </w:tbl>
    <w:p w14:paraId="4156941B" w14:textId="77777777" w:rsidR="0067740A" w:rsidRDefault="00000000">
      <w:pPr>
        <w:numPr>
          <w:ilvl w:val="0"/>
          <w:numId w:val="8"/>
        </w:numPr>
        <w:spacing w:before="100" w:beforeAutospacing="1" w:after="100" w:afterAutospacing="1" w:line="360" w:lineRule="auto"/>
        <w:rPr>
          <w:rFonts w:ascii="Arial" w:hAnsi="Arial" w:cs="Arial"/>
        </w:rPr>
      </w:pPr>
      <w:r>
        <w:rPr>
          <w:rFonts w:ascii="Arial" w:hAnsi="Arial" w:cs="Arial"/>
          <w:b/>
          <w:bCs/>
        </w:rPr>
        <w:t>Education Level</w:t>
      </w:r>
    </w:p>
    <w:tbl>
      <w:tblPr>
        <w:tblStyle w:val="af4"/>
        <w:tblW w:w="0" w:type="auto"/>
        <w:tblLook w:val="04A0" w:firstRow="1" w:lastRow="0" w:firstColumn="1" w:lastColumn="0" w:noHBand="0" w:noVBand="1"/>
      </w:tblPr>
      <w:tblGrid>
        <w:gridCol w:w="1716"/>
        <w:gridCol w:w="1398"/>
        <w:gridCol w:w="1774"/>
        <w:gridCol w:w="1694"/>
        <w:gridCol w:w="1257"/>
        <w:gridCol w:w="1230"/>
      </w:tblGrid>
      <w:tr w:rsidR="0067740A" w14:paraId="711B779A" w14:textId="77777777">
        <w:tc>
          <w:tcPr>
            <w:tcW w:w="1716" w:type="dxa"/>
          </w:tcPr>
          <w:p w14:paraId="317CA8C0" w14:textId="77777777" w:rsidR="0067740A" w:rsidRDefault="00000000">
            <w:pPr>
              <w:spacing w:line="360" w:lineRule="auto"/>
              <w:rPr>
                <w:rFonts w:ascii="Arial" w:eastAsiaTheme="minorHAnsi" w:hAnsi="Arial" w:cs="Arial"/>
                <w:lang w:val="en-GB" w:eastAsia="en-US"/>
              </w:rPr>
            </w:pPr>
            <w:r>
              <w:rPr>
                <w:rFonts w:ascii="Arial" w:hAnsi="Arial" w:cs="Arial"/>
                <w:b/>
                <w:bCs/>
                <w:lang w:val="en-GB" w:eastAsia="en-US"/>
              </w:rPr>
              <w:lastRenderedPageBreak/>
              <w:t>Education Level</w:t>
            </w:r>
          </w:p>
        </w:tc>
        <w:tc>
          <w:tcPr>
            <w:tcW w:w="1398" w:type="dxa"/>
          </w:tcPr>
          <w:p w14:paraId="16629888" w14:textId="77777777" w:rsidR="0067740A" w:rsidRDefault="0067740A">
            <w:pPr>
              <w:spacing w:line="360" w:lineRule="auto"/>
              <w:rPr>
                <w:rFonts w:ascii="Arial" w:eastAsiaTheme="minorHAnsi" w:hAnsi="Arial" w:cs="Arial"/>
                <w:lang w:val="en-GB" w:eastAsia="en-US"/>
              </w:rPr>
            </w:pPr>
          </w:p>
        </w:tc>
        <w:tc>
          <w:tcPr>
            <w:tcW w:w="1774" w:type="dxa"/>
          </w:tcPr>
          <w:p w14:paraId="5F825785" w14:textId="77777777" w:rsidR="0067740A" w:rsidRDefault="0067740A">
            <w:pPr>
              <w:spacing w:line="360" w:lineRule="auto"/>
              <w:rPr>
                <w:rFonts w:ascii="Arial" w:eastAsiaTheme="minorHAnsi" w:hAnsi="Arial" w:cs="Arial"/>
                <w:lang w:val="en-GB" w:eastAsia="en-US"/>
              </w:rPr>
            </w:pPr>
          </w:p>
        </w:tc>
        <w:tc>
          <w:tcPr>
            <w:tcW w:w="1694" w:type="dxa"/>
          </w:tcPr>
          <w:p w14:paraId="26647969" w14:textId="77777777" w:rsidR="0067740A" w:rsidRDefault="0067740A">
            <w:pPr>
              <w:spacing w:line="360" w:lineRule="auto"/>
              <w:rPr>
                <w:rFonts w:ascii="Arial" w:eastAsiaTheme="minorHAnsi" w:hAnsi="Arial" w:cs="Arial"/>
                <w:lang w:val="en-GB" w:eastAsia="en-US"/>
              </w:rPr>
            </w:pPr>
          </w:p>
        </w:tc>
        <w:tc>
          <w:tcPr>
            <w:tcW w:w="1204" w:type="dxa"/>
          </w:tcPr>
          <w:p w14:paraId="779280CA" w14:textId="77777777" w:rsidR="0067740A" w:rsidRDefault="0067740A">
            <w:pPr>
              <w:spacing w:line="360" w:lineRule="auto"/>
              <w:rPr>
                <w:rFonts w:ascii="Arial" w:eastAsiaTheme="minorHAnsi" w:hAnsi="Arial" w:cs="Arial"/>
                <w:lang w:val="en-GB" w:eastAsia="en-US"/>
              </w:rPr>
            </w:pPr>
          </w:p>
        </w:tc>
        <w:tc>
          <w:tcPr>
            <w:tcW w:w="1230" w:type="dxa"/>
          </w:tcPr>
          <w:p w14:paraId="4A63C8CF" w14:textId="77777777" w:rsidR="0067740A" w:rsidRDefault="0067740A">
            <w:pPr>
              <w:spacing w:line="360" w:lineRule="auto"/>
              <w:rPr>
                <w:rFonts w:ascii="Arial" w:eastAsiaTheme="minorHAnsi" w:hAnsi="Arial" w:cs="Arial"/>
                <w:lang w:val="en-GB" w:eastAsia="en-US"/>
              </w:rPr>
            </w:pPr>
          </w:p>
        </w:tc>
      </w:tr>
      <w:tr w:rsidR="0067740A" w14:paraId="58413111" w14:textId="77777777">
        <w:trPr>
          <w:trHeight w:val="416"/>
        </w:trPr>
        <w:tc>
          <w:tcPr>
            <w:tcW w:w="1716" w:type="dxa"/>
          </w:tcPr>
          <w:p w14:paraId="45C836F2"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High school or lower</w:t>
            </w:r>
          </w:p>
        </w:tc>
        <w:tc>
          <w:tcPr>
            <w:tcW w:w="1398" w:type="dxa"/>
          </w:tcPr>
          <w:p w14:paraId="2CF0C040"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Associate degree</w:t>
            </w:r>
          </w:p>
        </w:tc>
        <w:tc>
          <w:tcPr>
            <w:tcW w:w="1774" w:type="dxa"/>
          </w:tcPr>
          <w:p w14:paraId="2B0C2507"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Bachelor’s degree</w:t>
            </w:r>
          </w:p>
        </w:tc>
        <w:tc>
          <w:tcPr>
            <w:tcW w:w="1694" w:type="dxa"/>
          </w:tcPr>
          <w:p w14:paraId="0BF545DA" w14:textId="77777777" w:rsidR="0067740A" w:rsidRDefault="00000000">
            <w:pPr>
              <w:tabs>
                <w:tab w:val="left" w:pos="720"/>
                <w:tab w:val="left" w:pos="1440"/>
              </w:tabs>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Master’s degree</w:t>
            </w:r>
          </w:p>
        </w:tc>
        <w:tc>
          <w:tcPr>
            <w:tcW w:w="1204" w:type="dxa"/>
          </w:tcPr>
          <w:p w14:paraId="5B857A89"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Doctorate</w:t>
            </w:r>
          </w:p>
        </w:tc>
        <w:tc>
          <w:tcPr>
            <w:tcW w:w="1230" w:type="dxa"/>
          </w:tcPr>
          <w:p w14:paraId="2ABAB868" w14:textId="77777777" w:rsidR="0067740A" w:rsidRDefault="00000000">
            <w:pPr>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 xml:space="preserve">Other </w:t>
            </w:r>
          </w:p>
        </w:tc>
      </w:tr>
      <w:tr w:rsidR="0067740A" w14:paraId="4176CC98" w14:textId="77777777">
        <w:trPr>
          <w:trHeight w:val="495"/>
        </w:trPr>
        <w:tc>
          <w:tcPr>
            <w:tcW w:w="1716" w:type="dxa"/>
          </w:tcPr>
          <w:p w14:paraId="5804375C" w14:textId="77777777" w:rsidR="0067740A" w:rsidRDefault="0067740A">
            <w:pPr>
              <w:spacing w:line="360" w:lineRule="auto"/>
              <w:rPr>
                <w:rFonts w:ascii="Arial" w:eastAsiaTheme="minorHAnsi" w:hAnsi="Arial" w:cs="Arial"/>
                <w:lang w:val="en-GB" w:eastAsia="en-US"/>
              </w:rPr>
            </w:pPr>
          </w:p>
        </w:tc>
        <w:tc>
          <w:tcPr>
            <w:tcW w:w="1398" w:type="dxa"/>
          </w:tcPr>
          <w:p w14:paraId="34CCAAA0" w14:textId="77777777" w:rsidR="0067740A" w:rsidRDefault="0067740A">
            <w:pPr>
              <w:spacing w:line="360" w:lineRule="auto"/>
              <w:rPr>
                <w:rFonts w:ascii="Arial" w:eastAsiaTheme="minorHAnsi" w:hAnsi="Arial" w:cs="Arial"/>
                <w:lang w:val="en-GB" w:eastAsia="en-US"/>
              </w:rPr>
            </w:pPr>
          </w:p>
        </w:tc>
        <w:tc>
          <w:tcPr>
            <w:tcW w:w="1774" w:type="dxa"/>
          </w:tcPr>
          <w:p w14:paraId="2ABA8CAD" w14:textId="77777777" w:rsidR="0067740A" w:rsidRDefault="0067740A">
            <w:pPr>
              <w:spacing w:line="360" w:lineRule="auto"/>
              <w:rPr>
                <w:rFonts w:ascii="Arial" w:eastAsiaTheme="minorHAnsi" w:hAnsi="Arial" w:cs="Arial"/>
                <w:lang w:val="en-GB" w:eastAsia="en-US"/>
              </w:rPr>
            </w:pPr>
          </w:p>
        </w:tc>
        <w:tc>
          <w:tcPr>
            <w:tcW w:w="1694" w:type="dxa"/>
          </w:tcPr>
          <w:p w14:paraId="51B38670" w14:textId="77777777" w:rsidR="0067740A" w:rsidRDefault="0067740A">
            <w:pPr>
              <w:spacing w:line="360" w:lineRule="auto"/>
              <w:rPr>
                <w:rFonts w:ascii="Arial" w:eastAsiaTheme="minorHAnsi" w:hAnsi="Arial" w:cs="Arial"/>
                <w:lang w:val="en-GB" w:eastAsia="en-US"/>
              </w:rPr>
            </w:pPr>
          </w:p>
        </w:tc>
        <w:tc>
          <w:tcPr>
            <w:tcW w:w="1204" w:type="dxa"/>
          </w:tcPr>
          <w:p w14:paraId="6F395C5D" w14:textId="77777777" w:rsidR="0067740A" w:rsidRDefault="0067740A">
            <w:pPr>
              <w:spacing w:line="360" w:lineRule="auto"/>
              <w:rPr>
                <w:rFonts w:ascii="Arial" w:eastAsiaTheme="minorHAnsi" w:hAnsi="Arial" w:cs="Arial"/>
                <w:lang w:val="en-GB" w:eastAsia="en-US"/>
              </w:rPr>
            </w:pPr>
          </w:p>
        </w:tc>
        <w:tc>
          <w:tcPr>
            <w:tcW w:w="1230" w:type="dxa"/>
          </w:tcPr>
          <w:p w14:paraId="06994849" w14:textId="77777777" w:rsidR="0067740A" w:rsidRDefault="0067740A">
            <w:pPr>
              <w:spacing w:line="360" w:lineRule="auto"/>
              <w:rPr>
                <w:rFonts w:ascii="Arial" w:eastAsiaTheme="minorHAnsi" w:hAnsi="Arial" w:cs="Arial"/>
                <w:lang w:val="en-GB" w:eastAsia="en-US"/>
              </w:rPr>
            </w:pPr>
          </w:p>
        </w:tc>
      </w:tr>
    </w:tbl>
    <w:p w14:paraId="0593C647" w14:textId="77777777" w:rsidR="0067740A" w:rsidRDefault="00000000">
      <w:pPr>
        <w:numPr>
          <w:ilvl w:val="0"/>
          <w:numId w:val="8"/>
        </w:numPr>
        <w:spacing w:before="100" w:beforeAutospacing="1" w:after="100" w:afterAutospacing="1" w:line="360" w:lineRule="auto"/>
        <w:rPr>
          <w:rFonts w:ascii="Arial" w:hAnsi="Arial" w:cs="Arial"/>
        </w:rPr>
      </w:pPr>
      <w:bookmarkStart w:id="117" w:name="OLE_LINK11"/>
      <w:bookmarkStart w:id="118" w:name="OLE_LINK12"/>
      <w:r>
        <w:rPr>
          <w:rFonts w:ascii="Arial" w:hAnsi="Arial" w:cs="Arial"/>
          <w:b/>
          <w:bCs/>
        </w:rPr>
        <w:t>Income Level (Annual)</w:t>
      </w:r>
      <w:bookmarkStart w:id="119" w:name="OLE_LINK13"/>
      <w:bookmarkStart w:id="120" w:name="OLE_LINK14"/>
      <w:bookmarkEnd w:id="117"/>
      <w:bookmarkEnd w:id="118"/>
    </w:p>
    <w:tbl>
      <w:tblPr>
        <w:tblStyle w:val="af4"/>
        <w:tblW w:w="9165" w:type="dxa"/>
        <w:tblLook w:val="04A0" w:firstRow="1" w:lastRow="0" w:firstColumn="1" w:lastColumn="0" w:noHBand="0" w:noVBand="1"/>
      </w:tblPr>
      <w:tblGrid>
        <w:gridCol w:w="1635"/>
        <w:gridCol w:w="1339"/>
        <w:gridCol w:w="1691"/>
        <w:gridCol w:w="1616"/>
        <w:gridCol w:w="1430"/>
        <w:gridCol w:w="1454"/>
      </w:tblGrid>
      <w:tr w:rsidR="0067740A" w14:paraId="656E662D" w14:textId="77777777">
        <w:trPr>
          <w:trHeight w:val="593"/>
        </w:trPr>
        <w:tc>
          <w:tcPr>
            <w:tcW w:w="1635" w:type="dxa"/>
          </w:tcPr>
          <w:bookmarkEnd w:id="119"/>
          <w:bookmarkEnd w:id="120"/>
          <w:p w14:paraId="112A4A38"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hAnsi="Arial" w:cs="Arial"/>
                <w:b/>
                <w:bCs/>
                <w:lang w:val="en-GB" w:eastAsia="en-US"/>
              </w:rPr>
              <w:t>Income Level (Annual)</w:t>
            </w:r>
          </w:p>
        </w:tc>
        <w:tc>
          <w:tcPr>
            <w:tcW w:w="1339" w:type="dxa"/>
          </w:tcPr>
          <w:p w14:paraId="1E6DF135" w14:textId="77777777" w:rsidR="0067740A" w:rsidRDefault="0067740A">
            <w:pPr>
              <w:spacing w:line="360" w:lineRule="auto"/>
              <w:rPr>
                <w:rFonts w:ascii="Arial" w:eastAsiaTheme="minorHAnsi" w:hAnsi="Arial" w:cs="Arial"/>
                <w:lang w:val="en-GB" w:eastAsia="en-US"/>
              </w:rPr>
            </w:pPr>
          </w:p>
        </w:tc>
        <w:tc>
          <w:tcPr>
            <w:tcW w:w="1691" w:type="dxa"/>
          </w:tcPr>
          <w:p w14:paraId="7ACB2DD5" w14:textId="77777777" w:rsidR="0067740A" w:rsidRDefault="0067740A">
            <w:pPr>
              <w:spacing w:line="360" w:lineRule="auto"/>
              <w:rPr>
                <w:rFonts w:ascii="Arial" w:eastAsiaTheme="minorHAnsi" w:hAnsi="Arial" w:cs="Arial"/>
                <w:lang w:val="en-GB" w:eastAsia="en-US"/>
              </w:rPr>
            </w:pPr>
          </w:p>
        </w:tc>
        <w:tc>
          <w:tcPr>
            <w:tcW w:w="1616" w:type="dxa"/>
          </w:tcPr>
          <w:p w14:paraId="5FAA2B54" w14:textId="77777777" w:rsidR="0067740A" w:rsidRDefault="0067740A">
            <w:pPr>
              <w:spacing w:line="360" w:lineRule="auto"/>
              <w:rPr>
                <w:rFonts w:ascii="Arial" w:eastAsiaTheme="minorHAnsi" w:hAnsi="Arial" w:cs="Arial"/>
                <w:lang w:val="en-GB" w:eastAsia="en-US"/>
              </w:rPr>
            </w:pPr>
          </w:p>
        </w:tc>
        <w:tc>
          <w:tcPr>
            <w:tcW w:w="1430" w:type="dxa"/>
          </w:tcPr>
          <w:p w14:paraId="1E4D2563" w14:textId="77777777" w:rsidR="0067740A" w:rsidRDefault="0067740A">
            <w:pPr>
              <w:spacing w:line="360" w:lineRule="auto"/>
              <w:rPr>
                <w:rFonts w:ascii="Arial" w:eastAsiaTheme="minorHAnsi" w:hAnsi="Arial" w:cs="Arial"/>
                <w:lang w:val="en-GB" w:eastAsia="en-US"/>
              </w:rPr>
            </w:pPr>
          </w:p>
        </w:tc>
        <w:tc>
          <w:tcPr>
            <w:tcW w:w="1454" w:type="dxa"/>
          </w:tcPr>
          <w:p w14:paraId="10A001B6" w14:textId="77777777" w:rsidR="0067740A" w:rsidRDefault="0067740A">
            <w:pPr>
              <w:spacing w:line="360" w:lineRule="auto"/>
              <w:rPr>
                <w:rFonts w:ascii="Arial" w:eastAsiaTheme="minorHAnsi" w:hAnsi="Arial" w:cs="Arial"/>
                <w:lang w:val="en-GB" w:eastAsia="en-US"/>
              </w:rPr>
            </w:pPr>
          </w:p>
        </w:tc>
      </w:tr>
      <w:tr w:rsidR="0067740A" w14:paraId="5972AFE1" w14:textId="77777777">
        <w:trPr>
          <w:trHeight w:val="785"/>
        </w:trPr>
        <w:tc>
          <w:tcPr>
            <w:tcW w:w="1635" w:type="dxa"/>
          </w:tcPr>
          <w:p w14:paraId="5752BBFD"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Under ¥50,000</w:t>
            </w:r>
          </w:p>
        </w:tc>
        <w:tc>
          <w:tcPr>
            <w:tcW w:w="1339" w:type="dxa"/>
          </w:tcPr>
          <w:p w14:paraId="1C02CB7A" w14:textId="77777777" w:rsidR="0067740A" w:rsidRDefault="00000000">
            <w:pPr>
              <w:tabs>
                <w:tab w:val="left" w:pos="720"/>
                <w:tab w:val="left" w:pos="1440"/>
              </w:tabs>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¥50,000-¥100,000</w:t>
            </w:r>
          </w:p>
        </w:tc>
        <w:tc>
          <w:tcPr>
            <w:tcW w:w="1691" w:type="dxa"/>
          </w:tcPr>
          <w:p w14:paraId="3244D6BF" w14:textId="77777777" w:rsidR="0067740A" w:rsidRDefault="00000000">
            <w:pPr>
              <w:tabs>
                <w:tab w:val="left" w:pos="720"/>
                <w:tab w:val="left" w:pos="1440"/>
              </w:tabs>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¥100,001-¥200,000</w:t>
            </w:r>
          </w:p>
        </w:tc>
        <w:tc>
          <w:tcPr>
            <w:tcW w:w="1616" w:type="dxa"/>
          </w:tcPr>
          <w:p w14:paraId="15EF258C" w14:textId="77777777" w:rsidR="0067740A" w:rsidRDefault="00000000">
            <w:pPr>
              <w:tabs>
                <w:tab w:val="left" w:pos="720"/>
                <w:tab w:val="left" w:pos="1440"/>
              </w:tabs>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¥200,001-¥300,000</w:t>
            </w:r>
          </w:p>
        </w:tc>
        <w:tc>
          <w:tcPr>
            <w:tcW w:w="1430" w:type="dxa"/>
          </w:tcPr>
          <w:p w14:paraId="12801C44" w14:textId="77777777" w:rsidR="0067740A" w:rsidRDefault="00000000">
            <w:pPr>
              <w:tabs>
                <w:tab w:val="left" w:pos="720"/>
                <w:tab w:val="left" w:pos="1440"/>
              </w:tabs>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¥300,001-¥500,000</w:t>
            </w:r>
          </w:p>
        </w:tc>
        <w:tc>
          <w:tcPr>
            <w:tcW w:w="1454" w:type="dxa"/>
          </w:tcPr>
          <w:p w14:paraId="57C91D37" w14:textId="77777777" w:rsidR="0067740A" w:rsidRDefault="00000000">
            <w:pPr>
              <w:spacing w:before="100" w:beforeAutospacing="1" w:after="100" w:afterAutospacing="1" w:line="360" w:lineRule="auto"/>
              <w:rPr>
                <w:rFonts w:ascii="Arial" w:hAnsi="Arial" w:cs="Arial"/>
                <w:lang w:val="en-GB" w:eastAsia="en-US"/>
              </w:rPr>
            </w:pPr>
            <w:r>
              <w:rPr>
                <w:rFonts w:ascii="Arial" w:hAnsi="Arial" w:cs="Arial"/>
                <w:lang w:val="en-GB" w:eastAsia="en-US"/>
              </w:rPr>
              <w:t>Above ¥500,000</w:t>
            </w:r>
          </w:p>
        </w:tc>
      </w:tr>
      <w:tr w:rsidR="0067740A" w14:paraId="0A46F22E" w14:textId="77777777">
        <w:trPr>
          <w:trHeight w:val="478"/>
        </w:trPr>
        <w:tc>
          <w:tcPr>
            <w:tcW w:w="1635" w:type="dxa"/>
          </w:tcPr>
          <w:p w14:paraId="1FD22FF8" w14:textId="77777777" w:rsidR="0067740A" w:rsidRDefault="0067740A">
            <w:pPr>
              <w:spacing w:line="360" w:lineRule="auto"/>
              <w:rPr>
                <w:rFonts w:ascii="Arial" w:eastAsiaTheme="minorHAnsi" w:hAnsi="Arial" w:cs="Arial"/>
                <w:lang w:val="en-GB" w:eastAsia="en-US"/>
              </w:rPr>
            </w:pPr>
          </w:p>
        </w:tc>
        <w:tc>
          <w:tcPr>
            <w:tcW w:w="1339" w:type="dxa"/>
          </w:tcPr>
          <w:p w14:paraId="5D86FFC7" w14:textId="77777777" w:rsidR="0067740A" w:rsidRDefault="0067740A">
            <w:pPr>
              <w:spacing w:line="360" w:lineRule="auto"/>
              <w:rPr>
                <w:rFonts w:ascii="Arial" w:eastAsiaTheme="minorHAnsi" w:hAnsi="Arial" w:cs="Arial"/>
                <w:lang w:val="en-GB" w:eastAsia="en-US"/>
              </w:rPr>
            </w:pPr>
          </w:p>
        </w:tc>
        <w:tc>
          <w:tcPr>
            <w:tcW w:w="1691" w:type="dxa"/>
          </w:tcPr>
          <w:p w14:paraId="1F0F6876" w14:textId="77777777" w:rsidR="0067740A" w:rsidRDefault="0067740A">
            <w:pPr>
              <w:spacing w:line="360" w:lineRule="auto"/>
              <w:rPr>
                <w:rFonts w:ascii="Arial" w:eastAsiaTheme="minorHAnsi" w:hAnsi="Arial" w:cs="Arial"/>
                <w:lang w:val="en-GB" w:eastAsia="en-US"/>
              </w:rPr>
            </w:pPr>
          </w:p>
        </w:tc>
        <w:tc>
          <w:tcPr>
            <w:tcW w:w="1616" w:type="dxa"/>
          </w:tcPr>
          <w:p w14:paraId="2D273150" w14:textId="77777777" w:rsidR="0067740A" w:rsidRDefault="0067740A">
            <w:pPr>
              <w:spacing w:line="360" w:lineRule="auto"/>
              <w:rPr>
                <w:rFonts w:ascii="Arial" w:eastAsiaTheme="minorHAnsi" w:hAnsi="Arial" w:cs="Arial"/>
                <w:lang w:val="en-GB" w:eastAsia="en-US"/>
              </w:rPr>
            </w:pPr>
          </w:p>
        </w:tc>
        <w:tc>
          <w:tcPr>
            <w:tcW w:w="1430" w:type="dxa"/>
          </w:tcPr>
          <w:p w14:paraId="539B979D" w14:textId="77777777" w:rsidR="0067740A" w:rsidRDefault="0067740A">
            <w:pPr>
              <w:spacing w:line="360" w:lineRule="auto"/>
              <w:rPr>
                <w:rFonts w:ascii="Arial" w:eastAsiaTheme="minorHAnsi" w:hAnsi="Arial" w:cs="Arial"/>
                <w:lang w:val="en-GB" w:eastAsia="en-US"/>
              </w:rPr>
            </w:pPr>
          </w:p>
        </w:tc>
        <w:tc>
          <w:tcPr>
            <w:tcW w:w="1454" w:type="dxa"/>
          </w:tcPr>
          <w:p w14:paraId="13143BCD" w14:textId="77777777" w:rsidR="0067740A" w:rsidRDefault="0067740A">
            <w:pPr>
              <w:spacing w:line="360" w:lineRule="auto"/>
              <w:rPr>
                <w:rFonts w:ascii="Arial" w:eastAsiaTheme="minorHAnsi" w:hAnsi="Arial" w:cs="Arial"/>
                <w:lang w:val="en-GB" w:eastAsia="en-US"/>
              </w:rPr>
            </w:pPr>
          </w:p>
        </w:tc>
      </w:tr>
    </w:tbl>
    <w:p w14:paraId="5EC585DB" w14:textId="77777777" w:rsidR="0067740A" w:rsidRDefault="00000000">
      <w:pPr>
        <w:numPr>
          <w:ilvl w:val="0"/>
          <w:numId w:val="8"/>
        </w:numPr>
        <w:spacing w:before="100" w:beforeAutospacing="1" w:after="100" w:afterAutospacing="1" w:line="360" w:lineRule="auto"/>
        <w:rPr>
          <w:rFonts w:ascii="Arial" w:hAnsi="Arial" w:cs="Arial"/>
        </w:rPr>
      </w:pPr>
      <w:r>
        <w:rPr>
          <w:rFonts w:ascii="Arial" w:hAnsi="Arial" w:cs="Arial"/>
          <w:b/>
          <w:bCs/>
        </w:rPr>
        <w:t>Location</w:t>
      </w:r>
      <w:r>
        <w:rPr>
          <w:rFonts w:ascii="Arial" w:hAnsi="Arial" w:cs="Arial"/>
        </w:rPr>
        <w:t>:</w:t>
      </w:r>
    </w:p>
    <w:tbl>
      <w:tblPr>
        <w:tblStyle w:val="af4"/>
        <w:tblW w:w="9141" w:type="dxa"/>
        <w:tblLook w:val="04A0" w:firstRow="1" w:lastRow="0" w:firstColumn="1" w:lastColumn="0" w:noHBand="0" w:noVBand="1"/>
      </w:tblPr>
      <w:tblGrid>
        <w:gridCol w:w="3361"/>
        <w:gridCol w:w="2965"/>
        <w:gridCol w:w="2815"/>
      </w:tblGrid>
      <w:tr w:rsidR="0067740A" w14:paraId="19BE20F8" w14:textId="77777777">
        <w:trPr>
          <w:trHeight w:val="313"/>
        </w:trPr>
        <w:tc>
          <w:tcPr>
            <w:tcW w:w="3361" w:type="dxa"/>
          </w:tcPr>
          <w:p w14:paraId="5AAD16C5" w14:textId="77777777" w:rsidR="0067740A" w:rsidRDefault="00000000">
            <w:pPr>
              <w:spacing w:line="360" w:lineRule="auto"/>
              <w:rPr>
                <w:rFonts w:ascii="Arial" w:eastAsiaTheme="minorHAnsi" w:hAnsi="Arial" w:cs="Arial"/>
                <w:lang w:val="en-GB" w:eastAsia="en-US"/>
              </w:rPr>
            </w:pPr>
            <w:r>
              <w:rPr>
                <w:rFonts w:ascii="Arial" w:hAnsi="Arial" w:cs="Arial"/>
                <w:b/>
                <w:bCs/>
                <w:lang w:val="en-GB" w:eastAsia="en-US"/>
              </w:rPr>
              <w:t>Location</w:t>
            </w:r>
          </w:p>
        </w:tc>
        <w:tc>
          <w:tcPr>
            <w:tcW w:w="2965" w:type="dxa"/>
          </w:tcPr>
          <w:p w14:paraId="3D4F7934" w14:textId="77777777" w:rsidR="0067740A" w:rsidRDefault="0067740A">
            <w:pPr>
              <w:spacing w:line="360" w:lineRule="auto"/>
              <w:rPr>
                <w:rFonts w:ascii="Arial" w:eastAsiaTheme="minorHAnsi" w:hAnsi="Arial" w:cs="Arial"/>
                <w:lang w:val="en-GB" w:eastAsia="en-US"/>
              </w:rPr>
            </w:pPr>
          </w:p>
        </w:tc>
        <w:tc>
          <w:tcPr>
            <w:tcW w:w="2815" w:type="dxa"/>
          </w:tcPr>
          <w:p w14:paraId="2CE9A07A" w14:textId="77777777" w:rsidR="0067740A" w:rsidRDefault="0067740A">
            <w:pPr>
              <w:spacing w:line="360" w:lineRule="auto"/>
              <w:rPr>
                <w:rFonts w:ascii="Arial" w:eastAsiaTheme="minorHAnsi" w:hAnsi="Arial" w:cs="Arial"/>
                <w:lang w:val="en-GB" w:eastAsia="en-US"/>
              </w:rPr>
            </w:pPr>
          </w:p>
        </w:tc>
      </w:tr>
      <w:tr w:rsidR="0067740A" w14:paraId="6A9220B4" w14:textId="77777777">
        <w:trPr>
          <w:trHeight w:val="110"/>
        </w:trPr>
        <w:tc>
          <w:tcPr>
            <w:tcW w:w="3361" w:type="dxa"/>
          </w:tcPr>
          <w:p w14:paraId="2E0389DC"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Urban</w:t>
            </w:r>
          </w:p>
        </w:tc>
        <w:tc>
          <w:tcPr>
            <w:tcW w:w="2965" w:type="dxa"/>
          </w:tcPr>
          <w:p w14:paraId="58CC8680"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Suburban</w:t>
            </w:r>
          </w:p>
        </w:tc>
        <w:tc>
          <w:tcPr>
            <w:tcW w:w="2815" w:type="dxa"/>
          </w:tcPr>
          <w:p w14:paraId="3950C493" w14:textId="77777777" w:rsidR="0067740A" w:rsidRDefault="00000000">
            <w:pPr>
              <w:spacing w:before="100" w:beforeAutospacing="1" w:after="100" w:afterAutospacing="1" w:line="360" w:lineRule="auto"/>
              <w:rPr>
                <w:rFonts w:ascii="Arial" w:eastAsiaTheme="minorHAnsi" w:hAnsi="Arial" w:cs="Arial"/>
                <w:lang w:val="en-GB" w:eastAsia="en-US"/>
              </w:rPr>
            </w:pPr>
            <w:r>
              <w:rPr>
                <w:rFonts w:ascii="Arial" w:hAnsi="Arial" w:cs="Arial"/>
                <w:lang w:val="en-GB" w:eastAsia="en-US"/>
              </w:rPr>
              <w:t>Rural</w:t>
            </w:r>
          </w:p>
        </w:tc>
      </w:tr>
      <w:tr w:rsidR="0067740A" w14:paraId="750466C5" w14:textId="77777777">
        <w:trPr>
          <w:trHeight w:val="383"/>
        </w:trPr>
        <w:tc>
          <w:tcPr>
            <w:tcW w:w="3361" w:type="dxa"/>
          </w:tcPr>
          <w:p w14:paraId="02FD896A" w14:textId="77777777" w:rsidR="0067740A" w:rsidRDefault="0067740A">
            <w:pPr>
              <w:spacing w:line="360" w:lineRule="auto"/>
              <w:rPr>
                <w:rFonts w:ascii="Arial" w:eastAsiaTheme="minorHAnsi" w:hAnsi="Arial" w:cs="Arial"/>
                <w:lang w:val="en-GB" w:eastAsia="en-US"/>
              </w:rPr>
            </w:pPr>
          </w:p>
        </w:tc>
        <w:tc>
          <w:tcPr>
            <w:tcW w:w="2965" w:type="dxa"/>
          </w:tcPr>
          <w:p w14:paraId="538D49D3" w14:textId="77777777" w:rsidR="0067740A" w:rsidRDefault="0067740A">
            <w:pPr>
              <w:spacing w:line="360" w:lineRule="auto"/>
              <w:rPr>
                <w:rFonts w:ascii="Arial" w:eastAsiaTheme="minorHAnsi" w:hAnsi="Arial" w:cs="Arial"/>
                <w:lang w:val="en-GB" w:eastAsia="en-US"/>
              </w:rPr>
            </w:pPr>
          </w:p>
        </w:tc>
        <w:tc>
          <w:tcPr>
            <w:tcW w:w="2815" w:type="dxa"/>
          </w:tcPr>
          <w:p w14:paraId="6E5604D6" w14:textId="77777777" w:rsidR="0067740A" w:rsidRDefault="0067740A">
            <w:pPr>
              <w:spacing w:line="360" w:lineRule="auto"/>
              <w:rPr>
                <w:rFonts w:ascii="Arial" w:eastAsiaTheme="minorHAnsi" w:hAnsi="Arial" w:cs="Arial"/>
                <w:lang w:val="en-GB" w:eastAsia="en-US"/>
              </w:rPr>
            </w:pPr>
          </w:p>
        </w:tc>
      </w:tr>
    </w:tbl>
    <w:p w14:paraId="44E79C76" w14:textId="77777777" w:rsidR="0067740A" w:rsidRDefault="00000000">
      <w:pPr>
        <w:numPr>
          <w:ilvl w:val="0"/>
          <w:numId w:val="9"/>
        </w:numPr>
        <w:spacing w:before="100" w:beforeAutospacing="1" w:after="100" w:afterAutospacing="1" w:line="360" w:lineRule="auto"/>
        <w:rPr>
          <w:rFonts w:ascii="Arial" w:hAnsi="Arial" w:cs="Arial"/>
        </w:rPr>
      </w:pPr>
      <w:bookmarkStart w:id="121" w:name="OLE_LINK15"/>
      <w:bookmarkStart w:id="122" w:name="OLE_LINK16"/>
      <w:r>
        <w:rPr>
          <w:rFonts w:ascii="Arial" w:hAnsi="Arial" w:cs="Arial"/>
          <w:b/>
          <w:bCs/>
        </w:rPr>
        <w:t>How familiar are you with Volkswagen’s sustainability initiatives (e.g., electric vehicles, green manufacturing)?</w:t>
      </w:r>
    </w:p>
    <w:tbl>
      <w:tblPr>
        <w:tblStyle w:val="af4"/>
        <w:tblW w:w="0" w:type="auto"/>
        <w:tblInd w:w="-147" w:type="dxa"/>
        <w:tblLook w:val="04A0" w:firstRow="1" w:lastRow="0" w:firstColumn="1" w:lastColumn="0" w:noHBand="0" w:noVBand="1"/>
      </w:tblPr>
      <w:tblGrid>
        <w:gridCol w:w="5387"/>
        <w:gridCol w:w="3776"/>
      </w:tblGrid>
      <w:tr w:rsidR="0067740A" w14:paraId="0E5EC7DD" w14:textId="77777777">
        <w:tc>
          <w:tcPr>
            <w:tcW w:w="5387" w:type="dxa"/>
          </w:tcPr>
          <w:p w14:paraId="046A2F51" w14:textId="77777777" w:rsidR="0067740A" w:rsidRDefault="00000000">
            <w:pPr>
              <w:tabs>
                <w:tab w:val="left" w:pos="720"/>
              </w:tabs>
              <w:spacing w:before="100" w:beforeAutospacing="1" w:after="100" w:afterAutospacing="1" w:line="360" w:lineRule="auto"/>
              <w:rPr>
                <w:rFonts w:ascii="Arial" w:hAnsi="Arial" w:cs="Arial"/>
                <w:b/>
                <w:bCs/>
                <w:lang w:val="en-GB" w:eastAsia="en-US"/>
              </w:rPr>
            </w:pPr>
            <w:r>
              <w:rPr>
                <w:rFonts w:ascii="Arial" w:eastAsiaTheme="minorHAnsi" w:hAnsi="Arial" w:cs="Arial"/>
                <w:b/>
                <w:bCs/>
                <w:lang w:val="en-GB" w:eastAsia="en-US"/>
              </w:rPr>
              <w:t>How familiar are you with Volkswagen’s sustainability initiatives?</w:t>
            </w:r>
          </w:p>
        </w:tc>
        <w:tc>
          <w:tcPr>
            <w:tcW w:w="3776" w:type="dxa"/>
          </w:tcPr>
          <w:p w14:paraId="78A5DEBC" w14:textId="77777777" w:rsidR="0067740A" w:rsidRDefault="00000000">
            <w:pPr>
              <w:tabs>
                <w:tab w:val="left" w:pos="720"/>
              </w:tabs>
              <w:spacing w:before="100" w:beforeAutospacing="1" w:after="100" w:afterAutospacing="1" w:line="360" w:lineRule="auto"/>
              <w:rPr>
                <w:rFonts w:ascii="Arial" w:hAnsi="Arial" w:cs="Arial"/>
                <w:b/>
                <w:bCs/>
                <w:lang w:val="en-GB" w:eastAsia="en-US"/>
              </w:rPr>
            </w:pPr>
            <w:r>
              <w:rPr>
                <w:rFonts w:ascii="Arial" w:eastAsiaTheme="minorHAnsi" w:hAnsi="Arial" w:cs="Arial"/>
                <w:b/>
                <w:bCs/>
                <w:lang w:val="en-GB" w:eastAsia="en-US"/>
              </w:rPr>
              <w:t>(e.g., electric vehicles, green manufacturing)</w:t>
            </w:r>
          </w:p>
        </w:tc>
      </w:tr>
      <w:tr w:rsidR="0067740A" w14:paraId="4BED4533" w14:textId="77777777">
        <w:tc>
          <w:tcPr>
            <w:tcW w:w="5387" w:type="dxa"/>
          </w:tcPr>
          <w:p w14:paraId="65261C9C"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eastAsiaTheme="minorHAnsi" w:hAnsi="Arial" w:cs="Arial"/>
                <w:lang w:val="en-GB" w:eastAsia="en-US"/>
              </w:rPr>
              <w:t>Not familiar at all</w:t>
            </w:r>
          </w:p>
        </w:tc>
        <w:tc>
          <w:tcPr>
            <w:tcW w:w="3776" w:type="dxa"/>
          </w:tcPr>
          <w:p w14:paraId="022476C6"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r>
      <w:tr w:rsidR="0067740A" w14:paraId="00F3BC05" w14:textId="77777777">
        <w:tc>
          <w:tcPr>
            <w:tcW w:w="5387" w:type="dxa"/>
          </w:tcPr>
          <w:p w14:paraId="68848301"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eastAsiaTheme="minorHAnsi" w:hAnsi="Arial" w:cs="Arial"/>
                <w:lang w:val="en-GB" w:eastAsia="en-US"/>
              </w:rPr>
              <w:t>Slightly familiar</w:t>
            </w:r>
          </w:p>
        </w:tc>
        <w:tc>
          <w:tcPr>
            <w:tcW w:w="3776" w:type="dxa"/>
          </w:tcPr>
          <w:p w14:paraId="3EA2A72A"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r>
      <w:tr w:rsidR="0067740A" w14:paraId="123AE940" w14:textId="77777777">
        <w:tc>
          <w:tcPr>
            <w:tcW w:w="5387" w:type="dxa"/>
          </w:tcPr>
          <w:p w14:paraId="2180C36A"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eastAsiaTheme="minorHAnsi" w:hAnsi="Arial" w:cs="Arial"/>
                <w:lang w:val="en-GB" w:eastAsia="en-US"/>
              </w:rPr>
              <w:t>Somewhat familiar</w:t>
            </w:r>
          </w:p>
        </w:tc>
        <w:tc>
          <w:tcPr>
            <w:tcW w:w="3776" w:type="dxa"/>
          </w:tcPr>
          <w:p w14:paraId="63D58ACE"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r>
      <w:tr w:rsidR="0067740A" w14:paraId="7D5FCD5C" w14:textId="77777777">
        <w:tc>
          <w:tcPr>
            <w:tcW w:w="5387" w:type="dxa"/>
          </w:tcPr>
          <w:p w14:paraId="79130766"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eastAsiaTheme="minorHAnsi" w:hAnsi="Arial" w:cs="Arial"/>
                <w:lang w:val="en-GB" w:eastAsia="en-US"/>
              </w:rPr>
              <w:t>Very familiar</w:t>
            </w:r>
          </w:p>
        </w:tc>
        <w:tc>
          <w:tcPr>
            <w:tcW w:w="3776" w:type="dxa"/>
          </w:tcPr>
          <w:p w14:paraId="6A0FDB5F"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r>
      <w:tr w:rsidR="0067740A" w14:paraId="649712A2" w14:textId="77777777">
        <w:tc>
          <w:tcPr>
            <w:tcW w:w="5387" w:type="dxa"/>
          </w:tcPr>
          <w:p w14:paraId="5F563A4E"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eastAsiaTheme="minorHAnsi" w:hAnsi="Arial" w:cs="Arial"/>
                <w:lang w:val="en-GB" w:eastAsia="en-US"/>
              </w:rPr>
              <w:t>Extremely familiar</w:t>
            </w:r>
          </w:p>
        </w:tc>
        <w:tc>
          <w:tcPr>
            <w:tcW w:w="3776" w:type="dxa"/>
          </w:tcPr>
          <w:p w14:paraId="0A07B428"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r>
    </w:tbl>
    <w:bookmarkEnd w:id="121"/>
    <w:bookmarkEnd w:id="122"/>
    <w:p w14:paraId="12B2C239" w14:textId="77777777" w:rsidR="0067740A" w:rsidRDefault="00000000">
      <w:pPr>
        <w:numPr>
          <w:ilvl w:val="0"/>
          <w:numId w:val="9"/>
        </w:numPr>
        <w:spacing w:before="100" w:beforeAutospacing="1" w:after="100" w:afterAutospacing="1" w:line="360" w:lineRule="auto"/>
        <w:rPr>
          <w:rFonts w:ascii="Arial" w:hAnsi="Arial" w:cs="Arial"/>
        </w:rPr>
      </w:pPr>
      <w:r>
        <w:rPr>
          <w:rFonts w:ascii="Arial" w:hAnsi="Arial" w:cs="Arial"/>
          <w:b/>
          <w:bCs/>
        </w:rPr>
        <w:lastRenderedPageBreak/>
        <w:t>How did you first learn about Volkswagen’s sustainability initiatives? (Select all that apply)</w:t>
      </w:r>
    </w:p>
    <w:tbl>
      <w:tblPr>
        <w:tblStyle w:val="af4"/>
        <w:tblW w:w="0" w:type="auto"/>
        <w:tblInd w:w="-147" w:type="dxa"/>
        <w:tblLook w:val="04A0" w:firstRow="1" w:lastRow="0" w:firstColumn="1" w:lastColumn="0" w:noHBand="0" w:noVBand="1"/>
      </w:tblPr>
      <w:tblGrid>
        <w:gridCol w:w="4655"/>
        <w:gridCol w:w="4508"/>
      </w:tblGrid>
      <w:tr w:rsidR="0067740A" w14:paraId="2EC9EA03" w14:textId="77777777">
        <w:tc>
          <w:tcPr>
            <w:tcW w:w="4655" w:type="dxa"/>
          </w:tcPr>
          <w:p w14:paraId="6ED1B15D"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b/>
                <w:bCs/>
                <w:lang w:val="en-GB" w:eastAsia="en-US"/>
              </w:rPr>
              <w:t>How did you first learn about Volkswagen’s sustainability initiatives?</w:t>
            </w:r>
          </w:p>
        </w:tc>
        <w:tc>
          <w:tcPr>
            <w:tcW w:w="4508" w:type="dxa"/>
          </w:tcPr>
          <w:p w14:paraId="7D8E2083"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hAnsi="Arial" w:cs="Arial"/>
                <w:b/>
                <w:bCs/>
                <w:lang w:val="en-GB" w:eastAsia="en-US"/>
              </w:rPr>
              <w:t>(Select all that apply)</w:t>
            </w:r>
          </w:p>
          <w:p w14:paraId="508238C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51EC0E5A" w14:textId="77777777">
        <w:tc>
          <w:tcPr>
            <w:tcW w:w="4655" w:type="dxa"/>
          </w:tcPr>
          <w:p w14:paraId="13235141"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Social media</w:t>
            </w:r>
          </w:p>
        </w:tc>
        <w:tc>
          <w:tcPr>
            <w:tcW w:w="4508" w:type="dxa"/>
          </w:tcPr>
          <w:p w14:paraId="4CF0EE2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5B28E970" w14:textId="77777777">
        <w:tc>
          <w:tcPr>
            <w:tcW w:w="4655" w:type="dxa"/>
          </w:tcPr>
          <w:p w14:paraId="67EF6C88"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News articles</w:t>
            </w:r>
          </w:p>
        </w:tc>
        <w:tc>
          <w:tcPr>
            <w:tcW w:w="4508" w:type="dxa"/>
          </w:tcPr>
          <w:p w14:paraId="6723957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77D60BD5" w14:textId="77777777">
        <w:tc>
          <w:tcPr>
            <w:tcW w:w="4655" w:type="dxa"/>
          </w:tcPr>
          <w:p w14:paraId="4B906247"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Volkswagen’s advertisements</w:t>
            </w:r>
          </w:p>
        </w:tc>
        <w:tc>
          <w:tcPr>
            <w:tcW w:w="4508" w:type="dxa"/>
          </w:tcPr>
          <w:p w14:paraId="7D17098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21D57E75" w14:textId="77777777">
        <w:tc>
          <w:tcPr>
            <w:tcW w:w="4655" w:type="dxa"/>
          </w:tcPr>
          <w:p w14:paraId="6990F19F"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Environmental organizations</w:t>
            </w:r>
          </w:p>
        </w:tc>
        <w:tc>
          <w:tcPr>
            <w:tcW w:w="4508" w:type="dxa"/>
          </w:tcPr>
          <w:p w14:paraId="78925BB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673DF585" w14:textId="77777777">
        <w:tc>
          <w:tcPr>
            <w:tcW w:w="4655" w:type="dxa"/>
          </w:tcPr>
          <w:p w14:paraId="16611577"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Word of mouth</w:t>
            </w:r>
          </w:p>
        </w:tc>
        <w:tc>
          <w:tcPr>
            <w:tcW w:w="4508" w:type="dxa"/>
          </w:tcPr>
          <w:p w14:paraId="25812A3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6E15120C" w14:textId="77777777">
        <w:tc>
          <w:tcPr>
            <w:tcW w:w="4655" w:type="dxa"/>
          </w:tcPr>
          <w:p w14:paraId="4F00D239"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Other (please specify)</w:t>
            </w:r>
          </w:p>
        </w:tc>
        <w:tc>
          <w:tcPr>
            <w:tcW w:w="4508" w:type="dxa"/>
          </w:tcPr>
          <w:p w14:paraId="6D8DA58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bl>
    <w:p w14:paraId="396251EB" w14:textId="77777777" w:rsidR="0067740A" w:rsidRDefault="00000000">
      <w:pPr>
        <w:numPr>
          <w:ilvl w:val="0"/>
          <w:numId w:val="10"/>
        </w:numPr>
        <w:spacing w:before="100" w:beforeAutospacing="1" w:after="100" w:afterAutospacing="1" w:line="360" w:lineRule="auto"/>
        <w:rPr>
          <w:rFonts w:ascii="Arial" w:hAnsi="Arial" w:cs="Arial"/>
        </w:rPr>
      </w:pPr>
      <w:r>
        <w:rPr>
          <w:rFonts w:ascii="Arial" w:hAnsi="Arial" w:cs="Arial"/>
          <w:b/>
          <w:bCs/>
        </w:rPr>
        <w:t>To what extent do you agree with the following statements? (Strongly Disagree, Disagree, Neutral, Agree, Strongly Agree)</w:t>
      </w:r>
    </w:p>
    <w:tbl>
      <w:tblPr>
        <w:tblStyle w:val="af4"/>
        <w:tblW w:w="8828" w:type="dxa"/>
        <w:tblLook w:val="04A0" w:firstRow="1" w:lastRow="0" w:firstColumn="1" w:lastColumn="0" w:noHBand="0" w:noVBand="1"/>
      </w:tblPr>
      <w:tblGrid>
        <w:gridCol w:w="2704"/>
        <w:gridCol w:w="1230"/>
        <w:gridCol w:w="1230"/>
        <w:gridCol w:w="1087"/>
        <w:gridCol w:w="1085"/>
        <w:gridCol w:w="1492"/>
      </w:tblGrid>
      <w:tr w:rsidR="0067740A" w14:paraId="1072B277" w14:textId="77777777">
        <w:trPr>
          <w:trHeight w:val="1040"/>
        </w:trPr>
        <w:tc>
          <w:tcPr>
            <w:tcW w:w="2713" w:type="dxa"/>
          </w:tcPr>
          <w:p w14:paraId="0BED6C15"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223" w:type="dxa"/>
          </w:tcPr>
          <w:p w14:paraId="2E580E96"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eastAsiaTheme="minorHAnsi" w:hAnsi="Arial" w:cs="Arial"/>
                <w:lang w:val="en-GB" w:eastAsia="en-US"/>
              </w:rPr>
              <w:t xml:space="preserve">0 - </w:t>
            </w:r>
            <w:r>
              <w:rPr>
                <w:rFonts w:ascii="Arial" w:hAnsi="Arial" w:cs="Arial"/>
                <w:b/>
                <w:bCs/>
                <w:lang w:val="en-GB" w:eastAsia="en-US"/>
              </w:rPr>
              <w:t>Strongly Disagree</w:t>
            </w:r>
          </w:p>
        </w:tc>
        <w:tc>
          <w:tcPr>
            <w:tcW w:w="1223" w:type="dxa"/>
          </w:tcPr>
          <w:p w14:paraId="033469BC"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eastAsiaTheme="minorHAnsi" w:hAnsi="Arial" w:cs="Arial"/>
                <w:lang w:val="en-GB" w:eastAsia="en-US"/>
              </w:rPr>
              <w:t xml:space="preserve">1 - </w:t>
            </w:r>
            <w:r>
              <w:rPr>
                <w:rFonts w:ascii="Arial" w:hAnsi="Arial" w:cs="Arial"/>
                <w:b/>
                <w:bCs/>
                <w:lang w:val="en-GB" w:eastAsia="en-US"/>
              </w:rPr>
              <w:t>Disagree</w:t>
            </w:r>
          </w:p>
        </w:tc>
        <w:tc>
          <w:tcPr>
            <w:tcW w:w="1087" w:type="dxa"/>
          </w:tcPr>
          <w:p w14:paraId="0CC91197"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2-</w:t>
            </w:r>
            <w:r>
              <w:rPr>
                <w:rFonts w:ascii="Arial" w:hAnsi="Arial" w:cs="Arial"/>
                <w:b/>
                <w:bCs/>
                <w:lang w:val="en-GB" w:eastAsia="en-US"/>
              </w:rPr>
              <w:t xml:space="preserve"> Neutral</w:t>
            </w:r>
          </w:p>
        </w:tc>
        <w:tc>
          <w:tcPr>
            <w:tcW w:w="1087" w:type="dxa"/>
          </w:tcPr>
          <w:p w14:paraId="18B47B7E"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3-</w:t>
            </w:r>
            <w:r>
              <w:rPr>
                <w:rFonts w:ascii="Arial" w:hAnsi="Arial" w:cs="Arial"/>
                <w:b/>
                <w:bCs/>
                <w:lang w:val="en-GB" w:eastAsia="en-US"/>
              </w:rPr>
              <w:t xml:space="preserve"> Agree</w:t>
            </w:r>
          </w:p>
        </w:tc>
        <w:tc>
          <w:tcPr>
            <w:tcW w:w="1495" w:type="dxa"/>
          </w:tcPr>
          <w:p w14:paraId="5EF24CA1"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lang w:val="en-GB" w:eastAsia="en-US"/>
              </w:rPr>
              <w:t>4 -</w:t>
            </w:r>
            <w:r>
              <w:rPr>
                <w:rFonts w:ascii="Arial" w:hAnsi="Arial" w:cs="Arial"/>
                <w:b/>
                <w:bCs/>
                <w:lang w:val="en-GB" w:eastAsia="en-US"/>
              </w:rPr>
              <w:t xml:space="preserve"> Strongly Agree</w:t>
            </w:r>
          </w:p>
        </w:tc>
      </w:tr>
      <w:tr w:rsidR="0067740A" w14:paraId="44C2F313" w14:textId="77777777">
        <w:trPr>
          <w:trHeight w:val="1931"/>
        </w:trPr>
        <w:tc>
          <w:tcPr>
            <w:tcW w:w="2713" w:type="dxa"/>
          </w:tcPr>
          <w:p w14:paraId="1B3545AA"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Volkswagen’s sustainability initiatives are genuine and not just for marketing purposes.</w:t>
            </w:r>
          </w:p>
        </w:tc>
        <w:tc>
          <w:tcPr>
            <w:tcW w:w="1223" w:type="dxa"/>
          </w:tcPr>
          <w:p w14:paraId="65BE5AB4"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223" w:type="dxa"/>
          </w:tcPr>
          <w:p w14:paraId="52AAA453"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776EE46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743E5FD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95" w:type="dxa"/>
          </w:tcPr>
          <w:p w14:paraId="17EEF1E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70667DC3" w14:textId="77777777">
        <w:trPr>
          <w:trHeight w:val="1589"/>
        </w:trPr>
        <w:tc>
          <w:tcPr>
            <w:tcW w:w="2713" w:type="dxa"/>
          </w:tcPr>
          <w:p w14:paraId="05F3F6AC"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Volkswagen is a leader in the automotive industry in terms of sustainability.</w:t>
            </w:r>
          </w:p>
        </w:tc>
        <w:tc>
          <w:tcPr>
            <w:tcW w:w="1223" w:type="dxa"/>
          </w:tcPr>
          <w:p w14:paraId="7B4AE4F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223" w:type="dxa"/>
          </w:tcPr>
          <w:p w14:paraId="033FF38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476EB3F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7CFC26A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95" w:type="dxa"/>
          </w:tcPr>
          <w:p w14:paraId="706511B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035B4084" w14:textId="77777777">
        <w:trPr>
          <w:trHeight w:val="1277"/>
        </w:trPr>
        <w:tc>
          <w:tcPr>
            <w:tcW w:w="2713" w:type="dxa"/>
          </w:tcPr>
          <w:p w14:paraId="26F396A8"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lastRenderedPageBreak/>
              <w:t>Volkswagen’s electric vehicles are high-quality and reliable.</w:t>
            </w:r>
          </w:p>
        </w:tc>
        <w:tc>
          <w:tcPr>
            <w:tcW w:w="1223" w:type="dxa"/>
          </w:tcPr>
          <w:p w14:paraId="69E7656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223" w:type="dxa"/>
          </w:tcPr>
          <w:p w14:paraId="6D29E6F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7B8FC8E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561A76DE"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95" w:type="dxa"/>
          </w:tcPr>
          <w:p w14:paraId="504F0AB9"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142894A1" w14:textId="77777777">
        <w:trPr>
          <w:trHeight w:val="2112"/>
        </w:trPr>
        <w:tc>
          <w:tcPr>
            <w:tcW w:w="2713" w:type="dxa"/>
          </w:tcPr>
          <w:p w14:paraId="5EC6AB3E"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Volkswagen’s green manufacturing practices make me more likely to buy their products.</w:t>
            </w:r>
          </w:p>
        </w:tc>
        <w:tc>
          <w:tcPr>
            <w:tcW w:w="1223" w:type="dxa"/>
          </w:tcPr>
          <w:p w14:paraId="06A4589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223" w:type="dxa"/>
          </w:tcPr>
          <w:p w14:paraId="69E693D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4DC328F3"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87" w:type="dxa"/>
          </w:tcPr>
          <w:p w14:paraId="5306DDC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95" w:type="dxa"/>
          </w:tcPr>
          <w:p w14:paraId="4977CE0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bl>
    <w:p w14:paraId="73DA9809" w14:textId="77777777" w:rsidR="0067740A" w:rsidRDefault="00000000">
      <w:pPr>
        <w:numPr>
          <w:ilvl w:val="0"/>
          <w:numId w:val="10"/>
        </w:numPr>
        <w:spacing w:before="100" w:beforeAutospacing="1" w:after="100" w:afterAutospacing="1" w:line="360" w:lineRule="auto"/>
        <w:rPr>
          <w:rFonts w:ascii="Arial" w:hAnsi="Arial" w:cs="Arial"/>
        </w:rPr>
      </w:pPr>
      <w:r>
        <w:rPr>
          <w:rFonts w:ascii="Arial" w:hAnsi="Arial" w:cs="Arial"/>
          <w:b/>
          <w:bCs/>
        </w:rPr>
        <w:t>How important are the following factors to you when purchasing a vehicle? (Not Important, Slightly Important, Moderately Important, Very Important, Extremely Important)</w:t>
      </w:r>
    </w:p>
    <w:tbl>
      <w:tblPr>
        <w:tblStyle w:val="af4"/>
        <w:tblW w:w="0" w:type="auto"/>
        <w:tblLook w:val="04A0" w:firstRow="1" w:lastRow="0" w:firstColumn="1" w:lastColumn="0" w:noHBand="0" w:noVBand="1"/>
      </w:tblPr>
      <w:tblGrid>
        <w:gridCol w:w="1833"/>
        <w:gridCol w:w="876"/>
        <w:gridCol w:w="1289"/>
        <w:gridCol w:w="1289"/>
        <w:gridCol w:w="1445"/>
        <w:gridCol w:w="1289"/>
        <w:gridCol w:w="1329"/>
      </w:tblGrid>
      <w:tr w:rsidR="0067740A" w14:paraId="0C104497" w14:textId="77777777">
        <w:tc>
          <w:tcPr>
            <w:tcW w:w="2033" w:type="dxa"/>
          </w:tcPr>
          <w:p w14:paraId="24079046" w14:textId="77777777" w:rsidR="0067740A" w:rsidRDefault="0067740A">
            <w:pPr>
              <w:spacing w:line="360" w:lineRule="auto"/>
              <w:rPr>
                <w:rFonts w:ascii="Arial" w:eastAsiaTheme="minorHAnsi" w:hAnsi="Arial" w:cs="Arial"/>
                <w:lang w:val="en-GB" w:eastAsia="en-US"/>
              </w:rPr>
            </w:pPr>
          </w:p>
        </w:tc>
        <w:tc>
          <w:tcPr>
            <w:tcW w:w="805" w:type="dxa"/>
          </w:tcPr>
          <w:p w14:paraId="5136A2C6"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0 - Not aware of</w:t>
            </w:r>
          </w:p>
        </w:tc>
        <w:tc>
          <w:tcPr>
            <w:tcW w:w="1552" w:type="dxa"/>
          </w:tcPr>
          <w:p w14:paraId="380F5B80"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1 -Not important</w:t>
            </w:r>
          </w:p>
        </w:tc>
        <w:tc>
          <w:tcPr>
            <w:tcW w:w="859" w:type="dxa"/>
          </w:tcPr>
          <w:p w14:paraId="4036019C"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2 -</w:t>
            </w:r>
            <w:r>
              <w:rPr>
                <w:rFonts w:ascii="Arial" w:hAnsi="Arial" w:cs="Arial"/>
                <w:b/>
                <w:bCs/>
                <w:lang w:val="en-GB" w:eastAsia="en-US"/>
              </w:rPr>
              <w:t xml:space="preserve"> Slightly Important</w:t>
            </w:r>
          </w:p>
        </w:tc>
        <w:tc>
          <w:tcPr>
            <w:tcW w:w="1331" w:type="dxa"/>
          </w:tcPr>
          <w:p w14:paraId="72E89BC7"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 xml:space="preserve">3 – Moderately </w:t>
            </w:r>
            <w:proofErr w:type="spellStart"/>
            <w:r>
              <w:rPr>
                <w:rFonts w:ascii="Arial" w:eastAsiaTheme="minorHAnsi" w:hAnsi="Arial" w:cs="Arial"/>
                <w:b/>
                <w:bCs/>
                <w:lang w:val="en-GB" w:eastAsia="en-US"/>
              </w:rPr>
              <w:t>improtant</w:t>
            </w:r>
            <w:proofErr w:type="spellEnd"/>
          </w:p>
        </w:tc>
        <w:tc>
          <w:tcPr>
            <w:tcW w:w="1218" w:type="dxa"/>
          </w:tcPr>
          <w:p w14:paraId="60AD26E3"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4-</w:t>
            </w:r>
            <w:r>
              <w:rPr>
                <w:rFonts w:ascii="Arial" w:hAnsi="Arial" w:cs="Arial"/>
                <w:b/>
                <w:bCs/>
                <w:lang w:val="en-GB" w:eastAsia="en-US"/>
              </w:rPr>
              <w:t xml:space="preserve"> Very Important</w:t>
            </w:r>
          </w:p>
        </w:tc>
        <w:tc>
          <w:tcPr>
            <w:tcW w:w="1218" w:type="dxa"/>
          </w:tcPr>
          <w:p w14:paraId="6DB9CD92"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5 –Extremely important</w:t>
            </w:r>
          </w:p>
        </w:tc>
      </w:tr>
      <w:tr w:rsidR="0067740A" w14:paraId="37C74137" w14:textId="77777777">
        <w:trPr>
          <w:trHeight w:val="317"/>
        </w:trPr>
        <w:tc>
          <w:tcPr>
            <w:tcW w:w="2033" w:type="dxa"/>
          </w:tcPr>
          <w:p w14:paraId="67241392"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Price</w:t>
            </w:r>
          </w:p>
        </w:tc>
        <w:tc>
          <w:tcPr>
            <w:tcW w:w="805" w:type="dxa"/>
          </w:tcPr>
          <w:p w14:paraId="6E0FA326" w14:textId="77777777" w:rsidR="0067740A" w:rsidRDefault="0067740A">
            <w:pPr>
              <w:spacing w:line="360" w:lineRule="auto"/>
              <w:rPr>
                <w:rFonts w:ascii="Arial" w:eastAsiaTheme="minorHAnsi" w:hAnsi="Arial" w:cs="Arial"/>
                <w:lang w:val="en-GB" w:eastAsia="en-US"/>
              </w:rPr>
            </w:pPr>
          </w:p>
        </w:tc>
        <w:tc>
          <w:tcPr>
            <w:tcW w:w="1552" w:type="dxa"/>
          </w:tcPr>
          <w:p w14:paraId="68F2E436" w14:textId="77777777" w:rsidR="0067740A" w:rsidRDefault="0067740A">
            <w:pPr>
              <w:spacing w:line="360" w:lineRule="auto"/>
              <w:rPr>
                <w:rFonts w:ascii="Arial" w:eastAsiaTheme="minorHAnsi" w:hAnsi="Arial" w:cs="Arial"/>
                <w:lang w:val="en-GB" w:eastAsia="en-US"/>
              </w:rPr>
            </w:pPr>
          </w:p>
        </w:tc>
        <w:tc>
          <w:tcPr>
            <w:tcW w:w="859" w:type="dxa"/>
          </w:tcPr>
          <w:p w14:paraId="4929CBC0" w14:textId="77777777" w:rsidR="0067740A" w:rsidRDefault="0067740A">
            <w:pPr>
              <w:spacing w:line="360" w:lineRule="auto"/>
              <w:rPr>
                <w:rFonts w:ascii="Arial" w:eastAsiaTheme="minorHAnsi" w:hAnsi="Arial" w:cs="Arial"/>
                <w:lang w:val="en-GB" w:eastAsia="en-US"/>
              </w:rPr>
            </w:pPr>
          </w:p>
        </w:tc>
        <w:tc>
          <w:tcPr>
            <w:tcW w:w="1331" w:type="dxa"/>
          </w:tcPr>
          <w:p w14:paraId="637A604F" w14:textId="77777777" w:rsidR="0067740A" w:rsidRDefault="0067740A">
            <w:pPr>
              <w:spacing w:line="360" w:lineRule="auto"/>
              <w:rPr>
                <w:rFonts w:ascii="Arial" w:eastAsiaTheme="minorHAnsi" w:hAnsi="Arial" w:cs="Arial"/>
                <w:lang w:val="en-GB" w:eastAsia="en-US"/>
              </w:rPr>
            </w:pPr>
          </w:p>
        </w:tc>
        <w:tc>
          <w:tcPr>
            <w:tcW w:w="1218" w:type="dxa"/>
          </w:tcPr>
          <w:p w14:paraId="68CDB58D" w14:textId="77777777" w:rsidR="0067740A" w:rsidRDefault="0067740A">
            <w:pPr>
              <w:spacing w:line="360" w:lineRule="auto"/>
              <w:rPr>
                <w:rFonts w:ascii="Arial" w:eastAsiaTheme="minorHAnsi" w:hAnsi="Arial" w:cs="Arial"/>
                <w:lang w:val="en-GB" w:eastAsia="en-US"/>
              </w:rPr>
            </w:pPr>
          </w:p>
        </w:tc>
        <w:tc>
          <w:tcPr>
            <w:tcW w:w="1218" w:type="dxa"/>
          </w:tcPr>
          <w:p w14:paraId="36BACFEB" w14:textId="77777777" w:rsidR="0067740A" w:rsidRDefault="0067740A">
            <w:pPr>
              <w:spacing w:line="360" w:lineRule="auto"/>
              <w:rPr>
                <w:rFonts w:ascii="Arial" w:eastAsiaTheme="minorHAnsi" w:hAnsi="Arial" w:cs="Arial"/>
                <w:lang w:val="en-GB" w:eastAsia="en-US"/>
              </w:rPr>
            </w:pPr>
          </w:p>
        </w:tc>
      </w:tr>
      <w:tr w:rsidR="0067740A" w14:paraId="65336CBF" w14:textId="77777777">
        <w:tc>
          <w:tcPr>
            <w:tcW w:w="2033" w:type="dxa"/>
          </w:tcPr>
          <w:p w14:paraId="721DA276"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Brand Reputation</w:t>
            </w:r>
          </w:p>
        </w:tc>
        <w:tc>
          <w:tcPr>
            <w:tcW w:w="805" w:type="dxa"/>
          </w:tcPr>
          <w:p w14:paraId="75EE6DA5" w14:textId="77777777" w:rsidR="0067740A" w:rsidRDefault="0067740A">
            <w:pPr>
              <w:spacing w:line="360" w:lineRule="auto"/>
              <w:rPr>
                <w:rFonts w:ascii="Arial" w:eastAsiaTheme="minorHAnsi" w:hAnsi="Arial" w:cs="Arial"/>
                <w:lang w:val="en-GB" w:eastAsia="en-US"/>
              </w:rPr>
            </w:pPr>
          </w:p>
        </w:tc>
        <w:tc>
          <w:tcPr>
            <w:tcW w:w="1552" w:type="dxa"/>
          </w:tcPr>
          <w:p w14:paraId="56F1389E" w14:textId="77777777" w:rsidR="0067740A" w:rsidRDefault="0067740A">
            <w:pPr>
              <w:spacing w:line="360" w:lineRule="auto"/>
              <w:rPr>
                <w:rFonts w:ascii="Arial" w:eastAsiaTheme="minorHAnsi" w:hAnsi="Arial" w:cs="Arial"/>
                <w:lang w:val="en-GB" w:eastAsia="en-US"/>
              </w:rPr>
            </w:pPr>
          </w:p>
        </w:tc>
        <w:tc>
          <w:tcPr>
            <w:tcW w:w="859" w:type="dxa"/>
          </w:tcPr>
          <w:p w14:paraId="7F15F1F7" w14:textId="77777777" w:rsidR="0067740A" w:rsidRDefault="0067740A">
            <w:pPr>
              <w:spacing w:line="360" w:lineRule="auto"/>
              <w:rPr>
                <w:rFonts w:ascii="Arial" w:eastAsiaTheme="minorHAnsi" w:hAnsi="Arial" w:cs="Arial"/>
                <w:lang w:val="en-GB" w:eastAsia="en-US"/>
              </w:rPr>
            </w:pPr>
          </w:p>
        </w:tc>
        <w:tc>
          <w:tcPr>
            <w:tcW w:w="1331" w:type="dxa"/>
          </w:tcPr>
          <w:p w14:paraId="07F09881" w14:textId="77777777" w:rsidR="0067740A" w:rsidRDefault="0067740A">
            <w:pPr>
              <w:spacing w:line="360" w:lineRule="auto"/>
              <w:rPr>
                <w:rFonts w:ascii="Arial" w:eastAsiaTheme="minorHAnsi" w:hAnsi="Arial" w:cs="Arial"/>
                <w:lang w:val="en-GB" w:eastAsia="en-US"/>
              </w:rPr>
            </w:pPr>
          </w:p>
        </w:tc>
        <w:tc>
          <w:tcPr>
            <w:tcW w:w="1218" w:type="dxa"/>
          </w:tcPr>
          <w:p w14:paraId="3417456F" w14:textId="77777777" w:rsidR="0067740A" w:rsidRDefault="0067740A">
            <w:pPr>
              <w:spacing w:line="360" w:lineRule="auto"/>
              <w:rPr>
                <w:rFonts w:ascii="Arial" w:eastAsiaTheme="minorHAnsi" w:hAnsi="Arial" w:cs="Arial"/>
                <w:lang w:val="en-GB" w:eastAsia="en-US"/>
              </w:rPr>
            </w:pPr>
          </w:p>
        </w:tc>
        <w:tc>
          <w:tcPr>
            <w:tcW w:w="1218" w:type="dxa"/>
          </w:tcPr>
          <w:p w14:paraId="7BCF927B" w14:textId="77777777" w:rsidR="0067740A" w:rsidRDefault="0067740A">
            <w:pPr>
              <w:spacing w:line="360" w:lineRule="auto"/>
              <w:rPr>
                <w:rFonts w:ascii="Arial" w:eastAsiaTheme="minorHAnsi" w:hAnsi="Arial" w:cs="Arial"/>
                <w:lang w:val="en-GB" w:eastAsia="en-US"/>
              </w:rPr>
            </w:pPr>
          </w:p>
        </w:tc>
      </w:tr>
      <w:tr w:rsidR="0067740A" w14:paraId="5F0D27EF" w14:textId="77777777">
        <w:trPr>
          <w:trHeight w:val="435"/>
        </w:trPr>
        <w:tc>
          <w:tcPr>
            <w:tcW w:w="2033" w:type="dxa"/>
          </w:tcPr>
          <w:p w14:paraId="00DFC32B" w14:textId="77777777" w:rsidR="0067740A" w:rsidRDefault="00000000">
            <w:pPr>
              <w:spacing w:line="360" w:lineRule="auto"/>
              <w:rPr>
                <w:rFonts w:ascii="Arial" w:eastAsiaTheme="minorHAnsi" w:hAnsi="Arial" w:cs="Arial"/>
                <w:b/>
                <w:bCs/>
                <w:lang w:val="en-GB" w:eastAsia="en-US"/>
              </w:rPr>
            </w:pPr>
            <w:r>
              <w:rPr>
                <w:rFonts w:ascii="Arial" w:eastAsiaTheme="minorHAnsi" w:hAnsi="Arial" w:cs="Arial"/>
                <w:b/>
                <w:bCs/>
                <w:lang w:val="en-GB" w:eastAsia="en-US"/>
              </w:rPr>
              <w:t xml:space="preserve">Fuel </w:t>
            </w:r>
            <w:proofErr w:type="spellStart"/>
            <w:r>
              <w:rPr>
                <w:rFonts w:ascii="Arial" w:eastAsiaTheme="minorHAnsi" w:hAnsi="Arial" w:cs="Arial"/>
                <w:b/>
                <w:bCs/>
                <w:lang w:val="en-GB" w:eastAsia="en-US"/>
              </w:rPr>
              <w:t>Efficinecy</w:t>
            </w:r>
            <w:proofErr w:type="spellEnd"/>
          </w:p>
        </w:tc>
        <w:tc>
          <w:tcPr>
            <w:tcW w:w="805" w:type="dxa"/>
          </w:tcPr>
          <w:p w14:paraId="234EEBB1" w14:textId="77777777" w:rsidR="0067740A" w:rsidRDefault="0067740A">
            <w:pPr>
              <w:spacing w:line="360" w:lineRule="auto"/>
              <w:rPr>
                <w:rFonts w:ascii="Arial" w:eastAsiaTheme="minorHAnsi" w:hAnsi="Arial" w:cs="Arial"/>
                <w:lang w:val="en-GB" w:eastAsia="en-US"/>
              </w:rPr>
            </w:pPr>
          </w:p>
        </w:tc>
        <w:tc>
          <w:tcPr>
            <w:tcW w:w="1552" w:type="dxa"/>
          </w:tcPr>
          <w:p w14:paraId="25B49914" w14:textId="77777777" w:rsidR="0067740A" w:rsidRDefault="0067740A">
            <w:pPr>
              <w:spacing w:line="360" w:lineRule="auto"/>
              <w:rPr>
                <w:rFonts w:ascii="Arial" w:eastAsiaTheme="minorHAnsi" w:hAnsi="Arial" w:cs="Arial"/>
                <w:lang w:val="en-GB" w:eastAsia="en-US"/>
              </w:rPr>
            </w:pPr>
          </w:p>
        </w:tc>
        <w:tc>
          <w:tcPr>
            <w:tcW w:w="859" w:type="dxa"/>
          </w:tcPr>
          <w:p w14:paraId="1C6166F4" w14:textId="77777777" w:rsidR="0067740A" w:rsidRDefault="0067740A">
            <w:pPr>
              <w:spacing w:line="360" w:lineRule="auto"/>
              <w:rPr>
                <w:rFonts w:ascii="Arial" w:eastAsiaTheme="minorHAnsi" w:hAnsi="Arial" w:cs="Arial"/>
                <w:lang w:val="en-GB" w:eastAsia="en-US"/>
              </w:rPr>
            </w:pPr>
          </w:p>
        </w:tc>
        <w:tc>
          <w:tcPr>
            <w:tcW w:w="1331" w:type="dxa"/>
          </w:tcPr>
          <w:p w14:paraId="5FB74FD4" w14:textId="77777777" w:rsidR="0067740A" w:rsidRDefault="0067740A">
            <w:pPr>
              <w:spacing w:line="360" w:lineRule="auto"/>
              <w:rPr>
                <w:rFonts w:ascii="Arial" w:eastAsiaTheme="minorHAnsi" w:hAnsi="Arial" w:cs="Arial"/>
                <w:lang w:val="en-GB" w:eastAsia="en-US"/>
              </w:rPr>
            </w:pPr>
          </w:p>
        </w:tc>
        <w:tc>
          <w:tcPr>
            <w:tcW w:w="1218" w:type="dxa"/>
          </w:tcPr>
          <w:p w14:paraId="167E6E85" w14:textId="77777777" w:rsidR="0067740A" w:rsidRDefault="0067740A">
            <w:pPr>
              <w:spacing w:line="360" w:lineRule="auto"/>
              <w:rPr>
                <w:rFonts w:ascii="Arial" w:eastAsiaTheme="minorHAnsi" w:hAnsi="Arial" w:cs="Arial"/>
                <w:lang w:val="en-GB" w:eastAsia="en-US"/>
              </w:rPr>
            </w:pPr>
          </w:p>
        </w:tc>
        <w:tc>
          <w:tcPr>
            <w:tcW w:w="1218" w:type="dxa"/>
          </w:tcPr>
          <w:p w14:paraId="0B628ECE" w14:textId="77777777" w:rsidR="0067740A" w:rsidRDefault="0067740A">
            <w:pPr>
              <w:spacing w:line="360" w:lineRule="auto"/>
              <w:rPr>
                <w:rFonts w:ascii="Arial" w:eastAsiaTheme="minorHAnsi" w:hAnsi="Arial" w:cs="Arial"/>
                <w:lang w:val="en-GB" w:eastAsia="en-US"/>
              </w:rPr>
            </w:pPr>
          </w:p>
        </w:tc>
      </w:tr>
      <w:tr w:rsidR="0067740A" w14:paraId="095421D4" w14:textId="77777777">
        <w:trPr>
          <w:trHeight w:val="608"/>
        </w:trPr>
        <w:tc>
          <w:tcPr>
            <w:tcW w:w="2033" w:type="dxa"/>
          </w:tcPr>
          <w:p w14:paraId="16C1F762"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Environmental impact</w:t>
            </w:r>
          </w:p>
        </w:tc>
        <w:tc>
          <w:tcPr>
            <w:tcW w:w="805" w:type="dxa"/>
          </w:tcPr>
          <w:p w14:paraId="2A3C323C" w14:textId="77777777" w:rsidR="0067740A" w:rsidRDefault="0067740A">
            <w:pPr>
              <w:spacing w:line="360" w:lineRule="auto"/>
              <w:rPr>
                <w:rFonts w:ascii="Arial" w:eastAsiaTheme="minorHAnsi" w:hAnsi="Arial" w:cs="Arial"/>
                <w:lang w:val="en-GB" w:eastAsia="en-US"/>
              </w:rPr>
            </w:pPr>
          </w:p>
        </w:tc>
        <w:tc>
          <w:tcPr>
            <w:tcW w:w="1552" w:type="dxa"/>
          </w:tcPr>
          <w:p w14:paraId="625FF426" w14:textId="77777777" w:rsidR="0067740A" w:rsidRDefault="0067740A">
            <w:pPr>
              <w:spacing w:line="360" w:lineRule="auto"/>
              <w:rPr>
                <w:rFonts w:ascii="Arial" w:eastAsiaTheme="minorHAnsi" w:hAnsi="Arial" w:cs="Arial"/>
                <w:lang w:val="en-GB" w:eastAsia="en-US"/>
              </w:rPr>
            </w:pPr>
          </w:p>
        </w:tc>
        <w:tc>
          <w:tcPr>
            <w:tcW w:w="859" w:type="dxa"/>
          </w:tcPr>
          <w:p w14:paraId="1626332B" w14:textId="77777777" w:rsidR="0067740A" w:rsidRDefault="0067740A">
            <w:pPr>
              <w:spacing w:line="360" w:lineRule="auto"/>
              <w:rPr>
                <w:rFonts w:ascii="Arial" w:eastAsiaTheme="minorHAnsi" w:hAnsi="Arial" w:cs="Arial"/>
                <w:lang w:val="en-GB" w:eastAsia="en-US"/>
              </w:rPr>
            </w:pPr>
          </w:p>
        </w:tc>
        <w:tc>
          <w:tcPr>
            <w:tcW w:w="1331" w:type="dxa"/>
          </w:tcPr>
          <w:p w14:paraId="5285B889" w14:textId="77777777" w:rsidR="0067740A" w:rsidRDefault="0067740A">
            <w:pPr>
              <w:spacing w:line="360" w:lineRule="auto"/>
              <w:rPr>
                <w:rFonts w:ascii="Arial" w:eastAsiaTheme="minorHAnsi" w:hAnsi="Arial" w:cs="Arial"/>
                <w:lang w:val="en-GB" w:eastAsia="en-US"/>
              </w:rPr>
            </w:pPr>
          </w:p>
        </w:tc>
        <w:tc>
          <w:tcPr>
            <w:tcW w:w="1218" w:type="dxa"/>
          </w:tcPr>
          <w:p w14:paraId="6F053749" w14:textId="77777777" w:rsidR="0067740A" w:rsidRDefault="0067740A">
            <w:pPr>
              <w:spacing w:line="360" w:lineRule="auto"/>
              <w:rPr>
                <w:rFonts w:ascii="Arial" w:eastAsiaTheme="minorHAnsi" w:hAnsi="Arial" w:cs="Arial"/>
                <w:lang w:val="en-GB" w:eastAsia="en-US"/>
              </w:rPr>
            </w:pPr>
          </w:p>
        </w:tc>
        <w:tc>
          <w:tcPr>
            <w:tcW w:w="1218" w:type="dxa"/>
          </w:tcPr>
          <w:p w14:paraId="3626CB5B" w14:textId="77777777" w:rsidR="0067740A" w:rsidRDefault="0067740A">
            <w:pPr>
              <w:spacing w:line="360" w:lineRule="auto"/>
              <w:rPr>
                <w:rFonts w:ascii="Arial" w:eastAsiaTheme="minorHAnsi" w:hAnsi="Arial" w:cs="Arial"/>
                <w:lang w:val="en-GB" w:eastAsia="en-US"/>
              </w:rPr>
            </w:pPr>
          </w:p>
        </w:tc>
      </w:tr>
      <w:tr w:rsidR="0067740A" w14:paraId="35A26156" w14:textId="77777777">
        <w:tc>
          <w:tcPr>
            <w:tcW w:w="2033" w:type="dxa"/>
          </w:tcPr>
          <w:p w14:paraId="7BA2653B"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Safety features</w:t>
            </w:r>
          </w:p>
        </w:tc>
        <w:tc>
          <w:tcPr>
            <w:tcW w:w="805" w:type="dxa"/>
          </w:tcPr>
          <w:p w14:paraId="20127083" w14:textId="77777777" w:rsidR="0067740A" w:rsidRDefault="0067740A">
            <w:pPr>
              <w:spacing w:line="360" w:lineRule="auto"/>
              <w:rPr>
                <w:rFonts w:ascii="Arial" w:eastAsiaTheme="minorHAnsi" w:hAnsi="Arial" w:cs="Arial"/>
                <w:lang w:val="en-GB" w:eastAsia="en-US"/>
              </w:rPr>
            </w:pPr>
          </w:p>
        </w:tc>
        <w:tc>
          <w:tcPr>
            <w:tcW w:w="1552" w:type="dxa"/>
          </w:tcPr>
          <w:p w14:paraId="7E73109A" w14:textId="77777777" w:rsidR="0067740A" w:rsidRDefault="0067740A">
            <w:pPr>
              <w:spacing w:line="360" w:lineRule="auto"/>
              <w:rPr>
                <w:rFonts w:ascii="Arial" w:eastAsiaTheme="minorHAnsi" w:hAnsi="Arial" w:cs="Arial"/>
                <w:lang w:val="en-GB" w:eastAsia="en-US"/>
              </w:rPr>
            </w:pPr>
          </w:p>
        </w:tc>
        <w:tc>
          <w:tcPr>
            <w:tcW w:w="859" w:type="dxa"/>
          </w:tcPr>
          <w:p w14:paraId="1F50DAEF" w14:textId="77777777" w:rsidR="0067740A" w:rsidRDefault="0067740A">
            <w:pPr>
              <w:spacing w:line="360" w:lineRule="auto"/>
              <w:rPr>
                <w:rFonts w:ascii="Arial" w:eastAsiaTheme="minorHAnsi" w:hAnsi="Arial" w:cs="Arial"/>
                <w:lang w:val="en-GB" w:eastAsia="en-US"/>
              </w:rPr>
            </w:pPr>
          </w:p>
        </w:tc>
        <w:tc>
          <w:tcPr>
            <w:tcW w:w="1331" w:type="dxa"/>
          </w:tcPr>
          <w:p w14:paraId="7BEBC761" w14:textId="77777777" w:rsidR="0067740A" w:rsidRDefault="0067740A">
            <w:pPr>
              <w:spacing w:line="360" w:lineRule="auto"/>
              <w:rPr>
                <w:rFonts w:ascii="Arial" w:eastAsiaTheme="minorHAnsi" w:hAnsi="Arial" w:cs="Arial"/>
                <w:lang w:val="en-GB" w:eastAsia="en-US"/>
              </w:rPr>
            </w:pPr>
          </w:p>
        </w:tc>
        <w:tc>
          <w:tcPr>
            <w:tcW w:w="1218" w:type="dxa"/>
          </w:tcPr>
          <w:p w14:paraId="1F4CDC29" w14:textId="77777777" w:rsidR="0067740A" w:rsidRDefault="0067740A">
            <w:pPr>
              <w:spacing w:line="360" w:lineRule="auto"/>
              <w:rPr>
                <w:rFonts w:ascii="Arial" w:eastAsiaTheme="minorHAnsi" w:hAnsi="Arial" w:cs="Arial"/>
                <w:lang w:val="en-GB" w:eastAsia="en-US"/>
              </w:rPr>
            </w:pPr>
          </w:p>
        </w:tc>
        <w:tc>
          <w:tcPr>
            <w:tcW w:w="1218" w:type="dxa"/>
          </w:tcPr>
          <w:p w14:paraId="62A6D766" w14:textId="77777777" w:rsidR="0067740A" w:rsidRDefault="0067740A">
            <w:pPr>
              <w:spacing w:line="360" w:lineRule="auto"/>
              <w:rPr>
                <w:rFonts w:ascii="Arial" w:eastAsiaTheme="minorHAnsi" w:hAnsi="Arial" w:cs="Arial"/>
                <w:lang w:val="en-GB" w:eastAsia="en-US"/>
              </w:rPr>
            </w:pPr>
          </w:p>
        </w:tc>
      </w:tr>
      <w:tr w:rsidR="0067740A" w14:paraId="508E7FD1" w14:textId="77777777">
        <w:tc>
          <w:tcPr>
            <w:tcW w:w="2033" w:type="dxa"/>
          </w:tcPr>
          <w:p w14:paraId="317CEEB1"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 xml:space="preserve">Technological innovation (e.g., autonomous </w:t>
            </w:r>
            <w:r>
              <w:rPr>
                <w:rFonts w:ascii="Arial" w:hAnsi="Arial" w:cs="Arial"/>
                <w:b/>
                <w:bCs/>
                <w:lang w:val="en-GB" w:eastAsia="en-US"/>
              </w:rPr>
              <w:lastRenderedPageBreak/>
              <w:t>driving, connectivity)</w:t>
            </w:r>
          </w:p>
        </w:tc>
        <w:tc>
          <w:tcPr>
            <w:tcW w:w="805" w:type="dxa"/>
          </w:tcPr>
          <w:p w14:paraId="20DDDCF6" w14:textId="77777777" w:rsidR="0067740A" w:rsidRDefault="0067740A">
            <w:pPr>
              <w:spacing w:line="360" w:lineRule="auto"/>
              <w:rPr>
                <w:rFonts w:ascii="Arial" w:eastAsiaTheme="minorHAnsi" w:hAnsi="Arial" w:cs="Arial"/>
                <w:lang w:val="en-GB" w:eastAsia="en-US"/>
              </w:rPr>
            </w:pPr>
          </w:p>
        </w:tc>
        <w:tc>
          <w:tcPr>
            <w:tcW w:w="1552" w:type="dxa"/>
          </w:tcPr>
          <w:p w14:paraId="7A7288FA" w14:textId="77777777" w:rsidR="0067740A" w:rsidRDefault="0067740A">
            <w:pPr>
              <w:spacing w:line="360" w:lineRule="auto"/>
              <w:rPr>
                <w:rFonts w:ascii="Arial" w:eastAsiaTheme="minorHAnsi" w:hAnsi="Arial" w:cs="Arial"/>
                <w:lang w:val="en-GB" w:eastAsia="en-US"/>
              </w:rPr>
            </w:pPr>
          </w:p>
        </w:tc>
        <w:tc>
          <w:tcPr>
            <w:tcW w:w="859" w:type="dxa"/>
          </w:tcPr>
          <w:p w14:paraId="16FDE731" w14:textId="77777777" w:rsidR="0067740A" w:rsidRDefault="0067740A">
            <w:pPr>
              <w:spacing w:line="360" w:lineRule="auto"/>
              <w:rPr>
                <w:rFonts w:ascii="Arial" w:eastAsiaTheme="minorHAnsi" w:hAnsi="Arial" w:cs="Arial"/>
                <w:lang w:val="en-GB" w:eastAsia="en-US"/>
              </w:rPr>
            </w:pPr>
          </w:p>
        </w:tc>
        <w:tc>
          <w:tcPr>
            <w:tcW w:w="1331" w:type="dxa"/>
          </w:tcPr>
          <w:p w14:paraId="259B0CC2" w14:textId="77777777" w:rsidR="0067740A" w:rsidRDefault="0067740A">
            <w:pPr>
              <w:spacing w:line="360" w:lineRule="auto"/>
              <w:rPr>
                <w:rFonts w:ascii="Arial" w:eastAsiaTheme="minorHAnsi" w:hAnsi="Arial" w:cs="Arial"/>
                <w:lang w:val="en-GB" w:eastAsia="en-US"/>
              </w:rPr>
            </w:pPr>
          </w:p>
        </w:tc>
        <w:tc>
          <w:tcPr>
            <w:tcW w:w="1218" w:type="dxa"/>
          </w:tcPr>
          <w:p w14:paraId="48452CAB" w14:textId="77777777" w:rsidR="0067740A" w:rsidRDefault="0067740A">
            <w:pPr>
              <w:spacing w:line="360" w:lineRule="auto"/>
              <w:rPr>
                <w:rFonts w:ascii="Arial" w:eastAsiaTheme="minorHAnsi" w:hAnsi="Arial" w:cs="Arial"/>
                <w:lang w:val="en-GB" w:eastAsia="en-US"/>
              </w:rPr>
            </w:pPr>
          </w:p>
        </w:tc>
        <w:tc>
          <w:tcPr>
            <w:tcW w:w="1218" w:type="dxa"/>
          </w:tcPr>
          <w:p w14:paraId="20CF6CD2" w14:textId="77777777" w:rsidR="0067740A" w:rsidRDefault="0067740A">
            <w:pPr>
              <w:spacing w:line="360" w:lineRule="auto"/>
              <w:rPr>
                <w:rFonts w:ascii="Arial" w:eastAsiaTheme="minorHAnsi" w:hAnsi="Arial" w:cs="Arial"/>
                <w:lang w:val="en-GB" w:eastAsia="en-US"/>
              </w:rPr>
            </w:pPr>
          </w:p>
        </w:tc>
      </w:tr>
    </w:tbl>
    <w:p w14:paraId="05CA525E" w14:textId="77777777" w:rsidR="0067740A" w:rsidRDefault="00000000">
      <w:pPr>
        <w:numPr>
          <w:ilvl w:val="0"/>
          <w:numId w:val="10"/>
        </w:numPr>
        <w:spacing w:before="100" w:beforeAutospacing="1" w:after="100" w:afterAutospacing="1" w:line="360" w:lineRule="auto"/>
        <w:rPr>
          <w:rFonts w:ascii="Arial" w:hAnsi="Arial" w:cs="Arial"/>
        </w:rPr>
      </w:pPr>
      <w:r>
        <w:rPr>
          <w:rFonts w:ascii="Arial" w:hAnsi="Arial" w:cs="Arial"/>
          <w:b/>
          <w:bCs/>
        </w:rPr>
        <w:t>How do you rate Volkswagen’s performance in the following areas? (Poor, Fair, Good, Very Good, Excellent)</w:t>
      </w:r>
    </w:p>
    <w:tbl>
      <w:tblPr>
        <w:tblStyle w:val="af4"/>
        <w:tblW w:w="0" w:type="auto"/>
        <w:tblLook w:val="04A0" w:firstRow="1" w:lastRow="0" w:firstColumn="1" w:lastColumn="0" w:noHBand="0" w:noVBand="1"/>
      </w:tblPr>
      <w:tblGrid>
        <w:gridCol w:w="1883"/>
        <w:gridCol w:w="1491"/>
        <w:gridCol w:w="1490"/>
        <w:gridCol w:w="1493"/>
        <w:gridCol w:w="1493"/>
        <w:gridCol w:w="1500"/>
      </w:tblGrid>
      <w:tr w:rsidR="0067740A" w14:paraId="5938883A" w14:textId="77777777">
        <w:tc>
          <w:tcPr>
            <w:tcW w:w="1502" w:type="dxa"/>
          </w:tcPr>
          <w:p w14:paraId="3DC680A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2" w:type="dxa"/>
          </w:tcPr>
          <w:p w14:paraId="0342F385"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0-Poor</w:t>
            </w:r>
          </w:p>
        </w:tc>
        <w:tc>
          <w:tcPr>
            <w:tcW w:w="1503" w:type="dxa"/>
          </w:tcPr>
          <w:p w14:paraId="3A84EF29"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1-Fair</w:t>
            </w:r>
          </w:p>
        </w:tc>
        <w:tc>
          <w:tcPr>
            <w:tcW w:w="1503" w:type="dxa"/>
          </w:tcPr>
          <w:p w14:paraId="18D7DA6E"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2-Good</w:t>
            </w:r>
          </w:p>
        </w:tc>
        <w:tc>
          <w:tcPr>
            <w:tcW w:w="1503" w:type="dxa"/>
          </w:tcPr>
          <w:p w14:paraId="2BE372F9"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3-Very good</w:t>
            </w:r>
          </w:p>
        </w:tc>
        <w:tc>
          <w:tcPr>
            <w:tcW w:w="1503" w:type="dxa"/>
          </w:tcPr>
          <w:p w14:paraId="4FBE7919"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4-Excellent</w:t>
            </w:r>
          </w:p>
        </w:tc>
      </w:tr>
      <w:tr w:rsidR="0067740A" w14:paraId="18B84F9D" w14:textId="77777777">
        <w:tc>
          <w:tcPr>
            <w:tcW w:w="1502" w:type="dxa"/>
          </w:tcPr>
          <w:p w14:paraId="68CEF23C" w14:textId="77777777" w:rsidR="0067740A" w:rsidRDefault="00000000">
            <w:pPr>
              <w:tabs>
                <w:tab w:val="left" w:pos="720"/>
                <w:tab w:val="left" w:pos="1440"/>
              </w:tabs>
              <w:spacing w:before="100" w:beforeAutospacing="1" w:after="100" w:afterAutospacing="1" w:line="360" w:lineRule="auto"/>
              <w:rPr>
                <w:rFonts w:ascii="Arial" w:hAnsi="Arial" w:cs="Arial"/>
                <w:b/>
                <w:bCs/>
                <w:lang w:val="en-US" w:eastAsia="en-US"/>
              </w:rPr>
            </w:pPr>
            <w:r>
              <w:rPr>
                <w:rFonts w:ascii="Arial" w:hAnsi="Arial" w:cs="Arial"/>
                <w:b/>
                <w:bCs/>
                <w:lang w:val="en-US" w:eastAsia="en-US"/>
              </w:rPr>
              <w:t>Environmental impact</w:t>
            </w:r>
          </w:p>
        </w:tc>
        <w:tc>
          <w:tcPr>
            <w:tcW w:w="1502" w:type="dxa"/>
          </w:tcPr>
          <w:p w14:paraId="662FC77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20491C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45A3054"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62FCCB99"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71B988E"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0722A96D" w14:textId="77777777">
        <w:tc>
          <w:tcPr>
            <w:tcW w:w="1502" w:type="dxa"/>
          </w:tcPr>
          <w:p w14:paraId="71D2ED35"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Innovation in electric vehicles</w:t>
            </w:r>
          </w:p>
        </w:tc>
        <w:tc>
          <w:tcPr>
            <w:tcW w:w="1502" w:type="dxa"/>
          </w:tcPr>
          <w:p w14:paraId="43E30CC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786E182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32A1F659"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0A748E2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347EFFA8"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749C4A0C" w14:textId="77777777">
        <w:tc>
          <w:tcPr>
            <w:tcW w:w="1502" w:type="dxa"/>
          </w:tcPr>
          <w:p w14:paraId="57CA6275"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Brand reputation</w:t>
            </w:r>
          </w:p>
        </w:tc>
        <w:tc>
          <w:tcPr>
            <w:tcW w:w="1502" w:type="dxa"/>
          </w:tcPr>
          <w:p w14:paraId="0A3014A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7193E3B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194AA8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4F5F6B1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A9C2DF8"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06835565" w14:textId="77777777">
        <w:tc>
          <w:tcPr>
            <w:tcW w:w="1502" w:type="dxa"/>
          </w:tcPr>
          <w:p w14:paraId="2AD1AF16"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Corporate Transparency</w:t>
            </w:r>
          </w:p>
        </w:tc>
        <w:tc>
          <w:tcPr>
            <w:tcW w:w="1502" w:type="dxa"/>
          </w:tcPr>
          <w:p w14:paraId="4936BB14"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3B3D12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346C55D5"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3B25A5D8"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2E5824A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7D4EBFA4" w14:textId="77777777">
        <w:tc>
          <w:tcPr>
            <w:tcW w:w="1502" w:type="dxa"/>
          </w:tcPr>
          <w:p w14:paraId="776FA9AD"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Customer service</w:t>
            </w:r>
          </w:p>
        </w:tc>
        <w:tc>
          <w:tcPr>
            <w:tcW w:w="1502" w:type="dxa"/>
          </w:tcPr>
          <w:p w14:paraId="11CD5593"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0D58A85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D3E02F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6F03B76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7C9F10A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bl>
    <w:p w14:paraId="511AE2D9" w14:textId="77777777" w:rsidR="0067740A" w:rsidRDefault="00000000">
      <w:pPr>
        <w:numPr>
          <w:ilvl w:val="0"/>
          <w:numId w:val="10"/>
        </w:numPr>
        <w:spacing w:before="100" w:beforeAutospacing="1" w:after="100" w:afterAutospacing="1" w:line="360" w:lineRule="auto"/>
        <w:rPr>
          <w:rFonts w:ascii="Arial" w:hAnsi="Arial" w:cs="Arial"/>
        </w:rPr>
      </w:pPr>
      <w:r>
        <w:rPr>
          <w:rFonts w:ascii="Arial" w:hAnsi="Arial" w:cs="Arial"/>
          <w:b/>
          <w:bCs/>
        </w:rPr>
        <w:t>To what extent do you agree with the following statements about Volkswagen’s sustainability initiatives? (Strongly Disagree, Disagree, Neutral, Agree, Strongly Agree)</w:t>
      </w:r>
    </w:p>
    <w:tbl>
      <w:tblPr>
        <w:tblStyle w:val="af4"/>
        <w:tblW w:w="0" w:type="auto"/>
        <w:tblInd w:w="137" w:type="dxa"/>
        <w:tblLook w:val="04A0" w:firstRow="1" w:lastRow="0" w:firstColumn="1" w:lastColumn="0" w:noHBand="0" w:noVBand="1"/>
      </w:tblPr>
      <w:tblGrid>
        <w:gridCol w:w="2265"/>
        <w:gridCol w:w="1322"/>
        <w:gridCol w:w="1323"/>
        <w:gridCol w:w="1323"/>
        <w:gridCol w:w="1323"/>
        <w:gridCol w:w="1323"/>
      </w:tblGrid>
      <w:tr w:rsidR="0067740A" w14:paraId="3C19366C" w14:textId="77777777">
        <w:tc>
          <w:tcPr>
            <w:tcW w:w="2265" w:type="dxa"/>
          </w:tcPr>
          <w:p w14:paraId="0F7D8AC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2" w:type="dxa"/>
          </w:tcPr>
          <w:p w14:paraId="5E42D0DC"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0-Strongly disagree</w:t>
            </w:r>
          </w:p>
        </w:tc>
        <w:tc>
          <w:tcPr>
            <w:tcW w:w="1323" w:type="dxa"/>
          </w:tcPr>
          <w:p w14:paraId="44536176"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1-Disagree</w:t>
            </w:r>
          </w:p>
        </w:tc>
        <w:tc>
          <w:tcPr>
            <w:tcW w:w="1323" w:type="dxa"/>
          </w:tcPr>
          <w:p w14:paraId="4DCEC807"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2-Neutral</w:t>
            </w:r>
          </w:p>
        </w:tc>
        <w:tc>
          <w:tcPr>
            <w:tcW w:w="1323" w:type="dxa"/>
          </w:tcPr>
          <w:p w14:paraId="10DC9E6B"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3-Agree</w:t>
            </w:r>
          </w:p>
        </w:tc>
        <w:tc>
          <w:tcPr>
            <w:tcW w:w="1323" w:type="dxa"/>
          </w:tcPr>
          <w:p w14:paraId="7AB63B98"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4-Strongly agree</w:t>
            </w:r>
          </w:p>
        </w:tc>
      </w:tr>
      <w:tr w:rsidR="0067740A" w14:paraId="0CE4985E" w14:textId="77777777">
        <w:tc>
          <w:tcPr>
            <w:tcW w:w="2265" w:type="dxa"/>
          </w:tcPr>
          <w:p w14:paraId="2E499EFC"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Volkswagen’s initiatives positively impact my perception of the brand.</w:t>
            </w:r>
          </w:p>
        </w:tc>
        <w:tc>
          <w:tcPr>
            <w:tcW w:w="1322" w:type="dxa"/>
          </w:tcPr>
          <w:p w14:paraId="5964E38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0E7A159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7C9B811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74B37E5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25035BC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750998DF" w14:textId="77777777">
        <w:tc>
          <w:tcPr>
            <w:tcW w:w="2265" w:type="dxa"/>
          </w:tcPr>
          <w:p w14:paraId="38B61508"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lastRenderedPageBreak/>
              <w:t>I believe Volkswagen’s sustainability efforts are better than those of other automotive companies.</w:t>
            </w:r>
          </w:p>
        </w:tc>
        <w:tc>
          <w:tcPr>
            <w:tcW w:w="1322" w:type="dxa"/>
          </w:tcPr>
          <w:p w14:paraId="3C51A74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238C152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5015683E"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604CE6E4"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0142A6E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0E34A412" w14:textId="77777777">
        <w:tc>
          <w:tcPr>
            <w:tcW w:w="2265" w:type="dxa"/>
          </w:tcPr>
          <w:p w14:paraId="0C3AA29F"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Volkswagen’s sustainability practices influence my decision to purchase their products.</w:t>
            </w:r>
          </w:p>
        </w:tc>
        <w:tc>
          <w:tcPr>
            <w:tcW w:w="1322" w:type="dxa"/>
          </w:tcPr>
          <w:p w14:paraId="407D532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22EBCB2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4ADD2B53"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21D3E3A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23" w:type="dxa"/>
          </w:tcPr>
          <w:p w14:paraId="58D2132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bl>
    <w:p w14:paraId="1486FA2B" w14:textId="77777777" w:rsidR="0067740A" w:rsidRDefault="00000000">
      <w:pPr>
        <w:numPr>
          <w:ilvl w:val="0"/>
          <w:numId w:val="11"/>
        </w:numPr>
        <w:spacing w:before="100" w:beforeAutospacing="1" w:after="100" w:afterAutospacing="1" w:line="360" w:lineRule="auto"/>
        <w:rPr>
          <w:rFonts w:ascii="Arial" w:hAnsi="Arial" w:cs="Arial"/>
        </w:rPr>
      </w:pPr>
      <w:r>
        <w:rPr>
          <w:rFonts w:ascii="Arial" w:hAnsi="Arial" w:cs="Arial"/>
          <w:b/>
          <w:bCs/>
        </w:rPr>
        <w:t>Have you ever purchased a Volkswagen vehicle?</w:t>
      </w:r>
    </w:p>
    <w:p w14:paraId="1937FCDE"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rPr>
        <w:t>Yes</w:t>
      </w:r>
    </w:p>
    <w:p w14:paraId="13ECA1CC"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rPr>
        <w:t>No</w:t>
      </w:r>
    </w:p>
    <w:p w14:paraId="7807DE15" w14:textId="77777777" w:rsidR="0067740A" w:rsidRDefault="00000000">
      <w:pPr>
        <w:numPr>
          <w:ilvl w:val="0"/>
          <w:numId w:val="11"/>
        </w:numPr>
        <w:spacing w:before="100" w:beforeAutospacing="1" w:after="100" w:afterAutospacing="1" w:line="360" w:lineRule="auto"/>
        <w:rPr>
          <w:rFonts w:ascii="Arial" w:hAnsi="Arial" w:cs="Arial"/>
        </w:rPr>
      </w:pPr>
      <w:r>
        <w:rPr>
          <w:rFonts w:ascii="Arial" w:hAnsi="Arial" w:cs="Arial"/>
          <w:b/>
          <w:bCs/>
        </w:rPr>
        <w:t xml:space="preserve">If yes, what was the main reason for your purchase? </w:t>
      </w:r>
    </w:p>
    <w:p w14:paraId="60DFB6B3"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Environmental benefits</w:t>
      </w:r>
    </w:p>
    <w:p w14:paraId="0170E09A"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Brand reputation</w:t>
      </w:r>
    </w:p>
    <w:p w14:paraId="626512D0"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Technological features</w:t>
      </w:r>
    </w:p>
    <w:p w14:paraId="5A8FAF78"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Design and comfort</w:t>
      </w:r>
    </w:p>
    <w:p w14:paraId="554B8834"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Value for money</w:t>
      </w:r>
    </w:p>
    <w:p w14:paraId="4DB50529"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Government incentives</w:t>
      </w:r>
    </w:p>
    <w:p w14:paraId="3493E0AB"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Recommendations</w:t>
      </w:r>
    </w:p>
    <w:p w14:paraId="281ED3BE"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lang w:val="en-GB"/>
        </w:rPr>
        <w:t xml:space="preserve">Other </w:t>
      </w:r>
    </w:p>
    <w:p w14:paraId="41ADEEC6" w14:textId="77777777" w:rsidR="0067740A" w:rsidRDefault="00000000">
      <w:pPr>
        <w:numPr>
          <w:ilvl w:val="0"/>
          <w:numId w:val="11"/>
        </w:numPr>
        <w:spacing w:before="100" w:beforeAutospacing="1" w:after="100" w:afterAutospacing="1" w:line="360" w:lineRule="auto"/>
        <w:rPr>
          <w:rFonts w:ascii="Arial" w:hAnsi="Arial" w:cs="Arial"/>
        </w:rPr>
      </w:pPr>
      <w:r>
        <w:rPr>
          <w:rFonts w:ascii="Arial" w:hAnsi="Arial" w:cs="Arial"/>
          <w:b/>
          <w:bCs/>
        </w:rPr>
        <w:t>If no, would you consider purchasing a Volkswagen vehicle in the future?</w:t>
      </w:r>
    </w:p>
    <w:p w14:paraId="48ADF819"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rPr>
        <w:t>Yes</w:t>
      </w:r>
    </w:p>
    <w:p w14:paraId="5513AC93"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rPr>
        <w:t>No</w:t>
      </w:r>
    </w:p>
    <w:p w14:paraId="6ED066E8" w14:textId="77777777" w:rsidR="0067740A" w:rsidRDefault="00000000">
      <w:pPr>
        <w:numPr>
          <w:ilvl w:val="1"/>
          <w:numId w:val="11"/>
        </w:numPr>
        <w:spacing w:before="100" w:beforeAutospacing="1" w:after="100" w:afterAutospacing="1" w:line="360" w:lineRule="auto"/>
        <w:rPr>
          <w:rFonts w:ascii="Arial" w:hAnsi="Arial" w:cs="Arial"/>
        </w:rPr>
      </w:pPr>
      <w:r>
        <w:rPr>
          <w:rFonts w:ascii="Arial" w:hAnsi="Arial" w:cs="Arial"/>
        </w:rPr>
        <w:t>Maybe</w:t>
      </w:r>
    </w:p>
    <w:p w14:paraId="4C08B483" w14:textId="77777777" w:rsidR="0067740A" w:rsidRDefault="00000000">
      <w:pPr>
        <w:numPr>
          <w:ilvl w:val="0"/>
          <w:numId w:val="11"/>
        </w:numPr>
        <w:spacing w:before="100" w:beforeAutospacing="1" w:after="100" w:afterAutospacing="1" w:line="360" w:lineRule="auto"/>
        <w:rPr>
          <w:rFonts w:ascii="Arial" w:hAnsi="Arial" w:cs="Arial"/>
        </w:rPr>
      </w:pPr>
      <w:r>
        <w:rPr>
          <w:rFonts w:ascii="Arial" w:hAnsi="Arial" w:cs="Arial"/>
          <w:b/>
          <w:bCs/>
        </w:rPr>
        <w:lastRenderedPageBreak/>
        <w:t>How likely are you to purchase an electric vehicle from Volkswagen in the next five years? (Very Unlikely, Unlikely, Neutral, Likely, Very Likely)</w:t>
      </w:r>
    </w:p>
    <w:tbl>
      <w:tblPr>
        <w:tblStyle w:val="af4"/>
        <w:tblW w:w="0" w:type="auto"/>
        <w:tblLook w:val="04A0" w:firstRow="1" w:lastRow="0" w:firstColumn="1" w:lastColumn="0" w:noHBand="0" w:noVBand="1"/>
      </w:tblPr>
      <w:tblGrid>
        <w:gridCol w:w="2830"/>
        <w:gridCol w:w="1110"/>
        <w:gridCol w:w="1137"/>
        <w:gridCol w:w="1396"/>
        <w:gridCol w:w="1378"/>
        <w:gridCol w:w="1363"/>
      </w:tblGrid>
      <w:tr w:rsidR="0067740A" w14:paraId="1C34447E" w14:textId="77777777">
        <w:tc>
          <w:tcPr>
            <w:tcW w:w="2830" w:type="dxa"/>
          </w:tcPr>
          <w:p w14:paraId="0501E48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978" w:type="dxa"/>
          </w:tcPr>
          <w:p w14:paraId="34A8C7D7"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0-Very unlikely</w:t>
            </w:r>
          </w:p>
        </w:tc>
        <w:tc>
          <w:tcPr>
            <w:tcW w:w="1071" w:type="dxa"/>
          </w:tcPr>
          <w:p w14:paraId="4A0750CE"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1-Unlikely</w:t>
            </w:r>
          </w:p>
        </w:tc>
        <w:tc>
          <w:tcPr>
            <w:tcW w:w="1396" w:type="dxa"/>
          </w:tcPr>
          <w:p w14:paraId="15B3D68A"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2-Neutral</w:t>
            </w:r>
          </w:p>
        </w:tc>
        <w:tc>
          <w:tcPr>
            <w:tcW w:w="1378" w:type="dxa"/>
          </w:tcPr>
          <w:p w14:paraId="2F3A2E98"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3-Likely</w:t>
            </w:r>
          </w:p>
        </w:tc>
        <w:tc>
          <w:tcPr>
            <w:tcW w:w="1363" w:type="dxa"/>
          </w:tcPr>
          <w:p w14:paraId="661A5B7A"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4-Very likely</w:t>
            </w:r>
          </w:p>
        </w:tc>
      </w:tr>
      <w:tr w:rsidR="0067740A" w14:paraId="7EF68CD1" w14:textId="77777777">
        <w:tc>
          <w:tcPr>
            <w:tcW w:w="2830" w:type="dxa"/>
          </w:tcPr>
          <w:p w14:paraId="1C346234" w14:textId="77777777" w:rsidR="0067740A" w:rsidRDefault="00000000">
            <w:pPr>
              <w:tabs>
                <w:tab w:val="left" w:pos="720"/>
                <w:tab w:val="left" w:pos="1440"/>
              </w:tabs>
              <w:spacing w:before="100" w:beforeAutospacing="1" w:after="100" w:afterAutospacing="1" w:line="360" w:lineRule="auto"/>
              <w:rPr>
                <w:rFonts w:ascii="Arial" w:hAnsi="Arial" w:cs="Arial"/>
                <w:lang w:val="en-GB" w:eastAsia="en-US"/>
              </w:rPr>
            </w:pPr>
            <w:r>
              <w:rPr>
                <w:rFonts w:ascii="Arial" w:hAnsi="Arial" w:cs="Arial"/>
                <w:b/>
                <w:bCs/>
                <w:lang w:val="en-GB" w:eastAsia="en-US"/>
              </w:rPr>
              <w:t>How likely are you to purchase an electric vehicle from Volkswagen in the next five years?</w:t>
            </w:r>
          </w:p>
        </w:tc>
        <w:tc>
          <w:tcPr>
            <w:tcW w:w="978" w:type="dxa"/>
          </w:tcPr>
          <w:p w14:paraId="20A822D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071" w:type="dxa"/>
          </w:tcPr>
          <w:p w14:paraId="6D4E0DB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96" w:type="dxa"/>
          </w:tcPr>
          <w:p w14:paraId="6670FD5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78" w:type="dxa"/>
          </w:tcPr>
          <w:p w14:paraId="17B501E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63" w:type="dxa"/>
          </w:tcPr>
          <w:p w14:paraId="1616ACF9"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bl>
    <w:p w14:paraId="53852F40" w14:textId="77777777" w:rsidR="0067740A" w:rsidRDefault="00000000">
      <w:pPr>
        <w:numPr>
          <w:ilvl w:val="0"/>
          <w:numId w:val="11"/>
        </w:numPr>
        <w:spacing w:before="100" w:beforeAutospacing="1" w:after="100" w:afterAutospacing="1" w:line="360" w:lineRule="auto"/>
        <w:rPr>
          <w:rFonts w:ascii="Arial" w:hAnsi="Arial" w:cs="Arial"/>
        </w:rPr>
      </w:pPr>
      <w:r>
        <w:rPr>
          <w:rFonts w:ascii="Arial" w:hAnsi="Arial" w:cs="Arial"/>
          <w:b/>
          <w:bCs/>
        </w:rPr>
        <w:t>What factors would most influence your decision to purchase an electric vehicle from Volkswagen? (Select all that apply)</w:t>
      </w:r>
    </w:p>
    <w:tbl>
      <w:tblPr>
        <w:tblStyle w:val="af4"/>
        <w:tblW w:w="0" w:type="auto"/>
        <w:tblLook w:val="04A0" w:firstRow="1" w:lastRow="0" w:firstColumn="1" w:lastColumn="0" w:noHBand="0" w:noVBand="1"/>
      </w:tblPr>
      <w:tblGrid>
        <w:gridCol w:w="1883"/>
        <w:gridCol w:w="1495"/>
        <w:gridCol w:w="1496"/>
        <w:gridCol w:w="1494"/>
        <w:gridCol w:w="1492"/>
        <w:gridCol w:w="1490"/>
      </w:tblGrid>
      <w:tr w:rsidR="0067740A" w14:paraId="0C8446F6" w14:textId="77777777">
        <w:tc>
          <w:tcPr>
            <w:tcW w:w="1502" w:type="dxa"/>
          </w:tcPr>
          <w:p w14:paraId="377297B9"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2" w:type="dxa"/>
          </w:tcPr>
          <w:p w14:paraId="42335625"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0-Very unlikely</w:t>
            </w:r>
          </w:p>
        </w:tc>
        <w:tc>
          <w:tcPr>
            <w:tcW w:w="1503" w:type="dxa"/>
          </w:tcPr>
          <w:p w14:paraId="467C9D49"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1-Unlikely</w:t>
            </w:r>
          </w:p>
        </w:tc>
        <w:tc>
          <w:tcPr>
            <w:tcW w:w="1503" w:type="dxa"/>
          </w:tcPr>
          <w:p w14:paraId="35AADD2D"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2-Neutral</w:t>
            </w:r>
          </w:p>
        </w:tc>
        <w:tc>
          <w:tcPr>
            <w:tcW w:w="1503" w:type="dxa"/>
          </w:tcPr>
          <w:p w14:paraId="76F3D126"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3-Likely</w:t>
            </w:r>
          </w:p>
        </w:tc>
        <w:tc>
          <w:tcPr>
            <w:tcW w:w="1503" w:type="dxa"/>
          </w:tcPr>
          <w:p w14:paraId="02AB9BCA"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4-Very likely</w:t>
            </w:r>
          </w:p>
        </w:tc>
      </w:tr>
      <w:tr w:rsidR="0067740A" w14:paraId="5F56DE65" w14:textId="77777777">
        <w:tc>
          <w:tcPr>
            <w:tcW w:w="1502" w:type="dxa"/>
          </w:tcPr>
          <w:p w14:paraId="49A31626"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Price</w:t>
            </w:r>
          </w:p>
        </w:tc>
        <w:tc>
          <w:tcPr>
            <w:tcW w:w="1502" w:type="dxa"/>
          </w:tcPr>
          <w:p w14:paraId="109584E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318DCB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7BD9801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6215255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6045583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25B294A1" w14:textId="77777777">
        <w:tc>
          <w:tcPr>
            <w:tcW w:w="1502" w:type="dxa"/>
          </w:tcPr>
          <w:p w14:paraId="229EB869"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Range and battery life</w:t>
            </w:r>
          </w:p>
        </w:tc>
        <w:tc>
          <w:tcPr>
            <w:tcW w:w="1502" w:type="dxa"/>
          </w:tcPr>
          <w:p w14:paraId="3E156751"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62959B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0B642378"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BB15F7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7EA89D9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222451CA" w14:textId="77777777">
        <w:tc>
          <w:tcPr>
            <w:tcW w:w="1502" w:type="dxa"/>
          </w:tcPr>
          <w:p w14:paraId="4EFCB82F"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Availability of charging stations</w:t>
            </w:r>
          </w:p>
        </w:tc>
        <w:tc>
          <w:tcPr>
            <w:tcW w:w="1502" w:type="dxa"/>
          </w:tcPr>
          <w:p w14:paraId="5032B8C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44E815C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698E29E"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023A810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9746A7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638B4273" w14:textId="77777777">
        <w:tc>
          <w:tcPr>
            <w:tcW w:w="1502" w:type="dxa"/>
          </w:tcPr>
          <w:p w14:paraId="6662699A"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Environmental benefits</w:t>
            </w:r>
          </w:p>
        </w:tc>
        <w:tc>
          <w:tcPr>
            <w:tcW w:w="1502" w:type="dxa"/>
          </w:tcPr>
          <w:p w14:paraId="687A342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332EA124"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EE8C30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628F0BC1"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24C2E30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17AF4E2E" w14:textId="77777777">
        <w:tc>
          <w:tcPr>
            <w:tcW w:w="1502" w:type="dxa"/>
          </w:tcPr>
          <w:p w14:paraId="7081329B"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Technological features</w:t>
            </w:r>
          </w:p>
        </w:tc>
        <w:tc>
          <w:tcPr>
            <w:tcW w:w="1502" w:type="dxa"/>
          </w:tcPr>
          <w:p w14:paraId="277F55A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B06A0F1"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28592840"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7F69EBE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D8BCFCB"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4DE3093C" w14:textId="77777777">
        <w:tc>
          <w:tcPr>
            <w:tcW w:w="1502" w:type="dxa"/>
          </w:tcPr>
          <w:p w14:paraId="3B56ED5D"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Government incentives</w:t>
            </w:r>
          </w:p>
        </w:tc>
        <w:tc>
          <w:tcPr>
            <w:tcW w:w="1502" w:type="dxa"/>
          </w:tcPr>
          <w:p w14:paraId="10DCDA89"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03B873C5"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63DF04E"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2138D2D4"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1BFCD779"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5184BD0F" w14:textId="77777777">
        <w:tc>
          <w:tcPr>
            <w:tcW w:w="1502" w:type="dxa"/>
          </w:tcPr>
          <w:p w14:paraId="19E61931"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Brand reputation</w:t>
            </w:r>
          </w:p>
        </w:tc>
        <w:tc>
          <w:tcPr>
            <w:tcW w:w="1502" w:type="dxa"/>
          </w:tcPr>
          <w:p w14:paraId="2B6130D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4A9B58E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44ADB975"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57B091C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503" w:type="dxa"/>
          </w:tcPr>
          <w:p w14:paraId="2BD6263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bl>
    <w:p w14:paraId="6C55C150" w14:textId="77777777" w:rsidR="0067740A" w:rsidRDefault="00000000">
      <w:pPr>
        <w:numPr>
          <w:ilvl w:val="0"/>
          <w:numId w:val="11"/>
        </w:numPr>
        <w:spacing w:before="100" w:beforeAutospacing="1" w:after="100" w:afterAutospacing="1" w:line="360" w:lineRule="auto"/>
        <w:rPr>
          <w:rFonts w:ascii="Arial" w:hAnsi="Arial" w:cs="Arial"/>
        </w:rPr>
      </w:pPr>
      <w:r>
        <w:rPr>
          <w:rFonts w:ascii="Arial" w:hAnsi="Arial" w:cs="Arial"/>
          <w:b/>
          <w:bCs/>
        </w:rPr>
        <w:lastRenderedPageBreak/>
        <w:t>How important are Volkswagen’s sustainability initiatives in your decision to purchase their vehicles? (Not Important, Slightly Important, Moderately Important, Very Important, Extremely Important)</w:t>
      </w:r>
    </w:p>
    <w:tbl>
      <w:tblPr>
        <w:tblStyle w:val="af4"/>
        <w:tblW w:w="0" w:type="auto"/>
        <w:tblLook w:val="04A0" w:firstRow="1" w:lastRow="0" w:firstColumn="1" w:lastColumn="0" w:noHBand="0" w:noVBand="1"/>
      </w:tblPr>
      <w:tblGrid>
        <w:gridCol w:w="2319"/>
        <w:gridCol w:w="1323"/>
        <w:gridCol w:w="1395"/>
        <w:gridCol w:w="1489"/>
        <w:gridCol w:w="1402"/>
        <w:gridCol w:w="1422"/>
      </w:tblGrid>
      <w:tr w:rsidR="0067740A" w14:paraId="69F96AD0" w14:textId="77777777">
        <w:tc>
          <w:tcPr>
            <w:tcW w:w="2830" w:type="dxa"/>
          </w:tcPr>
          <w:p w14:paraId="30E6043D"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c>
          <w:tcPr>
            <w:tcW w:w="266" w:type="dxa"/>
          </w:tcPr>
          <w:p w14:paraId="033D5A7A" w14:textId="77777777" w:rsidR="0067740A" w:rsidRDefault="00000000">
            <w:pPr>
              <w:tabs>
                <w:tab w:val="left" w:pos="72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0-Not important</w:t>
            </w:r>
          </w:p>
        </w:tc>
        <w:tc>
          <w:tcPr>
            <w:tcW w:w="1467" w:type="dxa"/>
          </w:tcPr>
          <w:p w14:paraId="63C4A447" w14:textId="77777777" w:rsidR="0067740A" w:rsidRDefault="00000000">
            <w:pPr>
              <w:tabs>
                <w:tab w:val="left" w:pos="72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1-Slightly important</w:t>
            </w:r>
          </w:p>
        </w:tc>
        <w:tc>
          <w:tcPr>
            <w:tcW w:w="1493" w:type="dxa"/>
          </w:tcPr>
          <w:p w14:paraId="09DF2D36" w14:textId="77777777" w:rsidR="0067740A" w:rsidRDefault="00000000">
            <w:pPr>
              <w:tabs>
                <w:tab w:val="left" w:pos="72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2-Moderately Important</w:t>
            </w:r>
          </w:p>
        </w:tc>
        <w:tc>
          <w:tcPr>
            <w:tcW w:w="1480" w:type="dxa"/>
          </w:tcPr>
          <w:p w14:paraId="51D62CEF" w14:textId="77777777" w:rsidR="0067740A" w:rsidRDefault="00000000">
            <w:pPr>
              <w:tabs>
                <w:tab w:val="left" w:pos="72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3- Very Important</w:t>
            </w:r>
          </w:p>
        </w:tc>
        <w:tc>
          <w:tcPr>
            <w:tcW w:w="1480" w:type="dxa"/>
          </w:tcPr>
          <w:p w14:paraId="2086AF22" w14:textId="77777777" w:rsidR="0067740A" w:rsidRDefault="00000000">
            <w:pPr>
              <w:tabs>
                <w:tab w:val="left" w:pos="72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4- Extremely Important</w:t>
            </w:r>
          </w:p>
        </w:tc>
      </w:tr>
      <w:tr w:rsidR="0067740A" w14:paraId="4774747E" w14:textId="77777777">
        <w:tc>
          <w:tcPr>
            <w:tcW w:w="2830" w:type="dxa"/>
          </w:tcPr>
          <w:p w14:paraId="2083A7FF" w14:textId="77777777" w:rsidR="0067740A" w:rsidRDefault="00000000">
            <w:pPr>
              <w:tabs>
                <w:tab w:val="left" w:pos="720"/>
              </w:tabs>
              <w:spacing w:before="100" w:beforeAutospacing="1" w:after="100" w:afterAutospacing="1" w:line="360" w:lineRule="auto"/>
              <w:rPr>
                <w:rFonts w:ascii="Arial" w:hAnsi="Arial" w:cs="Arial"/>
                <w:lang w:val="en-GB" w:eastAsia="en-US"/>
              </w:rPr>
            </w:pPr>
            <w:r>
              <w:rPr>
                <w:rFonts w:ascii="Arial" w:hAnsi="Arial" w:cs="Arial"/>
                <w:b/>
                <w:bCs/>
                <w:lang w:val="en-GB" w:eastAsia="en-US"/>
              </w:rPr>
              <w:t>How important are Volkswagen’s sustainability initiatives in your decision to purchase their vehicles?</w:t>
            </w:r>
          </w:p>
        </w:tc>
        <w:tc>
          <w:tcPr>
            <w:tcW w:w="266" w:type="dxa"/>
          </w:tcPr>
          <w:p w14:paraId="75D0B3D5"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c>
          <w:tcPr>
            <w:tcW w:w="1467" w:type="dxa"/>
          </w:tcPr>
          <w:p w14:paraId="628FD62E"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c>
          <w:tcPr>
            <w:tcW w:w="1493" w:type="dxa"/>
          </w:tcPr>
          <w:p w14:paraId="4318A0D1"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c>
          <w:tcPr>
            <w:tcW w:w="1480" w:type="dxa"/>
          </w:tcPr>
          <w:p w14:paraId="22DE404E"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c>
          <w:tcPr>
            <w:tcW w:w="1480" w:type="dxa"/>
          </w:tcPr>
          <w:p w14:paraId="4355A3A9" w14:textId="77777777" w:rsidR="0067740A" w:rsidRDefault="0067740A">
            <w:pPr>
              <w:tabs>
                <w:tab w:val="left" w:pos="720"/>
              </w:tabs>
              <w:spacing w:before="100" w:beforeAutospacing="1" w:after="100" w:afterAutospacing="1" w:line="360" w:lineRule="auto"/>
              <w:rPr>
                <w:rFonts w:ascii="Arial" w:hAnsi="Arial" w:cs="Arial"/>
                <w:lang w:val="en-GB" w:eastAsia="en-US"/>
              </w:rPr>
            </w:pPr>
          </w:p>
        </w:tc>
      </w:tr>
    </w:tbl>
    <w:p w14:paraId="59A5E767" w14:textId="77777777" w:rsidR="0067740A" w:rsidRDefault="00000000">
      <w:pPr>
        <w:numPr>
          <w:ilvl w:val="0"/>
          <w:numId w:val="11"/>
        </w:numPr>
        <w:spacing w:before="100" w:beforeAutospacing="1" w:after="100" w:afterAutospacing="1" w:line="360" w:lineRule="auto"/>
        <w:rPr>
          <w:rFonts w:ascii="Arial" w:hAnsi="Arial" w:cs="Arial"/>
        </w:rPr>
      </w:pPr>
      <w:r>
        <w:rPr>
          <w:rFonts w:ascii="Arial" w:hAnsi="Arial" w:cs="Arial"/>
          <w:b/>
          <w:bCs/>
        </w:rPr>
        <w:t>To what extent do you agree with the following statements about electric vehicles? (Strongly Disagree, Disagree, Neutral, Agree, Strongly Agree)</w:t>
      </w:r>
    </w:p>
    <w:tbl>
      <w:tblPr>
        <w:tblStyle w:val="af4"/>
        <w:tblW w:w="9423" w:type="dxa"/>
        <w:tblLook w:val="04A0" w:firstRow="1" w:lastRow="0" w:firstColumn="1" w:lastColumn="0" w:noHBand="0" w:noVBand="1"/>
      </w:tblPr>
      <w:tblGrid>
        <w:gridCol w:w="2602"/>
        <w:gridCol w:w="1230"/>
        <w:gridCol w:w="1434"/>
        <w:gridCol w:w="1394"/>
        <w:gridCol w:w="1335"/>
        <w:gridCol w:w="1428"/>
      </w:tblGrid>
      <w:tr w:rsidR="0067740A" w14:paraId="566B385D" w14:textId="77777777">
        <w:trPr>
          <w:trHeight w:val="914"/>
        </w:trPr>
        <w:tc>
          <w:tcPr>
            <w:tcW w:w="2628" w:type="dxa"/>
          </w:tcPr>
          <w:p w14:paraId="4CAB4E42"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159" w:type="dxa"/>
          </w:tcPr>
          <w:p w14:paraId="62E60CC5"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0-Strongly Disagree</w:t>
            </w:r>
          </w:p>
        </w:tc>
        <w:tc>
          <w:tcPr>
            <w:tcW w:w="1441" w:type="dxa"/>
          </w:tcPr>
          <w:p w14:paraId="2E84D6C1"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1-Disagree</w:t>
            </w:r>
          </w:p>
        </w:tc>
        <w:tc>
          <w:tcPr>
            <w:tcW w:w="1407" w:type="dxa"/>
          </w:tcPr>
          <w:p w14:paraId="392F8740"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2-Neutral</w:t>
            </w:r>
          </w:p>
        </w:tc>
        <w:tc>
          <w:tcPr>
            <w:tcW w:w="1351" w:type="dxa"/>
          </w:tcPr>
          <w:p w14:paraId="6F64739F"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3-Agree</w:t>
            </w:r>
          </w:p>
        </w:tc>
        <w:tc>
          <w:tcPr>
            <w:tcW w:w="1437" w:type="dxa"/>
          </w:tcPr>
          <w:p w14:paraId="7BB47EA3"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4-Strongly agree</w:t>
            </w:r>
          </w:p>
        </w:tc>
      </w:tr>
      <w:tr w:rsidR="0067740A" w14:paraId="3338BF43" w14:textId="77777777">
        <w:trPr>
          <w:trHeight w:val="1516"/>
        </w:trPr>
        <w:tc>
          <w:tcPr>
            <w:tcW w:w="2628" w:type="dxa"/>
          </w:tcPr>
          <w:p w14:paraId="6A5E1915"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Electric vehicles are better for the environment than traditional gasoline vehicles.</w:t>
            </w:r>
          </w:p>
        </w:tc>
        <w:tc>
          <w:tcPr>
            <w:tcW w:w="1159" w:type="dxa"/>
          </w:tcPr>
          <w:p w14:paraId="36F5178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41" w:type="dxa"/>
          </w:tcPr>
          <w:p w14:paraId="7394EBF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07" w:type="dxa"/>
          </w:tcPr>
          <w:p w14:paraId="332D2C9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51" w:type="dxa"/>
          </w:tcPr>
          <w:p w14:paraId="67153A41"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37" w:type="dxa"/>
          </w:tcPr>
          <w:p w14:paraId="3468CACC"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01A6AA6A" w14:textId="77777777">
        <w:trPr>
          <w:trHeight w:val="1516"/>
        </w:trPr>
        <w:tc>
          <w:tcPr>
            <w:tcW w:w="2628" w:type="dxa"/>
          </w:tcPr>
          <w:p w14:paraId="230E4E4D"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t>I am willing to pay more for an electric vehicle due to its environmental benefits.</w:t>
            </w:r>
          </w:p>
        </w:tc>
        <w:tc>
          <w:tcPr>
            <w:tcW w:w="1159" w:type="dxa"/>
          </w:tcPr>
          <w:p w14:paraId="76DE9518"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41" w:type="dxa"/>
          </w:tcPr>
          <w:p w14:paraId="540AB19A"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07" w:type="dxa"/>
          </w:tcPr>
          <w:p w14:paraId="394C52C3"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51" w:type="dxa"/>
          </w:tcPr>
          <w:p w14:paraId="400FD94F"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37" w:type="dxa"/>
          </w:tcPr>
          <w:p w14:paraId="3B1076B4"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r w:rsidR="0067740A" w14:paraId="4BFFE2F0" w14:textId="77777777">
        <w:trPr>
          <w:trHeight w:val="1503"/>
        </w:trPr>
        <w:tc>
          <w:tcPr>
            <w:tcW w:w="2628" w:type="dxa"/>
          </w:tcPr>
          <w:p w14:paraId="71E461DF" w14:textId="77777777" w:rsidR="0067740A" w:rsidRDefault="00000000">
            <w:pPr>
              <w:tabs>
                <w:tab w:val="left" w:pos="720"/>
                <w:tab w:val="left" w:pos="1440"/>
              </w:tabs>
              <w:spacing w:before="100" w:beforeAutospacing="1" w:after="100" w:afterAutospacing="1" w:line="360" w:lineRule="auto"/>
              <w:rPr>
                <w:rFonts w:ascii="Arial" w:hAnsi="Arial" w:cs="Arial"/>
                <w:b/>
                <w:bCs/>
                <w:lang w:val="en-GB" w:eastAsia="en-US"/>
              </w:rPr>
            </w:pPr>
            <w:r>
              <w:rPr>
                <w:rFonts w:ascii="Arial" w:hAnsi="Arial" w:cs="Arial"/>
                <w:b/>
                <w:bCs/>
                <w:lang w:val="en-GB" w:eastAsia="en-US"/>
              </w:rPr>
              <w:lastRenderedPageBreak/>
              <w:t>The availability of charging stations influences my decision to purchase an electric vehicle.</w:t>
            </w:r>
          </w:p>
        </w:tc>
        <w:tc>
          <w:tcPr>
            <w:tcW w:w="1159" w:type="dxa"/>
          </w:tcPr>
          <w:p w14:paraId="618B9F26"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41" w:type="dxa"/>
          </w:tcPr>
          <w:p w14:paraId="446552D7"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07" w:type="dxa"/>
          </w:tcPr>
          <w:p w14:paraId="7E27DA5E"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351" w:type="dxa"/>
          </w:tcPr>
          <w:p w14:paraId="59F1474D"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c>
          <w:tcPr>
            <w:tcW w:w="1437" w:type="dxa"/>
          </w:tcPr>
          <w:p w14:paraId="18493841" w14:textId="77777777" w:rsidR="0067740A" w:rsidRDefault="0067740A">
            <w:pPr>
              <w:tabs>
                <w:tab w:val="left" w:pos="720"/>
                <w:tab w:val="left" w:pos="1440"/>
              </w:tabs>
              <w:spacing w:before="100" w:beforeAutospacing="1" w:after="100" w:afterAutospacing="1" w:line="360" w:lineRule="auto"/>
              <w:rPr>
                <w:rFonts w:ascii="Arial" w:hAnsi="Arial" w:cs="Arial"/>
                <w:lang w:val="en-GB" w:eastAsia="en-US"/>
              </w:rPr>
            </w:pPr>
          </w:p>
        </w:tc>
      </w:tr>
    </w:tbl>
    <w:p w14:paraId="32B1FC69" w14:textId="77777777" w:rsidR="0067740A" w:rsidRDefault="00000000">
      <w:pPr>
        <w:pStyle w:val="af"/>
        <w:spacing w:line="360" w:lineRule="auto"/>
        <w:rPr>
          <w:rFonts w:ascii="Arial" w:eastAsiaTheme="minorEastAsia" w:hAnsi="Arial" w:cs="Arial"/>
          <w:lang w:val="en-GB"/>
        </w:rPr>
      </w:pPr>
      <w:r>
        <w:rPr>
          <w:rStyle w:val="af5"/>
          <w:rFonts w:ascii="Arial" w:hAnsi="Arial" w:cs="Arial"/>
        </w:rPr>
        <w:t>Closing:</w:t>
      </w:r>
      <w:r>
        <w:rPr>
          <w:rFonts w:ascii="Arial" w:eastAsiaTheme="minorEastAsia" w:hAnsi="Arial" w:cs="Arial"/>
          <w:lang w:val="en-GB"/>
        </w:rPr>
        <w:t>Thank you for participating in this survey. Your input is invaluable and greatly appreciated. It will contribute significantly to our understanding of consumer perceptions regarding Volkswagen’s sustainability initiatives.</w:t>
      </w:r>
    </w:p>
    <w:p w14:paraId="712D1F35" w14:textId="77777777" w:rsidR="0067740A" w:rsidRDefault="0067740A">
      <w:pPr>
        <w:pStyle w:val="af"/>
        <w:spacing w:line="360" w:lineRule="auto"/>
        <w:rPr>
          <w:rFonts w:ascii="Arial" w:eastAsiaTheme="minorEastAsia" w:hAnsi="Arial" w:cs="Arial"/>
          <w:lang w:val="en-GB"/>
        </w:rPr>
      </w:pPr>
    </w:p>
    <w:p w14:paraId="6B133700" w14:textId="77777777" w:rsidR="0067740A" w:rsidRDefault="00000000">
      <w:pPr>
        <w:rPr>
          <w:rFonts w:ascii="Arial" w:eastAsiaTheme="minorEastAsia" w:hAnsi="Arial" w:cs="Arial"/>
          <w:lang w:val="en-GB"/>
        </w:rPr>
      </w:pPr>
      <w:r>
        <w:rPr>
          <w:rFonts w:ascii="Arial" w:eastAsiaTheme="minorEastAsia" w:hAnsi="Arial" w:cs="Arial"/>
          <w:lang w:val="en-GB"/>
        </w:rPr>
        <w:br w:type="page"/>
      </w:r>
    </w:p>
    <w:p w14:paraId="5B31F9DA" w14:textId="77777777" w:rsidR="0067740A" w:rsidRDefault="00000000">
      <w:pPr>
        <w:pStyle w:val="2"/>
        <w:rPr>
          <w:rFonts w:ascii="Arial" w:hAnsi="Arial" w:cs="Arial"/>
          <w:szCs w:val="24"/>
        </w:rPr>
      </w:pPr>
      <w:bookmarkStart w:id="123" w:name="_Toc177666045"/>
      <w:r>
        <w:rPr>
          <w:rFonts w:ascii="Arial" w:hAnsi="Arial" w:cs="Arial"/>
          <w:szCs w:val="24"/>
        </w:rPr>
        <w:lastRenderedPageBreak/>
        <w:t>Appendix B: Frequency Analysis of Consumer Responses on Volkswagen’s Sustainability Initiatives</w:t>
      </w:r>
      <w:bookmarkEnd w:id="123"/>
    </w:p>
    <w:tbl>
      <w:tblPr>
        <w:tblStyle w:val="PlainTable31"/>
        <w:tblW w:w="5000" w:type="pct"/>
        <w:tblLook w:val="04A0" w:firstRow="1" w:lastRow="0" w:firstColumn="1" w:lastColumn="0" w:noHBand="0" w:noVBand="1"/>
      </w:tblPr>
      <w:tblGrid>
        <w:gridCol w:w="1910"/>
        <w:gridCol w:w="1715"/>
        <w:gridCol w:w="1350"/>
        <w:gridCol w:w="1997"/>
        <w:gridCol w:w="2388"/>
      </w:tblGrid>
      <w:tr w:rsidR="0067740A" w14:paraId="05639A8B" w14:textId="77777777" w:rsidTr="0067740A">
        <w:trPr>
          <w:cnfStyle w:val="100000000000" w:firstRow="1" w:lastRow="0" w:firstColumn="0" w:lastColumn="0" w:oddVBand="0" w:evenVBand="0" w:oddHBand="0" w:evenHBand="0" w:firstRowFirstColumn="0" w:firstRowLastColumn="0" w:lastRowFirstColumn="0" w:lastRowLastColumn="0"/>
          <w:trHeight w:val="270"/>
        </w:trPr>
        <w:tc>
          <w:tcPr>
            <w:cnfStyle w:val="001000000100" w:firstRow="0" w:lastRow="0" w:firstColumn="1" w:lastColumn="0" w:oddVBand="0" w:evenVBand="0" w:oddHBand="0" w:evenHBand="0" w:firstRowFirstColumn="1" w:firstRowLastColumn="0" w:lastRowFirstColumn="0" w:lastRowLastColumn="0"/>
            <w:tcW w:w="5000" w:type="pct"/>
            <w:gridSpan w:val="5"/>
          </w:tcPr>
          <w:p w14:paraId="274B0DF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Frequency Analysis Results  </w:t>
            </w:r>
          </w:p>
        </w:tc>
      </w:tr>
      <w:tr w:rsidR="0067740A" w14:paraId="2A0924B1"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shd w:val="clear" w:color="auto" w:fill="F2F2F2" w:themeFill="background1" w:themeFillShade="F2"/>
          </w:tcPr>
          <w:p w14:paraId="592C89D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Name</w:t>
            </w:r>
          </w:p>
        </w:tc>
        <w:tc>
          <w:tcPr>
            <w:tcW w:w="1035" w:type="pct"/>
            <w:shd w:val="clear" w:color="auto" w:fill="F2F2F2" w:themeFill="background1" w:themeFillShade="F2"/>
          </w:tcPr>
          <w:p w14:paraId="1CB17BB7"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rPr>
              <w:t>Options</w:t>
            </w:r>
          </w:p>
        </w:tc>
        <w:tc>
          <w:tcPr>
            <w:tcW w:w="769" w:type="pct"/>
            <w:shd w:val="clear" w:color="auto" w:fill="F2F2F2" w:themeFill="background1" w:themeFillShade="F2"/>
          </w:tcPr>
          <w:p w14:paraId="5FE3D732"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Frequency</w:t>
            </w:r>
          </w:p>
        </w:tc>
        <w:tc>
          <w:tcPr>
            <w:tcW w:w="777" w:type="pct"/>
            <w:shd w:val="clear" w:color="auto" w:fill="F2F2F2" w:themeFill="background1" w:themeFillShade="F2"/>
          </w:tcPr>
          <w:p w14:paraId="42C39073"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Percentage(%)</w:t>
            </w:r>
            <w:r>
              <w:rPr>
                <w:rFonts w:ascii="Arial" w:eastAsia="宋体" w:hAnsi="Arial" w:cs="Arial"/>
                <w:color w:val="CCCCCC"/>
                <w:lang w:bidi="ar"/>
              </w:rPr>
              <w:t></w:t>
            </w:r>
          </w:p>
        </w:tc>
        <w:tc>
          <w:tcPr>
            <w:tcW w:w="1464" w:type="pct"/>
            <w:shd w:val="clear" w:color="auto" w:fill="F2F2F2" w:themeFill="background1" w:themeFillShade="F2"/>
          </w:tcPr>
          <w:p w14:paraId="63896C3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Cumulative Percentage(%)</w:t>
            </w:r>
            <w:r>
              <w:rPr>
                <w:rFonts w:ascii="Arial" w:eastAsia="宋体" w:hAnsi="Arial" w:cs="Arial"/>
                <w:color w:val="CCCCCC"/>
                <w:lang w:bidi="ar"/>
              </w:rPr>
              <w:t></w:t>
            </w:r>
          </w:p>
        </w:tc>
      </w:tr>
      <w:tr w:rsidR="0067740A" w14:paraId="54F4B6AD"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val="restart"/>
          </w:tcPr>
          <w:p w14:paraId="3BD1624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 Age</w:t>
            </w:r>
          </w:p>
        </w:tc>
        <w:tc>
          <w:tcPr>
            <w:tcW w:w="1035" w:type="pct"/>
          </w:tcPr>
          <w:p w14:paraId="6AB53987"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25-34</w:t>
            </w:r>
          </w:p>
        </w:tc>
        <w:tc>
          <w:tcPr>
            <w:tcW w:w="769" w:type="pct"/>
          </w:tcPr>
          <w:p w14:paraId="456CDF2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147</w:t>
            </w:r>
          </w:p>
        </w:tc>
        <w:tc>
          <w:tcPr>
            <w:tcW w:w="777" w:type="pct"/>
          </w:tcPr>
          <w:p w14:paraId="7CBA100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35.77</w:t>
            </w:r>
          </w:p>
        </w:tc>
        <w:tc>
          <w:tcPr>
            <w:tcW w:w="1464" w:type="pct"/>
          </w:tcPr>
          <w:p w14:paraId="0906624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35.77</w:t>
            </w:r>
          </w:p>
        </w:tc>
      </w:tr>
      <w:tr w:rsidR="0067740A" w14:paraId="573CAF33"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shd w:val="clear" w:color="auto" w:fill="F2F2F2" w:themeFill="background1" w:themeFillShade="F2"/>
          </w:tcPr>
          <w:p w14:paraId="4B10DADF" w14:textId="77777777" w:rsidR="0067740A" w:rsidRDefault="0067740A">
            <w:pPr>
              <w:spacing w:line="360" w:lineRule="auto"/>
              <w:jc w:val="center"/>
              <w:rPr>
                <w:rFonts w:ascii="Arial" w:eastAsia="宋体" w:hAnsi="Arial" w:cs="Arial"/>
                <w:color w:val="000000"/>
              </w:rPr>
            </w:pPr>
          </w:p>
        </w:tc>
        <w:tc>
          <w:tcPr>
            <w:tcW w:w="1035" w:type="pct"/>
            <w:shd w:val="clear" w:color="auto" w:fill="F2F2F2" w:themeFill="background1" w:themeFillShade="F2"/>
          </w:tcPr>
          <w:p w14:paraId="60A9768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35-44</w:t>
            </w:r>
          </w:p>
        </w:tc>
        <w:tc>
          <w:tcPr>
            <w:tcW w:w="769" w:type="pct"/>
            <w:shd w:val="clear" w:color="auto" w:fill="F2F2F2" w:themeFill="background1" w:themeFillShade="F2"/>
          </w:tcPr>
          <w:p w14:paraId="6035DB62"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124</w:t>
            </w:r>
          </w:p>
        </w:tc>
        <w:tc>
          <w:tcPr>
            <w:tcW w:w="777" w:type="pct"/>
            <w:shd w:val="clear" w:color="auto" w:fill="F2F2F2" w:themeFill="background1" w:themeFillShade="F2"/>
          </w:tcPr>
          <w:p w14:paraId="0D2E287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30.17</w:t>
            </w:r>
          </w:p>
        </w:tc>
        <w:tc>
          <w:tcPr>
            <w:tcW w:w="1464" w:type="pct"/>
            <w:shd w:val="clear" w:color="auto" w:fill="F2F2F2" w:themeFill="background1" w:themeFillShade="F2"/>
          </w:tcPr>
          <w:p w14:paraId="3ED39D0C"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65.94</w:t>
            </w:r>
          </w:p>
        </w:tc>
      </w:tr>
      <w:tr w:rsidR="0067740A" w14:paraId="2898943A"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tcPr>
          <w:p w14:paraId="4E1A0933" w14:textId="77777777" w:rsidR="0067740A" w:rsidRDefault="0067740A">
            <w:pPr>
              <w:spacing w:line="360" w:lineRule="auto"/>
              <w:jc w:val="center"/>
              <w:rPr>
                <w:rFonts w:ascii="Arial" w:eastAsia="宋体" w:hAnsi="Arial" w:cs="Arial"/>
                <w:color w:val="000000"/>
              </w:rPr>
            </w:pPr>
          </w:p>
        </w:tc>
        <w:tc>
          <w:tcPr>
            <w:tcW w:w="1035" w:type="pct"/>
          </w:tcPr>
          <w:p w14:paraId="57DFC2EA"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rPr>
              <w:t>45-54</w:t>
            </w:r>
          </w:p>
        </w:tc>
        <w:tc>
          <w:tcPr>
            <w:tcW w:w="769" w:type="pct"/>
          </w:tcPr>
          <w:p w14:paraId="3E457F9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89</w:t>
            </w:r>
          </w:p>
        </w:tc>
        <w:tc>
          <w:tcPr>
            <w:tcW w:w="777" w:type="pct"/>
          </w:tcPr>
          <w:p w14:paraId="0B3CDC57"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21.65</w:t>
            </w:r>
          </w:p>
        </w:tc>
        <w:tc>
          <w:tcPr>
            <w:tcW w:w="1464" w:type="pct"/>
          </w:tcPr>
          <w:p w14:paraId="38DD9B38"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87.59</w:t>
            </w:r>
          </w:p>
        </w:tc>
      </w:tr>
      <w:tr w:rsidR="0067740A" w14:paraId="33B10E9C"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shd w:val="clear" w:color="auto" w:fill="F2F2F2" w:themeFill="background1" w:themeFillShade="F2"/>
          </w:tcPr>
          <w:p w14:paraId="007B4998" w14:textId="77777777" w:rsidR="0067740A" w:rsidRDefault="0067740A">
            <w:pPr>
              <w:spacing w:line="360" w:lineRule="auto"/>
              <w:jc w:val="center"/>
              <w:rPr>
                <w:rFonts w:ascii="Arial" w:eastAsia="宋体" w:hAnsi="Arial" w:cs="Arial"/>
                <w:color w:val="000000"/>
              </w:rPr>
            </w:pPr>
          </w:p>
        </w:tc>
        <w:tc>
          <w:tcPr>
            <w:tcW w:w="1035" w:type="pct"/>
            <w:shd w:val="clear" w:color="auto" w:fill="F2F2F2" w:themeFill="background1" w:themeFillShade="F2"/>
          </w:tcPr>
          <w:p w14:paraId="14C2FB8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55-64</w:t>
            </w:r>
          </w:p>
        </w:tc>
        <w:tc>
          <w:tcPr>
            <w:tcW w:w="769" w:type="pct"/>
            <w:shd w:val="clear" w:color="auto" w:fill="F2F2F2" w:themeFill="background1" w:themeFillShade="F2"/>
          </w:tcPr>
          <w:p w14:paraId="1737289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51</w:t>
            </w:r>
          </w:p>
        </w:tc>
        <w:tc>
          <w:tcPr>
            <w:tcW w:w="777" w:type="pct"/>
            <w:shd w:val="clear" w:color="auto" w:fill="F2F2F2" w:themeFill="background1" w:themeFillShade="F2"/>
          </w:tcPr>
          <w:p w14:paraId="3A1C9B42"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12.41</w:t>
            </w:r>
          </w:p>
        </w:tc>
        <w:tc>
          <w:tcPr>
            <w:tcW w:w="1464" w:type="pct"/>
            <w:shd w:val="clear" w:color="auto" w:fill="F2F2F2" w:themeFill="background1" w:themeFillShade="F2"/>
          </w:tcPr>
          <w:p w14:paraId="767CFAD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100.00</w:t>
            </w:r>
          </w:p>
        </w:tc>
      </w:tr>
      <w:tr w:rsidR="0067740A" w14:paraId="176D1587"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val="restart"/>
          </w:tcPr>
          <w:p w14:paraId="2A8A492B" w14:textId="77777777" w:rsidR="0067740A" w:rsidRDefault="00000000">
            <w:pPr>
              <w:numPr>
                <w:ilvl w:val="0"/>
                <w:numId w:val="12"/>
              </w:numPr>
              <w:spacing w:line="360" w:lineRule="auto"/>
              <w:jc w:val="center"/>
              <w:rPr>
                <w:rFonts w:ascii="Arial" w:eastAsia="宋体" w:hAnsi="Arial" w:cs="Arial"/>
                <w:color w:val="000000"/>
              </w:rPr>
            </w:pPr>
            <w:r>
              <w:rPr>
                <w:rFonts w:ascii="Arial" w:eastAsia="宋体" w:hAnsi="Arial" w:cs="Arial"/>
                <w:color w:val="000000"/>
                <w:lang w:bidi="ar"/>
              </w:rPr>
              <w:t>Gender</w:t>
            </w:r>
          </w:p>
        </w:tc>
        <w:tc>
          <w:tcPr>
            <w:tcW w:w="1035" w:type="pct"/>
          </w:tcPr>
          <w:p w14:paraId="1625CFF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Male</w:t>
            </w:r>
          </w:p>
        </w:tc>
        <w:tc>
          <w:tcPr>
            <w:tcW w:w="769" w:type="pct"/>
          </w:tcPr>
          <w:p w14:paraId="43A6F172"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209</w:t>
            </w:r>
          </w:p>
        </w:tc>
        <w:tc>
          <w:tcPr>
            <w:tcW w:w="777" w:type="pct"/>
          </w:tcPr>
          <w:p w14:paraId="7689724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50.85</w:t>
            </w:r>
          </w:p>
        </w:tc>
        <w:tc>
          <w:tcPr>
            <w:tcW w:w="1464" w:type="pct"/>
          </w:tcPr>
          <w:p w14:paraId="11F24C7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50.85</w:t>
            </w:r>
          </w:p>
        </w:tc>
      </w:tr>
      <w:tr w:rsidR="0067740A" w14:paraId="5FC5FE37"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shd w:val="clear" w:color="auto" w:fill="F2F2F2" w:themeFill="background1" w:themeFillShade="F2"/>
          </w:tcPr>
          <w:p w14:paraId="4EDFA5C6" w14:textId="77777777" w:rsidR="0067740A" w:rsidRDefault="0067740A">
            <w:pPr>
              <w:spacing w:line="360" w:lineRule="auto"/>
              <w:jc w:val="center"/>
              <w:rPr>
                <w:rFonts w:ascii="Arial" w:eastAsia="宋体" w:hAnsi="Arial" w:cs="Arial"/>
                <w:color w:val="000000"/>
              </w:rPr>
            </w:pPr>
          </w:p>
        </w:tc>
        <w:tc>
          <w:tcPr>
            <w:tcW w:w="1035" w:type="pct"/>
            <w:shd w:val="clear" w:color="auto" w:fill="F2F2F2" w:themeFill="background1" w:themeFillShade="F2"/>
          </w:tcPr>
          <w:p w14:paraId="74E76C93"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Female</w:t>
            </w:r>
          </w:p>
        </w:tc>
        <w:tc>
          <w:tcPr>
            <w:tcW w:w="769" w:type="pct"/>
            <w:shd w:val="clear" w:color="auto" w:fill="F2F2F2" w:themeFill="background1" w:themeFillShade="F2"/>
          </w:tcPr>
          <w:p w14:paraId="6D3D46D3"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202</w:t>
            </w:r>
          </w:p>
        </w:tc>
        <w:tc>
          <w:tcPr>
            <w:tcW w:w="777" w:type="pct"/>
            <w:shd w:val="clear" w:color="auto" w:fill="F2F2F2" w:themeFill="background1" w:themeFillShade="F2"/>
          </w:tcPr>
          <w:p w14:paraId="62D2FD6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49.15</w:t>
            </w:r>
          </w:p>
        </w:tc>
        <w:tc>
          <w:tcPr>
            <w:tcW w:w="1464" w:type="pct"/>
            <w:shd w:val="clear" w:color="auto" w:fill="F2F2F2" w:themeFill="background1" w:themeFillShade="F2"/>
          </w:tcPr>
          <w:p w14:paraId="5350D9F2"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100.00</w:t>
            </w:r>
          </w:p>
        </w:tc>
      </w:tr>
      <w:tr w:rsidR="0067740A" w14:paraId="4359AE7D"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val="restart"/>
          </w:tcPr>
          <w:p w14:paraId="49B673FF" w14:textId="77777777" w:rsidR="0067740A" w:rsidRDefault="00000000">
            <w:pPr>
              <w:numPr>
                <w:ilvl w:val="0"/>
                <w:numId w:val="12"/>
              </w:numPr>
              <w:spacing w:line="360" w:lineRule="auto"/>
              <w:jc w:val="center"/>
              <w:rPr>
                <w:rFonts w:ascii="Arial" w:eastAsia="宋体" w:hAnsi="Arial" w:cs="Arial"/>
                <w:color w:val="000000"/>
              </w:rPr>
            </w:pPr>
            <w:r>
              <w:rPr>
                <w:rFonts w:ascii="Arial" w:eastAsia="宋体" w:hAnsi="Arial" w:cs="Arial"/>
                <w:color w:val="000000"/>
                <w:lang w:bidi="ar"/>
              </w:rPr>
              <w:t>Education Level</w:t>
            </w:r>
          </w:p>
        </w:tc>
        <w:tc>
          <w:tcPr>
            <w:tcW w:w="1035" w:type="pct"/>
          </w:tcPr>
          <w:p w14:paraId="778CECA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High school or lower</w:t>
            </w:r>
          </w:p>
        </w:tc>
        <w:tc>
          <w:tcPr>
            <w:tcW w:w="769" w:type="pct"/>
          </w:tcPr>
          <w:p w14:paraId="7460B064"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84</w:t>
            </w:r>
          </w:p>
        </w:tc>
        <w:tc>
          <w:tcPr>
            <w:tcW w:w="777" w:type="pct"/>
          </w:tcPr>
          <w:p w14:paraId="3C5BDCCC"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20.44</w:t>
            </w:r>
          </w:p>
        </w:tc>
        <w:tc>
          <w:tcPr>
            <w:tcW w:w="1464" w:type="pct"/>
          </w:tcPr>
          <w:p w14:paraId="2B324A5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20.44</w:t>
            </w:r>
          </w:p>
        </w:tc>
      </w:tr>
      <w:tr w:rsidR="0067740A" w14:paraId="75907155"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shd w:val="clear" w:color="auto" w:fill="F2F2F2" w:themeFill="background1" w:themeFillShade="F2"/>
          </w:tcPr>
          <w:p w14:paraId="6287B990" w14:textId="77777777" w:rsidR="0067740A" w:rsidRDefault="0067740A">
            <w:pPr>
              <w:spacing w:line="360" w:lineRule="auto"/>
              <w:jc w:val="center"/>
              <w:rPr>
                <w:rFonts w:ascii="Arial" w:eastAsia="宋体" w:hAnsi="Arial" w:cs="Arial"/>
                <w:color w:val="000000"/>
              </w:rPr>
            </w:pPr>
          </w:p>
        </w:tc>
        <w:tc>
          <w:tcPr>
            <w:tcW w:w="1035" w:type="pct"/>
            <w:shd w:val="clear" w:color="auto" w:fill="F2F2F2" w:themeFill="background1" w:themeFillShade="F2"/>
          </w:tcPr>
          <w:p w14:paraId="0BE6C672"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Associate degree</w:t>
            </w:r>
          </w:p>
        </w:tc>
        <w:tc>
          <w:tcPr>
            <w:tcW w:w="769" w:type="pct"/>
            <w:shd w:val="clear" w:color="auto" w:fill="F2F2F2" w:themeFill="background1" w:themeFillShade="F2"/>
          </w:tcPr>
          <w:p w14:paraId="2F57C3E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152</w:t>
            </w:r>
          </w:p>
        </w:tc>
        <w:tc>
          <w:tcPr>
            <w:tcW w:w="777" w:type="pct"/>
            <w:shd w:val="clear" w:color="auto" w:fill="F2F2F2" w:themeFill="background1" w:themeFillShade="F2"/>
          </w:tcPr>
          <w:p w14:paraId="550443FF"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36.98</w:t>
            </w:r>
          </w:p>
        </w:tc>
        <w:tc>
          <w:tcPr>
            <w:tcW w:w="1464" w:type="pct"/>
            <w:shd w:val="clear" w:color="auto" w:fill="F2F2F2" w:themeFill="background1" w:themeFillShade="F2"/>
          </w:tcPr>
          <w:p w14:paraId="1FB172D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57.42</w:t>
            </w:r>
          </w:p>
        </w:tc>
      </w:tr>
      <w:tr w:rsidR="0067740A" w14:paraId="115EB3F8"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tcPr>
          <w:p w14:paraId="4158BD0B" w14:textId="77777777" w:rsidR="0067740A" w:rsidRDefault="0067740A">
            <w:pPr>
              <w:spacing w:line="360" w:lineRule="auto"/>
              <w:jc w:val="center"/>
              <w:rPr>
                <w:rFonts w:ascii="Arial" w:eastAsia="宋体" w:hAnsi="Arial" w:cs="Arial"/>
                <w:color w:val="000000"/>
              </w:rPr>
            </w:pPr>
          </w:p>
        </w:tc>
        <w:tc>
          <w:tcPr>
            <w:tcW w:w="1035" w:type="pct"/>
          </w:tcPr>
          <w:p w14:paraId="04592FE2"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Bachelor’s degree</w:t>
            </w:r>
          </w:p>
        </w:tc>
        <w:tc>
          <w:tcPr>
            <w:tcW w:w="769" w:type="pct"/>
          </w:tcPr>
          <w:p w14:paraId="6C8E9F4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104</w:t>
            </w:r>
          </w:p>
        </w:tc>
        <w:tc>
          <w:tcPr>
            <w:tcW w:w="777" w:type="pct"/>
          </w:tcPr>
          <w:p w14:paraId="36807C9F"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25.30</w:t>
            </w:r>
          </w:p>
        </w:tc>
        <w:tc>
          <w:tcPr>
            <w:tcW w:w="1464" w:type="pct"/>
          </w:tcPr>
          <w:p w14:paraId="7A39AAE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82.73</w:t>
            </w:r>
          </w:p>
        </w:tc>
      </w:tr>
      <w:tr w:rsidR="0067740A" w14:paraId="1E390064"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shd w:val="clear" w:color="auto" w:fill="F2F2F2" w:themeFill="background1" w:themeFillShade="F2"/>
          </w:tcPr>
          <w:p w14:paraId="792AE637" w14:textId="77777777" w:rsidR="0067740A" w:rsidRDefault="0067740A">
            <w:pPr>
              <w:spacing w:line="360" w:lineRule="auto"/>
              <w:jc w:val="center"/>
              <w:rPr>
                <w:rFonts w:ascii="Arial" w:eastAsia="宋体" w:hAnsi="Arial" w:cs="Arial"/>
                <w:color w:val="000000"/>
              </w:rPr>
            </w:pPr>
          </w:p>
        </w:tc>
        <w:tc>
          <w:tcPr>
            <w:tcW w:w="1035" w:type="pct"/>
            <w:shd w:val="clear" w:color="auto" w:fill="F2F2F2" w:themeFill="background1" w:themeFillShade="F2"/>
          </w:tcPr>
          <w:p w14:paraId="7DCEC3D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Master’s degree</w:t>
            </w:r>
          </w:p>
        </w:tc>
        <w:tc>
          <w:tcPr>
            <w:tcW w:w="769" w:type="pct"/>
            <w:shd w:val="clear" w:color="auto" w:fill="F2F2F2" w:themeFill="background1" w:themeFillShade="F2"/>
          </w:tcPr>
          <w:p w14:paraId="003CE71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50</w:t>
            </w:r>
          </w:p>
        </w:tc>
        <w:tc>
          <w:tcPr>
            <w:tcW w:w="777" w:type="pct"/>
            <w:shd w:val="clear" w:color="auto" w:fill="F2F2F2" w:themeFill="background1" w:themeFillShade="F2"/>
          </w:tcPr>
          <w:p w14:paraId="3B7AA6F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12.17</w:t>
            </w:r>
          </w:p>
        </w:tc>
        <w:tc>
          <w:tcPr>
            <w:tcW w:w="1464" w:type="pct"/>
            <w:shd w:val="clear" w:color="auto" w:fill="F2F2F2" w:themeFill="background1" w:themeFillShade="F2"/>
          </w:tcPr>
          <w:p w14:paraId="6B6509E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94.89</w:t>
            </w:r>
          </w:p>
        </w:tc>
      </w:tr>
      <w:tr w:rsidR="0067740A" w14:paraId="483D55CB"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952" w:type="pct"/>
            <w:vMerge/>
          </w:tcPr>
          <w:p w14:paraId="0BD0B55A" w14:textId="77777777" w:rsidR="0067740A" w:rsidRDefault="0067740A">
            <w:pPr>
              <w:spacing w:line="360" w:lineRule="auto"/>
              <w:jc w:val="center"/>
              <w:rPr>
                <w:rFonts w:ascii="Arial" w:eastAsia="宋体" w:hAnsi="Arial" w:cs="Arial"/>
                <w:color w:val="000000"/>
              </w:rPr>
            </w:pPr>
          </w:p>
        </w:tc>
        <w:tc>
          <w:tcPr>
            <w:tcW w:w="1035" w:type="pct"/>
          </w:tcPr>
          <w:p w14:paraId="60C9F9F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Doctorate</w:t>
            </w:r>
          </w:p>
        </w:tc>
        <w:tc>
          <w:tcPr>
            <w:tcW w:w="769" w:type="pct"/>
          </w:tcPr>
          <w:p w14:paraId="3F864787"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21</w:t>
            </w:r>
          </w:p>
        </w:tc>
        <w:tc>
          <w:tcPr>
            <w:tcW w:w="777" w:type="pct"/>
          </w:tcPr>
          <w:p w14:paraId="1D72C9A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5.11</w:t>
            </w:r>
          </w:p>
        </w:tc>
        <w:tc>
          <w:tcPr>
            <w:tcW w:w="1464" w:type="pct"/>
          </w:tcPr>
          <w:p w14:paraId="57ADF92F"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100.00</w:t>
            </w:r>
          </w:p>
        </w:tc>
      </w:tr>
      <w:tr w:rsidR="0067740A" w14:paraId="4543AAC9"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988" w:type="pct"/>
            <w:gridSpan w:val="2"/>
            <w:shd w:val="clear" w:color="auto" w:fill="F2F2F2" w:themeFill="background1" w:themeFillShade="F2"/>
          </w:tcPr>
          <w:p w14:paraId="74111EC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769" w:type="pct"/>
            <w:shd w:val="clear" w:color="auto" w:fill="F2F2F2" w:themeFill="background1" w:themeFillShade="F2"/>
          </w:tcPr>
          <w:p w14:paraId="4FD7279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411</w:t>
            </w:r>
          </w:p>
        </w:tc>
        <w:tc>
          <w:tcPr>
            <w:tcW w:w="777" w:type="pct"/>
            <w:shd w:val="clear" w:color="auto" w:fill="F2F2F2" w:themeFill="background1" w:themeFillShade="F2"/>
          </w:tcPr>
          <w:p w14:paraId="0C179206"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w:t>
            </w:r>
          </w:p>
        </w:tc>
        <w:tc>
          <w:tcPr>
            <w:tcW w:w="1464" w:type="pct"/>
            <w:shd w:val="clear" w:color="auto" w:fill="F2F2F2" w:themeFill="background1" w:themeFillShade="F2"/>
          </w:tcPr>
          <w:p w14:paraId="7F49977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w:t>
            </w:r>
          </w:p>
        </w:tc>
      </w:tr>
    </w:tbl>
    <w:p w14:paraId="4FFBA7AD" w14:textId="77777777" w:rsidR="0067740A" w:rsidRDefault="00000000">
      <w:pPr>
        <w:pStyle w:val="a6"/>
        <w:spacing w:line="360" w:lineRule="auto"/>
        <w:ind w:left="28" w:firstLine="479"/>
        <w:rPr>
          <w:rFonts w:ascii="Arial" w:hAnsi="Arial" w:cs="Arial"/>
          <w:color w:val="000000"/>
        </w:rPr>
      </w:pPr>
      <w:r>
        <w:rPr>
          <w:rFonts w:ascii="Arial" w:hAnsi="Arial" w:cs="Arial"/>
          <w:color w:val="000000"/>
        </w:rPr>
        <w:t xml:space="preserve">As can be seen from the above table, among the 411 respondents involved in the survey, </w:t>
      </w:r>
      <w:r>
        <w:rPr>
          <w:rFonts w:ascii="Arial" w:hAnsi="Arial" w:cs="Arial"/>
          <w:lang w:eastAsia="zh-CN"/>
        </w:rPr>
        <w:t>t</w:t>
      </w:r>
      <w:r>
        <w:rPr>
          <w:rFonts w:ascii="Arial" w:hAnsi="Arial" w:cs="Arial"/>
        </w:rPr>
        <w:t>he 25-34 age group constitutes 35.77% of respondents, followed by the 35-44 age group at 30.17%.</w:t>
      </w:r>
      <w:r>
        <w:rPr>
          <w:rFonts w:ascii="Arial" w:hAnsi="Arial" w:cs="Arial"/>
          <w:lang w:eastAsia="zh-CN"/>
        </w:rPr>
        <w:t xml:space="preserve"> </w:t>
      </w:r>
      <w:r>
        <w:rPr>
          <w:rFonts w:ascii="Arial" w:hAnsi="Arial" w:cs="Arial"/>
        </w:rPr>
        <w:t>The 45-54 and 55-64 age groups represent 21.65% and 12.41%, respectively, forming a comprehensive age distribution.</w:t>
      </w:r>
      <w:r>
        <w:rPr>
          <w:rFonts w:ascii="Arial" w:hAnsi="Arial" w:cs="Arial"/>
          <w:lang w:eastAsia="zh-CN"/>
        </w:rPr>
        <w:t xml:space="preserve"> </w:t>
      </w:r>
      <w:r>
        <w:rPr>
          <w:rFonts w:ascii="Arial" w:hAnsi="Arial" w:cs="Arial"/>
        </w:rPr>
        <w:t>Regarding gender distribution, males account for 50.85% of respondents, with females slightly lower at 49.15%.</w:t>
      </w:r>
    </w:p>
    <w:p w14:paraId="045C7CB5" w14:textId="77777777" w:rsidR="0067740A" w:rsidRDefault="00000000">
      <w:pPr>
        <w:pStyle w:val="a6"/>
        <w:spacing w:line="360" w:lineRule="auto"/>
        <w:ind w:left="28" w:firstLine="479"/>
        <w:rPr>
          <w:rFonts w:ascii="Arial" w:eastAsia="宋体" w:hAnsi="Arial" w:cs="Arial"/>
        </w:rPr>
      </w:pPr>
      <w:r>
        <w:rPr>
          <w:rFonts w:ascii="Arial" w:hAnsi="Arial" w:cs="Arial"/>
        </w:rPr>
        <w:t xml:space="preserve">In terms of education level, respondents with an </w:t>
      </w:r>
      <w:proofErr w:type="gramStart"/>
      <w:r>
        <w:rPr>
          <w:rFonts w:ascii="Arial" w:hAnsi="Arial" w:cs="Arial"/>
        </w:rPr>
        <w:t>Associate</w:t>
      </w:r>
      <w:proofErr w:type="gramEnd"/>
      <w:r>
        <w:rPr>
          <w:rFonts w:ascii="Arial" w:hAnsi="Arial" w:cs="Arial"/>
        </w:rPr>
        <w:t xml:space="preserve"> degree topped the list at</w:t>
      </w:r>
      <w:r>
        <w:rPr>
          <w:rFonts w:ascii="Arial" w:hAnsi="Arial" w:cs="Arial"/>
          <w:lang w:eastAsia="zh-CN"/>
        </w:rPr>
        <w:t xml:space="preserve"> </w:t>
      </w:r>
      <w:r>
        <w:rPr>
          <w:rFonts w:ascii="Arial" w:hAnsi="Arial" w:cs="Arial"/>
        </w:rPr>
        <w:t xml:space="preserve">36.98%, followed by a high school degree or below at 20.44%. Those with a </w:t>
      </w:r>
      <w:proofErr w:type="gramStart"/>
      <w:r>
        <w:rPr>
          <w:rFonts w:ascii="Arial" w:hAnsi="Arial" w:cs="Arial"/>
        </w:rPr>
        <w:t>Bachelor’s</w:t>
      </w:r>
      <w:proofErr w:type="gramEnd"/>
      <w:r>
        <w:rPr>
          <w:rFonts w:ascii="Arial" w:hAnsi="Arial" w:cs="Arial"/>
        </w:rPr>
        <w:t xml:space="preserve"> degree accounted for 25.30%, showing a high educational penetration rate. Respondents with Master’s and Doctorate degrees account for 12.17% and 5.11%, respectively, indicating that highly educated individuals constitute a small but significant segment of the population.</w:t>
      </w:r>
    </w:p>
    <w:tbl>
      <w:tblPr>
        <w:tblStyle w:val="PlainTable11"/>
        <w:tblW w:w="5000" w:type="pct"/>
        <w:tblLook w:val="04A0" w:firstRow="1" w:lastRow="0" w:firstColumn="1" w:lastColumn="0" w:noHBand="0" w:noVBand="1"/>
      </w:tblPr>
      <w:tblGrid>
        <w:gridCol w:w="2042"/>
        <w:gridCol w:w="2048"/>
        <w:gridCol w:w="1350"/>
        <w:gridCol w:w="1817"/>
        <w:gridCol w:w="2093"/>
      </w:tblGrid>
      <w:tr w:rsidR="0067740A" w14:paraId="17178DFE" w14:textId="77777777" w:rsidTr="0067740A">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5000" w:type="pct"/>
            <w:gridSpan w:val="5"/>
          </w:tcPr>
          <w:p w14:paraId="6B28CB9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lastRenderedPageBreak/>
              <w:t>Frequency Analysis Results  </w:t>
            </w:r>
          </w:p>
        </w:tc>
      </w:tr>
      <w:tr w:rsidR="0067740A" w14:paraId="7FA2B864"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shd w:val="clear" w:color="auto" w:fill="F2F2F2" w:themeFill="background1" w:themeFillShade="F2"/>
          </w:tcPr>
          <w:p w14:paraId="7DAF01D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Name</w:t>
            </w:r>
          </w:p>
        </w:tc>
        <w:tc>
          <w:tcPr>
            <w:tcW w:w="1232" w:type="pct"/>
            <w:shd w:val="clear" w:color="auto" w:fill="F2F2F2" w:themeFill="background1" w:themeFillShade="F2"/>
          </w:tcPr>
          <w:p w14:paraId="3DE69AA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Options</w:t>
            </w:r>
          </w:p>
        </w:tc>
        <w:tc>
          <w:tcPr>
            <w:tcW w:w="582" w:type="pct"/>
            <w:shd w:val="clear" w:color="auto" w:fill="F2F2F2" w:themeFill="background1" w:themeFillShade="F2"/>
          </w:tcPr>
          <w:p w14:paraId="52C6E03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Frequency</w:t>
            </w:r>
          </w:p>
        </w:tc>
        <w:tc>
          <w:tcPr>
            <w:tcW w:w="701" w:type="pct"/>
            <w:shd w:val="clear" w:color="auto" w:fill="F2F2F2" w:themeFill="background1" w:themeFillShade="F2"/>
          </w:tcPr>
          <w:p w14:paraId="32937924"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Percentage(%)</w:t>
            </w:r>
          </w:p>
        </w:tc>
        <w:tc>
          <w:tcPr>
            <w:tcW w:w="1255" w:type="pct"/>
            <w:shd w:val="clear" w:color="auto" w:fill="F2F2F2" w:themeFill="background1" w:themeFillShade="F2"/>
          </w:tcPr>
          <w:p w14:paraId="5E9B1C8A"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Cumulative Percentage(%)</w:t>
            </w:r>
            <w:r>
              <w:rPr>
                <w:rFonts w:ascii="Arial" w:eastAsia="宋体" w:hAnsi="Arial" w:cs="Arial"/>
                <w:color w:val="CCCCCC"/>
                <w:lang w:bidi="ar"/>
              </w:rPr>
              <w:t></w:t>
            </w:r>
          </w:p>
        </w:tc>
      </w:tr>
      <w:tr w:rsidR="0067740A" w14:paraId="25B70C0C" w14:textId="77777777" w:rsidTr="0067740A">
        <w:trPr>
          <w:trHeight w:val="518"/>
        </w:trPr>
        <w:tc>
          <w:tcPr>
            <w:cnfStyle w:val="001000000000" w:firstRow="0" w:lastRow="0" w:firstColumn="1" w:lastColumn="0" w:oddVBand="0" w:evenVBand="0" w:oddHBand="0" w:evenHBand="0" w:firstRowFirstColumn="0" w:firstRowLastColumn="0" w:lastRowFirstColumn="0" w:lastRowLastColumn="0"/>
            <w:tcW w:w="1229" w:type="pct"/>
            <w:vMerge w:val="restart"/>
          </w:tcPr>
          <w:p w14:paraId="2088C180" w14:textId="77777777" w:rsidR="0067740A" w:rsidRDefault="00000000">
            <w:pPr>
              <w:numPr>
                <w:ilvl w:val="0"/>
                <w:numId w:val="12"/>
              </w:numPr>
              <w:spacing w:line="360" w:lineRule="auto"/>
              <w:jc w:val="center"/>
              <w:rPr>
                <w:rFonts w:ascii="Arial" w:eastAsia="宋体" w:hAnsi="Arial" w:cs="Arial"/>
                <w:color w:val="000000"/>
              </w:rPr>
            </w:pPr>
            <w:r>
              <w:rPr>
                <w:rFonts w:ascii="Arial" w:eastAsia="宋体" w:hAnsi="Arial" w:cs="Arial"/>
                <w:color w:val="000000"/>
                <w:lang w:bidi="ar"/>
              </w:rPr>
              <w:t>Income Level (Annual)</w:t>
            </w:r>
          </w:p>
        </w:tc>
        <w:tc>
          <w:tcPr>
            <w:tcW w:w="1232" w:type="pct"/>
          </w:tcPr>
          <w:p w14:paraId="39741801" w14:textId="77777777" w:rsidR="0067740A" w:rsidRDefault="00000000">
            <w:pPr>
              <w:tabs>
                <w:tab w:val="left" w:pos="720"/>
                <w:tab w:val="left" w:pos="144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Under ¥50,000</w:t>
            </w:r>
          </w:p>
        </w:tc>
        <w:tc>
          <w:tcPr>
            <w:tcW w:w="582" w:type="pct"/>
          </w:tcPr>
          <w:p w14:paraId="35C9A34C"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27</w:t>
            </w:r>
          </w:p>
        </w:tc>
        <w:tc>
          <w:tcPr>
            <w:tcW w:w="701" w:type="pct"/>
          </w:tcPr>
          <w:p w14:paraId="138A78A6"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6.57</w:t>
            </w:r>
          </w:p>
        </w:tc>
        <w:tc>
          <w:tcPr>
            <w:tcW w:w="1255" w:type="pct"/>
          </w:tcPr>
          <w:p w14:paraId="42432A3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6.57</w:t>
            </w:r>
          </w:p>
        </w:tc>
      </w:tr>
      <w:tr w:rsidR="0067740A" w14:paraId="4AF89DA1"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shd w:val="clear" w:color="auto" w:fill="F2F2F2" w:themeFill="background1" w:themeFillShade="F2"/>
          </w:tcPr>
          <w:p w14:paraId="7A55E533" w14:textId="77777777" w:rsidR="0067740A" w:rsidRDefault="0067740A">
            <w:pPr>
              <w:spacing w:line="360" w:lineRule="auto"/>
              <w:jc w:val="center"/>
              <w:rPr>
                <w:rFonts w:ascii="Arial" w:eastAsia="宋体" w:hAnsi="Arial" w:cs="Arial"/>
                <w:color w:val="000000"/>
              </w:rPr>
            </w:pPr>
          </w:p>
        </w:tc>
        <w:tc>
          <w:tcPr>
            <w:tcW w:w="1232" w:type="pct"/>
            <w:shd w:val="clear" w:color="auto" w:fill="F2F2F2" w:themeFill="background1" w:themeFillShade="F2"/>
          </w:tcPr>
          <w:p w14:paraId="4C46C23F" w14:textId="77777777" w:rsidR="0067740A" w:rsidRDefault="00000000">
            <w:pPr>
              <w:tabs>
                <w:tab w:val="left" w:pos="720"/>
                <w:tab w:val="left" w:pos="144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¥50,000-¥100,000</w:t>
            </w:r>
          </w:p>
        </w:tc>
        <w:tc>
          <w:tcPr>
            <w:tcW w:w="582" w:type="pct"/>
            <w:shd w:val="clear" w:color="auto" w:fill="F2F2F2" w:themeFill="background1" w:themeFillShade="F2"/>
          </w:tcPr>
          <w:p w14:paraId="5196DA4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49</w:t>
            </w:r>
          </w:p>
        </w:tc>
        <w:tc>
          <w:tcPr>
            <w:tcW w:w="701" w:type="pct"/>
            <w:shd w:val="clear" w:color="auto" w:fill="F2F2F2" w:themeFill="background1" w:themeFillShade="F2"/>
          </w:tcPr>
          <w:p w14:paraId="2341C00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11.92</w:t>
            </w:r>
          </w:p>
        </w:tc>
        <w:tc>
          <w:tcPr>
            <w:tcW w:w="1255" w:type="pct"/>
            <w:shd w:val="clear" w:color="auto" w:fill="F2F2F2" w:themeFill="background1" w:themeFillShade="F2"/>
          </w:tcPr>
          <w:p w14:paraId="2C6F756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18.49</w:t>
            </w:r>
          </w:p>
        </w:tc>
      </w:tr>
      <w:tr w:rsidR="0067740A" w14:paraId="4DC0F8BC"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tcPr>
          <w:p w14:paraId="3EC40AD2" w14:textId="77777777" w:rsidR="0067740A" w:rsidRDefault="0067740A">
            <w:pPr>
              <w:spacing w:line="360" w:lineRule="auto"/>
              <w:jc w:val="center"/>
              <w:rPr>
                <w:rFonts w:ascii="Arial" w:eastAsia="宋体" w:hAnsi="Arial" w:cs="Arial"/>
                <w:color w:val="000000"/>
              </w:rPr>
            </w:pPr>
          </w:p>
        </w:tc>
        <w:tc>
          <w:tcPr>
            <w:tcW w:w="1232" w:type="pct"/>
          </w:tcPr>
          <w:p w14:paraId="01DFF242" w14:textId="77777777" w:rsidR="0067740A" w:rsidRDefault="00000000">
            <w:pPr>
              <w:tabs>
                <w:tab w:val="left" w:pos="720"/>
                <w:tab w:val="left" w:pos="144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¥100,001-¥200,000</w:t>
            </w:r>
          </w:p>
        </w:tc>
        <w:tc>
          <w:tcPr>
            <w:tcW w:w="582" w:type="pct"/>
          </w:tcPr>
          <w:p w14:paraId="075D8AE6"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120</w:t>
            </w:r>
          </w:p>
        </w:tc>
        <w:tc>
          <w:tcPr>
            <w:tcW w:w="701" w:type="pct"/>
          </w:tcPr>
          <w:p w14:paraId="2AA6408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29.20</w:t>
            </w:r>
          </w:p>
        </w:tc>
        <w:tc>
          <w:tcPr>
            <w:tcW w:w="1255" w:type="pct"/>
          </w:tcPr>
          <w:p w14:paraId="47060A2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47.69</w:t>
            </w:r>
          </w:p>
        </w:tc>
      </w:tr>
      <w:tr w:rsidR="0067740A" w14:paraId="6ACE3177"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shd w:val="clear" w:color="auto" w:fill="F2F2F2" w:themeFill="background1" w:themeFillShade="F2"/>
          </w:tcPr>
          <w:p w14:paraId="7F13361C" w14:textId="77777777" w:rsidR="0067740A" w:rsidRDefault="0067740A">
            <w:pPr>
              <w:spacing w:line="360" w:lineRule="auto"/>
              <w:jc w:val="center"/>
              <w:rPr>
                <w:rFonts w:ascii="Arial" w:eastAsia="宋体" w:hAnsi="Arial" w:cs="Arial"/>
                <w:color w:val="000000"/>
              </w:rPr>
            </w:pPr>
          </w:p>
        </w:tc>
        <w:tc>
          <w:tcPr>
            <w:tcW w:w="1232" w:type="pct"/>
            <w:shd w:val="clear" w:color="auto" w:fill="F2F2F2" w:themeFill="background1" w:themeFillShade="F2"/>
          </w:tcPr>
          <w:p w14:paraId="1F0FCD01" w14:textId="77777777" w:rsidR="0067740A" w:rsidRDefault="00000000">
            <w:pPr>
              <w:tabs>
                <w:tab w:val="left" w:pos="720"/>
                <w:tab w:val="left" w:pos="144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¥200,001-¥300,000</w:t>
            </w:r>
          </w:p>
        </w:tc>
        <w:tc>
          <w:tcPr>
            <w:tcW w:w="582" w:type="pct"/>
            <w:shd w:val="clear" w:color="auto" w:fill="F2F2F2" w:themeFill="background1" w:themeFillShade="F2"/>
          </w:tcPr>
          <w:p w14:paraId="3C386A5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90</w:t>
            </w:r>
          </w:p>
        </w:tc>
        <w:tc>
          <w:tcPr>
            <w:tcW w:w="701" w:type="pct"/>
            <w:shd w:val="clear" w:color="auto" w:fill="F2F2F2" w:themeFill="background1" w:themeFillShade="F2"/>
          </w:tcPr>
          <w:p w14:paraId="5B556B2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21.90</w:t>
            </w:r>
          </w:p>
        </w:tc>
        <w:tc>
          <w:tcPr>
            <w:tcW w:w="1255" w:type="pct"/>
            <w:shd w:val="clear" w:color="auto" w:fill="F2F2F2" w:themeFill="background1" w:themeFillShade="F2"/>
          </w:tcPr>
          <w:p w14:paraId="76FD345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69.59</w:t>
            </w:r>
          </w:p>
        </w:tc>
      </w:tr>
      <w:tr w:rsidR="0067740A" w14:paraId="56F610BD"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tcPr>
          <w:p w14:paraId="034C9B18" w14:textId="77777777" w:rsidR="0067740A" w:rsidRDefault="0067740A">
            <w:pPr>
              <w:spacing w:line="360" w:lineRule="auto"/>
              <w:jc w:val="center"/>
              <w:rPr>
                <w:rFonts w:ascii="Arial" w:eastAsia="宋体" w:hAnsi="Arial" w:cs="Arial"/>
                <w:color w:val="000000"/>
              </w:rPr>
            </w:pPr>
          </w:p>
        </w:tc>
        <w:tc>
          <w:tcPr>
            <w:tcW w:w="1232" w:type="pct"/>
          </w:tcPr>
          <w:p w14:paraId="2CE69ABF" w14:textId="77777777" w:rsidR="0067740A" w:rsidRDefault="00000000">
            <w:pPr>
              <w:tabs>
                <w:tab w:val="left" w:pos="720"/>
                <w:tab w:val="left" w:pos="144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¥300,001-¥500,000</w:t>
            </w:r>
          </w:p>
        </w:tc>
        <w:tc>
          <w:tcPr>
            <w:tcW w:w="582" w:type="pct"/>
          </w:tcPr>
          <w:p w14:paraId="25CB5F9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9</w:t>
            </w:r>
          </w:p>
        </w:tc>
        <w:tc>
          <w:tcPr>
            <w:tcW w:w="701" w:type="pct"/>
          </w:tcPr>
          <w:p w14:paraId="061FECC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2.19</w:t>
            </w:r>
          </w:p>
        </w:tc>
        <w:tc>
          <w:tcPr>
            <w:tcW w:w="1255" w:type="pct"/>
          </w:tcPr>
          <w:p w14:paraId="11CBEAA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71.78</w:t>
            </w:r>
          </w:p>
        </w:tc>
      </w:tr>
      <w:tr w:rsidR="0067740A" w14:paraId="4AB35022"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shd w:val="clear" w:color="auto" w:fill="F2F2F2" w:themeFill="background1" w:themeFillShade="F2"/>
          </w:tcPr>
          <w:p w14:paraId="38ECF71B" w14:textId="77777777" w:rsidR="0067740A" w:rsidRDefault="0067740A">
            <w:pPr>
              <w:spacing w:line="360" w:lineRule="auto"/>
              <w:jc w:val="center"/>
              <w:rPr>
                <w:rFonts w:ascii="Arial" w:eastAsia="宋体" w:hAnsi="Arial" w:cs="Arial"/>
                <w:color w:val="000000"/>
              </w:rPr>
            </w:pPr>
          </w:p>
        </w:tc>
        <w:tc>
          <w:tcPr>
            <w:tcW w:w="1232" w:type="pct"/>
            <w:shd w:val="clear" w:color="auto" w:fill="F2F2F2" w:themeFill="background1" w:themeFillShade="F2"/>
          </w:tcPr>
          <w:p w14:paraId="75D0957B"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Above ¥500,000</w:t>
            </w:r>
          </w:p>
        </w:tc>
        <w:tc>
          <w:tcPr>
            <w:tcW w:w="582" w:type="pct"/>
            <w:shd w:val="clear" w:color="auto" w:fill="F2F2F2" w:themeFill="background1" w:themeFillShade="F2"/>
          </w:tcPr>
          <w:p w14:paraId="5E03853F"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116</w:t>
            </w:r>
          </w:p>
        </w:tc>
        <w:tc>
          <w:tcPr>
            <w:tcW w:w="701" w:type="pct"/>
            <w:shd w:val="clear" w:color="auto" w:fill="F2F2F2" w:themeFill="background1" w:themeFillShade="F2"/>
          </w:tcPr>
          <w:p w14:paraId="481B9B93"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28.22</w:t>
            </w:r>
          </w:p>
        </w:tc>
        <w:tc>
          <w:tcPr>
            <w:tcW w:w="1255" w:type="pct"/>
            <w:shd w:val="clear" w:color="auto" w:fill="F2F2F2" w:themeFill="background1" w:themeFillShade="F2"/>
          </w:tcPr>
          <w:p w14:paraId="662C408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100.00</w:t>
            </w:r>
          </w:p>
        </w:tc>
      </w:tr>
      <w:tr w:rsidR="0067740A" w14:paraId="0BBCD8CF"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val="restart"/>
          </w:tcPr>
          <w:p w14:paraId="5C15F5D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 Location</w:t>
            </w:r>
          </w:p>
        </w:tc>
        <w:tc>
          <w:tcPr>
            <w:tcW w:w="1232" w:type="pct"/>
          </w:tcPr>
          <w:p w14:paraId="518498D0"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Urba</w:t>
            </w:r>
            <w:r>
              <w:rPr>
                <w:rFonts w:ascii="Arial" w:eastAsia="宋体" w:hAnsi="Arial" w:cs="Arial"/>
                <w:lang w:val="en-GB"/>
              </w:rPr>
              <w:t>n</w:t>
            </w:r>
          </w:p>
        </w:tc>
        <w:tc>
          <w:tcPr>
            <w:tcW w:w="582" w:type="pct"/>
          </w:tcPr>
          <w:p w14:paraId="66E73263"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147</w:t>
            </w:r>
          </w:p>
        </w:tc>
        <w:tc>
          <w:tcPr>
            <w:tcW w:w="701" w:type="pct"/>
          </w:tcPr>
          <w:p w14:paraId="4E84DD1A"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35.77</w:t>
            </w:r>
          </w:p>
        </w:tc>
        <w:tc>
          <w:tcPr>
            <w:tcW w:w="1255" w:type="pct"/>
          </w:tcPr>
          <w:p w14:paraId="5A22FFD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35.77</w:t>
            </w:r>
          </w:p>
        </w:tc>
      </w:tr>
      <w:tr w:rsidR="0067740A" w14:paraId="41F30E15"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shd w:val="clear" w:color="auto" w:fill="F2F2F2" w:themeFill="background1" w:themeFillShade="F2"/>
          </w:tcPr>
          <w:p w14:paraId="66D6358B" w14:textId="77777777" w:rsidR="0067740A" w:rsidRDefault="0067740A">
            <w:pPr>
              <w:spacing w:line="360" w:lineRule="auto"/>
              <w:jc w:val="center"/>
              <w:rPr>
                <w:rFonts w:ascii="Arial" w:eastAsia="宋体" w:hAnsi="Arial" w:cs="Arial"/>
                <w:color w:val="000000"/>
              </w:rPr>
            </w:pPr>
          </w:p>
        </w:tc>
        <w:tc>
          <w:tcPr>
            <w:tcW w:w="1232" w:type="pct"/>
            <w:shd w:val="clear" w:color="auto" w:fill="F2F2F2" w:themeFill="background1" w:themeFillShade="F2"/>
          </w:tcPr>
          <w:p w14:paraId="42D1061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Suburba</w:t>
            </w:r>
            <w:r>
              <w:rPr>
                <w:rFonts w:ascii="Arial" w:eastAsia="宋体" w:hAnsi="Arial" w:cs="Arial"/>
                <w:lang w:val="en-GB"/>
              </w:rPr>
              <w:t>n</w:t>
            </w:r>
          </w:p>
        </w:tc>
        <w:tc>
          <w:tcPr>
            <w:tcW w:w="582" w:type="pct"/>
            <w:shd w:val="clear" w:color="auto" w:fill="F2F2F2" w:themeFill="background1" w:themeFillShade="F2"/>
          </w:tcPr>
          <w:p w14:paraId="67E4609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131</w:t>
            </w:r>
          </w:p>
        </w:tc>
        <w:tc>
          <w:tcPr>
            <w:tcW w:w="701" w:type="pct"/>
            <w:shd w:val="clear" w:color="auto" w:fill="F2F2F2" w:themeFill="background1" w:themeFillShade="F2"/>
          </w:tcPr>
          <w:p w14:paraId="3F5AB42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31.87</w:t>
            </w:r>
          </w:p>
        </w:tc>
        <w:tc>
          <w:tcPr>
            <w:tcW w:w="1255" w:type="pct"/>
            <w:shd w:val="clear" w:color="auto" w:fill="F2F2F2" w:themeFill="background1" w:themeFillShade="F2"/>
          </w:tcPr>
          <w:p w14:paraId="15BE55EC"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67.64</w:t>
            </w:r>
          </w:p>
        </w:tc>
      </w:tr>
      <w:tr w:rsidR="0067740A" w14:paraId="398DC8FA"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tcPr>
          <w:p w14:paraId="2470232F" w14:textId="77777777" w:rsidR="0067740A" w:rsidRDefault="0067740A">
            <w:pPr>
              <w:spacing w:line="360" w:lineRule="auto"/>
              <w:jc w:val="center"/>
              <w:rPr>
                <w:rFonts w:ascii="Arial" w:eastAsia="宋体" w:hAnsi="Arial" w:cs="Arial"/>
                <w:color w:val="000000"/>
              </w:rPr>
            </w:pPr>
          </w:p>
        </w:tc>
        <w:tc>
          <w:tcPr>
            <w:tcW w:w="1232" w:type="pct"/>
          </w:tcPr>
          <w:p w14:paraId="7D027698"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lang w:val="en-GB" w:eastAsia="en-US"/>
              </w:rPr>
              <w:t>Rural</w:t>
            </w:r>
          </w:p>
        </w:tc>
        <w:tc>
          <w:tcPr>
            <w:tcW w:w="582" w:type="pct"/>
          </w:tcPr>
          <w:p w14:paraId="628CB21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133</w:t>
            </w:r>
          </w:p>
        </w:tc>
        <w:tc>
          <w:tcPr>
            <w:tcW w:w="701" w:type="pct"/>
          </w:tcPr>
          <w:p w14:paraId="4A98BC0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32.36</w:t>
            </w:r>
          </w:p>
        </w:tc>
        <w:tc>
          <w:tcPr>
            <w:tcW w:w="1255" w:type="pct"/>
          </w:tcPr>
          <w:p w14:paraId="6073123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100.00</w:t>
            </w:r>
          </w:p>
        </w:tc>
      </w:tr>
      <w:tr w:rsidR="0067740A" w14:paraId="33C136C1"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val="restart"/>
            <w:shd w:val="clear" w:color="auto" w:fill="F2F2F2" w:themeFill="background1" w:themeFillShade="F2"/>
          </w:tcPr>
          <w:p w14:paraId="0F63FD3C" w14:textId="77777777" w:rsidR="0067740A" w:rsidRDefault="00000000">
            <w:pPr>
              <w:numPr>
                <w:ilvl w:val="0"/>
                <w:numId w:val="13"/>
              </w:numPr>
              <w:spacing w:line="360" w:lineRule="auto"/>
              <w:jc w:val="center"/>
              <w:rPr>
                <w:rFonts w:ascii="Arial" w:eastAsia="宋体" w:hAnsi="Arial" w:cs="Arial"/>
                <w:color w:val="000000"/>
              </w:rPr>
            </w:pPr>
            <w:r>
              <w:rPr>
                <w:rFonts w:ascii="Arial" w:eastAsia="宋体" w:hAnsi="Arial" w:cs="Arial"/>
                <w:color w:val="000000"/>
                <w:lang w:bidi="ar"/>
              </w:rPr>
              <w:t>How familiar are you with Volkswagen’s sustainability initiatives? (e.g., electric vehicles, green manufacturing)</w:t>
            </w:r>
          </w:p>
        </w:tc>
        <w:tc>
          <w:tcPr>
            <w:tcW w:w="1232" w:type="pct"/>
            <w:shd w:val="clear" w:color="auto" w:fill="F2F2F2" w:themeFill="background1" w:themeFillShade="F2"/>
          </w:tcPr>
          <w:p w14:paraId="09F6952E" w14:textId="77777777" w:rsidR="0067740A" w:rsidRDefault="00000000">
            <w:pPr>
              <w:tabs>
                <w:tab w:val="left" w:pos="72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lang w:val="en-GB" w:eastAsia="en-US"/>
              </w:rPr>
            </w:pPr>
            <w:r>
              <w:rPr>
                <w:rFonts w:ascii="Arial" w:eastAsia="宋体" w:hAnsi="Arial" w:cs="Arial"/>
                <w:lang w:val="en-GB" w:eastAsia="en-US"/>
              </w:rPr>
              <w:t>Not familiar at all</w:t>
            </w:r>
          </w:p>
        </w:tc>
        <w:tc>
          <w:tcPr>
            <w:tcW w:w="582" w:type="pct"/>
            <w:shd w:val="clear" w:color="auto" w:fill="F2F2F2" w:themeFill="background1" w:themeFillShade="F2"/>
          </w:tcPr>
          <w:p w14:paraId="53C5C9E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40</w:t>
            </w:r>
          </w:p>
        </w:tc>
        <w:tc>
          <w:tcPr>
            <w:tcW w:w="701" w:type="pct"/>
            <w:shd w:val="clear" w:color="auto" w:fill="F2F2F2" w:themeFill="background1" w:themeFillShade="F2"/>
          </w:tcPr>
          <w:p w14:paraId="65DF3B45"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9.73</w:t>
            </w:r>
          </w:p>
        </w:tc>
        <w:tc>
          <w:tcPr>
            <w:tcW w:w="1255" w:type="pct"/>
            <w:shd w:val="clear" w:color="auto" w:fill="F2F2F2" w:themeFill="background1" w:themeFillShade="F2"/>
          </w:tcPr>
          <w:p w14:paraId="3FF1A12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9.73</w:t>
            </w:r>
          </w:p>
        </w:tc>
      </w:tr>
      <w:tr w:rsidR="0067740A" w14:paraId="41255F21"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tcPr>
          <w:p w14:paraId="165E6A2D" w14:textId="77777777" w:rsidR="0067740A" w:rsidRDefault="0067740A">
            <w:pPr>
              <w:spacing w:line="360" w:lineRule="auto"/>
              <w:jc w:val="center"/>
              <w:rPr>
                <w:rFonts w:ascii="Arial" w:eastAsia="宋体" w:hAnsi="Arial" w:cs="Arial"/>
                <w:color w:val="000000"/>
              </w:rPr>
            </w:pPr>
          </w:p>
        </w:tc>
        <w:tc>
          <w:tcPr>
            <w:tcW w:w="1232" w:type="pct"/>
          </w:tcPr>
          <w:p w14:paraId="3F1BEE94" w14:textId="77777777" w:rsidR="0067740A" w:rsidRDefault="00000000">
            <w:pPr>
              <w:tabs>
                <w:tab w:val="left" w:pos="72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lang w:val="en-GB" w:eastAsia="en-US"/>
              </w:rPr>
            </w:pPr>
            <w:r>
              <w:rPr>
                <w:rFonts w:ascii="Arial" w:eastAsia="宋体" w:hAnsi="Arial" w:cs="Arial"/>
                <w:lang w:val="en-GB" w:eastAsia="en-US"/>
              </w:rPr>
              <w:t>Slightly familiar</w:t>
            </w:r>
          </w:p>
        </w:tc>
        <w:tc>
          <w:tcPr>
            <w:tcW w:w="582" w:type="pct"/>
          </w:tcPr>
          <w:p w14:paraId="2D9C806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26</w:t>
            </w:r>
          </w:p>
        </w:tc>
        <w:tc>
          <w:tcPr>
            <w:tcW w:w="701" w:type="pct"/>
          </w:tcPr>
          <w:p w14:paraId="67F5D03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6.33</w:t>
            </w:r>
          </w:p>
        </w:tc>
        <w:tc>
          <w:tcPr>
            <w:tcW w:w="1255" w:type="pct"/>
          </w:tcPr>
          <w:p w14:paraId="5C40E887"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16.06</w:t>
            </w:r>
          </w:p>
        </w:tc>
      </w:tr>
      <w:tr w:rsidR="0067740A" w14:paraId="29C93EF4"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shd w:val="clear" w:color="auto" w:fill="F2F2F2" w:themeFill="background1" w:themeFillShade="F2"/>
          </w:tcPr>
          <w:p w14:paraId="51BF57E5" w14:textId="77777777" w:rsidR="0067740A" w:rsidRDefault="0067740A">
            <w:pPr>
              <w:spacing w:line="360" w:lineRule="auto"/>
              <w:jc w:val="center"/>
              <w:rPr>
                <w:rFonts w:ascii="Arial" w:eastAsia="宋体" w:hAnsi="Arial" w:cs="Arial"/>
                <w:color w:val="000000"/>
              </w:rPr>
            </w:pPr>
          </w:p>
        </w:tc>
        <w:tc>
          <w:tcPr>
            <w:tcW w:w="1232" w:type="pct"/>
            <w:shd w:val="clear" w:color="auto" w:fill="F2F2F2" w:themeFill="background1" w:themeFillShade="F2"/>
          </w:tcPr>
          <w:p w14:paraId="349BBD0A" w14:textId="77777777" w:rsidR="0067740A" w:rsidRDefault="00000000">
            <w:pPr>
              <w:tabs>
                <w:tab w:val="left" w:pos="72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lang w:val="en-GB" w:eastAsia="en-US"/>
              </w:rPr>
            </w:pPr>
            <w:r>
              <w:rPr>
                <w:rFonts w:ascii="Arial" w:eastAsia="宋体" w:hAnsi="Arial" w:cs="Arial"/>
                <w:lang w:val="en-GB" w:eastAsia="en-US"/>
              </w:rPr>
              <w:t>Somewhat familiar</w:t>
            </w:r>
          </w:p>
        </w:tc>
        <w:tc>
          <w:tcPr>
            <w:tcW w:w="582" w:type="pct"/>
            <w:shd w:val="clear" w:color="auto" w:fill="F2F2F2" w:themeFill="background1" w:themeFillShade="F2"/>
          </w:tcPr>
          <w:p w14:paraId="55B0021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65</w:t>
            </w:r>
          </w:p>
        </w:tc>
        <w:tc>
          <w:tcPr>
            <w:tcW w:w="701" w:type="pct"/>
            <w:shd w:val="clear" w:color="auto" w:fill="F2F2F2" w:themeFill="background1" w:themeFillShade="F2"/>
          </w:tcPr>
          <w:p w14:paraId="5C4D4E46"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15.82</w:t>
            </w:r>
          </w:p>
        </w:tc>
        <w:tc>
          <w:tcPr>
            <w:tcW w:w="1255" w:type="pct"/>
            <w:shd w:val="clear" w:color="auto" w:fill="F2F2F2" w:themeFill="background1" w:themeFillShade="F2"/>
          </w:tcPr>
          <w:p w14:paraId="1CC0C16D"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31.87</w:t>
            </w:r>
          </w:p>
        </w:tc>
      </w:tr>
      <w:tr w:rsidR="0067740A" w14:paraId="3A2F6362"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tcPr>
          <w:p w14:paraId="2880CDA4" w14:textId="77777777" w:rsidR="0067740A" w:rsidRDefault="0067740A">
            <w:pPr>
              <w:spacing w:line="360" w:lineRule="auto"/>
              <w:jc w:val="center"/>
              <w:rPr>
                <w:rFonts w:ascii="Arial" w:eastAsia="宋体" w:hAnsi="Arial" w:cs="Arial"/>
                <w:color w:val="000000"/>
              </w:rPr>
            </w:pPr>
          </w:p>
        </w:tc>
        <w:tc>
          <w:tcPr>
            <w:tcW w:w="1232" w:type="pct"/>
          </w:tcPr>
          <w:p w14:paraId="705DCC7D" w14:textId="77777777" w:rsidR="0067740A" w:rsidRDefault="00000000">
            <w:pPr>
              <w:tabs>
                <w:tab w:val="left" w:pos="72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lang w:val="en-GB" w:eastAsia="en-US"/>
              </w:rPr>
            </w:pPr>
            <w:r>
              <w:rPr>
                <w:rFonts w:ascii="Arial" w:eastAsia="宋体" w:hAnsi="Arial" w:cs="Arial"/>
                <w:lang w:val="en-GB" w:eastAsia="en-US"/>
              </w:rPr>
              <w:t>Very familiar</w:t>
            </w:r>
          </w:p>
        </w:tc>
        <w:tc>
          <w:tcPr>
            <w:tcW w:w="582" w:type="pct"/>
          </w:tcPr>
          <w:p w14:paraId="597AD54A"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141</w:t>
            </w:r>
          </w:p>
        </w:tc>
        <w:tc>
          <w:tcPr>
            <w:tcW w:w="701" w:type="pct"/>
          </w:tcPr>
          <w:p w14:paraId="585557B7"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34.31</w:t>
            </w:r>
          </w:p>
        </w:tc>
        <w:tc>
          <w:tcPr>
            <w:tcW w:w="1255" w:type="pct"/>
          </w:tcPr>
          <w:p w14:paraId="5D12ED88"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66.18</w:t>
            </w:r>
          </w:p>
        </w:tc>
      </w:tr>
      <w:tr w:rsidR="0067740A" w14:paraId="6602F18B"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1229" w:type="pct"/>
            <w:vMerge/>
            <w:shd w:val="clear" w:color="auto" w:fill="F2F2F2" w:themeFill="background1" w:themeFillShade="F2"/>
          </w:tcPr>
          <w:p w14:paraId="47046C6F" w14:textId="77777777" w:rsidR="0067740A" w:rsidRDefault="0067740A">
            <w:pPr>
              <w:spacing w:line="360" w:lineRule="auto"/>
              <w:jc w:val="center"/>
              <w:rPr>
                <w:rFonts w:ascii="Arial" w:eastAsia="宋体" w:hAnsi="Arial" w:cs="Arial"/>
                <w:color w:val="000000"/>
              </w:rPr>
            </w:pPr>
          </w:p>
        </w:tc>
        <w:tc>
          <w:tcPr>
            <w:tcW w:w="1232" w:type="pct"/>
            <w:shd w:val="clear" w:color="auto" w:fill="F2F2F2" w:themeFill="background1" w:themeFillShade="F2"/>
          </w:tcPr>
          <w:p w14:paraId="0FC0C342" w14:textId="77777777" w:rsidR="0067740A" w:rsidRDefault="00000000">
            <w:pPr>
              <w:tabs>
                <w:tab w:val="left" w:pos="720"/>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lang w:val="en-GB" w:eastAsia="en-US"/>
              </w:rPr>
            </w:pPr>
            <w:r>
              <w:rPr>
                <w:rFonts w:ascii="Arial" w:eastAsia="宋体" w:hAnsi="Arial" w:cs="Arial"/>
                <w:lang w:val="en-GB" w:eastAsia="en-US"/>
              </w:rPr>
              <w:t>Extremely familiar</w:t>
            </w:r>
          </w:p>
        </w:tc>
        <w:tc>
          <w:tcPr>
            <w:tcW w:w="582" w:type="pct"/>
            <w:shd w:val="clear" w:color="auto" w:fill="F2F2F2" w:themeFill="background1" w:themeFillShade="F2"/>
          </w:tcPr>
          <w:p w14:paraId="710F61C9"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139</w:t>
            </w:r>
          </w:p>
        </w:tc>
        <w:tc>
          <w:tcPr>
            <w:tcW w:w="701" w:type="pct"/>
            <w:shd w:val="clear" w:color="auto" w:fill="F2F2F2" w:themeFill="background1" w:themeFillShade="F2"/>
          </w:tcPr>
          <w:p w14:paraId="76275FAA"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33.82</w:t>
            </w:r>
          </w:p>
        </w:tc>
        <w:tc>
          <w:tcPr>
            <w:tcW w:w="1255" w:type="pct"/>
            <w:shd w:val="clear" w:color="auto" w:fill="F2F2F2" w:themeFill="background1" w:themeFillShade="F2"/>
          </w:tcPr>
          <w:p w14:paraId="5F8E028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100.00</w:t>
            </w:r>
          </w:p>
        </w:tc>
      </w:tr>
      <w:tr w:rsidR="0067740A" w14:paraId="2E6C6A9B" w14:textId="77777777" w:rsidTr="0067740A">
        <w:trPr>
          <w:trHeight w:val="270"/>
        </w:trPr>
        <w:tc>
          <w:tcPr>
            <w:cnfStyle w:val="001000000000" w:firstRow="0" w:lastRow="0" w:firstColumn="1" w:lastColumn="0" w:oddVBand="0" w:evenVBand="0" w:oddHBand="0" w:evenHBand="0" w:firstRowFirstColumn="0" w:firstRowLastColumn="0" w:lastRowFirstColumn="0" w:lastRowLastColumn="0"/>
            <w:tcW w:w="2461" w:type="pct"/>
            <w:gridSpan w:val="2"/>
          </w:tcPr>
          <w:p w14:paraId="19F943C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582" w:type="pct"/>
          </w:tcPr>
          <w:p w14:paraId="0AAAF54E"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411</w:t>
            </w:r>
          </w:p>
        </w:tc>
        <w:tc>
          <w:tcPr>
            <w:tcW w:w="701" w:type="pct"/>
          </w:tcPr>
          <w:p w14:paraId="5B915F0A"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w:t>
            </w:r>
          </w:p>
        </w:tc>
        <w:tc>
          <w:tcPr>
            <w:tcW w:w="1255" w:type="pct"/>
          </w:tcPr>
          <w:p w14:paraId="72F7FB31" w14:textId="77777777" w:rsidR="0067740A"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宋体" w:hAnsi="Arial" w:cs="Arial"/>
                <w:color w:val="000000"/>
              </w:rPr>
            </w:pPr>
            <w:r>
              <w:rPr>
                <w:rFonts w:ascii="Arial" w:eastAsia="宋体" w:hAnsi="Arial" w:cs="Arial"/>
                <w:color w:val="000000"/>
                <w:lang w:bidi="ar"/>
              </w:rPr>
              <w:t>100.0</w:t>
            </w:r>
          </w:p>
        </w:tc>
      </w:tr>
    </w:tbl>
    <w:p w14:paraId="1042940E" w14:textId="77777777" w:rsidR="0067740A" w:rsidRDefault="00000000">
      <w:pPr>
        <w:pStyle w:val="a6"/>
        <w:spacing w:line="360" w:lineRule="auto"/>
        <w:ind w:left="28" w:firstLine="479"/>
        <w:rPr>
          <w:rFonts w:ascii="Arial" w:hAnsi="Arial" w:cs="Arial"/>
          <w:color w:val="000000"/>
        </w:rPr>
      </w:pPr>
      <w:r>
        <w:rPr>
          <w:rFonts w:ascii="Arial" w:hAnsi="Arial" w:cs="Arial"/>
          <w:color w:val="000000"/>
        </w:rPr>
        <w:t>As can be seen from the above table, in terms of annual income level, most respondents (29.20%) have an annual income between ¥100,001 and ¥200,000, followed by the high-income group with an annual income of more than ¥500,000, accounting</w:t>
      </w:r>
      <w:r>
        <w:rPr>
          <w:rFonts w:ascii="Arial" w:hAnsi="Arial" w:cs="Arial"/>
          <w:color w:val="000000"/>
          <w:spacing w:val="-4"/>
        </w:rPr>
        <w:t xml:space="preserve"> </w:t>
      </w:r>
      <w:r>
        <w:rPr>
          <w:rFonts w:ascii="Arial" w:hAnsi="Arial" w:cs="Arial"/>
          <w:color w:val="000000"/>
        </w:rPr>
        <w:t>for</w:t>
      </w:r>
      <w:r>
        <w:rPr>
          <w:rFonts w:ascii="Arial" w:hAnsi="Arial" w:cs="Arial"/>
          <w:color w:val="000000"/>
          <w:spacing w:val="-4"/>
        </w:rPr>
        <w:t xml:space="preserve"> </w:t>
      </w:r>
      <w:r>
        <w:rPr>
          <w:rFonts w:ascii="Arial" w:hAnsi="Arial" w:cs="Arial"/>
          <w:color w:val="000000"/>
        </w:rPr>
        <w:t>28.22%.</w:t>
      </w:r>
      <w:r>
        <w:rPr>
          <w:rFonts w:ascii="Arial" w:hAnsi="Arial" w:cs="Arial"/>
        </w:rPr>
        <w:t xml:space="preserve"> Only 6.57% of respondents report an annual income below ¥50,000, highlighting an income disparity</w:t>
      </w:r>
      <w:r>
        <w:rPr>
          <w:rFonts w:ascii="Arial" w:hAnsi="Arial" w:cs="Arial"/>
          <w:color w:val="000000"/>
        </w:rPr>
        <w:t>. Geographically, the proportion of respondents</w:t>
      </w:r>
      <w:r>
        <w:rPr>
          <w:rFonts w:ascii="Arial" w:hAnsi="Arial" w:cs="Arial"/>
          <w:color w:val="000000"/>
          <w:spacing w:val="-4"/>
        </w:rPr>
        <w:t xml:space="preserve"> </w:t>
      </w:r>
      <w:r>
        <w:rPr>
          <w:rFonts w:ascii="Arial" w:hAnsi="Arial" w:cs="Arial"/>
          <w:color w:val="000000"/>
        </w:rPr>
        <w:t>in</w:t>
      </w:r>
      <w:r>
        <w:rPr>
          <w:rFonts w:ascii="Arial" w:hAnsi="Arial" w:cs="Arial"/>
          <w:color w:val="000000"/>
          <w:spacing w:val="-4"/>
        </w:rPr>
        <w:t xml:space="preserve"> </w:t>
      </w:r>
      <w:r>
        <w:rPr>
          <w:rFonts w:ascii="Arial" w:hAnsi="Arial" w:cs="Arial"/>
          <w:color w:val="000000"/>
        </w:rPr>
        <w:t>urban,</w:t>
      </w:r>
      <w:r>
        <w:rPr>
          <w:rFonts w:ascii="Arial" w:hAnsi="Arial" w:cs="Arial"/>
          <w:color w:val="000000"/>
          <w:spacing w:val="-4"/>
        </w:rPr>
        <w:t xml:space="preserve"> </w:t>
      </w:r>
      <w:r>
        <w:rPr>
          <w:rFonts w:ascii="Arial" w:hAnsi="Arial" w:cs="Arial"/>
          <w:color w:val="000000"/>
        </w:rPr>
        <w:t>suburban</w:t>
      </w:r>
      <w:r>
        <w:rPr>
          <w:rFonts w:ascii="Arial" w:hAnsi="Arial" w:cs="Arial"/>
          <w:color w:val="000000"/>
          <w:spacing w:val="-4"/>
        </w:rPr>
        <w:t xml:space="preserve"> </w:t>
      </w:r>
      <w:r>
        <w:rPr>
          <w:rFonts w:ascii="Arial" w:hAnsi="Arial" w:cs="Arial"/>
          <w:color w:val="000000"/>
        </w:rPr>
        <w:t>and</w:t>
      </w:r>
      <w:r>
        <w:rPr>
          <w:rFonts w:ascii="Arial" w:hAnsi="Arial" w:cs="Arial"/>
          <w:color w:val="000000"/>
          <w:spacing w:val="-4"/>
        </w:rPr>
        <w:t xml:space="preserve"> </w:t>
      </w:r>
      <w:r>
        <w:rPr>
          <w:rFonts w:ascii="Arial" w:hAnsi="Arial" w:cs="Arial"/>
          <w:color w:val="000000"/>
        </w:rPr>
        <w:t>rural</w:t>
      </w:r>
      <w:r>
        <w:rPr>
          <w:rFonts w:ascii="Arial" w:hAnsi="Arial" w:cs="Arial"/>
          <w:color w:val="000000"/>
          <w:spacing w:val="-4"/>
        </w:rPr>
        <w:t xml:space="preserve"> </w:t>
      </w:r>
      <w:r>
        <w:rPr>
          <w:rFonts w:ascii="Arial" w:hAnsi="Arial" w:cs="Arial"/>
          <w:color w:val="000000"/>
        </w:rPr>
        <w:t>areas</w:t>
      </w:r>
      <w:r>
        <w:rPr>
          <w:rFonts w:ascii="Arial" w:hAnsi="Arial" w:cs="Arial"/>
          <w:color w:val="000000"/>
          <w:spacing w:val="-4"/>
        </w:rPr>
        <w:t xml:space="preserve"> </w:t>
      </w:r>
      <w:r>
        <w:rPr>
          <w:rFonts w:ascii="Arial" w:hAnsi="Arial" w:cs="Arial"/>
          <w:color w:val="000000"/>
        </w:rPr>
        <w:t>is</w:t>
      </w:r>
      <w:r>
        <w:rPr>
          <w:rFonts w:ascii="Arial" w:hAnsi="Arial" w:cs="Arial"/>
          <w:color w:val="000000"/>
          <w:spacing w:val="-4"/>
        </w:rPr>
        <w:t xml:space="preserve"> </w:t>
      </w:r>
      <w:r>
        <w:rPr>
          <w:rFonts w:ascii="Arial" w:hAnsi="Arial" w:cs="Arial"/>
          <w:color w:val="000000"/>
        </w:rPr>
        <w:t>relatively</w:t>
      </w:r>
      <w:r>
        <w:rPr>
          <w:rFonts w:ascii="Arial" w:hAnsi="Arial" w:cs="Arial"/>
          <w:color w:val="000000"/>
          <w:spacing w:val="-4"/>
        </w:rPr>
        <w:t xml:space="preserve"> </w:t>
      </w:r>
      <w:r>
        <w:rPr>
          <w:rFonts w:ascii="Arial" w:hAnsi="Arial" w:cs="Arial"/>
          <w:color w:val="000000"/>
        </w:rPr>
        <w:t>balanced,</w:t>
      </w:r>
      <w:r>
        <w:rPr>
          <w:rFonts w:ascii="Arial" w:hAnsi="Arial" w:cs="Arial"/>
          <w:color w:val="000000"/>
          <w:spacing w:val="-4"/>
        </w:rPr>
        <w:t xml:space="preserve"> </w:t>
      </w:r>
      <w:r>
        <w:rPr>
          <w:rFonts w:ascii="Arial" w:hAnsi="Arial" w:cs="Arial"/>
          <w:color w:val="000000"/>
        </w:rPr>
        <w:t>accounting</w:t>
      </w:r>
      <w:r>
        <w:rPr>
          <w:rFonts w:ascii="Arial" w:hAnsi="Arial" w:cs="Arial"/>
          <w:color w:val="000000"/>
          <w:spacing w:val="-4"/>
        </w:rPr>
        <w:t xml:space="preserve"> </w:t>
      </w:r>
      <w:r>
        <w:rPr>
          <w:rFonts w:ascii="Arial" w:hAnsi="Arial" w:cs="Arial"/>
          <w:color w:val="000000"/>
        </w:rPr>
        <w:t>for 35.77%,</w:t>
      </w:r>
      <w:r>
        <w:rPr>
          <w:rFonts w:ascii="Arial" w:hAnsi="Arial" w:cs="Arial"/>
          <w:color w:val="000000"/>
          <w:spacing w:val="-1"/>
        </w:rPr>
        <w:t xml:space="preserve"> </w:t>
      </w:r>
      <w:r>
        <w:rPr>
          <w:rFonts w:ascii="Arial" w:hAnsi="Arial" w:cs="Arial"/>
          <w:color w:val="000000"/>
        </w:rPr>
        <w:t xml:space="preserve">31.87% </w:t>
      </w:r>
      <w:r>
        <w:rPr>
          <w:rFonts w:ascii="Arial" w:hAnsi="Arial" w:cs="Arial"/>
          <w:color w:val="000000"/>
        </w:rPr>
        <w:lastRenderedPageBreak/>
        <w:t>and</w:t>
      </w:r>
      <w:r>
        <w:rPr>
          <w:rFonts w:ascii="Arial" w:hAnsi="Arial" w:cs="Arial"/>
          <w:color w:val="000000"/>
          <w:spacing w:val="-1"/>
        </w:rPr>
        <w:t xml:space="preserve"> </w:t>
      </w:r>
      <w:r>
        <w:rPr>
          <w:rFonts w:ascii="Arial" w:hAnsi="Arial" w:cs="Arial"/>
          <w:color w:val="000000"/>
        </w:rPr>
        <w:t>32.36%,</w:t>
      </w:r>
      <w:r>
        <w:rPr>
          <w:rFonts w:ascii="Arial" w:hAnsi="Arial" w:cs="Arial"/>
          <w:color w:val="000000"/>
          <w:spacing w:val="-1"/>
        </w:rPr>
        <w:t xml:space="preserve"> </w:t>
      </w:r>
      <w:r>
        <w:rPr>
          <w:rFonts w:ascii="Arial" w:hAnsi="Arial" w:cs="Arial"/>
          <w:color w:val="000000"/>
          <w:spacing w:val="-2"/>
        </w:rPr>
        <w:t>respectively.</w:t>
      </w:r>
    </w:p>
    <w:p w14:paraId="65368519" w14:textId="77777777" w:rsidR="0067740A" w:rsidRDefault="00000000">
      <w:pPr>
        <w:pStyle w:val="a6"/>
        <w:spacing w:before="186" w:line="360" w:lineRule="auto"/>
        <w:ind w:left="28" w:firstLine="479"/>
        <w:rPr>
          <w:rFonts w:ascii="Arial" w:hAnsi="Arial" w:cs="Arial"/>
          <w:color w:val="000000"/>
          <w:spacing w:val="-2"/>
        </w:rPr>
      </w:pPr>
      <w:r>
        <w:rPr>
          <w:rFonts w:ascii="Arial" w:hAnsi="Arial" w:cs="Arial"/>
          <w:color w:val="000000"/>
        </w:rPr>
        <w:t>Regarding</w:t>
      </w:r>
      <w:r>
        <w:rPr>
          <w:rFonts w:ascii="Arial" w:hAnsi="Arial" w:cs="Arial"/>
          <w:color w:val="000000"/>
          <w:spacing w:val="-13"/>
        </w:rPr>
        <w:t xml:space="preserve"> </w:t>
      </w:r>
      <w:r>
        <w:rPr>
          <w:rFonts w:ascii="Arial" w:hAnsi="Arial" w:cs="Arial"/>
          <w:color w:val="000000"/>
        </w:rPr>
        <w:t>familiarity</w:t>
      </w:r>
      <w:r>
        <w:rPr>
          <w:rFonts w:ascii="Arial" w:hAnsi="Arial" w:cs="Arial"/>
          <w:color w:val="000000"/>
          <w:spacing w:val="-12"/>
        </w:rPr>
        <w:t xml:space="preserve"> </w:t>
      </w:r>
      <w:r>
        <w:rPr>
          <w:rFonts w:ascii="Arial" w:hAnsi="Arial" w:cs="Arial"/>
          <w:color w:val="000000"/>
        </w:rPr>
        <w:t>with</w:t>
      </w:r>
      <w:r>
        <w:rPr>
          <w:rFonts w:ascii="Arial" w:hAnsi="Arial" w:cs="Arial"/>
          <w:color w:val="000000"/>
          <w:spacing w:val="-12"/>
        </w:rPr>
        <w:t xml:space="preserve"> </w:t>
      </w:r>
      <w:r>
        <w:rPr>
          <w:rFonts w:ascii="Arial" w:hAnsi="Arial" w:cs="Arial"/>
          <w:color w:val="000000"/>
        </w:rPr>
        <w:t>Volkswagen’s</w:t>
      </w:r>
      <w:r>
        <w:rPr>
          <w:rFonts w:ascii="Arial" w:hAnsi="Arial" w:cs="Arial"/>
          <w:color w:val="000000"/>
          <w:spacing w:val="-12"/>
        </w:rPr>
        <w:t xml:space="preserve"> </w:t>
      </w:r>
      <w:r>
        <w:rPr>
          <w:rFonts w:ascii="Arial" w:hAnsi="Arial" w:cs="Arial"/>
          <w:color w:val="000000"/>
        </w:rPr>
        <w:t>sustainability</w:t>
      </w:r>
      <w:r>
        <w:rPr>
          <w:rFonts w:ascii="Arial" w:hAnsi="Arial" w:cs="Arial"/>
          <w:color w:val="000000"/>
          <w:spacing w:val="-13"/>
        </w:rPr>
        <w:t xml:space="preserve"> </w:t>
      </w:r>
      <w:r>
        <w:rPr>
          <w:rFonts w:ascii="Arial" w:hAnsi="Arial" w:cs="Arial"/>
          <w:color w:val="000000"/>
        </w:rPr>
        <w:t>initiatives,</w:t>
      </w:r>
      <w:r>
        <w:rPr>
          <w:rFonts w:ascii="Arial" w:hAnsi="Arial" w:cs="Arial"/>
          <w:color w:val="000000"/>
          <w:spacing w:val="-13"/>
        </w:rPr>
        <w:t xml:space="preserve"> </w:t>
      </w:r>
      <w:r>
        <w:rPr>
          <w:rFonts w:ascii="Arial" w:hAnsi="Arial" w:cs="Arial"/>
          <w:color w:val="000000"/>
        </w:rPr>
        <w:t>such</w:t>
      </w:r>
      <w:r>
        <w:rPr>
          <w:rFonts w:ascii="Arial" w:hAnsi="Arial" w:cs="Arial"/>
          <w:color w:val="000000"/>
          <w:spacing w:val="-13"/>
        </w:rPr>
        <w:t xml:space="preserve"> </w:t>
      </w:r>
      <w:r>
        <w:rPr>
          <w:rFonts w:ascii="Arial" w:hAnsi="Arial" w:cs="Arial"/>
          <w:color w:val="000000"/>
        </w:rPr>
        <w:t>as</w:t>
      </w:r>
      <w:r>
        <w:rPr>
          <w:rFonts w:ascii="Arial" w:hAnsi="Arial" w:cs="Arial"/>
          <w:color w:val="000000"/>
          <w:spacing w:val="-12"/>
        </w:rPr>
        <w:t xml:space="preserve"> </w:t>
      </w:r>
      <w:r>
        <w:rPr>
          <w:rFonts w:ascii="Arial" w:hAnsi="Arial" w:cs="Arial"/>
          <w:color w:val="000000"/>
        </w:rPr>
        <w:t>electric vehicles, green manufacturing, etc., nearly a third (33.82%) of respondents said they were</w:t>
      </w:r>
      <w:r>
        <w:rPr>
          <w:rFonts w:ascii="Arial" w:hAnsi="Arial" w:cs="Arial"/>
          <w:color w:val="000000"/>
          <w:spacing w:val="-11"/>
        </w:rPr>
        <w:t xml:space="preserve"> “</w:t>
      </w:r>
      <w:r>
        <w:rPr>
          <w:rFonts w:ascii="Arial" w:hAnsi="Arial" w:cs="Arial"/>
          <w:color w:val="000000"/>
        </w:rPr>
        <w:t>extremely</w:t>
      </w:r>
      <w:r>
        <w:rPr>
          <w:rFonts w:ascii="Arial" w:hAnsi="Arial" w:cs="Arial"/>
          <w:color w:val="000000"/>
          <w:spacing w:val="-9"/>
        </w:rPr>
        <w:t xml:space="preserve"> </w:t>
      </w:r>
      <w:r>
        <w:rPr>
          <w:rFonts w:ascii="Arial" w:hAnsi="Arial" w:cs="Arial"/>
          <w:color w:val="000000"/>
        </w:rPr>
        <w:t>familiar,”</w:t>
      </w:r>
      <w:r>
        <w:rPr>
          <w:rFonts w:ascii="Arial" w:hAnsi="Arial" w:cs="Arial"/>
          <w:color w:val="000000"/>
          <w:spacing w:val="-8"/>
        </w:rPr>
        <w:t xml:space="preserve"> </w:t>
      </w:r>
      <w:r>
        <w:rPr>
          <w:rFonts w:ascii="Arial" w:hAnsi="Arial" w:cs="Arial"/>
          <w:color w:val="000000"/>
        </w:rPr>
        <w:t>while</w:t>
      </w:r>
      <w:r>
        <w:rPr>
          <w:rFonts w:ascii="Arial" w:hAnsi="Arial" w:cs="Arial"/>
          <w:color w:val="000000"/>
          <w:spacing w:val="-9"/>
        </w:rPr>
        <w:t xml:space="preserve"> </w:t>
      </w:r>
      <w:r>
        <w:rPr>
          <w:rFonts w:ascii="Arial" w:hAnsi="Arial" w:cs="Arial"/>
          <w:color w:val="000000"/>
        </w:rPr>
        <w:t>34.31%</w:t>
      </w:r>
      <w:r>
        <w:rPr>
          <w:rFonts w:ascii="Arial" w:hAnsi="Arial" w:cs="Arial"/>
          <w:color w:val="000000"/>
          <w:spacing w:val="-9"/>
        </w:rPr>
        <w:t xml:space="preserve"> </w:t>
      </w:r>
      <w:r>
        <w:rPr>
          <w:rFonts w:ascii="Arial" w:hAnsi="Arial" w:cs="Arial"/>
          <w:color w:val="000000"/>
        </w:rPr>
        <w:t>said</w:t>
      </w:r>
      <w:r>
        <w:rPr>
          <w:rFonts w:ascii="Arial" w:hAnsi="Arial" w:cs="Arial"/>
          <w:color w:val="000000"/>
          <w:spacing w:val="-8"/>
        </w:rPr>
        <w:t xml:space="preserve"> </w:t>
      </w:r>
      <w:r>
        <w:rPr>
          <w:rFonts w:ascii="Arial" w:hAnsi="Arial" w:cs="Arial"/>
          <w:color w:val="000000"/>
        </w:rPr>
        <w:t>they</w:t>
      </w:r>
      <w:r>
        <w:rPr>
          <w:rFonts w:ascii="Arial" w:hAnsi="Arial" w:cs="Arial"/>
          <w:color w:val="000000"/>
          <w:spacing w:val="-9"/>
        </w:rPr>
        <w:t xml:space="preserve"> </w:t>
      </w:r>
      <w:r>
        <w:rPr>
          <w:rFonts w:ascii="Arial" w:hAnsi="Arial" w:cs="Arial"/>
          <w:color w:val="000000"/>
        </w:rPr>
        <w:t>were</w:t>
      </w:r>
      <w:r>
        <w:rPr>
          <w:rFonts w:ascii="Arial" w:hAnsi="Arial" w:cs="Arial"/>
          <w:color w:val="000000"/>
          <w:spacing w:val="-11"/>
        </w:rPr>
        <w:t xml:space="preserve"> “</w:t>
      </w:r>
      <w:r>
        <w:rPr>
          <w:rFonts w:ascii="Arial" w:hAnsi="Arial" w:cs="Arial"/>
          <w:color w:val="000000"/>
        </w:rPr>
        <w:t>very</w:t>
      </w:r>
      <w:r>
        <w:rPr>
          <w:rFonts w:ascii="Arial" w:hAnsi="Arial" w:cs="Arial"/>
          <w:color w:val="000000"/>
          <w:spacing w:val="-10"/>
        </w:rPr>
        <w:t xml:space="preserve"> </w:t>
      </w:r>
      <w:r>
        <w:rPr>
          <w:rFonts w:ascii="Arial" w:hAnsi="Arial" w:cs="Arial"/>
          <w:color w:val="000000"/>
        </w:rPr>
        <w:t>familiar.”</w:t>
      </w:r>
      <w:r>
        <w:rPr>
          <w:rFonts w:ascii="Arial" w:hAnsi="Arial" w:cs="Arial"/>
          <w:color w:val="000000"/>
          <w:spacing w:val="-9"/>
        </w:rPr>
        <w:t xml:space="preserve"> </w:t>
      </w:r>
      <w:r>
        <w:rPr>
          <w:rFonts w:ascii="Arial" w:hAnsi="Arial" w:cs="Arial"/>
        </w:rPr>
        <w:t>This suggests a high level of visibility and awareness of Volkswagen’s sustainability efforts among respondents.</w:t>
      </w:r>
      <w:r>
        <w:rPr>
          <w:rFonts w:ascii="Arial" w:hAnsi="Arial" w:cs="Arial"/>
          <w:lang w:eastAsia="zh-CN"/>
        </w:rPr>
        <w:t xml:space="preserve"> </w:t>
      </w:r>
      <w:r>
        <w:rPr>
          <w:rFonts w:ascii="Arial" w:hAnsi="Arial" w:cs="Arial"/>
          <w:color w:val="000000"/>
        </w:rPr>
        <w:t>In contrast, only 9.73% of respondents said they were “not familiar</w:t>
      </w:r>
      <w:r>
        <w:rPr>
          <w:rFonts w:ascii="Arial" w:hAnsi="Arial" w:cs="Arial"/>
          <w:color w:val="000000"/>
          <w:spacing w:val="-3"/>
        </w:rPr>
        <w:t xml:space="preserve"> </w:t>
      </w:r>
      <w:r>
        <w:rPr>
          <w:rFonts w:ascii="Arial" w:hAnsi="Arial" w:cs="Arial"/>
          <w:color w:val="000000"/>
        </w:rPr>
        <w:t>at</w:t>
      </w:r>
      <w:r>
        <w:rPr>
          <w:rFonts w:ascii="Arial" w:hAnsi="Arial" w:cs="Arial"/>
          <w:color w:val="000000"/>
          <w:spacing w:val="-3"/>
        </w:rPr>
        <w:t xml:space="preserve"> </w:t>
      </w:r>
      <w:r>
        <w:rPr>
          <w:rFonts w:ascii="Arial" w:hAnsi="Arial" w:cs="Arial"/>
          <w:color w:val="000000"/>
        </w:rPr>
        <w:t>all,”</w:t>
      </w:r>
      <w:r>
        <w:rPr>
          <w:rFonts w:ascii="Arial" w:hAnsi="Arial" w:cs="Arial"/>
          <w:color w:val="000000"/>
          <w:spacing w:val="-2"/>
        </w:rPr>
        <w:t xml:space="preserve"> </w:t>
      </w:r>
      <w:r>
        <w:rPr>
          <w:rFonts w:ascii="Arial" w:hAnsi="Arial" w:cs="Arial"/>
          <w:color w:val="000000"/>
        </w:rPr>
        <w:t>showing</w:t>
      </w:r>
      <w:r>
        <w:rPr>
          <w:rFonts w:ascii="Arial" w:hAnsi="Arial" w:cs="Arial"/>
          <w:color w:val="000000"/>
          <w:spacing w:val="-2"/>
        </w:rPr>
        <w:t xml:space="preserve"> </w:t>
      </w:r>
      <w:r>
        <w:rPr>
          <w:rFonts w:ascii="Arial" w:hAnsi="Arial" w:cs="Arial"/>
          <w:color w:val="000000"/>
        </w:rPr>
        <w:t>that</w:t>
      </w:r>
      <w:r>
        <w:rPr>
          <w:rFonts w:ascii="Arial" w:hAnsi="Arial" w:cs="Arial"/>
          <w:color w:val="000000"/>
          <w:spacing w:val="-2"/>
        </w:rPr>
        <w:t xml:space="preserve"> </w:t>
      </w:r>
      <w:r>
        <w:rPr>
          <w:rFonts w:ascii="Arial" w:hAnsi="Arial" w:cs="Arial"/>
          <w:color w:val="000000"/>
        </w:rPr>
        <w:t>most</w:t>
      </w:r>
      <w:r>
        <w:rPr>
          <w:rFonts w:ascii="Arial" w:hAnsi="Arial" w:cs="Arial"/>
          <w:color w:val="000000"/>
          <w:spacing w:val="-2"/>
        </w:rPr>
        <w:t xml:space="preserve"> </w:t>
      </w:r>
      <w:r>
        <w:rPr>
          <w:rFonts w:ascii="Arial" w:hAnsi="Arial" w:cs="Arial"/>
          <w:color w:val="000000"/>
        </w:rPr>
        <w:t>respondents</w:t>
      </w:r>
      <w:r>
        <w:rPr>
          <w:rFonts w:ascii="Arial" w:hAnsi="Arial" w:cs="Arial"/>
          <w:color w:val="000000"/>
          <w:spacing w:val="-2"/>
        </w:rPr>
        <w:t xml:space="preserve"> </w:t>
      </w:r>
      <w:r>
        <w:rPr>
          <w:rFonts w:ascii="Arial" w:hAnsi="Arial" w:cs="Arial"/>
          <w:color w:val="000000"/>
        </w:rPr>
        <w:t>have</w:t>
      </w:r>
      <w:r>
        <w:rPr>
          <w:rFonts w:ascii="Arial" w:hAnsi="Arial" w:cs="Arial"/>
          <w:color w:val="000000"/>
          <w:spacing w:val="-3"/>
        </w:rPr>
        <w:t xml:space="preserve"> </w:t>
      </w:r>
      <w:r>
        <w:rPr>
          <w:rFonts w:ascii="Arial" w:hAnsi="Arial" w:cs="Arial"/>
          <w:color w:val="000000"/>
        </w:rPr>
        <w:t>some</w:t>
      </w:r>
      <w:r>
        <w:rPr>
          <w:rFonts w:ascii="Arial" w:hAnsi="Arial" w:cs="Arial"/>
          <w:color w:val="000000"/>
          <w:spacing w:val="-3"/>
        </w:rPr>
        <w:t xml:space="preserve"> </w:t>
      </w:r>
      <w:r>
        <w:rPr>
          <w:rFonts w:ascii="Arial" w:hAnsi="Arial" w:cs="Arial"/>
          <w:color w:val="000000"/>
        </w:rPr>
        <w:t>knowledge</w:t>
      </w:r>
      <w:r>
        <w:rPr>
          <w:rFonts w:ascii="Arial" w:hAnsi="Arial" w:cs="Arial"/>
          <w:color w:val="000000"/>
          <w:spacing w:val="-3"/>
        </w:rPr>
        <w:t xml:space="preserve"> </w:t>
      </w:r>
      <w:r>
        <w:rPr>
          <w:rFonts w:ascii="Arial" w:hAnsi="Arial" w:cs="Arial"/>
          <w:color w:val="000000"/>
        </w:rPr>
        <w:t>of</w:t>
      </w:r>
      <w:r>
        <w:rPr>
          <w:rFonts w:ascii="Arial" w:hAnsi="Arial" w:cs="Arial"/>
          <w:color w:val="000000"/>
          <w:spacing w:val="-3"/>
        </w:rPr>
        <w:t xml:space="preserve"> </w:t>
      </w:r>
      <w:r>
        <w:rPr>
          <w:rFonts w:ascii="Arial" w:hAnsi="Arial" w:cs="Arial"/>
          <w:color w:val="000000"/>
        </w:rPr>
        <w:t>the</w:t>
      </w:r>
      <w:r>
        <w:rPr>
          <w:rFonts w:ascii="Arial" w:hAnsi="Arial" w:cs="Arial"/>
          <w:color w:val="000000"/>
          <w:spacing w:val="-2"/>
        </w:rPr>
        <w:t xml:space="preserve"> field.</w:t>
      </w:r>
    </w:p>
    <w:p w14:paraId="779CE9C5" w14:textId="77777777" w:rsidR="0067740A" w:rsidRDefault="0067740A">
      <w:pPr>
        <w:spacing w:line="360" w:lineRule="auto"/>
        <w:rPr>
          <w:rFonts w:ascii="Arial" w:eastAsia="宋体" w:hAnsi="Arial" w:cs="Arial"/>
        </w:rPr>
      </w:pPr>
    </w:p>
    <w:tbl>
      <w:tblPr>
        <w:tblW w:w="5000" w:type="pct"/>
        <w:tblCellMar>
          <w:left w:w="0" w:type="dxa"/>
          <w:right w:w="0" w:type="dxa"/>
        </w:tblCellMar>
        <w:tblLook w:val="04A0" w:firstRow="1" w:lastRow="0" w:firstColumn="1" w:lastColumn="0" w:noHBand="0" w:noVBand="1"/>
      </w:tblPr>
      <w:tblGrid>
        <w:gridCol w:w="1063"/>
        <w:gridCol w:w="3559"/>
        <w:gridCol w:w="1488"/>
        <w:gridCol w:w="1488"/>
        <w:gridCol w:w="1762"/>
      </w:tblGrid>
      <w:tr w:rsidR="0067740A" w14:paraId="5F429F63" w14:textId="77777777">
        <w:trPr>
          <w:cantSplit/>
        </w:trPr>
        <w:tc>
          <w:tcPr>
            <w:tcW w:w="5000" w:type="pct"/>
            <w:gridSpan w:val="5"/>
            <w:tcBorders>
              <w:bottom w:val="single" w:sz="4" w:space="0" w:color="auto"/>
              <w:tl2br w:val="nil"/>
              <w:tr2bl w:val="nil"/>
            </w:tcBorders>
            <w:shd w:val="clear" w:color="auto" w:fill="FFFFFF"/>
            <w:vAlign w:val="center"/>
          </w:tcPr>
          <w:p w14:paraId="59C114AA"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 xml:space="preserve">$a </w:t>
            </w:r>
            <w:r>
              <w:rPr>
                <w:rFonts w:ascii="Arial" w:eastAsia="宋体" w:hAnsi="Arial" w:cs="Arial"/>
                <w:color w:val="000000"/>
                <w:lang w:bidi="ar"/>
              </w:rPr>
              <w:t>Frequency</w:t>
            </w:r>
          </w:p>
        </w:tc>
      </w:tr>
      <w:tr w:rsidR="0067740A" w14:paraId="79A81FFB" w14:textId="77777777">
        <w:trPr>
          <w:cantSplit/>
        </w:trPr>
        <w:tc>
          <w:tcPr>
            <w:tcW w:w="2469" w:type="pct"/>
            <w:gridSpan w:val="2"/>
            <w:vMerge w:val="restart"/>
            <w:tcBorders>
              <w:top w:val="single" w:sz="4" w:space="0" w:color="auto"/>
              <w:tl2br w:val="nil"/>
              <w:tr2bl w:val="nil"/>
            </w:tcBorders>
            <w:shd w:val="clear" w:color="auto" w:fill="FFFFFF"/>
            <w:vAlign w:val="bottom"/>
          </w:tcPr>
          <w:p w14:paraId="19E98CCE" w14:textId="77777777" w:rsidR="0067740A" w:rsidRDefault="0067740A">
            <w:pPr>
              <w:spacing w:line="360" w:lineRule="auto"/>
              <w:rPr>
                <w:rFonts w:ascii="Arial" w:eastAsia="宋体" w:hAnsi="Arial" w:cs="Arial"/>
                <w:color w:val="000000"/>
              </w:rPr>
            </w:pPr>
          </w:p>
        </w:tc>
        <w:tc>
          <w:tcPr>
            <w:tcW w:w="1590" w:type="pct"/>
            <w:gridSpan w:val="2"/>
            <w:tcBorders>
              <w:top w:val="single" w:sz="4" w:space="0" w:color="auto"/>
              <w:tl2br w:val="nil"/>
              <w:tr2bl w:val="nil"/>
            </w:tcBorders>
            <w:shd w:val="clear" w:color="auto" w:fill="FFFFFF"/>
            <w:vAlign w:val="center"/>
          </w:tcPr>
          <w:p w14:paraId="2FCB8DA2"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Response</w:t>
            </w:r>
          </w:p>
        </w:tc>
        <w:tc>
          <w:tcPr>
            <w:tcW w:w="940" w:type="pct"/>
            <w:vMerge w:val="restart"/>
            <w:tcBorders>
              <w:top w:val="single" w:sz="4" w:space="0" w:color="auto"/>
              <w:tl2br w:val="nil"/>
              <w:tr2bl w:val="nil"/>
            </w:tcBorders>
            <w:shd w:val="clear" w:color="auto" w:fill="FFFFFF"/>
            <w:vAlign w:val="center"/>
          </w:tcPr>
          <w:p w14:paraId="2F054EAD" w14:textId="77777777" w:rsidR="0067740A" w:rsidRDefault="00000000">
            <w:pPr>
              <w:spacing w:line="360" w:lineRule="auto"/>
              <w:ind w:right="60"/>
              <w:jc w:val="center"/>
              <w:rPr>
                <w:rFonts w:ascii="Arial" w:eastAsia="宋体" w:hAnsi="Arial" w:cs="Arial"/>
                <w:color w:val="000000"/>
              </w:rPr>
            </w:pPr>
            <w:r>
              <w:rPr>
                <w:rFonts w:ascii="Arial" w:eastAsia="宋体" w:hAnsi="Arial" w:cs="Arial"/>
                <w:color w:val="000000"/>
              </w:rPr>
              <w:t>Percentage of Cases</w:t>
            </w:r>
          </w:p>
        </w:tc>
      </w:tr>
      <w:tr w:rsidR="0067740A" w14:paraId="144343D5" w14:textId="77777777">
        <w:trPr>
          <w:cantSplit/>
        </w:trPr>
        <w:tc>
          <w:tcPr>
            <w:tcW w:w="2469" w:type="pct"/>
            <w:gridSpan w:val="2"/>
            <w:vMerge/>
            <w:tcBorders>
              <w:bottom w:val="single" w:sz="4" w:space="0" w:color="auto"/>
              <w:tl2br w:val="nil"/>
              <w:tr2bl w:val="nil"/>
            </w:tcBorders>
            <w:shd w:val="clear" w:color="auto" w:fill="FFFFFF"/>
            <w:vAlign w:val="bottom"/>
          </w:tcPr>
          <w:p w14:paraId="41DFD7EB" w14:textId="77777777" w:rsidR="0067740A" w:rsidRDefault="0067740A">
            <w:pPr>
              <w:spacing w:line="360" w:lineRule="auto"/>
              <w:rPr>
                <w:rFonts w:ascii="Arial" w:eastAsia="宋体" w:hAnsi="Arial" w:cs="Arial"/>
                <w:color w:val="000000"/>
              </w:rPr>
            </w:pPr>
          </w:p>
        </w:tc>
        <w:tc>
          <w:tcPr>
            <w:tcW w:w="795" w:type="pct"/>
            <w:tcBorders>
              <w:bottom w:val="single" w:sz="4" w:space="0" w:color="auto"/>
              <w:tl2br w:val="nil"/>
              <w:tr2bl w:val="nil"/>
            </w:tcBorders>
            <w:shd w:val="clear" w:color="auto" w:fill="FFFFFF"/>
            <w:vAlign w:val="center"/>
          </w:tcPr>
          <w:p w14:paraId="436B3640"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Number of Cases</w:t>
            </w:r>
          </w:p>
        </w:tc>
        <w:tc>
          <w:tcPr>
            <w:tcW w:w="795" w:type="pct"/>
            <w:tcBorders>
              <w:bottom w:val="single" w:sz="4" w:space="0" w:color="auto"/>
              <w:tl2br w:val="nil"/>
              <w:tr2bl w:val="nil"/>
            </w:tcBorders>
            <w:shd w:val="clear" w:color="auto" w:fill="FFFFFF"/>
            <w:vAlign w:val="center"/>
          </w:tcPr>
          <w:p w14:paraId="030D13F7"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Percentage</w:t>
            </w:r>
          </w:p>
        </w:tc>
        <w:tc>
          <w:tcPr>
            <w:tcW w:w="940" w:type="pct"/>
            <w:vMerge/>
            <w:tcBorders>
              <w:bottom w:val="single" w:sz="4" w:space="0" w:color="auto"/>
              <w:tl2br w:val="nil"/>
              <w:tr2bl w:val="nil"/>
            </w:tcBorders>
            <w:shd w:val="clear" w:color="auto" w:fill="FFFFFF"/>
            <w:vAlign w:val="bottom"/>
          </w:tcPr>
          <w:p w14:paraId="27C38E9F" w14:textId="77777777" w:rsidR="0067740A" w:rsidRDefault="0067740A">
            <w:pPr>
              <w:spacing w:line="360" w:lineRule="auto"/>
              <w:rPr>
                <w:rFonts w:ascii="Arial" w:eastAsia="宋体" w:hAnsi="Arial" w:cs="Arial"/>
                <w:color w:val="000000"/>
              </w:rPr>
            </w:pPr>
          </w:p>
        </w:tc>
      </w:tr>
      <w:tr w:rsidR="0067740A" w14:paraId="6B809AB1" w14:textId="77777777">
        <w:trPr>
          <w:cantSplit/>
        </w:trPr>
        <w:tc>
          <w:tcPr>
            <w:tcW w:w="568" w:type="pct"/>
            <w:vMerge w:val="restart"/>
            <w:tcBorders>
              <w:top w:val="single" w:sz="4" w:space="0" w:color="auto"/>
              <w:tl2br w:val="nil"/>
              <w:tr2bl w:val="nil"/>
            </w:tcBorders>
            <w:shd w:val="clear" w:color="auto" w:fill="FFFFFF"/>
            <w:vAlign w:val="center"/>
          </w:tcPr>
          <w:p w14:paraId="738DF33B"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$a</w:t>
            </w:r>
            <w:r>
              <w:rPr>
                <w:rFonts w:ascii="Arial" w:eastAsia="宋体" w:hAnsi="Arial" w:cs="Arial"/>
                <w:color w:val="000000"/>
                <w:vertAlign w:val="superscript"/>
              </w:rPr>
              <w:t>a</w:t>
            </w:r>
          </w:p>
        </w:tc>
        <w:tc>
          <w:tcPr>
            <w:tcW w:w="1901" w:type="pct"/>
            <w:tcBorders>
              <w:top w:val="single" w:sz="4" w:space="0" w:color="auto"/>
              <w:tl2br w:val="nil"/>
              <w:tr2bl w:val="nil"/>
            </w:tcBorders>
            <w:shd w:val="clear" w:color="auto" w:fill="FFFFFF"/>
          </w:tcPr>
          <w:p w14:paraId="27B908C2" w14:textId="77777777" w:rsidR="0067740A" w:rsidRDefault="00000000">
            <w:pPr>
              <w:spacing w:line="360" w:lineRule="auto"/>
              <w:ind w:left="60" w:right="60"/>
              <w:rPr>
                <w:rFonts w:ascii="Arial" w:eastAsia="宋体" w:hAnsi="Arial" w:cs="Arial"/>
                <w:color w:val="000000"/>
              </w:rPr>
            </w:pPr>
            <w:r>
              <w:rPr>
                <w:rFonts w:ascii="Arial" w:eastAsia="宋体" w:hAnsi="Arial" w:cs="Arial"/>
                <w:color w:val="000000"/>
              </w:rPr>
              <w:t>7.How did you first learn about Volkswagen’s sustainability initiatives?(Select all that apply)(Social media)</w:t>
            </w:r>
          </w:p>
        </w:tc>
        <w:tc>
          <w:tcPr>
            <w:tcW w:w="795" w:type="pct"/>
            <w:tcBorders>
              <w:top w:val="single" w:sz="4" w:space="0" w:color="auto"/>
              <w:tl2br w:val="nil"/>
              <w:tr2bl w:val="nil"/>
            </w:tcBorders>
            <w:shd w:val="clear" w:color="auto" w:fill="FFFFFF"/>
            <w:vAlign w:val="center"/>
          </w:tcPr>
          <w:p w14:paraId="0091CABB"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315</w:t>
            </w:r>
          </w:p>
        </w:tc>
        <w:tc>
          <w:tcPr>
            <w:tcW w:w="795" w:type="pct"/>
            <w:tcBorders>
              <w:top w:val="single" w:sz="4" w:space="0" w:color="auto"/>
              <w:tl2br w:val="nil"/>
              <w:tr2bl w:val="nil"/>
            </w:tcBorders>
            <w:shd w:val="clear" w:color="auto" w:fill="FFFFFF"/>
            <w:vAlign w:val="center"/>
          </w:tcPr>
          <w:p w14:paraId="741B09A6"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19.9%</w:t>
            </w:r>
          </w:p>
        </w:tc>
        <w:tc>
          <w:tcPr>
            <w:tcW w:w="940" w:type="pct"/>
            <w:tcBorders>
              <w:top w:val="single" w:sz="4" w:space="0" w:color="auto"/>
              <w:tl2br w:val="nil"/>
              <w:tr2bl w:val="nil"/>
            </w:tcBorders>
            <w:shd w:val="clear" w:color="auto" w:fill="FFFFFF"/>
            <w:vAlign w:val="center"/>
          </w:tcPr>
          <w:p w14:paraId="4C4E1B78"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76.6%</w:t>
            </w:r>
          </w:p>
        </w:tc>
      </w:tr>
      <w:tr w:rsidR="0067740A" w14:paraId="122192F4" w14:textId="77777777">
        <w:trPr>
          <w:cantSplit/>
        </w:trPr>
        <w:tc>
          <w:tcPr>
            <w:tcW w:w="568" w:type="pct"/>
            <w:vMerge/>
            <w:tcBorders>
              <w:tl2br w:val="nil"/>
              <w:tr2bl w:val="nil"/>
            </w:tcBorders>
            <w:shd w:val="clear" w:color="auto" w:fill="FFFFFF"/>
          </w:tcPr>
          <w:p w14:paraId="3FBB58CF" w14:textId="77777777" w:rsidR="0067740A" w:rsidRDefault="0067740A">
            <w:pPr>
              <w:spacing w:line="360" w:lineRule="auto"/>
              <w:rPr>
                <w:rFonts w:ascii="Arial" w:eastAsia="宋体" w:hAnsi="Arial" w:cs="Arial"/>
                <w:color w:val="000000"/>
              </w:rPr>
            </w:pPr>
          </w:p>
        </w:tc>
        <w:tc>
          <w:tcPr>
            <w:tcW w:w="1901" w:type="pct"/>
            <w:tcBorders>
              <w:tl2br w:val="nil"/>
              <w:tr2bl w:val="nil"/>
            </w:tcBorders>
            <w:shd w:val="clear" w:color="auto" w:fill="FFFFFF"/>
          </w:tcPr>
          <w:p w14:paraId="114AD53E" w14:textId="77777777" w:rsidR="0067740A" w:rsidRDefault="00000000">
            <w:pPr>
              <w:spacing w:line="360" w:lineRule="auto"/>
              <w:ind w:left="60" w:right="60"/>
              <w:rPr>
                <w:rFonts w:ascii="Arial" w:eastAsia="宋体" w:hAnsi="Arial" w:cs="Arial"/>
                <w:color w:val="000000"/>
              </w:rPr>
            </w:pPr>
            <w:r>
              <w:rPr>
                <w:rFonts w:ascii="Arial" w:eastAsia="宋体" w:hAnsi="Arial" w:cs="Arial"/>
                <w:color w:val="000000"/>
              </w:rPr>
              <w:t>7 (News articles)</w:t>
            </w:r>
          </w:p>
        </w:tc>
        <w:tc>
          <w:tcPr>
            <w:tcW w:w="795" w:type="pct"/>
            <w:tcBorders>
              <w:tl2br w:val="nil"/>
              <w:tr2bl w:val="nil"/>
            </w:tcBorders>
            <w:shd w:val="clear" w:color="auto" w:fill="FFFFFF"/>
            <w:vAlign w:val="center"/>
          </w:tcPr>
          <w:p w14:paraId="7EE36F68"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311</w:t>
            </w:r>
          </w:p>
        </w:tc>
        <w:tc>
          <w:tcPr>
            <w:tcW w:w="795" w:type="pct"/>
            <w:tcBorders>
              <w:tl2br w:val="nil"/>
              <w:tr2bl w:val="nil"/>
            </w:tcBorders>
            <w:shd w:val="clear" w:color="auto" w:fill="FFFFFF"/>
            <w:vAlign w:val="center"/>
          </w:tcPr>
          <w:p w14:paraId="7635D859"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19.6%</w:t>
            </w:r>
          </w:p>
        </w:tc>
        <w:tc>
          <w:tcPr>
            <w:tcW w:w="940" w:type="pct"/>
            <w:tcBorders>
              <w:tl2br w:val="nil"/>
              <w:tr2bl w:val="nil"/>
            </w:tcBorders>
            <w:shd w:val="clear" w:color="auto" w:fill="FFFFFF"/>
            <w:vAlign w:val="center"/>
          </w:tcPr>
          <w:p w14:paraId="0AB9BA02"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75.7%</w:t>
            </w:r>
          </w:p>
        </w:tc>
      </w:tr>
      <w:tr w:rsidR="0067740A" w14:paraId="6BBAF0D0" w14:textId="77777777">
        <w:trPr>
          <w:cantSplit/>
        </w:trPr>
        <w:tc>
          <w:tcPr>
            <w:tcW w:w="568" w:type="pct"/>
            <w:vMerge/>
            <w:tcBorders>
              <w:tl2br w:val="nil"/>
              <w:tr2bl w:val="nil"/>
            </w:tcBorders>
            <w:shd w:val="clear" w:color="auto" w:fill="FFFFFF"/>
          </w:tcPr>
          <w:p w14:paraId="2D0F6545" w14:textId="77777777" w:rsidR="0067740A" w:rsidRDefault="0067740A">
            <w:pPr>
              <w:spacing w:line="360" w:lineRule="auto"/>
              <w:rPr>
                <w:rFonts w:ascii="Arial" w:eastAsia="宋体" w:hAnsi="Arial" w:cs="Arial"/>
                <w:color w:val="000000"/>
              </w:rPr>
            </w:pPr>
          </w:p>
        </w:tc>
        <w:tc>
          <w:tcPr>
            <w:tcW w:w="1901" w:type="pct"/>
            <w:tcBorders>
              <w:tl2br w:val="nil"/>
              <w:tr2bl w:val="nil"/>
            </w:tcBorders>
            <w:shd w:val="clear" w:color="auto" w:fill="FFFFFF"/>
          </w:tcPr>
          <w:p w14:paraId="42ACDE9C" w14:textId="77777777" w:rsidR="0067740A" w:rsidRDefault="00000000">
            <w:pPr>
              <w:spacing w:line="360" w:lineRule="auto"/>
              <w:ind w:left="60" w:right="60"/>
              <w:rPr>
                <w:rFonts w:ascii="Arial" w:eastAsia="宋体" w:hAnsi="Arial" w:cs="Arial"/>
                <w:color w:val="000000"/>
              </w:rPr>
            </w:pPr>
            <w:r>
              <w:rPr>
                <w:rFonts w:ascii="Arial" w:eastAsia="宋体" w:hAnsi="Arial" w:cs="Arial"/>
                <w:color w:val="000000"/>
              </w:rPr>
              <w:t>7 (Volkswagen’s advertisements)</w:t>
            </w:r>
          </w:p>
        </w:tc>
        <w:tc>
          <w:tcPr>
            <w:tcW w:w="795" w:type="pct"/>
            <w:tcBorders>
              <w:tl2br w:val="nil"/>
              <w:tr2bl w:val="nil"/>
            </w:tcBorders>
            <w:shd w:val="clear" w:color="auto" w:fill="FFFFFF"/>
            <w:vAlign w:val="center"/>
          </w:tcPr>
          <w:p w14:paraId="7CE4D8A4"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278</w:t>
            </w:r>
          </w:p>
        </w:tc>
        <w:tc>
          <w:tcPr>
            <w:tcW w:w="795" w:type="pct"/>
            <w:tcBorders>
              <w:tl2br w:val="nil"/>
              <w:tr2bl w:val="nil"/>
            </w:tcBorders>
            <w:shd w:val="clear" w:color="auto" w:fill="FFFFFF"/>
            <w:vAlign w:val="center"/>
          </w:tcPr>
          <w:p w14:paraId="725800D7"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17.5%</w:t>
            </w:r>
          </w:p>
        </w:tc>
        <w:tc>
          <w:tcPr>
            <w:tcW w:w="940" w:type="pct"/>
            <w:tcBorders>
              <w:tl2br w:val="nil"/>
              <w:tr2bl w:val="nil"/>
            </w:tcBorders>
            <w:shd w:val="clear" w:color="auto" w:fill="FFFFFF"/>
            <w:vAlign w:val="center"/>
          </w:tcPr>
          <w:p w14:paraId="35251C49"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67.6%</w:t>
            </w:r>
          </w:p>
        </w:tc>
      </w:tr>
      <w:tr w:rsidR="0067740A" w14:paraId="56589C14" w14:textId="77777777">
        <w:trPr>
          <w:cantSplit/>
        </w:trPr>
        <w:tc>
          <w:tcPr>
            <w:tcW w:w="568" w:type="pct"/>
            <w:vMerge/>
            <w:tcBorders>
              <w:tl2br w:val="nil"/>
              <w:tr2bl w:val="nil"/>
            </w:tcBorders>
            <w:shd w:val="clear" w:color="auto" w:fill="FFFFFF"/>
          </w:tcPr>
          <w:p w14:paraId="7DB542A9" w14:textId="77777777" w:rsidR="0067740A" w:rsidRDefault="0067740A">
            <w:pPr>
              <w:spacing w:line="360" w:lineRule="auto"/>
              <w:rPr>
                <w:rFonts w:ascii="Arial" w:eastAsia="宋体" w:hAnsi="Arial" w:cs="Arial"/>
                <w:color w:val="000000"/>
              </w:rPr>
            </w:pPr>
          </w:p>
        </w:tc>
        <w:tc>
          <w:tcPr>
            <w:tcW w:w="1901" w:type="pct"/>
            <w:tcBorders>
              <w:tl2br w:val="nil"/>
              <w:tr2bl w:val="nil"/>
            </w:tcBorders>
            <w:shd w:val="clear" w:color="auto" w:fill="FFFFFF"/>
          </w:tcPr>
          <w:p w14:paraId="2DCB4B33" w14:textId="77777777" w:rsidR="0067740A" w:rsidRDefault="00000000">
            <w:pPr>
              <w:spacing w:line="360" w:lineRule="auto"/>
              <w:ind w:left="60" w:right="60"/>
              <w:rPr>
                <w:rFonts w:ascii="Arial" w:eastAsia="宋体" w:hAnsi="Arial" w:cs="Arial"/>
                <w:color w:val="000000"/>
              </w:rPr>
            </w:pPr>
            <w:r>
              <w:rPr>
                <w:rFonts w:ascii="Arial" w:eastAsia="宋体" w:hAnsi="Arial" w:cs="Arial"/>
                <w:color w:val="000000"/>
              </w:rPr>
              <w:t>7 (Environmental organizations)</w:t>
            </w:r>
          </w:p>
        </w:tc>
        <w:tc>
          <w:tcPr>
            <w:tcW w:w="795" w:type="pct"/>
            <w:tcBorders>
              <w:tl2br w:val="nil"/>
              <w:tr2bl w:val="nil"/>
            </w:tcBorders>
            <w:shd w:val="clear" w:color="auto" w:fill="FFFFFF"/>
            <w:vAlign w:val="center"/>
          </w:tcPr>
          <w:p w14:paraId="6B10BC77"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293</w:t>
            </w:r>
          </w:p>
        </w:tc>
        <w:tc>
          <w:tcPr>
            <w:tcW w:w="795" w:type="pct"/>
            <w:tcBorders>
              <w:tl2br w:val="nil"/>
              <w:tr2bl w:val="nil"/>
            </w:tcBorders>
            <w:shd w:val="clear" w:color="auto" w:fill="FFFFFF"/>
            <w:vAlign w:val="center"/>
          </w:tcPr>
          <w:p w14:paraId="7C1B125E"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18.5%</w:t>
            </w:r>
          </w:p>
        </w:tc>
        <w:tc>
          <w:tcPr>
            <w:tcW w:w="940" w:type="pct"/>
            <w:tcBorders>
              <w:tl2br w:val="nil"/>
              <w:tr2bl w:val="nil"/>
            </w:tcBorders>
            <w:shd w:val="clear" w:color="auto" w:fill="FFFFFF"/>
            <w:vAlign w:val="center"/>
          </w:tcPr>
          <w:p w14:paraId="359CAAFE"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71.3%</w:t>
            </w:r>
          </w:p>
        </w:tc>
      </w:tr>
      <w:tr w:rsidR="0067740A" w14:paraId="4A0BC606" w14:textId="77777777">
        <w:trPr>
          <w:cantSplit/>
        </w:trPr>
        <w:tc>
          <w:tcPr>
            <w:tcW w:w="568" w:type="pct"/>
            <w:vMerge/>
            <w:tcBorders>
              <w:tl2br w:val="nil"/>
              <w:tr2bl w:val="nil"/>
            </w:tcBorders>
            <w:shd w:val="clear" w:color="auto" w:fill="FFFFFF"/>
          </w:tcPr>
          <w:p w14:paraId="206881E3" w14:textId="77777777" w:rsidR="0067740A" w:rsidRDefault="0067740A">
            <w:pPr>
              <w:spacing w:line="360" w:lineRule="auto"/>
              <w:rPr>
                <w:rFonts w:ascii="Arial" w:eastAsia="宋体" w:hAnsi="Arial" w:cs="Arial"/>
                <w:color w:val="000000"/>
              </w:rPr>
            </w:pPr>
          </w:p>
        </w:tc>
        <w:tc>
          <w:tcPr>
            <w:tcW w:w="1901" w:type="pct"/>
            <w:tcBorders>
              <w:tl2br w:val="nil"/>
              <w:tr2bl w:val="nil"/>
            </w:tcBorders>
            <w:shd w:val="clear" w:color="auto" w:fill="FFFFFF"/>
          </w:tcPr>
          <w:p w14:paraId="644B940A" w14:textId="77777777" w:rsidR="0067740A" w:rsidRDefault="00000000">
            <w:pPr>
              <w:spacing w:line="360" w:lineRule="auto"/>
              <w:ind w:left="60" w:right="60"/>
              <w:rPr>
                <w:rFonts w:ascii="Arial" w:eastAsia="宋体" w:hAnsi="Arial" w:cs="Arial"/>
                <w:color w:val="000000"/>
              </w:rPr>
            </w:pPr>
            <w:r>
              <w:rPr>
                <w:rFonts w:ascii="Arial" w:eastAsia="宋体" w:hAnsi="Arial" w:cs="Arial"/>
                <w:color w:val="000000"/>
              </w:rPr>
              <w:t>7 (Word of mouth)</w:t>
            </w:r>
          </w:p>
        </w:tc>
        <w:tc>
          <w:tcPr>
            <w:tcW w:w="795" w:type="pct"/>
            <w:tcBorders>
              <w:tl2br w:val="nil"/>
              <w:tr2bl w:val="nil"/>
            </w:tcBorders>
            <w:shd w:val="clear" w:color="auto" w:fill="FFFFFF"/>
            <w:vAlign w:val="center"/>
          </w:tcPr>
          <w:p w14:paraId="427B34C6"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310</w:t>
            </w:r>
          </w:p>
        </w:tc>
        <w:tc>
          <w:tcPr>
            <w:tcW w:w="795" w:type="pct"/>
            <w:tcBorders>
              <w:tl2br w:val="nil"/>
              <w:tr2bl w:val="nil"/>
            </w:tcBorders>
            <w:shd w:val="clear" w:color="auto" w:fill="FFFFFF"/>
            <w:vAlign w:val="center"/>
          </w:tcPr>
          <w:p w14:paraId="0BA47469"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19.5%</w:t>
            </w:r>
          </w:p>
        </w:tc>
        <w:tc>
          <w:tcPr>
            <w:tcW w:w="940" w:type="pct"/>
            <w:tcBorders>
              <w:tl2br w:val="nil"/>
              <w:tr2bl w:val="nil"/>
            </w:tcBorders>
            <w:shd w:val="clear" w:color="auto" w:fill="FFFFFF"/>
            <w:vAlign w:val="center"/>
          </w:tcPr>
          <w:p w14:paraId="3F12A9E0"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75.4%</w:t>
            </w:r>
          </w:p>
        </w:tc>
      </w:tr>
      <w:tr w:rsidR="0067740A" w14:paraId="1DB6D87C" w14:textId="77777777">
        <w:trPr>
          <w:cantSplit/>
        </w:trPr>
        <w:tc>
          <w:tcPr>
            <w:tcW w:w="568" w:type="pct"/>
            <w:vMerge/>
            <w:tcBorders>
              <w:tl2br w:val="nil"/>
              <w:tr2bl w:val="nil"/>
            </w:tcBorders>
            <w:shd w:val="clear" w:color="auto" w:fill="FFFFFF"/>
          </w:tcPr>
          <w:p w14:paraId="40B8B13E" w14:textId="77777777" w:rsidR="0067740A" w:rsidRDefault="0067740A">
            <w:pPr>
              <w:spacing w:line="360" w:lineRule="auto"/>
              <w:rPr>
                <w:rFonts w:ascii="Arial" w:eastAsia="宋体" w:hAnsi="Arial" w:cs="Arial"/>
                <w:color w:val="000000"/>
              </w:rPr>
            </w:pPr>
          </w:p>
        </w:tc>
        <w:tc>
          <w:tcPr>
            <w:tcW w:w="1901" w:type="pct"/>
            <w:tcBorders>
              <w:tl2br w:val="nil"/>
              <w:tr2bl w:val="nil"/>
            </w:tcBorders>
            <w:shd w:val="clear" w:color="auto" w:fill="FFFFFF"/>
          </w:tcPr>
          <w:p w14:paraId="087461EE" w14:textId="77777777" w:rsidR="0067740A" w:rsidRDefault="00000000">
            <w:pPr>
              <w:spacing w:line="360" w:lineRule="auto"/>
              <w:ind w:left="60" w:right="60"/>
              <w:rPr>
                <w:rFonts w:ascii="Arial" w:eastAsia="宋体" w:hAnsi="Arial" w:cs="Arial"/>
                <w:color w:val="000000"/>
              </w:rPr>
            </w:pPr>
            <w:r>
              <w:rPr>
                <w:rFonts w:ascii="Arial" w:eastAsia="宋体" w:hAnsi="Arial" w:cs="Arial"/>
                <w:color w:val="000000"/>
              </w:rPr>
              <w:t>7 (Other (please specify))</w:t>
            </w:r>
          </w:p>
        </w:tc>
        <w:tc>
          <w:tcPr>
            <w:tcW w:w="795" w:type="pct"/>
            <w:tcBorders>
              <w:tl2br w:val="nil"/>
              <w:tr2bl w:val="nil"/>
            </w:tcBorders>
            <w:shd w:val="clear" w:color="auto" w:fill="FFFFFF"/>
            <w:vAlign w:val="center"/>
          </w:tcPr>
          <w:p w14:paraId="73DDA918"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79</w:t>
            </w:r>
          </w:p>
        </w:tc>
        <w:tc>
          <w:tcPr>
            <w:tcW w:w="795" w:type="pct"/>
            <w:tcBorders>
              <w:tl2br w:val="nil"/>
              <w:tr2bl w:val="nil"/>
            </w:tcBorders>
            <w:shd w:val="clear" w:color="auto" w:fill="FFFFFF"/>
            <w:vAlign w:val="center"/>
          </w:tcPr>
          <w:p w14:paraId="19AD026B"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5.0%</w:t>
            </w:r>
          </w:p>
        </w:tc>
        <w:tc>
          <w:tcPr>
            <w:tcW w:w="940" w:type="pct"/>
            <w:tcBorders>
              <w:tl2br w:val="nil"/>
              <w:tr2bl w:val="nil"/>
            </w:tcBorders>
            <w:shd w:val="clear" w:color="auto" w:fill="FFFFFF"/>
            <w:vAlign w:val="center"/>
          </w:tcPr>
          <w:p w14:paraId="1D4290B9"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19.2%</w:t>
            </w:r>
          </w:p>
        </w:tc>
      </w:tr>
      <w:tr w:rsidR="0067740A" w14:paraId="2C3E1D4F" w14:textId="77777777">
        <w:trPr>
          <w:cantSplit/>
        </w:trPr>
        <w:tc>
          <w:tcPr>
            <w:tcW w:w="2469" w:type="pct"/>
            <w:gridSpan w:val="2"/>
            <w:tcBorders>
              <w:bottom w:val="single" w:sz="4" w:space="0" w:color="auto"/>
              <w:tl2br w:val="nil"/>
              <w:tr2bl w:val="nil"/>
            </w:tcBorders>
            <w:shd w:val="clear" w:color="auto" w:fill="FFFFFF"/>
            <w:vAlign w:val="center"/>
          </w:tcPr>
          <w:p w14:paraId="0A9BC745"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Total</w:t>
            </w:r>
          </w:p>
        </w:tc>
        <w:tc>
          <w:tcPr>
            <w:tcW w:w="795" w:type="pct"/>
            <w:tcBorders>
              <w:bottom w:val="single" w:sz="4" w:space="0" w:color="auto"/>
              <w:tl2br w:val="nil"/>
              <w:tr2bl w:val="nil"/>
            </w:tcBorders>
            <w:shd w:val="clear" w:color="auto" w:fill="FFFFFF"/>
            <w:vAlign w:val="center"/>
          </w:tcPr>
          <w:p w14:paraId="15385AB7"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1586</w:t>
            </w:r>
          </w:p>
        </w:tc>
        <w:tc>
          <w:tcPr>
            <w:tcW w:w="795" w:type="pct"/>
            <w:tcBorders>
              <w:bottom w:val="single" w:sz="4" w:space="0" w:color="auto"/>
              <w:tl2br w:val="nil"/>
              <w:tr2bl w:val="nil"/>
            </w:tcBorders>
            <w:shd w:val="clear" w:color="auto" w:fill="FFFFFF"/>
            <w:vAlign w:val="center"/>
          </w:tcPr>
          <w:p w14:paraId="2DFCDE3F"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100.0%</w:t>
            </w:r>
          </w:p>
        </w:tc>
        <w:tc>
          <w:tcPr>
            <w:tcW w:w="940" w:type="pct"/>
            <w:tcBorders>
              <w:bottom w:val="single" w:sz="4" w:space="0" w:color="auto"/>
              <w:tl2br w:val="nil"/>
              <w:tr2bl w:val="nil"/>
            </w:tcBorders>
            <w:shd w:val="clear" w:color="auto" w:fill="FFFFFF"/>
            <w:vAlign w:val="center"/>
          </w:tcPr>
          <w:p w14:paraId="58E6E077" w14:textId="77777777" w:rsidR="0067740A" w:rsidRDefault="00000000">
            <w:pPr>
              <w:spacing w:line="360" w:lineRule="auto"/>
              <w:ind w:left="60" w:right="60"/>
              <w:jc w:val="center"/>
              <w:rPr>
                <w:rFonts w:ascii="Arial" w:eastAsia="宋体" w:hAnsi="Arial" w:cs="Arial"/>
                <w:color w:val="000000"/>
              </w:rPr>
            </w:pPr>
            <w:r>
              <w:rPr>
                <w:rFonts w:ascii="Arial" w:eastAsia="宋体" w:hAnsi="Arial" w:cs="Arial"/>
                <w:color w:val="000000"/>
              </w:rPr>
              <w:t>385.9%</w:t>
            </w:r>
          </w:p>
        </w:tc>
      </w:tr>
      <w:tr w:rsidR="0067740A" w14:paraId="545F433B" w14:textId="77777777">
        <w:trPr>
          <w:cantSplit/>
        </w:trPr>
        <w:tc>
          <w:tcPr>
            <w:tcW w:w="5000" w:type="pct"/>
            <w:gridSpan w:val="5"/>
            <w:tcBorders>
              <w:top w:val="single" w:sz="4" w:space="0" w:color="auto"/>
              <w:tl2br w:val="nil"/>
              <w:tr2bl w:val="nil"/>
            </w:tcBorders>
            <w:shd w:val="clear" w:color="auto" w:fill="FFFFFF"/>
          </w:tcPr>
          <w:p w14:paraId="65F71EA3" w14:textId="77777777" w:rsidR="0067740A" w:rsidRDefault="00000000">
            <w:pPr>
              <w:widowControl w:val="0"/>
              <w:numPr>
                <w:ilvl w:val="0"/>
                <w:numId w:val="14"/>
              </w:numPr>
              <w:spacing w:line="360" w:lineRule="auto"/>
              <w:ind w:left="60" w:right="60"/>
              <w:jc w:val="both"/>
              <w:rPr>
                <w:rFonts w:ascii="Arial" w:eastAsia="宋体" w:hAnsi="Arial" w:cs="Arial"/>
                <w:color w:val="000000"/>
              </w:rPr>
            </w:pPr>
            <w:r>
              <w:rPr>
                <w:rFonts w:ascii="Arial" w:eastAsia="宋体" w:hAnsi="Arial" w:cs="Arial"/>
                <w:color w:val="000000"/>
              </w:rPr>
              <w:t>The value 1 is used to tabulate the groups of two.</w:t>
            </w:r>
          </w:p>
        </w:tc>
      </w:tr>
    </w:tbl>
    <w:p w14:paraId="65A31D7A" w14:textId="77777777" w:rsidR="0067740A" w:rsidRDefault="00000000">
      <w:pPr>
        <w:pStyle w:val="a6"/>
        <w:spacing w:line="360" w:lineRule="auto"/>
        <w:ind w:left="160" w:right="278" w:firstLine="479"/>
        <w:rPr>
          <w:rFonts w:ascii="Arial" w:hAnsi="Arial" w:cs="Arial"/>
        </w:rPr>
      </w:pPr>
      <w:r>
        <w:rPr>
          <w:rFonts w:ascii="Arial" w:hAnsi="Arial" w:cs="Arial"/>
        </w:rPr>
        <w:t>As can be seen from the table above, the respondents obtained relevant information about Volkswagen’s sustainable development initiative through various channels</w:t>
      </w:r>
      <w:r>
        <w:rPr>
          <w:rFonts w:ascii="Arial" w:hAnsi="Arial" w:cs="Arial"/>
          <w:spacing w:val="-3"/>
        </w:rPr>
        <w:t xml:space="preserve"> </w:t>
      </w:r>
      <w:r>
        <w:rPr>
          <w:rFonts w:ascii="Arial" w:hAnsi="Arial" w:cs="Arial"/>
        </w:rPr>
        <w:t>for</w:t>
      </w:r>
      <w:r>
        <w:rPr>
          <w:rFonts w:ascii="Arial" w:hAnsi="Arial" w:cs="Arial"/>
          <w:spacing w:val="-4"/>
        </w:rPr>
        <w:t xml:space="preserve"> </w:t>
      </w:r>
      <w:r>
        <w:rPr>
          <w:rFonts w:ascii="Arial" w:hAnsi="Arial" w:cs="Arial"/>
        </w:rPr>
        <w:t>the</w:t>
      </w:r>
      <w:r>
        <w:rPr>
          <w:rFonts w:ascii="Arial" w:hAnsi="Arial" w:cs="Arial"/>
          <w:spacing w:val="-4"/>
        </w:rPr>
        <w:t xml:space="preserve"> </w:t>
      </w:r>
      <w:r>
        <w:rPr>
          <w:rFonts w:ascii="Arial" w:hAnsi="Arial" w:cs="Arial"/>
        </w:rPr>
        <w:t>first</w:t>
      </w:r>
      <w:r>
        <w:rPr>
          <w:rFonts w:ascii="Arial" w:hAnsi="Arial" w:cs="Arial"/>
          <w:spacing w:val="-3"/>
        </w:rPr>
        <w:t xml:space="preserve"> </w:t>
      </w:r>
      <w:r>
        <w:rPr>
          <w:rFonts w:ascii="Arial" w:hAnsi="Arial" w:cs="Arial"/>
        </w:rPr>
        <w:t>time.</w:t>
      </w:r>
      <w:r>
        <w:rPr>
          <w:rFonts w:ascii="Arial" w:hAnsi="Arial" w:cs="Arial"/>
          <w:spacing w:val="-2"/>
        </w:rPr>
        <w:t xml:space="preserve"> </w:t>
      </w:r>
      <w:r>
        <w:rPr>
          <w:rFonts w:ascii="Arial" w:hAnsi="Arial" w:cs="Arial"/>
        </w:rPr>
        <w:t>Specifically,</w:t>
      </w:r>
      <w:r>
        <w:rPr>
          <w:rFonts w:ascii="Arial" w:hAnsi="Arial" w:cs="Arial"/>
          <w:spacing w:val="-3"/>
        </w:rPr>
        <w:t xml:space="preserve"> </w:t>
      </w:r>
      <w:proofErr w:type="gramStart"/>
      <w:r>
        <w:rPr>
          <w:rFonts w:ascii="Arial" w:hAnsi="Arial" w:cs="Arial"/>
        </w:rPr>
        <w:t>Social media</w:t>
      </w:r>
      <w:proofErr w:type="gramEnd"/>
      <w:r>
        <w:rPr>
          <w:rFonts w:ascii="Arial" w:hAnsi="Arial" w:cs="Arial"/>
        </w:rPr>
        <w:t xml:space="preserve"> is the most commonly cited channel, representing 19.9% of responses.</w:t>
      </w:r>
      <w:r>
        <w:rPr>
          <w:rFonts w:ascii="Arial" w:hAnsi="Arial" w:cs="Arial"/>
          <w:lang w:eastAsia="zh-CN"/>
        </w:rPr>
        <w:t xml:space="preserve"> 3</w:t>
      </w:r>
      <w:r>
        <w:rPr>
          <w:rFonts w:ascii="Arial" w:hAnsi="Arial" w:cs="Arial"/>
        </w:rPr>
        <w:t>15</w:t>
      </w:r>
      <w:r>
        <w:rPr>
          <w:rFonts w:ascii="Arial" w:hAnsi="Arial" w:cs="Arial"/>
          <w:spacing w:val="-3"/>
        </w:rPr>
        <w:t xml:space="preserve"> </w:t>
      </w:r>
      <w:r>
        <w:rPr>
          <w:rFonts w:ascii="Arial" w:hAnsi="Arial" w:cs="Arial"/>
        </w:rPr>
        <w:t>respondents</w:t>
      </w:r>
      <w:r>
        <w:rPr>
          <w:rFonts w:ascii="Arial" w:hAnsi="Arial" w:cs="Arial"/>
          <w:spacing w:val="-3"/>
        </w:rPr>
        <w:t xml:space="preserve"> </w:t>
      </w:r>
      <w:r>
        <w:rPr>
          <w:rFonts w:ascii="Arial" w:hAnsi="Arial" w:cs="Arial"/>
        </w:rPr>
        <w:t>chose</w:t>
      </w:r>
      <w:r>
        <w:rPr>
          <w:rFonts w:ascii="Arial" w:hAnsi="Arial" w:cs="Arial"/>
          <w:spacing w:val="-4"/>
        </w:rPr>
        <w:t xml:space="preserve"> </w:t>
      </w:r>
      <w:r>
        <w:rPr>
          <w:rFonts w:ascii="Arial" w:hAnsi="Arial" w:cs="Arial"/>
        </w:rPr>
        <w:t>this</w:t>
      </w:r>
      <w:r>
        <w:rPr>
          <w:rFonts w:ascii="Arial" w:hAnsi="Arial" w:cs="Arial"/>
          <w:spacing w:val="-3"/>
        </w:rPr>
        <w:t xml:space="preserve"> </w:t>
      </w:r>
      <w:r>
        <w:rPr>
          <w:rFonts w:ascii="Arial" w:hAnsi="Arial" w:cs="Arial"/>
        </w:rPr>
        <w:t>option,</w:t>
      </w:r>
      <w:r>
        <w:rPr>
          <w:rFonts w:ascii="Arial" w:hAnsi="Arial" w:cs="Arial"/>
          <w:spacing w:val="-3"/>
        </w:rPr>
        <w:t xml:space="preserve"> </w:t>
      </w:r>
      <w:r>
        <w:rPr>
          <w:rFonts w:ascii="Arial" w:hAnsi="Arial" w:cs="Arial"/>
        </w:rPr>
        <w:t>accounting for 76.6% of all respondents.</w:t>
      </w:r>
    </w:p>
    <w:p w14:paraId="3DAEB281" w14:textId="77777777" w:rsidR="0067740A" w:rsidRDefault="00000000">
      <w:pPr>
        <w:pStyle w:val="a6"/>
        <w:spacing w:line="360" w:lineRule="auto"/>
        <w:ind w:left="160" w:right="278" w:firstLine="479"/>
        <w:rPr>
          <w:rFonts w:ascii="Arial" w:hAnsi="Arial" w:cs="Arial"/>
          <w:spacing w:val="-2"/>
        </w:rPr>
      </w:pPr>
      <w:r>
        <w:rPr>
          <w:rFonts w:ascii="Arial" w:hAnsi="Arial" w:cs="Arial"/>
        </w:rPr>
        <w:t xml:space="preserve">This was followed by News articles (19.6%), which accounted for a total of 311 respondents, or 75.7%, who learned about Volkswagen’s sustainability initiatives </w:t>
      </w:r>
      <w:r>
        <w:rPr>
          <w:rFonts w:ascii="Arial" w:hAnsi="Arial" w:cs="Arial"/>
        </w:rPr>
        <w:lastRenderedPageBreak/>
        <w:t>through this channel. Volkswagen’s advertisements were also an important source of information,</w:t>
      </w:r>
      <w:r>
        <w:rPr>
          <w:rFonts w:ascii="Arial" w:hAnsi="Arial" w:cs="Arial"/>
          <w:spacing w:val="-14"/>
        </w:rPr>
        <w:t xml:space="preserve"> </w:t>
      </w:r>
      <w:r>
        <w:rPr>
          <w:rFonts w:ascii="Arial" w:hAnsi="Arial" w:cs="Arial"/>
        </w:rPr>
        <w:t>accounting</w:t>
      </w:r>
      <w:r>
        <w:rPr>
          <w:rFonts w:ascii="Arial" w:hAnsi="Arial" w:cs="Arial"/>
          <w:spacing w:val="-14"/>
        </w:rPr>
        <w:t xml:space="preserve"> </w:t>
      </w:r>
      <w:r>
        <w:rPr>
          <w:rFonts w:ascii="Arial" w:hAnsi="Arial" w:cs="Arial"/>
        </w:rPr>
        <w:t>for</w:t>
      </w:r>
      <w:r>
        <w:rPr>
          <w:rFonts w:ascii="Arial" w:hAnsi="Arial" w:cs="Arial"/>
          <w:spacing w:val="-15"/>
        </w:rPr>
        <w:t xml:space="preserve"> </w:t>
      </w:r>
      <w:r>
        <w:rPr>
          <w:rFonts w:ascii="Arial" w:hAnsi="Arial" w:cs="Arial"/>
        </w:rPr>
        <w:t>17.5%,</w:t>
      </w:r>
      <w:r>
        <w:rPr>
          <w:rFonts w:ascii="Arial" w:hAnsi="Arial" w:cs="Arial"/>
          <w:spacing w:val="-14"/>
        </w:rPr>
        <w:t xml:space="preserve"> </w:t>
      </w:r>
      <w:r>
        <w:rPr>
          <w:rFonts w:ascii="Arial" w:hAnsi="Arial" w:cs="Arial"/>
        </w:rPr>
        <w:t>chosen</w:t>
      </w:r>
      <w:r>
        <w:rPr>
          <w:rFonts w:ascii="Arial" w:hAnsi="Arial" w:cs="Arial"/>
          <w:spacing w:val="-14"/>
        </w:rPr>
        <w:t xml:space="preserve"> </w:t>
      </w:r>
      <w:r>
        <w:rPr>
          <w:rFonts w:ascii="Arial" w:hAnsi="Arial" w:cs="Arial"/>
        </w:rPr>
        <w:t>by</w:t>
      </w:r>
      <w:r>
        <w:rPr>
          <w:rFonts w:ascii="Arial" w:hAnsi="Arial" w:cs="Arial"/>
          <w:spacing w:val="-14"/>
        </w:rPr>
        <w:t xml:space="preserve"> </w:t>
      </w:r>
      <w:r>
        <w:rPr>
          <w:rFonts w:ascii="Arial" w:hAnsi="Arial" w:cs="Arial"/>
        </w:rPr>
        <w:t>278</w:t>
      </w:r>
      <w:r>
        <w:rPr>
          <w:rFonts w:ascii="Arial" w:hAnsi="Arial" w:cs="Arial"/>
          <w:spacing w:val="-14"/>
        </w:rPr>
        <w:t xml:space="preserve"> </w:t>
      </w:r>
      <w:r>
        <w:rPr>
          <w:rFonts w:ascii="Arial" w:hAnsi="Arial" w:cs="Arial"/>
        </w:rPr>
        <w:t>respondents,</w:t>
      </w:r>
      <w:r>
        <w:rPr>
          <w:rFonts w:ascii="Arial" w:hAnsi="Arial" w:cs="Arial"/>
          <w:spacing w:val="-13"/>
        </w:rPr>
        <w:t xml:space="preserve"> </w:t>
      </w:r>
      <w:r>
        <w:rPr>
          <w:rFonts w:ascii="Arial" w:hAnsi="Arial" w:cs="Arial"/>
        </w:rPr>
        <w:t xml:space="preserve">or 67.6%of </w:t>
      </w:r>
      <w:r>
        <w:rPr>
          <w:rFonts w:ascii="Arial" w:hAnsi="Arial" w:cs="Arial"/>
          <w:spacing w:val="-2"/>
        </w:rPr>
        <w:t>cases.</w:t>
      </w:r>
    </w:p>
    <w:p w14:paraId="7202C8E4" w14:textId="77777777" w:rsidR="0067740A" w:rsidRDefault="00000000">
      <w:pPr>
        <w:pStyle w:val="a6"/>
        <w:spacing w:line="360" w:lineRule="auto"/>
        <w:ind w:left="160" w:right="278" w:firstLine="479"/>
        <w:rPr>
          <w:rFonts w:ascii="Arial" w:hAnsi="Arial" w:cs="Arial"/>
        </w:rPr>
      </w:pPr>
      <w:r>
        <w:rPr>
          <w:rFonts w:ascii="Arial" w:hAnsi="Arial" w:cs="Arial"/>
        </w:rPr>
        <w:t>Environmental organizations accounted for 18.5%, with 293 respondents (71.3% of</w:t>
      </w:r>
      <w:r>
        <w:rPr>
          <w:rFonts w:ascii="Arial" w:hAnsi="Arial" w:cs="Arial"/>
          <w:spacing w:val="-9"/>
        </w:rPr>
        <w:t xml:space="preserve"> </w:t>
      </w:r>
      <w:r>
        <w:rPr>
          <w:rFonts w:ascii="Arial" w:hAnsi="Arial" w:cs="Arial"/>
        </w:rPr>
        <w:t>cases)</w:t>
      </w:r>
      <w:r>
        <w:rPr>
          <w:rFonts w:ascii="Arial" w:hAnsi="Arial" w:cs="Arial"/>
          <w:spacing w:val="-7"/>
        </w:rPr>
        <w:t xml:space="preserve"> </w:t>
      </w:r>
      <w:r>
        <w:rPr>
          <w:rFonts w:ascii="Arial" w:hAnsi="Arial" w:cs="Arial"/>
        </w:rPr>
        <w:t>receiving</w:t>
      </w:r>
      <w:r>
        <w:rPr>
          <w:rFonts w:ascii="Arial" w:hAnsi="Arial" w:cs="Arial"/>
          <w:spacing w:val="-8"/>
        </w:rPr>
        <w:t xml:space="preserve"> </w:t>
      </w:r>
      <w:r>
        <w:rPr>
          <w:rFonts w:ascii="Arial" w:hAnsi="Arial" w:cs="Arial"/>
        </w:rPr>
        <w:t>information</w:t>
      </w:r>
      <w:r>
        <w:rPr>
          <w:rFonts w:ascii="Arial" w:hAnsi="Arial" w:cs="Arial"/>
          <w:spacing w:val="-5"/>
        </w:rPr>
        <w:t xml:space="preserve"> </w:t>
      </w:r>
      <w:r>
        <w:rPr>
          <w:rFonts w:ascii="Arial" w:hAnsi="Arial" w:cs="Arial"/>
        </w:rPr>
        <w:t>from</w:t>
      </w:r>
      <w:r>
        <w:rPr>
          <w:rFonts w:ascii="Arial" w:hAnsi="Arial" w:cs="Arial"/>
          <w:spacing w:val="-6"/>
        </w:rPr>
        <w:t xml:space="preserve"> </w:t>
      </w:r>
      <w:r>
        <w:rPr>
          <w:rFonts w:ascii="Arial" w:hAnsi="Arial" w:cs="Arial"/>
        </w:rPr>
        <w:t>this</w:t>
      </w:r>
      <w:r>
        <w:rPr>
          <w:rFonts w:ascii="Arial" w:hAnsi="Arial" w:cs="Arial"/>
          <w:spacing w:val="-8"/>
        </w:rPr>
        <w:t xml:space="preserve"> </w:t>
      </w:r>
      <w:r>
        <w:rPr>
          <w:rFonts w:ascii="Arial" w:hAnsi="Arial" w:cs="Arial"/>
        </w:rPr>
        <w:t>source.</w:t>
      </w:r>
      <w:r>
        <w:rPr>
          <w:rFonts w:ascii="Arial" w:hAnsi="Arial" w:cs="Arial"/>
          <w:spacing w:val="-6"/>
        </w:rPr>
        <w:t xml:space="preserve"> </w:t>
      </w:r>
      <w:r>
        <w:rPr>
          <w:rFonts w:ascii="Arial" w:hAnsi="Arial" w:cs="Arial"/>
        </w:rPr>
        <w:t>At</w:t>
      </w:r>
      <w:r>
        <w:rPr>
          <w:rFonts w:ascii="Arial" w:hAnsi="Arial" w:cs="Arial"/>
          <w:spacing w:val="-8"/>
        </w:rPr>
        <w:t xml:space="preserve"> </w:t>
      </w:r>
      <w:r>
        <w:rPr>
          <w:rFonts w:ascii="Arial" w:hAnsi="Arial" w:cs="Arial"/>
        </w:rPr>
        <w:t>the</w:t>
      </w:r>
      <w:r>
        <w:rPr>
          <w:rFonts w:ascii="Arial" w:hAnsi="Arial" w:cs="Arial"/>
          <w:spacing w:val="-9"/>
        </w:rPr>
        <w:t xml:space="preserve"> </w:t>
      </w:r>
      <w:r>
        <w:rPr>
          <w:rFonts w:ascii="Arial" w:hAnsi="Arial" w:cs="Arial"/>
        </w:rPr>
        <w:t>same</w:t>
      </w:r>
      <w:r>
        <w:rPr>
          <w:rFonts w:ascii="Arial" w:hAnsi="Arial" w:cs="Arial"/>
          <w:spacing w:val="-6"/>
        </w:rPr>
        <w:t xml:space="preserve"> </w:t>
      </w:r>
      <w:r>
        <w:rPr>
          <w:rFonts w:ascii="Arial" w:hAnsi="Arial" w:cs="Arial"/>
        </w:rPr>
        <w:t>time,</w:t>
      </w:r>
      <w:r>
        <w:rPr>
          <w:rFonts w:ascii="Arial" w:hAnsi="Arial" w:cs="Arial"/>
          <w:spacing w:val="-9"/>
        </w:rPr>
        <w:t xml:space="preserve"> </w:t>
      </w:r>
      <w:r>
        <w:rPr>
          <w:rFonts w:ascii="Arial" w:hAnsi="Arial" w:cs="Arial"/>
        </w:rPr>
        <w:t>Word-of-mouth communication is another notable source, accounting for 19.5% of responses.</w:t>
      </w:r>
      <w:r>
        <w:rPr>
          <w:rFonts w:ascii="Arial" w:hAnsi="Arial" w:cs="Arial"/>
          <w:lang w:eastAsia="zh-CN"/>
        </w:rPr>
        <w:t xml:space="preserve"> </w:t>
      </w:r>
      <w:r>
        <w:rPr>
          <w:rFonts w:ascii="Arial" w:hAnsi="Arial" w:cs="Arial"/>
        </w:rPr>
        <w:t>A total of 310 respondents said that they learned about Volkswagen’s sustainable development initiative through oral recommendation of others, accounting for 75.4% of the cases.</w:t>
      </w:r>
    </w:p>
    <w:p w14:paraId="6FE1BE59" w14:textId="77777777" w:rsidR="0067740A" w:rsidRDefault="00000000">
      <w:pPr>
        <w:pStyle w:val="a6"/>
        <w:spacing w:line="360" w:lineRule="auto"/>
        <w:ind w:left="160" w:right="278" w:firstLine="479"/>
        <w:rPr>
          <w:rFonts w:ascii="Arial" w:eastAsia="宋体" w:hAnsi="Arial" w:cs="Arial"/>
          <w:spacing w:val="-2"/>
          <w:lang w:eastAsia="zh-CN"/>
        </w:rPr>
      </w:pPr>
      <w:r>
        <w:rPr>
          <w:rFonts w:ascii="Arial" w:hAnsi="Arial" w:cs="Arial"/>
        </w:rPr>
        <w:t>Finally, 5.0% of the respondents chose the option of “other (please specify)”. A total</w:t>
      </w:r>
      <w:r>
        <w:rPr>
          <w:rFonts w:ascii="Arial" w:hAnsi="Arial" w:cs="Arial"/>
          <w:spacing w:val="-5"/>
        </w:rPr>
        <w:t xml:space="preserve"> </w:t>
      </w:r>
      <w:r>
        <w:rPr>
          <w:rFonts w:ascii="Arial" w:hAnsi="Arial" w:cs="Arial"/>
        </w:rPr>
        <w:t>of</w:t>
      </w:r>
      <w:r>
        <w:rPr>
          <w:rFonts w:ascii="Arial" w:hAnsi="Arial" w:cs="Arial"/>
          <w:spacing w:val="-7"/>
        </w:rPr>
        <w:t xml:space="preserve"> </w:t>
      </w:r>
      <w:r>
        <w:rPr>
          <w:rFonts w:ascii="Arial" w:hAnsi="Arial" w:cs="Arial"/>
        </w:rPr>
        <w:t>79</w:t>
      </w:r>
      <w:r>
        <w:rPr>
          <w:rFonts w:ascii="Arial" w:hAnsi="Arial" w:cs="Arial"/>
          <w:spacing w:val="-6"/>
        </w:rPr>
        <w:t xml:space="preserve"> </w:t>
      </w:r>
      <w:r>
        <w:rPr>
          <w:rFonts w:ascii="Arial" w:hAnsi="Arial" w:cs="Arial"/>
        </w:rPr>
        <w:t>respondents</w:t>
      </w:r>
      <w:r>
        <w:rPr>
          <w:rFonts w:ascii="Arial" w:hAnsi="Arial" w:cs="Arial"/>
          <w:spacing w:val="-5"/>
        </w:rPr>
        <w:t xml:space="preserve"> </w:t>
      </w:r>
      <w:r>
        <w:rPr>
          <w:rFonts w:ascii="Arial" w:hAnsi="Arial" w:cs="Arial"/>
        </w:rPr>
        <w:t>provided</w:t>
      </w:r>
      <w:r>
        <w:rPr>
          <w:rFonts w:ascii="Arial" w:hAnsi="Arial" w:cs="Arial"/>
          <w:spacing w:val="-6"/>
        </w:rPr>
        <w:t xml:space="preserve"> </w:t>
      </w:r>
      <w:r>
        <w:rPr>
          <w:rFonts w:ascii="Arial" w:hAnsi="Arial" w:cs="Arial"/>
        </w:rPr>
        <w:t>other</w:t>
      </w:r>
      <w:r>
        <w:rPr>
          <w:rFonts w:ascii="Arial" w:hAnsi="Arial" w:cs="Arial"/>
          <w:spacing w:val="-7"/>
        </w:rPr>
        <w:t xml:space="preserve"> </w:t>
      </w:r>
      <w:r>
        <w:rPr>
          <w:rFonts w:ascii="Arial" w:hAnsi="Arial" w:cs="Arial"/>
        </w:rPr>
        <w:t>sources</w:t>
      </w:r>
      <w:r>
        <w:rPr>
          <w:rFonts w:ascii="Arial" w:hAnsi="Arial" w:cs="Arial"/>
          <w:spacing w:val="-6"/>
        </w:rPr>
        <w:t xml:space="preserve"> </w:t>
      </w:r>
      <w:r>
        <w:rPr>
          <w:rFonts w:ascii="Arial" w:hAnsi="Arial" w:cs="Arial"/>
        </w:rPr>
        <w:t>of</w:t>
      </w:r>
      <w:r>
        <w:rPr>
          <w:rFonts w:ascii="Arial" w:hAnsi="Arial" w:cs="Arial"/>
          <w:spacing w:val="-7"/>
        </w:rPr>
        <w:t xml:space="preserve"> </w:t>
      </w:r>
      <w:r>
        <w:rPr>
          <w:rFonts w:ascii="Arial" w:hAnsi="Arial" w:cs="Arial"/>
        </w:rPr>
        <w:t>information,</w:t>
      </w:r>
      <w:r>
        <w:rPr>
          <w:rFonts w:ascii="Arial" w:hAnsi="Arial" w:cs="Arial"/>
          <w:spacing w:val="-5"/>
        </w:rPr>
        <w:t xml:space="preserve"> </w:t>
      </w:r>
      <w:r>
        <w:rPr>
          <w:rFonts w:ascii="Arial" w:hAnsi="Arial" w:cs="Arial"/>
        </w:rPr>
        <w:t>and</w:t>
      </w:r>
      <w:r>
        <w:rPr>
          <w:rFonts w:ascii="Arial" w:hAnsi="Arial" w:cs="Arial"/>
          <w:spacing w:val="-6"/>
        </w:rPr>
        <w:t xml:space="preserve"> </w:t>
      </w:r>
      <w:r>
        <w:rPr>
          <w:rFonts w:ascii="Arial" w:hAnsi="Arial" w:cs="Arial"/>
        </w:rPr>
        <w:t>the</w:t>
      </w:r>
      <w:r>
        <w:rPr>
          <w:rFonts w:ascii="Arial" w:hAnsi="Arial" w:cs="Arial"/>
          <w:spacing w:val="-4"/>
        </w:rPr>
        <w:t xml:space="preserve"> </w:t>
      </w:r>
      <w:r>
        <w:rPr>
          <w:rFonts w:ascii="Arial" w:hAnsi="Arial" w:cs="Arial"/>
        </w:rPr>
        <w:t>number</w:t>
      </w:r>
      <w:r>
        <w:rPr>
          <w:rFonts w:ascii="Arial" w:hAnsi="Arial" w:cs="Arial"/>
          <w:spacing w:val="-7"/>
        </w:rPr>
        <w:t xml:space="preserve"> </w:t>
      </w:r>
      <w:r>
        <w:rPr>
          <w:rFonts w:ascii="Arial" w:hAnsi="Arial" w:cs="Arial"/>
        </w:rPr>
        <w:t>of</w:t>
      </w:r>
      <w:r>
        <w:rPr>
          <w:rFonts w:ascii="Arial" w:hAnsi="Arial" w:cs="Arial"/>
          <w:spacing w:val="-3"/>
        </w:rPr>
        <w:t xml:space="preserve"> </w:t>
      </w:r>
      <w:r>
        <w:rPr>
          <w:rFonts w:ascii="Arial" w:hAnsi="Arial" w:cs="Arial"/>
        </w:rPr>
        <w:t>cases was 19.2%</w:t>
      </w:r>
      <w:r>
        <w:rPr>
          <w:rFonts w:ascii="Arial" w:eastAsia="宋体" w:hAnsi="Arial" w:cs="Arial"/>
          <w:lang w:eastAsia="zh-CN"/>
        </w:rPr>
        <w:t>.</w:t>
      </w:r>
      <w:r>
        <w:rPr>
          <w:rFonts w:ascii="Arial" w:hAnsi="Arial" w:cs="Arial"/>
        </w:rPr>
        <w:t xml:space="preserve"> This highlights the diversity and breadth of information sources utilized by respondents</w:t>
      </w:r>
      <w:r>
        <w:rPr>
          <w:rFonts w:ascii="Arial" w:eastAsia="宋体" w:hAnsi="Arial" w:cs="Arial"/>
          <w:lang w:eastAsia="zh-CN"/>
        </w:rPr>
        <w:t xml:space="preserve">. </w:t>
      </w:r>
    </w:p>
    <w:p w14:paraId="42504F59" w14:textId="77777777" w:rsidR="0067740A" w:rsidRDefault="00000000">
      <w:pPr>
        <w:pStyle w:val="a6"/>
        <w:spacing w:before="95" w:line="360" w:lineRule="auto"/>
        <w:ind w:left="28" w:firstLine="479"/>
        <w:rPr>
          <w:rFonts w:ascii="Arial" w:hAnsi="Arial" w:cs="Arial"/>
          <w:color w:val="000000"/>
        </w:rPr>
      </w:pPr>
      <w:r>
        <w:rPr>
          <w:rFonts w:ascii="Arial" w:hAnsi="Arial" w:cs="Arial"/>
          <w:color w:val="000000"/>
        </w:rPr>
        <w:t>To sum up, social media, news articles, Volkswagen advertisements, environmental organizations and word of mouth are the main ways for respondents to learn</w:t>
      </w:r>
      <w:r>
        <w:rPr>
          <w:rFonts w:ascii="Arial" w:hAnsi="Arial" w:cs="Arial"/>
          <w:color w:val="000000"/>
          <w:spacing w:val="-9"/>
        </w:rPr>
        <w:t xml:space="preserve"> </w:t>
      </w:r>
      <w:r>
        <w:rPr>
          <w:rFonts w:ascii="Arial" w:hAnsi="Arial" w:cs="Arial"/>
          <w:color w:val="000000"/>
        </w:rPr>
        <w:t>about</w:t>
      </w:r>
      <w:r>
        <w:rPr>
          <w:rFonts w:ascii="Arial" w:hAnsi="Arial" w:cs="Arial"/>
          <w:color w:val="000000"/>
          <w:spacing w:val="-7"/>
        </w:rPr>
        <w:t xml:space="preserve"> </w:t>
      </w:r>
      <w:r>
        <w:rPr>
          <w:rFonts w:ascii="Arial" w:hAnsi="Arial" w:cs="Arial"/>
          <w:color w:val="000000"/>
        </w:rPr>
        <w:t>Volkswagen’s</w:t>
      </w:r>
      <w:r>
        <w:rPr>
          <w:rFonts w:ascii="Arial" w:hAnsi="Arial" w:cs="Arial"/>
          <w:color w:val="000000"/>
          <w:spacing w:val="-8"/>
        </w:rPr>
        <w:t xml:space="preserve"> </w:t>
      </w:r>
      <w:r>
        <w:rPr>
          <w:rFonts w:ascii="Arial" w:hAnsi="Arial" w:cs="Arial"/>
          <w:color w:val="000000"/>
        </w:rPr>
        <w:t>sustainable</w:t>
      </w:r>
      <w:r>
        <w:rPr>
          <w:rFonts w:ascii="Arial" w:hAnsi="Arial" w:cs="Arial"/>
          <w:color w:val="000000"/>
          <w:spacing w:val="-9"/>
        </w:rPr>
        <w:t xml:space="preserve"> </w:t>
      </w:r>
      <w:r>
        <w:rPr>
          <w:rFonts w:ascii="Arial" w:hAnsi="Arial" w:cs="Arial"/>
          <w:color w:val="000000"/>
        </w:rPr>
        <w:t>development</w:t>
      </w:r>
      <w:r>
        <w:rPr>
          <w:rFonts w:ascii="Arial" w:hAnsi="Arial" w:cs="Arial"/>
          <w:color w:val="000000"/>
          <w:spacing w:val="-7"/>
        </w:rPr>
        <w:t xml:space="preserve"> </w:t>
      </w:r>
      <w:r>
        <w:rPr>
          <w:rFonts w:ascii="Arial" w:hAnsi="Arial" w:cs="Arial"/>
          <w:color w:val="000000"/>
        </w:rPr>
        <w:t>initiatives,</w:t>
      </w:r>
      <w:r>
        <w:rPr>
          <w:rFonts w:ascii="Arial" w:hAnsi="Arial" w:cs="Arial"/>
          <w:color w:val="000000"/>
          <w:spacing w:val="-8"/>
        </w:rPr>
        <w:t xml:space="preserve"> </w:t>
      </w:r>
      <w:r>
        <w:rPr>
          <w:rFonts w:ascii="Arial" w:hAnsi="Arial" w:cs="Arial"/>
          <w:color w:val="000000"/>
        </w:rPr>
        <w:t>and</w:t>
      </w:r>
      <w:r>
        <w:rPr>
          <w:rFonts w:ascii="Arial" w:hAnsi="Arial" w:cs="Arial"/>
          <w:color w:val="000000"/>
          <w:spacing w:val="-10"/>
        </w:rPr>
        <w:t xml:space="preserve"> </w:t>
      </w:r>
      <w:r>
        <w:rPr>
          <w:rFonts w:ascii="Arial" w:hAnsi="Arial" w:cs="Arial"/>
          <w:color w:val="000000"/>
        </w:rPr>
        <w:t>these</w:t>
      </w:r>
      <w:r>
        <w:rPr>
          <w:rFonts w:ascii="Arial" w:hAnsi="Arial" w:cs="Arial"/>
          <w:color w:val="000000"/>
          <w:spacing w:val="-9"/>
        </w:rPr>
        <w:t xml:space="preserve"> </w:t>
      </w:r>
      <w:r>
        <w:rPr>
          <w:rFonts w:ascii="Arial" w:hAnsi="Arial" w:cs="Arial"/>
          <w:color w:val="000000"/>
        </w:rPr>
        <w:t>channels</w:t>
      </w:r>
      <w:r>
        <w:rPr>
          <w:rFonts w:ascii="Arial" w:hAnsi="Arial" w:cs="Arial"/>
          <w:color w:val="000000"/>
          <w:spacing w:val="-7"/>
        </w:rPr>
        <w:t xml:space="preserve"> </w:t>
      </w:r>
      <w:r>
        <w:rPr>
          <w:rFonts w:ascii="Arial" w:hAnsi="Arial" w:cs="Arial"/>
          <w:color w:val="000000"/>
        </w:rPr>
        <w:t>have high coverage and influence among respondents.</w:t>
      </w:r>
    </w:p>
    <w:tbl>
      <w:tblPr>
        <w:tblW w:w="5000" w:type="pct"/>
        <w:shd w:val="clear" w:color="auto" w:fill="FFFFFF"/>
        <w:tblCellMar>
          <w:left w:w="0" w:type="dxa"/>
          <w:right w:w="0" w:type="dxa"/>
        </w:tblCellMar>
        <w:tblLook w:val="04A0" w:firstRow="1" w:lastRow="0" w:firstColumn="1" w:lastColumn="0" w:noHBand="0" w:noVBand="1"/>
      </w:tblPr>
      <w:tblGrid>
        <w:gridCol w:w="3061"/>
        <w:gridCol w:w="1653"/>
        <w:gridCol w:w="1134"/>
        <w:gridCol w:w="1601"/>
        <w:gridCol w:w="1911"/>
      </w:tblGrid>
      <w:tr w:rsidR="0067740A" w14:paraId="220F6C8E" w14:textId="77777777">
        <w:trPr>
          <w:trHeight w:val="270"/>
          <w:tblHeader/>
        </w:trPr>
        <w:tc>
          <w:tcPr>
            <w:tcW w:w="5000" w:type="pct"/>
            <w:gridSpan w:val="5"/>
            <w:tcBorders>
              <w:bottom w:val="single" w:sz="8" w:space="0" w:color="auto"/>
            </w:tcBorders>
            <w:shd w:val="clear" w:color="auto" w:fill="FFFFFF"/>
            <w:vAlign w:val="center"/>
          </w:tcPr>
          <w:p w14:paraId="1E00DC4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Frequency Analysis Results</w:t>
            </w:r>
          </w:p>
        </w:tc>
      </w:tr>
      <w:tr w:rsidR="0067740A" w14:paraId="3E7B3F17" w14:textId="77777777">
        <w:trPr>
          <w:trHeight w:val="270"/>
          <w:tblHeader/>
        </w:trPr>
        <w:tc>
          <w:tcPr>
            <w:tcW w:w="1683" w:type="pct"/>
            <w:tcBorders>
              <w:bottom w:val="single" w:sz="4" w:space="0" w:color="auto"/>
            </w:tcBorders>
            <w:shd w:val="clear" w:color="auto" w:fill="FFFFFF"/>
            <w:vAlign w:val="center"/>
          </w:tcPr>
          <w:p w14:paraId="44C4587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Name</w:t>
            </w:r>
          </w:p>
        </w:tc>
        <w:tc>
          <w:tcPr>
            <w:tcW w:w="931" w:type="pct"/>
            <w:tcBorders>
              <w:bottom w:val="single" w:sz="4" w:space="0" w:color="auto"/>
            </w:tcBorders>
            <w:shd w:val="clear" w:color="auto" w:fill="FFFFFF"/>
            <w:vAlign w:val="center"/>
          </w:tcPr>
          <w:p w14:paraId="3B8338C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Options</w:t>
            </w:r>
          </w:p>
        </w:tc>
        <w:tc>
          <w:tcPr>
            <w:tcW w:w="582" w:type="pct"/>
            <w:tcBorders>
              <w:bottom w:val="single" w:sz="4" w:space="0" w:color="auto"/>
            </w:tcBorders>
            <w:shd w:val="clear" w:color="auto" w:fill="FFFFFF"/>
            <w:vAlign w:val="center"/>
          </w:tcPr>
          <w:p w14:paraId="342713A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Frequency</w:t>
            </w:r>
          </w:p>
        </w:tc>
        <w:tc>
          <w:tcPr>
            <w:tcW w:w="735" w:type="pct"/>
            <w:tcBorders>
              <w:bottom w:val="single" w:sz="4" w:space="0" w:color="auto"/>
            </w:tcBorders>
            <w:shd w:val="clear" w:color="auto" w:fill="FFFFFF"/>
            <w:vAlign w:val="center"/>
          </w:tcPr>
          <w:p w14:paraId="5A2A895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Percentage(%)</w:t>
            </w:r>
          </w:p>
        </w:tc>
        <w:tc>
          <w:tcPr>
            <w:tcW w:w="1067" w:type="pct"/>
            <w:tcBorders>
              <w:bottom w:val="single" w:sz="4" w:space="0" w:color="auto"/>
            </w:tcBorders>
            <w:shd w:val="clear" w:color="auto" w:fill="FFFFFF"/>
            <w:vAlign w:val="center"/>
          </w:tcPr>
          <w:p w14:paraId="2CE3E95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Cumulative Percentage(%)</w:t>
            </w:r>
          </w:p>
        </w:tc>
      </w:tr>
      <w:tr w:rsidR="0067740A" w14:paraId="2F9F243E" w14:textId="77777777">
        <w:trPr>
          <w:trHeight w:val="270"/>
        </w:trPr>
        <w:tc>
          <w:tcPr>
            <w:tcW w:w="1683" w:type="pct"/>
            <w:vMerge w:val="restart"/>
            <w:tcBorders>
              <w:top w:val="nil"/>
              <w:left w:val="nil"/>
              <w:bottom w:val="nil"/>
              <w:right w:val="nil"/>
            </w:tcBorders>
            <w:shd w:val="clear" w:color="auto" w:fill="FFFFFF"/>
            <w:vAlign w:val="center"/>
          </w:tcPr>
          <w:p w14:paraId="19302DB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8.To what extent do you agree with the following statements?—Volkswagen’s sustainability initiatives are genuine and not just for marketing purposes.</w:t>
            </w:r>
          </w:p>
        </w:tc>
        <w:tc>
          <w:tcPr>
            <w:tcW w:w="931" w:type="pct"/>
            <w:tcBorders>
              <w:top w:val="nil"/>
              <w:left w:val="nil"/>
              <w:bottom w:val="nil"/>
              <w:right w:val="nil"/>
            </w:tcBorders>
            <w:shd w:val="clear" w:color="auto" w:fill="FFFFFF"/>
            <w:vAlign w:val="center"/>
          </w:tcPr>
          <w:p w14:paraId="6855E56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582" w:type="pct"/>
            <w:tcBorders>
              <w:top w:val="nil"/>
              <w:left w:val="nil"/>
              <w:bottom w:val="nil"/>
              <w:right w:val="nil"/>
            </w:tcBorders>
            <w:shd w:val="clear" w:color="auto" w:fill="FFFFFF"/>
            <w:vAlign w:val="center"/>
          </w:tcPr>
          <w:p w14:paraId="424F3F5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w:t>
            </w:r>
          </w:p>
        </w:tc>
        <w:tc>
          <w:tcPr>
            <w:tcW w:w="735" w:type="pct"/>
            <w:tcBorders>
              <w:top w:val="nil"/>
              <w:left w:val="nil"/>
              <w:bottom w:val="nil"/>
              <w:right w:val="nil"/>
            </w:tcBorders>
            <w:shd w:val="clear" w:color="auto" w:fill="FFFFFF"/>
            <w:vAlign w:val="center"/>
          </w:tcPr>
          <w:p w14:paraId="753CF38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7.30</w:t>
            </w:r>
          </w:p>
        </w:tc>
        <w:tc>
          <w:tcPr>
            <w:tcW w:w="1067" w:type="pct"/>
            <w:tcBorders>
              <w:top w:val="nil"/>
              <w:left w:val="nil"/>
              <w:bottom w:val="nil"/>
              <w:right w:val="nil"/>
            </w:tcBorders>
            <w:shd w:val="clear" w:color="auto" w:fill="FFFFFF"/>
            <w:vAlign w:val="center"/>
          </w:tcPr>
          <w:p w14:paraId="3E57212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7.30</w:t>
            </w:r>
          </w:p>
        </w:tc>
      </w:tr>
      <w:tr w:rsidR="0067740A" w14:paraId="2A8B8142" w14:textId="77777777">
        <w:trPr>
          <w:trHeight w:val="270"/>
        </w:trPr>
        <w:tc>
          <w:tcPr>
            <w:tcW w:w="1683" w:type="pct"/>
            <w:vMerge/>
            <w:tcBorders>
              <w:top w:val="nil"/>
              <w:left w:val="nil"/>
              <w:bottom w:val="nil"/>
              <w:right w:val="nil"/>
            </w:tcBorders>
            <w:shd w:val="clear" w:color="auto" w:fill="FFFFFF"/>
            <w:vAlign w:val="center"/>
          </w:tcPr>
          <w:p w14:paraId="073E20EA"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758161EF"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582" w:type="pct"/>
            <w:tcBorders>
              <w:top w:val="nil"/>
              <w:left w:val="nil"/>
              <w:bottom w:val="nil"/>
              <w:right w:val="nil"/>
            </w:tcBorders>
            <w:shd w:val="clear" w:color="auto" w:fill="FFFFFF"/>
            <w:vAlign w:val="center"/>
          </w:tcPr>
          <w:p w14:paraId="7F96FF1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735" w:type="pct"/>
            <w:tcBorders>
              <w:top w:val="nil"/>
              <w:left w:val="nil"/>
              <w:bottom w:val="nil"/>
              <w:right w:val="nil"/>
            </w:tcBorders>
            <w:shd w:val="clear" w:color="auto" w:fill="FFFFFF"/>
            <w:vAlign w:val="center"/>
          </w:tcPr>
          <w:p w14:paraId="5EC5EDF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067" w:type="pct"/>
            <w:tcBorders>
              <w:top w:val="nil"/>
              <w:left w:val="nil"/>
              <w:bottom w:val="nil"/>
              <w:right w:val="nil"/>
            </w:tcBorders>
            <w:shd w:val="clear" w:color="auto" w:fill="FFFFFF"/>
            <w:vAlign w:val="center"/>
          </w:tcPr>
          <w:p w14:paraId="6A466B3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14.84</w:t>
            </w:r>
          </w:p>
        </w:tc>
      </w:tr>
      <w:tr w:rsidR="0067740A" w14:paraId="333B7A4E" w14:textId="77777777">
        <w:trPr>
          <w:trHeight w:val="270"/>
        </w:trPr>
        <w:tc>
          <w:tcPr>
            <w:tcW w:w="1683" w:type="pct"/>
            <w:vMerge/>
            <w:tcBorders>
              <w:top w:val="nil"/>
              <w:left w:val="nil"/>
              <w:bottom w:val="nil"/>
              <w:right w:val="nil"/>
            </w:tcBorders>
            <w:shd w:val="clear" w:color="auto" w:fill="FFFFFF"/>
            <w:vAlign w:val="center"/>
          </w:tcPr>
          <w:p w14:paraId="44EA92E0"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7611634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82" w:type="pct"/>
            <w:tcBorders>
              <w:top w:val="nil"/>
              <w:left w:val="nil"/>
              <w:bottom w:val="nil"/>
              <w:right w:val="nil"/>
            </w:tcBorders>
            <w:shd w:val="clear" w:color="auto" w:fill="FFFFFF"/>
            <w:vAlign w:val="center"/>
          </w:tcPr>
          <w:p w14:paraId="141B8F9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74</w:t>
            </w:r>
          </w:p>
        </w:tc>
        <w:tc>
          <w:tcPr>
            <w:tcW w:w="735" w:type="pct"/>
            <w:tcBorders>
              <w:top w:val="nil"/>
              <w:left w:val="nil"/>
              <w:bottom w:val="nil"/>
              <w:right w:val="nil"/>
            </w:tcBorders>
            <w:shd w:val="clear" w:color="auto" w:fill="FFFFFF"/>
            <w:vAlign w:val="center"/>
          </w:tcPr>
          <w:p w14:paraId="005F544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18.00</w:t>
            </w:r>
          </w:p>
        </w:tc>
        <w:tc>
          <w:tcPr>
            <w:tcW w:w="1067" w:type="pct"/>
            <w:tcBorders>
              <w:top w:val="nil"/>
              <w:left w:val="nil"/>
              <w:bottom w:val="nil"/>
              <w:right w:val="nil"/>
            </w:tcBorders>
            <w:shd w:val="clear" w:color="auto" w:fill="FFFFFF"/>
            <w:vAlign w:val="center"/>
          </w:tcPr>
          <w:p w14:paraId="64307D1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32.85</w:t>
            </w:r>
          </w:p>
        </w:tc>
      </w:tr>
      <w:tr w:rsidR="0067740A" w14:paraId="11D68EC4" w14:textId="77777777">
        <w:trPr>
          <w:trHeight w:val="270"/>
        </w:trPr>
        <w:tc>
          <w:tcPr>
            <w:tcW w:w="1683" w:type="pct"/>
            <w:vMerge/>
            <w:tcBorders>
              <w:top w:val="nil"/>
              <w:left w:val="nil"/>
              <w:bottom w:val="nil"/>
              <w:right w:val="nil"/>
            </w:tcBorders>
            <w:shd w:val="clear" w:color="auto" w:fill="FFFFFF"/>
            <w:vAlign w:val="center"/>
          </w:tcPr>
          <w:p w14:paraId="0BCFC4E0"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3CC0843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582" w:type="pct"/>
            <w:tcBorders>
              <w:top w:val="nil"/>
              <w:left w:val="nil"/>
              <w:bottom w:val="nil"/>
              <w:right w:val="nil"/>
            </w:tcBorders>
            <w:shd w:val="clear" w:color="auto" w:fill="FFFFFF"/>
            <w:vAlign w:val="center"/>
          </w:tcPr>
          <w:p w14:paraId="409E013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139</w:t>
            </w:r>
          </w:p>
        </w:tc>
        <w:tc>
          <w:tcPr>
            <w:tcW w:w="735" w:type="pct"/>
            <w:tcBorders>
              <w:top w:val="nil"/>
              <w:left w:val="nil"/>
              <w:bottom w:val="nil"/>
              <w:right w:val="nil"/>
            </w:tcBorders>
            <w:shd w:val="clear" w:color="auto" w:fill="FFFFFF"/>
            <w:vAlign w:val="center"/>
          </w:tcPr>
          <w:p w14:paraId="08A1416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33.82</w:t>
            </w:r>
          </w:p>
        </w:tc>
        <w:tc>
          <w:tcPr>
            <w:tcW w:w="1067" w:type="pct"/>
            <w:tcBorders>
              <w:top w:val="nil"/>
              <w:left w:val="nil"/>
              <w:bottom w:val="nil"/>
              <w:right w:val="nil"/>
            </w:tcBorders>
            <w:shd w:val="clear" w:color="auto" w:fill="FFFFFF"/>
            <w:vAlign w:val="center"/>
          </w:tcPr>
          <w:p w14:paraId="2D5786A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66.67</w:t>
            </w:r>
          </w:p>
        </w:tc>
      </w:tr>
      <w:tr w:rsidR="0067740A" w14:paraId="5B84F363" w14:textId="77777777">
        <w:trPr>
          <w:trHeight w:val="270"/>
        </w:trPr>
        <w:tc>
          <w:tcPr>
            <w:tcW w:w="1683" w:type="pct"/>
            <w:vMerge/>
            <w:tcBorders>
              <w:top w:val="nil"/>
              <w:left w:val="nil"/>
              <w:bottom w:val="nil"/>
              <w:right w:val="nil"/>
            </w:tcBorders>
            <w:shd w:val="clear" w:color="auto" w:fill="FFFFFF"/>
            <w:vAlign w:val="center"/>
          </w:tcPr>
          <w:p w14:paraId="6F2FA89A"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12640D0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582" w:type="pct"/>
            <w:tcBorders>
              <w:top w:val="nil"/>
              <w:left w:val="nil"/>
              <w:bottom w:val="nil"/>
              <w:right w:val="nil"/>
            </w:tcBorders>
            <w:shd w:val="clear" w:color="auto" w:fill="FFFFFF"/>
            <w:vAlign w:val="center"/>
          </w:tcPr>
          <w:p w14:paraId="235409A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137</w:t>
            </w:r>
          </w:p>
        </w:tc>
        <w:tc>
          <w:tcPr>
            <w:tcW w:w="735" w:type="pct"/>
            <w:tcBorders>
              <w:top w:val="nil"/>
              <w:left w:val="nil"/>
              <w:bottom w:val="nil"/>
              <w:right w:val="nil"/>
            </w:tcBorders>
            <w:shd w:val="clear" w:color="auto" w:fill="FFFFFF"/>
            <w:vAlign w:val="center"/>
          </w:tcPr>
          <w:p w14:paraId="6A0406A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33.33</w:t>
            </w:r>
          </w:p>
        </w:tc>
        <w:tc>
          <w:tcPr>
            <w:tcW w:w="1067" w:type="pct"/>
            <w:tcBorders>
              <w:top w:val="nil"/>
              <w:left w:val="nil"/>
              <w:bottom w:val="nil"/>
              <w:right w:val="nil"/>
            </w:tcBorders>
            <w:shd w:val="clear" w:color="auto" w:fill="FFFFFF"/>
            <w:vAlign w:val="center"/>
          </w:tcPr>
          <w:p w14:paraId="3780994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045279BC" w14:textId="77777777">
        <w:trPr>
          <w:trHeight w:val="270"/>
        </w:trPr>
        <w:tc>
          <w:tcPr>
            <w:tcW w:w="1683" w:type="pct"/>
            <w:vMerge w:val="restart"/>
            <w:tcBorders>
              <w:top w:val="nil"/>
              <w:left w:val="nil"/>
              <w:bottom w:val="nil"/>
              <w:right w:val="nil"/>
            </w:tcBorders>
            <w:shd w:val="clear" w:color="auto" w:fill="FFFFFF"/>
            <w:vAlign w:val="center"/>
          </w:tcPr>
          <w:p w14:paraId="1679F87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Volkswagen is a leader in the automotive industry in terms of sustainability.</w:t>
            </w:r>
          </w:p>
        </w:tc>
        <w:tc>
          <w:tcPr>
            <w:tcW w:w="931" w:type="pct"/>
            <w:tcBorders>
              <w:top w:val="nil"/>
              <w:left w:val="nil"/>
              <w:bottom w:val="nil"/>
              <w:right w:val="nil"/>
            </w:tcBorders>
            <w:shd w:val="clear" w:color="auto" w:fill="FFFFFF"/>
            <w:vAlign w:val="center"/>
          </w:tcPr>
          <w:p w14:paraId="603D4BA9"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582" w:type="pct"/>
            <w:tcBorders>
              <w:top w:val="nil"/>
              <w:left w:val="nil"/>
              <w:bottom w:val="nil"/>
              <w:right w:val="nil"/>
            </w:tcBorders>
            <w:shd w:val="clear" w:color="auto" w:fill="FFFFFF"/>
            <w:vAlign w:val="center"/>
          </w:tcPr>
          <w:p w14:paraId="2A8C843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w:t>
            </w:r>
          </w:p>
        </w:tc>
        <w:tc>
          <w:tcPr>
            <w:tcW w:w="735" w:type="pct"/>
            <w:tcBorders>
              <w:top w:val="nil"/>
              <w:left w:val="nil"/>
              <w:bottom w:val="nil"/>
              <w:right w:val="nil"/>
            </w:tcBorders>
            <w:shd w:val="clear" w:color="auto" w:fill="FFFFFF"/>
            <w:vAlign w:val="center"/>
          </w:tcPr>
          <w:p w14:paraId="6BB8E21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c>
          <w:tcPr>
            <w:tcW w:w="1067" w:type="pct"/>
            <w:tcBorders>
              <w:top w:val="nil"/>
              <w:left w:val="nil"/>
              <w:bottom w:val="nil"/>
              <w:right w:val="nil"/>
            </w:tcBorders>
            <w:shd w:val="clear" w:color="auto" w:fill="FFFFFF"/>
            <w:vAlign w:val="center"/>
          </w:tcPr>
          <w:p w14:paraId="2EC630F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r>
      <w:tr w:rsidR="0067740A" w14:paraId="55A77676" w14:textId="77777777">
        <w:trPr>
          <w:trHeight w:val="270"/>
        </w:trPr>
        <w:tc>
          <w:tcPr>
            <w:tcW w:w="1683" w:type="pct"/>
            <w:vMerge/>
            <w:tcBorders>
              <w:top w:val="nil"/>
              <w:left w:val="nil"/>
              <w:bottom w:val="nil"/>
              <w:right w:val="nil"/>
            </w:tcBorders>
            <w:shd w:val="clear" w:color="auto" w:fill="FFFFFF"/>
            <w:vAlign w:val="center"/>
          </w:tcPr>
          <w:p w14:paraId="6B14E5A1"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1BBA448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582" w:type="pct"/>
            <w:tcBorders>
              <w:top w:val="nil"/>
              <w:left w:val="nil"/>
              <w:bottom w:val="nil"/>
              <w:right w:val="nil"/>
            </w:tcBorders>
            <w:shd w:val="clear" w:color="auto" w:fill="FFFFFF"/>
            <w:vAlign w:val="center"/>
          </w:tcPr>
          <w:p w14:paraId="53E2DBC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w:t>
            </w:r>
          </w:p>
        </w:tc>
        <w:tc>
          <w:tcPr>
            <w:tcW w:w="735" w:type="pct"/>
            <w:tcBorders>
              <w:top w:val="nil"/>
              <w:left w:val="nil"/>
              <w:bottom w:val="nil"/>
              <w:right w:val="nil"/>
            </w:tcBorders>
            <w:shd w:val="clear" w:color="auto" w:fill="FFFFFF"/>
            <w:vAlign w:val="center"/>
          </w:tcPr>
          <w:p w14:paraId="411770F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c>
          <w:tcPr>
            <w:tcW w:w="1067" w:type="pct"/>
            <w:tcBorders>
              <w:top w:val="nil"/>
              <w:left w:val="nil"/>
              <w:bottom w:val="nil"/>
              <w:right w:val="nil"/>
            </w:tcBorders>
            <w:shd w:val="clear" w:color="auto" w:fill="FFFFFF"/>
            <w:vAlign w:val="center"/>
          </w:tcPr>
          <w:p w14:paraId="3B55624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16.06</w:t>
            </w:r>
          </w:p>
        </w:tc>
      </w:tr>
      <w:tr w:rsidR="0067740A" w14:paraId="50406AE7" w14:textId="77777777">
        <w:trPr>
          <w:trHeight w:val="270"/>
        </w:trPr>
        <w:tc>
          <w:tcPr>
            <w:tcW w:w="1683" w:type="pct"/>
            <w:vMerge/>
            <w:tcBorders>
              <w:top w:val="nil"/>
              <w:left w:val="nil"/>
              <w:bottom w:val="nil"/>
              <w:right w:val="nil"/>
            </w:tcBorders>
            <w:shd w:val="clear" w:color="auto" w:fill="FFFFFF"/>
            <w:vAlign w:val="center"/>
          </w:tcPr>
          <w:p w14:paraId="147869B5"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6A7BFA4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82" w:type="pct"/>
            <w:tcBorders>
              <w:top w:val="nil"/>
              <w:left w:val="nil"/>
              <w:bottom w:val="nil"/>
              <w:right w:val="nil"/>
            </w:tcBorders>
            <w:shd w:val="clear" w:color="auto" w:fill="FFFFFF"/>
            <w:vAlign w:val="center"/>
          </w:tcPr>
          <w:p w14:paraId="313C5D9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71</w:t>
            </w:r>
          </w:p>
        </w:tc>
        <w:tc>
          <w:tcPr>
            <w:tcW w:w="735" w:type="pct"/>
            <w:tcBorders>
              <w:top w:val="nil"/>
              <w:left w:val="nil"/>
              <w:bottom w:val="nil"/>
              <w:right w:val="nil"/>
            </w:tcBorders>
            <w:shd w:val="clear" w:color="auto" w:fill="FFFFFF"/>
            <w:vAlign w:val="center"/>
          </w:tcPr>
          <w:p w14:paraId="73E02D3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17.27</w:t>
            </w:r>
          </w:p>
        </w:tc>
        <w:tc>
          <w:tcPr>
            <w:tcW w:w="1067" w:type="pct"/>
            <w:tcBorders>
              <w:top w:val="nil"/>
              <w:left w:val="nil"/>
              <w:bottom w:val="nil"/>
              <w:right w:val="nil"/>
            </w:tcBorders>
            <w:shd w:val="clear" w:color="auto" w:fill="FFFFFF"/>
            <w:vAlign w:val="center"/>
          </w:tcPr>
          <w:p w14:paraId="7A34A23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33.33</w:t>
            </w:r>
          </w:p>
        </w:tc>
      </w:tr>
      <w:tr w:rsidR="0067740A" w14:paraId="2C098244" w14:textId="77777777">
        <w:trPr>
          <w:trHeight w:val="270"/>
        </w:trPr>
        <w:tc>
          <w:tcPr>
            <w:tcW w:w="1683" w:type="pct"/>
            <w:vMerge/>
            <w:tcBorders>
              <w:top w:val="nil"/>
              <w:left w:val="nil"/>
              <w:bottom w:val="nil"/>
              <w:right w:val="nil"/>
            </w:tcBorders>
            <w:shd w:val="clear" w:color="auto" w:fill="FFFFFF"/>
            <w:vAlign w:val="center"/>
          </w:tcPr>
          <w:p w14:paraId="5252060B"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2FBEC3F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582" w:type="pct"/>
            <w:tcBorders>
              <w:top w:val="nil"/>
              <w:left w:val="nil"/>
              <w:bottom w:val="nil"/>
              <w:right w:val="nil"/>
            </w:tcBorders>
            <w:shd w:val="clear" w:color="auto" w:fill="FFFFFF"/>
            <w:vAlign w:val="center"/>
          </w:tcPr>
          <w:p w14:paraId="446FB64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132</w:t>
            </w:r>
          </w:p>
        </w:tc>
        <w:tc>
          <w:tcPr>
            <w:tcW w:w="735" w:type="pct"/>
            <w:tcBorders>
              <w:top w:val="nil"/>
              <w:left w:val="nil"/>
              <w:bottom w:val="nil"/>
              <w:right w:val="nil"/>
            </w:tcBorders>
            <w:shd w:val="clear" w:color="auto" w:fill="FFFFFF"/>
            <w:vAlign w:val="center"/>
          </w:tcPr>
          <w:p w14:paraId="0CB00DA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32.12</w:t>
            </w:r>
          </w:p>
        </w:tc>
        <w:tc>
          <w:tcPr>
            <w:tcW w:w="1067" w:type="pct"/>
            <w:tcBorders>
              <w:top w:val="nil"/>
              <w:left w:val="nil"/>
              <w:bottom w:val="nil"/>
              <w:right w:val="nil"/>
            </w:tcBorders>
            <w:shd w:val="clear" w:color="auto" w:fill="FFFFFF"/>
            <w:vAlign w:val="center"/>
          </w:tcPr>
          <w:p w14:paraId="59083C9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65.45</w:t>
            </w:r>
          </w:p>
        </w:tc>
      </w:tr>
      <w:tr w:rsidR="0067740A" w14:paraId="3C5CB450" w14:textId="77777777">
        <w:trPr>
          <w:trHeight w:val="270"/>
        </w:trPr>
        <w:tc>
          <w:tcPr>
            <w:tcW w:w="1683" w:type="pct"/>
            <w:vMerge/>
            <w:tcBorders>
              <w:top w:val="nil"/>
              <w:left w:val="nil"/>
              <w:bottom w:val="nil"/>
              <w:right w:val="nil"/>
            </w:tcBorders>
            <w:shd w:val="clear" w:color="auto" w:fill="FFFFFF"/>
            <w:vAlign w:val="center"/>
          </w:tcPr>
          <w:p w14:paraId="03D72587"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6FC74FB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582" w:type="pct"/>
            <w:tcBorders>
              <w:top w:val="nil"/>
              <w:left w:val="nil"/>
              <w:bottom w:val="nil"/>
              <w:right w:val="nil"/>
            </w:tcBorders>
            <w:shd w:val="clear" w:color="auto" w:fill="FFFFFF"/>
            <w:vAlign w:val="center"/>
          </w:tcPr>
          <w:p w14:paraId="4C49BE4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142</w:t>
            </w:r>
          </w:p>
        </w:tc>
        <w:tc>
          <w:tcPr>
            <w:tcW w:w="735" w:type="pct"/>
            <w:tcBorders>
              <w:top w:val="nil"/>
              <w:left w:val="nil"/>
              <w:bottom w:val="nil"/>
              <w:right w:val="nil"/>
            </w:tcBorders>
            <w:shd w:val="clear" w:color="auto" w:fill="FFFFFF"/>
            <w:vAlign w:val="center"/>
          </w:tcPr>
          <w:p w14:paraId="4415767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34.55</w:t>
            </w:r>
          </w:p>
        </w:tc>
        <w:tc>
          <w:tcPr>
            <w:tcW w:w="1067" w:type="pct"/>
            <w:tcBorders>
              <w:top w:val="nil"/>
              <w:left w:val="nil"/>
              <w:bottom w:val="nil"/>
              <w:right w:val="nil"/>
            </w:tcBorders>
            <w:shd w:val="clear" w:color="auto" w:fill="FFFFFF"/>
            <w:vAlign w:val="center"/>
          </w:tcPr>
          <w:p w14:paraId="066DC64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081740E5" w14:textId="77777777">
        <w:trPr>
          <w:trHeight w:val="270"/>
        </w:trPr>
        <w:tc>
          <w:tcPr>
            <w:tcW w:w="1683" w:type="pct"/>
            <w:vMerge w:val="restart"/>
            <w:tcBorders>
              <w:top w:val="nil"/>
              <w:left w:val="nil"/>
              <w:bottom w:val="nil"/>
              <w:right w:val="nil"/>
            </w:tcBorders>
            <w:shd w:val="clear" w:color="auto" w:fill="FFFFFF"/>
            <w:vAlign w:val="center"/>
          </w:tcPr>
          <w:p w14:paraId="4B7E3A1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lastRenderedPageBreak/>
              <w:t>Volkswagen’s electric vehicles are high-quality and reliable.</w:t>
            </w:r>
          </w:p>
        </w:tc>
        <w:tc>
          <w:tcPr>
            <w:tcW w:w="931" w:type="pct"/>
            <w:tcBorders>
              <w:top w:val="nil"/>
              <w:left w:val="nil"/>
              <w:bottom w:val="nil"/>
              <w:right w:val="nil"/>
            </w:tcBorders>
            <w:shd w:val="clear" w:color="auto" w:fill="FFFFFF"/>
            <w:vAlign w:val="center"/>
          </w:tcPr>
          <w:p w14:paraId="4486E30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582" w:type="pct"/>
            <w:tcBorders>
              <w:top w:val="nil"/>
              <w:left w:val="nil"/>
              <w:bottom w:val="nil"/>
              <w:right w:val="nil"/>
            </w:tcBorders>
            <w:shd w:val="clear" w:color="auto" w:fill="FFFFFF"/>
            <w:vAlign w:val="center"/>
          </w:tcPr>
          <w:p w14:paraId="05BFCA7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w:t>
            </w:r>
          </w:p>
        </w:tc>
        <w:tc>
          <w:tcPr>
            <w:tcW w:w="735" w:type="pct"/>
            <w:tcBorders>
              <w:top w:val="nil"/>
              <w:left w:val="nil"/>
              <w:bottom w:val="nil"/>
              <w:right w:val="nil"/>
            </w:tcBorders>
            <w:shd w:val="clear" w:color="auto" w:fill="FFFFFF"/>
            <w:vAlign w:val="center"/>
          </w:tcPr>
          <w:p w14:paraId="29C667E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c>
          <w:tcPr>
            <w:tcW w:w="1067" w:type="pct"/>
            <w:tcBorders>
              <w:top w:val="nil"/>
              <w:left w:val="nil"/>
              <w:bottom w:val="nil"/>
              <w:right w:val="nil"/>
            </w:tcBorders>
            <w:shd w:val="clear" w:color="auto" w:fill="FFFFFF"/>
            <w:vAlign w:val="center"/>
          </w:tcPr>
          <w:p w14:paraId="3B8C153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r>
      <w:tr w:rsidR="0067740A" w14:paraId="67CF1D73" w14:textId="77777777">
        <w:trPr>
          <w:trHeight w:val="270"/>
        </w:trPr>
        <w:tc>
          <w:tcPr>
            <w:tcW w:w="1683" w:type="pct"/>
            <w:vMerge/>
            <w:tcBorders>
              <w:top w:val="nil"/>
              <w:left w:val="nil"/>
              <w:bottom w:val="nil"/>
              <w:right w:val="nil"/>
            </w:tcBorders>
            <w:shd w:val="clear" w:color="auto" w:fill="FFFFFF"/>
            <w:vAlign w:val="center"/>
          </w:tcPr>
          <w:p w14:paraId="7F21371A"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384BDD3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582" w:type="pct"/>
            <w:tcBorders>
              <w:top w:val="nil"/>
              <w:left w:val="nil"/>
              <w:bottom w:val="nil"/>
              <w:right w:val="nil"/>
            </w:tcBorders>
            <w:shd w:val="clear" w:color="auto" w:fill="FFFFFF"/>
            <w:vAlign w:val="center"/>
          </w:tcPr>
          <w:p w14:paraId="5171D80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w:t>
            </w:r>
          </w:p>
        </w:tc>
        <w:tc>
          <w:tcPr>
            <w:tcW w:w="735" w:type="pct"/>
            <w:tcBorders>
              <w:top w:val="nil"/>
              <w:left w:val="nil"/>
              <w:bottom w:val="nil"/>
              <w:right w:val="nil"/>
            </w:tcBorders>
            <w:shd w:val="clear" w:color="auto" w:fill="FFFFFF"/>
            <w:vAlign w:val="center"/>
          </w:tcPr>
          <w:p w14:paraId="1778561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c>
          <w:tcPr>
            <w:tcW w:w="1067" w:type="pct"/>
            <w:tcBorders>
              <w:top w:val="nil"/>
              <w:left w:val="nil"/>
              <w:bottom w:val="nil"/>
              <w:right w:val="nil"/>
            </w:tcBorders>
            <w:shd w:val="clear" w:color="auto" w:fill="FFFFFF"/>
            <w:vAlign w:val="center"/>
          </w:tcPr>
          <w:p w14:paraId="7E8C4F6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13.63</w:t>
            </w:r>
          </w:p>
        </w:tc>
      </w:tr>
      <w:tr w:rsidR="0067740A" w14:paraId="0D783902" w14:textId="77777777">
        <w:trPr>
          <w:trHeight w:val="270"/>
        </w:trPr>
        <w:tc>
          <w:tcPr>
            <w:tcW w:w="1683" w:type="pct"/>
            <w:vMerge/>
            <w:tcBorders>
              <w:top w:val="nil"/>
              <w:left w:val="nil"/>
              <w:bottom w:val="nil"/>
              <w:right w:val="nil"/>
            </w:tcBorders>
            <w:shd w:val="clear" w:color="auto" w:fill="FFFFFF"/>
            <w:vAlign w:val="center"/>
          </w:tcPr>
          <w:p w14:paraId="0FA9A85C"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7AAC944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82" w:type="pct"/>
            <w:tcBorders>
              <w:top w:val="nil"/>
              <w:left w:val="nil"/>
              <w:bottom w:val="nil"/>
              <w:right w:val="nil"/>
            </w:tcBorders>
            <w:shd w:val="clear" w:color="auto" w:fill="FFFFFF"/>
            <w:vAlign w:val="center"/>
          </w:tcPr>
          <w:p w14:paraId="49C082B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87</w:t>
            </w:r>
          </w:p>
        </w:tc>
        <w:tc>
          <w:tcPr>
            <w:tcW w:w="735" w:type="pct"/>
            <w:tcBorders>
              <w:top w:val="nil"/>
              <w:left w:val="nil"/>
              <w:bottom w:val="nil"/>
              <w:right w:val="nil"/>
            </w:tcBorders>
            <w:shd w:val="clear" w:color="auto" w:fill="FFFFFF"/>
            <w:vAlign w:val="center"/>
          </w:tcPr>
          <w:p w14:paraId="79637F1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21.17</w:t>
            </w:r>
          </w:p>
        </w:tc>
        <w:tc>
          <w:tcPr>
            <w:tcW w:w="1067" w:type="pct"/>
            <w:tcBorders>
              <w:top w:val="nil"/>
              <w:left w:val="nil"/>
              <w:bottom w:val="nil"/>
              <w:right w:val="nil"/>
            </w:tcBorders>
            <w:shd w:val="clear" w:color="auto" w:fill="FFFFFF"/>
            <w:vAlign w:val="center"/>
          </w:tcPr>
          <w:p w14:paraId="79109D8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34.79</w:t>
            </w:r>
          </w:p>
        </w:tc>
      </w:tr>
      <w:tr w:rsidR="0067740A" w14:paraId="06FD8E24" w14:textId="77777777">
        <w:trPr>
          <w:trHeight w:val="270"/>
        </w:trPr>
        <w:tc>
          <w:tcPr>
            <w:tcW w:w="1683" w:type="pct"/>
            <w:vMerge/>
            <w:tcBorders>
              <w:top w:val="nil"/>
              <w:left w:val="nil"/>
              <w:bottom w:val="nil"/>
              <w:right w:val="nil"/>
            </w:tcBorders>
            <w:shd w:val="clear" w:color="auto" w:fill="FFFFFF"/>
            <w:vAlign w:val="center"/>
          </w:tcPr>
          <w:p w14:paraId="582FCA08"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3C66799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582" w:type="pct"/>
            <w:tcBorders>
              <w:top w:val="nil"/>
              <w:left w:val="nil"/>
              <w:bottom w:val="nil"/>
              <w:right w:val="nil"/>
            </w:tcBorders>
            <w:shd w:val="clear" w:color="auto" w:fill="FFFFFF"/>
            <w:vAlign w:val="center"/>
          </w:tcPr>
          <w:p w14:paraId="4254344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142</w:t>
            </w:r>
          </w:p>
        </w:tc>
        <w:tc>
          <w:tcPr>
            <w:tcW w:w="735" w:type="pct"/>
            <w:tcBorders>
              <w:top w:val="nil"/>
              <w:left w:val="nil"/>
              <w:bottom w:val="nil"/>
              <w:right w:val="nil"/>
            </w:tcBorders>
            <w:shd w:val="clear" w:color="auto" w:fill="FFFFFF"/>
            <w:vAlign w:val="center"/>
          </w:tcPr>
          <w:p w14:paraId="33677DF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34.55</w:t>
            </w:r>
          </w:p>
        </w:tc>
        <w:tc>
          <w:tcPr>
            <w:tcW w:w="1067" w:type="pct"/>
            <w:tcBorders>
              <w:top w:val="nil"/>
              <w:left w:val="nil"/>
              <w:bottom w:val="nil"/>
              <w:right w:val="nil"/>
            </w:tcBorders>
            <w:shd w:val="clear" w:color="auto" w:fill="FFFFFF"/>
            <w:vAlign w:val="center"/>
          </w:tcPr>
          <w:p w14:paraId="24590AB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69.34</w:t>
            </w:r>
          </w:p>
        </w:tc>
      </w:tr>
      <w:tr w:rsidR="0067740A" w14:paraId="5C436E11" w14:textId="77777777">
        <w:trPr>
          <w:trHeight w:val="270"/>
        </w:trPr>
        <w:tc>
          <w:tcPr>
            <w:tcW w:w="1683" w:type="pct"/>
            <w:vMerge/>
            <w:tcBorders>
              <w:top w:val="nil"/>
              <w:left w:val="nil"/>
              <w:bottom w:val="nil"/>
              <w:right w:val="nil"/>
            </w:tcBorders>
            <w:shd w:val="clear" w:color="auto" w:fill="FFFFFF"/>
            <w:vAlign w:val="center"/>
          </w:tcPr>
          <w:p w14:paraId="4842A543"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3FCADF4B"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582" w:type="pct"/>
            <w:tcBorders>
              <w:top w:val="nil"/>
              <w:left w:val="nil"/>
              <w:bottom w:val="nil"/>
              <w:right w:val="nil"/>
            </w:tcBorders>
            <w:shd w:val="clear" w:color="auto" w:fill="FFFFFF"/>
            <w:vAlign w:val="center"/>
          </w:tcPr>
          <w:p w14:paraId="64E525E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126</w:t>
            </w:r>
          </w:p>
        </w:tc>
        <w:tc>
          <w:tcPr>
            <w:tcW w:w="735" w:type="pct"/>
            <w:tcBorders>
              <w:top w:val="nil"/>
              <w:left w:val="nil"/>
              <w:bottom w:val="nil"/>
              <w:right w:val="nil"/>
            </w:tcBorders>
            <w:shd w:val="clear" w:color="auto" w:fill="FFFFFF"/>
            <w:vAlign w:val="center"/>
          </w:tcPr>
          <w:p w14:paraId="45ECBB3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30.66</w:t>
            </w:r>
          </w:p>
        </w:tc>
        <w:tc>
          <w:tcPr>
            <w:tcW w:w="1067" w:type="pct"/>
            <w:tcBorders>
              <w:top w:val="nil"/>
              <w:left w:val="nil"/>
              <w:bottom w:val="nil"/>
              <w:right w:val="nil"/>
            </w:tcBorders>
            <w:shd w:val="clear" w:color="auto" w:fill="FFFFFF"/>
            <w:vAlign w:val="center"/>
          </w:tcPr>
          <w:p w14:paraId="25D7A0E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30935489" w14:textId="77777777">
        <w:trPr>
          <w:trHeight w:val="270"/>
        </w:trPr>
        <w:tc>
          <w:tcPr>
            <w:tcW w:w="1683" w:type="pct"/>
            <w:vMerge w:val="restart"/>
            <w:tcBorders>
              <w:top w:val="nil"/>
              <w:left w:val="nil"/>
              <w:bottom w:val="nil"/>
              <w:right w:val="nil"/>
            </w:tcBorders>
            <w:shd w:val="clear" w:color="auto" w:fill="FFFFFF"/>
            <w:vAlign w:val="center"/>
          </w:tcPr>
          <w:p w14:paraId="21E260F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Volkswagen’s green manufacturing practices make me more likely to buy their products.</w:t>
            </w:r>
          </w:p>
        </w:tc>
        <w:tc>
          <w:tcPr>
            <w:tcW w:w="931" w:type="pct"/>
            <w:tcBorders>
              <w:top w:val="nil"/>
              <w:left w:val="nil"/>
              <w:bottom w:val="nil"/>
              <w:right w:val="nil"/>
            </w:tcBorders>
            <w:shd w:val="clear" w:color="auto" w:fill="FFFFFF"/>
            <w:vAlign w:val="center"/>
          </w:tcPr>
          <w:p w14:paraId="04AE8E9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582" w:type="pct"/>
            <w:tcBorders>
              <w:top w:val="nil"/>
              <w:left w:val="nil"/>
              <w:bottom w:val="nil"/>
              <w:right w:val="nil"/>
            </w:tcBorders>
            <w:shd w:val="clear" w:color="auto" w:fill="FFFFFF"/>
            <w:vAlign w:val="center"/>
          </w:tcPr>
          <w:p w14:paraId="37A10CC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w:t>
            </w:r>
          </w:p>
        </w:tc>
        <w:tc>
          <w:tcPr>
            <w:tcW w:w="735" w:type="pct"/>
            <w:tcBorders>
              <w:top w:val="nil"/>
              <w:left w:val="nil"/>
              <w:bottom w:val="nil"/>
              <w:right w:val="nil"/>
            </w:tcBorders>
            <w:shd w:val="clear" w:color="auto" w:fill="FFFFFF"/>
            <w:vAlign w:val="center"/>
          </w:tcPr>
          <w:p w14:paraId="3874D51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c>
          <w:tcPr>
            <w:tcW w:w="1067" w:type="pct"/>
            <w:tcBorders>
              <w:top w:val="nil"/>
              <w:left w:val="nil"/>
              <w:bottom w:val="nil"/>
              <w:right w:val="nil"/>
            </w:tcBorders>
            <w:shd w:val="clear" w:color="auto" w:fill="FFFFFF"/>
            <w:vAlign w:val="center"/>
          </w:tcPr>
          <w:p w14:paraId="751E905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r>
      <w:tr w:rsidR="0067740A" w14:paraId="7E76ECA0" w14:textId="77777777">
        <w:trPr>
          <w:trHeight w:val="270"/>
        </w:trPr>
        <w:tc>
          <w:tcPr>
            <w:tcW w:w="1683" w:type="pct"/>
            <w:vMerge/>
            <w:tcBorders>
              <w:top w:val="nil"/>
              <w:left w:val="nil"/>
              <w:bottom w:val="nil"/>
              <w:right w:val="nil"/>
            </w:tcBorders>
            <w:shd w:val="clear" w:color="auto" w:fill="FFFFFF"/>
            <w:vAlign w:val="center"/>
          </w:tcPr>
          <w:p w14:paraId="1F1ECED5"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7BF18AA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582" w:type="pct"/>
            <w:tcBorders>
              <w:top w:val="nil"/>
              <w:left w:val="nil"/>
              <w:bottom w:val="nil"/>
              <w:right w:val="nil"/>
            </w:tcBorders>
            <w:shd w:val="clear" w:color="auto" w:fill="FFFFFF"/>
            <w:vAlign w:val="center"/>
          </w:tcPr>
          <w:p w14:paraId="7C61419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39</w:t>
            </w:r>
          </w:p>
        </w:tc>
        <w:tc>
          <w:tcPr>
            <w:tcW w:w="735" w:type="pct"/>
            <w:tcBorders>
              <w:top w:val="nil"/>
              <w:left w:val="nil"/>
              <w:bottom w:val="nil"/>
              <w:right w:val="nil"/>
            </w:tcBorders>
            <w:shd w:val="clear" w:color="auto" w:fill="FFFFFF"/>
            <w:vAlign w:val="center"/>
          </w:tcPr>
          <w:p w14:paraId="3A1E5A1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9.49</w:t>
            </w:r>
          </w:p>
        </w:tc>
        <w:tc>
          <w:tcPr>
            <w:tcW w:w="1067" w:type="pct"/>
            <w:tcBorders>
              <w:top w:val="nil"/>
              <w:left w:val="nil"/>
              <w:bottom w:val="nil"/>
              <w:right w:val="nil"/>
            </w:tcBorders>
            <w:shd w:val="clear" w:color="auto" w:fill="FFFFFF"/>
            <w:vAlign w:val="center"/>
          </w:tcPr>
          <w:p w14:paraId="3972A6D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17.52</w:t>
            </w:r>
          </w:p>
        </w:tc>
      </w:tr>
      <w:tr w:rsidR="0067740A" w14:paraId="4D0BB08A" w14:textId="77777777">
        <w:trPr>
          <w:trHeight w:val="270"/>
        </w:trPr>
        <w:tc>
          <w:tcPr>
            <w:tcW w:w="1683" w:type="pct"/>
            <w:vMerge/>
            <w:tcBorders>
              <w:top w:val="nil"/>
              <w:left w:val="nil"/>
              <w:bottom w:val="nil"/>
              <w:right w:val="nil"/>
            </w:tcBorders>
            <w:shd w:val="clear" w:color="auto" w:fill="FFFFFF"/>
            <w:vAlign w:val="center"/>
          </w:tcPr>
          <w:p w14:paraId="3360BF9F"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21A3F63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82" w:type="pct"/>
            <w:tcBorders>
              <w:top w:val="nil"/>
              <w:left w:val="nil"/>
              <w:bottom w:val="nil"/>
              <w:right w:val="nil"/>
            </w:tcBorders>
            <w:shd w:val="clear" w:color="auto" w:fill="FFFFFF"/>
            <w:vAlign w:val="center"/>
          </w:tcPr>
          <w:p w14:paraId="2A29E32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66</w:t>
            </w:r>
          </w:p>
        </w:tc>
        <w:tc>
          <w:tcPr>
            <w:tcW w:w="735" w:type="pct"/>
            <w:tcBorders>
              <w:top w:val="nil"/>
              <w:left w:val="nil"/>
              <w:bottom w:val="nil"/>
              <w:right w:val="nil"/>
            </w:tcBorders>
            <w:shd w:val="clear" w:color="auto" w:fill="FFFFFF"/>
            <w:vAlign w:val="center"/>
          </w:tcPr>
          <w:p w14:paraId="23FBAE4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16.06</w:t>
            </w:r>
          </w:p>
        </w:tc>
        <w:tc>
          <w:tcPr>
            <w:tcW w:w="1067" w:type="pct"/>
            <w:tcBorders>
              <w:top w:val="nil"/>
              <w:left w:val="nil"/>
              <w:bottom w:val="nil"/>
              <w:right w:val="nil"/>
            </w:tcBorders>
            <w:shd w:val="clear" w:color="auto" w:fill="FFFFFF"/>
            <w:vAlign w:val="center"/>
          </w:tcPr>
          <w:p w14:paraId="0959973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33.58</w:t>
            </w:r>
          </w:p>
        </w:tc>
      </w:tr>
      <w:tr w:rsidR="0067740A" w14:paraId="6F88C5C8" w14:textId="77777777">
        <w:trPr>
          <w:trHeight w:val="270"/>
        </w:trPr>
        <w:tc>
          <w:tcPr>
            <w:tcW w:w="1683" w:type="pct"/>
            <w:vMerge/>
            <w:tcBorders>
              <w:top w:val="nil"/>
              <w:left w:val="nil"/>
              <w:bottom w:val="nil"/>
              <w:right w:val="nil"/>
            </w:tcBorders>
            <w:shd w:val="clear" w:color="auto" w:fill="FFFFFF"/>
            <w:vAlign w:val="center"/>
          </w:tcPr>
          <w:p w14:paraId="54806C82"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5DCF90E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582" w:type="pct"/>
            <w:tcBorders>
              <w:top w:val="nil"/>
              <w:left w:val="nil"/>
              <w:bottom w:val="nil"/>
              <w:right w:val="nil"/>
            </w:tcBorders>
            <w:shd w:val="clear" w:color="auto" w:fill="FFFFFF"/>
            <w:vAlign w:val="center"/>
          </w:tcPr>
          <w:p w14:paraId="7EF74B1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112</w:t>
            </w:r>
          </w:p>
        </w:tc>
        <w:tc>
          <w:tcPr>
            <w:tcW w:w="735" w:type="pct"/>
            <w:tcBorders>
              <w:top w:val="nil"/>
              <w:left w:val="nil"/>
              <w:bottom w:val="nil"/>
              <w:right w:val="nil"/>
            </w:tcBorders>
            <w:shd w:val="clear" w:color="auto" w:fill="FFFFFF"/>
            <w:vAlign w:val="center"/>
          </w:tcPr>
          <w:p w14:paraId="70092C7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27.25</w:t>
            </w:r>
          </w:p>
        </w:tc>
        <w:tc>
          <w:tcPr>
            <w:tcW w:w="1067" w:type="pct"/>
            <w:tcBorders>
              <w:top w:val="nil"/>
              <w:left w:val="nil"/>
              <w:bottom w:val="nil"/>
              <w:right w:val="nil"/>
            </w:tcBorders>
            <w:shd w:val="clear" w:color="auto" w:fill="FFFFFF"/>
            <w:vAlign w:val="center"/>
          </w:tcPr>
          <w:p w14:paraId="2AFAB89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60.83</w:t>
            </w:r>
          </w:p>
        </w:tc>
      </w:tr>
      <w:tr w:rsidR="0067740A" w14:paraId="219AF914" w14:textId="77777777">
        <w:trPr>
          <w:trHeight w:val="270"/>
        </w:trPr>
        <w:tc>
          <w:tcPr>
            <w:tcW w:w="1683" w:type="pct"/>
            <w:vMerge/>
            <w:tcBorders>
              <w:top w:val="nil"/>
              <w:left w:val="nil"/>
              <w:bottom w:val="nil"/>
              <w:right w:val="nil"/>
            </w:tcBorders>
            <w:shd w:val="clear" w:color="auto" w:fill="FFFFFF"/>
            <w:vAlign w:val="center"/>
          </w:tcPr>
          <w:p w14:paraId="6D1881B0" w14:textId="77777777" w:rsidR="0067740A" w:rsidRDefault="0067740A">
            <w:pPr>
              <w:spacing w:line="360" w:lineRule="auto"/>
              <w:jc w:val="center"/>
              <w:rPr>
                <w:rFonts w:ascii="Arial" w:eastAsia="宋体" w:hAnsi="Arial" w:cs="Arial"/>
                <w:color w:val="000000"/>
              </w:rPr>
            </w:pPr>
          </w:p>
        </w:tc>
        <w:tc>
          <w:tcPr>
            <w:tcW w:w="931" w:type="pct"/>
            <w:tcBorders>
              <w:top w:val="nil"/>
              <w:left w:val="nil"/>
              <w:bottom w:val="nil"/>
              <w:right w:val="nil"/>
            </w:tcBorders>
            <w:shd w:val="clear" w:color="auto" w:fill="FFFFFF"/>
            <w:vAlign w:val="center"/>
          </w:tcPr>
          <w:p w14:paraId="60343CB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582" w:type="pct"/>
            <w:tcBorders>
              <w:top w:val="nil"/>
              <w:left w:val="nil"/>
              <w:bottom w:val="nil"/>
              <w:right w:val="nil"/>
            </w:tcBorders>
            <w:shd w:val="clear" w:color="auto" w:fill="FFFFFF"/>
            <w:vAlign w:val="center"/>
          </w:tcPr>
          <w:p w14:paraId="4F09209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161</w:t>
            </w:r>
          </w:p>
        </w:tc>
        <w:tc>
          <w:tcPr>
            <w:tcW w:w="735" w:type="pct"/>
            <w:tcBorders>
              <w:top w:val="nil"/>
              <w:left w:val="nil"/>
              <w:bottom w:val="nil"/>
              <w:right w:val="nil"/>
            </w:tcBorders>
            <w:shd w:val="clear" w:color="auto" w:fill="FFFFFF"/>
            <w:vAlign w:val="center"/>
          </w:tcPr>
          <w:p w14:paraId="2C3486A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39.17</w:t>
            </w:r>
          </w:p>
        </w:tc>
        <w:tc>
          <w:tcPr>
            <w:tcW w:w="1067" w:type="pct"/>
            <w:tcBorders>
              <w:top w:val="nil"/>
              <w:left w:val="nil"/>
              <w:bottom w:val="nil"/>
              <w:right w:val="nil"/>
            </w:tcBorders>
            <w:shd w:val="clear" w:color="auto" w:fill="FFFFFF"/>
            <w:vAlign w:val="center"/>
          </w:tcPr>
          <w:p w14:paraId="761F15F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6CAFAA32" w14:textId="77777777">
        <w:trPr>
          <w:trHeight w:val="270"/>
        </w:trPr>
        <w:tc>
          <w:tcPr>
            <w:tcW w:w="2614" w:type="pct"/>
            <w:gridSpan w:val="2"/>
            <w:tcBorders>
              <w:top w:val="nil"/>
              <w:left w:val="nil"/>
              <w:bottom w:val="single" w:sz="8" w:space="0" w:color="auto"/>
              <w:right w:val="nil"/>
            </w:tcBorders>
            <w:shd w:val="clear" w:color="auto" w:fill="FFFFFF"/>
            <w:vAlign w:val="center"/>
          </w:tcPr>
          <w:p w14:paraId="5152454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582" w:type="pct"/>
            <w:tcBorders>
              <w:top w:val="nil"/>
              <w:left w:val="nil"/>
              <w:bottom w:val="single" w:sz="8" w:space="0" w:color="auto"/>
              <w:right w:val="nil"/>
            </w:tcBorders>
            <w:shd w:val="clear" w:color="auto" w:fill="FFFFFF"/>
            <w:vAlign w:val="center"/>
          </w:tcPr>
          <w:p w14:paraId="5C3802B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411</w:t>
            </w:r>
          </w:p>
        </w:tc>
        <w:tc>
          <w:tcPr>
            <w:tcW w:w="735" w:type="pct"/>
            <w:tcBorders>
              <w:top w:val="nil"/>
              <w:left w:val="nil"/>
              <w:bottom w:val="single" w:sz="8" w:space="0" w:color="auto"/>
              <w:right w:val="nil"/>
            </w:tcBorders>
            <w:shd w:val="clear" w:color="auto" w:fill="FFFFFF"/>
            <w:vAlign w:val="center"/>
          </w:tcPr>
          <w:p w14:paraId="6BCDFFF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c>
          <w:tcPr>
            <w:tcW w:w="1067" w:type="pct"/>
            <w:tcBorders>
              <w:top w:val="nil"/>
              <w:left w:val="nil"/>
              <w:bottom w:val="single" w:sz="8" w:space="0" w:color="auto"/>
              <w:right w:val="nil"/>
            </w:tcBorders>
            <w:shd w:val="clear" w:color="auto" w:fill="FFFFFF"/>
            <w:vAlign w:val="center"/>
          </w:tcPr>
          <w:p w14:paraId="58E1E23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r>
    </w:tbl>
    <w:p w14:paraId="2A21410B" w14:textId="77777777" w:rsidR="0067740A" w:rsidRDefault="00000000">
      <w:pPr>
        <w:pStyle w:val="a6"/>
        <w:spacing w:line="360" w:lineRule="auto"/>
        <w:ind w:left="28" w:firstLine="479"/>
        <w:rPr>
          <w:rFonts w:ascii="Arial" w:hAnsi="Arial" w:cs="Arial"/>
          <w:color w:val="000000"/>
        </w:rPr>
      </w:pPr>
      <w:r>
        <w:rPr>
          <w:rFonts w:ascii="Arial" w:hAnsi="Arial" w:cs="Arial"/>
          <w:color w:val="000000"/>
        </w:rPr>
        <w:t>As can be seen from the above table, Volkswagen’s sustainable development initiatives</w:t>
      </w:r>
      <w:r>
        <w:rPr>
          <w:rFonts w:ascii="Arial" w:hAnsi="Arial" w:cs="Arial"/>
          <w:color w:val="000000"/>
          <w:spacing w:val="-5"/>
        </w:rPr>
        <w:t xml:space="preserve"> </w:t>
      </w:r>
      <w:r>
        <w:rPr>
          <w:rFonts w:ascii="Arial" w:hAnsi="Arial" w:cs="Arial"/>
          <w:color w:val="000000"/>
        </w:rPr>
        <w:t>and</w:t>
      </w:r>
      <w:r>
        <w:rPr>
          <w:rFonts w:ascii="Arial" w:hAnsi="Arial" w:cs="Arial"/>
          <w:color w:val="000000"/>
          <w:spacing w:val="-5"/>
        </w:rPr>
        <w:t xml:space="preserve"> </w:t>
      </w:r>
      <w:r>
        <w:rPr>
          <w:rFonts w:ascii="Arial" w:hAnsi="Arial" w:cs="Arial"/>
          <w:color w:val="000000"/>
        </w:rPr>
        <w:t>performance</w:t>
      </w:r>
      <w:r>
        <w:rPr>
          <w:rFonts w:ascii="Arial" w:hAnsi="Arial" w:cs="Arial"/>
          <w:color w:val="000000"/>
          <w:spacing w:val="-6"/>
        </w:rPr>
        <w:t xml:space="preserve"> </w:t>
      </w:r>
      <w:r>
        <w:rPr>
          <w:rFonts w:ascii="Arial" w:hAnsi="Arial" w:cs="Arial"/>
          <w:color w:val="000000"/>
        </w:rPr>
        <w:t>in</w:t>
      </w:r>
      <w:r>
        <w:rPr>
          <w:rFonts w:ascii="Arial" w:hAnsi="Arial" w:cs="Arial"/>
          <w:color w:val="000000"/>
          <w:spacing w:val="-5"/>
        </w:rPr>
        <w:t xml:space="preserve"> </w:t>
      </w:r>
      <w:r>
        <w:rPr>
          <w:rFonts w:ascii="Arial" w:hAnsi="Arial" w:cs="Arial"/>
          <w:color w:val="000000"/>
        </w:rPr>
        <w:t>multiple</w:t>
      </w:r>
      <w:r>
        <w:rPr>
          <w:rFonts w:ascii="Arial" w:hAnsi="Arial" w:cs="Arial"/>
          <w:color w:val="000000"/>
          <w:spacing w:val="-6"/>
        </w:rPr>
        <w:t xml:space="preserve"> </w:t>
      </w:r>
      <w:r>
        <w:rPr>
          <w:rFonts w:ascii="Arial" w:hAnsi="Arial" w:cs="Arial"/>
          <w:color w:val="000000"/>
        </w:rPr>
        <w:t>aspects</w:t>
      </w:r>
      <w:r>
        <w:rPr>
          <w:rFonts w:ascii="Arial" w:hAnsi="Arial" w:cs="Arial"/>
          <w:color w:val="000000"/>
          <w:spacing w:val="-5"/>
        </w:rPr>
        <w:t xml:space="preserve"> </w:t>
      </w:r>
      <w:r>
        <w:rPr>
          <w:rFonts w:ascii="Arial" w:hAnsi="Arial" w:cs="Arial"/>
          <w:color w:val="000000"/>
        </w:rPr>
        <w:t>received</w:t>
      </w:r>
      <w:r>
        <w:rPr>
          <w:rFonts w:ascii="Arial" w:hAnsi="Arial" w:cs="Arial"/>
          <w:color w:val="000000"/>
          <w:spacing w:val="-5"/>
        </w:rPr>
        <w:t xml:space="preserve"> </w:t>
      </w:r>
      <w:r>
        <w:rPr>
          <w:rFonts w:ascii="Arial" w:hAnsi="Arial" w:cs="Arial"/>
          <w:color w:val="000000"/>
        </w:rPr>
        <w:t>wide</w:t>
      </w:r>
      <w:r>
        <w:rPr>
          <w:rFonts w:ascii="Arial" w:hAnsi="Arial" w:cs="Arial"/>
          <w:color w:val="000000"/>
          <w:spacing w:val="-5"/>
        </w:rPr>
        <w:t xml:space="preserve"> </w:t>
      </w:r>
      <w:r>
        <w:rPr>
          <w:rFonts w:ascii="Arial" w:hAnsi="Arial" w:cs="Arial"/>
          <w:color w:val="000000"/>
        </w:rPr>
        <w:t>attention</w:t>
      </w:r>
      <w:r>
        <w:rPr>
          <w:rFonts w:ascii="Arial" w:hAnsi="Arial" w:cs="Arial"/>
          <w:color w:val="000000"/>
          <w:spacing w:val="-5"/>
        </w:rPr>
        <w:t xml:space="preserve"> </w:t>
      </w:r>
      <w:r>
        <w:rPr>
          <w:rFonts w:ascii="Arial" w:hAnsi="Arial" w:cs="Arial"/>
          <w:color w:val="000000"/>
        </w:rPr>
        <w:t>and</w:t>
      </w:r>
      <w:r>
        <w:rPr>
          <w:rFonts w:ascii="Arial" w:hAnsi="Arial" w:cs="Arial"/>
          <w:color w:val="000000"/>
          <w:spacing w:val="-3"/>
        </w:rPr>
        <w:t xml:space="preserve"> </w:t>
      </w:r>
      <w:r>
        <w:rPr>
          <w:rFonts w:ascii="Arial" w:hAnsi="Arial" w:cs="Arial"/>
          <w:color w:val="000000"/>
        </w:rPr>
        <w:t>evaluation from respondents.</w:t>
      </w:r>
    </w:p>
    <w:p w14:paraId="58C906A8" w14:textId="77777777" w:rsidR="0067740A" w:rsidRDefault="00000000">
      <w:pPr>
        <w:pStyle w:val="a6"/>
        <w:spacing w:line="360" w:lineRule="auto"/>
        <w:ind w:left="28" w:firstLine="479"/>
        <w:rPr>
          <w:rFonts w:ascii="Arial" w:hAnsi="Arial" w:cs="Arial"/>
        </w:rPr>
      </w:pPr>
      <w:proofErr w:type="gramStart"/>
      <w:r>
        <w:rPr>
          <w:rFonts w:ascii="Arial" w:hAnsi="Arial" w:cs="Arial"/>
          <w:color w:val="000000"/>
          <w:lang w:eastAsia="zh-CN"/>
        </w:rPr>
        <w:t>First of all</w:t>
      </w:r>
      <w:proofErr w:type="gramEnd"/>
      <w:r>
        <w:rPr>
          <w:rFonts w:ascii="Arial" w:hAnsi="Arial" w:cs="Arial"/>
          <w:color w:val="000000"/>
          <w:lang w:eastAsia="zh-CN"/>
        </w:rPr>
        <w:t xml:space="preserve">, when it comes to the question whether Volkswagen’s sustainable development initiative is sincere and not just for marketing purposes, most respondents </w:t>
      </w:r>
      <w:r>
        <w:rPr>
          <w:rFonts w:ascii="Arial" w:hAnsi="Arial" w:cs="Arial"/>
        </w:rPr>
        <w:t>hold</w:t>
      </w:r>
      <w:r>
        <w:rPr>
          <w:rFonts w:ascii="Arial" w:hAnsi="Arial" w:cs="Arial"/>
          <w:spacing w:val="-8"/>
        </w:rPr>
        <w:t xml:space="preserve"> </w:t>
      </w:r>
      <w:r>
        <w:rPr>
          <w:rFonts w:ascii="Arial" w:hAnsi="Arial" w:cs="Arial"/>
        </w:rPr>
        <w:t>a</w:t>
      </w:r>
      <w:r>
        <w:rPr>
          <w:rFonts w:ascii="Arial" w:hAnsi="Arial" w:cs="Arial"/>
          <w:spacing w:val="-9"/>
        </w:rPr>
        <w:t xml:space="preserve"> </w:t>
      </w:r>
      <w:r>
        <w:rPr>
          <w:rFonts w:ascii="Arial" w:hAnsi="Arial" w:cs="Arial"/>
        </w:rPr>
        <w:t>positive</w:t>
      </w:r>
      <w:r>
        <w:rPr>
          <w:rFonts w:ascii="Arial" w:hAnsi="Arial" w:cs="Arial"/>
          <w:spacing w:val="-9"/>
        </w:rPr>
        <w:t xml:space="preserve"> </w:t>
      </w:r>
      <w:r>
        <w:rPr>
          <w:rFonts w:ascii="Arial" w:hAnsi="Arial" w:cs="Arial"/>
        </w:rPr>
        <w:t>attitude.</w:t>
      </w:r>
      <w:r>
        <w:rPr>
          <w:rFonts w:ascii="Arial" w:hAnsi="Arial" w:cs="Arial"/>
          <w:spacing w:val="-8"/>
        </w:rPr>
        <w:t xml:space="preserve"> </w:t>
      </w:r>
      <w:r>
        <w:rPr>
          <w:rFonts w:ascii="Arial" w:hAnsi="Arial" w:cs="Arial"/>
        </w:rPr>
        <w:t>Specifically,</w:t>
      </w:r>
      <w:r>
        <w:rPr>
          <w:rFonts w:ascii="Arial" w:hAnsi="Arial" w:cs="Arial"/>
          <w:spacing w:val="-8"/>
        </w:rPr>
        <w:t xml:space="preserve"> </w:t>
      </w:r>
      <w:r>
        <w:rPr>
          <w:rFonts w:ascii="Arial" w:hAnsi="Arial" w:cs="Arial"/>
        </w:rPr>
        <w:t>33.82%</w:t>
      </w:r>
      <w:r>
        <w:rPr>
          <w:rFonts w:ascii="Arial" w:hAnsi="Arial" w:cs="Arial"/>
          <w:spacing w:val="-9"/>
        </w:rPr>
        <w:t xml:space="preserve"> </w:t>
      </w:r>
      <w:r>
        <w:rPr>
          <w:rFonts w:ascii="Arial" w:hAnsi="Arial" w:cs="Arial"/>
        </w:rPr>
        <w:t>of</w:t>
      </w:r>
      <w:r>
        <w:rPr>
          <w:rFonts w:ascii="Arial" w:hAnsi="Arial" w:cs="Arial"/>
          <w:spacing w:val="-9"/>
        </w:rPr>
        <w:t xml:space="preserve"> </w:t>
      </w:r>
      <w:r>
        <w:rPr>
          <w:rFonts w:ascii="Arial" w:hAnsi="Arial" w:cs="Arial"/>
        </w:rPr>
        <w:t>the</w:t>
      </w:r>
      <w:r>
        <w:rPr>
          <w:rFonts w:ascii="Arial" w:hAnsi="Arial" w:cs="Arial"/>
          <w:spacing w:val="-9"/>
        </w:rPr>
        <w:t xml:space="preserve"> </w:t>
      </w:r>
      <w:r>
        <w:rPr>
          <w:rFonts w:ascii="Arial" w:hAnsi="Arial" w:cs="Arial"/>
        </w:rPr>
        <w:t>respondents</w:t>
      </w:r>
      <w:r>
        <w:rPr>
          <w:rFonts w:ascii="Arial" w:hAnsi="Arial" w:cs="Arial"/>
          <w:spacing w:val="-8"/>
        </w:rPr>
        <w:t xml:space="preserve"> </w:t>
      </w:r>
      <w:r>
        <w:rPr>
          <w:rFonts w:ascii="Arial" w:hAnsi="Arial" w:cs="Arial"/>
        </w:rPr>
        <w:t>said</w:t>
      </w:r>
      <w:r>
        <w:rPr>
          <w:rFonts w:ascii="Arial" w:hAnsi="Arial" w:cs="Arial"/>
          <w:spacing w:val="-8"/>
        </w:rPr>
        <w:t xml:space="preserve"> “</w:t>
      </w:r>
      <w:r>
        <w:rPr>
          <w:rFonts w:ascii="Arial" w:hAnsi="Arial" w:cs="Arial"/>
        </w:rPr>
        <w:t>agree”</w:t>
      </w:r>
      <w:r>
        <w:rPr>
          <w:rFonts w:ascii="Arial" w:hAnsi="Arial" w:cs="Arial"/>
          <w:spacing w:val="-8"/>
        </w:rPr>
        <w:t xml:space="preserve"> </w:t>
      </w:r>
      <w:r>
        <w:rPr>
          <w:rFonts w:ascii="Arial" w:hAnsi="Arial" w:cs="Arial"/>
        </w:rPr>
        <w:t>and</w:t>
      </w:r>
      <w:r>
        <w:rPr>
          <w:rFonts w:ascii="Arial" w:hAnsi="Arial" w:cs="Arial"/>
          <w:spacing w:val="-8"/>
        </w:rPr>
        <w:t xml:space="preserve"> </w:t>
      </w:r>
      <w:r>
        <w:rPr>
          <w:rFonts w:ascii="Arial" w:hAnsi="Arial" w:cs="Arial"/>
        </w:rPr>
        <w:t>33.33% said “strongly agree”, accounting for a total of 67.15%, showing that most of the respondents believe that Volkswagen’s sustainability initiative is sincere. In contrast, only 7.30 percent of respondents said they “strongly disagreed” and 7.54% said they “disagreed,” a relatively low total.</w:t>
      </w:r>
    </w:p>
    <w:p w14:paraId="331135B2" w14:textId="77777777" w:rsidR="0067740A" w:rsidRDefault="00000000">
      <w:pPr>
        <w:pStyle w:val="a6"/>
        <w:spacing w:line="360" w:lineRule="auto"/>
        <w:ind w:left="28" w:firstLine="479"/>
        <w:rPr>
          <w:rFonts w:ascii="Arial" w:hAnsi="Arial" w:cs="Arial"/>
        </w:rPr>
      </w:pPr>
      <w:r>
        <w:rPr>
          <w:rFonts w:ascii="Arial" w:hAnsi="Arial" w:cs="Arial"/>
        </w:rPr>
        <w:t>Secondly, the respondents’ views on whether Volkswagen is a leader in sustainable</w:t>
      </w:r>
      <w:r>
        <w:rPr>
          <w:rFonts w:ascii="Arial" w:hAnsi="Arial" w:cs="Arial"/>
          <w:spacing w:val="-14"/>
        </w:rPr>
        <w:t xml:space="preserve"> </w:t>
      </w:r>
      <w:r>
        <w:rPr>
          <w:rFonts w:ascii="Arial" w:hAnsi="Arial" w:cs="Arial"/>
        </w:rPr>
        <w:t>development</w:t>
      </w:r>
      <w:r>
        <w:rPr>
          <w:rFonts w:ascii="Arial" w:hAnsi="Arial" w:cs="Arial"/>
          <w:spacing w:val="-10"/>
        </w:rPr>
        <w:t xml:space="preserve"> </w:t>
      </w:r>
      <w:r>
        <w:rPr>
          <w:rFonts w:ascii="Arial" w:hAnsi="Arial" w:cs="Arial"/>
        </w:rPr>
        <w:t>in</w:t>
      </w:r>
      <w:r>
        <w:rPr>
          <w:rFonts w:ascii="Arial" w:hAnsi="Arial" w:cs="Arial"/>
          <w:spacing w:val="-13"/>
        </w:rPr>
        <w:t xml:space="preserve"> </w:t>
      </w:r>
      <w:r>
        <w:rPr>
          <w:rFonts w:ascii="Arial" w:hAnsi="Arial" w:cs="Arial"/>
        </w:rPr>
        <w:t>the</w:t>
      </w:r>
      <w:r>
        <w:rPr>
          <w:rFonts w:ascii="Arial" w:hAnsi="Arial" w:cs="Arial"/>
          <w:spacing w:val="-14"/>
        </w:rPr>
        <w:t xml:space="preserve"> </w:t>
      </w:r>
      <w:r>
        <w:rPr>
          <w:rFonts w:ascii="Arial" w:hAnsi="Arial" w:cs="Arial"/>
        </w:rPr>
        <w:t>automotive</w:t>
      </w:r>
      <w:r>
        <w:rPr>
          <w:rFonts w:ascii="Arial" w:hAnsi="Arial" w:cs="Arial"/>
          <w:spacing w:val="-14"/>
        </w:rPr>
        <w:t xml:space="preserve"> </w:t>
      </w:r>
      <w:r>
        <w:rPr>
          <w:rFonts w:ascii="Arial" w:hAnsi="Arial" w:cs="Arial"/>
        </w:rPr>
        <w:t>industry</w:t>
      </w:r>
      <w:r>
        <w:rPr>
          <w:rFonts w:ascii="Arial" w:hAnsi="Arial" w:cs="Arial"/>
          <w:spacing w:val="-13"/>
        </w:rPr>
        <w:t xml:space="preserve"> </w:t>
      </w:r>
      <w:r>
        <w:rPr>
          <w:rFonts w:ascii="Arial" w:hAnsi="Arial" w:cs="Arial"/>
        </w:rPr>
        <w:t>were</w:t>
      </w:r>
      <w:r>
        <w:rPr>
          <w:rFonts w:ascii="Arial" w:hAnsi="Arial" w:cs="Arial"/>
          <w:spacing w:val="-14"/>
        </w:rPr>
        <w:t xml:space="preserve"> </w:t>
      </w:r>
      <w:r>
        <w:rPr>
          <w:rFonts w:ascii="Arial" w:hAnsi="Arial" w:cs="Arial"/>
        </w:rPr>
        <w:t>also</w:t>
      </w:r>
      <w:r>
        <w:rPr>
          <w:rFonts w:ascii="Arial" w:hAnsi="Arial" w:cs="Arial"/>
          <w:spacing w:val="-12"/>
        </w:rPr>
        <w:t xml:space="preserve"> </w:t>
      </w:r>
      <w:r>
        <w:rPr>
          <w:rFonts w:ascii="Arial" w:hAnsi="Arial" w:cs="Arial"/>
        </w:rPr>
        <w:t>quite</w:t>
      </w:r>
      <w:r>
        <w:rPr>
          <w:rFonts w:ascii="Arial" w:hAnsi="Arial" w:cs="Arial"/>
          <w:spacing w:val="-14"/>
        </w:rPr>
        <w:t xml:space="preserve"> </w:t>
      </w:r>
      <w:r>
        <w:rPr>
          <w:rFonts w:ascii="Arial" w:hAnsi="Arial" w:cs="Arial"/>
        </w:rPr>
        <w:t>positive.</w:t>
      </w:r>
      <w:r>
        <w:rPr>
          <w:rFonts w:ascii="Arial" w:hAnsi="Arial" w:cs="Arial"/>
          <w:spacing w:val="-13"/>
        </w:rPr>
        <w:t xml:space="preserve"> </w:t>
      </w:r>
      <w:r>
        <w:rPr>
          <w:rFonts w:ascii="Arial" w:hAnsi="Arial" w:cs="Arial"/>
        </w:rPr>
        <w:t>32.12%</w:t>
      </w:r>
      <w:r>
        <w:rPr>
          <w:rFonts w:ascii="Arial" w:hAnsi="Arial" w:cs="Arial"/>
          <w:spacing w:val="-14"/>
        </w:rPr>
        <w:t xml:space="preserve"> </w:t>
      </w:r>
      <w:r>
        <w:rPr>
          <w:rFonts w:ascii="Arial" w:hAnsi="Arial" w:cs="Arial"/>
        </w:rPr>
        <w:t>of respondents said “agree” and 34.55% said “strongly agree”, accounting for 66.67% in total. This indicates that respondents perceive Volkswagen as a key player in the sustainable development of the automotive industry.</w:t>
      </w:r>
    </w:p>
    <w:p w14:paraId="3645BF43" w14:textId="77777777" w:rsidR="0067740A" w:rsidRDefault="00000000">
      <w:pPr>
        <w:pStyle w:val="a6"/>
        <w:spacing w:line="360" w:lineRule="auto"/>
        <w:ind w:left="28" w:firstLine="479"/>
        <w:rPr>
          <w:rFonts w:ascii="Arial" w:hAnsi="Arial" w:cs="Arial"/>
          <w:lang w:eastAsia="zh-CN"/>
        </w:rPr>
      </w:pPr>
      <w:r>
        <w:rPr>
          <w:rFonts w:ascii="Arial" w:hAnsi="Arial" w:cs="Arial"/>
          <w:lang w:eastAsia="zh-CN"/>
        </w:rPr>
        <w:lastRenderedPageBreak/>
        <w:t xml:space="preserve">In addition, on the question “the quality and reliability of Volkswagen’s electric vehicles”, respondents’ comments were equally positive. 34.55% of the respondents said “agree” and 30.66% said “strongly agree”, accounting for a total of 65.21%. </w:t>
      </w:r>
      <w:r>
        <w:rPr>
          <w:rFonts w:ascii="Arial" w:hAnsi="Arial" w:cs="Arial"/>
        </w:rPr>
        <w:t>This suggests that Volkswagen’s electric vehicles are regarded highly by respondents.</w:t>
      </w:r>
    </w:p>
    <w:p w14:paraId="2CC73FC3" w14:textId="77777777" w:rsidR="0067740A" w:rsidRDefault="00000000">
      <w:pPr>
        <w:pStyle w:val="a6"/>
        <w:spacing w:line="360" w:lineRule="auto"/>
        <w:ind w:left="160" w:right="278" w:firstLine="479"/>
        <w:rPr>
          <w:rFonts w:ascii="Arial" w:hAnsi="Arial" w:cs="Arial"/>
          <w:spacing w:val="-2"/>
        </w:rPr>
      </w:pPr>
      <w:r>
        <w:rPr>
          <w:rFonts w:ascii="Arial" w:hAnsi="Arial" w:cs="Arial"/>
        </w:rPr>
        <w:t>Finally,</w:t>
      </w:r>
      <w:r>
        <w:rPr>
          <w:rFonts w:ascii="Arial" w:hAnsi="Arial" w:cs="Arial"/>
          <w:spacing w:val="-4"/>
        </w:rPr>
        <w:t xml:space="preserve"> </w:t>
      </w:r>
      <w:r>
        <w:rPr>
          <w:rFonts w:ascii="Arial" w:hAnsi="Arial" w:cs="Arial"/>
        </w:rPr>
        <w:t>the</w:t>
      </w:r>
      <w:r>
        <w:rPr>
          <w:rFonts w:ascii="Arial" w:hAnsi="Arial" w:cs="Arial"/>
          <w:spacing w:val="-5"/>
        </w:rPr>
        <w:t xml:space="preserve"> </w:t>
      </w:r>
      <w:r>
        <w:rPr>
          <w:rFonts w:ascii="Arial" w:hAnsi="Arial" w:cs="Arial"/>
        </w:rPr>
        <w:t>respondents’</w:t>
      </w:r>
      <w:r>
        <w:rPr>
          <w:rFonts w:ascii="Arial" w:hAnsi="Arial" w:cs="Arial"/>
          <w:spacing w:val="-4"/>
        </w:rPr>
        <w:t xml:space="preserve"> </w:t>
      </w:r>
      <w:r>
        <w:rPr>
          <w:rFonts w:ascii="Arial" w:hAnsi="Arial" w:cs="Arial"/>
        </w:rPr>
        <w:t>positive</w:t>
      </w:r>
      <w:r>
        <w:rPr>
          <w:rFonts w:ascii="Arial" w:hAnsi="Arial" w:cs="Arial"/>
          <w:spacing w:val="-4"/>
        </w:rPr>
        <w:t xml:space="preserve"> </w:t>
      </w:r>
      <w:r>
        <w:rPr>
          <w:rFonts w:ascii="Arial" w:hAnsi="Arial" w:cs="Arial"/>
        </w:rPr>
        <w:t>attitude</w:t>
      </w:r>
      <w:r>
        <w:rPr>
          <w:rFonts w:ascii="Arial" w:hAnsi="Arial" w:cs="Arial"/>
          <w:spacing w:val="-5"/>
        </w:rPr>
        <w:t xml:space="preserve"> </w:t>
      </w:r>
      <w:r>
        <w:rPr>
          <w:rFonts w:ascii="Arial" w:hAnsi="Arial" w:cs="Arial"/>
        </w:rPr>
        <w:t>was</w:t>
      </w:r>
      <w:r>
        <w:rPr>
          <w:rFonts w:ascii="Arial" w:hAnsi="Arial" w:cs="Arial"/>
          <w:spacing w:val="-4"/>
        </w:rPr>
        <w:t xml:space="preserve"> </w:t>
      </w:r>
      <w:r>
        <w:rPr>
          <w:rFonts w:ascii="Arial" w:hAnsi="Arial" w:cs="Arial"/>
        </w:rPr>
        <w:t>particularly</w:t>
      </w:r>
      <w:r>
        <w:rPr>
          <w:rFonts w:ascii="Arial" w:hAnsi="Arial" w:cs="Arial"/>
          <w:spacing w:val="-4"/>
        </w:rPr>
        <w:t xml:space="preserve"> </w:t>
      </w:r>
      <w:r>
        <w:rPr>
          <w:rFonts w:ascii="Arial" w:hAnsi="Arial" w:cs="Arial"/>
        </w:rPr>
        <w:t>evident</w:t>
      </w:r>
      <w:r>
        <w:rPr>
          <w:rFonts w:ascii="Arial" w:hAnsi="Arial" w:cs="Arial"/>
          <w:spacing w:val="-4"/>
        </w:rPr>
        <w:t xml:space="preserve"> </w:t>
      </w:r>
      <w:r>
        <w:rPr>
          <w:rFonts w:ascii="Arial" w:hAnsi="Arial" w:cs="Arial"/>
        </w:rPr>
        <w:t>on</w:t>
      </w:r>
      <w:r>
        <w:rPr>
          <w:rFonts w:ascii="Arial" w:hAnsi="Arial" w:cs="Arial"/>
          <w:spacing w:val="-4"/>
        </w:rPr>
        <w:t xml:space="preserve"> </w:t>
      </w:r>
      <w:r>
        <w:rPr>
          <w:rFonts w:ascii="Arial" w:hAnsi="Arial" w:cs="Arial"/>
        </w:rPr>
        <w:t>the</w:t>
      </w:r>
      <w:r>
        <w:rPr>
          <w:rFonts w:ascii="Arial" w:hAnsi="Arial" w:cs="Arial"/>
          <w:spacing w:val="-5"/>
        </w:rPr>
        <w:t xml:space="preserve"> </w:t>
      </w:r>
      <w:r>
        <w:rPr>
          <w:rFonts w:ascii="Arial" w:hAnsi="Arial" w:cs="Arial"/>
        </w:rPr>
        <w:t>question “whether Volkswagen’s green manufacturing practices have increased my willingness to</w:t>
      </w:r>
      <w:r>
        <w:rPr>
          <w:rFonts w:ascii="Arial" w:hAnsi="Arial" w:cs="Arial"/>
          <w:spacing w:val="-1"/>
        </w:rPr>
        <w:t xml:space="preserve"> </w:t>
      </w:r>
      <w:r>
        <w:rPr>
          <w:rFonts w:ascii="Arial" w:hAnsi="Arial" w:cs="Arial"/>
        </w:rPr>
        <w:t>buy</w:t>
      </w:r>
      <w:r>
        <w:rPr>
          <w:rFonts w:ascii="Arial" w:hAnsi="Arial" w:cs="Arial"/>
          <w:spacing w:val="-1"/>
        </w:rPr>
        <w:t xml:space="preserve"> </w:t>
      </w:r>
      <w:r>
        <w:rPr>
          <w:rFonts w:ascii="Arial" w:hAnsi="Arial" w:cs="Arial"/>
        </w:rPr>
        <w:t>its</w:t>
      </w:r>
      <w:r>
        <w:rPr>
          <w:rFonts w:ascii="Arial" w:hAnsi="Arial" w:cs="Arial"/>
          <w:spacing w:val="-1"/>
        </w:rPr>
        <w:t xml:space="preserve"> </w:t>
      </w:r>
      <w:r>
        <w:rPr>
          <w:rFonts w:ascii="Arial" w:hAnsi="Arial" w:cs="Arial"/>
        </w:rPr>
        <w:t>products.”</w:t>
      </w:r>
      <w:r>
        <w:rPr>
          <w:rFonts w:ascii="Arial" w:hAnsi="Arial" w:cs="Arial"/>
          <w:spacing w:val="-1"/>
        </w:rPr>
        <w:t xml:space="preserve"> </w:t>
      </w:r>
      <w:r>
        <w:rPr>
          <w:rFonts w:ascii="Arial" w:hAnsi="Arial" w:cs="Arial"/>
        </w:rPr>
        <w:t>39.17%</w:t>
      </w:r>
      <w:r>
        <w:rPr>
          <w:rFonts w:ascii="Arial" w:hAnsi="Arial" w:cs="Arial"/>
          <w:spacing w:val="-2"/>
        </w:rPr>
        <w:t xml:space="preserve"> </w:t>
      </w:r>
      <w:r>
        <w:rPr>
          <w:rFonts w:ascii="Arial" w:hAnsi="Arial" w:cs="Arial"/>
        </w:rPr>
        <w:t>of</w:t>
      </w:r>
      <w:r>
        <w:rPr>
          <w:rFonts w:ascii="Arial" w:hAnsi="Arial" w:cs="Arial"/>
          <w:spacing w:val="-1"/>
        </w:rPr>
        <w:t xml:space="preserve"> </w:t>
      </w:r>
      <w:r>
        <w:rPr>
          <w:rFonts w:ascii="Arial" w:hAnsi="Arial" w:cs="Arial"/>
        </w:rPr>
        <w:t>the</w:t>
      </w:r>
      <w:r>
        <w:rPr>
          <w:rFonts w:ascii="Arial" w:hAnsi="Arial" w:cs="Arial"/>
          <w:spacing w:val="-3"/>
        </w:rPr>
        <w:t xml:space="preserve"> </w:t>
      </w:r>
      <w:r>
        <w:rPr>
          <w:rFonts w:ascii="Arial" w:hAnsi="Arial" w:cs="Arial"/>
        </w:rPr>
        <w:t>respondents</w:t>
      </w:r>
      <w:r>
        <w:rPr>
          <w:rFonts w:ascii="Arial" w:hAnsi="Arial" w:cs="Arial"/>
          <w:spacing w:val="-1"/>
        </w:rPr>
        <w:t xml:space="preserve"> </w:t>
      </w:r>
      <w:r>
        <w:rPr>
          <w:rFonts w:ascii="Arial" w:hAnsi="Arial" w:cs="Arial"/>
        </w:rPr>
        <w:t>said,</w:t>
      </w:r>
      <w:r>
        <w:rPr>
          <w:rFonts w:ascii="Arial" w:hAnsi="Arial" w:cs="Arial"/>
          <w:spacing w:val="-1"/>
        </w:rPr>
        <w:t xml:space="preserve"> “</w:t>
      </w:r>
      <w:r>
        <w:rPr>
          <w:rFonts w:ascii="Arial" w:hAnsi="Arial" w:cs="Arial"/>
        </w:rPr>
        <w:t>strongly</w:t>
      </w:r>
      <w:r>
        <w:rPr>
          <w:rFonts w:ascii="Arial" w:hAnsi="Arial" w:cs="Arial"/>
          <w:spacing w:val="-1"/>
        </w:rPr>
        <w:t xml:space="preserve"> </w:t>
      </w:r>
      <w:r>
        <w:rPr>
          <w:rFonts w:ascii="Arial" w:hAnsi="Arial" w:cs="Arial"/>
        </w:rPr>
        <w:t>agree”</w:t>
      </w:r>
      <w:r>
        <w:rPr>
          <w:rFonts w:ascii="Arial" w:hAnsi="Arial" w:cs="Arial"/>
          <w:spacing w:val="-1"/>
        </w:rPr>
        <w:t xml:space="preserve"> </w:t>
      </w:r>
      <w:r>
        <w:rPr>
          <w:rFonts w:ascii="Arial" w:hAnsi="Arial" w:cs="Arial"/>
        </w:rPr>
        <w:t>and</w:t>
      </w:r>
      <w:r>
        <w:rPr>
          <w:rFonts w:ascii="Arial" w:hAnsi="Arial" w:cs="Arial"/>
          <w:spacing w:val="-1"/>
        </w:rPr>
        <w:t xml:space="preserve"> </w:t>
      </w:r>
      <w:r>
        <w:rPr>
          <w:rFonts w:ascii="Arial" w:hAnsi="Arial" w:cs="Arial"/>
        </w:rPr>
        <w:t>27.25%</w:t>
      </w:r>
      <w:r>
        <w:rPr>
          <w:rFonts w:ascii="Arial" w:hAnsi="Arial" w:cs="Arial"/>
          <w:spacing w:val="-2"/>
        </w:rPr>
        <w:t xml:space="preserve"> </w:t>
      </w:r>
      <w:r>
        <w:rPr>
          <w:rFonts w:ascii="Arial" w:hAnsi="Arial" w:cs="Arial"/>
        </w:rPr>
        <w:t>said “agree”, accounting for a total of 66.42%. This shows that Volkswagen’s green manufacturing practices significantly influence consumer purchasing decisions.</w:t>
      </w:r>
    </w:p>
    <w:p w14:paraId="72E5EE2F" w14:textId="77777777" w:rsidR="0067740A" w:rsidRDefault="00000000">
      <w:pPr>
        <w:pStyle w:val="a6"/>
        <w:spacing w:line="360" w:lineRule="auto"/>
        <w:ind w:left="160" w:right="278" w:firstLine="479"/>
        <w:rPr>
          <w:rFonts w:ascii="Arial" w:hAnsi="Arial" w:cs="Arial"/>
        </w:rPr>
      </w:pPr>
      <w:r>
        <w:rPr>
          <w:rFonts w:ascii="Arial" w:hAnsi="Arial" w:cs="Arial"/>
        </w:rPr>
        <w:t>To</w:t>
      </w:r>
      <w:r>
        <w:rPr>
          <w:rFonts w:ascii="Arial" w:hAnsi="Arial" w:cs="Arial"/>
          <w:spacing w:val="-4"/>
        </w:rPr>
        <w:t xml:space="preserve"> </w:t>
      </w:r>
      <w:r>
        <w:rPr>
          <w:rFonts w:ascii="Arial" w:hAnsi="Arial" w:cs="Arial"/>
        </w:rPr>
        <w:t>sum</w:t>
      </w:r>
      <w:r>
        <w:rPr>
          <w:rFonts w:ascii="Arial" w:hAnsi="Arial" w:cs="Arial"/>
          <w:spacing w:val="-4"/>
        </w:rPr>
        <w:t xml:space="preserve"> </w:t>
      </w:r>
      <w:r>
        <w:rPr>
          <w:rFonts w:ascii="Arial" w:hAnsi="Arial" w:cs="Arial"/>
        </w:rPr>
        <w:t>up,</w:t>
      </w:r>
      <w:r>
        <w:rPr>
          <w:rFonts w:ascii="Arial" w:hAnsi="Arial" w:cs="Arial"/>
          <w:spacing w:val="-4"/>
        </w:rPr>
        <w:t xml:space="preserve"> </w:t>
      </w:r>
      <w:r>
        <w:rPr>
          <w:rFonts w:ascii="Arial" w:hAnsi="Arial" w:cs="Arial"/>
        </w:rPr>
        <w:t>Volkswagen’s</w:t>
      </w:r>
      <w:r>
        <w:rPr>
          <w:rFonts w:ascii="Arial" w:hAnsi="Arial" w:cs="Arial"/>
          <w:spacing w:val="-4"/>
        </w:rPr>
        <w:t xml:space="preserve"> </w:t>
      </w:r>
      <w:r>
        <w:rPr>
          <w:rFonts w:ascii="Arial" w:hAnsi="Arial" w:cs="Arial"/>
        </w:rPr>
        <w:t>sustainable</w:t>
      </w:r>
      <w:r>
        <w:rPr>
          <w:rFonts w:ascii="Arial" w:hAnsi="Arial" w:cs="Arial"/>
          <w:spacing w:val="-5"/>
        </w:rPr>
        <w:t xml:space="preserve"> </w:t>
      </w:r>
      <w:r>
        <w:rPr>
          <w:rFonts w:ascii="Arial" w:hAnsi="Arial" w:cs="Arial"/>
        </w:rPr>
        <w:t>development</w:t>
      </w:r>
      <w:r>
        <w:rPr>
          <w:rFonts w:ascii="Arial" w:hAnsi="Arial" w:cs="Arial"/>
          <w:spacing w:val="-4"/>
        </w:rPr>
        <w:t xml:space="preserve"> </w:t>
      </w:r>
      <w:r>
        <w:rPr>
          <w:rFonts w:ascii="Arial" w:hAnsi="Arial" w:cs="Arial"/>
        </w:rPr>
        <w:t>initiatives,</w:t>
      </w:r>
      <w:r>
        <w:rPr>
          <w:rFonts w:ascii="Arial" w:hAnsi="Arial" w:cs="Arial"/>
          <w:spacing w:val="-4"/>
        </w:rPr>
        <w:t xml:space="preserve"> </w:t>
      </w:r>
      <w:r>
        <w:rPr>
          <w:rFonts w:ascii="Arial" w:hAnsi="Arial" w:cs="Arial"/>
        </w:rPr>
        <w:t>quality</w:t>
      </w:r>
      <w:r>
        <w:rPr>
          <w:rFonts w:ascii="Arial" w:hAnsi="Arial" w:cs="Arial"/>
          <w:spacing w:val="-4"/>
        </w:rPr>
        <w:t xml:space="preserve"> </w:t>
      </w:r>
      <w:r>
        <w:rPr>
          <w:rFonts w:ascii="Arial" w:hAnsi="Arial" w:cs="Arial"/>
        </w:rPr>
        <w:t>and reliability of electric vehicles, and green manufacturing practices were widely recognized and positively evaluated by respondents.</w:t>
      </w:r>
    </w:p>
    <w:tbl>
      <w:tblPr>
        <w:tblW w:w="5000" w:type="pct"/>
        <w:shd w:val="clear" w:color="auto" w:fill="FFFFFF"/>
        <w:tblCellMar>
          <w:left w:w="0" w:type="dxa"/>
          <w:right w:w="0" w:type="dxa"/>
        </w:tblCellMar>
        <w:tblLook w:val="04A0" w:firstRow="1" w:lastRow="0" w:firstColumn="1" w:lastColumn="0" w:noHBand="0" w:noVBand="1"/>
      </w:tblPr>
      <w:tblGrid>
        <w:gridCol w:w="2793"/>
        <w:gridCol w:w="1645"/>
        <w:gridCol w:w="1134"/>
        <w:gridCol w:w="1601"/>
        <w:gridCol w:w="2187"/>
      </w:tblGrid>
      <w:tr w:rsidR="0067740A" w14:paraId="72148B6C" w14:textId="77777777">
        <w:trPr>
          <w:trHeight w:val="270"/>
          <w:tblHeader/>
        </w:trPr>
        <w:tc>
          <w:tcPr>
            <w:tcW w:w="5000" w:type="pct"/>
            <w:gridSpan w:val="5"/>
            <w:tcBorders>
              <w:bottom w:val="single" w:sz="8" w:space="0" w:color="auto"/>
            </w:tcBorders>
            <w:shd w:val="clear" w:color="auto" w:fill="FFFFFF"/>
            <w:vAlign w:val="center"/>
          </w:tcPr>
          <w:p w14:paraId="79EF72D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Frequency Analysis Results</w:t>
            </w:r>
          </w:p>
        </w:tc>
      </w:tr>
      <w:tr w:rsidR="0067740A" w14:paraId="7E334D37" w14:textId="77777777">
        <w:trPr>
          <w:trHeight w:val="270"/>
          <w:tblHeader/>
        </w:trPr>
        <w:tc>
          <w:tcPr>
            <w:tcW w:w="1602" w:type="pct"/>
            <w:tcBorders>
              <w:bottom w:val="single" w:sz="4" w:space="0" w:color="auto"/>
            </w:tcBorders>
            <w:shd w:val="clear" w:color="auto" w:fill="FFFFFF"/>
            <w:vAlign w:val="center"/>
          </w:tcPr>
          <w:p w14:paraId="1935A3C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Name</w:t>
            </w:r>
          </w:p>
        </w:tc>
        <w:tc>
          <w:tcPr>
            <w:tcW w:w="989" w:type="pct"/>
            <w:tcBorders>
              <w:bottom w:val="single" w:sz="4" w:space="0" w:color="auto"/>
            </w:tcBorders>
            <w:shd w:val="clear" w:color="auto" w:fill="FFFFFF"/>
            <w:vAlign w:val="center"/>
          </w:tcPr>
          <w:p w14:paraId="39D9A2C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Options</w:t>
            </w:r>
          </w:p>
        </w:tc>
        <w:tc>
          <w:tcPr>
            <w:tcW w:w="509" w:type="pct"/>
            <w:tcBorders>
              <w:bottom w:val="single" w:sz="4" w:space="0" w:color="auto"/>
            </w:tcBorders>
            <w:shd w:val="clear" w:color="auto" w:fill="FFFFFF"/>
            <w:vAlign w:val="center"/>
          </w:tcPr>
          <w:p w14:paraId="6D47563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Frequency</w:t>
            </w:r>
          </w:p>
        </w:tc>
        <w:tc>
          <w:tcPr>
            <w:tcW w:w="622" w:type="pct"/>
            <w:tcBorders>
              <w:bottom w:val="single" w:sz="4" w:space="0" w:color="auto"/>
            </w:tcBorders>
            <w:shd w:val="clear" w:color="auto" w:fill="FFFFFF"/>
            <w:vAlign w:val="center"/>
          </w:tcPr>
          <w:p w14:paraId="64C310E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Percentage(%)</w:t>
            </w:r>
          </w:p>
        </w:tc>
        <w:tc>
          <w:tcPr>
            <w:tcW w:w="1276" w:type="pct"/>
            <w:tcBorders>
              <w:bottom w:val="single" w:sz="4" w:space="0" w:color="auto"/>
            </w:tcBorders>
            <w:shd w:val="clear" w:color="auto" w:fill="FFFFFF"/>
            <w:vAlign w:val="center"/>
          </w:tcPr>
          <w:p w14:paraId="2A6BA20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Cumulative Percentage(%)</w:t>
            </w:r>
          </w:p>
        </w:tc>
      </w:tr>
      <w:tr w:rsidR="0067740A" w14:paraId="25259BC9" w14:textId="77777777">
        <w:trPr>
          <w:trHeight w:val="270"/>
        </w:trPr>
        <w:tc>
          <w:tcPr>
            <w:tcW w:w="1602" w:type="pct"/>
            <w:vMerge w:val="restart"/>
            <w:tcBorders>
              <w:top w:val="nil"/>
              <w:left w:val="nil"/>
              <w:bottom w:val="nil"/>
              <w:right w:val="nil"/>
            </w:tcBorders>
            <w:shd w:val="clear" w:color="auto" w:fill="FFFFFF"/>
            <w:vAlign w:val="center"/>
          </w:tcPr>
          <w:p w14:paraId="1126280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9.How important are the following factors to you when purchasing a vehicle?—Price</w:t>
            </w:r>
          </w:p>
        </w:tc>
        <w:tc>
          <w:tcPr>
            <w:tcW w:w="989" w:type="pct"/>
            <w:tcBorders>
              <w:top w:val="nil"/>
              <w:left w:val="nil"/>
              <w:bottom w:val="nil"/>
              <w:right w:val="nil"/>
            </w:tcBorders>
            <w:shd w:val="clear" w:color="auto" w:fill="FFFFFF"/>
            <w:vAlign w:val="center"/>
          </w:tcPr>
          <w:p w14:paraId="7FDB31F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aware of</w:t>
            </w:r>
          </w:p>
        </w:tc>
        <w:tc>
          <w:tcPr>
            <w:tcW w:w="509" w:type="pct"/>
            <w:tcBorders>
              <w:top w:val="nil"/>
              <w:left w:val="nil"/>
              <w:bottom w:val="nil"/>
              <w:right w:val="nil"/>
            </w:tcBorders>
            <w:shd w:val="clear" w:color="auto" w:fill="FFFFFF"/>
            <w:vAlign w:val="center"/>
          </w:tcPr>
          <w:p w14:paraId="1717E5B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w:t>
            </w:r>
          </w:p>
        </w:tc>
        <w:tc>
          <w:tcPr>
            <w:tcW w:w="622" w:type="pct"/>
            <w:tcBorders>
              <w:top w:val="nil"/>
              <w:left w:val="nil"/>
              <w:bottom w:val="nil"/>
              <w:right w:val="nil"/>
            </w:tcBorders>
            <w:shd w:val="clear" w:color="auto" w:fill="FFFFFF"/>
            <w:vAlign w:val="center"/>
          </w:tcPr>
          <w:p w14:paraId="0AD5287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c>
          <w:tcPr>
            <w:tcW w:w="1276" w:type="pct"/>
            <w:tcBorders>
              <w:top w:val="nil"/>
              <w:left w:val="nil"/>
              <w:bottom w:val="nil"/>
              <w:right w:val="nil"/>
            </w:tcBorders>
            <w:shd w:val="clear" w:color="auto" w:fill="FFFFFF"/>
            <w:vAlign w:val="center"/>
          </w:tcPr>
          <w:p w14:paraId="2E7DA4B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r>
      <w:tr w:rsidR="0067740A" w14:paraId="65B3090F" w14:textId="77777777">
        <w:trPr>
          <w:trHeight w:val="270"/>
        </w:trPr>
        <w:tc>
          <w:tcPr>
            <w:tcW w:w="1602" w:type="pct"/>
            <w:vMerge/>
            <w:tcBorders>
              <w:top w:val="nil"/>
              <w:left w:val="nil"/>
              <w:bottom w:val="nil"/>
              <w:right w:val="nil"/>
            </w:tcBorders>
            <w:shd w:val="clear" w:color="auto" w:fill="FFFFFF"/>
            <w:vAlign w:val="center"/>
          </w:tcPr>
          <w:p w14:paraId="2ED63F8B"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6C5082F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important</w:t>
            </w:r>
          </w:p>
        </w:tc>
        <w:tc>
          <w:tcPr>
            <w:tcW w:w="509" w:type="pct"/>
            <w:tcBorders>
              <w:top w:val="nil"/>
              <w:left w:val="nil"/>
              <w:bottom w:val="nil"/>
              <w:right w:val="nil"/>
            </w:tcBorders>
            <w:shd w:val="clear" w:color="auto" w:fill="FFFFFF"/>
            <w:vAlign w:val="center"/>
          </w:tcPr>
          <w:p w14:paraId="67BC7AB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25</w:t>
            </w:r>
          </w:p>
        </w:tc>
        <w:tc>
          <w:tcPr>
            <w:tcW w:w="622" w:type="pct"/>
            <w:tcBorders>
              <w:top w:val="nil"/>
              <w:left w:val="nil"/>
              <w:bottom w:val="nil"/>
              <w:right w:val="nil"/>
            </w:tcBorders>
            <w:shd w:val="clear" w:color="auto" w:fill="FFFFFF"/>
            <w:vAlign w:val="center"/>
          </w:tcPr>
          <w:p w14:paraId="44BDBC6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6.08</w:t>
            </w:r>
          </w:p>
        </w:tc>
        <w:tc>
          <w:tcPr>
            <w:tcW w:w="1276" w:type="pct"/>
            <w:tcBorders>
              <w:top w:val="nil"/>
              <w:left w:val="nil"/>
              <w:bottom w:val="nil"/>
              <w:right w:val="nil"/>
            </w:tcBorders>
            <w:shd w:val="clear" w:color="auto" w:fill="FFFFFF"/>
            <w:vAlign w:val="center"/>
          </w:tcPr>
          <w:p w14:paraId="3DF11B5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13.14</w:t>
            </w:r>
          </w:p>
        </w:tc>
      </w:tr>
      <w:tr w:rsidR="0067740A" w14:paraId="2230C7EF" w14:textId="77777777">
        <w:trPr>
          <w:trHeight w:val="270"/>
        </w:trPr>
        <w:tc>
          <w:tcPr>
            <w:tcW w:w="1602" w:type="pct"/>
            <w:vMerge/>
            <w:tcBorders>
              <w:top w:val="nil"/>
              <w:left w:val="nil"/>
              <w:bottom w:val="nil"/>
              <w:right w:val="nil"/>
            </w:tcBorders>
            <w:shd w:val="clear" w:color="auto" w:fill="FFFFFF"/>
            <w:vAlign w:val="center"/>
          </w:tcPr>
          <w:p w14:paraId="206F7B96"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6FE4FBF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Slightly Important</w:t>
            </w:r>
          </w:p>
        </w:tc>
        <w:tc>
          <w:tcPr>
            <w:tcW w:w="509" w:type="pct"/>
            <w:tcBorders>
              <w:top w:val="nil"/>
              <w:left w:val="nil"/>
              <w:bottom w:val="nil"/>
              <w:right w:val="nil"/>
            </w:tcBorders>
            <w:shd w:val="clear" w:color="auto" w:fill="FFFFFF"/>
            <w:vAlign w:val="center"/>
          </w:tcPr>
          <w:p w14:paraId="3EA3F23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26</w:t>
            </w:r>
          </w:p>
        </w:tc>
        <w:tc>
          <w:tcPr>
            <w:tcW w:w="622" w:type="pct"/>
            <w:tcBorders>
              <w:top w:val="nil"/>
              <w:left w:val="nil"/>
              <w:bottom w:val="nil"/>
              <w:right w:val="nil"/>
            </w:tcBorders>
            <w:shd w:val="clear" w:color="auto" w:fill="FFFFFF"/>
            <w:vAlign w:val="center"/>
          </w:tcPr>
          <w:p w14:paraId="3290625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6.33</w:t>
            </w:r>
          </w:p>
        </w:tc>
        <w:tc>
          <w:tcPr>
            <w:tcW w:w="1276" w:type="pct"/>
            <w:tcBorders>
              <w:top w:val="nil"/>
              <w:left w:val="nil"/>
              <w:bottom w:val="nil"/>
              <w:right w:val="nil"/>
            </w:tcBorders>
            <w:shd w:val="clear" w:color="auto" w:fill="FFFFFF"/>
            <w:vAlign w:val="center"/>
          </w:tcPr>
          <w:p w14:paraId="6819006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19.46</w:t>
            </w:r>
          </w:p>
        </w:tc>
      </w:tr>
      <w:tr w:rsidR="0067740A" w14:paraId="5F8B4519" w14:textId="77777777">
        <w:trPr>
          <w:trHeight w:val="270"/>
        </w:trPr>
        <w:tc>
          <w:tcPr>
            <w:tcW w:w="1602" w:type="pct"/>
            <w:vMerge/>
            <w:tcBorders>
              <w:top w:val="nil"/>
              <w:left w:val="nil"/>
              <w:bottom w:val="nil"/>
              <w:right w:val="nil"/>
            </w:tcBorders>
            <w:shd w:val="clear" w:color="auto" w:fill="FFFFFF"/>
            <w:vAlign w:val="center"/>
          </w:tcPr>
          <w:p w14:paraId="4472D9DD"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051CDC6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 xml:space="preserve">Moderately </w:t>
            </w:r>
            <w:proofErr w:type="spellStart"/>
            <w:r>
              <w:rPr>
                <w:rFonts w:ascii="Arial" w:eastAsia="宋体" w:hAnsi="Arial" w:cs="Arial"/>
                <w:lang w:val="en-GB" w:eastAsia="en-US"/>
              </w:rPr>
              <w:t>improtant</w:t>
            </w:r>
            <w:proofErr w:type="spellEnd"/>
          </w:p>
        </w:tc>
        <w:tc>
          <w:tcPr>
            <w:tcW w:w="509" w:type="pct"/>
            <w:tcBorders>
              <w:top w:val="nil"/>
              <w:left w:val="nil"/>
              <w:bottom w:val="nil"/>
              <w:right w:val="nil"/>
            </w:tcBorders>
            <w:shd w:val="clear" w:color="auto" w:fill="FFFFFF"/>
            <w:vAlign w:val="center"/>
          </w:tcPr>
          <w:p w14:paraId="3F407BE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91</w:t>
            </w:r>
          </w:p>
        </w:tc>
        <w:tc>
          <w:tcPr>
            <w:tcW w:w="622" w:type="pct"/>
            <w:tcBorders>
              <w:top w:val="nil"/>
              <w:left w:val="nil"/>
              <w:bottom w:val="nil"/>
              <w:right w:val="nil"/>
            </w:tcBorders>
            <w:shd w:val="clear" w:color="auto" w:fill="FFFFFF"/>
            <w:vAlign w:val="center"/>
          </w:tcPr>
          <w:p w14:paraId="27DE9CB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22.14</w:t>
            </w:r>
          </w:p>
        </w:tc>
        <w:tc>
          <w:tcPr>
            <w:tcW w:w="1276" w:type="pct"/>
            <w:tcBorders>
              <w:top w:val="nil"/>
              <w:left w:val="nil"/>
              <w:bottom w:val="nil"/>
              <w:right w:val="nil"/>
            </w:tcBorders>
            <w:shd w:val="clear" w:color="auto" w:fill="FFFFFF"/>
            <w:vAlign w:val="center"/>
          </w:tcPr>
          <w:p w14:paraId="222E269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41.61</w:t>
            </w:r>
          </w:p>
        </w:tc>
      </w:tr>
      <w:tr w:rsidR="0067740A" w14:paraId="37600A6B" w14:textId="77777777">
        <w:trPr>
          <w:trHeight w:val="270"/>
        </w:trPr>
        <w:tc>
          <w:tcPr>
            <w:tcW w:w="1602" w:type="pct"/>
            <w:vMerge/>
            <w:tcBorders>
              <w:top w:val="nil"/>
              <w:left w:val="nil"/>
              <w:bottom w:val="nil"/>
              <w:right w:val="nil"/>
            </w:tcBorders>
            <w:shd w:val="clear" w:color="auto" w:fill="FFFFFF"/>
            <w:vAlign w:val="center"/>
          </w:tcPr>
          <w:p w14:paraId="7CE6AC8A"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38762FE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Important</w:t>
            </w:r>
          </w:p>
        </w:tc>
        <w:tc>
          <w:tcPr>
            <w:tcW w:w="509" w:type="pct"/>
            <w:tcBorders>
              <w:top w:val="nil"/>
              <w:left w:val="nil"/>
              <w:bottom w:val="nil"/>
              <w:right w:val="nil"/>
            </w:tcBorders>
            <w:shd w:val="clear" w:color="auto" w:fill="FFFFFF"/>
            <w:vAlign w:val="center"/>
          </w:tcPr>
          <w:p w14:paraId="2917AD6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152</w:t>
            </w:r>
          </w:p>
        </w:tc>
        <w:tc>
          <w:tcPr>
            <w:tcW w:w="622" w:type="pct"/>
            <w:tcBorders>
              <w:top w:val="nil"/>
              <w:left w:val="nil"/>
              <w:bottom w:val="nil"/>
              <w:right w:val="nil"/>
            </w:tcBorders>
            <w:shd w:val="clear" w:color="auto" w:fill="FFFFFF"/>
            <w:vAlign w:val="center"/>
          </w:tcPr>
          <w:p w14:paraId="0C64C42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36.98</w:t>
            </w:r>
          </w:p>
        </w:tc>
        <w:tc>
          <w:tcPr>
            <w:tcW w:w="1276" w:type="pct"/>
            <w:tcBorders>
              <w:top w:val="nil"/>
              <w:left w:val="nil"/>
              <w:bottom w:val="nil"/>
              <w:right w:val="nil"/>
            </w:tcBorders>
            <w:shd w:val="clear" w:color="auto" w:fill="FFFFFF"/>
            <w:vAlign w:val="center"/>
          </w:tcPr>
          <w:p w14:paraId="10C6D82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78.59</w:t>
            </w:r>
          </w:p>
        </w:tc>
      </w:tr>
      <w:tr w:rsidR="0067740A" w14:paraId="450DD10A" w14:textId="77777777">
        <w:trPr>
          <w:trHeight w:val="270"/>
        </w:trPr>
        <w:tc>
          <w:tcPr>
            <w:tcW w:w="1602" w:type="pct"/>
            <w:vMerge/>
            <w:tcBorders>
              <w:top w:val="nil"/>
              <w:left w:val="nil"/>
              <w:bottom w:val="nil"/>
              <w:right w:val="nil"/>
            </w:tcBorders>
            <w:shd w:val="clear" w:color="auto" w:fill="FFFFFF"/>
            <w:vAlign w:val="center"/>
          </w:tcPr>
          <w:p w14:paraId="7A7C7D10"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14D6D8F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Extremely important</w:t>
            </w:r>
          </w:p>
        </w:tc>
        <w:tc>
          <w:tcPr>
            <w:tcW w:w="509" w:type="pct"/>
            <w:tcBorders>
              <w:top w:val="nil"/>
              <w:left w:val="nil"/>
              <w:bottom w:val="nil"/>
              <w:right w:val="nil"/>
            </w:tcBorders>
            <w:shd w:val="clear" w:color="auto" w:fill="FFFFFF"/>
            <w:vAlign w:val="center"/>
          </w:tcPr>
          <w:p w14:paraId="114EECE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88</w:t>
            </w:r>
          </w:p>
        </w:tc>
        <w:tc>
          <w:tcPr>
            <w:tcW w:w="622" w:type="pct"/>
            <w:tcBorders>
              <w:top w:val="nil"/>
              <w:left w:val="nil"/>
              <w:bottom w:val="nil"/>
              <w:right w:val="nil"/>
            </w:tcBorders>
            <w:shd w:val="clear" w:color="auto" w:fill="FFFFFF"/>
            <w:vAlign w:val="center"/>
          </w:tcPr>
          <w:p w14:paraId="1BE40E7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21.41</w:t>
            </w:r>
          </w:p>
        </w:tc>
        <w:tc>
          <w:tcPr>
            <w:tcW w:w="1276" w:type="pct"/>
            <w:tcBorders>
              <w:top w:val="nil"/>
              <w:left w:val="nil"/>
              <w:bottom w:val="nil"/>
              <w:right w:val="nil"/>
            </w:tcBorders>
            <w:shd w:val="clear" w:color="auto" w:fill="FFFFFF"/>
            <w:vAlign w:val="center"/>
          </w:tcPr>
          <w:p w14:paraId="170C11A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6195870E" w14:textId="77777777">
        <w:trPr>
          <w:trHeight w:val="270"/>
        </w:trPr>
        <w:tc>
          <w:tcPr>
            <w:tcW w:w="1602" w:type="pct"/>
            <w:vMerge w:val="restart"/>
            <w:tcBorders>
              <w:top w:val="nil"/>
              <w:left w:val="nil"/>
              <w:bottom w:val="nil"/>
              <w:right w:val="nil"/>
            </w:tcBorders>
            <w:shd w:val="clear" w:color="auto" w:fill="FFFFFF"/>
            <w:vAlign w:val="center"/>
          </w:tcPr>
          <w:p w14:paraId="3E194E4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Brand Reputation</w:t>
            </w:r>
          </w:p>
        </w:tc>
        <w:tc>
          <w:tcPr>
            <w:tcW w:w="989" w:type="pct"/>
            <w:tcBorders>
              <w:top w:val="nil"/>
              <w:left w:val="nil"/>
              <w:bottom w:val="nil"/>
              <w:right w:val="nil"/>
            </w:tcBorders>
            <w:shd w:val="clear" w:color="auto" w:fill="FFFFFF"/>
            <w:vAlign w:val="center"/>
          </w:tcPr>
          <w:p w14:paraId="6BDC542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aware of</w:t>
            </w:r>
          </w:p>
        </w:tc>
        <w:tc>
          <w:tcPr>
            <w:tcW w:w="509" w:type="pct"/>
            <w:tcBorders>
              <w:top w:val="nil"/>
              <w:left w:val="nil"/>
              <w:bottom w:val="nil"/>
              <w:right w:val="nil"/>
            </w:tcBorders>
            <w:shd w:val="clear" w:color="auto" w:fill="FFFFFF"/>
            <w:vAlign w:val="center"/>
          </w:tcPr>
          <w:p w14:paraId="7E963B8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w:t>
            </w:r>
          </w:p>
        </w:tc>
        <w:tc>
          <w:tcPr>
            <w:tcW w:w="622" w:type="pct"/>
            <w:tcBorders>
              <w:top w:val="nil"/>
              <w:left w:val="nil"/>
              <w:bottom w:val="nil"/>
              <w:right w:val="nil"/>
            </w:tcBorders>
            <w:shd w:val="clear" w:color="auto" w:fill="FFFFFF"/>
            <w:vAlign w:val="center"/>
          </w:tcPr>
          <w:p w14:paraId="6475B92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c>
          <w:tcPr>
            <w:tcW w:w="1276" w:type="pct"/>
            <w:tcBorders>
              <w:top w:val="nil"/>
              <w:left w:val="nil"/>
              <w:bottom w:val="nil"/>
              <w:right w:val="nil"/>
            </w:tcBorders>
            <w:shd w:val="clear" w:color="auto" w:fill="FFFFFF"/>
            <w:vAlign w:val="center"/>
          </w:tcPr>
          <w:p w14:paraId="134BE4C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r>
      <w:tr w:rsidR="0067740A" w14:paraId="1887098F" w14:textId="77777777">
        <w:trPr>
          <w:trHeight w:val="270"/>
        </w:trPr>
        <w:tc>
          <w:tcPr>
            <w:tcW w:w="1602" w:type="pct"/>
            <w:vMerge/>
            <w:tcBorders>
              <w:top w:val="nil"/>
              <w:left w:val="nil"/>
              <w:bottom w:val="nil"/>
              <w:right w:val="nil"/>
            </w:tcBorders>
            <w:shd w:val="clear" w:color="auto" w:fill="FFFFFF"/>
            <w:vAlign w:val="center"/>
          </w:tcPr>
          <w:p w14:paraId="406B0438"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648DB3E7"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important</w:t>
            </w:r>
          </w:p>
        </w:tc>
        <w:tc>
          <w:tcPr>
            <w:tcW w:w="509" w:type="pct"/>
            <w:tcBorders>
              <w:top w:val="nil"/>
              <w:left w:val="nil"/>
              <w:bottom w:val="nil"/>
              <w:right w:val="nil"/>
            </w:tcBorders>
            <w:shd w:val="clear" w:color="auto" w:fill="FFFFFF"/>
            <w:vAlign w:val="center"/>
          </w:tcPr>
          <w:p w14:paraId="2B3BA3C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w:t>
            </w:r>
          </w:p>
        </w:tc>
        <w:tc>
          <w:tcPr>
            <w:tcW w:w="622" w:type="pct"/>
            <w:tcBorders>
              <w:top w:val="nil"/>
              <w:left w:val="nil"/>
              <w:bottom w:val="nil"/>
              <w:right w:val="nil"/>
            </w:tcBorders>
            <w:shd w:val="clear" w:color="auto" w:fill="FFFFFF"/>
            <w:vAlign w:val="center"/>
          </w:tcPr>
          <w:p w14:paraId="2A06AA4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8.52</w:t>
            </w:r>
          </w:p>
        </w:tc>
        <w:tc>
          <w:tcPr>
            <w:tcW w:w="1276" w:type="pct"/>
            <w:tcBorders>
              <w:top w:val="nil"/>
              <w:left w:val="nil"/>
              <w:bottom w:val="nil"/>
              <w:right w:val="nil"/>
            </w:tcBorders>
            <w:shd w:val="clear" w:color="auto" w:fill="FFFFFF"/>
            <w:vAlign w:val="center"/>
          </w:tcPr>
          <w:p w14:paraId="5CBEA32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r>
      <w:tr w:rsidR="0067740A" w14:paraId="0568FC42" w14:textId="77777777">
        <w:trPr>
          <w:trHeight w:val="270"/>
        </w:trPr>
        <w:tc>
          <w:tcPr>
            <w:tcW w:w="1602" w:type="pct"/>
            <w:vMerge/>
            <w:tcBorders>
              <w:top w:val="nil"/>
              <w:left w:val="nil"/>
              <w:bottom w:val="nil"/>
              <w:right w:val="nil"/>
            </w:tcBorders>
            <w:shd w:val="clear" w:color="auto" w:fill="FFFFFF"/>
            <w:vAlign w:val="center"/>
          </w:tcPr>
          <w:p w14:paraId="0F86715E"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33B7E26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Slightly Important</w:t>
            </w:r>
          </w:p>
        </w:tc>
        <w:tc>
          <w:tcPr>
            <w:tcW w:w="509" w:type="pct"/>
            <w:tcBorders>
              <w:top w:val="nil"/>
              <w:left w:val="nil"/>
              <w:bottom w:val="nil"/>
              <w:right w:val="nil"/>
            </w:tcBorders>
            <w:shd w:val="clear" w:color="auto" w:fill="FFFFFF"/>
            <w:vAlign w:val="center"/>
          </w:tcPr>
          <w:p w14:paraId="3074D57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25</w:t>
            </w:r>
          </w:p>
        </w:tc>
        <w:tc>
          <w:tcPr>
            <w:tcW w:w="622" w:type="pct"/>
            <w:tcBorders>
              <w:top w:val="nil"/>
              <w:left w:val="nil"/>
              <w:bottom w:val="nil"/>
              <w:right w:val="nil"/>
            </w:tcBorders>
            <w:shd w:val="clear" w:color="auto" w:fill="FFFFFF"/>
            <w:vAlign w:val="center"/>
          </w:tcPr>
          <w:p w14:paraId="0D2F215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6.08</w:t>
            </w:r>
          </w:p>
        </w:tc>
        <w:tc>
          <w:tcPr>
            <w:tcW w:w="1276" w:type="pct"/>
            <w:tcBorders>
              <w:top w:val="nil"/>
              <w:left w:val="nil"/>
              <w:bottom w:val="nil"/>
              <w:right w:val="nil"/>
            </w:tcBorders>
            <w:shd w:val="clear" w:color="auto" w:fill="FFFFFF"/>
            <w:vAlign w:val="center"/>
          </w:tcPr>
          <w:p w14:paraId="641E9C8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21.17</w:t>
            </w:r>
          </w:p>
        </w:tc>
      </w:tr>
      <w:tr w:rsidR="0067740A" w14:paraId="6D41C86D" w14:textId="77777777">
        <w:trPr>
          <w:trHeight w:val="270"/>
        </w:trPr>
        <w:tc>
          <w:tcPr>
            <w:tcW w:w="1602" w:type="pct"/>
            <w:vMerge/>
            <w:tcBorders>
              <w:top w:val="nil"/>
              <w:left w:val="nil"/>
              <w:bottom w:val="nil"/>
              <w:right w:val="nil"/>
            </w:tcBorders>
            <w:shd w:val="clear" w:color="auto" w:fill="FFFFFF"/>
            <w:vAlign w:val="center"/>
          </w:tcPr>
          <w:p w14:paraId="27A22F71"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1402D62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 xml:space="preserve">Moderately </w:t>
            </w:r>
            <w:proofErr w:type="spellStart"/>
            <w:r>
              <w:rPr>
                <w:rFonts w:ascii="Arial" w:eastAsia="宋体" w:hAnsi="Arial" w:cs="Arial"/>
                <w:lang w:val="en-GB" w:eastAsia="en-US"/>
              </w:rPr>
              <w:t>improtant</w:t>
            </w:r>
            <w:proofErr w:type="spellEnd"/>
          </w:p>
        </w:tc>
        <w:tc>
          <w:tcPr>
            <w:tcW w:w="509" w:type="pct"/>
            <w:tcBorders>
              <w:top w:val="nil"/>
              <w:left w:val="nil"/>
              <w:bottom w:val="nil"/>
              <w:right w:val="nil"/>
            </w:tcBorders>
            <w:shd w:val="clear" w:color="auto" w:fill="FFFFFF"/>
            <w:vAlign w:val="center"/>
          </w:tcPr>
          <w:p w14:paraId="4BDD357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102</w:t>
            </w:r>
          </w:p>
        </w:tc>
        <w:tc>
          <w:tcPr>
            <w:tcW w:w="622" w:type="pct"/>
            <w:tcBorders>
              <w:top w:val="nil"/>
              <w:left w:val="nil"/>
              <w:bottom w:val="nil"/>
              <w:right w:val="nil"/>
            </w:tcBorders>
            <w:shd w:val="clear" w:color="auto" w:fill="FFFFFF"/>
            <w:vAlign w:val="center"/>
          </w:tcPr>
          <w:p w14:paraId="0058AD5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24.82</w:t>
            </w:r>
          </w:p>
        </w:tc>
        <w:tc>
          <w:tcPr>
            <w:tcW w:w="1276" w:type="pct"/>
            <w:tcBorders>
              <w:top w:val="nil"/>
              <w:left w:val="nil"/>
              <w:bottom w:val="nil"/>
              <w:right w:val="nil"/>
            </w:tcBorders>
            <w:shd w:val="clear" w:color="auto" w:fill="FFFFFF"/>
            <w:vAlign w:val="center"/>
          </w:tcPr>
          <w:p w14:paraId="64FD877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45.99</w:t>
            </w:r>
          </w:p>
        </w:tc>
      </w:tr>
      <w:tr w:rsidR="0067740A" w14:paraId="5CCD0727" w14:textId="77777777">
        <w:trPr>
          <w:trHeight w:val="270"/>
        </w:trPr>
        <w:tc>
          <w:tcPr>
            <w:tcW w:w="1602" w:type="pct"/>
            <w:vMerge/>
            <w:tcBorders>
              <w:top w:val="nil"/>
              <w:left w:val="nil"/>
              <w:bottom w:val="nil"/>
              <w:right w:val="nil"/>
            </w:tcBorders>
            <w:shd w:val="clear" w:color="auto" w:fill="FFFFFF"/>
            <w:vAlign w:val="center"/>
          </w:tcPr>
          <w:p w14:paraId="0FB2E5AD"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5D21DCD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Important</w:t>
            </w:r>
          </w:p>
        </w:tc>
        <w:tc>
          <w:tcPr>
            <w:tcW w:w="509" w:type="pct"/>
            <w:tcBorders>
              <w:top w:val="nil"/>
              <w:left w:val="nil"/>
              <w:bottom w:val="nil"/>
              <w:right w:val="nil"/>
            </w:tcBorders>
            <w:shd w:val="clear" w:color="auto" w:fill="FFFFFF"/>
            <w:vAlign w:val="center"/>
          </w:tcPr>
          <w:p w14:paraId="7722DAE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135</w:t>
            </w:r>
          </w:p>
        </w:tc>
        <w:tc>
          <w:tcPr>
            <w:tcW w:w="622" w:type="pct"/>
            <w:tcBorders>
              <w:top w:val="nil"/>
              <w:left w:val="nil"/>
              <w:bottom w:val="nil"/>
              <w:right w:val="nil"/>
            </w:tcBorders>
            <w:shd w:val="clear" w:color="auto" w:fill="FFFFFF"/>
            <w:vAlign w:val="center"/>
          </w:tcPr>
          <w:p w14:paraId="0F34E13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32.85</w:t>
            </w:r>
          </w:p>
        </w:tc>
        <w:tc>
          <w:tcPr>
            <w:tcW w:w="1276" w:type="pct"/>
            <w:tcBorders>
              <w:top w:val="nil"/>
              <w:left w:val="nil"/>
              <w:bottom w:val="nil"/>
              <w:right w:val="nil"/>
            </w:tcBorders>
            <w:shd w:val="clear" w:color="auto" w:fill="FFFFFF"/>
            <w:vAlign w:val="center"/>
          </w:tcPr>
          <w:p w14:paraId="7AB0698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78.83</w:t>
            </w:r>
          </w:p>
        </w:tc>
      </w:tr>
      <w:tr w:rsidR="0067740A" w14:paraId="276F26C0" w14:textId="77777777">
        <w:trPr>
          <w:trHeight w:val="270"/>
        </w:trPr>
        <w:tc>
          <w:tcPr>
            <w:tcW w:w="1602" w:type="pct"/>
            <w:vMerge/>
            <w:tcBorders>
              <w:top w:val="nil"/>
              <w:left w:val="nil"/>
              <w:bottom w:val="nil"/>
              <w:right w:val="nil"/>
            </w:tcBorders>
            <w:shd w:val="clear" w:color="auto" w:fill="FFFFFF"/>
            <w:vAlign w:val="center"/>
          </w:tcPr>
          <w:p w14:paraId="40985C54"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301AD157"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Extremely important</w:t>
            </w:r>
          </w:p>
        </w:tc>
        <w:tc>
          <w:tcPr>
            <w:tcW w:w="509" w:type="pct"/>
            <w:tcBorders>
              <w:top w:val="nil"/>
              <w:left w:val="nil"/>
              <w:bottom w:val="nil"/>
              <w:right w:val="nil"/>
            </w:tcBorders>
            <w:shd w:val="clear" w:color="auto" w:fill="FFFFFF"/>
            <w:vAlign w:val="center"/>
          </w:tcPr>
          <w:p w14:paraId="0FDDD3B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87</w:t>
            </w:r>
          </w:p>
        </w:tc>
        <w:tc>
          <w:tcPr>
            <w:tcW w:w="622" w:type="pct"/>
            <w:tcBorders>
              <w:top w:val="nil"/>
              <w:left w:val="nil"/>
              <w:bottom w:val="nil"/>
              <w:right w:val="nil"/>
            </w:tcBorders>
            <w:shd w:val="clear" w:color="auto" w:fill="FFFFFF"/>
            <w:vAlign w:val="center"/>
          </w:tcPr>
          <w:p w14:paraId="4C10F16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21.17</w:t>
            </w:r>
          </w:p>
        </w:tc>
        <w:tc>
          <w:tcPr>
            <w:tcW w:w="1276" w:type="pct"/>
            <w:tcBorders>
              <w:top w:val="nil"/>
              <w:left w:val="nil"/>
              <w:bottom w:val="nil"/>
              <w:right w:val="nil"/>
            </w:tcBorders>
            <w:shd w:val="clear" w:color="auto" w:fill="FFFFFF"/>
            <w:vAlign w:val="center"/>
          </w:tcPr>
          <w:p w14:paraId="4109939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775DF154" w14:textId="77777777">
        <w:trPr>
          <w:trHeight w:val="270"/>
        </w:trPr>
        <w:tc>
          <w:tcPr>
            <w:tcW w:w="1602" w:type="pct"/>
            <w:vMerge w:val="restart"/>
            <w:tcBorders>
              <w:top w:val="nil"/>
              <w:left w:val="nil"/>
              <w:bottom w:val="nil"/>
              <w:right w:val="nil"/>
            </w:tcBorders>
            <w:shd w:val="clear" w:color="auto" w:fill="FFFFFF"/>
            <w:vAlign w:val="center"/>
          </w:tcPr>
          <w:p w14:paraId="6E2E5E0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 xml:space="preserve">Fuel </w:t>
            </w:r>
            <w:proofErr w:type="spellStart"/>
            <w:r>
              <w:rPr>
                <w:rFonts w:ascii="Arial" w:eastAsia="宋体" w:hAnsi="Arial" w:cs="Arial"/>
                <w:color w:val="000000"/>
                <w:lang w:bidi="ar"/>
              </w:rPr>
              <w:t>Efficinecy</w:t>
            </w:r>
            <w:proofErr w:type="spellEnd"/>
          </w:p>
        </w:tc>
        <w:tc>
          <w:tcPr>
            <w:tcW w:w="989" w:type="pct"/>
            <w:tcBorders>
              <w:top w:val="nil"/>
              <w:left w:val="nil"/>
              <w:bottom w:val="nil"/>
              <w:right w:val="nil"/>
            </w:tcBorders>
            <w:shd w:val="clear" w:color="auto" w:fill="FFFFFF"/>
            <w:vAlign w:val="center"/>
          </w:tcPr>
          <w:p w14:paraId="03D9266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aware of</w:t>
            </w:r>
          </w:p>
        </w:tc>
        <w:tc>
          <w:tcPr>
            <w:tcW w:w="509" w:type="pct"/>
            <w:tcBorders>
              <w:top w:val="nil"/>
              <w:left w:val="nil"/>
              <w:bottom w:val="nil"/>
              <w:right w:val="nil"/>
            </w:tcBorders>
            <w:shd w:val="clear" w:color="auto" w:fill="FFFFFF"/>
            <w:vAlign w:val="center"/>
          </w:tcPr>
          <w:p w14:paraId="3CA40A2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622" w:type="pct"/>
            <w:tcBorders>
              <w:top w:val="nil"/>
              <w:left w:val="nil"/>
              <w:bottom w:val="nil"/>
              <w:right w:val="nil"/>
            </w:tcBorders>
            <w:shd w:val="clear" w:color="auto" w:fill="FFFFFF"/>
            <w:vAlign w:val="center"/>
          </w:tcPr>
          <w:p w14:paraId="7C272D5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276" w:type="pct"/>
            <w:tcBorders>
              <w:top w:val="nil"/>
              <w:left w:val="nil"/>
              <w:bottom w:val="nil"/>
              <w:right w:val="nil"/>
            </w:tcBorders>
            <w:shd w:val="clear" w:color="auto" w:fill="FFFFFF"/>
            <w:vAlign w:val="center"/>
          </w:tcPr>
          <w:p w14:paraId="06048B3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r>
      <w:tr w:rsidR="0067740A" w14:paraId="5B862B1F" w14:textId="77777777">
        <w:trPr>
          <w:trHeight w:val="270"/>
        </w:trPr>
        <w:tc>
          <w:tcPr>
            <w:tcW w:w="1602" w:type="pct"/>
            <w:vMerge/>
            <w:tcBorders>
              <w:top w:val="nil"/>
              <w:left w:val="nil"/>
              <w:bottom w:val="nil"/>
              <w:right w:val="nil"/>
            </w:tcBorders>
            <w:shd w:val="clear" w:color="auto" w:fill="FFFFFF"/>
            <w:vAlign w:val="center"/>
          </w:tcPr>
          <w:p w14:paraId="6A002BBC"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239AADA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important</w:t>
            </w:r>
          </w:p>
        </w:tc>
        <w:tc>
          <w:tcPr>
            <w:tcW w:w="509" w:type="pct"/>
            <w:tcBorders>
              <w:top w:val="nil"/>
              <w:left w:val="nil"/>
              <w:bottom w:val="nil"/>
              <w:right w:val="nil"/>
            </w:tcBorders>
            <w:shd w:val="clear" w:color="auto" w:fill="FFFFFF"/>
            <w:vAlign w:val="center"/>
          </w:tcPr>
          <w:p w14:paraId="0005B2A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20</w:t>
            </w:r>
          </w:p>
        </w:tc>
        <w:tc>
          <w:tcPr>
            <w:tcW w:w="622" w:type="pct"/>
            <w:tcBorders>
              <w:top w:val="nil"/>
              <w:left w:val="nil"/>
              <w:bottom w:val="nil"/>
              <w:right w:val="nil"/>
            </w:tcBorders>
            <w:shd w:val="clear" w:color="auto" w:fill="FFFFFF"/>
            <w:vAlign w:val="center"/>
          </w:tcPr>
          <w:p w14:paraId="75A333E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4.87</w:t>
            </w:r>
          </w:p>
        </w:tc>
        <w:tc>
          <w:tcPr>
            <w:tcW w:w="1276" w:type="pct"/>
            <w:tcBorders>
              <w:top w:val="nil"/>
              <w:left w:val="nil"/>
              <w:bottom w:val="nil"/>
              <w:right w:val="nil"/>
            </w:tcBorders>
            <w:shd w:val="clear" w:color="auto" w:fill="FFFFFF"/>
            <w:vAlign w:val="center"/>
          </w:tcPr>
          <w:p w14:paraId="110A846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12.41</w:t>
            </w:r>
          </w:p>
        </w:tc>
      </w:tr>
      <w:tr w:rsidR="0067740A" w14:paraId="3F63DE2F" w14:textId="77777777">
        <w:trPr>
          <w:trHeight w:val="270"/>
        </w:trPr>
        <w:tc>
          <w:tcPr>
            <w:tcW w:w="1602" w:type="pct"/>
            <w:vMerge/>
            <w:tcBorders>
              <w:top w:val="nil"/>
              <w:left w:val="nil"/>
              <w:bottom w:val="nil"/>
              <w:right w:val="nil"/>
            </w:tcBorders>
            <w:shd w:val="clear" w:color="auto" w:fill="FFFFFF"/>
            <w:vAlign w:val="center"/>
          </w:tcPr>
          <w:p w14:paraId="45313DF2"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0D22462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Slightly Important</w:t>
            </w:r>
          </w:p>
        </w:tc>
        <w:tc>
          <w:tcPr>
            <w:tcW w:w="509" w:type="pct"/>
            <w:tcBorders>
              <w:top w:val="nil"/>
              <w:left w:val="nil"/>
              <w:bottom w:val="nil"/>
              <w:right w:val="nil"/>
            </w:tcBorders>
            <w:shd w:val="clear" w:color="auto" w:fill="FFFFFF"/>
            <w:vAlign w:val="center"/>
          </w:tcPr>
          <w:p w14:paraId="76EA2CD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21</w:t>
            </w:r>
          </w:p>
        </w:tc>
        <w:tc>
          <w:tcPr>
            <w:tcW w:w="622" w:type="pct"/>
            <w:tcBorders>
              <w:top w:val="nil"/>
              <w:left w:val="nil"/>
              <w:bottom w:val="nil"/>
              <w:right w:val="nil"/>
            </w:tcBorders>
            <w:shd w:val="clear" w:color="auto" w:fill="FFFFFF"/>
            <w:vAlign w:val="center"/>
          </w:tcPr>
          <w:p w14:paraId="10C6484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5.11</w:t>
            </w:r>
          </w:p>
        </w:tc>
        <w:tc>
          <w:tcPr>
            <w:tcW w:w="1276" w:type="pct"/>
            <w:tcBorders>
              <w:top w:val="nil"/>
              <w:left w:val="nil"/>
              <w:bottom w:val="nil"/>
              <w:right w:val="nil"/>
            </w:tcBorders>
            <w:shd w:val="clear" w:color="auto" w:fill="FFFFFF"/>
            <w:vAlign w:val="center"/>
          </w:tcPr>
          <w:p w14:paraId="21CFE3D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17.52</w:t>
            </w:r>
          </w:p>
        </w:tc>
      </w:tr>
      <w:tr w:rsidR="0067740A" w14:paraId="53E867DF" w14:textId="77777777">
        <w:trPr>
          <w:trHeight w:val="270"/>
        </w:trPr>
        <w:tc>
          <w:tcPr>
            <w:tcW w:w="1602" w:type="pct"/>
            <w:vMerge/>
            <w:tcBorders>
              <w:top w:val="nil"/>
              <w:left w:val="nil"/>
              <w:bottom w:val="nil"/>
              <w:right w:val="nil"/>
            </w:tcBorders>
            <w:shd w:val="clear" w:color="auto" w:fill="FFFFFF"/>
            <w:vAlign w:val="center"/>
          </w:tcPr>
          <w:p w14:paraId="754F8451"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0694101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 xml:space="preserve">Moderately </w:t>
            </w:r>
            <w:proofErr w:type="spellStart"/>
            <w:r>
              <w:rPr>
                <w:rFonts w:ascii="Arial" w:eastAsia="宋体" w:hAnsi="Arial" w:cs="Arial"/>
                <w:lang w:val="en-GB" w:eastAsia="en-US"/>
              </w:rPr>
              <w:t>improtant</w:t>
            </w:r>
            <w:proofErr w:type="spellEnd"/>
          </w:p>
        </w:tc>
        <w:tc>
          <w:tcPr>
            <w:tcW w:w="509" w:type="pct"/>
            <w:tcBorders>
              <w:top w:val="nil"/>
              <w:left w:val="nil"/>
              <w:bottom w:val="nil"/>
              <w:right w:val="nil"/>
            </w:tcBorders>
            <w:shd w:val="clear" w:color="auto" w:fill="FFFFFF"/>
            <w:vAlign w:val="center"/>
          </w:tcPr>
          <w:p w14:paraId="7938FA3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107</w:t>
            </w:r>
          </w:p>
        </w:tc>
        <w:tc>
          <w:tcPr>
            <w:tcW w:w="622" w:type="pct"/>
            <w:tcBorders>
              <w:top w:val="nil"/>
              <w:left w:val="nil"/>
              <w:bottom w:val="nil"/>
              <w:right w:val="nil"/>
            </w:tcBorders>
            <w:shd w:val="clear" w:color="auto" w:fill="FFFFFF"/>
            <w:vAlign w:val="center"/>
          </w:tcPr>
          <w:p w14:paraId="19E4305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26.03</w:t>
            </w:r>
          </w:p>
        </w:tc>
        <w:tc>
          <w:tcPr>
            <w:tcW w:w="1276" w:type="pct"/>
            <w:tcBorders>
              <w:top w:val="nil"/>
              <w:left w:val="nil"/>
              <w:bottom w:val="nil"/>
              <w:right w:val="nil"/>
            </w:tcBorders>
            <w:shd w:val="clear" w:color="auto" w:fill="FFFFFF"/>
            <w:vAlign w:val="center"/>
          </w:tcPr>
          <w:p w14:paraId="621ED54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43.55</w:t>
            </w:r>
          </w:p>
        </w:tc>
      </w:tr>
      <w:tr w:rsidR="0067740A" w14:paraId="4924B140" w14:textId="77777777">
        <w:trPr>
          <w:trHeight w:val="270"/>
        </w:trPr>
        <w:tc>
          <w:tcPr>
            <w:tcW w:w="1602" w:type="pct"/>
            <w:vMerge/>
            <w:tcBorders>
              <w:top w:val="nil"/>
              <w:left w:val="nil"/>
              <w:bottom w:val="nil"/>
              <w:right w:val="nil"/>
            </w:tcBorders>
            <w:shd w:val="clear" w:color="auto" w:fill="FFFFFF"/>
            <w:vAlign w:val="center"/>
          </w:tcPr>
          <w:p w14:paraId="15E5AB82"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26F1575F"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Important</w:t>
            </w:r>
          </w:p>
        </w:tc>
        <w:tc>
          <w:tcPr>
            <w:tcW w:w="509" w:type="pct"/>
            <w:tcBorders>
              <w:top w:val="nil"/>
              <w:left w:val="nil"/>
              <w:bottom w:val="nil"/>
              <w:right w:val="nil"/>
            </w:tcBorders>
            <w:shd w:val="clear" w:color="auto" w:fill="FFFFFF"/>
            <w:vAlign w:val="center"/>
          </w:tcPr>
          <w:p w14:paraId="13B1936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132</w:t>
            </w:r>
          </w:p>
        </w:tc>
        <w:tc>
          <w:tcPr>
            <w:tcW w:w="622" w:type="pct"/>
            <w:tcBorders>
              <w:top w:val="nil"/>
              <w:left w:val="nil"/>
              <w:bottom w:val="nil"/>
              <w:right w:val="nil"/>
            </w:tcBorders>
            <w:shd w:val="clear" w:color="auto" w:fill="FFFFFF"/>
            <w:vAlign w:val="center"/>
          </w:tcPr>
          <w:p w14:paraId="1E6FCF1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32.12</w:t>
            </w:r>
          </w:p>
        </w:tc>
        <w:tc>
          <w:tcPr>
            <w:tcW w:w="1276" w:type="pct"/>
            <w:tcBorders>
              <w:top w:val="nil"/>
              <w:left w:val="nil"/>
              <w:bottom w:val="nil"/>
              <w:right w:val="nil"/>
            </w:tcBorders>
            <w:shd w:val="clear" w:color="auto" w:fill="FFFFFF"/>
            <w:vAlign w:val="center"/>
          </w:tcPr>
          <w:p w14:paraId="4268CA4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75.67</w:t>
            </w:r>
          </w:p>
        </w:tc>
      </w:tr>
      <w:tr w:rsidR="0067740A" w14:paraId="721DDF74" w14:textId="77777777">
        <w:trPr>
          <w:trHeight w:val="270"/>
        </w:trPr>
        <w:tc>
          <w:tcPr>
            <w:tcW w:w="1602" w:type="pct"/>
            <w:vMerge/>
            <w:tcBorders>
              <w:top w:val="nil"/>
              <w:left w:val="nil"/>
              <w:bottom w:val="nil"/>
              <w:right w:val="nil"/>
            </w:tcBorders>
            <w:shd w:val="clear" w:color="auto" w:fill="FFFFFF"/>
            <w:vAlign w:val="center"/>
          </w:tcPr>
          <w:p w14:paraId="1FB0CB94"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5C7EB2BF"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Extremely important</w:t>
            </w:r>
          </w:p>
        </w:tc>
        <w:tc>
          <w:tcPr>
            <w:tcW w:w="509" w:type="pct"/>
            <w:tcBorders>
              <w:top w:val="nil"/>
              <w:left w:val="nil"/>
              <w:bottom w:val="nil"/>
              <w:right w:val="nil"/>
            </w:tcBorders>
            <w:shd w:val="clear" w:color="auto" w:fill="FFFFFF"/>
            <w:vAlign w:val="center"/>
          </w:tcPr>
          <w:p w14:paraId="039C3C4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w:t>
            </w:r>
          </w:p>
        </w:tc>
        <w:tc>
          <w:tcPr>
            <w:tcW w:w="622" w:type="pct"/>
            <w:tcBorders>
              <w:top w:val="nil"/>
              <w:left w:val="nil"/>
              <w:bottom w:val="nil"/>
              <w:right w:val="nil"/>
            </w:tcBorders>
            <w:shd w:val="clear" w:color="auto" w:fill="FFFFFF"/>
            <w:vAlign w:val="center"/>
          </w:tcPr>
          <w:p w14:paraId="1BC04E8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24.33</w:t>
            </w:r>
          </w:p>
        </w:tc>
        <w:tc>
          <w:tcPr>
            <w:tcW w:w="1276" w:type="pct"/>
            <w:tcBorders>
              <w:top w:val="nil"/>
              <w:left w:val="nil"/>
              <w:bottom w:val="nil"/>
              <w:right w:val="nil"/>
            </w:tcBorders>
            <w:shd w:val="clear" w:color="auto" w:fill="FFFFFF"/>
            <w:vAlign w:val="center"/>
          </w:tcPr>
          <w:p w14:paraId="3B922EE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03F301E" w14:textId="77777777">
        <w:trPr>
          <w:trHeight w:val="270"/>
        </w:trPr>
        <w:tc>
          <w:tcPr>
            <w:tcW w:w="1602" w:type="pct"/>
            <w:vMerge w:val="restart"/>
            <w:tcBorders>
              <w:top w:val="nil"/>
              <w:left w:val="nil"/>
              <w:bottom w:val="nil"/>
              <w:right w:val="nil"/>
            </w:tcBorders>
            <w:shd w:val="clear" w:color="auto" w:fill="FFFFFF"/>
            <w:vAlign w:val="center"/>
          </w:tcPr>
          <w:p w14:paraId="7F12644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Environmental Impact</w:t>
            </w:r>
          </w:p>
        </w:tc>
        <w:tc>
          <w:tcPr>
            <w:tcW w:w="989" w:type="pct"/>
            <w:tcBorders>
              <w:top w:val="nil"/>
              <w:left w:val="nil"/>
              <w:bottom w:val="nil"/>
              <w:right w:val="nil"/>
            </w:tcBorders>
            <w:shd w:val="clear" w:color="auto" w:fill="FFFFFF"/>
            <w:vAlign w:val="center"/>
          </w:tcPr>
          <w:p w14:paraId="7F9E7486"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aware of</w:t>
            </w:r>
          </w:p>
        </w:tc>
        <w:tc>
          <w:tcPr>
            <w:tcW w:w="509" w:type="pct"/>
            <w:tcBorders>
              <w:top w:val="nil"/>
              <w:left w:val="nil"/>
              <w:bottom w:val="nil"/>
              <w:right w:val="nil"/>
            </w:tcBorders>
            <w:shd w:val="clear" w:color="auto" w:fill="FFFFFF"/>
            <w:vAlign w:val="center"/>
          </w:tcPr>
          <w:p w14:paraId="7CE92C7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622" w:type="pct"/>
            <w:tcBorders>
              <w:top w:val="nil"/>
              <w:left w:val="nil"/>
              <w:bottom w:val="nil"/>
              <w:right w:val="nil"/>
            </w:tcBorders>
            <w:shd w:val="clear" w:color="auto" w:fill="FFFFFF"/>
            <w:vAlign w:val="center"/>
          </w:tcPr>
          <w:p w14:paraId="185ADD5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276" w:type="pct"/>
            <w:tcBorders>
              <w:top w:val="nil"/>
              <w:left w:val="nil"/>
              <w:bottom w:val="nil"/>
              <w:right w:val="nil"/>
            </w:tcBorders>
            <w:shd w:val="clear" w:color="auto" w:fill="FFFFFF"/>
            <w:vAlign w:val="center"/>
          </w:tcPr>
          <w:p w14:paraId="70E9466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r>
      <w:tr w:rsidR="0067740A" w14:paraId="35E15DD6" w14:textId="77777777">
        <w:trPr>
          <w:trHeight w:val="270"/>
        </w:trPr>
        <w:tc>
          <w:tcPr>
            <w:tcW w:w="1602" w:type="pct"/>
            <w:vMerge/>
            <w:tcBorders>
              <w:top w:val="nil"/>
              <w:left w:val="nil"/>
              <w:bottom w:val="nil"/>
              <w:right w:val="nil"/>
            </w:tcBorders>
            <w:shd w:val="clear" w:color="auto" w:fill="FFFFFF"/>
            <w:vAlign w:val="center"/>
          </w:tcPr>
          <w:p w14:paraId="5325C00C"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6A455B5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important</w:t>
            </w:r>
          </w:p>
        </w:tc>
        <w:tc>
          <w:tcPr>
            <w:tcW w:w="509" w:type="pct"/>
            <w:tcBorders>
              <w:top w:val="nil"/>
              <w:left w:val="nil"/>
              <w:bottom w:val="nil"/>
              <w:right w:val="nil"/>
            </w:tcBorders>
            <w:shd w:val="clear" w:color="auto" w:fill="FFFFFF"/>
            <w:vAlign w:val="center"/>
          </w:tcPr>
          <w:p w14:paraId="01CDB6F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20</w:t>
            </w:r>
          </w:p>
        </w:tc>
        <w:tc>
          <w:tcPr>
            <w:tcW w:w="622" w:type="pct"/>
            <w:tcBorders>
              <w:top w:val="nil"/>
              <w:left w:val="nil"/>
              <w:bottom w:val="nil"/>
              <w:right w:val="nil"/>
            </w:tcBorders>
            <w:shd w:val="clear" w:color="auto" w:fill="FFFFFF"/>
            <w:vAlign w:val="center"/>
          </w:tcPr>
          <w:p w14:paraId="4BF077C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4.87</w:t>
            </w:r>
          </w:p>
        </w:tc>
        <w:tc>
          <w:tcPr>
            <w:tcW w:w="1276" w:type="pct"/>
            <w:tcBorders>
              <w:top w:val="nil"/>
              <w:left w:val="nil"/>
              <w:bottom w:val="nil"/>
              <w:right w:val="nil"/>
            </w:tcBorders>
            <w:shd w:val="clear" w:color="auto" w:fill="FFFFFF"/>
            <w:vAlign w:val="center"/>
          </w:tcPr>
          <w:p w14:paraId="632FA53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12.41</w:t>
            </w:r>
          </w:p>
        </w:tc>
      </w:tr>
      <w:tr w:rsidR="0067740A" w14:paraId="5C31A448" w14:textId="77777777">
        <w:trPr>
          <w:trHeight w:val="270"/>
        </w:trPr>
        <w:tc>
          <w:tcPr>
            <w:tcW w:w="1602" w:type="pct"/>
            <w:vMerge/>
            <w:tcBorders>
              <w:top w:val="nil"/>
              <w:left w:val="nil"/>
              <w:bottom w:val="nil"/>
              <w:right w:val="nil"/>
            </w:tcBorders>
            <w:shd w:val="clear" w:color="auto" w:fill="FFFFFF"/>
            <w:vAlign w:val="center"/>
          </w:tcPr>
          <w:p w14:paraId="21D99916"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33D2994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Slightly Important</w:t>
            </w:r>
          </w:p>
        </w:tc>
        <w:tc>
          <w:tcPr>
            <w:tcW w:w="509" w:type="pct"/>
            <w:tcBorders>
              <w:top w:val="nil"/>
              <w:left w:val="nil"/>
              <w:bottom w:val="nil"/>
              <w:right w:val="nil"/>
            </w:tcBorders>
            <w:shd w:val="clear" w:color="auto" w:fill="FFFFFF"/>
            <w:vAlign w:val="center"/>
          </w:tcPr>
          <w:p w14:paraId="314E88F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22</w:t>
            </w:r>
          </w:p>
        </w:tc>
        <w:tc>
          <w:tcPr>
            <w:tcW w:w="622" w:type="pct"/>
            <w:tcBorders>
              <w:top w:val="nil"/>
              <w:left w:val="nil"/>
              <w:bottom w:val="nil"/>
              <w:right w:val="nil"/>
            </w:tcBorders>
            <w:shd w:val="clear" w:color="auto" w:fill="FFFFFF"/>
            <w:vAlign w:val="center"/>
          </w:tcPr>
          <w:p w14:paraId="2CEA301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5.35</w:t>
            </w:r>
          </w:p>
        </w:tc>
        <w:tc>
          <w:tcPr>
            <w:tcW w:w="1276" w:type="pct"/>
            <w:tcBorders>
              <w:top w:val="nil"/>
              <w:left w:val="nil"/>
              <w:bottom w:val="nil"/>
              <w:right w:val="nil"/>
            </w:tcBorders>
            <w:shd w:val="clear" w:color="auto" w:fill="FFFFFF"/>
            <w:vAlign w:val="center"/>
          </w:tcPr>
          <w:p w14:paraId="2F43EEE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17.76</w:t>
            </w:r>
          </w:p>
        </w:tc>
      </w:tr>
      <w:tr w:rsidR="0067740A" w14:paraId="4052A8BA" w14:textId="77777777">
        <w:trPr>
          <w:trHeight w:val="270"/>
        </w:trPr>
        <w:tc>
          <w:tcPr>
            <w:tcW w:w="1602" w:type="pct"/>
            <w:vMerge/>
            <w:tcBorders>
              <w:top w:val="nil"/>
              <w:left w:val="nil"/>
              <w:bottom w:val="nil"/>
              <w:right w:val="nil"/>
            </w:tcBorders>
            <w:shd w:val="clear" w:color="auto" w:fill="FFFFFF"/>
            <w:vAlign w:val="center"/>
          </w:tcPr>
          <w:p w14:paraId="7778421C"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5B8D11D9"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 xml:space="preserve">Moderately </w:t>
            </w:r>
            <w:proofErr w:type="spellStart"/>
            <w:r>
              <w:rPr>
                <w:rFonts w:ascii="Arial" w:eastAsia="宋体" w:hAnsi="Arial" w:cs="Arial"/>
                <w:lang w:val="en-GB" w:eastAsia="en-US"/>
              </w:rPr>
              <w:t>improtant</w:t>
            </w:r>
            <w:proofErr w:type="spellEnd"/>
          </w:p>
        </w:tc>
        <w:tc>
          <w:tcPr>
            <w:tcW w:w="509" w:type="pct"/>
            <w:tcBorders>
              <w:top w:val="nil"/>
              <w:left w:val="nil"/>
              <w:bottom w:val="nil"/>
              <w:right w:val="nil"/>
            </w:tcBorders>
            <w:shd w:val="clear" w:color="auto" w:fill="FFFFFF"/>
            <w:vAlign w:val="center"/>
          </w:tcPr>
          <w:p w14:paraId="4DF29E6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109</w:t>
            </w:r>
          </w:p>
        </w:tc>
        <w:tc>
          <w:tcPr>
            <w:tcW w:w="622" w:type="pct"/>
            <w:tcBorders>
              <w:top w:val="nil"/>
              <w:left w:val="nil"/>
              <w:bottom w:val="nil"/>
              <w:right w:val="nil"/>
            </w:tcBorders>
            <w:shd w:val="clear" w:color="auto" w:fill="FFFFFF"/>
            <w:vAlign w:val="center"/>
          </w:tcPr>
          <w:p w14:paraId="6FB3B6D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26.52</w:t>
            </w:r>
          </w:p>
        </w:tc>
        <w:tc>
          <w:tcPr>
            <w:tcW w:w="1276" w:type="pct"/>
            <w:tcBorders>
              <w:top w:val="nil"/>
              <w:left w:val="nil"/>
              <w:bottom w:val="nil"/>
              <w:right w:val="nil"/>
            </w:tcBorders>
            <w:shd w:val="clear" w:color="auto" w:fill="FFFFFF"/>
            <w:vAlign w:val="center"/>
          </w:tcPr>
          <w:p w14:paraId="5C799B9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44.28</w:t>
            </w:r>
          </w:p>
        </w:tc>
      </w:tr>
      <w:tr w:rsidR="0067740A" w14:paraId="4D9916AB" w14:textId="77777777">
        <w:trPr>
          <w:trHeight w:val="270"/>
        </w:trPr>
        <w:tc>
          <w:tcPr>
            <w:tcW w:w="1602" w:type="pct"/>
            <w:vMerge/>
            <w:tcBorders>
              <w:top w:val="nil"/>
              <w:left w:val="nil"/>
              <w:bottom w:val="nil"/>
              <w:right w:val="nil"/>
            </w:tcBorders>
            <w:shd w:val="clear" w:color="auto" w:fill="FFFFFF"/>
            <w:vAlign w:val="center"/>
          </w:tcPr>
          <w:p w14:paraId="3E1FBC3D"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628553B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Important</w:t>
            </w:r>
          </w:p>
        </w:tc>
        <w:tc>
          <w:tcPr>
            <w:tcW w:w="509" w:type="pct"/>
            <w:tcBorders>
              <w:top w:val="nil"/>
              <w:left w:val="nil"/>
              <w:bottom w:val="nil"/>
              <w:right w:val="nil"/>
            </w:tcBorders>
            <w:shd w:val="clear" w:color="auto" w:fill="FFFFFF"/>
            <w:vAlign w:val="center"/>
          </w:tcPr>
          <w:p w14:paraId="2FEA62D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134</w:t>
            </w:r>
          </w:p>
        </w:tc>
        <w:tc>
          <w:tcPr>
            <w:tcW w:w="622" w:type="pct"/>
            <w:tcBorders>
              <w:top w:val="nil"/>
              <w:left w:val="nil"/>
              <w:bottom w:val="nil"/>
              <w:right w:val="nil"/>
            </w:tcBorders>
            <w:shd w:val="clear" w:color="auto" w:fill="FFFFFF"/>
            <w:vAlign w:val="center"/>
          </w:tcPr>
          <w:p w14:paraId="4DDF6CA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32.60</w:t>
            </w:r>
          </w:p>
        </w:tc>
        <w:tc>
          <w:tcPr>
            <w:tcW w:w="1276" w:type="pct"/>
            <w:tcBorders>
              <w:top w:val="nil"/>
              <w:left w:val="nil"/>
              <w:bottom w:val="nil"/>
              <w:right w:val="nil"/>
            </w:tcBorders>
            <w:shd w:val="clear" w:color="auto" w:fill="FFFFFF"/>
            <w:vAlign w:val="center"/>
          </w:tcPr>
          <w:p w14:paraId="0F5867F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76.89</w:t>
            </w:r>
          </w:p>
        </w:tc>
      </w:tr>
      <w:tr w:rsidR="0067740A" w14:paraId="229FD7A3" w14:textId="77777777">
        <w:trPr>
          <w:trHeight w:val="270"/>
        </w:trPr>
        <w:tc>
          <w:tcPr>
            <w:tcW w:w="1602" w:type="pct"/>
            <w:vMerge/>
            <w:tcBorders>
              <w:top w:val="nil"/>
              <w:left w:val="nil"/>
              <w:bottom w:val="nil"/>
              <w:right w:val="nil"/>
            </w:tcBorders>
            <w:shd w:val="clear" w:color="auto" w:fill="FFFFFF"/>
            <w:vAlign w:val="center"/>
          </w:tcPr>
          <w:p w14:paraId="050770D9"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0980D65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Extremely important</w:t>
            </w:r>
          </w:p>
        </w:tc>
        <w:tc>
          <w:tcPr>
            <w:tcW w:w="509" w:type="pct"/>
            <w:tcBorders>
              <w:top w:val="nil"/>
              <w:left w:val="nil"/>
              <w:bottom w:val="nil"/>
              <w:right w:val="nil"/>
            </w:tcBorders>
            <w:shd w:val="clear" w:color="auto" w:fill="FFFFFF"/>
            <w:vAlign w:val="center"/>
          </w:tcPr>
          <w:p w14:paraId="2EAB0F6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95</w:t>
            </w:r>
          </w:p>
        </w:tc>
        <w:tc>
          <w:tcPr>
            <w:tcW w:w="622" w:type="pct"/>
            <w:tcBorders>
              <w:top w:val="nil"/>
              <w:left w:val="nil"/>
              <w:bottom w:val="nil"/>
              <w:right w:val="nil"/>
            </w:tcBorders>
            <w:shd w:val="clear" w:color="auto" w:fill="FFFFFF"/>
            <w:vAlign w:val="center"/>
          </w:tcPr>
          <w:p w14:paraId="737B002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23.11</w:t>
            </w:r>
          </w:p>
        </w:tc>
        <w:tc>
          <w:tcPr>
            <w:tcW w:w="1276" w:type="pct"/>
            <w:tcBorders>
              <w:top w:val="nil"/>
              <w:left w:val="nil"/>
              <w:bottom w:val="nil"/>
              <w:right w:val="nil"/>
            </w:tcBorders>
            <w:shd w:val="clear" w:color="auto" w:fill="FFFFFF"/>
            <w:vAlign w:val="center"/>
          </w:tcPr>
          <w:p w14:paraId="50C14C7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6CA1EC4" w14:textId="77777777">
        <w:trPr>
          <w:trHeight w:val="270"/>
        </w:trPr>
        <w:tc>
          <w:tcPr>
            <w:tcW w:w="1602" w:type="pct"/>
            <w:vMerge w:val="restart"/>
            <w:tcBorders>
              <w:top w:val="nil"/>
              <w:left w:val="nil"/>
              <w:bottom w:val="nil"/>
              <w:right w:val="nil"/>
            </w:tcBorders>
            <w:shd w:val="clear" w:color="auto" w:fill="FFFFFF"/>
            <w:vAlign w:val="center"/>
          </w:tcPr>
          <w:p w14:paraId="6920509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Safety Features</w:t>
            </w:r>
          </w:p>
        </w:tc>
        <w:tc>
          <w:tcPr>
            <w:tcW w:w="989" w:type="pct"/>
            <w:tcBorders>
              <w:top w:val="nil"/>
              <w:left w:val="nil"/>
              <w:bottom w:val="nil"/>
              <w:right w:val="nil"/>
            </w:tcBorders>
            <w:shd w:val="clear" w:color="auto" w:fill="FFFFFF"/>
            <w:vAlign w:val="center"/>
          </w:tcPr>
          <w:p w14:paraId="17C0C2E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aware of</w:t>
            </w:r>
          </w:p>
        </w:tc>
        <w:tc>
          <w:tcPr>
            <w:tcW w:w="509" w:type="pct"/>
            <w:tcBorders>
              <w:top w:val="nil"/>
              <w:left w:val="nil"/>
              <w:bottom w:val="nil"/>
              <w:right w:val="nil"/>
            </w:tcBorders>
            <w:shd w:val="clear" w:color="auto" w:fill="FFFFFF"/>
            <w:vAlign w:val="center"/>
          </w:tcPr>
          <w:p w14:paraId="59017F5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23</w:t>
            </w:r>
          </w:p>
        </w:tc>
        <w:tc>
          <w:tcPr>
            <w:tcW w:w="622" w:type="pct"/>
            <w:tcBorders>
              <w:top w:val="nil"/>
              <w:left w:val="nil"/>
              <w:bottom w:val="nil"/>
              <w:right w:val="nil"/>
            </w:tcBorders>
            <w:shd w:val="clear" w:color="auto" w:fill="FFFFFF"/>
            <w:vAlign w:val="center"/>
          </w:tcPr>
          <w:p w14:paraId="297F16A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5.60</w:t>
            </w:r>
          </w:p>
        </w:tc>
        <w:tc>
          <w:tcPr>
            <w:tcW w:w="1276" w:type="pct"/>
            <w:tcBorders>
              <w:top w:val="nil"/>
              <w:left w:val="nil"/>
              <w:bottom w:val="nil"/>
              <w:right w:val="nil"/>
            </w:tcBorders>
            <w:shd w:val="clear" w:color="auto" w:fill="FFFFFF"/>
            <w:vAlign w:val="center"/>
          </w:tcPr>
          <w:p w14:paraId="0B93F92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5.60</w:t>
            </w:r>
          </w:p>
        </w:tc>
      </w:tr>
      <w:tr w:rsidR="0067740A" w14:paraId="4E64C665" w14:textId="77777777">
        <w:trPr>
          <w:trHeight w:val="270"/>
        </w:trPr>
        <w:tc>
          <w:tcPr>
            <w:tcW w:w="1602" w:type="pct"/>
            <w:vMerge/>
            <w:tcBorders>
              <w:top w:val="nil"/>
              <w:left w:val="nil"/>
              <w:bottom w:val="nil"/>
              <w:right w:val="nil"/>
            </w:tcBorders>
            <w:shd w:val="clear" w:color="auto" w:fill="FFFFFF"/>
            <w:vAlign w:val="center"/>
          </w:tcPr>
          <w:p w14:paraId="530B17A0"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6B96277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important</w:t>
            </w:r>
          </w:p>
        </w:tc>
        <w:tc>
          <w:tcPr>
            <w:tcW w:w="509" w:type="pct"/>
            <w:tcBorders>
              <w:top w:val="nil"/>
              <w:left w:val="nil"/>
              <w:bottom w:val="nil"/>
              <w:right w:val="nil"/>
            </w:tcBorders>
            <w:shd w:val="clear" w:color="auto" w:fill="FFFFFF"/>
            <w:vAlign w:val="center"/>
          </w:tcPr>
          <w:p w14:paraId="7A75185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28</w:t>
            </w:r>
          </w:p>
        </w:tc>
        <w:tc>
          <w:tcPr>
            <w:tcW w:w="622" w:type="pct"/>
            <w:tcBorders>
              <w:top w:val="nil"/>
              <w:left w:val="nil"/>
              <w:bottom w:val="nil"/>
              <w:right w:val="nil"/>
            </w:tcBorders>
            <w:shd w:val="clear" w:color="auto" w:fill="FFFFFF"/>
            <w:vAlign w:val="center"/>
          </w:tcPr>
          <w:p w14:paraId="79336AB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6.81</w:t>
            </w:r>
          </w:p>
        </w:tc>
        <w:tc>
          <w:tcPr>
            <w:tcW w:w="1276" w:type="pct"/>
            <w:tcBorders>
              <w:top w:val="nil"/>
              <w:left w:val="nil"/>
              <w:bottom w:val="nil"/>
              <w:right w:val="nil"/>
            </w:tcBorders>
            <w:shd w:val="clear" w:color="auto" w:fill="FFFFFF"/>
            <w:vAlign w:val="center"/>
          </w:tcPr>
          <w:p w14:paraId="4492CA3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12.41</w:t>
            </w:r>
          </w:p>
        </w:tc>
      </w:tr>
      <w:tr w:rsidR="0067740A" w14:paraId="758EAB9B" w14:textId="77777777">
        <w:trPr>
          <w:trHeight w:val="270"/>
        </w:trPr>
        <w:tc>
          <w:tcPr>
            <w:tcW w:w="1602" w:type="pct"/>
            <w:vMerge/>
            <w:tcBorders>
              <w:top w:val="nil"/>
              <w:left w:val="nil"/>
              <w:bottom w:val="nil"/>
              <w:right w:val="nil"/>
            </w:tcBorders>
            <w:shd w:val="clear" w:color="auto" w:fill="FFFFFF"/>
            <w:vAlign w:val="center"/>
          </w:tcPr>
          <w:p w14:paraId="0B1BFACB"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4B70F90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Slightly Important</w:t>
            </w:r>
          </w:p>
        </w:tc>
        <w:tc>
          <w:tcPr>
            <w:tcW w:w="509" w:type="pct"/>
            <w:tcBorders>
              <w:top w:val="nil"/>
              <w:left w:val="nil"/>
              <w:bottom w:val="nil"/>
              <w:right w:val="nil"/>
            </w:tcBorders>
            <w:shd w:val="clear" w:color="auto" w:fill="FFFFFF"/>
            <w:vAlign w:val="center"/>
          </w:tcPr>
          <w:p w14:paraId="480DDBE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w:t>
            </w:r>
          </w:p>
        </w:tc>
        <w:tc>
          <w:tcPr>
            <w:tcW w:w="622" w:type="pct"/>
            <w:tcBorders>
              <w:top w:val="nil"/>
              <w:left w:val="nil"/>
              <w:bottom w:val="nil"/>
              <w:right w:val="nil"/>
            </w:tcBorders>
            <w:shd w:val="clear" w:color="auto" w:fill="FFFFFF"/>
            <w:vAlign w:val="center"/>
          </w:tcPr>
          <w:p w14:paraId="56BB0C4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c>
          <w:tcPr>
            <w:tcW w:w="1276" w:type="pct"/>
            <w:tcBorders>
              <w:top w:val="nil"/>
              <w:left w:val="nil"/>
              <w:bottom w:val="nil"/>
              <w:right w:val="nil"/>
            </w:tcBorders>
            <w:shd w:val="clear" w:color="auto" w:fill="FFFFFF"/>
            <w:vAlign w:val="center"/>
          </w:tcPr>
          <w:p w14:paraId="60D20EC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19.46</w:t>
            </w:r>
          </w:p>
        </w:tc>
      </w:tr>
      <w:tr w:rsidR="0067740A" w14:paraId="6BEFCF0E" w14:textId="77777777">
        <w:trPr>
          <w:trHeight w:val="270"/>
        </w:trPr>
        <w:tc>
          <w:tcPr>
            <w:tcW w:w="1602" w:type="pct"/>
            <w:vMerge/>
            <w:tcBorders>
              <w:top w:val="nil"/>
              <w:left w:val="nil"/>
              <w:bottom w:val="nil"/>
              <w:right w:val="nil"/>
            </w:tcBorders>
            <w:shd w:val="clear" w:color="auto" w:fill="FFFFFF"/>
            <w:vAlign w:val="center"/>
          </w:tcPr>
          <w:p w14:paraId="7D5A510A"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0CE3F6E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 xml:space="preserve">Moderately </w:t>
            </w:r>
            <w:proofErr w:type="spellStart"/>
            <w:r>
              <w:rPr>
                <w:rFonts w:ascii="Arial" w:eastAsia="宋体" w:hAnsi="Arial" w:cs="Arial"/>
                <w:lang w:val="en-GB" w:eastAsia="en-US"/>
              </w:rPr>
              <w:t>improtant</w:t>
            </w:r>
            <w:proofErr w:type="spellEnd"/>
          </w:p>
        </w:tc>
        <w:tc>
          <w:tcPr>
            <w:tcW w:w="509" w:type="pct"/>
            <w:tcBorders>
              <w:top w:val="nil"/>
              <w:left w:val="nil"/>
              <w:bottom w:val="nil"/>
              <w:right w:val="nil"/>
            </w:tcBorders>
            <w:shd w:val="clear" w:color="auto" w:fill="FFFFFF"/>
            <w:vAlign w:val="center"/>
          </w:tcPr>
          <w:p w14:paraId="2082CE2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116</w:t>
            </w:r>
          </w:p>
        </w:tc>
        <w:tc>
          <w:tcPr>
            <w:tcW w:w="622" w:type="pct"/>
            <w:tcBorders>
              <w:top w:val="nil"/>
              <w:left w:val="nil"/>
              <w:bottom w:val="nil"/>
              <w:right w:val="nil"/>
            </w:tcBorders>
            <w:shd w:val="clear" w:color="auto" w:fill="FFFFFF"/>
            <w:vAlign w:val="center"/>
          </w:tcPr>
          <w:p w14:paraId="552BCC1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28.22</w:t>
            </w:r>
          </w:p>
        </w:tc>
        <w:tc>
          <w:tcPr>
            <w:tcW w:w="1276" w:type="pct"/>
            <w:tcBorders>
              <w:top w:val="nil"/>
              <w:left w:val="nil"/>
              <w:bottom w:val="nil"/>
              <w:right w:val="nil"/>
            </w:tcBorders>
            <w:shd w:val="clear" w:color="auto" w:fill="FFFFFF"/>
            <w:vAlign w:val="center"/>
          </w:tcPr>
          <w:p w14:paraId="0C4270D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47.69</w:t>
            </w:r>
          </w:p>
        </w:tc>
      </w:tr>
      <w:tr w:rsidR="0067740A" w14:paraId="485BCB47" w14:textId="77777777">
        <w:trPr>
          <w:trHeight w:val="270"/>
        </w:trPr>
        <w:tc>
          <w:tcPr>
            <w:tcW w:w="1602" w:type="pct"/>
            <w:vMerge/>
            <w:tcBorders>
              <w:top w:val="nil"/>
              <w:left w:val="nil"/>
              <w:bottom w:val="nil"/>
              <w:right w:val="nil"/>
            </w:tcBorders>
            <w:shd w:val="clear" w:color="auto" w:fill="FFFFFF"/>
            <w:vAlign w:val="center"/>
          </w:tcPr>
          <w:p w14:paraId="69E73BF4"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66F3E0D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Important</w:t>
            </w:r>
          </w:p>
        </w:tc>
        <w:tc>
          <w:tcPr>
            <w:tcW w:w="509" w:type="pct"/>
            <w:tcBorders>
              <w:top w:val="nil"/>
              <w:left w:val="nil"/>
              <w:bottom w:val="nil"/>
              <w:right w:val="nil"/>
            </w:tcBorders>
            <w:shd w:val="clear" w:color="auto" w:fill="FFFFFF"/>
            <w:vAlign w:val="center"/>
          </w:tcPr>
          <w:p w14:paraId="3504C8A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127</w:t>
            </w:r>
          </w:p>
        </w:tc>
        <w:tc>
          <w:tcPr>
            <w:tcW w:w="622" w:type="pct"/>
            <w:tcBorders>
              <w:top w:val="nil"/>
              <w:left w:val="nil"/>
              <w:bottom w:val="nil"/>
              <w:right w:val="nil"/>
            </w:tcBorders>
            <w:shd w:val="clear" w:color="auto" w:fill="FFFFFF"/>
            <w:vAlign w:val="center"/>
          </w:tcPr>
          <w:p w14:paraId="1393A6B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30.90</w:t>
            </w:r>
          </w:p>
        </w:tc>
        <w:tc>
          <w:tcPr>
            <w:tcW w:w="1276" w:type="pct"/>
            <w:tcBorders>
              <w:top w:val="nil"/>
              <w:left w:val="nil"/>
              <w:bottom w:val="nil"/>
              <w:right w:val="nil"/>
            </w:tcBorders>
            <w:shd w:val="clear" w:color="auto" w:fill="FFFFFF"/>
            <w:vAlign w:val="center"/>
          </w:tcPr>
          <w:p w14:paraId="227046E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78.59</w:t>
            </w:r>
          </w:p>
        </w:tc>
      </w:tr>
      <w:tr w:rsidR="0067740A" w14:paraId="1DC751E4" w14:textId="77777777">
        <w:trPr>
          <w:trHeight w:val="270"/>
        </w:trPr>
        <w:tc>
          <w:tcPr>
            <w:tcW w:w="1602" w:type="pct"/>
            <w:vMerge/>
            <w:tcBorders>
              <w:top w:val="nil"/>
              <w:left w:val="nil"/>
              <w:bottom w:val="nil"/>
              <w:right w:val="nil"/>
            </w:tcBorders>
            <w:shd w:val="clear" w:color="auto" w:fill="FFFFFF"/>
            <w:vAlign w:val="center"/>
          </w:tcPr>
          <w:p w14:paraId="04923CB6"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792FC46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Extremely important</w:t>
            </w:r>
          </w:p>
        </w:tc>
        <w:tc>
          <w:tcPr>
            <w:tcW w:w="509" w:type="pct"/>
            <w:tcBorders>
              <w:top w:val="nil"/>
              <w:left w:val="nil"/>
              <w:bottom w:val="nil"/>
              <w:right w:val="nil"/>
            </w:tcBorders>
            <w:shd w:val="clear" w:color="auto" w:fill="FFFFFF"/>
            <w:vAlign w:val="center"/>
          </w:tcPr>
          <w:p w14:paraId="388E2BF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88</w:t>
            </w:r>
          </w:p>
        </w:tc>
        <w:tc>
          <w:tcPr>
            <w:tcW w:w="622" w:type="pct"/>
            <w:tcBorders>
              <w:top w:val="nil"/>
              <w:left w:val="nil"/>
              <w:bottom w:val="nil"/>
              <w:right w:val="nil"/>
            </w:tcBorders>
            <w:shd w:val="clear" w:color="auto" w:fill="FFFFFF"/>
            <w:vAlign w:val="center"/>
          </w:tcPr>
          <w:p w14:paraId="41394AF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21.41</w:t>
            </w:r>
          </w:p>
        </w:tc>
        <w:tc>
          <w:tcPr>
            <w:tcW w:w="1276" w:type="pct"/>
            <w:tcBorders>
              <w:top w:val="nil"/>
              <w:left w:val="nil"/>
              <w:bottom w:val="nil"/>
              <w:right w:val="nil"/>
            </w:tcBorders>
            <w:shd w:val="clear" w:color="auto" w:fill="FFFFFF"/>
            <w:vAlign w:val="center"/>
          </w:tcPr>
          <w:p w14:paraId="4DFDD45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2F460A84" w14:textId="77777777">
        <w:trPr>
          <w:trHeight w:val="270"/>
        </w:trPr>
        <w:tc>
          <w:tcPr>
            <w:tcW w:w="1602" w:type="pct"/>
            <w:vMerge w:val="restart"/>
            <w:tcBorders>
              <w:top w:val="nil"/>
              <w:left w:val="nil"/>
              <w:bottom w:val="nil"/>
              <w:right w:val="nil"/>
            </w:tcBorders>
            <w:shd w:val="clear" w:color="auto" w:fill="FFFFFF"/>
            <w:vAlign w:val="center"/>
          </w:tcPr>
          <w:p w14:paraId="029D543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Technological Innovation (e.g.</w:t>
            </w:r>
            <w:r>
              <w:rPr>
                <w:rFonts w:ascii="Arial" w:eastAsia="宋体" w:hAnsi="Arial" w:cs="Arial"/>
                <w:color w:val="000000"/>
                <w:lang w:bidi="ar"/>
              </w:rPr>
              <w:t>，</w:t>
            </w:r>
            <w:r>
              <w:rPr>
                <w:rFonts w:ascii="Arial" w:eastAsia="宋体" w:hAnsi="Arial" w:cs="Arial"/>
                <w:color w:val="000000"/>
                <w:lang w:bidi="ar"/>
              </w:rPr>
              <w:t xml:space="preserve"> autonomous driving</w:t>
            </w:r>
            <w:r>
              <w:rPr>
                <w:rFonts w:ascii="Arial" w:eastAsia="宋体" w:hAnsi="Arial" w:cs="Arial"/>
                <w:color w:val="000000"/>
                <w:lang w:bidi="ar"/>
              </w:rPr>
              <w:t>，</w:t>
            </w:r>
            <w:r>
              <w:rPr>
                <w:rFonts w:ascii="Arial" w:eastAsia="宋体" w:hAnsi="Arial" w:cs="Arial"/>
                <w:color w:val="000000"/>
                <w:lang w:bidi="ar"/>
              </w:rPr>
              <w:t xml:space="preserve"> connectivity)</w:t>
            </w:r>
          </w:p>
        </w:tc>
        <w:tc>
          <w:tcPr>
            <w:tcW w:w="989" w:type="pct"/>
            <w:tcBorders>
              <w:top w:val="nil"/>
              <w:left w:val="nil"/>
              <w:bottom w:val="nil"/>
              <w:right w:val="nil"/>
            </w:tcBorders>
            <w:shd w:val="clear" w:color="auto" w:fill="FFFFFF"/>
            <w:vAlign w:val="center"/>
          </w:tcPr>
          <w:p w14:paraId="68B4D19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aware of</w:t>
            </w:r>
          </w:p>
        </w:tc>
        <w:tc>
          <w:tcPr>
            <w:tcW w:w="509" w:type="pct"/>
            <w:tcBorders>
              <w:top w:val="nil"/>
              <w:left w:val="nil"/>
              <w:bottom w:val="nil"/>
              <w:right w:val="nil"/>
            </w:tcBorders>
            <w:shd w:val="clear" w:color="auto" w:fill="FFFFFF"/>
            <w:vAlign w:val="center"/>
          </w:tcPr>
          <w:p w14:paraId="7BDA7C1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25</w:t>
            </w:r>
          </w:p>
        </w:tc>
        <w:tc>
          <w:tcPr>
            <w:tcW w:w="622" w:type="pct"/>
            <w:tcBorders>
              <w:top w:val="nil"/>
              <w:left w:val="nil"/>
              <w:bottom w:val="nil"/>
              <w:right w:val="nil"/>
            </w:tcBorders>
            <w:shd w:val="clear" w:color="auto" w:fill="FFFFFF"/>
            <w:vAlign w:val="center"/>
          </w:tcPr>
          <w:p w14:paraId="07D8034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6.08</w:t>
            </w:r>
          </w:p>
        </w:tc>
        <w:tc>
          <w:tcPr>
            <w:tcW w:w="1276" w:type="pct"/>
            <w:tcBorders>
              <w:top w:val="nil"/>
              <w:left w:val="nil"/>
              <w:bottom w:val="nil"/>
              <w:right w:val="nil"/>
            </w:tcBorders>
            <w:shd w:val="clear" w:color="auto" w:fill="FFFFFF"/>
            <w:vAlign w:val="center"/>
          </w:tcPr>
          <w:p w14:paraId="0501C09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6.08</w:t>
            </w:r>
          </w:p>
        </w:tc>
      </w:tr>
      <w:tr w:rsidR="0067740A" w14:paraId="0ABAC051" w14:textId="77777777">
        <w:trPr>
          <w:trHeight w:val="270"/>
        </w:trPr>
        <w:tc>
          <w:tcPr>
            <w:tcW w:w="1602" w:type="pct"/>
            <w:vMerge/>
            <w:tcBorders>
              <w:top w:val="nil"/>
              <w:left w:val="nil"/>
              <w:bottom w:val="nil"/>
              <w:right w:val="nil"/>
            </w:tcBorders>
            <w:shd w:val="clear" w:color="auto" w:fill="FFFFFF"/>
            <w:vAlign w:val="center"/>
          </w:tcPr>
          <w:p w14:paraId="2D0E437E"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174014F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important</w:t>
            </w:r>
          </w:p>
        </w:tc>
        <w:tc>
          <w:tcPr>
            <w:tcW w:w="509" w:type="pct"/>
            <w:tcBorders>
              <w:top w:val="nil"/>
              <w:left w:val="nil"/>
              <w:bottom w:val="nil"/>
              <w:right w:val="nil"/>
            </w:tcBorders>
            <w:shd w:val="clear" w:color="auto" w:fill="FFFFFF"/>
            <w:vAlign w:val="center"/>
          </w:tcPr>
          <w:p w14:paraId="106FFEB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w:t>
            </w:r>
          </w:p>
        </w:tc>
        <w:tc>
          <w:tcPr>
            <w:tcW w:w="622" w:type="pct"/>
            <w:tcBorders>
              <w:top w:val="nil"/>
              <w:left w:val="nil"/>
              <w:bottom w:val="nil"/>
              <w:right w:val="nil"/>
            </w:tcBorders>
            <w:shd w:val="clear" w:color="auto" w:fill="FFFFFF"/>
            <w:vAlign w:val="center"/>
          </w:tcPr>
          <w:p w14:paraId="338AE5C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c>
          <w:tcPr>
            <w:tcW w:w="1276" w:type="pct"/>
            <w:tcBorders>
              <w:top w:val="nil"/>
              <w:left w:val="nil"/>
              <w:bottom w:val="nil"/>
              <w:right w:val="nil"/>
            </w:tcBorders>
            <w:shd w:val="clear" w:color="auto" w:fill="FFFFFF"/>
            <w:vAlign w:val="center"/>
          </w:tcPr>
          <w:p w14:paraId="729CF6F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13.14</w:t>
            </w:r>
          </w:p>
        </w:tc>
      </w:tr>
      <w:tr w:rsidR="0067740A" w14:paraId="3F05BB6C" w14:textId="77777777">
        <w:trPr>
          <w:trHeight w:val="270"/>
        </w:trPr>
        <w:tc>
          <w:tcPr>
            <w:tcW w:w="1602" w:type="pct"/>
            <w:vMerge/>
            <w:tcBorders>
              <w:top w:val="nil"/>
              <w:left w:val="nil"/>
              <w:bottom w:val="nil"/>
              <w:right w:val="nil"/>
            </w:tcBorders>
            <w:shd w:val="clear" w:color="auto" w:fill="FFFFFF"/>
            <w:vAlign w:val="center"/>
          </w:tcPr>
          <w:p w14:paraId="39709674"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2F48AE5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Slightly Important</w:t>
            </w:r>
          </w:p>
        </w:tc>
        <w:tc>
          <w:tcPr>
            <w:tcW w:w="509" w:type="pct"/>
            <w:tcBorders>
              <w:top w:val="nil"/>
              <w:left w:val="nil"/>
              <w:bottom w:val="nil"/>
              <w:right w:val="nil"/>
            </w:tcBorders>
            <w:shd w:val="clear" w:color="auto" w:fill="FFFFFF"/>
            <w:vAlign w:val="center"/>
          </w:tcPr>
          <w:p w14:paraId="125617E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w:t>
            </w:r>
          </w:p>
        </w:tc>
        <w:tc>
          <w:tcPr>
            <w:tcW w:w="622" w:type="pct"/>
            <w:tcBorders>
              <w:top w:val="nil"/>
              <w:left w:val="nil"/>
              <w:bottom w:val="nil"/>
              <w:right w:val="nil"/>
            </w:tcBorders>
            <w:shd w:val="clear" w:color="auto" w:fill="FFFFFF"/>
            <w:vAlign w:val="center"/>
          </w:tcPr>
          <w:p w14:paraId="0BDFC4E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c>
          <w:tcPr>
            <w:tcW w:w="1276" w:type="pct"/>
            <w:tcBorders>
              <w:top w:val="nil"/>
              <w:left w:val="nil"/>
              <w:bottom w:val="nil"/>
              <w:right w:val="nil"/>
            </w:tcBorders>
            <w:shd w:val="clear" w:color="auto" w:fill="FFFFFF"/>
            <w:vAlign w:val="center"/>
          </w:tcPr>
          <w:p w14:paraId="2291661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19.71</w:t>
            </w:r>
          </w:p>
        </w:tc>
      </w:tr>
      <w:tr w:rsidR="0067740A" w14:paraId="563859B9" w14:textId="77777777">
        <w:trPr>
          <w:trHeight w:val="270"/>
        </w:trPr>
        <w:tc>
          <w:tcPr>
            <w:tcW w:w="1602" w:type="pct"/>
            <w:vMerge/>
            <w:tcBorders>
              <w:top w:val="nil"/>
              <w:left w:val="nil"/>
              <w:bottom w:val="nil"/>
              <w:right w:val="nil"/>
            </w:tcBorders>
            <w:shd w:val="clear" w:color="auto" w:fill="FFFFFF"/>
            <w:vAlign w:val="center"/>
          </w:tcPr>
          <w:p w14:paraId="59F3F3E0"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7EDFC9D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 xml:space="preserve">Moderately </w:t>
            </w:r>
            <w:proofErr w:type="spellStart"/>
            <w:r>
              <w:rPr>
                <w:rFonts w:ascii="Arial" w:eastAsia="宋体" w:hAnsi="Arial" w:cs="Arial"/>
                <w:lang w:val="en-GB" w:eastAsia="en-US"/>
              </w:rPr>
              <w:t>improtant</w:t>
            </w:r>
            <w:proofErr w:type="spellEnd"/>
          </w:p>
        </w:tc>
        <w:tc>
          <w:tcPr>
            <w:tcW w:w="509" w:type="pct"/>
            <w:tcBorders>
              <w:top w:val="nil"/>
              <w:left w:val="nil"/>
              <w:bottom w:val="nil"/>
              <w:right w:val="nil"/>
            </w:tcBorders>
            <w:shd w:val="clear" w:color="auto" w:fill="FFFFFF"/>
            <w:vAlign w:val="center"/>
          </w:tcPr>
          <w:p w14:paraId="6A4E30E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98</w:t>
            </w:r>
          </w:p>
        </w:tc>
        <w:tc>
          <w:tcPr>
            <w:tcW w:w="622" w:type="pct"/>
            <w:tcBorders>
              <w:top w:val="nil"/>
              <w:left w:val="nil"/>
              <w:bottom w:val="nil"/>
              <w:right w:val="nil"/>
            </w:tcBorders>
            <w:shd w:val="clear" w:color="auto" w:fill="FFFFFF"/>
            <w:vAlign w:val="center"/>
          </w:tcPr>
          <w:p w14:paraId="54B760B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23.84</w:t>
            </w:r>
          </w:p>
        </w:tc>
        <w:tc>
          <w:tcPr>
            <w:tcW w:w="1276" w:type="pct"/>
            <w:tcBorders>
              <w:top w:val="nil"/>
              <w:left w:val="nil"/>
              <w:bottom w:val="nil"/>
              <w:right w:val="nil"/>
            </w:tcBorders>
            <w:shd w:val="clear" w:color="auto" w:fill="FFFFFF"/>
            <w:vAlign w:val="center"/>
          </w:tcPr>
          <w:p w14:paraId="1A053E6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43.55</w:t>
            </w:r>
          </w:p>
        </w:tc>
      </w:tr>
      <w:tr w:rsidR="0067740A" w14:paraId="32C10321" w14:textId="77777777">
        <w:trPr>
          <w:trHeight w:val="270"/>
        </w:trPr>
        <w:tc>
          <w:tcPr>
            <w:tcW w:w="1602" w:type="pct"/>
            <w:vMerge/>
            <w:tcBorders>
              <w:top w:val="nil"/>
              <w:left w:val="nil"/>
              <w:bottom w:val="nil"/>
              <w:right w:val="nil"/>
            </w:tcBorders>
            <w:shd w:val="clear" w:color="auto" w:fill="FFFFFF"/>
            <w:vAlign w:val="center"/>
          </w:tcPr>
          <w:p w14:paraId="4AD6F9A7"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343467A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Important</w:t>
            </w:r>
          </w:p>
        </w:tc>
        <w:tc>
          <w:tcPr>
            <w:tcW w:w="509" w:type="pct"/>
            <w:tcBorders>
              <w:top w:val="nil"/>
              <w:left w:val="nil"/>
              <w:bottom w:val="nil"/>
              <w:right w:val="nil"/>
            </w:tcBorders>
            <w:shd w:val="clear" w:color="auto" w:fill="FFFFFF"/>
            <w:vAlign w:val="center"/>
          </w:tcPr>
          <w:p w14:paraId="5978CE9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147</w:t>
            </w:r>
          </w:p>
        </w:tc>
        <w:tc>
          <w:tcPr>
            <w:tcW w:w="622" w:type="pct"/>
            <w:tcBorders>
              <w:top w:val="nil"/>
              <w:left w:val="nil"/>
              <w:bottom w:val="nil"/>
              <w:right w:val="nil"/>
            </w:tcBorders>
            <w:shd w:val="clear" w:color="auto" w:fill="FFFFFF"/>
            <w:vAlign w:val="center"/>
          </w:tcPr>
          <w:p w14:paraId="0A9AC37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35.77</w:t>
            </w:r>
          </w:p>
        </w:tc>
        <w:tc>
          <w:tcPr>
            <w:tcW w:w="1276" w:type="pct"/>
            <w:tcBorders>
              <w:top w:val="nil"/>
              <w:left w:val="nil"/>
              <w:bottom w:val="nil"/>
              <w:right w:val="nil"/>
            </w:tcBorders>
            <w:shd w:val="clear" w:color="auto" w:fill="FFFFFF"/>
            <w:vAlign w:val="center"/>
          </w:tcPr>
          <w:p w14:paraId="6E4A483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79.32</w:t>
            </w:r>
          </w:p>
        </w:tc>
      </w:tr>
      <w:tr w:rsidR="0067740A" w14:paraId="7D65299F" w14:textId="77777777">
        <w:trPr>
          <w:trHeight w:val="270"/>
        </w:trPr>
        <w:tc>
          <w:tcPr>
            <w:tcW w:w="1602" w:type="pct"/>
            <w:vMerge/>
            <w:tcBorders>
              <w:top w:val="nil"/>
              <w:left w:val="nil"/>
              <w:bottom w:val="nil"/>
              <w:right w:val="nil"/>
            </w:tcBorders>
            <w:shd w:val="clear" w:color="auto" w:fill="FFFFFF"/>
            <w:vAlign w:val="center"/>
          </w:tcPr>
          <w:p w14:paraId="31A1D5CA" w14:textId="77777777" w:rsidR="0067740A" w:rsidRDefault="0067740A">
            <w:pPr>
              <w:spacing w:line="360" w:lineRule="auto"/>
              <w:jc w:val="center"/>
              <w:rPr>
                <w:rFonts w:ascii="Arial" w:eastAsia="宋体" w:hAnsi="Arial" w:cs="Arial"/>
                <w:color w:val="000000"/>
              </w:rPr>
            </w:pPr>
          </w:p>
        </w:tc>
        <w:tc>
          <w:tcPr>
            <w:tcW w:w="989" w:type="pct"/>
            <w:tcBorders>
              <w:top w:val="nil"/>
              <w:left w:val="nil"/>
              <w:bottom w:val="nil"/>
              <w:right w:val="nil"/>
            </w:tcBorders>
            <w:shd w:val="clear" w:color="auto" w:fill="FFFFFF"/>
            <w:vAlign w:val="center"/>
          </w:tcPr>
          <w:p w14:paraId="2893873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Extremely important</w:t>
            </w:r>
          </w:p>
        </w:tc>
        <w:tc>
          <w:tcPr>
            <w:tcW w:w="509" w:type="pct"/>
            <w:tcBorders>
              <w:top w:val="nil"/>
              <w:left w:val="nil"/>
              <w:bottom w:val="nil"/>
              <w:right w:val="nil"/>
            </w:tcBorders>
            <w:shd w:val="clear" w:color="auto" w:fill="FFFFFF"/>
            <w:vAlign w:val="center"/>
          </w:tcPr>
          <w:p w14:paraId="3EB6305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w:t>
            </w:r>
          </w:p>
        </w:tc>
        <w:tc>
          <w:tcPr>
            <w:tcW w:w="622" w:type="pct"/>
            <w:tcBorders>
              <w:top w:val="nil"/>
              <w:left w:val="nil"/>
              <w:bottom w:val="nil"/>
              <w:right w:val="nil"/>
            </w:tcBorders>
            <w:shd w:val="clear" w:color="auto" w:fill="FFFFFF"/>
            <w:vAlign w:val="center"/>
          </w:tcPr>
          <w:p w14:paraId="6E69C67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20.68</w:t>
            </w:r>
          </w:p>
        </w:tc>
        <w:tc>
          <w:tcPr>
            <w:tcW w:w="1276" w:type="pct"/>
            <w:tcBorders>
              <w:top w:val="nil"/>
              <w:left w:val="nil"/>
              <w:bottom w:val="nil"/>
              <w:right w:val="nil"/>
            </w:tcBorders>
            <w:shd w:val="clear" w:color="auto" w:fill="FFFFFF"/>
            <w:vAlign w:val="center"/>
          </w:tcPr>
          <w:p w14:paraId="6AEF679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9A57B33" w14:textId="77777777">
        <w:trPr>
          <w:trHeight w:val="270"/>
        </w:trPr>
        <w:tc>
          <w:tcPr>
            <w:tcW w:w="2591" w:type="pct"/>
            <w:gridSpan w:val="2"/>
            <w:tcBorders>
              <w:top w:val="nil"/>
              <w:left w:val="nil"/>
              <w:bottom w:val="single" w:sz="8" w:space="0" w:color="auto"/>
              <w:right w:val="nil"/>
            </w:tcBorders>
            <w:shd w:val="clear" w:color="auto" w:fill="FFFFFF"/>
            <w:vAlign w:val="center"/>
          </w:tcPr>
          <w:p w14:paraId="2CFAB40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509" w:type="pct"/>
            <w:tcBorders>
              <w:top w:val="nil"/>
              <w:left w:val="nil"/>
              <w:bottom w:val="single" w:sz="8" w:space="0" w:color="auto"/>
              <w:right w:val="nil"/>
            </w:tcBorders>
            <w:shd w:val="clear" w:color="auto" w:fill="FFFFFF"/>
            <w:vAlign w:val="center"/>
          </w:tcPr>
          <w:p w14:paraId="28D8F60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411</w:t>
            </w:r>
          </w:p>
        </w:tc>
        <w:tc>
          <w:tcPr>
            <w:tcW w:w="622" w:type="pct"/>
            <w:tcBorders>
              <w:top w:val="nil"/>
              <w:left w:val="nil"/>
              <w:bottom w:val="single" w:sz="8" w:space="0" w:color="auto"/>
              <w:right w:val="nil"/>
            </w:tcBorders>
            <w:shd w:val="clear" w:color="auto" w:fill="FFFFFF"/>
            <w:vAlign w:val="center"/>
          </w:tcPr>
          <w:p w14:paraId="2662B4E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c>
          <w:tcPr>
            <w:tcW w:w="1276" w:type="pct"/>
            <w:tcBorders>
              <w:top w:val="nil"/>
              <w:left w:val="nil"/>
              <w:bottom w:val="single" w:sz="8" w:space="0" w:color="auto"/>
              <w:right w:val="nil"/>
            </w:tcBorders>
            <w:shd w:val="clear" w:color="auto" w:fill="FFFFFF"/>
            <w:vAlign w:val="center"/>
          </w:tcPr>
          <w:p w14:paraId="33C28CE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r>
    </w:tbl>
    <w:p w14:paraId="6C742D37" w14:textId="77777777" w:rsidR="0067740A" w:rsidRDefault="00000000">
      <w:pPr>
        <w:pStyle w:val="a6"/>
        <w:spacing w:line="360" w:lineRule="auto"/>
        <w:ind w:left="28" w:firstLine="479"/>
        <w:rPr>
          <w:rFonts w:ascii="Arial" w:hAnsi="Arial" w:cs="Arial"/>
          <w:color w:val="000000"/>
          <w:spacing w:val="-2"/>
        </w:rPr>
      </w:pPr>
      <w:r>
        <w:rPr>
          <w:rFonts w:ascii="Arial" w:hAnsi="Arial" w:cs="Arial"/>
          <w:color w:val="000000"/>
        </w:rPr>
        <w:t>As can be seen from the above table, consumers’ emphasis on different factors shows a diversified trend when buying a car. According to the results of frequency analysis,</w:t>
      </w:r>
      <w:r>
        <w:rPr>
          <w:rFonts w:ascii="Arial" w:hAnsi="Arial" w:cs="Arial"/>
          <w:color w:val="000000"/>
          <w:spacing w:val="-4"/>
        </w:rPr>
        <w:t xml:space="preserve"> </w:t>
      </w:r>
      <w:r>
        <w:rPr>
          <w:rFonts w:ascii="Arial" w:hAnsi="Arial" w:cs="Arial"/>
          <w:color w:val="000000"/>
        </w:rPr>
        <w:t>the</w:t>
      </w:r>
      <w:r>
        <w:rPr>
          <w:rFonts w:ascii="Arial" w:hAnsi="Arial" w:cs="Arial"/>
          <w:color w:val="000000"/>
          <w:spacing w:val="-4"/>
        </w:rPr>
        <w:t xml:space="preserve"> </w:t>
      </w:r>
      <w:r>
        <w:rPr>
          <w:rFonts w:ascii="Arial" w:hAnsi="Arial" w:cs="Arial"/>
          <w:color w:val="000000"/>
        </w:rPr>
        <w:t>total</w:t>
      </w:r>
      <w:r>
        <w:rPr>
          <w:rFonts w:ascii="Arial" w:hAnsi="Arial" w:cs="Arial"/>
          <w:color w:val="000000"/>
          <w:spacing w:val="-4"/>
        </w:rPr>
        <w:t xml:space="preserve"> </w:t>
      </w:r>
      <w:r>
        <w:rPr>
          <w:rFonts w:ascii="Arial" w:hAnsi="Arial" w:cs="Arial"/>
          <w:color w:val="000000"/>
        </w:rPr>
        <w:t>proportion</w:t>
      </w:r>
      <w:r>
        <w:rPr>
          <w:rFonts w:ascii="Arial" w:hAnsi="Arial" w:cs="Arial"/>
          <w:color w:val="000000"/>
          <w:spacing w:val="-4"/>
        </w:rPr>
        <w:t xml:space="preserve"> </w:t>
      </w:r>
      <w:r>
        <w:rPr>
          <w:rFonts w:ascii="Arial" w:hAnsi="Arial" w:cs="Arial"/>
          <w:color w:val="000000"/>
        </w:rPr>
        <w:t>of</w:t>
      </w:r>
      <w:r>
        <w:rPr>
          <w:rFonts w:ascii="Arial" w:hAnsi="Arial" w:cs="Arial"/>
          <w:color w:val="000000"/>
          <w:spacing w:val="-4"/>
        </w:rPr>
        <w:t xml:space="preserve"> </w:t>
      </w:r>
      <w:r>
        <w:rPr>
          <w:rFonts w:ascii="Arial" w:hAnsi="Arial" w:cs="Arial"/>
          <w:color w:val="000000"/>
        </w:rPr>
        <w:t>Price</w:t>
      </w:r>
      <w:r>
        <w:rPr>
          <w:rFonts w:ascii="Arial" w:hAnsi="Arial" w:cs="Arial"/>
          <w:color w:val="000000"/>
          <w:spacing w:val="-5"/>
        </w:rPr>
        <w:t xml:space="preserve"> </w:t>
      </w:r>
      <w:r>
        <w:rPr>
          <w:rFonts w:ascii="Arial" w:hAnsi="Arial" w:cs="Arial"/>
          <w:color w:val="000000"/>
        </w:rPr>
        <w:t>considered</w:t>
      </w:r>
      <w:r>
        <w:rPr>
          <w:rFonts w:ascii="Arial" w:hAnsi="Arial" w:cs="Arial"/>
          <w:color w:val="000000"/>
          <w:spacing w:val="-4"/>
        </w:rPr>
        <w:t xml:space="preserve"> </w:t>
      </w:r>
      <w:r>
        <w:rPr>
          <w:rFonts w:ascii="Arial" w:hAnsi="Arial" w:cs="Arial"/>
          <w:color w:val="000000"/>
        </w:rPr>
        <w:t>as</w:t>
      </w:r>
      <w:r>
        <w:rPr>
          <w:rFonts w:ascii="Arial" w:hAnsi="Arial" w:cs="Arial"/>
          <w:color w:val="000000"/>
          <w:spacing w:val="-4"/>
        </w:rPr>
        <w:t xml:space="preserve"> “</w:t>
      </w:r>
      <w:r>
        <w:rPr>
          <w:rFonts w:ascii="Arial" w:hAnsi="Arial" w:cs="Arial"/>
          <w:color w:val="000000"/>
        </w:rPr>
        <w:t>very</w:t>
      </w:r>
      <w:r>
        <w:rPr>
          <w:rFonts w:ascii="Arial" w:hAnsi="Arial" w:cs="Arial"/>
          <w:color w:val="000000"/>
          <w:spacing w:val="-4"/>
        </w:rPr>
        <w:t xml:space="preserve"> </w:t>
      </w:r>
      <w:r>
        <w:rPr>
          <w:rFonts w:ascii="Arial" w:hAnsi="Arial" w:cs="Arial"/>
          <w:color w:val="000000"/>
        </w:rPr>
        <w:t>important”</w:t>
      </w:r>
      <w:r>
        <w:rPr>
          <w:rFonts w:ascii="Arial" w:hAnsi="Arial" w:cs="Arial"/>
          <w:color w:val="000000"/>
          <w:spacing w:val="-4"/>
        </w:rPr>
        <w:t xml:space="preserve"> </w:t>
      </w:r>
      <w:r>
        <w:rPr>
          <w:rFonts w:ascii="Arial" w:hAnsi="Arial" w:cs="Arial"/>
          <w:color w:val="000000"/>
        </w:rPr>
        <w:t>and</w:t>
      </w:r>
      <w:r>
        <w:rPr>
          <w:rFonts w:ascii="Arial" w:hAnsi="Arial" w:cs="Arial"/>
          <w:color w:val="000000"/>
          <w:spacing w:val="-4"/>
        </w:rPr>
        <w:t xml:space="preserve"> “</w:t>
      </w:r>
      <w:r>
        <w:rPr>
          <w:rFonts w:ascii="Arial" w:hAnsi="Arial" w:cs="Arial"/>
          <w:color w:val="000000"/>
        </w:rPr>
        <w:t>extremely important”</w:t>
      </w:r>
      <w:r>
        <w:rPr>
          <w:rFonts w:ascii="Arial" w:hAnsi="Arial" w:cs="Arial"/>
          <w:color w:val="000000"/>
          <w:spacing w:val="-2"/>
        </w:rPr>
        <w:t xml:space="preserve"> </w:t>
      </w:r>
      <w:r>
        <w:rPr>
          <w:rFonts w:ascii="Arial" w:hAnsi="Arial" w:cs="Arial"/>
          <w:color w:val="000000"/>
        </w:rPr>
        <w:t>is</w:t>
      </w:r>
      <w:r>
        <w:rPr>
          <w:rFonts w:ascii="Arial" w:hAnsi="Arial" w:cs="Arial"/>
          <w:color w:val="000000"/>
          <w:spacing w:val="-1"/>
        </w:rPr>
        <w:t xml:space="preserve"> </w:t>
      </w:r>
      <w:r>
        <w:rPr>
          <w:rFonts w:ascii="Arial" w:hAnsi="Arial" w:cs="Arial"/>
          <w:color w:val="000000"/>
        </w:rPr>
        <w:t>as</w:t>
      </w:r>
      <w:r>
        <w:rPr>
          <w:rFonts w:ascii="Arial" w:hAnsi="Arial" w:cs="Arial"/>
          <w:color w:val="000000"/>
          <w:spacing w:val="-1"/>
        </w:rPr>
        <w:t xml:space="preserve"> </w:t>
      </w:r>
      <w:r>
        <w:rPr>
          <w:rFonts w:ascii="Arial" w:hAnsi="Arial" w:cs="Arial"/>
          <w:color w:val="000000"/>
        </w:rPr>
        <w:t>high</w:t>
      </w:r>
      <w:r>
        <w:rPr>
          <w:rFonts w:ascii="Arial" w:hAnsi="Arial" w:cs="Arial"/>
          <w:color w:val="000000"/>
          <w:spacing w:val="-1"/>
        </w:rPr>
        <w:t xml:space="preserve"> </w:t>
      </w:r>
      <w:r>
        <w:rPr>
          <w:rFonts w:ascii="Arial" w:hAnsi="Arial" w:cs="Arial"/>
          <w:color w:val="000000"/>
        </w:rPr>
        <w:t>as</w:t>
      </w:r>
      <w:r>
        <w:rPr>
          <w:rFonts w:ascii="Arial" w:hAnsi="Arial" w:cs="Arial"/>
          <w:color w:val="000000"/>
          <w:spacing w:val="-2"/>
        </w:rPr>
        <w:t xml:space="preserve"> </w:t>
      </w:r>
      <w:r>
        <w:rPr>
          <w:rFonts w:ascii="Arial" w:hAnsi="Arial" w:cs="Arial"/>
          <w:color w:val="000000"/>
        </w:rPr>
        <w:t>58.39%,</w:t>
      </w:r>
      <w:r>
        <w:rPr>
          <w:rFonts w:ascii="Arial" w:hAnsi="Arial" w:cs="Arial"/>
          <w:color w:val="000000"/>
          <w:spacing w:val="-1"/>
        </w:rPr>
        <w:t xml:space="preserve"> </w:t>
      </w:r>
      <w:r>
        <w:rPr>
          <w:rFonts w:ascii="Arial" w:hAnsi="Arial" w:cs="Arial"/>
          <w:color w:val="000000"/>
        </w:rPr>
        <w:t>which</w:t>
      </w:r>
      <w:r>
        <w:rPr>
          <w:rFonts w:ascii="Arial" w:hAnsi="Arial" w:cs="Arial"/>
          <w:color w:val="000000"/>
          <w:spacing w:val="-1"/>
        </w:rPr>
        <w:t xml:space="preserve"> </w:t>
      </w:r>
      <w:r>
        <w:rPr>
          <w:rFonts w:ascii="Arial" w:hAnsi="Arial" w:cs="Arial"/>
          <w:color w:val="000000"/>
        </w:rPr>
        <w:t>shows</w:t>
      </w:r>
      <w:r>
        <w:rPr>
          <w:rFonts w:ascii="Arial" w:hAnsi="Arial" w:cs="Arial"/>
          <w:color w:val="000000"/>
          <w:spacing w:val="-1"/>
        </w:rPr>
        <w:t xml:space="preserve"> </w:t>
      </w:r>
      <w:r>
        <w:rPr>
          <w:rFonts w:ascii="Arial" w:hAnsi="Arial" w:cs="Arial"/>
          <w:color w:val="000000"/>
        </w:rPr>
        <w:t>the</w:t>
      </w:r>
      <w:r>
        <w:rPr>
          <w:rFonts w:ascii="Arial" w:hAnsi="Arial" w:cs="Arial"/>
          <w:color w:val="000000"/>
          <w:spacing w:val="-1"/>
        </w:rPr>
        <w:t xml:space="preserve"> </w:t>
      </w:r>
      <w:r>
        <w:rPr>
          <w:rFonts w:ascii="Arial" w:hAnsi="Arial" w:cs="Arial"/>
          <w:color w:val="000000"/>
        </w:rPr>
        <w:t>core</w:t>
      </w:r>
      <w:r>
        <w:rPr>
          <w:rFonts w:ascii="Arial" w:hAnsi="Arial" w:cs="Arial"/>
          <w:color w:val="000000"/>
          <w:spacing w:val="-3"/>
        </w:rPr>
        <w:t xml:space="preserve"> </w:t>
      </w:r>
      <w:r>
        <w:rPr>
          <w:rFonts w:ascii="Arial" w:hAnsi="Arial" w:cs="Arial"/>
          <w:color w:val="000000"/>
        </w:rPr>
        <w:t>position</w:t>
      </w:r>
      <w:r>
        <w:rPr>
          <w:rFonts w:ascii="Arial" w:hAnsi="Arial" w:cs="Arial"/>
          <w:color w:val="000000"/>
          <w:spacing w:val="-1"/>
        </w:rPr>
        <w:t xml:space="preserve"> </w:t>
      </w:r>
      <w:r>
        <w:rPr>
          <w:rFonts w:ascii="Arial" w:hAnsi="Arial" w:cs="Arial"/>
          <w:color w:val="000000"/>
        </w:rPr>
        <w:t>of</w:t>
      </w:r>
      <w:r>
        <w:rPr>
          <w:rFonts w:ascii="Arial" w:hAnsi="Arial" w:cs="Arial"/>
          <w:color w:val="000000"/>
          <w:spacing w:val="-2"/>
        </w:rPr>
        <w:t xml:space="preserve"> </w:t>
      </w:r>
      <w:r>
        <w:rPr>
          <w:rFonts w:ascii="Arial" w:hAnsi="Arial" w:cs="Arial"/>
          <w:color w:val="000000"/>
        </w:rPr>
        <w:t>price</w:t>
      </w:r>
      <w:r>
        <w:rPr>
          <w:rFonts w:ascii="Arial" w:hAnsi="Arial" w:cs="Arial"/>
          <w:color w:val="000000"/>
          <w:spacing w:val="-2"/>
        </w:rPr>
        <w:t xml:space="preserve"> </w:t>
      </w:r>
      <w:r>
        <w:rPr>
          <w:rFonts w:ascii="Arial" w:hAnsi="Arial" w:cs="Arial"/>
          <w:color w:val="000000"/>
        </w:rPr>
        <w:t>factor</w:t>
      </w:r>
      <w:r>
        <w:rPr>
          <w:rFonts w:ascii="Arial" w:hAnsi="Arial" w:cs="Arial"/>
          <w:color w:val="000000"/>
          <w:spacing w:val="-2"/>
        </w:rPr>
        <w:t xml:space="preserve"> </w:t>
      </w:r>
      <w:r>
        <w:rPr>
          <w:rFonts w:ascii="Arial" w:hAnsi="Arial" w:cs="Arial"/>
          <w:color w:val="000000"/>
        </w:rPr>
        <w:t>in</w:t>
      </w:r>
      <w:r>
        <w:rPr>
          <w:rFonts w:ascii="Arial" w:hAnsi="Arial" w:cs="Arial"/>
          <w:color w:val="000000"/>
          <w:spacing w:val="-1"/>
        </w:rPr>
        <w:t xml:space="preserve"> </w:t>
      </w:r>
      <w:r>
        <w:rPr>
          <w:rFonts w:ascii="Arial" w:hAnsi="Arial" w:cs="Arial"/>
          <w:color w:val="000000"/>
          <w:spacing w:val="-5"/>
        </w:rPr>
        <w:t xml:space="preserve">car </w:t>
      </w:r>
      <w:r>
        <w:rPr>
          <w:rFonts w:ascii="Arial" w:hAnsi="Arial" w:cs="Arial"/>
          <w:color w:val="000000"/>
        </w:rPr>
        <w:t>buying</w:t>
      </w:r>
      <w:r>
        <w:rPr>
          <w:rFonts w:ascii="Arial" w:hAnsi="Arial" w:cs="Arial"/>
          <w:color w:val="000000"/>
          <w:spacing w:val="-2"/>
        </w:rPr>
        <w:t xml:space="preserve"> </w:t>
      </w:r>
      <w:r>
        <w:rPr>
          <w:rFonts w:ascii="Arial" w:hAnsi="Arial" w:cs="Arial"/>
          <w:color w:val="000000"/>
        </w:rPr>
        <w:t>decision.</w:t>
      </w:r>
      <w:r>
        <w:rPr>
          <w:rFonts w:ascii="Arial" w:hAnsi="Arial" w:cs="Arial"/>
          <w:color w:val="000000"/>
          <w:spacing w:val="-2"/>
        </w:rPr>
        <w:t xml:space="preserve"> </w:t>
      </w:r>
      <w:r>
        <w:rPr>
          <w:rFonts w:ascii="Arial" w:hAnsi="Arial" w:cs="Arial"/>
          <w:color w:val="000000"/>
        </w:rPr>
        <w:t>Followed</w:t>
      </w:r>
      <w:r>
        <w:rPr>
          <w:rFonts w:ascii="Arial" w:hAnsi="Arial" w:cs="Arial"/>
          <w:color w:val="000000"/>
          <w:spacing w:val="-2"/>
        </w:rPr>
        <w:t xml:space="preserve"> </w:t>
      </w:r>
      <w:r>
        <w:rPr>
          <w:rFonts w:ascii="Arial" w:hAnsi="Arial" w:cs="Arial"/>
          <w:color w:val="000000"/>
        </w:rPr>
        <w:t>by</w:t>
      </w:r>
      <w:r>
        <w:rPr>
          <w:rFonts w:ascii="Arial" w:hAnsi="Arial" w:cs="Arial"/>
          <w:color w:val="000000"/>
          <w:spacing w:val="-2"/>
        </w:rPr>
        <w:t xml:space="preserve"> </w:t>
      </w:r>
      <w:r>
        <w:rPr>
          <w:rFonts w:ascii="Arial" w:hAnsi="Arial" w:cs="Arial"/>
          <w:color w:val="000000"/>
        </w:rPr>
        <w:t>Brand</w:t>
      </w:r>
      <w:r>
        <w:rPr>
          <w:rFonts w:ascii="Arial" w:hAnsi="Arial" w:cs="Arial"/>
          <w:color w:val="000000"/>
          <w:spacing w:val="-1"/>
        </w:rPr>
        <w:t xml:space="preserve"> </w:t>
      </w:r>
      <w:r>
        <w:rPr>
          <w:rFonts w:ascii="Arial" w:hAnsi="Arial" w:cs="Arial"/>
          <w:color w:val="000000"/>
        </w:rPr>
        <w:t>Reputation,</w:t>
      </w:r>
      <w:r>
        <w:rPr>
          <w:rFonts w:ascii="Arial" w:hAnsi="Arial" w:cs="Arial"/>
          <w:color w:val="000000"/>
          <w:spacing w:val="-2"/>
        </w:rPr>
        <w:t xml:space="preserve"> </w:t>
      </w:r>
      <w:r>
        <w:rPr>
          <w:rFonts w:ascii="Arial" w:hAnsi="Arial" w:cs="Arial"/>
          <w:color w:val="000000"/>
        </w:rPr>
        <w:t>the</w:t>
      </w:r>
      <w:r>
        <w:rPr>
          <w:rFonts w:ascii="Arial" w:hAnsi="Arial" w:cs="Arial"/>
          <w:color w:val="000000"/>
          <w:spacing w:val="-3"/>
        </w:rPr>
        <w:t xml:space="preserve"> </w:t>
      </w:r>
      <w:r>
        <w:rPr>
          <w:rFonts w:ascii="Arial" w:hAnsi="Arial" w:cs="Arial"/>
          <w:color w:val="000000"/>
        </w:rPr>
        <w:t>combined</w:t>
      </w:r>
      <w:r>
        <w:rPr>
          <w:rFonts w:ascii="Arial" w:hAnsi="Arial" w:cs="Arial"/>
          <w:color w:val="000000"/>
          <w:spacing w:val="-2"/>
        </w:rPr>
        <w:t xml:space="preserve"> </w:t>
      </w:r>
      <w:r>
        <w:rPr>
          <w:rFonts w:ascii="Arial" w:hAnsi="Arial" w:cs="Arial"/>
          <w:color w:val="000000"/>
        </w:rPr>
        <w:t>proportion</w:t>
      </w:r>
      <w:r>
        <w:rPr>
          <w:rFonts w:ascii="Arial" w:hAnsi="Arial" w:cs="Arial"/>
          <w:color w:val="000000"/>
          <w:spacing w:val="1"/>
        </w:rPr>
        <w:t xml:space="preserve"> </w:t>
      </w:r>
      <w:r>
        <w:rPr>
          <w:rFonts w:ascii="Arial" w:hAnsi="Arial" w:cs="Arial"/>
          <w:color w:val="000000"/>
        </w:rPr>
        <w:t>of</w:t>
      </w:r>
      <w:r>
        <w:rPr>
          <w:rFonts w:ascii="Arial" w:hAnsi="Arial" w:cs="Arial"/>
          <w:color w:val="000000"/>
          <w:spacing w:val="-2"/>
        </w:rPr>
        <w:t xml:space="preserve"> “very important” and “extremely important” reached 53.99%, indicating that brand also has an important impact on consumers’ choice of car purchase.</w:t>
      </w:r>
    </w:p>
    <w:p w14:paraId="3FF78114" w14:textId="77777777" w:rsidR="0067740A" w:rsidRDefault="00000000">
      <w:pPr>
        <w:pStyle w:val="a6"/>
        <w:spacing w:line="360" w:lineRule="auto"/>
        <w:ind w:left="28" w:firstLine="479"/>
        <w:rPr>
          <w:rFonts w:ascii="Arial" w:hAnsi="Arial" w:cs="Arial"/>
        </w:rPr>
      </w:pPr>
      <w:r>
        <w:rPr>
          <w:rFonts w:ascii="Arial" w:hAnsi="Arial" w:cs="Arial"/>
        </w:rPr>
        <w:t>In terms of Environmental protection and sustainability, Fuel Efficiency and Environmental</w:t>
      </w:r>
      <w:r>
        <w:rPr>
          <w:rFonts w:ascii="Arial" w:hAnsi="Arial" w:cs="Arial"/>
          <w:spacing w:val="-11"/>
        </w:rPr>
        <w:t xml:space="preserve"> </w:t>
      </w:r>
      <w:r>
        <w:rPr>
          <w:rFonts w:ascii="Arial" w:hAnsi="Arial" w:cs="Arial"/>
        </w:rPr>
        <w:t>Impact</w:t>
      </w:r>
      <w:r>
        <w:rPr>
          <w:rFonts w:ascii="Arial" w:hAnsi="Arial" w:cs="Arial"/>
          <w:spacing w:val="-13"/>
        </w:rPr>
        <w:t xml:space="preserve"> </w:t>
      </w:r>
      <w:r>
        <w:rPr>
          <w:rFonts w:ascii="Arial" w:hAnsi="Arial" w:cs="Arial"/>
        </w:rPr>
        <w:t>were</w:t>
      </w:r>
      <w:r>
        <w:rPr>
          <w:rFonts w:ascii="Arial" w:hAnsi="Arial" w:cs="Arial"/>
          <w:spacing w:val="-13"/>
        </w:rPr>
        <w:t xml:space="preserve"> </w:t>
      </w:r>
      <w:r>
        <w:rPr>
          <w:rFonts w:ascii="Arial" w:hAnsi="Arial" w:cs="Arial"/>
        </w:rPr>
        <w:t>also</w:t>
      </w:r>
      <w:r>
        <w:rPr>
          <w:rFonts w:ascii="Arial" w:hAnsi="Arial" w:cs="Arial"/>
          <w:spacing w:val="-12"/>
        </w:rPr>
        <w:t xml:space="preserve"> </w:t>
      </w:r>
      <w:r>
        <w:rPr>
          <w:rFonts w:ascii="Arial" w:hAnsi="Arial" w:cs="Arial"/>
        </w:rPr>
        <w:t>considered</w:t>
      </w:r>
      <w:r>
        <w:rPr>
          <w:rFonts w:ascii="Arial" w:hAnsi="Arial" w:cs="Arial"/>
          <w:spacing w:val="-11"/>
        </w:rPr>
        <w:t xml:space="preserve"> </w:t>
      </w:r>
      <w:r>
        <w:rPr>
          <w:rFonts w:ascii="Arial" w:hAnsi="Arial" w:cs="Arial"/>
        </w:rPr>
        <w:t>important</w:t>
      </w:r>
      <w:r>
        <w:rPr>
          <w:rFonts w:ascii="Arial" w:hAnsi="Arial" w:cs="Arial"/>
          <w:spacing w:val="-13"/>
        </w:rPr>
        <w:t xml:space="preserve"> </w:t>
      </w:r>
      <w:r>
        <w:rPr>
          <w:rFonts w:ascii="Arial" w:hAnsi="Arial" w:cs="Arial"/>
        </w:rPr>
        <w:t>factors</w:t>
      </w:r>
      <w:r>
        <w:rPr>
          <w:rFonts w:ascii="Arial" w:hAnsi="Arial" w:cs="Arial"/>
          <w:spacing w:val="-14"/>
        </w:rPr>
        <w:t xml:space="preserve"> </w:t>
      </w:r>
      <w:r>
        <w:rPr>
          <w:rFonts w:ascii="Arial" w:hAnsi="Arial" w:cs="Arial"/>
        </w:rPr>
        <w:t>by</w:t>
      </w:r>
      <w:r>
        <w:rPr>
          <w:rFonts w:ascii="Arial" w:hAnsi="Arial" w:cs="Arial"/>
          <w:spacing w:val="-13"/>
        </w:rPr>
        <w:t xml:space="preserve"> </w:t>
      </w:r>
      <w:r>
        <w:rPr>
          <w:rFonts w:ascii="Arial" w:hAnsi="Arial" w:cs="Arial"/>
        </w:rPr>
        <w:t>most</w:t>
      </w:r>
      <w:r>
        <w:rPr>
          <w:rFonts w:ascii="Arial" w:hAnsi="Arial" w:cs="Arial"/>
          <w:spacing w:val="-10"/>
        </w:rPr>
        <w:t xml:space="preserve"> </w:t>
      </w:r>
      <w:r>
        <w:rPr>
          <w:rFonts w:ascii="Arial" w:hAnsi="Arial" w:cs="Arial"/>
        </w:rPr>
        <w:t>consumers,</w:t>
      </w:r>
      <w:r>
        <w:rPr>
          <w:rFonts w:ascii="Arial" w:hAnsi="Arial" w:cs="Arial"/>
          <w:spacing w:val="-13"/>
        </w:rPr>
        <w:t xml:space="preserve"> </w:t>
      </w:r>
      <w:r>
        <w:rPr>
          <w:rFonts w:ascii="Arial" w:hAnsi="Arial" w:cs="Arial"/>
        </w:rPr>
        <w:t>with both “very important” and “extremely important” combined accounting for more than 50%.</w:t>
      </w:r>
      <w:r>
        <w:rPr>
          <w:rFonts w:ascii="Arial" w:hAnsi="Arial" w:cs="Arial"/>
          <w:spacing w:val="-6"/>
        </w:rPr>
        <w:t xml:space="preserve"> </w:t>
      </w:r>
      <w:r>
        <w:rPr>
          <w:rFonts w:ascii="Arial" w:hAnsi="Arial" w:cs="Arial"/>
        </w:rPr>
        <w:t>Environmental impact</w:t>
      </w:r>
      <w:proofErr w:type="gramStart"/>
      <w:r>
        <w:rPr>
          <w:rFonts w:ascii="Arial" w:hAnsi="Arial" w:cs="Arial"/>
        </w:rPr>
        <w:t>, in particular, is</w:t>
      </w:r>
      <w:proofErr w:type="gramEnd"/>
      <w:r>
        <w:rPr>
          <w:rFonts w:ascii="Arial" w:hAnsi="Arial" w:cs="Arial"/>
        </w:rPr>
        <w:t xml:space="preserve"> gaining importance as consumer awareness of sustainability grows.</w:t>
      </w:r>
    </w:p>
    <w:p w14:paraId="151FBDE6" w14:textId="77777777" w:rsidR="0067740A" w:rsidRDefault="00000000">
      <w:pPr>
        <w:pStyle w:val="a6"/>
        <w:spacing w:line="360" w:lineRule="auto"/>
        <w:ind w:left="28" w:firstLine="479"/>
        <w:rPr>
          <w:rFonts w:ascii="Arial" w:hAnsi="Arial" w:cs="Arial"/>
          <w:spacing w:val="-2"/>
        </w:rPr>
      </w:pPr>
      <w:r>
        <w:rPr>
          <w:rFonts w:ascii="Arial" w:hAnsi="Arial" w:cs="Arial"/>
        </w:rPr>
        <w:t>Safety features, a critical aspect of vehicle purchase, have garnered significant attention from consumers.</w:t>
      </w:r>
      <w:r>
        <w:rPr>
          <w:rFonts w:ascii="Arial" w:hAnsi="Arial" w:cs="Arial"/>
          <w:lang w:eastAsia="zh-CN"/>
        </w:rPr>
        <w:t xml:space="preserve"> </w:t>
      </w:r>
      <w:r>
        <w:rPr>
          <w:rFonts w:ascii="Arial" w:hAnsi="Arial" w:cs="Arial"/>
        </w:rPr>
        <w:t>More</w:t>
      </w:r>
      <w:r>
        <w:rPr>
          <w:rFonts w:ascii="Arial" w:hAnsi="Arial" w:cs="Arial"/>
          <w:spacing w:val="-5"/>
        </w:rPr>
        <w:t xml:space="preserve"> </w:t>
      </w:r>
      <w:r>
        <w:rPr>
          <w:rFonts w:ascii="Arial" w:hAnsi="Arial" w:cs="Arial"/>
        </w:rPr>
        <w:t>than</w:t>
      </w:r>
      <w:r>
        <w:rPr>
          <w:rFonts w:ascii="Arial" w:hAnsi="Arial" w:cs="Arial"/>
          <w:spacing w:val="-3"/>
        </w:rPr>
        <w:t xml:space="preserve"> </w:t>
      </w:r>
      <w:r>
        <w:rPr>
          <w:rFonts w:ascii="Arial" w:hAnsi="Arial" w:cs="Arial"/>
        </w:rPr>
        <w:t>half</w:t>
      </w:r>
      <w:r>
        <w:rPr>
          <w:rFonts w:ascii="Arial" w:hAnsi="Arial" w:cs="Arial"/>
          <w:spacing w:val="-4"/>
        </w:rPr>
        <w:t xml:space="preserve"> </w:t>
      </w:r>
      <w:r>
        <w:rPr>
          <w:rFonts w:ascii="Arial" w:hAnsi="Arial" w:cs="Arial"/>
        </w:rPr>
        <w:t>of</w:t>
      </w:r>
      <w:r>
        <w:rPr>
          <w:rFonts w:ascii="Arial" w:hAnsi="Arial" w:cs="Arial"/>
          <w:spacing w:val="-5"/>
        </w:rPr>
        <w:t xml:space="preserve"> </w:t>
      </w:r>
      <w:r>
        <w:rPr>
          <w:rFonts w:ascii="Arial" w:hAnsi="Arial" w:cs="Arial"/>
        </w:rPr>
        <w:t>the</w:t>
      </w:r>
      <w:r>
        <w:rPr>
          <w:rFonts w:ascii="Arial" w:hAnsi="Arial" w:cs="Arial"/>
          <w:spacing w:val="-4"/>
        </w:rPr>
        <w:t xml:space="preserve"> </w:t>
      </w:r>
      <w:r>
        <w:rPr>
          <w:rFonts w:ascii="Arial" w:hAnsi="Arial" w:cs="Arial"/>
        </w:rPr>
        <w:t>respondents</w:t>
      </w:r>
      <w:r>
        <w:rPr>
          <w:rFonts w:ascii="Arial" w:hAnsi="Arial" w:cs="Arial"/>
          <w:spacing w:val="-4"/>
        </w:rPr>
        <w:t xml:space="preserve"> </w:t>
      </w:r>
      <w:r>
        <w:rPr>
          <w:rFonts w:ascii="Arial" w:hAnsi="Arial" w:cs="Arial"/>
        </w:rPr>
        <w:t>rated</w:t>
      </w:r>
      <w:r>
        <w:rPr>
          <w:rFonts w:ascii="Arial" w:hAnsi="Arial" w:cs="Arial"/>
          <w:spacing w:val="-4"/>
        </w:rPr>
        <w:t xml:space="preserve"> </w:t>
      </w:r>
      <w:r>
        <w:rPr>
          <w:rFonts w:ascii="Arial" w:hAnsi="Arial" w:cs="Arial"/>
        </w:rPr>
        <w:t xml:space="preserve">safety features as “very important” or “extremely important”, accounting for 52.31% of the </w:t>
      </w:r>
      <w:r>
        <w:rPr>
          <w:rFonts w:ascii="Arial" w:hAnsi="Arial" w:cs="Arial"/>
          <w:spacing w:val="-2"/>
        </w:rPr>
        <w:t>total.</w:t>
      </w:r>
    </w:p>
    <w:p w14:paraId="7DC4EE07" w14:textId="77777777" w:rsidR="0067740A" w:rsidRDefault="00000000">
      <w:pPr>
        <w:pStyle w:val="a6"/>
        <w:spacing w:line="360" w:lineRule="auto"/>
        <w:ind w:left="28" w:firstLine="479"/>
        <w:rPr>
          <w:rFonts w:ascii="Arial" w:hAnsi="Arial" w:cs="Arial"/>
        </w:rPr>
      </w:pPr>
      <w:r>
        <w:rPr>
          <w:rFonts w:ascii="Arial" w:hAnsi="Arial" w:cs="Arial"/>
        </w:rPr>
        <w:t xml:space="preserve">In addition, Technological Innovation, such as autonomous driving and car </w:t>
      </w:r>
      <w:r>
        <w:rPr>
          <w:rFonts w:ascii="Arial" w:hAnsi="Arial" w:cs="Arial"/>
        </w:rPr>
        <w:lastRenderedPageBreak/>
        <w:t>networking</w:t>
      </w:r>
      <w:r>
        <w:rPr>
          <w:rFonts w:ascii="Arial" w:hAnsi="Arial" w:cs="Arial"/>
          <w:spacing w:val="-11"/>
        </w:rPr>
        <w:t xml:space="preserve"> </w:t>
      </w:r>
      <w:r>
        <w:rPr>
          <w:rFonts w:ascii="Arial" w:hAnsi="Arial" w:cs="Arial"/>
        </w:rPr>
        <w:t>and</w:t>
      </w:r>
      <w:r>
        <w:rPr>
          <w:rFonts w:ascii="Arial" w:hAnsi="Arial" w:cs="Arial"/>
          <w:spacing w:val="-12"/>
        </w:rPr>
        <w:t xml:space="preserve"> </w:t>
      </w:r>
      <w:r>
        <w:rPr>
          <w:rFonts w:ascii="Arial" w:hAnsi="Arial" w:cs="Arial"/>
        </w:rPr>
        <w:t>other</w:t>
      </w:r>
      <w:r>
        <w:rPr>
          <w:rFonts w:ascii="Arial" w:hAnsi="Arial" w:cs="Arial"/>
          <w:spacing w:val="-13"/>
        </w:rPr>
        <w:t xml:space="preserve"> </w:t>
      </w:r>
      <w:r>
        <w:rPr>
          <w:rFonts w:ascii="Arial" w:hAnsi="Arial" w:cs="Arial"/>
        </w:rPr>
        <w:t>new</w:t>
      </w:r>
      <w:r>
        <w:rPr>
          <w:rFonts w:ascii="Arial" w:hAnsi="Arial" w:cs="Arial"/>
          <w:spacing w:val="-12"/>
        </w:rPr>
        <w:t xml:space="preserve"> </w:t>
      </w:r>
      <w:r>
        <w:rPr>
          <w:rFonts w:ascii="Arial" w:hAnsi="Arial" w:cs="Arial"/>
        </w:rPr>
        <w:t>functions</w:t>
      </w:r>
      <w:r>
        <w:rPr>
          <w:rFonts w:ascii="Arial" w:hAnsi="Arial" w:cs="Arial"/>
          <w:spacing w:val="-11"/>
        </w:rPr>
        <w:t xml:space="preserve"> </w:t>
      </w:r>
      <w:r>
        <w:rPr>
          <w:rFonts w:ascii="Arial" w:hAnsi="Arial" w:cs="Arial"/>
        </w:rPr>
        <w:t>have</w:t>
      </w:r>
      <w:r>
        <w:rPr>
          <w:rFonts w:ascii="Arial" w:hAnsi="Arial" w:cs="Arial"/>
          <w:spacing w:val="-13"/>
        </w:rPr>
        <w:t xml:space="preserve"> </w:t>
      </w:r>
      <w:r>
        <w:rPr>
          <w:rFonts w:ascii="Arial" w:hAnsi="Arial" w:cs="Arial"/>
        </w:rPr>
        <w:t>gradually</w:t>
      </w:r>
      <w:r>
        <w:rPr>
          <w:rFonts w:ascii="Arial" w:hAnsi="Arial" w:cs="Arial"/>
          <w:spacing w:val="-12"/>
        </w:rPr>
        <w:t xml:space="preserve"> </w:t>
      </w:r>
      <w:r>
        <w:rPr>
          <w:rFonts w:ascii="Arial" w:hAnsi="Arial" w:cs="Arial"/>
        </w:rPr>
        <w:t>become</w:t>
      </w:r>
      <w:r>
        <w:rPr>
          <w:rFonts w:ascii="Arial" w:hAnsi="Arial" w:cs="Arial"/>
          <w:spacing w:val="-12"/>
        </w:rPr>
        <w:t xml:space="preserve"> </w:t>
      </w:r>
      <w:r>
        <w:rPr>
          <w:rFonts w:ascii="Arial" w:hAnsi="Arial" w:cs="Arial"/>
        </w:rPr>
        <w:t>an</w:t>
      </w:r>
      <w:r>
        <w:rPr>
          <w:rFonts w:ascii="Arial" w:hAnsi="Arial" w:cs="Arial"/>
          <w:spacing w:val="-12"/>
        </w:rPr>
        <w:t xml:space="preserve"> </w:t>
      </w:r>
      <w:r>
        <w:rPr>
          <w:rFonts w:ascii="Arial" w:hAnsi="Arial" w:cs="Arial"/>
        </w:rPr>
        <w:t>important</w:t>
      </w:r>
      <w:r>
        <w:rPr>
          <w:rFonts w:ascii="Arial" w:hAnsi="Arial" w:cs="Arial"/>
          <w:spacing w:val="-11"/>
        </w:rPr>
        <w:t xml:space="preserve"> </w:t>
      </w:r>
      <w:r>
        <w:rPr>
          <w:rFonts w:ascii="Arial" w:hAnsi="Arial" w:cs="Arial"/>
        </w:rPr>
        <w:t>consideration for consumers when buying cars, the “very important” and “extremely important” combined accounted for 56.45%, showing consumers’ expectations and pursuit of automotive technology innovation.</w:t>
      </w:r>
    </w:p>
    <w:p w14:paraId="06EC7BB5" w14:textId="77777777" w:rsidR="0067740A" w:rsidRDefault="00000000">
      <w:pPr>
        <w:pStyle w:val="a6"/>
        <w:spacing w:line="360" w:lineRule="auto"/>
        <w:ind w:left="28" w:firstLine="479"/>
        <w:rPr>
          <w:rFonts w:ascii="Arial" w:hAnsi="Arial" w:cs="Arial"/>
          <w:lang w:eastAsia="zh-CN"/>
        </w:rPr>
      </w:pPr>
      <w:r>
        <w:rPr>
          <w:rFonts w:ascii="Arial" w:hAnsi="Arial" w:cs="Arial"/>
        </w:rPr>
        <w:t>It</w:t>
      </w:r>
      <w:r>
        <w:rPr>
          <w:rFonts w:ascii="Arial" w:hAnsi="Arial" w:cs="Arial"/>
          <w:spacing w:val="-10"/>
        </w:rPr>
        <w:t xml:space="preserve"> </w:t>
      </w:r>
      <w:r>
        <w:rPr>
          <w:rFonts w:ascii="Arial" w:hAnsi="Arial" w:cs="Arial"/>
        </w:rPr>
        <w:t>is</w:t>
      </w:r>
      <w:r>
        <w:rPr>
          <w:rFonts w:ascii="Arial" w:hAnsi="Arial" w:cs="Arial"/>
          <w:spacing w:val="-10"/>
        </w:rPr>
        <w:t xml:space="preserve"> </w:t>
      </w:r>
      <w:r>
        <w:rPr>
          <w:rFonts w:ascii="Arial" w:hAnsi="Arial" w:cs="Arial"/>
        </w:rPr>
        <w:t>worth</w:t>
      </w:r>
      <w:r>
        <w:rPr>
          <w:rFonts w:ascii="Arial" w:hAnsi="Arial" w:cs="Arial"/>
          <w:spacing w:val="-10"/>
        </w:rPr>
        <w:t xml:space="preserve"> </w:t>
      </w:r>
      <w:r>
        <w:rPr>
          <w:rFonts w:ascii="Arial" w:hAnsi="Arial" w:cs="Arial"/>
        </w:rPr>
        <w:t>noting</w:t>
      </w:r>
      <w:r>
        <w:rPr>
          <w:rFonts w:ascii="Arial" w:hAnsi="Arial" w:cs="Arial"/>
          <w:spacing w:val="-11"/>
        </w:rPr>
        <w:t xml:space="preserve"> </w:t>
      </w:r>
      <w:r>
        <w:rPr>
          <w:rFonts w:ascii="Arial" w:hAnsi="Arial" w:cs="Arial"/>
        </w:rPr>
        <w:t>that</w:t>
      </w:r>
      <w:r>
        <w:rPr>
          <w:rFonts w:ascii="Arial" w:hAnsi="Arial" w:cs="Arial"/>
          <w:spacing w:val="-11"/>
        </w:rPr>
        <w:t xml:space="preserve"> </w:t>
      </w:r>
      <w:r>
        <w:rPr>
          <w:rFonts w:ascii="Arial" w:hAnsi="Arial" w:cs="Arial"/>
        </w:rPr>
        <w:t>there</w:t>
      </w:r>
      <w:r>
        <w:rPr>
          <w:rFonts w:ascii="Arial" w:hAnsi="Arial" w:cs="Arial"/>
          <w:spacing w:val="-12"/>
        </w:rPr>
        <w:t xml:space="preserve"> </w:t>
      </w:r>
      <w:r>
        <w:rPr>
          <w:rFonts w:ascii="Arial" w:hAnsi="Arial" w:cs="Arial"/>
        </w:rPr>
        <w:t>are</w:t>
      </w:r>
      <w:r>
        <w:rPr>
          <w:rFonts w:ascii="Arial" w:hAnsi="Arial" w:cs="Arial"/>
          <w:spacing w:val="-12"/>
        </w:rPr>
        <w:t xml:space="preserve"> </w:t>
      </w:r>
      <w:r>
        <w:rPr>
          <w:rFonts w:ascii="Arial" w:hAnsi="Arial" w:cs="Arial"/>
        </w:rPr>
        <w:t>still</w:t>
      </w:r>
      <w:r>
        <w:rPr>
          <w:rFonts w:ascii="Arial" w:hAnsi="Arial" w:cs="Arial"/>
          <w:spacing w:val="-10"/>
        </w:rPr>
        <w:t xml:space="preserve"> </w:t>
      </w:r>
      <w:r>
        <w:rPr>
          <w:rFonts w:ascii="Arial" w:hAnsi="Arial" w:cs="Arial"/>
        </w:rPr>
        <w:t>some</w:t>
      </w:r>
      <w:r>
        <w:rPr>
          <w:rFonts w:ascii="Arial" w:hAnsi="Arial" w:cs="Arial"/>
          <w:spacing w:val="-11"/>
        </w:rPr>
        <w:t xml:space="preserve"> </w:t>
      </w:r>
      <w:r>
        <w:rPr>
          <w:rFonts w:ascii="Arial" w:hAnsi="Arial" w:cs="Arial"/>
        </w:rPr>
        <w:t>consumers</w:t>
      </w:r>
      <w:r>
        <w:rPr>
          <w:rFonts w:ascii="Arial" w:hAnsi="Arial" w:cs="Arial"/>
          <w:spacing w:val="-11"/>
        </w:rPr>
        <w:t xml:space="preserve"> </w:t>
      </w:r>
      <w:r>
        <w:rPr>
          <w:rFonts w:ascii="Arial" w:hAnsi="Arial" w:cs="Arial"/>
        </w:rPr>
        <w:t>for</w:t>
      </w:r>
      <w:r>
        <w:rPr>
          <w:rFonts w:ascii="Arial" w:hAnsi="Arial" w:cs="Arial"/>
          <w:spacing w:val="-12"/>
        </w:rPr>
        <w:t xml:space="preserve"> </w:t>
      </w:r>
      <w:r>
        <w:rPr>
          <w:rFonts w:ascii="Arial" w:hAnsi="Arial" w:cs="Arial"/>
        </w:rPr>
        <w:t>some</w:t>
      </w:r>
      <w:r>
        <w:rPr>
          <w:rFonts w:ascii="Arial" w:hAnsi="Arial" w:cs="Arial"/>
          <w:spacing w:val="-11"/>
        </w:rPr>
        <w:t xml:space="preserve"> </w:t>
      </w:r>
      <w:r>
        <w:rPr>
          <w:rFonts w:ascii="Arial" w:hAnsi="Arial" w:cs="Arial"/>
        </w:rPr>
        <w:t>car</w:t>
      </w:r>
      <w:r>
        <w:rPr>
          <w:rFonts w:ascii="Arial" w:hAnsi="Arial" w:cs="Arial"/>
          <w:spacing w:val="-11"/>
        </w:rPr>
        <w:t xml:space="preserve"> </w:t>
      </w:r>
      <w:r>
        <w:rPr>
          <w:rFonts w:ascii="Arial" w:hAnsi="Arial" w:cs="Arial"/>
        </w:rPr>
        <w:t>purchase</w:t>
      </w:r>
      <w:r>
        <w:rPr>
          <w:rFonts w:ascii="Arial" w:hAnsi="Arial" w:cs="Arial"/>
          <w:spacing w:val="-11"/>
        </w:rPr>
        <w:t xml:space="preserve"> </w:t>
      </w:r>
      <w:r>
        <w:rPr>
          <w:rFonts w:ascii="Arial" w:hAnsi="Arial" w:cs="Arial"/>
        </w:rPr>
        <w:t xml:space="preserve">factors </w:t>
      </w:r>
      <w:proofErr w:type="gramStart"/>
      <w:r>
        <w:rPr>
          <w:rFonts w:ascii="Arial" w:hAnsi="Arial" w:cs="Arial"/>
        </w:rPr>
        <w:t>said</w:t>
      </w:r>
      <w:proofErr w:type="gramEnd"/>
      <w:r>
        <w:rPr>
          <w:rFonts w:ascii="Arial" w:hAnsi="Arial" w:cs="Arial"/>
        </w:rPr>
        <w:t xml:space="preserve"> “do not understand” or think that it is “not important”, which suggests that car manufacturers need to cover consumer demand more comprehensively in the promotion and marketing process, while strengthening the publicity and education of new technologies and new ideas.</w:t>
      </w:r>
    </w:p>
    <w:tbl>
      <w:tblPr>
        <w:tblW w:w="5000" w:type="pct"/>
        <w:shd w:val="clear" w:color="auto" w:fill="FFFFFF"/>
        <w:tblLayout w:type="fixed"/>
        <w:tblCellMar>
          <w:left w:w="0" w:type="dxa"/>
          <w:right w:w="0" w:type="dxa"/>
        </w:tblCellMar>
        <w:tblLook w:val="04A0" w:firstRow="1" w:lastRow="0" w:firstColumn="1" w:lastColumn="0" w:noHBand="0" w:noVBand="1"/>
      </w:tblPr>
      <w:tblGrid>
        <w:gridCol w:w="3111"/>
        <w:gridCol w:w="1329"/>
        <w:gridCol w:w="1204"/>
        <w:gridCol w:w="1438"/>
        <w:gridCol w:w="2278"/>
      </w:tblGrid>
      <w:tr w:rsidR="0067740A" w14:paraId="2BB735FD" w14:textId="77777777">
        <w:trPr>
          <w:trHeight w:val="270"/>
          <w:tblHeader/>
        </w:trPr>
        <w:tc>
          <w:tcPr>
            <w:tcW w:w="5000" w:type="pct"/>
            <w:gridSpan w:val="5"/>
            <w:tcBorders>
              <w:bottom w:val="single" w:sz="8" w:space="0" w:color="auto"/>
            </w:tcBorders>
            <w:shd w:val="clear" w:color="auto" w:fill="FFFFFF"/>
            <w:vAlign w:val="center"/>
          </w:tcPr>
          <w:p w14:paraId="3952774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Frequency Analysis Results</w:t>
            </w:r>
          </w:p>
        </w:tc>
      </w:tr>
      <w:tr w:rsidR="0067740A" w14:paraId="45747279" w14:textId="77777777">
        <w:trPr>
          <w:trHeight w:val="270"/>
          <w:tblHeader/>
        </w:trPr>
        <w:tc>
          <w:tcPr>
            <w:tcW w:w="1662" w:type="pct"/>
            <w:tcBorders>
              <w:bottom w:val="single" w:sz="4" w:space="0" w:color="auto"/>
            </w:tcBorders>
            <w:shd w:val="clear" w:color="auto" w:fill="FFFFFF"/>
            <w:vAlign w:val="center"/>
          </w:tcPr>
          <w:p w14:paraId="2E9EF82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Name</w:t>
            </w:r>
          </w:p>
        </w:tc>
        <w:tc>
          <w:tcPr>
            <w:tcW w:w="710" w:type="pct"/>
            <w:tcBorders>
              <w:bottom w:val="single" w:sz="4" w:space="0" w:color="auto"/>
            </w:tcBorders>
            <w:shd w:val="clear" w:color="auto" w:fill="FFFFFF"/>
            <w:vAlign w:val="center"/>
          </w:tcPr>
          <w:p w14:paraId="23A3212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Options</w:t>
            </w:r>
          </w:p>
        </w:tc>
        <w:tc>
          <w:tcPr>
            <w:tcW w:w="643" w:type="pct"/>
            <w:tcBorders>
              <w:bottom w:val="single" w:sz="4" w:space="0" w:color="auto"/>
            </w:tcBorders>
            <w:shd w:val="clear" w:color="auto" w:fill="FFFFFF"/>
            <w:vAlign w:val="center"/>
          </w:tcPr>
          <w:p w14:paraId="443B89F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Frequency</w:t>
            </w:r>
          </w:p>
        </w:tc>
        <w:tc>
          <w:tcPr>
            <w:tcW w:w="768" w:type="pct"/>
            <w:tcBorders>
              <w:bottom w:val="single" w:sz="4" w:space="0" w:color="auto"/>
            </w:tcBorders>
            <w:shd w:val="clear" w:color="auto" w:fill="FFFFFF"/>
            <w:vAlign w:val="center"/>
          </w:tcPr>
          <w:p w14:paraId="3B29B14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Percentage(%)</w:t>
            </w:r>
          </w:p>
        </w:tc>
        <w:tc>
          <w:tcPr>
            <w:tcW w:w="1215" w:type="pct"/>
            <w:tcBorders>
              <w:bottom w:val="single" w:sz="4" w:space="0" w:color="auto"/>
            </w:tcBorders>
            <w:shd w:val="clear" w:color="auto" w:fill="FFFFFF"/>
            <w:vAlign w:val="center"/>
          </w:tcPr>
          <w:p w14:paraId="4983197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Cumulative Percentage(%)</w:t>
            </w:r>
          </w:p>
        </w:tc>
      </w:tr>
      <w:tr w:rsidR="0067740A" w14:paraId="759D65CC" w14:textId="77777777">
        <w:trPr>
          <w:trHeight w:val="270"/>
        </w:trPr>
        <w:tc>
          <w:tcPr>
            <w:tcW w:w="1662" w:type="pct"/>
            <w:vMerge w:val="restart"/>
            <w:tcBorders>
              <w:top w:val="nil"/>
              <w:left w:val="nil"/>
              <w:bottom w:val="nil"/>
              <w:right w:val="nil"/>
            </w:tcBorders>
            <w:shd w:val="clear" w:color="auto" w:fill="FFFFFF"/>
            <w:vAlign w:val="center"/>
          </w:tcPr>
          <w:p w14:paraId="1F58650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10.How do you rate Volkswagen’s performance in the following areas?—Environmental impact</w:t>
            </w:r>
          </w:p>
        </w:tc>
        <w:tc>
          <w:tcPr>
            <w:tcW w:w="710" w:type="pct"/>
            <w:tcBorders>
              <w:top w:val="nil"/>
              <w:left w:val="nil"/>
              <w:bottom w:val="nil"/>
              <w:right w:val="nil"/>
            </w:tcBorders>
            <w:shd w:val="clear" w:color="auto" w:fill="FFFFFF"/>
            <w:vAlign w:val="center"/>
          </w:tcPr>
          <w:p w14:paraId="1D29561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Poor</w:t>
            </w:r>
          </w:p>
        </w:tc>
        <w:tc>
          <w:tcPr>
            <w:tcW w:w="643" w:type="pct"/>
            <w:tcBorders>
              <w:top w:val="nil"/>
              <w:left w:val="nil"/>
              <w:bottom w:val="nil"/>
              <w:right w:val="nil"/>
            </w:tcBorders>
            <w:shd w:val="clear" w:color="auto" w:fill="FFFFFF"/>
            <w:vAlign w:val="center"/>
          </w:tcPr>
          <w:p w14:paraId="55D7F32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w:t>
            </w:r>
          </w:p>
        </w:tc>
        <w:tc>
          <w:tcPr>
            <w:tcW w:w="768" w:type="pct"/>
            <w:tcBorders>
              <w:top w:val="nil"/>
              <w:left w:val="nil"/>
              <w:bottom w:val="nil"/>
              <w:right w:val="nil"/>
            </w:tcBorders>
            <w:shd w:val="clear" w:color="auto" w:fill="FFFFFF"/>
            <w:vAlign w:val="center"/>
          </w:tcPr>
          <w:p w14:paraId="5897768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c>
          <w:tcPr>
            <w:tcW w:w="1215" w:type="pct"/>
            <w:tcBorders>
              <w:top w:val="nil"/>
              <w:left w:val="nil"/>
              <w:bottom w:val="nil"/>
              <w:right w:val="nil"/>
            </w:tcBorders>
            <w:shd w:val="clear" w:color="auto" w:fill="FFFFFF"/>
            <w:vAlign w:val="center"/>
          </w:tcPr>
          <w:p w14:paraId="45AC148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r>
      <w:tr w:rsidR="0067740A" w14:paraId="06441809" w14:textId="77777777">
        <w:trPr>
          <w:trHeight w:val="270"/>
        </w:trPr>
        <w:tc>
          <w:tcPr>
            <w:tcW w:w="1662" w:type="pct"/>
            <w:vMerge/>
            <w:tcBorders>
              <w:top w:val="nil"/>
              <w:left w:val="nil"/>
              <w:bottom w:val="nil"/>
              <w:right w:val="nil"/>
            </w:tcBorders>
            <w:shd w:val="clear" w:color="auto" w:fill="FFFFFF"/>
            <w:vAlign w:val="center"/>
          </w:tcPr>
          <w:p w14:paraId="325737A0"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56FDB9F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Fair</w:t>
            </w:r>
          </w:p>
        </w:tc>
        <w:tc>
          <w:tcPr>
            <w:tcW w:w="643" w:type="pct"/>
            <w:tcBorders>
              <w:top w:val="nil"/>
              <w:left w:val="nil"/>
              <w:bottom w:val="nil"/>
              <w:right w:val="nil"/>
            </w:tcBorders>
            <w:shd w:val="clear" w:color="auto" w:fill="FFFFFF"/>
            <w:vAlign w:val="center"/>
          </w:tcPr>
          <w:p w14:paraId="5ED4CF9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w:t>
            </w:r>
          </w:p>
        </w:tc>
        <w:tc>
          <w:tcPr>
            <w:tcW w:w="768" w:type="pct"/>
            <w:tcBorders>
              <w:top w:val="nil"/>
              <w:left w:val="nil"/>
              <w:bottom w:val="nil"/>
              <w:right w:val="nil"/>
            </w:tcBorders>
            <w:shd w:val="clear" w:color="auto" w:fill="FFFFFF"/>
            <w:vAlign w:val="center"/>
          </w:tcPr>
          <w:p w14:paraId="252D966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8.27</w:t>
            </w:r>
          </w:p>
        </w:tc>
        <w:tc>
          <w:tcPr>
            <w:tcW w:w="1215" w:type="pct"/>
            <w:tcBorders>
              <w:top w:val="nil"/>
              <w:left w:val="nil"/>
              <w:bottom w:val="nil"/>
              <w:right w:val="nil"/>
            </w:tcBorders>
            <w:shd w:val="clear" w:color="auto" w:fill="FFFFFF"/>
            <w:vAlign w:val="center"/>
          </w:tcPr>
          <w:p w14:paraId="60F085A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14.84</w:t>
            </w:r>
          </w:p>
        </w:tc>
      </w:tr>
      <w:tr w:rsidR="0067740A" w14:paraId="0CFC99A2" w14:textId="77777777">
        <w:trPr>
          <w:trHeight w:val="270"/>
        </w:trPr>
        <w:tc>
          <w:tcPr>
            <w:tcW w:w="1662" w:type="pct"/>
            <w:vMerge/>
            <w:tcBorders>
              <w:top w:val="nil"/>
              <w:left w:val="nil"/>
              <w:bottom w:val="nil"/>
              <w:right w:val="nil"/>
            </w:tcBorders>
            <w:shd w:val="clear" w:color="auto" w:fill="FFFFFF"/>
            <w:vAlign w:val="center"/>
          </w:tcPr>
          <w:p w14:paraId="7D5AC5DE"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1E65C31F"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Good</w:t>
            </w:r>
          </w:p>
        </w:tc>
        <w:tc>
          <w:tcPr>
            <w:tcW w:w="643" w:type="pct"/>
            <w:tcBorders>
              <w:top w:val="nil"/>
              <w:left w:val="nil"/>
              <w:bottom w:val="nil"/>
              <w:right w:val="nil"/>
            </w:tcBorders>
            <w:shd w:val="clear" w:color="auto" w:fill="FFFFFF"/>
            <w:vAlign w:val="center"/>
          </w:tcPr>
          <w:p w14:paraId="40FB3E4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w:t>
            </w:r>
          </w:p>
        </w:tc>
        <w:tc>
          <w:tcPr>
            <w:tcW w:w="768" w:type="pct"/>
            <w:tcBorders>
              <w:top w:val="nil"/>
              <w:left w:val="nil"/>
              <w:bottom w:val="nil"/>
              <w:right w:val="nil"/>
            </w:tcBorders>
            <w:shd w:val="clear" w:color="auto" w:fill="FFFFFF"/>
            <w:vAlign w:val="center"/>
          </w:tcPr>
          <w:p w14:paraId="0190DE3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15.82</w:t>
            </w:r>
          </w:p>
        </w:tc>
        <w:tc>
          <w:tcPr>
            <w:tcW w:w="1215" w:type="pct"/>
            <w:tcBorders>
              <w:top w:val="nil"/>
              <w:left w:val="nil"/>
              <w:bottom w:val="nil"/>
              <w:right w:val="nil"/>
            </w:tcBorders>
            <w:shd w:val="clear" w:color="auto" w:fill="FFFFFF"/>
            <w:vAlign w:val="center"/>
          </w:tcPr>
          <w:p w14:paraId="2DAAD00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30.66</w:t>
            </w:r>
          </w:p>
        </w:tc>
      </w:tr>
      <w:tr w:rsidR="0067740A" w14:paraId="54841681" w14:textId="77777777">
        <w:trPr>
          <w:trHeight w:val="270"/>
        </w:trPr>
        <w:tc>
          <w:tcPr>
            <w:tcW w:w="1662" w:type="pct"/>
            <w:vMerge/>
            <w:tcBorders>
              <w:top w:val="nil"/>
              <w:left w:val="nil"/>
              <w:bottom w:val="nil"/>
              <w:right w:val="nil"/>
            </w:tcBorders>
            <w:shd w:val="clear" w:color="auto" w:fill="FFFFFF"/>
            <w:vAlign w:val="center"/>
          </w:tcPr>
          <w:p w14:paraId="519E9416"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4BA3E2F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good</w:t>
            </w:r>
          </w:p>
        </w:tc>
        <w:tc>
          <w:tcPr>
            <w:tcW w:w="643" w:type="pct"/>
            <w:tcBorders>
              <w:top w:val="nil"/>
              <w:left w:val="nil"/>
              <w:bottom w:val="nil"/>
              <w:right w:val="nil"/>
            </w:tcBorders>
            <w:shd w:val="clear" w:color="auto" w:fill="FFFFFF"/>
            <w:vAlign w:val="center"/>
          </w:tcPr>
          <w:p w14:paraId="69475DE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125</w:t>
            </w:r>
          </w:p>
        </w:tc>
        <w:tc>
          <w:tcPr>
            <w:tcW w:w="768" w:type="pct"/>
            <w:tcBorders>
              <w:top w:val="nil"/>
              <w:left w:val="nil"/>
              <w:bottom w:val="nil"/>
              <w:right w:val="nil"/>
            </w:tcBorders>
            <w:shd w:val="clear" w:color="auto" w:fill="FFFFFF"/>
            <w:vAlign w:val="center"/>
          </w:tcPr>
          <w:p w14:paraId="71EAFD0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30.41</w:t>
            </w:r>
          </w:p>
        </w:tc>
        <w:tc>
          <w:tcPr>
            <w:tcW w:w="1215" w:type="pct"/>
            <w:tcBorders>
              <w:top w:val="nil"/>
              <w:left w:val="nil"/>
              <w:bottom w:val="nil"/>
              <w:right w:val="nil"/>
            </w:tcBorders>
            <w:shd w:val="clear" w:color="auto" w:fill="FFFFFF"/>
            <w:vAlign w:val="center"/>
          </w:tcPr>
          <w:p w14:paraId="5EFABF2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61.07</w:t>
            </w:r>
          </w:p>
        </w:tc>
      </w:tr>
      <w:tr w:rsidR="0067740A" w14:paraId="5D73B887" w14:textId="77777777">
        <w:trPr>
          <w:trHeight w:val="270"/>
        </w:trPr>
        <w:tc>
          <w:tcPr>
            <w:tcW w:w="1662" w:type="pct"/>
            <w:vMerge/>
            <w:tcBorders>
              <w:top w:val="nil"/>
              <w:left w:val="nil"/>
              <w:bottom w:val="nil"/>
              <w:right w:val="nil"/>
            </w:tcBorders>
            <w:shd w:val="clear" w:color="auto" w:fill="FFFFFF"/>
            <w:vAlign w:val="center"/>
          </w:tcPr>
          <w:p w14:paraId="6A603CCF"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0909CB4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Excellent</w:t>
            </w:r>
          </w:p>
        </w:tc>
        <w:tc>
          <w:tcPr>
            <w:tcW w:w="643" w:type="pct"/>
            <w:tcBorders>
              <w:top w:val="nil"/>
              <w:left w:val="nil"/>
              <w:bottom w:val="nil"/>
              <w:right w:val="nil"/>
            </w:tcBorders>
            <w:shd w:val="clear" w:color="auto" w:fill="FFFFFF"/>
            <w:vAlign w:val="center"/>
          </w:tcPr>
          <w:p w14:paraId="57C778B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160</w:t>
            </w:r>
          </w:p>
        </w:tc>
        <w:tc>
          <w:tcPr>
            <w:tcW w:w="768" w:type="pct"/>
            <w:tcBorders>
              <w:top w:val="nil"/>
              <w:left w:val="nil"/>
              <w:bottom w:val="nil"/>
              <w:right w:val="nil"/>
            </w:tcBorders>
            <w:shd w:val="clear" w:color="auto" w:fill="FFFFFF"/>
            <w:vAlign w:val="center"/>
          </w:tcPr>
          <w:p w14:paraId="1A6E16B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38.93</w:t>
            </w:r>
          </w:p>
        </w:tc>
        <w:tc>
          <w:tcPr>
            <w:tcW w:w="1215" w:type="pct"/>
            <w:tcBorders>
              <w:top w:val="nil"/>
              <w:left w:val="nil"/>
              <w:bottom w:val="nil"/>
              <w:right w:val="nil"/>
            </w:tcBorders>
            <w:shd w:val="clear" w:color="auto" w:fill="FFFFFF"/>
            <w:vAlign w:val="center"/>
          </w:tcPr>
          <w:p w14:paraId="0C6A19F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B247094" w14:textId="77777777">
        <w:trPr>
          <w:trHeight w:val="270"/>
        </w:trPr>
        <w:tc>
          <w:tcPr>
            <w:tcW w:w="1662" w:type="pct"/>
            <w:vMerge w:val="restart"/>
            <w:tcBorders>
              <w:top w:val="nil"/>
              <w:left w:val="nil"/>
              <w:bottom w:val="nil"/>
              <w:right w:val="nil"/>
            </w:tcBorders>
            <w:shd w:val="clear" w:color="auto" w:fill="FFFFFF"/>
            <w:vAlign w:val="center"/>
          </w:tcPr>
          <w:p w14:paraId="3B7B070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Innovation in electric vehicles</w:t>
            </w:r>
          </w:p>
        </w:tc>
        <w:tc>
          <w:tcPr>
            <w:tcW w:w="710" w:type="pct"/>
            <w:tcBorders>
              <w:top w:val="nil"/>
              <w:left w:val="nil"/>
              <w:bottom w:val="nil"/>
              <w:right w:val="nil"/>
            </w:tcBorders>
            <w:shd w:val="clear" w:color="auto" w:fill="FFFFFF"/>
            <w:vAlign w:val="center"/>
          </w:tcPr>
          <w:p w14:paraId="79C99EA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Poor</w:t>
            </w:r>
          </w:p>
        </w:tc>
        <w:tc>
          <w:tcPr>
            <w:tcW w:w="643" w:type="pct"/>
            <w:tcBorders>
              <w:top w:val="nil"/>
              <w:left w:val="nil"/>
              <w:bottom w:val="nil"/>
              <w:right w:val="nil"/>
            </w:tcBorders>
            <w:shd w:val="clear" w:color="auto" w:fill="FFFFFF"/>
            <w:vAlign w:val="center"/>
          </w:tcPr>
          <w:p w14:paraId="46D7C02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w:t>
            </w:r>
          </w:p>
        </w:tc>
        <w:tc>
          <w:tcPr>
            <w:tcW w:w="768" w:type="pct"/>
            <w:tcBorders>
              <w:top w:val="nil"/>
              <w:left w:val="nil"/>
              <w:bottom w:val="nil"/>
              <w:right w:val="nil"/>
            </w:tcBorders>
            <w:shd w:val="clear" w:color="auto" w:fill="FFFFFF"/>
            <w:vAlign w:val="center"/>
          </w:tcPr>
          <w:p w14:paraId="5DF3C2C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c>
          <w:tcPr>
            <w:tcW w:w="1215" w:type="pct"/>
            <w:tcBorders>
              <w:top w:val="nil"/>
              <w:left w:val="nil"/>
              <w:bottom w:val="nil"/>
              <w:right w:val="nil"/>
            </w:tcBorders>
            <w:shd w:val="clear" w:color="auto" w:fill="FFFFFF"/>
            <w:vAlign w:val="center"/>
          </w:tcPr>
          <w:p w14:paraId="6B843CF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r>
      <w:tr w:rsidR="0067740A" w14:paraId="2C9F14A6" w14:textId="77777777">
        <w:trPr>
          <w:trHeight w:val="270"/>
        </w:trPr>
        <w:tc>
          <w:tcPr>
            <w:tcW w:w="1662" w:type="pct"/>
            <w:vMerge/>
            <w:tcBorders>
              <w:top w:val="nil"/>
              <w:left w:val="nil"/>
              <w:bottom w:val="nil"/>
              <w:right w:val="nil"/>
            </w:tcBorders>
            <w:shd w:val="clear" w:color="auto" w:fill="FFFFFF"/>
            <w:vAlign w:val="center"/>
          </w:tcPr>
          <w:p w14:paraId="4FFFC04C"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2180F7FB"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Fair</w:t>
            </w:r>
          </w:p>
        </w:tc>
        <w:tc>
          <w:tcPr>
            <w:tcW w:w="643" w:type="pct"/>
            <w:tcBorders>
              <w:top w:val="nil"/>
              <w:left w:val="nil"/>
              <w:bottom w:val="nil"/>
              <w:right w:val="nil"/>
            </w:tcBorders>
            <w:shd w:val="clear" w:color="auto" w:fill="FFFFFF"/>
            <w:vAlign w:val="center"/>
          </w:tcPr>
          <w:p w14:paraId="6BB61FE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w:t>
            </w:r>
          </w:p>
        </w:tc>
        <w:tc>
          <w:tcPr>
            <w:tcW w:w="768" w:type="pct"/>
            <w:tcBorders>
              <w:top w:val="nil"/>
              <w:left w:val="nil"/>
              <w:bottom w:val="nil"/>
              <w:right w:val="nil"/>
            </w:tcBorders>
            <w:shd w:val="clear" w:color="auto" w:fill="FFFFFF"/>
            <w:vAlign w:val="center"/>
          </w:tcPr>
          <w:p w14:paraId="44F2412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8.52</w:t>
            </w:r>
          </w:p>
        </w:tc>
        <w:tc>
          <w:tcPr>
            <w:tcW w:w="1215" w:type="pct"/>
            <w:tcBorders>
              <w:top w:val="nil"/>
              <w:left w:val="nil"/>
              <w:bottom w:val="nil"/>
              <w:right w:val="nil"/>
            </w:tcBorders>
            <w:shd w:val="clear" w:color="auto" w:fill="FFFFFF"/>
            <w:vAlign w:val="center"/>
          </w:tcPr>
          <w:p w14:paraId="1CBA280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r>
      <w:tr w:rsidR="0067740A" w14:paraId="7D097072" w14:textId="77777777">
        <w:trPr>
          <w:trHeight w:val="270"/>
        </w:trPr>
        <w:tc>
          <w:tcPr>
            <w:tcW w:w="1662" w:type="pct"/>
            <w:vMerge/>
            <w:tcBorders>
              <w:top w:val="nil"/>
              <w:left w:val="nil"/>
              <w:bottom w:val="nil"/>
              <w:right w:val="nil"/>
            </w:tcBorders>
            <w:shd w:val="clear" w:color="auto" w:fill="FFFFFF"/>
            <w:vAlign w:val="center"/>
          </w:tcPr>
          <w:p w14:paraId="6DE7F84C"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772D6D3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Good</w:t>
            </w:r>
          </w:p>
        </w:tc>
        <w:tc>
          <w:tcPr>
            <w:tcW w:w="643" w:type="pct"/>
            <w:tcBorders>
              <w:top w:val="nil"/>
              <w:left w:val="nil"/>
              <w:bottom w:val="nil"/>
              <w:right w:val="nil"/>
            </w:tcBorders>
            <w:shd w:val="clear" w:color="auto" w:fill="FFFFFF"/>
            <w:vAlign w:val="center"/>
          </w:tcPr>
          <w:p w14:paraId="24C3257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w:t>
            </w:r>
          </w:p>
        </w:tc>
        <w:tc>
          <w:tcPr>
            <w:tcW w:w="768" w:type="pct"/>
            <w:tcBorders>
              <w:top w:val="nil"/>
              <w:left w:val="nil"/>
              <w:bottom w:val="nil"/>
              <w:right w:val="nil"/>
            </w:tcBorders>
            <w:shd w:val="clear" w:color="auto" w:fill="FFFFFF"/>
            <w:vAlign w:val="center"/>
          </w:tcPr>
          <w:p w14:paraId="6D80AA9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15.82</w:t>
            </w:r>
          </w:p>
        </w:tc>
        <w:tc>
          <w:tcPr>
            <w:tcW w:w="1215" w:type="pct"/>
            <w:tcBorders>
              <w:top w:val="nil"/>
              <w:left w:val="nil"/>
              <w:bottom w:val="nil"/>
              <w:right w:val="nil"/>
            </w:tcBorders>
            <w:shd w:val="clear" w:color="auto" w:fill="FFFFFF"/>
            <w:vAlign w:val="center"/>
          </w:tcPr>
          <w:p w14:paraId="7C1CEEF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30.90</w:t>
            </w:r>
          </w:p>
        </w:tc>
      </w:tr>
      <w:tr w:rsidR="0067740A" w14:paraId="2CE5073B" w14:textId="77777777">
        <w:trPr>
          <w:trHeight w:val="270"/>
        </w:trPr>
        <w:tc>
          <w:tcPr>
            <w:tcW w:w="1662" w:type="pct"/>
            <w:vMerge/>
            <w:tcBorders>
              <w:top w:val="nil"/>
              <w:left w:val="nil"/>
              <w:bottom w:val="nil"/>
              <w:right w:val="nil"/>
            </w:tcBorders>
            <w:shd w:val="clear" w:color="auto" w:fill="FFFFFF"/>
            <w:vAlign w:val="center"/>
          </w:tcPr>
          <w:p w14:paraId="6E2BAE16"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1CC278C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good</w:t>
            </w:r>
          </w:p>
        </w:tc>
        <w:tc>
          <w:tcPr>
            <w:tcW w:w="643" w:type="pct"/>
            <w:tcBorders>
              <w:top w:val="nil"/>
              <w:left w:val="nil"/>
              <w:bottom w:val="nil"/>
              <w:right w:val="nil"/>
            </w:tcBorders>
            <w:shd w:val="clear" w:color="auto" w:fill="FFFFFF"/>
            <w:vAlign w:val="center"/>
          </w:tcPr>
          <w:p w14:paraId="6B9F5A3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135</w:t>
            </w:r>
          </w:p>
        </w:tc>
        <w:tc>
          <w:tcPr>
            <w:tcW w:w="768" w:type="pct"/>
            <w:tcBorders>
              <w:top w:val="nil"/>
              <w:left w:val="nil"/>
              <w:bottom w:val="nil"/>
              <w:right w:val="nil"/>
            </w:tcBorders>
            <w:shd w:val="clear" w:color="auto" w:fill="FFFFFF"/>
            <w:vAlign w:val="center"/>
          </w:tcPr>
          <w:p w14:paraId="5B5471C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32.85</w:t>
            </w:r>
          </w:p>
        </w:tc>
        <w:tc>
          <w:tcPr>
            <w:tcW w:w="1215" w:type="pct"/>
            <w:tcBorders>
              <w:top w:val="nil"/>
              <w:left w:val="nil"/>
              <w:bottom w:val="nil"/>
              <w:right w:val="nil"/>
            </w:tcBorders>
            <w:shd w:val="clear" w:color="auto" w:fill="FFFFFF"/>
            <w:vAlign w:val="center"/>
          </w:tcPr>
          <w:p w14:paraId="519DC6E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63.75</w:t>
            </w:r>
          </w:p>
        </w:tc>
      </w:tr>
      <w:tr w:rsidR="0067740A" w14:paraId="2E46250C" w14:textId="77777777">
        <w:trPr>
          <w:trHeight w:val="270"/>
        </w:trPr>
        <w:tc>
          <w:tcPr>
            <w:tcW w:w="1662" w:type="pct"/>
            <w:vMerge/>
            <w:tcBorders>
              <w:top w:val="nil"/>
              <w:left w:val="nil"/>
              <w:bottom w:val="nil"/>
              <w:right w:val="nil"/>
            </w:tcBorders>
            <w:shd w:val="clear" w:color="auto" w:fill="FFFFFF"/>
            <w:vAlign w:val="center"/>
          </w:tcPr>
          <w:p w14:paraId="69531E73"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34C40E9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Excellent</w:t>
            </w:r>
          </w:p>
        </w:tc>
        <w:tc>
          <w:tcPr>
            <w:tcW w:w="643" w:type="pct"/>
            <w:tcBorders>
              <w:top w:val="nil"/>
              <w:left w:val="nil"/>
              <w:bottom w:val="nil"/>
              <w:right w:val="nil"/>
            </w:tcBorders>
            <w:shd w:val="clear" w:color="auto" w:fill="FFFFFF"/>
            <w:vAlign w:val="center"/>
          </w:tcPr>
          <w:p w14:paraId="606FED5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149</w:t>
            </w:r>
          </w:p>
        </w:tc>
        <w:tc>
          <w:tcPr>
            <w:tcW w:w="768" w:type="pct"/>
            <w:tcBorders>
              <w:top w:val="nil"/>
              <w:left w:val="nil"/>
              <w:bottom w:val="nil"/>
              <w:right w:val="nil"/>
            </w:tcBorders>
            <w:shd w:val="clear" w:color="auto" w:fill="FFFFFF"/>
            <w:vAlign w:val="center"/>
          </w:tcPr>
          <w:p w14:paraId="40F1684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36.25</w:t>
            </w:r>
          </w:p>
        </w:tc>
        <w:tc>
          <w:tcPr>
            <w:tcW w:w="1215" w:type="pct"/>
            <w:tcBorders>
              <w:top w:val="nil"/>
              <w:left w:val="nil"/>
              <w:bottom w:val="nil"/>
              <w:right w:val="nil"/>
            </w:tcBorders>
            <w:shd w:val="clear" w:color="auto" w:fill="FFFFFF"/>
            <w:vAlign w:val="center"/>
          </w:tcPr>
          <w:p w14:paraId="0839D8F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1E6B6F33" w14:textId="77777777">
        <w:trPr>
          <w:trHeight w:val="270"/>
        </w:trPr>
        <w:tc>
          <w:tcPr>
            <w:tcW w:w="1662" w:type="pct"/>
            <w:vMerge w:val="restart"/>
            <w:tcBorders>
              <w:top w:val="nil"/>
              <w:left w:val="nil"/>
              <w:bottom w:val="nil"/>
              <w:right w:val="nil"/>
            </w:tcBorders>
            <w:shd w:val="clear" w:color="auto" w:fill="FFFFFF"/>
            <w:vAlign w:val="center"/>
          </w:tcPr>
          <w:p w14:paraId="54080D9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Brand reputation</w:t>
            </w:r>
          </w:p>
        </w:tc>
        <w:tc>
          <w:tcPr>
            <w:tcW w:w="710" w:type="pct"/>
            <w:tcBorders>
              <w:top w:val="nil"/>
              <w:left w:val="nil"/>
              <w:bottom w:val="nil"/>
              <w:right w:val="nil"/>
            </w:tcBorders>
            <w:shd w:val="clear" w:color="auto" w:fill="FFFFFF"/>
            <w:vAlign w:val="center"/>
          </w:tcPr>
          <w:p w14:paraId="53FEE1C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Poor</w:t>
            </w:r>
          </w:p>
        </w:tc>
        <w:tc>
          <w:tcPr>
            <w:tcW w:w="643" w:type="pct"/>
            <w:tcBorders>
              <w:top w:val="nil"/>
              <w:left w:val="nil"/>
              <w:bottom w:val="nil"/>
              <w:right w:val="nil"/>
            </w:tcBorders>
            <w:shd w:val="clear" w:color="auto" w:fill="FFFFFF"/>
            <w:vAlign w:val="center"/>
          </w:tcPr>
          <w:p w14:paraId="742778E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w:t>
            </w:r>
          </w:p>
        </w:tc>
        <w:tc>
          <w:tcPr>
            <w:tcW w:w="768" w:type="pct"/>
            <w:tcBorders>
              <w:top w:val="nil"/>
              <w:left w:val="nil"/>
              <w:bottom w:val="nil"/>
              <w:right w:val="nil"/>
            </w:tcBorders>
            <w:shd w:val="clear" w:color="auto" w:fill="FFFFFF"/>
            <w:vAlign w:val="center"/>
          </w:tcPr>
          <w:p w14:paraId="29566DA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c>
          <w:tcPr>
            <w:tcW w:w="1215" w:type="pct"/>
            <w:tcBorders>
              <w:top w:val="nil"/>
              <w:left w:val="nil"/>
              <w:bottom w:val="nil"/>
              <w:right w:val="nil"/>
            </w:tcBorders>
            <w:shd w:val="clear" w:color="auto" w:fill="FFFFFF"/>
            <w:vAlign w:val="center"/>
          </w:tcPr>
          <w:p w14:paraId="73B9151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r>
      <w:tr w:rsidR="0067740A" w14:paraId="2FDF8801" w14:textId="77777777">
        <w:trPr>
          <w:trHeight w:val="270"/>
        </w:trPr>
        <w:tc>
          <w:tcPr>
            <w:tcW w:w="1662" w:type="pct"/>
            <w:vMerge/>
            <w:tcBorders>
              <w:top w:val="nil"/>
              <w:left w:val="nil"/>
              <w:bottom w:val="nil"/>
              <w:right w:val="nil"/>
            </w:tcBorders>
            <w:shd w:val="clear" w:color="auto" w:fill="FFFFFF"/>
            <w:vAlign w:val="center"/>
          </w:tcPr>
          <w:p w14:paraId="1A95A875"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7A6C5B6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Fair</w:t>
            </w:r>
          </w:p>
        </w:tc>
        <w:tc>
          <w:tcPr>
            <w:tcW w:w="643" w:type="pct"/>
            <w:tcBorders>
              <w:top w:val="nil"/>
              <w:left w:val="nil"/>
              <w:bottom w:val="nil"/>
              <w:right w:val="nil"/>
            </w:tcBorders>
            <w:shd w:val="clear" w:color="auto" w:fill="FFFFFF"/>
            <w:vAlign w:val="center"/>
          </w:tcPr>
          <w:p w14:paraId="29FC7D6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w:t>
            </w:r>
          </w:p>
        </w:tc>
        <w:tc>
          <w:tcPr>
            <w:tcW w:w="768" w:type="pct"/>
            <w:tcBorders>
              <w:top w:val="nil"/>
              <w:left w:val="nil"/>
              <w:bottom w:val="nil"/>
              <w:right w:val="nil"/>
            </w:tcBorders>
            <w:shd w:val="clear" w:color="auto" w:fill="FFFFFF"/>
            <w:vAlign w:val="center"/>
          </w:tcPr>
          <w:p w14:paraId="5662B3C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7.79</w:t>
            </w:r>
          </w:p>
        </w:tc>
        <w:tc>
          <w:tcPr>
            <w:tcW w:w="1215" w:type="pct"/>
            <w:tcBorders>
              <w:top w:val="nil"/>
              <w:left w:val="nil"/>
              <w:bottom w:val="nil"/>
              <w:right w:val="nil"/>
            </w:tcBorders>
            <w:shd w:val="clear" w:color="auto" w:fill="FFFFFF"/>
            <w:vAlign w:val="center"/>
          </w:tcPr>
          <w:p w14:paraId="239896D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14.84</w:t>
            </w:r>
          </w:p>
        </w:tc>
      </w:tr>
      <w:tr w:rsidR="0067740A" w14:paraId="27BF2682" w14:textId="77777777">
        <w:trPr>
          <w:trHeight w:val="270"/>
        </w:trPr>
        <w:tc>
          <w:tcPr>
            <w:tcW w:w="1662" w:type="pct"/>
            <w:vMerge/>
            <w:tcBorders>
              <w:top w:val="nil"/>
              <w:left w:val="nil"/>
              <w:bottom w:val="nil"/>
              <w:right w:val="nil"/>
            </w:tcBorders>
            <w:shd w:val="clear" w:color="auto" w:fill="FFFFFF"/>
            <w:vAlign w:val="center"/>
          </w:tcPr>
          <w:p w14:paraId="2D71564C"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7008637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Good</w:t>
            </w:r>
          </w:p>
        </w:tc>
        <w:tc>
          <w:tcPr>
            <w:tcW w:w="643" w:type="pct"/>
            <w:tcBorders>
              <w:top w:val="nil"/>
              <w:left w:val="nil"/>
              <w:bottom w:val="nil"/>
              <w:right w:val="nil"/>
            </w:tcBorders>
            <w:shd w:val="clear" w:color="auto" w:fill="FFFFFF"/>
            <w:vAlign w:val="center"/>
          </w:tcPr>
          <w:p w14:paraId="0CDCE5D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76</w:t>
            </w:r>
          </w:p>
        </w:tc>
        <w:tc>
          <w:tcPr>
            <w:tcW w:w="768" w:type="pct"/>
            <w:tcBorders>
              <w:top w:val="nil"/>
              <w:left w:val="nil"/>
              <w:bottom w:val="nil"/>
              <w:right w:val="nil"/>
            </w:tcBorders>
            <w:shd w:val="clear" w:color="auto" w:fill="FFFFFF"/>
            <w:vAlign w:val="center"/>
          </w:tcPr>
          <w:p w14:paraId="116A042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18.49</w:t>
            </w:r>
          </w:p>
        </w:tc>
        <w:tc>
          <w:tcPr>
            <w:tcW w:w="1215" w:type="pct"/>
            <w:tcBorders>
              <w:top w:val="nil"/>
              <w:left w:val="nil"/>
              <w:bottom w:val="nil"/>
              <w:right w:val="nil"/>
            </w:tcBorders>
            <w:shd w:val="clear" w:color="auto" w:fill="FFFFFF"/>
            <w:vAlign w:val="center"/>
          </w:tcPr>
          <w:p w14:paraId="2B2E3BF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33.33</w:t>
            </w:r>
          </w:p>
        </w:tc>
      </w:tr>
      <w:tr w:rsidR="0067740A" w14:paraId="4FFA6E14" w14:textId="77777777">
        <w:trPr>
          <w:trHeight w:val="270"/>
        </w:trPr>
        <w:tc>
          <w:tcPr>
            <w:tcW w:w="1662" w:type="pct"/>
            <w:vMerge/>
            <w:tcBorders>
              <w:top w:val="nil"/>
              <w:left w:val="nil"/>
              <w:bottom w:val="nil"/>
              <w:right w:val="nil"/>
            </w:tcBorders>
            <w:shd w:val="clear" w:color="auto" w:fill="FFFFFF"/>
            <w:vAlign w:val="center"/>
          </w:tcPr>
          <w:p w14:paraId="6B351068"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6DC3550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good</w:t>
            </w:r>
          </w:p>
        </w:tc>
        <w:tc>
          <w:tcPr>
            <w:tcW w:w="643" w:type="pct"/>
            <w:tcBorders>
              <w:top w:val="nil"/>
              <w:left w:val="nil"/>
              <w:bottom w:val="nil"/>
              <w:right w:val="nil"/>
            </w:tcBorders>
            <w:shd w:val="clear" w:color="auto" w:fill="FFFFFF"/>
            <w:vAlign w:val="center"/>
          </w:tcPr>
          <w:p w14:paraId="79A2A38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142</w:t>
            </w:r>
          </w:p>
        </w:tc>
        <w:tc>
          <w:tcPr>
            <w:tcW w:w="768" w:type="pct"/>
            <w:tcBorders>
              <w:top w:val="nil"/>
              <w:left w:val="nil"/>
              <w:bottom w:val="nil"/>
              <w:right w:val="nil"/>
            </w:tcBorders>
            <w:shd w:val="clear" w:color="auto" w:fill="FFFFFF"/>
            <w:vAlign w:val="center"/>
          </w:tcPr>
          <w:p w14:paraId="6F68106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34.55</w:t>
            </w:r>
          </w:p>
        </w:tc>
        <w:tc>
          <w:tcPr>
            <w:tcW w:w="1215" w:type="pct"/>
            <w:tcBorders>
              <w:top w:val="nil"/>
              <w:left w:val="nil"/>
              <w:bottom w:val="nil"/>
              <w:right w:val="nil"/>
            </w:tcBorders>
            <w:shd w:val="clear" w:color="auto" w:fill="FFFFFF"/>
            <w:vAlign w:val="center"/>
          </w:tcPr>
          <w:p w14:paraId="0649958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67.88</w:t>
            </w:r>
          </w:p>
        </w:tc>
      </w:tr>
      <w:tr w:rsidR="0067740A" w14:paraId="743EDF28" w14:textId="77777777">
        <w:trPr>
          <w:trHeight w:val="270"/>
        </w:trPr>
        <w:tc>
          <w:tcPr>
            <w:tcW w:w="1662" w:type="pct"/>
            <w:vMerge/>
            <w:tcBorders>
              <w:top w:val="nil"/>
              <w:left w:val="nil"/>
              <w:bottom w:val="nil"/>
              <w:right w:val="nil"/>
            </w:tcBorders>
            <w:shd w:val="clear" w:color="auto" w:fill="FFFFFF"/>
            <w:vAlign w:val="center"/>
          </w:tcPr>
          <w:p w14:paraId="555DCFC7"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0AF8EF5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Excellent</w:t>
            </w:r>
          </w:p>
        </w:tc>
        <w:tc>
          <w:tcPr>
            <w:tcW w:w="643" w:type="pct"/>
            <w:tcBorders>
              <w:top w:val="nil"/>
              <w:left w:val="nil"/>
              <w:bottom w:val="nil"/>
              <w:right w:val="nil"/>
            </w:tcBorders>
            <w:shd w:val="clear" w:color="auto" w:fill="FFFFFF"/>
            <w:vAlign w:val="center"/>
          </w:tcPr>
          <w:p w14:paraId="0B01D11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132</w:t>
            </w:r>
          </w:p>
        </w:tc>
        <w:tc>
          <w:tcPr>
            <w:tcW w:w="768" w:type="pct"/>
            <w:tcBorders>
              <w:top w:val="nil"/>
              <w:left w:val="nil"/>
              <w:bottom w:val="nil"/>
              <w:right w:val="nil"/>
            </w:tcBorders>
            <w:shd w:val="clear" w:color="auto" w:fill="FFFFFF"/>
            <w:vAlign w:val="center"/>
          </w:tcPr>
          <w:p w14:paraId="5FBF30F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32.12</w:t>
            </w:r>
          </w:p>
        </w:tc>
        <w:tc>
          <w:tcPr>
            <w:tcW w:w="1215" w:type="pct"/>
            <w:tcBorders>
              <w:top w:val="nil"/>
              <w:left w:val="nil"/>
              <w:bottom w:val="nil"/>
              <w:right w:val="nil"/>
            </w:tcBorders>
            <w:shd w:val="clear" w:color="auto" w:fill="FFFFFF"/>
            <w:vAlign w:val="center"/>
          </w:tcPr>
          <w:p w14:paraId="44C5D31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76072F1B" w14:textId="77777777">
        <w:trPr>
          <w:trHeight w:val="270"/>
        </w:trPr>
        <w:tc>
          <w:tcPr>
            <w:tcW w:w="1662" w:type="pct"/>
            <w:vMerge w:val="restart"/>
            <w:tcBorders>
              <w:top w:val="nil"/>
              <w:left w:val="nil"/>
              <w:bottom w:val="nil"/>
              <w:right w:val="nil"/>
            </w:tcBorders>
            <w:shd w:val="clear" w:color="auto" w:fill="FFFFFF"/>
            <w:vAlign w:val="center"/>
          </w:tcPr>
          <w:p w14:paraId="2B03F34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Corporate Transparency</w:t>
            </w:r>
          </w:p>
        </w:tc>
        <w:tc>
          <w:tcPr>
            <w:tcW w:w="710" w:type="pct"/>
            <w:tcBorders>
              <w:top w:val="nil"/>
              <w:left w:val="nil"/>
              <w:bottom w:val="nil"/>
              <w:right w:val="nil"/>
            </w:tcBorders>
            <w:shd w:val="clear" w:color="auto" w:fill="FFFFFF"/>
            <w:vAlign w:val="center"/>
          </w:tcPr>
          <w:p w14:paraId="519893E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Poor</w:t>
            </w:r>
          </w:p>
        </w:tc>
        <w:tc>
          <w:tcPr>
            <w:tcW w:w="643" w:type="pct"/>
            <w:tcBorders>
              <w:top w:val="nil"/>
              <w:left w:val="nil"/>
              <w:bottom w:val="nil"/>
              <w:right w:val="nil"/>
            </w:tcBorders>
            <w:shd w:val="clear" w:color="auto" w:fill="FFFFFF"/>
            <w:vAlign w:val="center"/>
          </w:tcPr>
          <w:p w14:paraId="656FE09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w:t>
            </w:r>
          </w:p>
        </w:tc>
        <w:tc>
          <w:tcPr>
            <w:tcW w:w="768" w:type="pct"/>
            <w:tcBorders>
              <w:top w:val="nil"/>
              <w:left w:val="nil"/>
              <w:bottom w:val="nil"/>
              <w:right w:val="nil"/>
            </w:tcBorders>
            <w:shd w:val="clear" w:color="auto" w:fill="FFFFFF"/>
            <w:vAlign w:val="center"/>
          </w:tcPr>
          <w:p w14:paraId="1007AD2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8.27</w:t>
            </w:r>
          </w:p>
        </w:tc>
        <w:tc>
          <w:tcPr>
            <w:tcW w:w="1215" w:type="pct"/>
            <w:tcBorders>
              <w:top w:val="nil"/>
              <w:left w:val="nil"/>
              <w:bottom w:val="nil"/>
              <w:right w:val="nil"/>
            </w:tcBorders>
            <w:shd w:val="clear" w:color="auto" w:fill="FFFFFF"/>
            <w:vAlign w:val="center"/>
          </w:tcPr>
          <w:p w14:paraId="1189FEF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8.27</w:t>
            </w:r>
          </w:p>
        </w:tc>
      </w:tr>
      <w:tr w:rsidR="0067740A" w14:paraId="5E798580" w14:textId="77777777">
        <w:trPr>
          <w:trHeight w:val="270"/>
        </w:trPr>
        <w:tc>
          <w:tcPr>
            <w:tcW w:w="1662" w:type="pct"/>
            <w:vMerge/>
            <w:tcBorders>
              <w:top w:val="nil"/>
              <w:left w:val="nil"/>
              <w:bottom w:val="nil"/>
              <w:right w:val="nil"/>
            </w:tcBorders>
            <w:shd w:val="clear" w:color="auto" w:fill="FFFFFF"/>
            <w:vAlign w:val="center"/>
          </w:tcPr>
          <w:p w14:paraId="0CA715CC"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00FBF7A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Fair</w:t>
            </w:r>
          </w:p>
        </w:tc>
        <w:tc>
          <w:tcPr>
            <w:tcW w:w="643" w:type="pct"/>
            <w:tcBorders>
              <w:top w:val="nil"/>
              <w:left w:val="nil"/>
              <w:bottom w:val="nil"/>
              <w:right w:val="nil"/>
            </w:tcBorders>
            <w:shd w:val="clear" w:color="auto" w:fill="FFFFFF"/>
            <w:vAlign w:val="center"/>
          </w:tcPr>
          <w:p w14:paraId="5D593CA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w:t>
            </w:r>
          </w:p>
        </w:tc>
        <w:tc>
          <w:tcPr>
            <w:tcW w:w="768" w:type="pct"/>
            <w:tcBorders>
              <w:top w:val="nil"/>
              <w:left w:val="nil"/>
              <w:bottom w:val="nil"/>
              <w:right w:val="nil"/>
            </w:tcBorders>
            <w:shd w:val="clear" w:color="auto" w:fill="FFFFFF"/>
            <w:vAlign w:val="center"/>
          </w:tcPr>
          <w:p w14:paraId="4379A5B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7.30</w:t>
            </w:r>
          </w:p>
        </w:tc>
        <w:tc>
          <w:tcPr>
            <w:tcW w:w="1215" w:type="pct"/>
            <w:tcBorders>
              <w:top w:val="nil"/>
              <w:left w:val="nil"/>
              <w:bottom w:val="nil"/>
              <w:right w:val="nil"/>
            </w:tcBorders>
            <w:shd w:val="clear" w:color="auto" w:fill="FFFFFF"/>
            <w:vAlign w:val="center"/>
          </w:tcPr>
          <w:p w14:paraId="2CD7663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15.57</w:t>
            </w:r>
          </w:p>
        </w:tc>
      </w:tr>
      <w:tr w:rsidR="0067740A" w14:paraId="48FEDEFF" w14:textId="77777777">
        <w:trPr>
          <w:trHeight w:val="270"/>
        </w:trPr>
        <w:tc>
          <w:tcPr>
            <w:tcW w:w="1662" w:type="pct"/>
            <w:vMerge/>
            <w:tcBorders>
              <w:top w:val="nil"/>
              <w:left w:val="nil"/>
              <w:bottom w:val="nil"/>
              <w:right w:val="nil"/>
            </w:tcBorders>
            <w:shd w:val="clear" w:color="auto" w:fill="FFFFFF"/>
            <w:vAlign w:val="center"/>
          </w:tcPr>
          <w:p w14:paraId="770375CF"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5ACB7F2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Good</w:t>
            </w:r>
          </w:p>
        </w:tc>
        <w:tc>
          <w:tcPr>
            <w:tcW w:w="643" w:type="pct"/>
            <w:tcBorders>
              <w:top w:val="nil"/>
              <w:left w:val="nil"/>
              <w:bottom w:val="nil"/>
              <w:right w:val="nil"/>
            </w:tcBorders>
            <w:shd w:val="clear" w:color="auto" w:fill="FFFFFF"/>
            <w:vAlign w:val="center"/>
          </w:tcPr>
          <w:p w14:paraId="4BD91BA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64</w:t>
            </w:r>
          </w:p>
        </w:tc>
        <w:tc>
          <w:tcPr>
            <w:tcW w:w="768" w:type="pct"/>
            <w:tcBorders>
              <w:top w:val="nil"/>
              <w:left w:val="nil"/>
              <w:bottom w:val="nil"/>
              <w:right w:val="nil"/>
            </w:tcBorders>
            <w:shd w:val="clear" w:color="auto" w:fill="FFFFFF"/>
            <w:vAlign w:val="center"/>
          </w:tcPr>
          <w:p w14:paraId="6305FF5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15.57</w:t>
            </w:r>
          </w:p>
        </w:tc>
        <w:tc>
          <w:tcPr>
            <w:tcW w:w="1215" w:type="pct"/>
            <w:tcBorders>
              <w:top w:val="nil"/>
              <w:left w:val="nil"/>
              <w:bottom w:val="nil"/>
              <w:right w:val="nil"/>
            </w:tcBorders>
            <w:shd w:val="clear" w:color="auto" w:fill="FFFFFF"/>
            <w:vAlign w:val="center"/>
          </w:tcPr>
          <w:p w14:paraId="7821EFF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31.14</w:t>
            </w:r>
          </w:p>
        </w:tc>
      </w:tr>
      <w:tr w:rsidR="0067740A" w14:paraId="5E64767C" w14:textId="77777777">
        <w:trPr>
          <w:trHeight w:val="270"/>
        </w:trPr>
        <w:tc>
          <w:tcPr>
            <w:tcW w:w="1662" w:type="pct"/>
            <w:vMerge/>
            <w:tcBorders>
              <w:top w:val="nil"/>
              <w:left w:val="nil"/>
              <w:bottom w:val="nil"/>
              <w:right w:val="nil"/>
            </w:tcBorders>
            <w:shd w:val="clear" w:color="auto" w:fill="FFFFFF"/>
            <w:vAlign w:val="center"/>
          </w:tcPr>
          <w:p w14:paraId="74BDAC6F"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2B8D095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good</w:t>
            </w:r>
          </w:p>
        </w:tc>
        <w:tc>
          <w:tcPr>
            <w:tcW w:w="643" w:type="pct"/>
            <w:tcBorders>
              <w:top w:val="nil"/>
              <w:left w:val="nil"/>
              <w:bottom w:val="nil"/>
              <w:right w:val="nil"/>
            </w:tcBorders>
            <w:shd w:val="clear" w:color="auto" w:fill="FFFFFF"/>
            <w:vAlign w:val="center"/>
          </w:tcPr>
          <w:p w14:paraId="5CAB775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134</w:t>
            </w:r>
          </w:p>
        </w:tc>
        <w:tc>
          <w:tcPr>
            <w:tcW w:w="768" w:type="pct"/>
            <w:tcBorders>
              <w:top w:val="nil"/>
              <w:left w:val="nil"/>
              <w:bottom w:val="nil"/>
              <w:right w:val="nil"/>
            </w:tcBorders>
            <w:shd w:val="clear" w:color="auto" w:fill="FFFFFF"/>
            <w:vAlign w:val="center"/>
          </w:tcPr>
          <w:p w14:paraId="390D20D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32.60</w:t>
            </w:r>
          </w:p>
        </w:tc>
        <w:tc>
          <w:tcPr>
            <w:tcW w:w="1215" w:type="pct"/>
            <w:tcBorders>
              <w:top w:val="nil"/>
              <w:left w:val="nil"/>
              <w:bottom w:val="nil"/>
              <w:right w:val="nil"/>
            </w:tcBorders>
            <w:shd w:val="clear" w:color="auto" w:fill="FFFFFF"/>
            <w:vAlign w:val="center"/>
          </w:tcPr>
          <w:p w14:paraId="47B0A2D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63.75</w:t>
            </w:r>
          </w:p>
        </w:tc>
      </w:tr>
      <w:tr w:rsidR="0067740A" w14:paraId="6729FA5C" w14:textId="77777777">
        <w:trPr>
          <w:trHeight w:val="270"/>
        </w:trPr>
        <w:tc>
          <w:tcPr>
            <w:tcW w:w="1662" w:type="pct"/>
            <w:vMerge/>
            <w:tcBorders>
              <w:top w:val="nil"/>
              <w:left w:val="nil"/>
              <w:bottom w:val="nil"/>
              <w:right w:val="nil"/>
            </w:tcBorders>
            <w:shd w:val="clear" w:color="auto" w:fill="FFFFFF"/>
            <w:vAlign w:val="center"/>
          </w:tcPr>
          <w:p w14:paraId="4F226576"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759B47B7"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Excellent</w:t>
            </w:r>
          </w:p>
        </w:tc>
        <w:tc>
          <w:tcPr>
            <w:tcW w:w="643" w:type="pct"/>
            <w:tcBorders>
              <w:top w:val="nil"/>
              <w:left w:val="nil"/>
              <w:bottom w:val="nil"/>
              <w:right w:val="nil"/>
            </w:tcBorders>
            <w:shd w:val="clear" w:color="auto" w:fill="FFFFFF"/>
            <w:vAlign w:val="center"/>
          </w:tcPr>
          <w:p w14:paraId="611B2E3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149</w:t>
            </w:r>
          </w:p>
        </w:tc>
        <w:tc>
          <w:tcPr>
            <w:tcW w:w="768" w:type="pct"/>
            <w:tcBorders>
              <w:top w:val="nil"/>
              <w:left w:val="nil"/>
              <w:bottom w:val="nil"/>
              <w:right w:val="nil"/>
            </w:tcBorders>
            <w:shd w:val="clear" w:color="auto" w:fill="FFFFFF"/>
            <w:vAlign w:val="center"/>
          </w:tcPr>
          <w:p w14:paraId="6AC9D69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36.25</w:t>
            </w:r>
          </w:p>
        </w:tc>
        <w:tc>
          <w:tcPr>
            <w:tcW w:w="1215" w:type="pct"/>
            <w:tcBorders>
              <w:top w:val="nil"/>
              <w:left w:val="nil"/>
              <w:bottom w:val="nil"/>
              <w:right w:val="nil"/>
            </w:tcBorders>
            <w:shd w:val="clear" w:color="auto" w:fill="FFFFFF"/>
            <w:vAlign w:val="center"/>
          </w:tcPr>
          <w:p w14:paraId="5C3B39E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526BAF05" w14:textId="77777777">
        <w:trPr>
          <w:trHeight w:val="270"/>
        </w:trPr>
        <w:tc>
          <w:tcPr>
            <w:tcW w:w="1662" w:type="pct"/>
            <w:vMerge w:val="restart"/>
            <w:tcBorders>
              <w:top w:val="nil"/>
              <w:left w:val="nil"/>
              <w:bottom w:val="nil"/>
              <w:right w:val="nil"/>
            </w:tcBorders>
            <w:shd w:val="clear" w:color="auto" w:fill="FFFFFF"/>
            <w:vAlign w:val="center"/>
          </w:tcPr>
          <w:p w14:paraId="50767D4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Customer service</w:t>
            </w:r>
          </w:p>
        </w:tc>
        <w:tc>
          <w:tcPr>
            <w:tcW w:w="710" w:type="pct"/>
            <w:tcBorders>
              <w:top w:val="nil"/>
              <w:left w:val="nil"/>
              <w:bottom w:val="nil"/>
              <w:right w:val="nil"/>
            </w:tcBorders>
            <w:shd w:val="clear" w:color="auto" w:fill="FFFFFF"/>
            <w:vAlign w:val="center"/>
          </w:tcPr>
          <w:p w14:paraId="6CB0EF2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Poor</w:t>
            </w:r>
          </w:p>
        </w:tc>
        <w:tc>
          <w:tcPr>
            <w:tcW w:w="643" w:type="pct"/>
            <w:tcBorders>
              <w:top w:val="nil"/>
              <w:left w:val="nil"/>
              <w:bottom w:val="nil"/>
              <w:right w:val="nil"/>
            </w:tcBorders>
            <w:shd w:val="clear" w:color="auto" w:fill="FFFFFF"/>
            <w:vAlign w:val="center"/>
          </w:tcPr>
          <w:p w14:paraId="5AD457C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36</w:t>
            </w:r>
          </w:p>
        </w:tc>
        <w:tc>
          <w:tcPr>
            <w:tcW w:w="768" w:type="pct"/>
            <w:tcBorders>
              <w:top w:val="nil"/>
              <w:left w:val="nil"/>
              <w:bottom w:val="nil"/>
              <w:right w:val="nil"/>
            </w:tcBorders>
            <w:shd w:val="clear" w:color="auto" w:fill="FFFFFF"/>
            <w:vAlign w:val="center"/>
          </w:tcPr>
          <w:p w14:paraId="1F38639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8.76</w:t>
            </w:r>
          </w:p>
        </w:tc>
        <w:tc>
          <w:tcPr>
            <w:tcW w:w="1215" w:type="pct"/>
            <w:tcBorders>
              <w:top w:val="nil"/>
              <w:left w:val="nil"/>
              <w:bottom w:val="nil"/>
              <w:right w:val="nil"/>
            </w:tcBorders>
            <w:shd w:val="clear" w:color="auto" w:fill="FFFFFF"/>
            <w:vAlign w:val="center"/>
          </w:tcPr>
          <w:p w14:paraId="515203E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8.76</w:t>
            </w:r>
          </w:p>
        </w:tc>
      </w:tr>
      <w:tr w:rsidR="0067740A" w14:paraId="0F2B4BFC" w14:textId="77777777">
        <w:trPr>
          <w:trHeight w:val="270"/>
        </w:trPr>
        <w:tc>
          <w:tcPr>
            <w:tcW w:w="1662" w:type="pct"/>
            <w:vMerge/>
            <w:tcBorders>
              <w:top w:val="nil"/>
              <w:left w:val="nil"/>
              <w:bottom w:val="nil"/>
              <w:right w:val="nil"/>
            </w:tcBorders>
            <w:shd w:val="clear" w:color="auto" w:fill="FFFFFF"/>
            <w:vAlign w:val="center"/>
          </w:tcPr>
          <w:p w14:paraId="08263C52"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3DE4BFA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Fair</w:t>
            </w:r>
          </w:p>
        </w:tc>
        <w:tc>
          <w:tcPr>
            <w:tcW w:w="643" w:type="pct"/>
            <w:tcBorders>
              <w:top w:val="nil"/>
              <w:left w:val="nil"/>
              <w:bottom w:val="nil"/>
              <w:right w:val="nil"/>
            </w:tcBorders>
            <w:shd w:val="clear" w:color="auto" w:fill="FFFFFF"/>
            <w:vAlign w:val="center"/>
          </w:tcPr>
          <w:p w14:paraId="0B9A17E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768" w:type="pct"/>
            <w:tcBorders>
              <w:top w:val="nil"/>
              <w:left w:val="nil"/>
              <w:bottom w:val="nil"/>
              <w:right w:val="nil"/>
            </w:tcBorders>
            <w:shd w:val="clear" w:color="auto" w:fill="FFFFFF"/>
            <w:vAlign w:val="center"/>
          </w:tcPr>
          <w:p w14:paraId="3194D54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215" w:type="pct"/>
            <w:tcBorders>
              <w:top w:val="nil"/>
              <w:left w:val="nil"/>
              <w:bottom w:val="nil"/>
              <w:right w:val="nil"/>
            </w:tcBorders>
            <w:shd w:val="clear" w:color="auto" w:fill="FFFFFF"/>
            <w:vAlign w:val="center"/>
          </w:tcPr>
          <w:p w14:paraId="35C62FF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16.30</w:t>
            </w:r>
          </w:p>
        </w:tc>
      </w:tr>
      <w:tr w:rsidR="0067740A" w14:paraId="6D38E2F0" w14:textId="77777777">
        <w:trPr>
          <w:trHeight w:val="270"/>
        </w:trPr>
        <w:tc>
          <w:tcPr>
            <w:tcW w:w="1662" w:type="pct"/>
            <w:vMerge/>
            <w:tcBorders>
              <w:top w:val="nil"/>
              <w:left w:val="nil"/>
              <w:bottom w:val="nil"/>
              <w:right w:val="nil"/>
            </w:tcBorders>
            <w:shd w:val="clear" w:color="auto" w:fill="FFFFFF"/>
            <w:vAlign w:val="center"/>
          </w:tcPr>
          <w:p w14:paraId="0B0EC4F0"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50A5DC1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Good</w:t>
            </w:r>
          </w:p>
        </w:tc>
        <w:tc>
          <w:tcPr>
            <w:tcW w:w="643" w:type="pct"/>
            <w:tcBorders>
              <w:top w:val="nil"/>
              <w:left w:val="nil"/>
              <w:bottom w:val="nil"/>
              <w:right w:val="nil"/>
            </w:tcBorders>
            <w:shd w:val="clear" w:color="auto" w:fill="FFFFFF"/>
            <w:vAlign w:val="center"/>
          </w:tcPr>
          <w:p w14:paraId="05FA35D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62</w:t>
            </w:r>
          </w:p>
        </w:tc>
        <w:tc>
          <w:tcPr>
            <w:tcW w:w="768" w:type="pct"/>
            <w:tcBorders>
              <w:top w:val="nil"/>
              <w:left w:val="nil"/>
              <w:bottom w:val="nil"/>
              <w:right w:val="nil"/>
            </w:tcBorders>
            <w:shd w:val="clear" w:color="auto" w:fill="FFFFFF"/>
            <w:vAlign w:val="center"/>
          </w:tcPr>
          <w:p w14:paraId="6AEFD21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c>
          <w:tcPr>
            <w:tcW w:w="1215" w:type="pct"/>
            <w:tcBorders>
              <w:top w:val="nil"/>
              <w:left w:val="nil"/>
              <w:bottom w:val="nil"/>
              <w:right w:val="nil"/>
            </w:tcBorders>
            <w:shd w:val="clear" w:color="auto" w:fill="FFFFFF"/>
            <w:vAlign w:val="center"/>
          </w:tcPr>
          <w:p w14:paraId="0D5ABE0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31.39</w:t>
            </w:r>
          </w:p>
        </w:tc>
      </w:tr>
      <w:tr w:rsidR="0067740A" w14:paraId="69252A5A" w14:textId="77777777">
        <w:trPr>
          <w:trHeight w:val="270"/>
        </w:trPr>
        <w:tc>
          <w:tcPr>
            <w:tcW w:w="1662" w:type="pct"/>
            <w:vMerge/>
            <w:tcBorders>
              <w:top w:val="nil"/>
              <w:left w:val="nil"/>
              <w:bottom w:val="nil"/>
              <w:right w:val="nil"/>
            </w:tcBorders>
            <w:shd w:val="clear" w:color="auto" w:fill="FFFFFF"/>
            <w:vAlign w:val="center"/>
          </w:tcPr>
          <w:p w14:paraId="3A670D92"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1E806199"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good</w:t>
            </w:r>
          </w:p>
        </w:tc>
        <w:tc>
          <w:tcPr>
            <w:tcW w:w="643" w:type="pct"/>
            <w:tcBorders>
              <w:top w:val="nil"/>
              <w:left w:val="nil"/>
              <w:bottom w:val="nil"/>
              <w:right w:val="nil"/>
            </w:tcBorders>
            <w:shd w:val="clear" w:color="auto" w:fill="FFFFFF"/>
            <w:vAlign w:val="center"/>
          </w:tcPr>
          <w:p w14:paraId="3E2CEFF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144</w:t>
            </w:r>
          </w:p>
        </w:tc>
        <w:tc>
          <w:tcPr>
            <w:tcW w:w="768" w:type="pct"/>
            <w:tcBorders>
              <w:top w:val="nil"/>
              <w:left w:val="nil"/>
              <w:bottom w:val="nil"/>
              <w:right w:val="nil"/>
            </w:tcBorders>
            <w:shd w:val="clear" w:color="auto" w:fill="FFFFFF"/>
            <w:vAlign w:val="center"/>
          </w:tcPr>
          <w:p w14:paraId="5CFEB83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35.04</w:t>
            </w:r>
          </w:p>
        </w:tc>
        <w:tc>
          <w:tcPr>
            <w:tcW w:w="1215" w:type="pct"/>
            <w:tcBorders>
              <w:top w:val="nil"/>
              <w:left w:val="nil"/>
              <w:bottom w:val="nil"/>
              <w:right w:val="nil"/>
            </w:tcBorders>
            <w:shd w:val="clear" w:color="auto" w:fill="FFFFFF"/>
            <w:vAlign w:val="center"/>
          </w:tcPr>
          <w:p w14:paraId="32EDD58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66.42</w:t>
            </w:r>
          </w:p>
        </w:tc>
      </w:tr>
      <w:tr w:rsidR="0067740A" w14:paraId="14FB6F7F" w14:textId="77777777">
        <w:trPr>
          <w:trHeight w:val="270"/>
        </w:trPr>
        <w:tc>
          <w:tcPr>
            <w:tcW w:w="1662" w:type="pct"/>
            <w:vMerge/>
            <w:tcBorders>
              <w:top w:val="nil"/>
              <w:left w:val="nil"/>
              <w:bottom w:val="nil"/>
              <w:right w:val="nil"/>
            </w:tcBorders>
            <w:shd w:val="clear" w:color="auto" w:fill="FFFFFF"/>
            <w:vAlign w:val="center"/>
          </w:tcPr>
          <w:p w14:paraId="51D6B322"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34A3038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Excellent</w:t>
            </w:r>
          </w:p>
        </w:tc>
        <w:tc>
          <w:tcPr>
            <w:tcW w:w="643" w:type="pct"/>
            <w:tcBorders>
              <w:top w:val="nil"/>
              <w:left w:val="nil"/>
              <w:bottom w:val="nil"/>
              <w:right w:val="nil"/>
            </w:tcBorders>
            <w:shd w:val="clear" w:color="auto" w:fill="FFFFFF"/>
            <w:vAlign w:val="center"/>
          </w:tcPr>
          <w:p w14:paraId="6CCB4CA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138</w:t>
            </w:r>
          </w:p>
        </w:tc>
        <w:tc>
          <w:tcPr>
            <w:tcW w:w="768" w:type="pct"/>
            <w:tcBorders>
              <w:top w:val="nil"/>
              <w:left w:val="nil"/>
              <w:bottom w:val="nil"/>
              <w:right w:val="nil"/>
            </w:tcBorders>
            <w:shd w:val="clear" w:color="auto" w:fill="FFFFFF"/>
            <w:vAlign w:val="center"/>
          </w:tcPr>
          <w:p w14:paraId="4E47764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33.58</w:t>
            </w:r>
          </w:p>
        </w:tc>
        <w:tc>
          <w:tcPr>
            <w:tcW w:w="1215" w:type="pct"/>
            <w:tcBorders>
              <w:top w:val="nil"/>
              <w:left w:val="nil"/>
              <w:bottom w:val="nil"/>
              <w:right w:val="nil"/>
            </w:tcBorders>
            <w:shd w:val="clear" w:color="auto" w:fill="FFFFFF"/>
            <w:vAlign w:val="center"/>
          </w:tcPr>
          <w:p w14:paraId="26909D9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0EDAAAB5" w14:textId="77777777">
        <w:trPr>
          <w:trHeight w:val="270"/>
        </w:trPr>
        <w:tc>
          <w:tcPr>
            <w:tcW w:w="1662" w:type="pct"/>
            <w:vMerge w:val="restart"/>
            <w:tcBorders>
              <w:top w:val="nil"/>
              <w:left w:val="nil"/>
              <w:bottom w:val="nil"/>
              <w:right w:val="nil"/>
            </w:tcBorders>
            <w:shd w:val="clear" w:color="auto" w:fill="FFFFFF"/>
            <w:vAlign w:val="center"/>
          </w:tcPr>
          <w:p w14:paraId="0CF11E5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11.To what extent do you agree with the following statements about Volkswagen’s sustainability initiatives?—Volkswagen’s initiatives positively impact my perception of the brand.</w:t>
            </w:r>
          </w:p>
        </w:tc>
        <w:tc>
          <w:tcPr>
            <w:tcW w:w="710" w:type="pct"/>
            <w:tcBorders>
              <w:top w:val="nil"/>
              <w:left w:val="nil"/>
              <w:bottom w:val="nil"/>
              <w:right w:val="nil"/>
            </w:tcBorders>
            <w:shd w:val="clear" w:color="auto" w:fill="FFFFFF"/>
            <w:vAlign w:val="center"/>
          </w:tcPr>
          <w:p w14:paraId="1926138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643" w:type="pct"/>
            <w:tcBorders>
              <w:top w:val="nil"/>
              <w:left w:val="nil"/>
              <w:bottom w:val="nil"/>
              <w:right w:val="nil"/>
            </w:tcBorders>
            <w:shd w:val="clear" w:color="auto" w:fill="FFFFFF"/>
            <w:vAlign w:val="center"/>
          </w:tcPr>
          <w:p w14:paraId="64C8CC2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36</w:t>
            </w:r>
          </w:p>
        </w:tc>
        <w:tc>
          <w:tcPr>
            <w:tcW w:w="768" w:type="pct"/>
            <w:tcBorders>
              <w:top w:val="nil"/>
              <w:left w:val="nil"/>
              <w:bottom w:val="nil"/>
              <w:right w:val="nil"/>
            </w:tcBorders>
            <w:shd w:val="clear" w:color="auto" w:fill="FFFFFF"/>
            <w:vAlign w:val="center"/>
          </w:tcPr>
          <w:p w14:paraId="064DF74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8.76</w:t>
            </w:r>
          </w:p>
        </w:tc>
        <w:tc>
          <w:tcPr>
            <w:tcW w:w="1215" w:type="pct"/>
            <w:tcBorders>
              <w:top w:val="nil"/>
              <w:left w:val="nil"/>
              <w:bottom w:val="nil"/>
              <w:right w:val="nil"/>
            </w:tcBorders>
            <w:shd w:val="clear" w:color="auto" w:fill="FFFFFF"/>
            <w:vAlign w:val="center"/>
          </w:tcPr>
          <w:p w14:paraId="7813135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8.76</w:t>
            </w:r>
          </w:p>
        </w:tc>
      </w:tr>
      <w:tr w:rsidR="0067740A" w14:paraId="1668FBAC" w14:textId="77777777">
        <w:trPr>
          <w:trHeight w:val="270"/>
        </w:trPr>
        <w:tc>
          <w:tcPr>
            <w:tcW w:w="1662" w:type="pct"/>
            <w:vMerge/>
            <w:tcBorders>
              <w:top w:val="nil"/>
              <w:left w:val="nil"/>
              <w:bottom w:val="nil"/>
              <w:right w:val="nil"/>
            </w:tcBorders>
            <w:shd w:val="clear" w:color="auto" w:fill="FFFFFF"/>
            <w:vAlign w:val="center"/>
          </w:tcPr>
          <w:p w14:paraId="75D3A603"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5394AD2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643" w:type="pct"/>
            <w:tcBorders>
              <w:top w:val="nil"/>
              <w:left w:val="nil"/>
              <w:bottom w:val="nil"/>
              <w:right w:val="nil"/>
            </w:tcBorders>
            <w:shd w:val="clear" w:color="auto" w:fill="FFFFFF"/>
            <w:vAlign w:val="center"/>
          </w:tcPr>
          <w:p w14:paraId="09C2EEB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23</w:t>
            </w:r>
          </w:p>
        </w:tc>
        <w:tc>
          <w:tcPr>
            <w:tcW w:w="768" w:type="pct"/>
            <w:tcBorders>
              <w:top w:val="nil"/>
              <w:left w:val="nil"/>
              <w:bottom w:val="nil"/>
              <w:right w:val="nil"/>
            </w:tcBorders>
            <w:shd w:val="clear" w:color="auto" w:fill="FFFFFF"/>
            <w:vAlign w:val="center"/>
          </w:tcPr>
          <w:p w14:paraId="164C6B2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5.60</w:t>
            </w:r>
          </w:p>
        </w:tc>
        <w:tc>
          <w:tcPr>
            <w:tcW w:w="1215" w:type="pct"/>
            <w:tcBorders>
              <w:top w:val="nil"/>
              <w:left w:val="nil"/>
              <w:bottom w:val="nil"/>
              <w:right w:val="nil"/>
            </w:tcBorders>
            <w:shd w:val="clear" w:color="auto" w:fill="FFFFFF"/>
            <w:vAlign w:val="center"/>
          </w:tcPr>
          <w:p w14:paraId="0CB8538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14.36</w:t>
            </w:r>
          </w:p>
        </w:tc>
      </w:tr>
      <w:tr w:rsidR="0067740A" w14:paraId="08B43CF3" w14:textId="77777777">
        <w:trPr>
          <w:trHeight w:val="270"/>
        </w:trPr>
        <w:tc>
          <w:tcPr>
            <w:tcW w:w="1662" w:type="pct"/>
            <w:vMerge/>
            <w:tcBorders>
              <w:top w:val="nil"/>
              <w:left w:val="nil"/>
              <w:bottom w:val="nil"/>
              <w:right w:val="nil"/>
            </w:tcBorders>
            <w:shd w:val="clear" w:color="auto" w:fill="FFFFFF"/>
            <w:vAlign w:val="center"/>
          </w:tcPr>
          <w:p w14:paraId="548BAD9B"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0D8FEF06"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43" w:type="pct"/>
            <w:tcBorders>
              <w:top w:val="nil"/>
              <w:left w:val="nil"/>
              <w:bottom w:val="nil"/>
              <w:right w:val="nil"/>
            </w:tcBorders>
            <w:shd w:val="clear" w:color="auto" w:fill="FFFFFF"/>
            <w:vAlign w:val="center"/>
          </w:tcPr>
          <w:p w14:paraId="65D1793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w:t>
            </w:r>
          </w:p>
        </w:tc>
        <w:tc>
          <w:tcPr>
            <w:tcW w:w="768" w:type="pct"/>
            <w:tcBorders>
              <w:top w:val="nil"/>
              <w:left w:val="nil"/>
              <w:bottom w:val="nil"/>
              <w:right w:val="nil"/>
            </w:tcBorders>
            <w:shd w:val="clear" w:color="auto" w:fill="FFFFFF"/>
            <w:vAlign w:val="center"/>
          </w:tcPr>
          <w:p w14:paraId="302524F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18.25</w:t>
            </w:r>
          </w:p>
        </w:tc>
        <w:tc>
          <w:tcPr>
            <w:tcW w:w="1215" w:type="pct"/>
            <w:tcBorders>
              <w:top w:val="nil"/>
              <w:left w:val="nil"/>
              <w:bottom w:val="nil"/>
              <w:right w:val="nil"/>
            </w:tcBorders>
            <w:shd w:val="clear" w:color="auto" w:fill="FFFFFF"/>
            <w:vAlign w:val="center"/>
          </w:tcPr>
          <w:p w14:paraId="1C08626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32.60</w:t>
            </w:r>
          </w:p>
        </w:tc>
      </w:tr>
      <w:tr w:rsidR="0067740A" w14:paraId="45A0BC77" w14:textId="77777777">
        <w:trPr>
          <w:trHeight w:val="270"/>
        </w:trPr>
        <w:tc>
          <w:tcPr>
            <w:tcW w:w="1662" w:type="pct"/>
            <w:vMerge/>
            <w:tcBorders>
              <w:top w:val="nil"/>
              <w:left w:val="nil"/>
              <w:bottom w:val="nil"/>
              <w:right w:val="nil"/>
            </w:tcBorders>
            <w:shd w:val="clear" w:color="auto" w:fill="FFFFFF"/>
            <w:vAlign w:val="center"/>
          </w:tcPr>
          <w:p w14:paraId="0592F1D9"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7154D4D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643" w:type="pct"/>
            <w:tcBorders>
              <w:top w:val="nil"/>
              <w:left w:val="nil"/>
              <w:bottom w:val="nil"/>
              <w:right w:val="nil"/>
            </w:tcBorders>
            <w:shd w:val="clear" w:color="auto" w:fill="FFFFFF"/>
            <w:vAlign w:val="center"/>
          </w:tcPr>
          <w:p w14:paraId="5E753E9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135</w:t>
            </w:r>
          </w:p>
        </w:tc>
        <w:tc>
          <w:tcPr>
            <w:tcW w:w="768" w:type="pct"/>
            <w:tcBorders>
              <w:top w:val="nil"/>
              <w:left w:val="nil"/>
              <w:bottom w:val="nil"/>
              <w:right w:val="nil"/>
            </w:tcBorders>
            <w:shd w:val="clear" w:color="auto" w:fill="FFFFFF"/>
            <w:vAlign w:val="center"/>
          </w:tcPr>
          <w:p w14:paraId="52EF6A5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32.85</w:t>
            </w:r>
          </w:p>
        </w:tc>
        <w:tc>
          <w:tcPr>
            <w:tcW w:w="1215" w:type="pct"/>
            <w:tcBorders>
              <w:top w:val="nil"/>
              <w:left w:val="nil"/>
              <w:bottom w:val="nil"/>
              <w:right w:val="nil"/>
            </w:tcBorders>
            <w:shd w:val="clear" w:color="auto" w:fill="FFFFFF"/>
            <w:vAlign w:val="center"/>
          </w:tcPr>
          <w:p w14:paraId="45CF87F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65.45</w:t>
            </w:r>
          </w:p>
        </w:tc>
      </w:tr>
      <w:tr w:rsidR="0067740A" w14:paraId="3A7C134F" w14:textId="77777777">
        <w:trPr>
          <w:trHeight w:val="270"/>
        </w:trPr>
        <w:tc>
          <w:tcPr>
            <w:tcW w:w="1662" w:type="pct"/>
            <w:vMerge/>
            <w:tcBorders>
              <w:top w:val="nil"/>
              <w:left w:val="nil"/>
              <w:bottom w:val="nil"/>
              <w:right w:val="nil"/>
            </w:tcBorders>
            <w:shd w:val="clear" w:color="auto" w:fill="FFFFFF"/>
            <w:vAlign w:val="center"/>
          </w:tcPr>
          <w:p w14:paraId="426B0CFA"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1FDDB44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643" w:type="pct"/>
            <w:tcBorders>
              <w:top w:val="nil"/>
              <w:left w:val="nil"/>
              <w:bottom w:val="nil"/>
              <w:right w:val="nil"/>
            </w:tcBorders>
            <w:shd w:val="clear" w:color="auto" w:fill="FFFFFF"/>
            <w:vAlign w:val="center"/>
          </w:tcPr>
          <w:p w14:paraId="175AD3E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142</w:t>
            </w:r>
          </w:p>
        </w:tc>
        <w:tc>
          <w:tcPr>
            <w:tcW w:w="768" w:type="pct"/>
            <w:tcBorders>
              <w:top w:val="nil"/>
              <w:left w:val="nil"/>
              <w:bottom w:val="nil"/>
              <w:right w:val="nil"/>
            </w:tcBorders>
            <w:shd w:val="clear" w:color="auto" w:fill="FFFFFF"/>
            <w:vAlign w:val="center"/>
          </w:tcPr>
          <w:p w14:paraId="127F136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34.55</w:t>
            </w:r>
          </w:p>
        </w:tc>
        <w:tc>
          <w:tcPr>
            <w:tcW w:w="1215" w:type="pct"/>
            <w:tcBorders>
              <w:top w:val="nil"/>
              <w:left w:val="nil"/>
              <w:bottom w:val="nil"/>
              <w:right w:val="nil"/>
            </w:tcBorders>
            <w:shd w:val="clear" w:color="auto" w:fill="FFFFFF"/>
            <w:vAlign w:val="center"/>
          </w:tcPr>
          <w:p w14:paraId="3018979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B40FDC7" w14:textId="77777777">
        <w:trPr>
          <w:trHeight w:val="270"/>
        </w:trPr>
        <w:tc>
          <w:tcPr>
            <w:tcW w:w="1662" w:type="pct"/>
            <w:vMerge w:val="restart"/>
            <w:tcBorders>
              <w:top w:val="nil"/>
              <w:left w:val="nil"/>
              <w:bottom w:val="nil"/>
              <w:right w:val="nil"/>
            </w:tcBorders>
            <w:shd w:val="clear" w:color="auto" w:fill="FFFFFF"/>
            <w:vAlign w:val="center"/>
          </w:tcPr>
          <w:p w14:paraId="44FD91E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I believe Volkswagen’s sustainability efforts are better than those of other automotive companies.</w:t>
            </w:r>
          </w:p>
        </w:tc>
        <w:tc>
          <w:tcPr>
            <w:tcW w:w="710" w:type="pct"/>
            <w:tcBorders>
              <w:top w:val="nil"/>
              <w:left w:val="nil"/>
              <w:bottom w:val="nil"/>
              <w:right w:val="nil"/>
            </w:tcBorders>
            <w:shd w:val="clear" w:color="auto" w:fill="FFFFFF"/>
            <w:vAlign w:val="center"/>
          </w:tcPr>
          <w:p w14:paraId="4ED3C48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643" w:type="pct"/>
            <w:tcBorders>
              <w:top w:val="nil"/>
              <w:left w:val="nil"/>
              <w:bottom w:val="nil"/>
              <w:right w:val="nil"/>
            </w:tcBorders>
            <w:shd w:val="clear" w:color="auto" w:fill="FFFFFF"/>
            <w:vAlign w:val="center"/>
          </w:tcPr>
          <w:p w14:paraId="2D26646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39</w:t>
            </w:r>
          </w:p>
        </w:tc>
        <w:tc>
          <w:tcPr>
            <w:tcW w:w="768" w:type="pct"/>
            <w:tcBorders>
              <w:top w:val="nil"/>
              <w:left w:val="nil"/>
              <w:bottom w:val="nil"/>
              <w:right w:val="nil"/>
            </w:tcBorders>
            <w:shd w:val="clear" w:color="auto" w:fill="FFFFFF"/>
            <w:vAlign w:val="center"/>
          </w:tcPr>
          <w:p w14:paraId="34E7821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9.49</w:t>
            </w:r>
          </w:p>
        </w:tc>
        <w:tc>
          <w:tcPr>
            <w:tcW w:w="1215" w:type="pct"/>
            <w:tcBorders>
              <w:top w:val="nil"/>
              <w:left w:val="nil"/>
              <w:bottom w:val="nil"/>
              <w:right w:val="nil"/>
            </w:tcBorders>
            <w:shd w:val="clear" w:color="auto" w:fill="FFFFFF"/>
            <w:vAlign w:val="center"/>
          </w:tcPr>
          <w:p w14:paraId="307673B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9.49</w:t>
            </w:r>
          </w:p>
        </w:tc>
      </w:tr>
      <w:tr w:rsidR="0067740A" w14:paraId="15F2C581" w14:textId="77777777">
        <w:trPr>
          <w:trHeight w:val="270"/>
        </w:trPr>
        <w:tc>
          <w:tcPr>
            <w:tcW w:w="1662" w:type="pct"/>
            <w:vMerge/>
            <w:tcBorders>
              <w:top w:val="nil"/>
              <w:left w:val="nil"/>
              <w:bottom w:val="nil"/>
              <w:right w:val="nil"/>
            </w:tcBorders>
            <w:shd w:val="clear" w:color="auto" w:fill="FFFFFF"/>
            <w:vAlign w:val="center"/>
          </w:tcPr>
          <w:p w14:paraId="1754A924"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25E9887F"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643" w:type="pct"/>
            <w:tcBorders>
              <w:top w:val="nil"/>
              <w:left w:val="nil"/>
              <w:bottom w:val="nil"/>
              <w:right w:val="nil"/>
            </w:tcBorders>
            <w:shd w:val="clear" w:color="auto" w:fill="FFFFFF"/>
            <w:vAlign w:val="center"/>
          </w:tcPr>
          <w:p w14:paraId="0B262F6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28</w:t>
            </w:r>
          </w:p>
        </w:tc>
        <w:tc>
          <w:tcPr>
            <w:tcW w:w="768" w:type="pct"/>
            <w:tcBorders>
              <w:top w:val="nil"/>
              <w:left w:val="nil"/>
              <w:bottom w:val="nil"/>
              <w:right w:val="nil"/>
            </w:tcBorders>
            <w:shd w:val="clear" w:color="auto" w:fill="FFFFFF"/>
            <w:vAlign w:val="center"/>
          </w:tcPr>
          <w:p w14:paraId="52F45B6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6.81</w:t>
            </w:r>
          </w:p>
        </w:tc>
        <w:tc>
          <w:tcPr>
            <w:tcW w:w="1215" w:type="pct"/>
            <w:tcBorders>
              <w:top w:val="nil"/>
              <w:left w:val="nil"/>
              <w:bottom w:val="nil"/>
              <w:right w:val="nil"/>
            </w:tcBorders>
            <w:shd w:val="clear" w:color="auto" w:fill="FFFFFF"/>
            <w:vAlign w:val="center"/>
          </w:tcPr>
          <w:p w14:paraId="03635CF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16.30</w:t>
            </w:r>
          </w:p>
        </w:tc>
      </w:tr>
      <w:tr w:rsidR="0067740A" w14:paraId="752E56F9" w14:textId="77777777">
        <w:trPr>
          <w:trHeight w:val="270"/>
        </w:trPr>
        <w:tc>
          <w:tcPr>
            <w:tcW w:w="1662" w:type="pct"/>
            <w:vMerge/>
            <w:tcBorders>
              <w:top w:val="nil"/>
              <w:left w:val="nil"/>
              <w:bottom w:val="nil"/>
              <w:right w:val="nil"/>
            </w:tcBorders>
            <w:shd w:val="clear" w:color="auto" w:fill="FFFFFF"/>
            <w:vAlign w:val="center"/>
          </w:tcPr>
          <w:p w14:paraId="1D8FA1CF"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2A3F41A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43" w:type="pct"/>
            <w:tcBorders>
              <w:top w:val="nil"/>
              <w:left w:val="nil"/>
              <w:bottom w:val="nil"/>
              <w:right w:val="nil"/>
            </w:tcBorders>
            <w:shd w:val="clear" w:color="auto" w:fill="FFFFFF"/>
            <w:vAlign w:val="center"/>
          </w:tcPr>
          <w:p w14:paraId="57C6EAD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w:t>
            </w:r>
          </w:p>
        </w:tc>
        <w:tc>
          <w:tcPr>
            <w:tcW w:w="768" w:type="pct"/>
            <w:tcBorders>
              <w:top w:val="nil"/>
              <w:left w:val="nil"/>
              <w:bottom w:val="nil"/>
              <w:right w:val="nil"/>
            </w:tcBorders>
            <w:shd w:val="clear" w:color="auto" w:fill="FFFFFF"/>
            <w:vAlign w:val="center"/>
          </w:tcPr>
          <w:p w14:paraId="052B993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17.76</w:t>
            </w:r>
          </w:p>
        </w:tc>
        <w:tc>
          <w:tcPr>
            <w:tcW w:w="1215" w:type="pct"/>
            <w:tcBorders>
              <w:top w:val="nil"/>
              <w:left w:val="nil"/>
              <w:bottom w:val="nil"/>
              <w:right w:val="nil"/>
            </w:tcBorders>
            <w:shd w:val="clear" w:color="auto" w:fill="FFFFFF"/>
            <w:vAlign w:val="center"/>
          </w:tcPr>
          <w:p w14:paraId="74A1906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34.06</w:t>
            </w:r>
          </w:p>
        </w:tc>
      </w:tr>
      <w:tr w:rsidR="0067740A" w14:paraId="095A410E" w14:textId="77777777">
        <w:trPr>
          <w:trHeight w:val="270"/>
        </w:trPr>
        <w:tc>
          <w:tcPr>
            <w:tcW w:w="1662" w:type="pct"/>
            <w:vMerge/>
            <w:tcBorders>
              <w:top w:val="nil"/>
              <w:left w:val="nil"/>
              <w:bottom w:val="nil"/>
              <w:right w:val="nil"/>
            </w:tcBorders>
            <w:shd w:val="clear" w:color="auto" w:fill="FFFFFF"/>
            <w:vAlign w:val="center"/>
          </w:tcPr>
          <w:p w14:paraId="0DCB8346"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5377CEC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643" w:type="pct"/>
            <w:tcBorders>
              <w:top w:val="nil"/>
              <w:left w:val="nil"/>
              <w:bottom w:val="nil"/>
              <w:right w:val="nil"/>
            </w:tcBorders>
            <w:shd w:val="clear" w:color="auto" w:fill="FFFFFF"/>
            <w:vAlign w:val="center"/>
          </w:tcPr>
          <w:p w14:paraId="3645550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130</w:t>
            </w:r>
          </w:p>
        </w:tc>
        <w:tc>
          <w:tcPr>
            <w:tcW w:w="768" w:type="pct"/>
            <w:tcBorders>
              <w:top w:val="nil"/>
              <w:left w:val="nil"/>
              <w:bottom w:val="nil"/>
              <w:right w:val="nil"/>
            </w:tcBorders>
            <w:shd w:val="clear" w:color="auto" w:fill="FFFFFF"/>
            <w:vAlign w:val="center"/>
          </w:tcPr>
          <w:p w14:paraId="1CDCD7F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31.63</w:t>
            </w:r>
          </w:p>
        </w:tc>
        <w:tc>
          <w:tcPr>
            <w:tcW w:w="1215" w:type="pct"/>
            <w:tcBorders>
              <w:top w:val="nil"/>
              <w:left w:val="nil"/>
              <w:bottom w:val="nil"/>
              <w:right w:val="nil"/>
            </w:tcBorders>
            <w:shd w:val="clear" w:color="auto" w:fill="FFFFFF"/>
            <w:vAlign w:val="center"/>
          </w:tcPr>
          <w:p w14:paraId="5F5635C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65.69</w:t>
            </w:r>
          </w:p>
        </w:tc>
      </w:tr>
      <w:tr w:rsidR="0067740A" w14:paraId="6BB97D8E" w14:textId="77777777">
        <w:trPr>
          <w:trHeight w:val="270"/>
        </w:trPr>
        <w:tc>
          <w:tcPr>
            <w:tcW w:w="1662" w:type="pct"/>
            <w:vMerge/>
            <w:tcBorders>
              <w:top w:val="nil"/>
              <w:left w:val="nil"/>
              <w:bottom w:val="nil"/>
              <w:right w:val="nil"/>
            </w:tcBorders>
            <w:shd w:val="clear" w:color="auto" w:fill="FFFFFF"/>
            <w:vAlign w:val="center"/>
          </w:tcPr>
          <w:p w14:paraId="667E722D"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1BEF1C1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643" w:type="pct"/>
            <w:tcBorders>
              <w:top w:val="nil"/>
              <w:left w:val="nil"/>
              <w:bottom w:val="nil"/>
              <w:right w:val="nil"/>
            </w:tcBorders>
            <w:shd w:val="clear" w:color="auto" w:fill="FFFFFF"/>
            <w:vAlign w:val="center"/>
          </w:tcPr>
          <w:p w14:paraId="3F16505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141</w:t>
            </w:r>
          </w:p>
        </w:tc>
        <w:tc>
          <w:tcPr>
            <w:tcW w:w="768" w:type="pct"/>
            <w:tcBorders>
              <w:top w:val="nil"/>
              <w:left w:val="nil"/>
              <w:bottom w:val="nil"/>
              <w:right w:val="nil"/>
            </w:tcBorders>
            <w:shd w:val="clear" w:color="auto" w:fill="FFFFFF"/>
            <w:vAlign w:val="center"/>
          </w:tcPr>
          <w:p w14:paraId="5615D2B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34.31</w:t>
            </w:r>
          </w:p>
        </w:tc>
        <w:tc>
          <w:tcPr>
            <w:tcW w:w="1215" w:type="pct"/>
            <w:tcBorders>
              <w:top w:val="nil"/>
              <w:left w:val="nil"/>
              <w:bottom w:val="nil"/>
              <w:right w:val="nil"/>
            </w:tcBorders>
            <w:shd w:val="clear" w:color="auto" w:fill="FFFFFF"/>
            <w:vAlign w:val="center"/>
          </w:tcPr>
          <w:p w14:paraId="1E422CB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8A50CA6" w14:textId="77777777">
        <w:trPr>
          <w:trHeight w:val="270"/>
        </w:trPr>
        <w:tc>
          <w:tcPr>
            <w:tcW w:w="1662" w:type="pct"/>
            <w:vMerge w:val="restart"/>
            <w:tcBorders>
              <w:top w:val="nil"/>
              <w:left w:val="nil"/>
              <w:bottom w:val="nil"/>
              <w:right w:val="nil"/>
            </w:tcBorders>
            <w:shd w:val="clear" w:color="auto" w:fill="FFFFFF"/>
            <w:vAlign w:val="center"/>
          </w:tcPr>
          <w:p w14:paraId="4612A91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Volkswagen’s sustainability practices influence my decision to purchase their products.</w:t>
            </w:r>
          </w:p>
        </w:tc>
        <w:tc>
          <w:tcPr>
            <w:tcW w:w="710" w:type="pct"/>
            <w:tcBorders>
              <w:top w:val="nil"/>
              <w:left w:val="nil"/>
              <w:bottom w:val="nil"/>
              <w:right w:val="nil"/>
            </w:tcBorders>
            <w:shd w:val="clear" w:color="auto" w:fill="FFFFFF"/>
            <w:vAlign w:val="center"/>
          </w:tcPr>
          <w:p w14:paraId="54ECF46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643" w:type="pct"/>
            <w:tcBorders>
              <w:top w:val="nil"/>
              <w:left w:val="nil"/>
              <w:bottom w:val="nil"/>
              <w:right w:val="nil"/>
            </w:tcBorders>
            <w:shd w:val="clear" w:color="auto" w:fill="FFFFFF"/>
            <w:vAlign w:val="center"/>
          </w:tcPr>
          <w:p w14:paraId="2167E2B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22</w:t>
            </w:r>
          </w:p>
        </w:tc>
        <w:tc>
          <w:tcPr>
            <w:tcW w:w="768" w:type="pct"/>
            <w:tcBorders>
              <w:top w:val="nil"/>
              <w:left w:val="nil"/>
              <w:bottom w:val="nil"/>
              <w:right w:val="nil"/>
            </w:tcBorders>
            <w:shd w:val="clear" w:color="auto" w:fill="FFFFFF"/>
            <w:vAlign w:val="center"/>
          </w:tcPr>
          <w:p w14:paraId="29723AA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5.35</w:t>
            </w:r>
          </w:p>
        </w:tc>
        <w:tc>
          <w:tcPr>
            <w:tcW w:w="1215" w:type="pct"/>
            <w:tcBorders>
              <w:top w:val="nil"/>
              <w:left w:val="nil"/>
              <w:bottom w:val="nil"/>
              <w:right w:val="nil"/>
            </w:tcBorders>
            <w:shd w:val="clear" w:color="auto" w:fill="FFFFFF"/>
            <w:vAlign w:val="center"/>
          </w:tcPr>
          <w:p w14:paraId="1E41429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5.35</w:t>
            </w:r>
          </w:p>
        </w:tc>
      </w:tr>
      <w:tr w:rsidR="0067740A" w14:paraId="66DB9711" w14:textId="77777777">
        <w:trPr>
          <w:trHeight w:val="270"/>
        </w:trPr>
        <w:tc>
          <w:tcPr>
            <w:tcW w:w="1662" w:type="pct"/>
            <w:vMerge/>
            <w:tcBorders>
              <w:top w:val="nil"/>
              <w:left w:val="nil"/>
              <w:bottom w:val="nil"/>
              <w:right w:val="nil"/>
            </w:tcBorders>
            <w:shd w:val="clear" w:color="auto" w:fill="FFFFFF"/>
            <w:vAlign w:val="center"/>
          </w:tcPr>
          <w:p w14:paraId="7EE31C0F"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69B870E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643" w:type="pct"/>
            <w:tcBorders>
              <w:top w:val="nil"/>
              <w:left w:val="nil"/>
              <w:bottom w:val="nil"/>
              <w:right w:val="nil"/>
            </w:tcBorders>
            <w:shd w:val="clear" w:color="auto" w:fill="FFFFFF"/>
            <w:vAlign w:val="center"/>
          </w:tcPr>
          <w:p w14:paraId="63CFEE5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46</w:t>
            </w:r>
          </w:p>
        </w:tc>
        <w:tc>
          <w:tcPr>
            <w:tcW w:w="768" w:type="pct"/>
            <w:tcBorders>
              <w:top w:val="nil"/>
              <w:left w:val="nil"/>
              <w:bottom w:val="nil"/>
              <w:right w:val="nil"/>
            </w:tcBorders>
            <w:shd w:val="clear" w:color="auto" w:fill="FFFFFF"/>
            <w:vAlign w:val="center"/>
          </w:tcPr>
          <w:p w14:paraId="3AF8323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11.19</w:t>
            </w:r>
          </w:p>
        </w:tc>
        <w:tc>
          <w:tcPr>
            <w:tcW w:w="1215" w:type="pct"/>
            <w:tcBorders>
              <w:top w:val="nil"/>
              <w:left w:val="nil"/>
              <w:bottom w:val="nil"/>
              <w:right w:val="nil"/>
            </w:tcBorders>
            <w:shd w:val="clear" w:color="auto" w:fill="FFFFFF"/>
            <w:vAlign w:val="center"/>
          </w:tcPr>
          <w:p w14:paraId="5EAB25F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16.55</w:t>
            </w:r>
          </w:p>
        </w:tc>
      </w:tr>
      <w:tr w:rsidR="0067740A" w14:paraId="6F85313D" w14:textId="77777777">
        <w:trPr>
          <w:trHeight w:val="270"/>
        </w:trPr>
        <w:tc>
          <w:tcPr>
            <w:tcW w:w="1662" w:type="pct"/>
            <w:vMerge/>
            <w:tcBorders>
              <w:top w:val="nil"/>
              <w:left w:val="nil"/>
              <w:bottom w:val="nil"/>
              <w:right w:val="nil"/>
            </w:tcBorders>
            <w:shd w:val="clear" w:color="auto" w:fill="FFFFFF"/>
            <w:vAlign w:val="center"/>
          </w:tcPr>
          <w:p w14:paraId="113F656F"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48230946"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43" w:type="pct"/>
            <w:tcBorders>
              <w:top w:val="nil"/>
              <w:left w:val="nil"/>
              <w:bottom w:val="nil"/>
              <w:right w:val="nil"/>
            </w:tcBorders>
            <w:shd w:val="clear" w:color="auto" w:fill="FFFFFF"/>
            <w:vAlign w:val="center"/>
          </w:tcPr>
          <w:p w14:paraId="032793E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71</w:t>
            </w:r>
          </w:p>
        </w:tc>
        <w:tc>
          <w:tcPr>
            <w:tcW w:w="768" w:type="pct"/>
            <w:tcBorders>
              <w:top w:val="nil"/>
              <w:left w:val="nil"/>
              <w:bottom w:val="nil"/>
              <w:right w:val="nil"/>
            </w:tcBorders>
            <w:shd w:val="clear" w:color="auto" w:fill="FFFFFF"/>
            <w:vAlign w:val="center"/>
          </w:tcPr>
          <w:p w14:paraId="2060E33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17.27</w:t>
            </w:r>
          </w:p>
        </w:tc>
        <w:tc>
          <w:tcPr>
            <w:tcW w:w="1215" w:type="pct"/>
            <w:tcBorders>
              <w:top w:val="nil"/>
              <w:left w:val="nil"/>
              <w:bottom w:val="nil"/>
              <w:right w:val="nil"/>
            </w:tcBorders>
            <w:shd w:val="clear" w:color="auto" w:fill="FFFFFF"/>
            <w:vAlign w:val="center"/>
          </w:tcPr>
          <w:p w14:paraId="3FF9DC4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33.82</w:t>
            </w:r>
          </w:p>
        </w:tc>
      </w:tr>
      <w:tr w:rsidR="0067740A" w14:paraId="6EB17468" w14:textId="77777777">
        <w:trPr>
          <w:trHeight w:val="270"/>
        </w:trPr>
        <w:tc>
          <w:tcPr>
            <w:tcW w:w="1662" w:type="pct"/>
            <w:vMerge/>
            <w:tcBorders>
              <w:top w:val="nil"/>
              <w:left w:val="nil"/>
              <w:bottom w:val="nil"/>
              <w:right w:val="nil"/>
            </w:tcBorders>
            <w:shd w:val="clear" w:color="auto" w:fill="FFFFFF"/>
            <w:vAlign w:val="center"/>
          </w:tcPr>
          <w:p w14:paraId="63BEE4FF"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2D6403C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643" w:type="pct"/>
            <w:tcBorders>
              <w:top w:val="nil"/>
              <w:left w:val="nil"/>
              <w:bottom w:val="nil"/>
              <w:right w:val="nil"/>
            </w:tcBorders>
            <w:shd w:val="clear" w:color="auto" w:fill="FFFFFF"/>
            <w:vAlign w:val="center"/>
          </w:tcPr>
          <w:p w14:paraId="70F277E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146</w:t>
            </w:r>
          </w:p>
        </w:tc>
        <w:tc>
          <w:tcPr>
            <w:tcW w:w="768" w:type="pct"/>
            <w:tcBorders>
              <w:top w:val="nil"/>
              <w:left w:val="nil"/>
              <w:bottom w:val="nil"/>
              <w:right w:val="nil"/>
            </w:tcBorders>
            <w:shd w:val="clear" w:color="auto" w:fill="FFFFFF"/>
            <w:vAlign w:val="center"/>
          </w:tcPr>
          <w:p w14:paraId="20EFE8F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35.52</w:t>
            </w:r>
          </w:p>
        </w:tc>
        <w:tc>
          <w:tcPr>
            <w:tcW w:w="1215" w:type="pct"/>
            <w:tcBorders>
              <w:top w:val="nil"/>
              <w:left w:val="nil"/>
              <w:bottom w:val="nil"/>
              <w:right w:val="nil"/>
            </w:tcBorders>
            <w:shd w:val="clear" w:color="auto" w:fill="FFFFFF"/>
            <w:vAlign w:val="center"/>
          </w:tcPr>
          <w:p w14:paraId="2EC8F6D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69.34</w:t>
            </w:r>
          </w:p>
        </w:tc>
      </w:tr>
      <w:tr w:rsidR="0067740A" w14:paraId="7E73A7BB" w14:textId="77777777">
        <w:trPr>
          <w:trHeight w:val="270"/>
        </w:trPr>
        <w:tc>
          <w:tcPr>
            <w:tcW w:w="1662" w:type="pct"/>
            <w:vMerge/>
            <w:tcBorders>
              <w:top w:val="nil"/>
              <w:left w:val="nil"/>
              <w:bottom w:val="nil"/>
              <w:right w:val="nil"/>
            </w:tcBorders>
            <w:shd w:val="clear" w:color="auto" w:fill="FFFFFF"/>
            <w:vAlign w:val="center"/>
          </w:tcPr>
          <w:p w14:paraId="28CBBABC" w14:textId="77777777" w:rsidR="0067740A" w:rsidRDefault="0067740A">
            <w:pPr>
              <w:spacing w:line="360" w:lineRule="auto"/>
              <w:jc w:val="center"/>
              <w:rPr>
                <w:rFonts w:ascii="Arial" w:eastAsia="宋体" w:hAnsi="Arial" w:cs="Arial"/>
                <w:color w:val="000000"/>
              </w:rPr>
            </w:pPr>
          </w:p>
        </w:tc>
        <w:tc>
          <w:tcPr>
            <w:tcW w:w="710" w:type="pct"/>
            <w:tcBorders>
              <w:top w:val="nil"/>
              <w:left w:val="nil"/>
              <w:bottom w:val="nil"/>
              <w:right w:val="nil"/>
            </w:tcBorders>
            <w:shd w:val="clear" w:color="auto" w:fill="FFFFFF"/>
            <w:vAlign w:val="center"/>
          </w:tcPr>
          <w:p w14:paraId="2AC7890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643" w:type="pct"/>
            <w:tcBorders>
              <w:top w:val="nil"/>
              <w:left w:val="nil"/>
              <w:bottom w:val="nil"/>
              <w:right w:val="nil"/>
            </w:tcBorders>
            <w:shd w:val="clear" w:color="auto" w:fill="FFFFFF"/>
            <w:vAlign w:val="center"/>
          </w:tcPr>
          <w:p w14:paraId="43DFA28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126</w:t>
            </w:r>
          </w:p>
        </w:tc>
        <w:tc>
          <w:tcPr>
            <w:tcW w:w="768" w:type="pct"/>
            <w:tcBorders>
              <w:top w:val="nil"/>
              <w:left w:val="nil"/>
              <w:bottom w:val="nil"/>
              <w:right w:val="nil"/>
            </w:tcBorders>
            <w:shd w:val="clear" w:color="auto" w:fill="FFFFFF"/>
            <w:vAlign w:val="center"/>
          </w:tcPr>
          <w:p w14:paraId="756A497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30.66</w:t>
            </w:r>
          </w:p>
        </w:tc>
        <w:tc>
          <w:tcPr>
            <w:tcW w:w="1215" w:type="pct"/>
            <w:tcBorders>
              <w:top w:val="nil"/>
              <w:left w:val="nil"/>
              <w:bottom w:val="nil"/>
              <w:right w:val="nil"/>
            </w:tcBorders>
            <w:shd w:val="clear" w:color="auto" w:fill="FFFFFF"/>
            <w:vAlign w:val="center"/>
          </w:tcPr>
          <w:p w14:paraId="0990435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373A0DBC" w14:textId="77777777">
        <w:trPr>
          <w:trHeight w:val="270"/>
        </w:trPr>
        <w:tc>
          <w:tcPr>
            <w:tcW w:w="2372" w:type="pct"/>
            <w:gridSpan w:val="2"/>
            <w:tcBorders>
              <w:top w:val="nil"/>
              <w:left w:val="nil"/>
              <w:bottom w:val="single" w:sz="8" w:space="0" w:color="auto"/>
              <w:right w:val="nil"/>
            </w:tcBorders>
            <w:shd w:val="clear" w:color="auto" w:fill="FFFFFF"/>
            <w:vAlign w:val="center"/>
          </w:tcPr>
          <w:p w14:paraId="35F6B64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643" w:type="pct"/>
            <w:tcBorders>
              <w:top w:val="nil"/>
              <w:left w:val="nil"/>
              <w:bottom w:val="single" w:sz="8" w:space="0" w:color="auto"/>
              <w:right w:val="nil"/>
            </w:tcBorders>
            <w:shd w:val="clear" w:color="auto" w:fill="FFFFFF"/>
            <w:vAlign w:val="center"/>
          </w:tcPr>
          <w:p w14:paraId="54BCB47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411</w:t>
            </w:r>
          </w:p>
        </w:tc>
        <w:tc>
          <w:tcPr>
            <w:tcW w:w="768" w:type="pct"/>
            <w:tcBorders>
              <w:top w:val="nil"/>
              <w:left w:val="nil"/>
              <w:bottom w:val="single" w:sz="8" w:space="0" w:color="auto"/>
              <w:right w:val="nil"/>
            </w:tcBorders>
            <w:shd w:val="clear" w:color="auto" w:fill="FFFFFF"/>
            <w:vAlign w:val="center"/>
          </w:tcPr>
          <w:p w14:paraId="666402C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c>
          <w:tcPr>
            <w:tcW w:w="1215" w:type="pct"/>
            <w:tcBorders>
              <w:top w:val="nil"/>
              <w:left w:val="nil"/>
              <w:bottom w:val="single" w:sz="8" w:space="0" w:color="auto"/>
              <w:right w:val="nil"/>
            </w:tcBorders>
            <w:shd w:val="clear" w:color="auto" w:fill="FFFFFF"/>
            <w:vAlign w:val="center"/>
          </w:tcPr>
          <w:p w14:paraId="25CCA74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r>
    </w:tbl>
    <w:p w14:paraId="492DAEF3" w14:textId="77777777" w:rsidR="0067740A" w:rsidRDefault="00000000">
      <w:pPr>
        <w:pStyle w:val="a6"/>
        <w:spacing w:line="360" w:lineRule="auto"/>
        <w:rPr>
          <w:rFonts w:ascii="Arial" w:eastAsia="宋体" w:hAnsi="Arial" w:cs="Arial"/>
        </w:rPr>
      </w:pPr>
      <w:r>
        <w:rPr>
          <w:rFonts w:ascii="Arial" w:hAnsi="Arial" w:cs="Arial"/>
          <w:lang w:val="en-SG" w:eastAsia="zh-CN"/>
        </w:rPr>
        <w:lastRenderedPageBreak/>
        <w:t xml:space="preserve">      </w:t>
      </w:r>
      <w:r>
        <w:rPr>
          <w:rFonts w:ascii="Arial" w:hAnsi="Arial" w:cs="Arial"/>
        </w:rPr>
        <w:t xml:space="preserve">As we can see from the table above, </w:t>
      </w:r>
      <w:proofErr w:type="gramStart"/>
      <w:r>
        <w:rPr>
          <w:rFonts w:ascii="Arial" w:hAnsi="Arial" w:cs="Arial"/>
        </w:rPr>
        <w:t>the majority of</w:t>
      </w:r>
      <w:proofErr w:type="gramEnd"/>
      <w:r>
        <w:rPr>
          <w:rFonts w:ascii="Arial" w:hAnsi="Arial" w:cs="Arial"/>
        </w:rPr>
        <w:t xml:space="preserve"> respondents rated Volkswagen positively when assessing its performance in environmental impact, innovation in electric vehicles, brand reputation, corporate transparency and customer service. Specifically, in terms of environmental impact, 38.93% of the respondents considered Volkswagen’s performance to be “excellent”, while in terms of electric vehicle innovation, brand reputation, corporate transparency and customer service, the combined proportion of “excellent” and “very good” exceeded 60%, showing that Volkswagen has made remarkable achievements in these areas.</w:t>
      </w:r>
    </w:p>
    <w:p w14:paraId="789D8F51" w14:textId="77777777" w:rsidR="0067740A" w:rsidRDefault="00000000">
      <w:pPr>
        <w:pStyle w:val="a6"/>
        <w:spacing w:line="360" w:lineRule="auto"/>
        <w:ind w:left="28" w:firstLine="479"/>
        <w:rPr>
          <w:rFonts w:ascii="Arial" w:hAnsi="Arial" w:cs="Arial"/>
        </w:rPr>
      </w:pPr>
      <w:r>
        <w:rPr>
          <w:rFonts w:ascii="Arial" w:hAnsi="Arial" w:cs="Arial"/>
        </w:rPr>
        <w:t xml:space="preserve">At the same time, when it comes to Volkswagen’s sustainability initiatives, </w:t>
      </w:r>
      <w:proofErr w:type="gramStart"/>
      <w:r>
        <w:rPr>
          <w:rFonts w:ascii="Arial" w:hAnsi="Arial" w:cs="Arial"/>
        </w:rPr>
        <w:t>the vast majority of</w:t>
      </w:r>
      <w:proofErr w:type="gramEnd"/>
      <w:r>
        <w:rPr>
          <w:rFonts w:ascii="Arial" w:hAnsi="Arial" w:cs="Arial"/>
        </w:rPr>
        <w:t xml:space="preserve"> respondents are positive. More than a third of respondents “strongly agree”</w:t>
      </w:r>
      <w:r>
        <w:rPr>
          <w:rFonts w:ascii="Arial" w:hAnsi="Arial" w:cs="Arial"/>
          <w:spacing w:val="-15"/>
        </w:rPr>
        <w:t xml:space="preserve"> </w:t>
      </w:r>
      <w:r>
        <w:rPr>
          <w:rFonts w:ascii="Arial" w:hAnsi="Arial" w:cs="Arial"/>
        </w:rPr>
        <w:t>or</w:t>
      </w:r>
      <w:r>
        <w:rPr>
          <w:rFonts w:ascii="Arial" w:hAnsi="Arial" w:cs="Arial"/>
          <w:spacing w:val="-15"/>
        </w:rPr>
        <w:t xml:space="preserve"> “</w:t>
      </w:r>
      <w:r>
        <w:rPr>
          <w:rFonts w:ascii="Arial" w:hAnsi="Arial" w:cs="Arial"/>
        </w:rPr>
        <w:t>agree”</w:t>
      </w:r>
      <w:r>
        <w:rPr>
          <w:rFonts w:ascii="Arial" w:hAnsi="Arial" w:cs="Arial"/>
          <w:spacing w:val="-15"/>
        </w:rPr>
        <w:t xml:space="preserve"> </w:t>
      </w:r>
      <w:r>
        <w:rPr>
          <w:rFonts w:ascii="Arial" w:hAnsi="Arial" w:cs="Arial"/>
        </w:rPr>
        <w:t>that</w:t>
      </w:r>
      <w:r>
        <w:rPr>
          <w:rFonts w:ascii="Arial" w:hAnsi="Arial" w:cs="Arial"/>
          <w:spacing w:val="-15"/>
        </w:rPr>
        <w:t xml:space="preserve"> </w:t>
      </w:r>
      <w:r>
        <w:rPr>
          <w:rFonts w:ascii="Arial" w:hAnsi="Arial" w:cs="Arial"/>
        </w:rPr>
        <w:t>Volkswagen’s</w:t>
      </w:r>
      <w:r>
        <w:rPr>
          <w:rFonts w:ascii="Arial" w:hAnsi="Arial" w:cs="Arial"/>
          <w:spacing w:val="-15"/>
        </w:rPr>
        <w:t xml:space="preserve"> </w:t>
      </w:r>
      <w:r>
        <w:rPr>
          <w:rFonts w:ascii="Arial" w:hAnsi="Arial" w:cs="Arial"/>
        </w:rPr>
        <w:t>sustainability</w:t>
      </w:r>
      <w:r>
        <w:rPr>
          <w:rFonts w:ascii="Arial" w:hAnsi="Arial" w:cs="Arial"/>
          <w:spacing w:val="-15"/>
        </w:rPr>
        <w:t xml:space="preserve"> </w:t>
      </w:r>
      <w:r>
        <w:rPr>
          <w:rFonts w:ascii="Arial" w:hAnsi="Arial" w:cs="Arial"/>
        </w:rPr>
        <w:t>initiatives</w:t>
      </w:r>
      <w:r>
        <w:rPr>
          <w:rFonts w:ascii="Arial" w:hAnsi="Arial" w:cs="Arial"/>
          <w:spacing w:val="-15"/>
        </w:rPr>
        <w:t xml:space="preserve"> </w:t>
      </w:r>
      <w:r>
        <w:rPr>
          <w:rFonts w:ascii="Arial" w:hAnsi="Arial" w:cs="Arial"/>
        </w:rPr>
        <w:t>have</w:t>
      </w:r>
      <w:r>
        <w:rPr>
          <w:rFonts w:ascii="Arial" w:hAnsi="Arial" w:cs="Arial"/>
          <w:spacing w:val="-15"/>
        </w:rPr>
        <w:t xml:space="preserve"> </w:t>
      </w:r>
      <w:r>
        <w:rPr>
          <w:rFonts w:ascii="Arial" w:hAnsi="Arial" w:cs="Arial"/>
        </w:rPr>
        <w:t>had</w:t>
      </w:r>
      <w:r>
        <w:rPr>
          <w:rFonts w:ascii="Arial" w:hAnsi="Arial" w:cs="Arial"/>
          <w:spacing w:val="-15"/>
        </w:rPr>
        <w:t xml:space="preserve"> </w:t>
      </w:r>
      <w:r>
        <w:rPr>
          <w:rFonts w:ascii="Arial" w:hAnsi="Arial" w:cs="Arial"/>
        </w:rPr>
        <w:t>a</w:t>
      </w:r>
      <w:r>
        <w:rPr>
          <w:rFonts w:ascii="Arial" w:hAnsi="Arial" w:cs="Arial"/>
          <w:spacing w:val="-15"/>
        </w:rPr>
        <w:t xml:space="preserve"> </w:t>
      </w:r>
      <w:r>
        <w:rPr>
          <w:rFonts w:ascii="Arial" w:hAnsi="Arial" w:cs="Arial"/>
        </w:rPr>
        <w:t>positive</w:t>
      </w:r>
      <w:r>
        <w:rPr>
          <w:rFonts w:ascii="Arial" w:hAnsi="Arial" w:cs="Arial"/>
          <w:spacing w:val="-15"/>
        </w:rPr>
        <w:t xml:space="preserve"> </w:t>
      </w:r>
      <w:r>
        <w:rPr>
          <w:rFonts w:ascii="Arial" w:hAnsi="Arial" w:cs="Arial"/>
        </w:rPr>
        <w:t xml:space="preserve">impact on their brand </w:t>
      </w:r>
      <w:proofErr w:type="gramStart"/>
      <w:r>
        <w:rPr>
          <w:rFonts w:ascii="Arial" w:hAnsi="Arial" w:cs="Arial"/>
        </w:rPr>
        <w:t>perception, and</w:t>
      </w:r>
      <w:proofErr w:type="gramEnd"/>
      <w:r>
        <w:rPr>
          <w:rFonts w:ascii="Arial" w:hAnsi="Arial" w:cs="Arial"/>
        </w:rPr>
        <w:t xml:space="preserve"> believe that Volkswagen</w:t>
      </w:r>
      <w:r>
        <w:rPr>
          <w:rFonts w:ascii="Arial" w:hAnsi="Arial" w:cs="Arial"/>
          <w:lang w:eastAsia="zh-CN"/>
        </w:rPr>
        <w:t>’</w:t>
      </w:r>
      <w:r>
        <w:rPr>
          <w:rFonts w:ascii="Arial" w:hAnsi="Arial" w:cs="Arial"/>
        </w:rPr>
        <w:t>s sustainability efforts are better than those of other automotive companies. In addition, a significant number of respondents said Volkswagen’s sustainability practices would influence their decision to buy the brand’s products.</w:t>
      </w:r>
    </w:p>
    <w:p w14:paraId="4F901DF8" w14:textId="77777777" w:rsidR="0067740A" w:rsidRDefault="00000000">
      <w:pPr>
        <w:pStyle w:val="a6"/>
        <w:spacing w:line="360" w:lineRule="auto"/>
        <w:ind w:left="28" w:firstLine="479"/>
        <w:rPr>
          <w:rFonts w:ascii="Arial" w:eastAsia="宋体" w:hAnsi="Arial" w:cs="Arial"/>
        </w:rPr>
      </w:pPr>
      <w:r>
        <w:rPr>
          <w:rFonts w:ascii="Arial" w:hAnsi="Arial" w:cs="Arial"/>
        </w:rPr>
        <w:t>In summary, Volkswagen has received widespread recognition and high ratings from respondents in areas such as environmental impact, technological innovation, brand reputation, corporate transparency, and customer service,</w:t>
      </w:r>
      <w:r>
        <w:rPr>
          <w:rFonts w:ascii="Arial" w:hAnsi="Arial" w:cs="Arial"/>
          <w:spacing w:val="-3"/>
        </w:rPr>
        <w:t xml:space="preserve"> </w:t>
      </w:r>
      <w:r>
        <w:rPr>
          <w:rFonts w:ascii="Arial" w:hAnsi="Arial" w:cs="Arial"/>
        </w:rPr>
        <w:t>while</w:t>
      </w:r>
      <w:r>
        <w:rPr>
          <w:rFonts w:ascii="Arial" w:hAnsi="Arial" w:cs="Arial"/>
          <w:spacing w:val="-5"/>
        </w:rPr>
        <w:t xml:space="preserve"> </w:t>
      </w:r>
      <w:r>
        <w:rPr>
          <w:rFonts w:ascii="Arial" w:hAnsi="Arial" w:cs="Arial"/>
        </w:rPr>
        <w:t xml:space="preserve">its sustainability initiatives have further enhanced consumers’ trust and loyalty to the </w:t>
      </w:r>
      <w:r>
        <w:rPr>
          <w:rFonts w:ascii="Arial" w:hAnsi="Arial" w:cs="Arial"/>
          <w:spacing w:val="-2"/>
        </w:rPr>
        <w:t>brand.</w:t>
      </w:r>
    </w:p>
    <w:tbl>
      <w:tblPr>
        <w:tblW w:w="5000" w:type="pct"/>
        <w:shd w:val="clear" w:color="auto" w:fill="FFFFFF"/>
        <w:tblLayout w:type="fixed"/>
        <w:tblCellMar>
          <w:left w:w="0" w:type="dxa"/>
          <w:right w:w="0" w:type="dxa"/>
        </w:tblCellMar>
        <w:tblLook w:val="04A0" w:firstRow="1" w:lastRow="0" w:firstColumn="1" w:lastColumn="0" w:noHBand="0" w:noVBand="1"/>
      </w:tblPr>
      <w:tblGrid>
        <w:gridCol w:w="2930"/>
        <w:gridCol w:w="1938"/>
        <w:gridCol w:w="1007"/>
        <w:gridCol w:w="1312"/>
        <w:gridCol w:w="2173"/>
      </w:tblGrid>
      <w:tr w:rsidR="0067740A" w14:paraId="6CC19770" w14:textId="77777777">
        <w:trPr>
          <w:trHeight w:val="270"/>
          <w:tblHeader/>
        </w:trPr>
        <w:tc>
          <w:tcPr>
            <w:tcW w:w="5000" w:type="pct"/>
            <w:gridSpan w:val="5"/>
            <w:tcBorders>
              <w:bottom w:val="single" w:sz="8" w:space="0" w:color="auto"/>
            </w:tcBorders>
            <w:shd w:val="clear" w:color="auto" w:fill="FFFFFF"/>
            <w:vAlign w:val="center"/>
          </w:tcPr>
          <w:p w14:paraId="66DAA38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Frequency Analysis Results</w:t>
            </w:r>
          </w:p>
        </w:tc>
      </w:tr>
      <w:tr w:rsidR="0067740A" w14:paraId="0CFA5429" w14:textId="77777777">
        <w:trPr>
          <w:trHeight w:val="270"/>
          <w:tblHeader/>
        </w:trPr>
        <w:tc>
          <w:tcPr>
            <w:tcW w:w="1565" w:type="pct"/>
            <w:tcBorders>
              <w:bottom w:val="single" w:sz="4" w:space="0" w:color="auto"/>
            </w:tcBorders>
            <w:shd w:val="clear" w:color="auto" w:fill="FFFFFF"/>
            <w:vAlign w:val="center"/>
          </w:tcPr>
          <w:p w14:paraId="59DB928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Name</w:t>
            </w:r>
          </w:p>
        </w:tc>
        <w:tc>
          <w:tcPr>
            <w:tcW w:w="1034" w:type="pct"/>
            <w:tcBorders>
              <w:bottom w:val="single" w:sz="4" w:space="0" w:color="auto"/>
            </w:tcBorders>
            <w:shd w:val="clear" w:color="auto" w:fill="FFFFFF"/>
            <w:vAlign w:val="center"/>
          </w:tcPr>
          <w:p w14:paraId="5790519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Options</w:t>
            </w:r>
          </w:p>
        </w:tc>
        <w:tc>
          <w:tcPr>
            <w:tcW w:w="538" w:type="pct"/>
            <w:tcBorders>
              <w:bottom w:val="single" w:sz="4" w:space="0" w:color="auto"/>
            </w:tcBorders>
            <w:shd w:val="clear" w:color="auto" w:fill="FFFFFF"/>
            <w:vAlign w:val="center"/>
          </w:tcPr>
          <w:p w14:paraId="5696782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Frequency</w:t>
            </w:r>
          </w:p>
        </w:tc>
        <w:tc>
          <w:tcPr>
            <w:tcW w:w="701" w:type="pct"/>
            <w:tcBorders>
              <w:bottom w:val="single" w:sz="4" w:space="0" w:color="auto"/>
            </w:tcBorders>
            <w:shd w:val="clear" w:color="auto" w:fill="FFFFFF"/>
            <w:vAlign w:val="center"/>
          </w:tcPr>
          <w:p w14:paraId="658B49E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Percentage(%)</w:t>
            </w:r>
          </w:p>
        </w:tc>
        <w:tc>
          <w:tcPr>
            <w:tcW w:w="1159" w:type="pct"/>
            <w:tcBorders>
              <w:bottom w:val="single" w:sz="4" w:space="0" w:color="auto"/>
            </w:tcBorders>
            <w:shd w:val="clear" w:color="auto" w:fill="FFFFFF"/>
            <w:vAlign w:val="center"/>
          </w:tcPr>
          <w:p w14:paraId="2B9EFA7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Cumulative Percentage(%)</w:t>
            </w:r>
          </w:p>
        </w:tc>
      </w:tr>
      <w:tr w:rsidR="0067740A" w14:paraId="4BA790CC" w14:textId="77777777">
        <w:trPr>
          <w:trHeight w:val="270"/>
        </w:trPr>
        <w:tc>
          <w:tcPr>
            <w:tcW w:w="1565" w:type="pct"/>
            <w:vMerge w:val="restart"/>
            <w:tcBorders>
              <w:top w:val="nil"/>
              <w:left w:val="nil"/>
              <w:bottom w:val="nil"/>
              <w:right w:val="nil"/>
            </w:tcBorders>
            <w:shd w:val="clear" w:color="auto" w:fill="FFFFFF"/>
            <w:vAlign w:val="center"/>
          </w:tcPr>
          <w:p w14:paraId="7A7B689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12.Have you ever purchased a Volkswagen vehicle?</w:t>
            </w:r>
          </w:p>
        </w:tc>
        <w:tc>
          <w:tcPr>
            <w:tcW w:w="1034" w:type="pct"/>
            <w:tcBorders>
              <w:top w:val="nil"/>
              <w:left w:val="nil"/>
              <w:bottom w:val="nil"/>
              <w:right w:val="nil"/>
            </w:tcBorders>
            <w:shd w:val="clear" w:color="auto" w:fill="FFFFFF"/>
            <w:vAlign w:val="center"/>
          </w:tcPr>
          <w:p w14:paraId="6B68051A" w14:textId="77777777" w:rsidR="0067740A" w:rsidRDefault="00000000">
            <w:pPr>
              <w:spacing w:before="100" w:beforeAutospacing="1" w:after="100" w:afterAutospacing="1" w:line="360" w:lineRule="auto"/>
              <w:jc w:val="center"/>
              <w:rPr>
                <w:rFonts w:ascii="Arial" w:eastAsia="宋体" w:hAnsi="Arial" w:cs="Arial"/>
                <w:color w:val="000000"/>
              </w:rPr>
            </w:pPr>
            <w:r>
              <w:rPr>
                <w:rFonts w:ascii="Arial" w:eastAsia="宋体" w:hAnsi="Arial" w:cs="Arial"/>
              </w:rPr>
              <w:t>Yes</w:t>
            </w:r>
          </w:p>
        </w:tc>
        <w:tc>
          <w:tcPr>
            <w:tcW w:w="538" w:type="pct"/>
            <w:tcBorders>
              <w:top w:val="nil"/>
              <w:left w:val="nil"/>
              <w:bottom w:val="nil"/>
              <w:right w:val="nil"/>
            </w:tcBorders>
            <w:shd w:val="clear" w:color="auto" w:fill="FFFFFF"/>
            <w:vAlign w:val="center"/>
          </w:tcPr>
          <w:p w14:paraId="1098A2B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102</w:t>
            </w:r>
          </w:p>
        </w:tc>
        <w:tc>
          <w:tcPr>
            <w:tcW w:w="701" w:type="pct"/>
            <w:tcBorders>
              <w:top w:val="nil"/>
              <w:left w:val="nil"/>
              <w:bottom w:val="nil"/>
              <w:right w:val="nil"/>
            </w:tcBorders>
            <w:shd w:val="clear" w:color="auto" w:fill="FFFFFF"/>
            <w:vAlign w:val="center"/>
          </w:tcPr>
          <w:p w14:paraId="4AA7327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24.82</w:t>
            </w:r>
          </w:p>
        </w:tc>
        <w:tc>
          <w:tcPr>
            <w:tcW w:w="1159" w:type="pct"/>
            <w:tcBorders>
              <w:top w:val="nil"/>
              <w:left w:val="nil"/>
              <w:bottom w:val="nil"/>
              <w:right w:val="nil"/>
            </w:tcBorders>
            <w:shd w:val="clear" w:color="auto" w:fill="FFFFFF"/>
            <w:vAlign w:val="center"/>
          </w:tcPr>
          <w:p w14:paraId="0B475C2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24.82</w:t>
            </w:r>
          </w:p>
        </w:tc>
      </w:tr>
      <w:tr w:rsidR="0067740A" w14:paraId="08541D09" w14:textId="77777777">
        <w:trPr>
          <w:trHeight w:val="270"/>
        </w:trPr>
        <w:tc>
          <w:tcPr>
            <w:tcW w:w="1565" w:type="pct"/>
            <w:vMerge/>
            <w:tcBorders>
              <w:top w:val="nil"/>
              <w:left w:val="nil"/>
              <w:bottom w:val="nil"/>
              <w:right w:val="nil"/>
            </w:tcBorders>
            <w:shd w:val="clear" w:color="auto" w:fill="FFFFFF"/>
            <w:vAlign w:val="center"/>
          </w:tcPr>
          <w:p w14:paraId="766ABE45"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781246F0" w14:textId="77777777" w:rsidR="0067740A" w:rsidRDefault="00000000">
            <w:pPr>
              <w:spacing w:before="100" w:beforeAutospacing="1" w:after="100" w:afterAutospacing="1" w:line="360" w:lineRule="auto"/>
              <w:jc w:val="center"/>
              <w:rPr>
                <w:rFonts w:ascii="Arial" w:eastAsia="宋体" w:hAnsi="Arial" w:cs="Arial"/>
                <w:color w:val="000000"/>
              </w:rPr>
            </w:pPr>
            <w:r>
              <w:rPr>
                <w:rFonts w:ascii="Arial" w:eastAsia="宋体" w:hAnsi="Arial" w:cs="Arial"/>
              </w:rPr>
              <w:t>No</w:t>
            </w:r>
          </w:p>
        </w:tc>
        <w:tc>
          <w:tcPr>
            <w:tcW w:w="538" w:type="pct"/>
            <w:tcBorders>
              <w:top w:val="nil"/>
              <w:left w:val="nil"/>
              <w:bottom w:val="nil"/>
              <w:right w:val="nil"/>
            </w:tcBorders>
            <w:shd w:val="clear" w:color="auto" w:fill="FFFFFF"/>
            <w:vAlign w:val="center"/>
          </w:tcPr>
          <w:p w14:paraId="7038585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309</w:t>
            </w:r>
          </w:p>
        </w:tc>
        <w:tc>
          <w:tcPr>
            <w:tcW w:w="701" w:type="pct"/>
            <w:tcBorders>
              <w:top w:val="nil"/>
              <w:left w:val="nil"/>
              <w:bottom w:val="nil"/>
              <w:right w:val="nil"/>
            </w:tcBorders>
            <w:shd w:val="clear" w:color="auto" w:fill="FFFFFF"/>
            <w:vAlign w:val="center"/>
          </w:tcPr>
          <w:p w14:paraId="3CA2559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75.18</w:t>
            </w:r>
          </w:p>
        </w:tc>
        <w:tc>
          <w:tcPr>
            <w:tcW w:w="1159" w:type="pct"/>
            <w:tcBorders>
              <w:top w:val="nil"/>
              <w:left w:val="nil"/>
              <w:bottom w:val="nil"/>
              <w:right w:val="nil"/>
            </w:tcBorders>
            <w:shd w:val="clear" w:color="auto" w:fill="FFFFFF"/>
            <w:vAlign w:val="center"/>
          </w:tcPr>
          <w:p w14:paraId="3AB9E35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242ECE81" w14:textId="77777777">
        <w:trPr>
          <w:trHeight w:val="270"/>
        </w:trPr>
        <w:tc>
          <w:tcPr>
            <w:tcW w:w="1565" w:type="pct"/>
            <w:vMerge w:val="restart"/>
            <w:tcBorders>
              <w:top w:val="nil"/>
              <w:left w:val="nil"/>
              <w:bottom w:val="nil"/>
              <w:right w:val="nil"/>
            </w:tcBorders>
            <w:shd w:val="clear" w:color="auto" w:fill="FFFFFF"/>
            <w:vAlign w:val="center"/>
          </w:tcPr>
          <w:p w14:paraId="1DEAA93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13.If yes, what was the main reason for your purchase?(</w:t>
            </w:r>
            <w:r>
              <w:rPr>
                <w:rFonts w:ascii="Arial" w:eastAsia="宋体" w:hAnsi="Arial" w:cs="Arial"/>
                <w:i/>
                <w:iCs/>
                <w:color w:val="000000"/>
                <w:lang w:bidi="ar"/>
              </w:rPr>
              <w:t>n</w:t>
            </w:r>
            <w:r>
              <w:rPr>
                <w:rFonts w:ascii="Arial" w:eastAsia="宋体" w:hAnsi="Arial" w:cs="Arial"/>
                <w:color w:val="000000"/>
                <w:lang w:bidi="ar"/>
              </w:rPr>
              <w:t>=234)</w:t>
            </w:r>
          </w:p>
        </w:tc>
        <w:tc>
          <w:tcPr>
            <w:tcW w:w="1034" w:type="pct"/>
            <w:tcBorders>
              <w:top w:val="nil"/>
              <w:left w:val="nil"/>
              <w:bottom w:val="nil"/>
              <w:right w:val="nil"/>
            </w:tcBorders>
            <w:shd w:val="clear" w:color="auto" w:fill="FFFFFF"/>
            <w:vAlign w:val="center"/>
          </w:tcPr>
          <w:p w14:paraId="4E6AF06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Environmental benefits</w:t>
            </w:r>
          </w:p>
        </w:tc>
        <w:tc>
          <w:tcPr>
            <w:tcW w:w="538" w:type="pct"/>
            <w:tcBorders>
              <w:top w:val="nil"/>
              <w:left w:val="nil"/>
              <w:bottom w:val="nil"/>
              <w:right w:val="nil"/>
            </w:tcBorders>
            <w:shd w:val="clear" w:color="auto" w:fill="FFFFFF"/>
            <w:vAlign w:val="center"/>
          </w:tcPr>
          <w:p w14:paraId="7796AE6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w:t>
            </w:r>
          </w:p>
        </w:tc>
        <w:tc>
          <w:tcPr>
            <w:tcW w:w="701" w:type="pct"/>
            <w:tcBorders>
              <w:top w:val="nil"/>
              <w:left w:val="nil"/>
              <w:bottom w:val="nil"/>
              <w:right w:val="nil"/>
            </w:tcBorders>
            <w:shd w:val="clear" w:color="auto" w:fill="FFFFFF"/>
            <w:vAlign w:val="center"/>
          </w:tcPr>
          <w:p w14:paraId="6AADD50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1.71</w:t>
            </w:r>
          </w:p>
        </w:tc>
        <w:tc>
          <w:tcPr>
            <w:tcW w:w="1159" w:type="pct"/>
            <w:tcBorders>
              <w:top w:val="nil"/>
              <w:left w:val="nil"/>
              <w:bottom w:val="nil"/>
              <w:right w:val="nil"/>
            </w:tcBorders>
            <w:shd w:val="clear" w:color="auto" w:fill="FFFFFF"/>
            <w:vAlign w:val="center"/>
          </w:tcPr>
          <w:p w14:paraId="29D3249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1.71</w:t>
            </w:r>
          </w:p>
        </w:tc>
      </w:tr>
      <w:tr w:rsidR="0067740A" w14:paraId="1BF94B73" w14:textId="77777777">
        <w:trPr>
          <w:trHeight w:val="270"/>
        </w:trPr>
        <w:tc>
          <w:tcPr>
            <w:tcW w:w="1565" w:type="pct"/>
            <w:vMerge/>
            <w:tcBorders>
              <w:top w:val="nil"/>
              <w:left w:val="nil"/>
              <w:bottom w:val="nil"/>
              <w:right w:val="nil"/>
            </w:tcBorders>
            <w:shd w:val="clear" w:color="auto" w:fill="FFFFFF"/>
            <w:vAlign w:val="center"/>
          </w:tcPr>
          <w:p w14:paraId="32B5000F"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64D0071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Brand reputation</w:t>
            </w:r>
          </w:p>
        </w:tc>
        <w:tc>
          <w:tcPr>
            <w:tcW w:w="538" w:type="pct"/>
            <w:tcBorders>
              <w:top w:val="nil"/>
              <w:left w:val="nil"/>
              <w:bottom w:val="nil"/>
              <w:right w:val="nil"/>
            </w:tcBorders>
            <w:shd w:val="clear" w:color="auto" w:fill="FFFFFF"/>
            <w:vAlign w:val="center"/>
          </w:tcPr>
          <w:p w14:paraId="1BAC7CF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w:t>
            </w:r>
          </w:p>
        </w:tc>
        <w:tc>
          <w:tcPr>
            <w:tcW w:w="701" w:type="pct"/>
            <w:tcBorders>
              <w:top w:val="nil"/>
              <w:left w:val="nil"/>
              <w:bottom w:val="nil"/>
              <w:right w:val="nil"/>
            </w:tcBorders>
            <w:shd w:val="clear" w:color="auto" w:fill="FFFFFF"/>
            <w:vAlign w:val="center"/>
          </w:tcPr>
          <w:p w14:paraId="4343868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3.42</w:t>
            </w:r>
          </w:p>
        </w:tc>
        <w:tc>
          <w:tcPr>
            <w:tcW w:w="1159" w:type="pct"/>
            <w:tcBorders>
              <w:top w:val="nil"/>
              <w:left w:val="nil"/>
              <w:bottom w:val="nil"/>
              <w:right w:val="nil"/>
            </w:tcBorders>
            <w:shd w:val="clear" w:color="auto" w:fill="FFFFFF"/>
            <w:vAlign w:val="center"/>
          </w:tcPr>
          <w:p w14:paraId="108D68C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5.13</w:t>
            </w:r>
          </w:p>
        </w:tc>
      </w:tr>
      <w:tr w:rsidR="0067740A" w14:paraId="72316BB1" w14:textId="77777777">
        <w:trPr>
          <w:trHeight w:val="270"/>
        </w:trPr>
        <w:tc>
          <w:tcPr>
            <w:tcW w:w="1565" w:type="pct"/>
            <w:vMerge/>
            <w:tcBorders>
              <w:top w:val="nil"/>
              <w:left w:val="nil"/>
              <w:bottom w:val="nil"/>
              <w:right w:val="nil"/>
            </w:tcBorders>
            <w:shd w:val="clear" w:color="auto" w:fill="FFFFFF"/>
            <w:vAlign w:val="center"/>
          </w:tcPr>
          <w:p w14:paraId="45D0343F"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5F713AF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Technological features</w:t>
            </w:r>
          </w:p>
        </w:tc>
        <w:tc>
          <w:tcPr>
            <w:tcW w:w="538" w:type="pct"/>
            <w:tcBorders>
              <w:top w:val="nil"/>
              <w:left w:val="nil"/>
              <w:bottom w:val="nil"/>
              <w:right w:val="nil"/>
            </w:tcBorders>
            <w:shd w:val="clear" w:color="auto" w:fill="FFFFFF"/>
            <w:vAlign w:val="center"/>
          </w:tcPr>
          <w:p w14:paraId="15EEF22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w:t>
            </w:r>
          </w:p>
        </w:tc>
        <w:tc>
          <w:tcPr>
            <w:tcW w:w="701" w:type="pct"/>
            <w:tcBorders>
              <w:top w:val="nil"/>
              <w:left w:val="nil"/>
              <w:bottom w:val="nil"/>
              <w:right w:val="nil"/>
            </w:tcBorders>
            <w:shd w:val="clear" w:color="auto" w:fill="FFFFFF"/>
            <w:vAlign w:val="center"/>
          </w:tcPr>
          <w:p w14:paraId="0ACCFB1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3.42</w:t>
            </w:r>
          </w:p>
        </w:tc>
        <w:tc>
          <w:tcPr>
            <w:tcW w:w="1159" w:type="pct"/>
            <w:tcBorders>
              <w:top w:val="nil"/>
              <w:left w:val="nil"/>
              <w:bottom w:val="nil"/>
              <w:right w:val="nil"/>
            </w:tcBorders>
            <w:shd w:val="clear" w:color="auto" w:fill="FFFFFF"/>
            <w:vAlign w:val="center"/>
          </w:tcPr>
          <w:p w14:paraId="74C9864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8.55</w:t>
            </w:r>
          </w:p>
        </w:tc>
      </w:tr>
      <w:tr w:rsidR="0067740A" w14:paraId="2578D6B3" w14:textId="77777777">
        <w:trPr>
          <w:trHeight w:val="270"/>
        </w:trPr>
        <w:tc>
          <w:tcPr>
            <w:tcW w:w="1565" w:type="pct"/>
            <w:vMerge/>
            <w:tcBorders>
              <w:top w:val="nil"/>
              <w:left w:val="nil"/>
              <w:bottom w:val="nil"/>
              <w:right w:val="nil"/>
            </w:tcBorders>
            <w:shd w:val="clear" w:color="auto" w:fill="FFFFFF"/>
            <w:vAlign w:val="center"/>
          </w:tcPr>
          <w:p w14:paraId="6CFD68F3"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50B011A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Design and comfort</w:t>
            </w:r>
          </w:p>
        </w:tc>
        <w:tc>
          <w:tcPr>
            <w:tcW w:w="538" w:type="pct"/>
            <w:tcBorders>
              <w:top w:val="nil"/>
              <w:left w:val="nil"/>
              <w:bottom w:val="nil"/>
              <w:right w:val="nil"/>
            </w:tcBorders>
            <w:shd w:val="clear" w:color="auto" w:fill="FFFFFF"/>
            <w:vAlign w:val="center"/>
          </w:tcPr>
          <w:p w14:paraId="0DA2631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w:t>
            </w:r>
          </w:p>
        </w:tc>
        <w:tc>
          <w:tcPr>
            <w:tcW w:w="701" w:type="pct"/>
            <w:tcBorders>
              <w:top w:val="nil"/>
              <w:left w:val="nil"/>
              <w:bottom w:val="nil"/>
              <w:right w:val="nil"/>
            </w:tcBorders>
            <w:shd w:val="clear" w:color="auto" w:fill="FFFFFF"/>
            <w:vAlign w:val="center"/>
          </w:tcPr>
          <w:p w14:paraId="29BFB23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4.27</w:t>
            </w:r>
          </w:p>
        </w:tc>
        <w:tc>
          <w:tcPr>
            <w:tcW w:w="1159" w:type="pct"/>
            <w:tcBorders>
              <w:top w:val="nil"/>
              <w:left w:val="nil"/>
              <w:bottom w:val="nil"/>
              <w:right w:val="nil"/>
            </w:tcBorders>
            <w:shd w:val="clear" w:color="auto" w:fill="FFFFFF"/>
            <w:vAlign w:val="center"/>
          </w:tcPr>
          <w:p w14:paraId="3A24811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12.82</w:t>
            </w:r>
          </w:p>
        </w:tc>
      </w:tr>
      <w:tr w:rsidR="0067740A" w14:paraId="2CDC4413" w14:textId="77777777">
        <w:trPr>
          <w:trHeight w:val="270"/>
        </w:trPr>
        <w:tc>
          <w:tcPr>
            <w:tcW w:w="1565" w:type="pct"/>
            <w:vMerge/>
            <w:tcBorders>
              <w:top w:val="nil"/>
              <w:left w:val="nil"/>
              <w:bottom w:val="nil"/>
              <w:right w:val="nil"/>
            </w:tcBorders>
            <w:shd w:val="clear" w:color="auto" w:fill="FFFFFF"/>
            <w:vAlign w:val="center"/>
          </w:tcPr>
          <w:p w14:paraId="27D1633A"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26D8658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Value for money</w:t>
            </w:r>
          </w:p>
        </w:tc>
        <w:tc>
          <w:tcPr>
            <w:tcW w:w="538" w:type="pct"/>
            <w:tcBorders>
              <w:top w:val="nil"/>
              <w:left w:val="nil"/>
              <w:bottom w:val="nil"/>
              <w:right w:val="nil"/>
            </w:tcBorders>
            <w:shd w:val="clear" w:color="auto" w:fill="FFFFFF"/>
            <w:vAlign w:val="center"/>
          </w:tcPr>
          <w:p w14:paraId="56BB2A5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w:t>
            </w:r>
          </w:p>
        </w:tc>
        <w:tc>
          <w:tcPr>
            <w:tcW w:w="701" w:type="pct"/>
            <w:tcBorders>
              <w:top w:val="nil"/>
              <w:left w:val="nil"/>
              <w:bottom w:val="nil"/>
              <w:right w:val="nil"/>
            </w:tcBorders>
            <w:shd w:val="clear" w:color="auto" w:fill="FFFFFF"/>
            <w:vAlign w:val="center"/>
          </w:tcPr>
          <w:p w14:paraId="6553CD4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3.85</w:t>
            </w:r>
          </w:p>
        </w:tc>
        <w:tc>
          <w:tcPr>
            <w:tcW w:w="1159" w:type="pct"/>
            <w:tcBorders>
              <w:top w:val="nil"/>
              <w:left w:val="nil"/>
              <w:bottom w:val="nil"/>
              <w:right w:val="nil"/>
            </w:tcBorders>
            <w:shd w:val="clear" w:color="auto" w:fill="FFFFFF"/>
            <w:vAlign w:val="center"/>
          </w:tcPr>
          <w:p w14:paraId="5AF6104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16.67</w:t>
            </w:r>
          </w:p>
        </w:tc>
      </w:tr>
      <w:tr w:rsidR="0067740A" w14:paraId="7713F912" w14:textId="77777777">
        <w:trPr>
          <w:trHeight w:val="270"/>
        </w:trPr>
        <w:tc>
          <w:tcPr>
            <w:tcW w:w="1565" w:type="pct"/>
            <w:vMerge/>
            <w:tcBorders>
              <w:top w:val="nil"/>
              <w:left w:val="nil"/>
              <w:bottom w:val="nil"/>
              <w:right w:val="nil"/>
            </w:tcBorders>
            <w:shd w:val="clear" w:color="auto" w:fill="FFFFFF"/>
            <w:vAlign w:val="center"/>
          </w:tcPr>
          <w:p w14:paraId="192C482C"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52D98D7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Government incentives</w:t>
            </w:r>
          </w:p>
        </w:tc>
        <w:tc>
          <w:tcPr>
            <w:tcW w:w="538" w:type="pct"/>
            <w:tcBorders>
              <w:top w:val="nil"/>
              <w:left w:val="nil"/>
              <w:bottom w:val="nil"/>
              <w:right w:val="nil"/>
            </w:tcBorders>
            <w:shd w:val="clear" w:color="auto" w:fill="FFFFFF"/>
            <w:vAlign w:val="center"/>
          </w:tcPr>
          <w:p w14:paraId="7F14BAA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57</w:t>
            </w:r>
          </w:p>
        </w:tc>
        <w:tc>
          <w:tcPr>
            <w:tcW w:w="701" w:type="pct"/>
            <w:tcBorders>
              <w:top w:val="nil"/>
              <w:left w:val="nil"/>
              <w:bottom w:val="nil"/>
              <w:right w:val="nil"/>
            </w:tcBorders>
            <w:shd w:val="clear" w:color="auto" w:fill="FFFFFF"/>
            <w:vAlign w:val="center"/>
          </w:tcPr>
          <w:p w14:paraId="5949DA9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24.36</w:t>
            </w:r>
          </w:p>
        </w:tc>
        <w:tc>
          <w:tcPr>
            <w:tcW w:w="1159" w:type="pct"/>
            <w:tcBorders>
              <w:top w:val="nil"/>
              <w:left w:val="nil"/>
              <w:bottom w:val="nil"/>
              <w:right w:val="nil"/>
            </w:tcBorders>
            <w:shd w:val="clear" w:color="auto" w:fill="FFFFFF"/>
            <w:vAlign w:val="center"/>
          </w:tcPr>
          <w:p w14:paraId="0153634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41.03</w:t>
            </w:r>
          </w:p>
        </w:tc>
      </w:tr>
      <w:tr w:rsidR="0067740A" w14:paraId="413704D3" w14:textId="77777777">
        <w:trPr>
          <w:trHeight w:val="270"/>
        </w:trPr>
        <w:tc>
          <w:tcPr>
            <w:tcW w:w="1565" w:type="pct"/>
            <w:vMerge/>
            <w:tcBorders>
              <w:top w:val="nil"/>
              <w:left w:val="nil"/>
              <w:bottom w:val="nil"/>
              <w:right w:val="nil"/>
            </w:tcBorders>
            <w:shd w:val="clear" w:color="auto" w:fill="FFFFFF"/>
            <w:vAlign w:val="center"/>
          </w:tcPr>
          <w:p w14:paraId="544731C8"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4A4DAFD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Recommendations</w:t>
            </w:r>
          </w:p>
        </w:tc>
        <w:tc>
          <w:tcPr>
            <w:tcW w:w="538" w:type="pct"/>
            <w:tcBorders>
              <w:top w:val="nil"/>
              <w:left w:val="nil"/>
              <w:bottom w:val="nil"/>
              <w:right w:val="nil"/>
            </w:tcBorders>
            <w:shd w:val="clear" w:color="auto" w:fill="FFFFFF"/>
            <w:vAlign w:val="center"/>
          </w:tcPr>
          <w:p w14:paraId="215F409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86</w:t>
            </w:r>
          </w:p>
        </w:tc>
        <w:tc>
          <w:tcPr>
            <w:tcW w:w="701" w:type="pct"/>
            <w:tcBorders>
              <w:top w:val="nil"/>
              <w:left w:val="nil"/>
              <w:bottom w:val="nil"/>
              <w:right w:val="nil"/>
            </w:tcBorders>
            <w:shd w:val="clear" w:color="auto" w:fill="FFFFFF"/>
            <w:vAlign w:val="center"/>
          </w:tcPr>
          <w:p w14:paraId="5E3EB6C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36.75</w:t>
            </w:r>
          </w:p>
        </w:tc>
        <w:tc>
          <w:tcPr>
            <w:tcW w:w="1159" w:type="pct"/>
            <w:tcBorders>
              <w:top w:val="nil"/>
              <w:left w:val="nil"/>
              <w:bottom w:val="nil"/>
              <w:right w:val="nil"/>
            </w:tcBorders>
            <w:shd w:val="clear" w:color="auto" w:fill="FFFFFF"/>
            <w:vAlign w:val="center"/>
          </w:tcPr>
          <w:p w14:paraId="26F5DD4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77.78</w:t>
            </w:r>
          </w:p>
        </w:tc>
      </w:tr>
      <w:tr w:rsidR="0067740A" w14:paraId="664D5E77" w14:textId="77777777">
        <w:trPr>
          <w:trHeight w:val="270"/>
        </w:trPr>
        <w:tc>
          <w:tcPr>
            <w:tcW w:w="1565" w:type="pct"/>
            <w:vMerge/>
            <w:tcBorders>
              <w:top w:val="nil"/>
              <w:left w:val="nil"/>
              <w:bottom w:val="nil"/>
              <w:right w:val="nil"/>
            </w:tcBorders>
            <w:shd w:val="clear" w:color="auto" w:fill="FFFFFF"/>
            <w:vAlign w:val="center"/>
          </w:tcPr>
          <w:p w14:paraId="76C0DB2E"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5FA56D5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Other (please specify)</w:t>
            </w:r>
          </w:p>
        </w:tc>
        <w:tc>
          <w:tcPr>
            <w:tcW w:w="538" w:type="pct"/>
            <w:tcBorders>
              <w:top w:val="nil"/>
              <w:left w:val="nil"/>
              <w:bottom w:val="nil"/>
              <w:right w:val="nil"/>
            </w:tcBorders>
            <w:shd w:val="clear" w:color="auto" w:fill="FFFFFF"/>
            <w:vAlign w:val="center"/>
          </w:tcPr>
          <w:p w14:paraId="685FB52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52</w:t>
            </w:r>
          </w:p>
        </w:tc>
        <w:tc>
          <w:tcPr>
            <w:tcW w:w="701" w:type="pct"/>
            <w:tcBorders>
              <w:top w:val="nil"/>
              <w:left w:val="nil"/>
              <w:bottom w:val="nil"/>
              <w:right w:val="nil"/>
            </w:tcBorders>
            <w:shd w:val="clear" w:color="auto" w:fill="FFFFFF"/>
            <w:vAlign w:val="center"/>
          </w:tcPr>
          <w:p w14:paraId="3AB4CB1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22.22</w:t>
            </w:r>
          </w:p>
        </w:tc>
        <w:tc>
          <w:tcPr>
            <w:tcW w:w="1159" w:type="pct"/>
            <w:tcBorders>
              <w:top w:val="nil"/>
              <w:left w:val="nil"/>
              <w:bottom w:val="nil"/>
              <w:right w:val="nil"/>
            </w:tcBorders>
            <w:shd w:val="clear" w:color="auto" w:fill="FFFFFF"/>
            <w:vAlign w:val="center"/>
          </w:tcPr>
          <w:p w14:paraId="44E0273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67AC27BF" w14:textId="77777777">
        <w:trPr>
          <w:trHeight w:val="270"/>
        </w:trPr>
        <w:tc>
          <w:tcPr>
            <w:tcW w:w="1565" w:type="pct"/>
            <w:vMerge w:val="restart"/>
            <w:tcBorders>
              <w:top w:val="nil"/>
              <w:left w:val="nil"/>
              <w:bottom w:val="nil"/>
              <w:right w:val="nil"/>
            </w:tcBorders>
            <w:shd w:val="clear" w:color="auto" w:fill="FFFFFF"/>
            <w:vAlign w:val="center"/>
          </w:tcPr>
          <w:p w14:paraId="412DF43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14.If no, would you consider purchasing a Volkswagen vehicle in the future?(</w:t>
            </w:r>
            <w:r>
              <w:rPr>
                <w:rFonts w:ascii="Arial" w:eastAsia="宋体" w:hAnsi="Arial" w:cs="Arial"/>
                <w:i/>
                <w:iCs/>
                <w:color w:val="000000"/>
                <w:lang w:bidi="ar"/>
              </w:rPr>
              <w:t>n</w:t>
            </w:r>
            <w:r>
              <w:rPr>
                <w:rFonts w:ascii="Arial" w:eastAsia="宋体" w:hAnsi="Arial" w:cs="Arial"/>
                <w:color w:val="000000"/>
                <w:lang w:bidi="ar"/>
              </w:rPr>
              <w:t>=177)</w:t>
            </w:r>
          </w:p>
        </w:tc>
        <w:tc>
          <w:tcPr>
            <w:tcW w:w="1034" w:type="pct"/>
            <w:tcBorders>
              <w:top w:val="nil"/>
              <w:left w:val="nil"/>
              <w:bottom w:val="nil"/>
              <w:right w:val="nil"/>
            </w:tcBorders>
            <w:shd w:val="clear" w:color="auto" w:fill="FFFFFF"/>
            <w:vAlign w:val="center"/>
          </w:tcPr>
          <w:p w14:paraId="1AFFAF6A" w14:textId="77777777" w:rsidR="0067740A" w:rsidRDefault="00000000">
            <w:pPr>
              <w:spacing w:before="100" w:beforeAutospacing="1" w:after="100" w:afterAutospacing="1" w:line="360" w:lineRule="auto"/>
              <w:jc w:val="center"/>
              <w:rPr>
                <w:rFonts w:ascii="Arial" w:eastAsia="宋体" w:hAnsi="Arial" w:cs="Arial"/>
                <w:color w:val="000000"/>
              </w:rPr>
            </w:pPr>
            <w:r>
              <w:rPr>
                <w:rFonts w:ascii="Arial" w:eastAsia="宋体" w:hAnsi="Arial" w:cs="Arial"/>
              </w:rPr>
              <w:t>Yes</w:t>
            </w:r>
          </w:p>
        </w:tc>
        <w:tc>
          <w:tcPr>
            <w:tcW w:w="538" w:type="pct"/>
            <w:tcBorders>
              <w:top w:val="nil"/>
              <w:left w:val="nil"/>
              <w:bottom w:val="nil"/>
              <w:right w:val="nil"/>
            </w:tcBorders>
            <w:shd w:val="clear" w:color="auto" w:fill="FFFFFF"/>
            <w:vAlign w:val="center"/>
          </w:tcPr>
          <w:p w14:paraId="5DF9348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20</w:t>
            </w:r>
          </w:p>
        </w:tc>
        <w:tc>
          <w:tcPr>
            <w:tcW w:w="701" w:type="pct"/>
            <w:tcBorders>
              <w:top w:val="nil"/>
              <w:left w:val="nil"/>
              <w:bottom w:val="nil"/>
              <w:right w:val="nil"/>
            </w:tcBorders>
            <w:shd w:val="clear" w:color="auto" w:fill="FFFFFF"/>
            <w:vAlign w:val="center"/>
          </w:tcPr>
          <w:p w14:paraId="3C60C94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11.30</w:t>
            </w:r>
          </w:p>
        </w:tc>
        <w:tc>
          <w:tcPr>
            <w:tcW w:w="1159" w:type="pct"/>
            <w:tcBorders>
              <w:top w:val="nil"/>
              <w:left w:val="nil"/>
              <w:bottom w:val="nil"/>
              <w:right w:val="nil"/>
            </w:tcBorders>
            <w:shd w:val="clear" w:color="auto" w:fill="FFFFFF"/>
            <w:vAlign w:val="center"/>
          </w:tcPr>
          <w:p w14:paraId="681779E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11.30</w:t>
            </w:r>
          </w:p>
        </w:tc>
      </w:tr>
      <w:tr w:rsidR="0067740A" w14:paraId="2F29F903" w14:textId="77777777">
        <w:trPr>
          <w:trHeight w:val="270"/>
        </w:trPr>
        <w:tc>
          <w:tcPr>
            <w:tcW w:w="1565" w:type="pct"/>
            <w:vMerge/>
            <w:tcBorders>
              <w:top w:val="nil"/>
              <w:left w:val="nil"/>
              <w:bottom w:val="nil"/>
              <w:right w:val="nil"/>
            </w:tcBorders>
            <w:shd w:val="clear" w:color="auto" w:fill="FFFFFF"/>
            <w:vAlign w:val="center"/>
          </w:tcPr>
          <w:p w14:paraId="527DB742"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3BEC35E5" w14:textId="77777777" w:rsidR="0067740A" w:rsidRDefault="00000000">
            <w:pPr>
              <w:spacing w:before="100" w:beforeAutospacing="1" w:after="100" w:afterAutospacing="1" w:line="360" w:lineRule="auto"/>
              <w:jc w:val="center"/>
              <w:rPr>
                <w:rFonts w:ascii="Arial" w:eastAsia="宋体" w:hAnsi="Arial" w:cs="Arial"/>
                <w:color w:val="000000"/>
              </w:rPr>
            </w:pPr>
            <w:r>
              <w:rPr>
                <w:rFonts w:ascii="Arial" w:eastAsia="宋体" w:hAnsi="Arial" w:cs="Arial"/>
              </w:rPr>
              <w:t>No</w:t>
            </w:r>
          </w:p>
        </w:tc>
        <w:tc>
          <w:tcPr>
            <w:tcW w:w="538" w:type="pct"/>
            <w:tcBorders>
              <w:top w:val="nil"/>
              <w:left w:val="nil"/>
              <w:bottom w:val="nil"/>
              <w:right w:val="nil"/>
            </w:tcBorders>
            <w:shd w:val="clear" w:color="auto" w:fill="FFFFFF"/>
            <w:vAlign w:val="center"/>
          </w:tcPr>
          <w:p w14:paraId="6FDC60A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96</w:t>
            </w:r>
          </w:p>
        </w:tc>
        <w:tc>
          <w:tcPr>
            <w:tcW w:w="701" w:type="pct"/>
            <w:tcBorders>
              <w:top w:val="nil"/>
              <w:left w:val="nil"/>
              <w:bottom w:val="nil"/>
              <w:right w:val="nil"/>
            </w:tcBorders>
            <w:shd w:val="clear" w:color="auto" w:fill="FFFFFF"/>
            <w:vAlign w:val="center"/>
          </w:tcPr>
          <w:p w14:paraId="7474543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54.24</w:t>
            </w:r>
          </w:p>
        </w:tc>
        <w:tc>
          <w:tcPr>
            <w:tcW w:w="1159" w:type="pct"/>
            <w:tcBorders>
              <w:top w:val="nil"/>
              <w:left w:val="nil"/>
              <w:bottom w:val="nil"/>
              <w:right w:val="nil"/>
            </w:tcBorders>
            <w:shd w:val="clear" w:color="auto" w:fill="FFFFFF"/>
            <w:vAlign w:val="center"/>
          </w:tcPr>
          <w:p w14:paraId="2DD067C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65.54</w:t>
            </w:r>
          </w:p>
        </w:tc>
      </w:tr>
      <w:tr w:rsidR="0067740A" w14:paraId="531B7CAD" w14:textId="77777777">
        <w:trPr>
          <w:trHeight w:val="270"/>
        </w:trPr>
        <w:tc>
          <w:tcPr>
            <w:tcW w:w="1565" w:type="pct"/>
            <w:vMerge/>
            <w:tcBorders>
              <w:top w:val="nil"/>
              <w:left w:val="nil"/>
              <w:bottom w:val="nil"/>
              <w:right w:val="nil"/>
            </w:tcBorders>
            <w:shd w:val="clear" w:color="auto" w:fill="FFFFFF"/>
            <w:vAlign w:val="center"/>
          </w:tcPr>
          <w:p w14:paraId="7842B902"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32C08886" w14:textId="77777777" w:rsidR="0067740A" w:rsidRDefault="00000000">
            <w:pPr>
              <w:spacing w:before="100" w:beforeAutospacing="1" w:after="100" w:afterAutospacing="1" w:line="360" w:lineRule="auto"/>
              <w:jc w:val="center"/>
              <w:rPr>
                <w:rFonts w:ascii="Arial" w:eastAsia="宋体" w:hAnsi="Arial" w:cs="Arial"/>
                <w:color w:val="000000"/>
              </w:rPr>
            </w:pPr>
            <w:r>
              <w:rPr>
                <w:rFonts w:ascii="Arial" w:eastAsia="宋体" w:hAnsi="Arial" w:cs="Arial"/>
              </w:rPr>
              <w:t>Maybe</w:t>
            </w:r>
          </w:p>
        </w:tc>
        <w:tc>
          <w:tcPr>
            <w:tcW w:w="538" w:type="pct"/>
            <w:tcBorders>
              <w:top w:val="nil"/>
              <w:left w:val="nil"/>
              <w:bottom w:val="nil"/>
              <w:right w:val="nil"/>
            </w:tcBorders>
            <w:shd w:val="clear" w:color="auto" w:fill="FFFFFF"/>
            <w:vAlign w:val="center"/>
          </w:tcPr>
          <w:p w14:paraId="1F424DD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61</w:t>
            </w:r>
          </w:p>
        </w:tc>
        <w:tc>
          <w:tcPr>
            <w:tcW w:w="701" w:type="pct"/>
            <w:tcBorders>
              <w:top w:val="nil"/>
              <w:left w:val="nil"/>
              <w:bottom w:val="nil"/>
              <w:right w:val="nil"/>
            </w:tcBorders>
            <w:shd w:val="clear" w:color="auto" w:fill="FFFFFF"/>
            <w:vAlign w:val="center"/>
          </w:tcPr>
          <w:p w14:paraId="4DB08CF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34.46</w:t>
            </w:r>
          </w:p>
        </w:tc>
        <w:tc>
          <w:tcPr>
            <w:tcW w:w="1159" w:type="pct"/>
            <w:tcBorders>
              <w:top w:val="nil"/>
              <w:left w:val="nil"/>
              <w:bottom w:val="nil"/>
              <w:right w:val="nil"/>
            </w:tcBorders>
            <w:shd w:val="clear" w:color="auto" w:fill="FFFFFF"/>
            <w:vAlign w:val="center"/>
          </w:tcPr>
          <w:p w14:paraId="091DB0F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DBFE48B" w14:textId="77777777">
        <w:trPr>
          <w:trHeight w:val="524"/>
        </w:trPr>
        <w:tc>
          <w:tcPr>
            <w:tcW w:w="1565" w:type="pct"/>
            <w:vMerge w:val="restart"/>
            <w:tcBorders>
              <w:top w:val="nil"/>
              <w:left w:val="nil"/>
              <w:bottom w:val="nil"/>
              <w:right w:val="nil"/>
            </w:tcBorders>
            <w:shd w:val="clear" w:color="auto" w:fill="FFFFFF"/>
            <w:vAlign w:val="center"/>
          </w:tcPr>
          <w:p w14:paraId="608ADD7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15.How likely are you to purchase an electric vehicle from Volkswagen in the next five years? —How likely are you to purchase an electric vehicle from Volkswagen in the next five years?</w:t>
            </w:r>
          </w:p>
        </w:tc>
        <w:tc>
          <w:tcPr>
            <w:tcW w:w="1034" w:type="pct"/>
            <w:tcBorders>
              <w:top w:val="nil"/>
              <w:left w:val="nil"/>
              <w:bottom w:val="nil"/>
              <w:right w:val="nil"/>
            </w:tcBorders>
            <w:shd w:val="clear" w:color="auto" w:fill="FFFFFF"/>
            <w:vAlign w:val="center"/>
          </w:tcPr>
          <w:p w14:paraId="4A5F68F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538" w:type="pct"/>
            <w:tcBorders>
              <w:top w:val="nil"/>
              <w:left w:val="nil"/>
              <w:bottom w:val="nil"/>
              <w:right w:val="nil"/>
            </w:tcBorders>
            <w:shd w:val="clear" w:color="auto" w:fill="FFFFFF"/>
            <w:vAlign w:val="center"/>
          </w:tcPr>
          <w:p w14:paraId="494B795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w:t>
            </w:r>
          </w:p>
        </w:tc>
        <w:tc>
          <w:tcPr>
            <w:tcW w:w="701" w:type="pct"/>
            <w:tcBorders>
              <w:top w:val="nil"/>
              <w:left w:val="nil"/>
              <w:bottom w:val="nil"/>
              <w:right w:val="nil"/>
            </w:tcBorders>
            <w:shd w:val="clear" w:color="auto" w:fill="FFFFFF"/>
            <w:vAlign w:val="center"/>
          </w:tcPr>
          <w:p w14:paraId="6F79F63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7.30</w:t>
            </w:r>
          </w:p>
        </w:tc>
        <w:tc>
          <w:tcPr>
            <w:tcW w:w="1159" w:type="pct"/>
            <w:tcBorders>
              <w:top w:val="nil"/>
              <w:left w:val="nil"/>
              <w:bottom w:val="nil"/>
              <w:right w:val="nil"/>
            </w:tcBorders>
            <w:shd w:val="clear" w:color="auto" w:fill="FFFFFF"/>
            <w:vAlign w:val="center"/>
          </w:tcPr>
          <w:p w14:paraId="34E8458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7.30</w:t>
            </w:r>
          </w:p>
        </w:tc>
      </w:tr>
      <w:tr w:rsidR="0067740A" w14:paraId="6A19D4A1" w14:textId="77777777">
        <w:trPr>
          <w:trHeight w:val="486"/>
        </w:trPr>
        <w:tc>
          <w:tcPr>
            <w:tcW w:w="1565" w:type="pct"/>
            <w:vMerge/>
            <w:tcBorders>
              <w:top w:val="nil"/>
              <w:left w:val="nil"/>
              <w:bottom w:val="nil"/>
              <w:right w:val="nil"/>
            </w:tcBorders>
            <w:shd w:val="clear" w:color="auto" w:fill="FFFFFF"/>
            <w:vAlign w:val="center"/>
          </w:tcPr>
          <w:p w14:paraId="55AF918B"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4B6F74A9"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538" w:type="pct"/>
            <w:tcBorders>
              <w:top w:val="nil"/>
              <w:left w:val="nil"/>
              <w:bottom w:val="nil"/>
              <w:right w:val="nil"/>
            </w:tcBorders>
            <w:shd w:val="clear" w:color="auto" w:fill="FFFFFF"/>
            <w:vAlign w:val="center"/>
          </w:tcPr>
          <w:p w14:paraId="0DDB583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701" w:type="pct"/>
            <w:tcBorders>
              <w:top w:val="nil"/>
              <w:left w:val="nil"/>
              <w:bottom w:val="nil"/>
              <w:right w:val="nil"/>
            </w:tcBorders>
            <w:shd w:val="clear" w:color="auto" w:fill="FFFFFF"/>
            <w:vAlign w:val="center"/>
          </w:tcPr>
          <w:p w14:paraId="32D3907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159" w:type="pct"/>
            <w:tcBorders>
              <w:top w:val="nil"/>
              <w:left w:val="nil"/>
              <w:bottom w:val="nil"/>
              <w:right w:val="nil"/>
            </w:tcBorders>
            <w:shd w:val="clear" w:color="auto" w:fill="FFFFFF"/>
            <w:vAlign w:val="center"/>
          </w:tcPr>
          <w:p w14:paraId="795918D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14.84</w:t>
            </w:r>
          </w:p>
        </w:tc>
      </w:tr>
      <w:tr w:rsidR="0067740A" w14:paraId="41FBF64E" w14:textId="77777777">
        <w:trPr>
          <w:trHeight w:val="573"/>
        </w:trPr>
        <w:tc>
          <w:tcPr>
            <w:tcW w:w="1565" w:type="pct"/>
            <w:vMerge/>
            <w:tcBorders>
              <w:top w:val="nil"/>
              <w:left w:val="nil"/>
              <w:bottom w:val="nil"/>
              <w:right w:val="nil"/>
            </w:tcBorders>
            <w:shd w:val="clear" w:color="auto" w:fill="FFFFFF"/>
            <w:vAlign w:val="center"/>
          </w:tcPr>
          <w:p w14:paraId="7BFF0212"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00FF67B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38" w:type="pct"/>
            <w:tcBorders>
              <w:top w:val="nil"/>
              <w:left w:val="nil"/>
              <w:bottom w:val="nil"/>
              <w:right w:val="nil"/>
            </w:tcBorders>
            <w:shd w:val="clear" w:color="auto" w:fill="FFFFFF"/>
            <w:vAlign w:val="center"/>
          </w:tcPr>
          <w:p w14:paraId="613AEF5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w:t>
            </w:r>
          </w:p>
        </w:tc>
        <w:tc>
          <w:tcPr>
            <w:tcW w:w="701" w:type="pct"/>
            <w:tcBorders>
              <w:top w:val="nil"/>
              <w:left w:val="nil"/>
              <w:bottom w:val="nil"/>
              <w:right w:val="nil"/>
            </w:tcBorders>
            <w:shd w:val="clear" w:color="auto" w:fill="FFFFFF"/>
            <w:vAlign w:val="center"/>
          </w:tcPr>
          <w:p w14:paraId="2CFD7D6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17.76</w:t>
            </w:r>
          </w:p>
        </w:tc>
        <w:tc>
          <w:tcPr>
            <w:tcW w:w="1159" w:type="pct"/>
            <w:tcBorders>
              <w:top w:val="nil"/>
              <w:left w:val="nil"/>
              <w:bottom w:val="nil"/>
              <w:right w:val="nil"/>
            </w:tcBorders>
            <w:shd w:val="clear" w:color="auto" w:fill="FFFFFF"/>
            <w:vAlign w:val="center"/>
          </w:tcPr>
          <w:p w14:paraId="13BFD93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32.60</w:t>
            </w:r>
          </w:p>
        </w:tc>
      </w:tr>
      <w:tr w:rsidR="0067740A" w14:paraId="27F006AF" w14:textId="77777777">
        <w:trPr>
          <w:trHeight w:val="486"/>
        </w:trPr>
        <w:tc>
          <w:tcPr>
            <w:tcW w:w="1565" w:type="pct"/>
            <w:vMerge/>
            <w:tcBorders>
              <w:top w:val="nil"/>
              <w:left w:val="nil"/>
              <w:bottom w:val="nil"/>
              <w:right w:val="nil"/>
            </w:tcBorders>
            <w:shd w:val="clear" w:color="auto" w:fill="FFFFFF"/>
            <w:vAlign w:val="center"/>
          </w:tcPr>
          <w:p w14:paraId="7A24EF71"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7602AB79"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538" w:type="pct"/>
            <w:tcBorders>
              <w:top w:val="nil"/>
              <w:left w:val="nil"/>
              <w:bottom w:val="nil"/>
              <w:right w:val="nil"/>
            </w:tcBorders>
            <w:shd w:val="clear" w:color="auto" w:fill="FFFFFF"/>
            <w:vAlign w:val="center"/>
          </w:tcPr>
          <w:p w14:paraId="5F7930A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142</w:t>
            </w:r>
          </w:p>
        </w:tc>
        <w:tc>
          <w:tcPr>
            <w:tcW w:w="701" w:type="pct"/>
            <w:tcBorders>
              <w:top w:val="nil"/>
              <w:left w:val="nil"/>
              <w:bottom w:val="nil"/>
              <w:right w:val="nil"/>
            </w:tcBorders>
            <w:shd w:val="clear" w:color="auto" w:fill="FFFFFF"/>
            <w:vAlign w:val="center"/>
          </w:tcPr>
          <w:p w14:paraId="474D301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34.55</w:t>
            </w:r>
          </w:p>
        </w:tc>
        <w:tc>
          <w:tcPr>
            <w:tcW w:w="1159" w:type="pct"/>
            <w:tcBorders>
              <w:top w:val="nil"/>
              <w:left w:val="nil"/>
              <w:bottom w:val="nil"/>
              <w:right w:val="nil"/>
            </w:tcBorders>
            <w:shd w:val="clear" w:color="auto" w:fill="FFFFFF"/>
            <w:vAlign w:val="center"/>
          </w:tcPr>
          <w:p w14:paraId="773ADAF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67.15</w:t>
            </w:r>
          </w:p>
        </w:tc>
      </w:tr>
      <w:tr w:rsidR="0067740A" w14:paraId="2765EDD0" w14:textId="77777777">
        <w:trPr>
          <w:trHeight w:val="270"/>
        </w:trPr>
        <w:tc>
          <w:tcPr>
            <w:tcW w:w="1565" w:type="pct"/>
            <w:vMerge/>
            <w:tcBorders>
              <w:top w:val="nil"/>
              <w:left w:val="nil"/>
              <w:bottom w:val="nil"/>
              <w:right w:val="nil"/>
            </w:tcBorders>
            <w:shd w:val="clear" w:color="auto" w:fill="FFFFFF"/>
            <w:vAlign w:val="center"/>
          </w:tcPr>
          <w:p w14:paraId="3E3D3B45" w14:textId="77777777" w:rsidR="0067740A" w:rsidRDefault="0067740A">
            <w:pPr>
              <w:spacing w:line="360" w:lineRule="auto"/>
              <w:jc w:val="center"/>
              <w:rPr>
                <w:rFonts w:ascii="Arial" w:eastAsia="宋体" w:hAnsi="Arial" w:cs="Arial"/>
                <w:color w:val="000000"/>
              </w:rPr>
            </w:pPr>
          </w:p>
        </w:tc>
        <w:tc>
          <w:tcPr>
            <w:tcW w:w="1034" w:type="pct"/>
            <w:tcBorders>
              <w:top w:val="nil"/>
              <w:left w:val="nil"/>
              <w:bottom w:val="nil"/>
              <w:right w:val="nil"/>
            </w:tcBorders>
            <w:shd w:val="clear" w:color="auto" w:fill="FFFFFF"/>
            <w:vAlign w:val="center"/>
          </w:tcPr>
          <w:p w14:paraId="4E179BC9"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538" w:type="pct"/>
            <w:tcBorders>
              <w:top w:val="nil"/>
              <w:left w:val="nil"/>
              <w:bottom w:val="nil"/>
              <w:right w:val="nil"/>
            </w:tcBorders>
            <w:shd w:val="clear" w:color="auto" w:fill="FFFFFF"/>
            <w:vAlign w:val="center"/>
          </w:tcPr>
          <w:p w14:paraId="7AC0401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135</w:t>
            </w:r>
          </w:p>
        </w:tc>
        <w:tc>
          <w:tcPr>
            <w:tcW w:w="701" w:type="pct"/>
            <w:tcBorders>
              <w:top w:val="nil"/>
              <w:left w:val="nil"/>
              <w:bottom w:val="nil"/>
              <w:right w:val="nil"/>
            </w:tcBorders>
            <w:shd w:val="clear" w:color="auto" w:fill="FFFFFF"/>
            <w:vAlign w:val="center"/>
          </w:tcPr>
          <w:p w14:paraId="3C66A20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32.85</w:t>
            </w:r>
          </w:p>
        </w:tc>
        <w:tc>
          <w:tcPr>
            <w:tcW w:w="1159" w:type="pct"/>
            <w:tcBorders>
              <w:top w:val="nil"/>
              <w:left w:val="nil"/>
              <w:bottom w:val="nil"/>
              <w:right w:val="nil"/>
            </w:tcBorders>
            <w:shd w:val="clear" w:color="auto" w:fill="FFFFFF"/>
            <w:vAlign w:val="center"/>
          </w:tcPr>
          <w:p w14:paraId="48635FF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17584930" w14:textId="77777777">
        <w:trPr>
          <w:trHeight w:val="270"/>
        </w:trPr>
        <w:tc>
          <w:tcPr>
            <w:tcW w:w="2600" w:type="pct"/>
            <w:gridSpan w:val="2"/>
            <w:tcBorders>
              <w:top w:val="nil"/>
              <w:left w:val="nil"/>
              <w:bottom w:val="single" w:sz="8" w:space="0" w:color="auto"/>
              <w:right w:val="nil"/>
            </w:tcBorders>
            <w:shd w:val="clear" w:color="auto" w:fill="FFFFFF"/>
            <w:vAlign w:val="center"/>
          </w:tcPr>
          <w:p w14:paraId="0C60FEE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538" w:type="pct"/>
            <w:tcBorders>
              <w:top w:val="nil"/>
              <w:left w:val="nil"/>
              <w:bottom w:val="single" w:sz="8" w:space="0" w:color="auto"/>
              <w:right w:val="nil"/>
            </w:tcBorders>
            <w:shd w:val="clear" w:color="auto" w:fill="FFFFFF"/>
            <w:vAlign w:val="center"/>
          </w:tcPr>
          <w:p w14:paraId="0020DD6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411</w:t>
            </w:r>
          </w:p>
        </w:tc>
        <w:tc>
          <w:tcPr>
            <w:tcW w:w="701" w:type="pct"/>
            <w:tcBorders>
              <w:top w:val="nil"/>
              <w:left w:val="nil"/>
              <w:bottom w:val="single" w:sz="8" w:space="0" w:color="auto"/>
              <w:right w:val="nil"/>
            </w:tcBorders>
            <w:shd w:val="clear" w:color="auto" w:fill="FFFFFF"/>
            <w:vAlign w:val="center"/>
          </w:tcPr>
          <w:p w14:paraId="07DABCA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c>
          <w:tcPr>
            <w:tcW w:w="1159" w:type="pct"/>
            <w:tcBorders>
              <w:top w:val="nil"/>
              <w:left w:val="nil"/>
              <w:bottom w:val="single" w:sz="8" w:space="0" w:color="auto"/>
              <w:right w:val="nil"/>
            </w:tcBorders>
            <w:shd w:val="clear" w:color="auto" w:fill="FFFFFF"/>
            <w:vAlign w:val="center"/>
          </w:tcPr>
          <w:p w14:paraId="6D84B67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r>
    </w:tbl>
    <w:p w14:paraId="30FC84E3" w14:textId="77777777" w:rsidR="0067740A" w:rsidRDefault="00000000">
      <w:pPr>
        <w:pStyle w:val="a6"/>
        <w:spacing w:line="360" w:lineRule="auto"/>
        <w:ind w:left="28" w:firstLine="479"/>
        <w:rPr>
          <w:rFonts w:ascii="Arial" w:hAnsi="Arial" w:cs="Arial"/>
          <w:lang w:eastAsia="zh-CN"/>
        </w:rPr>
      </w:pPr>
      <w:r>
        <w:rPr>
          <w:rFonts w:ascii="Arial" w:hAnsi="Arial" w:cs="Arial"/>
          <w:lang w:eastAsia="zh-CN"/>
        </w:rPr>
        <w:t xml:space="preserve">As can be seen from the table above, only 24.82% of respondents in the survey sample said they had ever purchased a Volkswagen vehicle, while 75.18% said they had not. Among the respondents who have purchased Volkswagen cars, government incentives (24.36%) and others’ recommendations (36.75%) account for a significant proportion, indicating the important influence of policy support and word-of-mouth communication on car purchase decisions. </w:t>
      </w:r>
      <w:r>
        <w:rPr>
          <w:rFonts w:ascii="Arial" w:hAnsi="Arial" w:cs="Arial"/>
        </w:rPr>
        <w:t xml:space="preserve">Additionally, 22.22% of respondents selected </w:t>
      </w:r>
      <w:r>
        <w:rPr>
          <w:rFonts w:ascii="Arial" w:hAnsi="Arial" w:cs="Arial"/>
        </w:rPr>
        <w:lastRenderedPageBreak/>
        <w:t>‘other’ reasons, reflecting the diversity of motivations for car purchases.</w:t>
      </w:r>
    </w:p>
    <w:p w14:paraId="6282D91F" w14:textId="77777777" w:rsidR="0067740A" w:rsidRDefault="00000000">
      <w:pPr>
        <w:pStyle w:val="a6"/>
        <w:spacing w:line="360" w:lineRule="auto"/>
        <w:ind w:left="28" w:firstLine="479"/>
        <w:rPr>
          <w:rFonts w:ascii="Arial" w:hAnsi="Arial" w:cs="Arial"/>
        </w:rPr>
      </w:pPr>
      <w:r>
        <w:rPr>
          <w:rFonts w:ascii="Arial" w:hAnsi="Arial" w:cs="Arial"/>
        </w:rPr>
        <w:t>For the respondents who have not bought a Volkswagen car, the future purchase intention is uncertain. Only 11.30% of respondents explicitly said they would consider</w:t>
      </w:r>
      <w:r>
        <w:rPr>
          <w:rFonts w:ascii="Arial" w:hAnsi="Arial" w:cs="Arial"/>
          <w:spacing w:val="-15"/>
        </w:rPr>
        <w:t xml:space="preserve"> </w:t>
      </w:r>
      <w:r>
        <w:rPr>
          <w:rFonts w:ascii="Arial" w:hAnsi="Arial" w:cs="Arial"/>
        </w:rPr>
        <w:t>buying</w:t>
      </w:r>
      <w:r>
        <w:rPr>
          <w:rFonts w:ascii="Arial" w:hAnsi="Arial" w:cs="Arial"/>
          <w:spacing w:val="-15"/>
        </w:rPr>
        <w:t xml:space="preserve"> </w:t>
      </w:r>
      <w:r>
        <w:rPr>
          <w:rFonts w:ascii="Arial" w:hAnsi="Arial" w:cs="Arial"/>
        </w:rPr>
        <w:t>a</w:t>
      </w:r>
      <w:r>
        <w:rPr>
          <w:rFonts w:ascii="Arial" w:hAnsi="Arial" w:cs="Arial"/>
          <w:spacing w:val="-15"/>
        </w:rPr>
        <w:t xml:space="preserve"> </w:t>
      </w:r>
      <w:r>
        <w:rPr>
          <w:rFonts w:ascii="Arial" w:hAnsi="Arial" w:cs="Arial"/>
        </w:rPr>
        <w:t>Volkswagen</w:t>
      </w:r>
      <w:r>
        <w:rPr>
          <w:rFonts w:ascii="Arial" w:hAnsi="Arial" w:cs="Arial"/>
          <w:spacing w:val="-13"/>
        </w:rPr>
        <w:t xml:space="preserve"> </w:t>
      </w:r>
      <w:r>
        <w:rPr>
          <w:rFonts w:ascii="Arial" w:hAnsi="Arial" w:cs="Arial"/>
        </w:rPr>
        <w:t>car,</w:t>
      </w:r>
      <w:r>
        <w:rPr>
          <w:rFonts w:ascii="Arial" w:hAnsi="Arial" w:cs="Arial"/>
          <w:spacing w:val="-14"/>
        </w:rPr>
        <w:t xml:space="preserve"> </w:t>
      </w:r>
      <w:r>
        <w:rPr>
          <w:rFonts w:ascii="Arial" w:hAnsi="Arial" w:cs="Arial"/>
        </w:rPr>
        <w:t>while</w:t>
      </w:r>
      <w:r>
        <w:rPr>
          <w:rFonts w:ascii="Arial" w:hAnsi="Arial" w:cs="Arial"/>
          <w:spacing w:val="-15"/>
        </w:rPr>
        <w:t xml:space="preserve"> </w:t>
      </w:r>
      <w:r>
        <w:rPr>
          <w:rFonts w:ascii="Arial" w:hAnsi="Arial" w:cs="Arial"/>
        </w:rPr>
        <w:t>54.24% said</w:t>
      </w:r>
      <w:r>
        <w:rPr>
          <w:rFonts w:ascii="Arial" w:hAnsi="Arial" w:cs="Arial"/>
          <w:spacing w:val="-15"/>
        </w:rPr>
        <w:t xml:space="preserve"> </w:t>
      </w:r>
      <w:r>
        <w:rPr>
          <w:rFonts w:ascii="Arial" w:hAnsi="Arial" w:cs="Arial"/>
        </w:rPr>
        <w:t>they</w:t>
      </w:r>
      <w:r>
        <w:rPr>
          <w:rFonts w:ascii="Arial" w:hAnsi="Arial" w:cs="Arial"/>
          <w:spacing w:val="-14"/>
        </w:rPr>
        <w:t xml:space="preserve"> </w:t>
      </w:r>
      <w:r>
        <w:rPr>
          <w:rFonts w:ascii="Arial" w:hAnsi="Arial" w:cs="Arial"/>
        </w:rPr>
        <w:t>would</w:t>
      </w:r>
      <w:r>
        <w:rPr>
          <w:rFonts w:ascii="Arial" w:hAnsi="Arial" w:cs="Arial"/>
          <w:spacing w:val="-15"/>
        </w:rPr>
        <w:t xml:space="preserve"> </w:t>
      </w:r>
      <w:r>
        <w:rPr>
          <w:rFonts w:ascii="Arial" w:hAnsi="Arial" w:cs="Arial"/>
        </w:rPr>
        <w:t>not.</w:t>
      </w:r>
      <w:r>
        <w:rPr>
          <w:rFonts w:ascii="Arial" w:hAnsi="Arial" w:cs="Arial"/>
          <w:spacing w:val="-15"/>
        </w:rPr>
        <w:t xml:space="preserve"> </w:t>
      </w:r>
      <w:r>
        <w:rPr>
          <w:rFonts w:ascii="Arial" w:hAnsi="Arial" w:cs="Arial"/>
        </w:rPr>
        <w:t>In</w:t>
      </w:r>
      <w:r>
        <w:rPr>
          <w:rFonts w:ascii="Arial" w:hAnsi="Arial" w:cs="Arial"/>
          <w:spacing w:val="-13"/>
        </w:rPr>
        <w:t xml:space="preserve"> </w:t>
      </w:r>
      <w:r>
        <w:rPr>
          <w:rFonts w:ascii="Arial" w:hAnsi="Arial" w:cs="Arial"/>
        </w:rPr>
        <w:t>addition, 34.46% of</w:t>
      </w:r>
      <w:r>
        <w:rPr>
          <w:rFonts w:ascii="Arial" w:hAnsi="Arial" w:cs="Arial"/>
          <w:spacing w:val="-4"/>
        </w:rPr>
        <w:t xml:space="preserve"> </w:t>
      </w:r>
      <w:r>
        <w:rPr>
          <w:rFonts w:ascii="Arial" w:hAnsi="Arial" w:cs="Arial"/>
        </w:rPr>
        <w:t>respondents</w:t>
      </w:r>
      <w:r>
        <w:rPr>
          <w:rFonts w:ascii="Arial" w:hAnsi="Arial" w:cs="Arial"/>
          <w:spacing w:val="-4"/>
        </w:rPr>
        <w:t xml:space="preserve"> </w:t>
      </w:r>
      <w:r>
        <w:rPr>
          <w:rFonts w:ascii="Arial" w:hAnsi="Arial" w:cs="Arial"/>
        </w:rPr>
        <w:t>said</w:t>
      </w:r>
      <w:r>
        <w:rPr>
          <w:rFonts w:ascii="Arial" w:hAnsi="Arial" w:cs="Arial"/>
          <w:spacing w:val="-4"/>
        </w:rPr>
        <w:t xml:space="preserve"> </w:t>
      </w:r>
      <w:r>
        <w:rPr>
          <w:rFonts w:ascii="Arial" w:hAnsi="Arial" w:cs="Arial"/>
        </w:rPr>
        <w:t>they</w:t>
      </w:r>
      <w:r>
        <w:rPr>
          <w:rFonts w:ascii="Arial" w:hAnsi="Arial" w:cs="Arial"/>
          <w:spacing w:val="-4"/>
        </w:rPr>
        <w:t xml:space="preserve"> </w:t>
      </w:r>
      <w:r>
        <w:rPr>
          <w:rFonts w:ascii="Arial" w:hAnsi="Arial" w:cs="Arial"/>
        </w:rPr>
        <w:t>might</w:t>
      </w:r>
      <w:r>
        <w:rPr>
          <w:rFonts w:ascii="Arial" w:hAnsi="Arial" w:cs="Arial"/>
          <w:spacing w:val="-4"/>
        </w:rPr>
        <w:t xml:space="preserve"> </w:t>
      </w:r>
      <w:r>
        <w:rPr>
          <w:rFonts w:ascii="Arial" w:hAnsi="Arial" w:cs="Arial"/>
        </w:rPr>
        <w:t>consider</w:t>
      </w:r>
      <w:r>
        <w:rPr>
          <w:rFonts w:ascii="Arial" w:hAnsi="Arial" w:cs="Arial"/>
          <w:spacing w:val="-4"/>
        </w:rPr>
        <w:t xml:space="preserve"> </w:t>
      </w:r>
      <w:r>
        <w:rPr>
          <w:rFonts w:ascii="Arial" w:hAnsi="Arial" w:cs="Arial"/>
        </w:rPr>
        <w:t>it,</w:t>
      </w:r>
      <w:r>
        <w:rPr>
          <w:rFonts w:ascii="Arial" w:hAnsi="Arial" w:cs="Arial"/>
          <w:spacing w:val="-4"/>
        </w:rPr>
        <w:t xml:space="preserve"> </w:t>
      </w:r>
      <w:r>
        <w:rPr>
          <w:rFonts w:ascii="Arial" w:hAnsi="Arial" w:cs="Arial"/>
        </w:rPr>
        <w:t>showing</w:t>
      </w:r>
      <w:r>
        <w:rPr>
          <w:rFonts w:ascii="Arial" w:hAnsi="Arial" w:cs="Arial"/>
          <w:spacing w:val="-4"/>
        </w:rPr>
        <w:t xml:space="preserve"> </w:t>
      </w:r>
      <w:r>
        <w:rPr>
          <w:rFonts w:ascii="Arial" w:hAnsi="Arial" w:cs="Arial"/>
        </w:rPr>
        <w:t>a</w:t>
      </w:r>
      <w:r>
        <w:rPr>
          <w:rFonts w:ascii="Arial" w:hAnsi="Arial" w:cs="Arial"/>
          <w:spacing w:val="-4"/>
        </w:rPr>
        <w:t xml:space="preserve"> </w:t>
      </w:r>
      <w:r>
        <w:rPr>
          <w:rFonts w:ascii="Arial" w:hAnsi="Arial" w:cs="Arial"/>
        </w:rPr>
        <w:t>certain</w:t>
      </w:r>
      <w:r>
        <w:rPr>
          <w:rFonts w:ascii="Arial" w:hAnsi="Arial" w:cs="Arial"/>
          <w:spacing w:val="-4"/>
        </w:rPr>
        <w:t xml:space="preserve"> </w:t>
      </w:r>
      <w:r>
        <w:rPr>
          <w:rFonts w:ascii="Arial" w:hAnsi="Arial" w:cs="Arial"/>
        </w:rPr>
        <w:t>potential market demand.</w:t>
      </w:r>
    </w:p>
    <w:p w14:paraId="50D0603D" w14:textId="77777777" w:rsidR="0067740A" w:rsidRDefault="00000000">
      <w:pPr>
        <w:pStyle w:val="a6"/>
        <w:spacing w:line="360" w:lineRule="auto"/>
        <w:ind w:left="28" w:firstLine="479"/>
        <w:rPr>
          <w:rFonts w:ascii="Arial" w:eastAsia="宋体" w:hAnsi="Arial" w:cs="Arial"/>
        </w:rPr>
      </w:pPr>
      <w:r>
        <w:rPr>
          <w:rFonts w:ascii="Arial" w:hAnsi="Arial" w:cs="Arial"/>
          <w:color w:val="04073A"/>
        </w:rPr>
        <w:t>In</w:t>
      </w:r>
      <w:r>
        <w:rPr>
          <w:rFonts w:ascii="Arial" w:hAnsi="Arial" w:cs="Arial"/>
          <w:color w:val="04073A"/>
          <w:spacing w:val="-3"/>
        </w:rPr>
        <w:t xml:space="preserve"> </w:t>
      </w:r>
      <w:r>
        <w:rPr>
          <w:rFonts w:ascii="Arial" w:hAnsi="Arial" w:cs="Arial"/>
          <w:color w:val="04073A"/>
        </w:rPr>
        <w:t>terms</w:t>
      </w:r>
      <w:r>
        <w:rPr>
          <w:rFonts w:ascii="Arial" w:hAnsi="Arial" w:cs="Arial"/>
          <w:color w:val="04073A"/>
          <w:spacing w:val="-3"/>
        </w:rPr>
        <w:t xml:space="preserve"> </w:t>
      </w:r>
      <w:r>
        <w:rPr>
          <w:rFonts w:ascii="Arial" w:hAnsi="Arial" w:cs="Arial"/>
          <w:color w:val="04073A"/>
        </w:rPr>
        <w:t>of</w:t>
      </w:r>
      <w:r>
        <w:rPr>
          <w:rFonts w:ascii="Arial" w:hAnsi="Arial" w:cs="Arial"/>
          <w:color w:val="04073A"/>
          <w:spacing w:val="-4"/>
        </w:rPr>
        <w:t xml:space="preserve"> </w:t>
      </w:r>
      <w:r>
        <w:rPr>
          <w:rFonts w:ascii="Arial" w:hAnsi="Arial" w:cs="Arial"/>
          <w:color w:val="04073A"/>
        </w:rPr>
        <w:t>buying</w:t>
      </w:r>
      <w:r>
        <w:rPr>
          <w:rFonts w:ascii="Arial" w:hAnsi="Arial" w:cs="Arial"/>
          <w:color w:val="04073A"/>
          <w:spacing w:val="-3"/>
        </w:rPr>
        <w:t xml:space="preserve"> </w:t>
      </w:r>
      <w:r>
        <w:rPr>
          <w:rFonts w:ascii="Arial" w:hAnsi="Arial" w:cs="Arial"/>
          <w:color w:val="04073A"/>
        </w:rPr>
        <w:t>intentions</w:t>
      </w:r>
      <w:r>
        <w:rPr>
          <w:rFonts w:ascii="Arial" w:hAnsi="Arial" w:cs="Arial"/>
          <w:color w:val="04073A"/>
          <w:spacing w:val="-3"/>
        </w:rPr>
        <w:t xml:space="preserve"> </w:t>
      </w:r>
      <w:r>
        <w:rPr>
          <w:rFonts w:ascii="Arial" w:hAnsi="Arial" w:cs="Arial"/>
          <w:color w:val="04073A"/>
        </w:rPr>
        <w:t>for</w:t>
      </w:r>
      <w:r>
        <w:rPr>
          <w:rFonts w:ascii="Arial" w:hAnsi="Arial" w:cs="Arial"/>
          <w:color w:val="04073A"/>
          <w:spacing w:val="-5"/>
        </w:rPr>
        <w:t xml:space="preserve"> </w:t>
      </w:r>
      <w:r>
        <w:rPr>
          <w:rFonts w:ascii="Arial" w:hAnsi="Arial" w:cs="Arial"/>
          <w:color w:val="04073A"/>
        </w:rPr>
        <w:t>electric</w:t>
      </w:r>
      <w:r>
        <w:rPr>
          <w:rFonts w:ascii="Arial" w:hAnsi="Arial" w:cs="Arial"/>
          <w:color w:val="04073A"/>
          <w:spacing w:val="-5"/>
        </w:rPr>
        <w:t xml:space="preserve"> </w:t>
      </w:r>
      <w:r>
        <w:rPr>
          <w:rFonts w:ascii="Arial" w:hAnsi="Arial" w:cs="Arial"/>
          <w:color w:val="04073A"/>
        </w:rPr>
        <w:t>vehicles,</w:t>
      </w:r>
      <w:r>
        <w:rPr>
          <w:rFonts w:ascii="Arial" w:hAnsi="Arial" w:cs="Arial"/>
          <w:color w:val="04073A"/>
          <w:spacing w:val="-1"/>
        </w:rPr>
        <w:t xml:space="preserve"> </w:t>
      </w:r>
      <w:r>
        <w:rPr>
          <w:rFonts w:ascii="Arial" w:hAnsi="Arial" w:cs="Arial"/>
          <w:color w:val="04073A"/>
        </w:rPr>
        <w:t>the</w:t>
      </w:r>
      <w:r>
        <w:rPr>
          <w:rFonts w:ascii="Arial" w:hAnsi="Arial" w:cs="Arial"/>
          <w:color w:val="04073A"/>
          <w:spacing w:val="-3"/>
        </w:rPr>
        <w:t xml:space="preserve"> </w:t>
      </w:r>
      <w:r>
        <w:rPr>
          <w:rFonts w:ascii="Arial" w:hAnsi="Arial" w:cs="Arial"/>
          <w:color w:val="04073A"/>
        </w:rPr>
        <w:t>survey</w:t>
      </w:r>
      <w:r>
        <w:rPr>
          <w:rFonts w:ascii="Arial" w:hAnsi="Arial" w:cs="Arial"/>
          <w:color w:val="04073A"/>
          <w:spacing w:val="-3"/>
        </w:rPr>
        <w:t xml:space="preserve"> </w:t>
      </w:r>
      <w:r>
        <w:rPr>
          <w:rFonts w:ascii="Arial" w:hAnsi="Arial" w:cs="Arial"/>
          <w:color w:val="04073A"/>
        </w:rPr>
        <w:t>results</w:t>
      </w:r>
      <w:r>
        <w:rPr>
          <w:rFonts w:ascii="Arial" w:hAnsi="Arial" w:cs="Arial"/>
          <w:color w:val="04073A"/>
          <w:spacing w:val="-3"/>
        </w:rPr>
        <w:t xml:space="preserve"> </w:t>
      </w:r>
      <w:r>
        <w:rPr>
          <w:rFonts w:ascii="Arial" w:hAnsi="Arial" w:cs="Arial"/>
          <w:color w:val="04073A"/>
        </w:rPr>
        <w:t>show</w:t>
      </w:r>
      <w:r>
        <w:rPr>
          <w:rFonts w:ascii="Arial" w:hAnsi="Arial" w:cs="Arial"/>
          <w:color w:val="04073A"/>
          <w:spacing w:val="-3"/>
        </w:rPr>
        <w:t xml:space="preserve"> </w:t>
      </w:r>
      <w:r>
        <w:rPr>
          <w:rFonts w:ascii="Arial" w:hAnsi="Arial" w:cs="Arial"/>
          <w:color w:val="04073A"/>
        </w:rPr>
        <w:t>a</w:t>
      </w:r>
      <w:r>
        <w:rPr>
          <w:rFonts w:ascii="Arial" w:hAnsi="Arial" w:cs="Arial"/>
          <w:color w:val="04073A"/>
          <w:spacing w:val="-2"/>
        </w:rPr>
        <w:t xml:space="preserve"> </w:t>
      </w:r>
      <w:r>
        <w:rPr>
          <w:rFonts w:ascii="Arial" w:hAnsi="Arial" w:cs="Arial"/>
          <w:color w:val="04073A"/>
        </w:rPr>
        <w:t xml:space="preserve">more positive trend. </w:t>
      </w:r>
      <w:r>
        <w:rPr>
          <w:rFonts w:ascii="Arial" w:hAnsi="Arial" w:cs="Arial"/>
        </w:rPr>
        <w:t>More than a third of respondents indicated they are ‘likely’ or ‘very likely’ to purchase an electric vehicle from Volkswagen</w:t>
      </w:r>
      <w:r>
        <w:rPr>
          <w:rFonts w:ascii="Arial" w:hAnsi="Arial" w:cs="Arial"/>
          <w:lang w:eastAsia="zh-CN"/>
        </w:rPr>
        <w:t xml:space="preserve"> </w:t>
      </w:r>
      <w:r>
        <w:rPr>
          <w:rFonts w:ascii="Arial" w:hAnsi="Arial" w:cs="Arial"/>
          <w:color w:val="04073A"/>
        </w:rPr>
        <w:t>in</w:t>
      </w:r>
      <w:r>
        <w:rPr>
          <w:rFonts w:ascii="Arial" w:hAnsi="Arial" w:cs="Arial"/>
          <w:color w:val="04073A"/>
          <w:spacing w:val="-9"/>
        </w:rPr>
        <w:t xml:space="preserve"> </w:t>
      </w:r>
      <w:r>
        <w:rPr>
          <w:rFonts w:ascii="Arial" w:hAnsi="Arial" w:cs="Arial"/>
          <w:color w:val="04073A"/>
        </w:rPr>
        <w:t>the</w:t>
      </w:r>
      <w:r>
        <w:rPr>
          <w:rFonts w:ascii="Arial" w:hAnsi="Arial" w:cs="Arial"/>
          <w:color w:val="04073A"/>
          <w:spacing w:val="-10"/>
        </w:rPr>
        <w:t xml:space="preserve"> </w:t>
      </w:r>
      <w:r>
        <w:rPr>
          <w:rFonts w:ascii="Arial" w:hAnsi="Arial" w:cs="Arial"/>
          <w:color w:val="04073A"/>
        </w:rPr>
        <w:t>next</w:t>
      </w:r>
      <w:r>
        <w:rPr>
          <w:rFonts w:ascii="Arial" w:hAnsi="Arial" w:cs="Arial"/>
          <w:color w:val="04073A"/>
          <w:spacing w:val="-9"/>
        </w:rPr>
        <w:t xml:space="preserve"> </w:t>
      </w:r>
      <w:r>
        <w:rPr>
          <w:rFonts w:ascii="Arial" w:hAnsi="Arial" w:cs="Arial"/>
          <w:color w:val="04073A"/>
        </w:rPr>
        <w:t>five</w:t>
      </w:r>
      <w:r>
        <w:rPr>
          <w:rFonts w:ascii="Arial" w:hAnsi="Arial" w:cs="Arial"/>
          <w:color w:val="04073A"/>
          <w:spacing w:val="-11"/>
        </w:rPr>
        <w:t xml:space="preserve"> </w:t>
      </w:r>
      <w:r>
        <w:rPr>
          <w:rFonts w:ascii="Arial" w:hAnsi="Arial" w:cs="Arial"/>
          <w:color w:val="04073A"/>
        </w:rPr>
        <w:t>years,</w:t>
      </w:r>
      <w:r>
        <w:rPr>
          <w:rFonts w:ascii="Arial" w:hAnsi="Arial" w:cs="Arial"/>
          <w:color w:val="04073A"/>
          <w:spacing w:val="-8"/>
        </w:rPr>
        <w:t xml:space="preserve"> </w:t>
      </w:r>
      <w:r>
        <w:rPr>
          <w:rFonts w:ascii="Arial" w:hAnsi="Arial" w:cs="Arial"/>
          <w:color w:val="04073A"/>
        </w:rPr>
        <w:t>34.55% and 32.85%, respectively. While there are still some respondents who say they are “unlikely” or “very unlikely” to buy an electric car, overall, the electric car market has</w:t>
      </w:r>
      <w:r>
        <w:rPr>
          <w:rFonts w:ascii="Arial" w:hAnsi="Arial" w:cs="Arial"/>
          <w:color w:val="04073A"/>
          <w:spacing w:val="-10"/>
        </w:rPr>
        <w:t xml:space="preserve"> </w:t>
      </w:r>
      <w:r>
        <w:rPr>
          <w:rFonts w:ascii="Arial" w:hAnsi="Arial" w:cs="Arial"/>
          <w:color w:val="04073A"/>
        </w:rPr>
        <w:t>great</w:t>
      </w:r>
      <w:r>
        <w:rPr>
          <w:rFonts w:ascii="Arial" w:hAnsi="Arial" w:cs="Arial"/>
          <w:color w:val="04073A"/>
          <w:spacing w:val="-10"/>
        </w:rPr>
        <w:t xml:space="preserve"> </w:t>
      </w:r>
      <w:r>
        <w:rPr>
          <w:rFonts w:ascii="Arial" w:hAnsi="Arial" w:cs="Arial"/>
          <w:color w:val="04073A"/>
        </w:rPr>
        <w:t>potential</w:t>
      </w:r>
      <w:r>
        <w:rPr>
          <w:rFonts w:ascii="Arial" w:hAnsi="Arial" w:cs="Arial"/>
          <w:color w:val="04073A"/>
          <w:spacing w:val="-10"/>
        </w:rPr>
        <w:t xml:space="preserve"> </w:t>
      </w:r>
      <w:r>
        <w:rPr>
          <w:rFonts w:ascii="Arial" w:hAnsi="Arial" w:cs="Arial"/>
          <w:color w:val="04073A"/>
        </w:rPr>
        <w:t>for</w:t>
      </w:r>
      <w:r>
        <w:rPr>
          <w:rFonts w:ascii="Arial" w:hAnsi="Arial" w:cs="Arial"/>
          <w:color w:val="04073A"/>
          <w:spacing w:val="-12"/>
        </w:rPr>
        <w:t xml:space="preserve"> </w:t>
      </w:r>
      <w:r>
        <w:rPr>
          <w:rFonts w:ascii="Arial" w:hAnsi="Arial" w:cs="Arial"/>
          <w:color w:val="04073A"/>
        </w:rPr>
        <w:t>development.</w:t>
      </w:r>
      <w:r>
        <w:rPr>
          <w:rFonts w:ascii="Arial" w:hAnsi="Arial" w:cs="Arial"/>
          <w:color w:val="04073A"/>
          <w:spacing w:val="-10"/>
        </w:rPr>
        <w:t xml:space="preserve"> </w:t>
      </w:r>
      <w:r>
        <w:rPr>
          <w:rFonts w:ascii="Arial" w:hAnsi="Arial" w:cs="Arial"/>
          <w:color w:val="04073A"/>
        </w:rPr>
        <w:t>At</w:t>
      </w:r>
      <w:r>
        <w:rPr>
          <w:rFonts w:ascii="Arial" w:hAnsi="Arial" w:cs="Arial"/>
          <w:color w:val="04073A"/>
          <w:spacing w:val="-11"/>
        </w:rPr>
        <w:t xml:space="preserve"> </w:t>
      </w:r>
      <w:r>
        <w:rPr>
          <w:rFonts w:ascii="Arial" w:hAnsi="Arial" w:cs="Arial"/>
          <w:color w:val="04073A"/>
        </w:rPr>
        <w:t>the</w:t>
      </w:r>
      <w:r>
        <w:rPr>
          <w:rFonts w:ascii="Arial" w:hAnsi="Arial" w:cs="Arial"/>
          <w:color w:val="04073A"/>
          <w:spacing w:val="-11"/>
        </w:rPr>
        <w:t xml:space="preserve"> </w:t>
      </w:r>
      <w:r>
        <w:rPr>
          <w:rFonts w:ascii="Arial" w:hAnsi="Arial" w:cs="Arial"/>
          <w:color w:val="04073A"/>
        </w:rPr>
        <w:t>same</w:t>
      </w:r>
      <w:r>
        <w:rPr>
          <w:rFonts w:ascii="Arial" w:hAnsi="Arial" w:cs="Arial"/>
          <w:color w:val="04073A"/>
          <w:spacing w:val="-11"/>
        </w:rPr>
        <w:t xml:space="preserve"> </w:t>
      </w:r>
      <w:r>
        <w:rPr>
          <w:rFonts w:ascii="Arial" w:hAnsi="Arial" w:cs="Arial"/>
          <w:color w:val="04073A"/>
        </w:rPr>
        <w:t>time,</w:t>
      </w:r>
      <w:r>
        <w:rPr>
          <w:rFonts w:ascii="Arial" w:hAnsi="Arial" w:cs="Arial"/>
          <w:color w:val="04073A"/>
          <w:spacing w:val="-11"/>
        </w:rPr>
        <w:t xml:space="preserve"> </w:t>
      </w:r>
      <w:r>
        <w:rPr>
          <w:rFonts w:ascii="Arial" w:hAnsi="Arial" w:cs="Arial"/>
          <w:color w:val="04073A"/>
        </w:rPr>
        <w:t>17.76% of</w:t>
      </w:r>
      <w:r>
        <w:rPr>
          <w:rFonts w:ascii="Arial" w:hAnsi="Arial" w:cs="Arial"/>
          <w:color w:val="04073A"/>
          <w:spacing w:val="-11"/>
        </w:rPr>
        <w:t xml:space="preserve"> </w:t>
      </w:r>
      <w:r>
        <w:rPr>
          <w:rFonts w:ascii="Arial" w:hAnsi="Arial" w:cs="Arial"/>
          <w:color w:val="04073A"/>
        </w:rPr>
        <w:t>respondents</w:t>
      </w:r>
      <w:r>
        <w:rPr>
          <w:rFonts w:ascii="Arial" w:hAnsi="Arial" w:cs="Arial"/>
          <w:color w:val="04073A"/>
          <w:spacing w:val="-10"/>
        </w:rPr>
        <w:t xml:space="preserve"> </w:t>
      </w:r>
      <w:r>
        <w:rPr>
          <w:rFonts w:ascii="Arial" w:hAnsi="Arial" w:cs="Arial"/>
          <w:color w:val="04073A"/>
        </w:rPr>
        <w:t>are neutral and may need more market education and incentives to stimulate their willingness to buy.</w:t>
      </w:r>
    </w:p>
    <w:tbl>
      <w:tblPr>
        <w:tblW w:w="5000" w:type="pct"/>
        <w:shd w:val="clear" w:color="auto" w:fill="FFFFFF"/>
        <w:tblCellMar>
          <w:left w:w="0" w:type="dxa"/>
          <w:right w:w="0" w:type="dxa"/>
        </w:tblCellMar>
        <w:tblLook w:val="04A0" w:firstRow="1" w:lastRow="0" w:firstColumn="1" w:lastColumn="0" w:noHBand="0" w:noVBand="1"/>
      </w:tblPr>
      <w:tblGrid>
        <w:gridCol w:w="2815"/>
        <w:gridCol w:w="1506"/>
        <w:gridCol w:w="1262"/>
        <w:gridCol w:w="1601"/>
        <w:gridCol w:w="2176"/>
      </w:tblGrid>
      <w:tr w:rsidR="0067740A" w14:paraId="2172C994" w14:textId="77777777">
        <w:trPr>
          <w:trHeight w:val="270"/>
          <w:tblHeader/>
        </w:trPr>
        <w:tc>
          <w:tcPr>
            <w:tcW w:w="5000" w:type="pct"/>
            <w:gridSpan w:val="5"/>
            <w:tcBorders>
              <w:bottom w:val="single" w:sz="8" w:space="0" w:color="auto"/>
            </w:tcBorders>
            <w:shd w:val="clear" w:color="auto" w:fill="FFFFFF"/>
            <w:vAlign w:val="center"/>
          </w:tcPr>
          <w:p w14:paraId="6508E62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Frequency Analysis Results</w:t>
            </w:r>
          </w:p>
        </w:tc>
      </w:tr>
      <w:tr w:rsidR="0067740A" w14:paraId="55D90406" w14:textId="77777777">
        <w:trPr>
          <w:trHeight w:val="270"/>
          <w:tblHeader/>
        </w:trPr>
        <w:tc>
          <w:tcPr>
            <w:tcW w:w="1516" w:type="pct"/>
            <w:tcBorders>
              <w:bottom w:val="single" w:sz="4" w:space="0" w:color="auto"/>
            </w:tcBorders>
            <w:shd w:val="clear" w:color="auto" w:fill="FFFFFF"/>
            <w:vAlign w:val="center"/>
          </w:tcPr>
          <w:p w14:paraId="4BABF0F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Name</w:t>
            </w:r>
          </w:p>
        </w:tc>
        <w:tc>
          <w:tcPr>
            <w:tcW w:w="816" w:type="pct"/>
            <w:tcBorders>
              <w:bottom w:val="single" w:sz="4" w:space="0" w:color="auto"/>
            </w:tcBorders>
            <w:shd w:val="clear" w:color="auto" w:fill="FFFFFF"/>
            <w:vAlign w:val="center"/>
          </w:tcPr>
          <w:p w14:paraId="1E47B7B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Options</w:t>
            </w:r>
          </w:p>
        </w:tc>
        <w:tc>
          <w:tcPr>
            <w:tcW w:w="686" w:type="pct"/>
            <w:tcBorders>
              <w:bottom w:val="single" w:sz="4" w:space="0" w:color="auto"/>
            </w:tcBorders>
            <w:shd w:val="clear" w:color="auto" w:fill="FFFFFF"/>
            <w:vAlign w:val="center"/>
          </w:tcPr>
          <w:p w14:paraId="405F3FE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Frequency</w:t>
            </w:r>
          </w:p>
        </w:tc>
        <w:tc>
          <w:tcPr>
            <w:tcW w:w="807" w:type="pct"/>
            <w:tcBorders>
              <w:bottom w:val="single" w:sz="4" w:space="0" w:color="auto"/>
            </w:tcBorders>
            <w:shd w:val="clear" w:color="auto" w:fill="FFFFFF"/>
            <w:vAlign w:val="center"/>
          </w:tcPr>
          <w:p w14:paraId="2123F7C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Percentage(%)</w:t>
            </w:r>
          </w:p>
        </w:tc>
        <w:tc>
          <w:tcPr>
            <w:tcW w:w="1172" w:type="pct"/>
            <w:tcBorders>
              <w:bottom w:val="single" w:sz="4" w:space="0" w:color="auto"/>
            </w:tcBorders>
            <w:shd w:val="clear" w:color="auto" w:fill="FFFFFF"/>
            <w:vAlign w:val="center"/>
          </w:tcPr>
          <w:p w14:paraId="7BE6871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Cumulative Percentage(%)</w:t>
            </w:r>
          </w:p>
        </w:tc>
      </w:tr>
      <w:tr w:rsidR="0067740A" w14:paraId="0584C1CF" w14:textId="77777777">
        <w:trPr>
          <w:trHeight w:val="270"/>
        </w:trPr>
        <w:tc>
          <w:tcPr>
            <w:tcW w:w="1516" w:type="pct"/>
            <w:vMerge w:val="restart"/>
            <w:tcBorders>
              <w:top w:val="nil"/>
              <w:left w:val="nil"/>
              <w:bottom w:val="nil"/>
              <w:right w:val="nil"/>
            </w:tcBorders>
            <w:shd w:val="clear" w:color="auto" w:fill="FFFFFF"/>
            <w:vAlign w:val="center"/>
          </w:tcPr>
          <w:p w14:paraId="017C3A7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16.What factors would most influence your decision to purchase an electric vehicle from Volkswagen?—Price</w:t>
            </w:r>
          </w:p>
        </w:tc>
        <w:tc>
          <w:tcPr>
            <w:tcW w:w="816" w:type="pct"/>
            <w:tcBorders>
              <w:top w:val="nil"/>
              <w:left w:val="nil"/>
              <w:bottom w:val="nil"/>
              <w:right w:val="nil"/>
            </w:tcBorders>
            <w:shd w:val="clear" w:color="auto" w:fill="FFFFFF"/>
            <w:vAlign w:val="center"/>
          </w:tcPr>
          <w:p w14:paraId="15DBAA5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686" w:type="pct"/>
            <w:tcBorders>
              <w:top w:val="nil"/>
              <w:left w:val="nil"/>
              <w:bottom w:val="nil"/>
              <w:right w:val="nil"/>
            </w:tcBorders>
            <w:shd w:val="clear" w:color="auto" w:fill="FFFFFF"/>
            <w:vAlign w:val="center"/>
          </w:tcPr>
          <w:p w14:paraId="2723A86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37</w:t>
            </w:r>
          </w:p>
        </w:tc>
        <w:tc>
          <w:tcPr>
            <w:tcW w:w="807" w:type="pct"/>
            <w:tcBorders>
              <w:top w:val="nil"/>
              <w:left w:val="nil"/>
              <w:bottom w:val="nil"/>
              <w:right w:val="nil"/>
            </w:tcBorders>
            <w:shd w:val="clear" w:color="auto" w:fill="FFFFFF"/>
            <w:vAlign w:val="center"/>
          </w:tcPr>
          <w:p w14:paraId="1E0024A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9.00</w:t>
            </w:r>
          </w:p>
        </w:tc>
        <w:tc>
          <w:tcPr>
            <w:tcW w:w="1172" w:type="pct"/>
            <w:tcBorders>
              <w:top w:val="nil"/>
              <w:left w:val="nil"/>
              <w:bottom w:val="nil"/>
              <w:right w:val="nil"/>
            </w:tcBorders>
            <w:shd w:val="clear" w:color="auto" w:fill="FFFFFF"/>
            <w:vAlign w:val="center"/>
          </w:tcPr>
          <w:p w14:paraId="068A5FA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9.00</w:t>
            </w:r>
          </w:p>
        </w:tc>
      </w:tr>
      <w:tr w:rsidR="0067740A" w14:paraId="644D2A6D" w14:textId="77777777">
        <w:trPr>
          <w:trHeight w:val="270"/>
        </w:trPr>
        <w:tc>
          <w:tcPr>
            <w:tcW w:w="1516" w:type="pct"/>
            <w:vMerge/>
            <w:tcBorders>
              <w:top w:val="nil"/>
              <w:left w:val="nil"/>
              <w:bottom w:val="nil"/>
              <w:right w:val="nil"/>
            </w:tcBorders>
            <w:shd w:val="clear" w:color="auto" w:fill="FFFFFF"/>
            <w:vAlign w:val="center"/>
          </w:tcPr>
          <w:p w14:paraId="510BD124"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4D63375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686" w:type="pct"/>
            <w:tcBorders>
              <w:top w:val="nil"/>
              <w:left w:val="nil"/>
              <w:bottom w:val="nil"/>
              <w:right w:val="nil"/>
            </w:tcBorders>
            <w:shd w:val="clear" w:color="auto" w:fill="FFFFFF"/>
            <w:vAlign w:val="center"/>
          </w:tcPr>
          <w:p w14:paraId="724F045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w:t>
            </w:r>
          </w:p>
        </w:tc>
        <w:tc>
          <w:tcPr>
            <w:tcW w:w="807" w:type="pct"/>
            <w:tcBorders>
              <w:top w:val="nil"/>
              <w:left w:val="nil"/>
              <w:bottom w:val="nil"/>
              <w:right w:val="nil"/>
            </w:tcBorders>
            <w:shd w:val="clear" w:color="auto" w:fill="FFFFFF"/>
            <w:vAlign w:val="center"/>
          </w:tcPr>
          <w:p w14:paraId="5C670BA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8.27</w:t>
            </w:r>
          </w:p>
        </w:tc>
        <w:tc>
          <w:tcPr>
            <w:tcW w:w="1172" w:type="pct"/>
            <w:tcBorders>
              <w:top w:val="nil"/>
              <w:left w:val="nil"/>
              <w:bottom w:val="nil"/>
              <w:right w:val="nil"/>
            </w:tcBorders>
            <w:shd w:val="clear" w:color="auto" w:fill="FFFFFF"/>
            <w:vAlign w:val="center"/>
          </w:tcPr>
          <w:p w14:paraId="7836AB0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17.27</w:t>
            </w:r>
          </w:p>
        </w:tc>
      </w:tr>
      <w:tr w:rsidR="0067740A" w14:paraId="798CCAE5" w14:textId="77777777">
        <w:trPr>
          <w:trHeight w:val="270"/>
        </w:trPr>
        <w:tc>
          <w:tcPr>
            <w:tcW w:w="1516" w:type="pct"/>
            <w:vMerge/>
            <w:tcBorders>
              <w:top w:val="nil"/>
              <w:left w:val="nil"/>
              <w:bottom w:val="nil"/>
              <w:right w:val="nil"/>
            </w:tcBorders>
            <w:shd w:val="clear" w:color="auto" w:fill="FFFFFF"/>
            <w:vAlign w:val="center"/>
          </w:tcPr>
          <w:p w14:paraId="7F61787A"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5957DB3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86" w:type="pct"/>
            <w:tcBorders>
              <w:top w:val="nil"/>
              <w:left w:val="nil"/>
              <w:bottom w:val="nil"/>
              <w:right w:val="nil"/>
            </w:tcBorders>
            <w:shd w:val="clear" w:color="auto" w:fill="FFFFFF"/>
            <w:vAlign w:val="center"/>
          </w:tcPr>
          <w:p w14:paraId="1A812F8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68</w:t>
            </w:r>
          </w:p>
        </w:tc>
        <w:tc>
          <w:tcPr>
            <w:tcW w:w="807" w:type="pct"/>
            <w:tcBorders>
              <w:top w:val="nil"/>
              <w:left w:val="nil"/>
              <w:bottom w:val="nil"/>
              <w:right w:val="nil"/>
            </w:tcBorders>
            <w:shd w:val="clear" w:color="auto" w:fill="FFFFFF"/>
            <w:vAlign w:val="center"/>
          </w:tcPr>
          <w:p w14:paraId="690965D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16.55</w:t>
            </w:r>
          </w:p>
        </w:tc>
        <w:tc>
          <w:tcPr>
            <w:tcW w:w="1172" w:type="pct"/>
            <w:tcBorders>
              <w:top w:val="nil"/>
              <w:left w:val="nil"/>
              <w:bottom w:val="nil"/>
              <w:right w:val="nil"/>
            </w:tcBorders>
            <w:shd w:val="clear" w:color="auto" w:fill="FFFFFF"/>
            <w:vAlign w:val="center"/>
          </w:tcPr>
          <w:p w14:paraId="28950FD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33.82</w:t>
            </w:r>
          </w:p>
        </w:tc>
      </w:tr>
      <w:tr w:rsidR="0067740A" w14:paraId="2CC0BBBB" w14:textId="77777777">
        <w:trPr>
          <w:trHeight w:val="270"/>
        </w:trPr>
        <w:tc>
          <w:tcPr>
            <w:tcW w:w="1516" w:type="pct"/>
            <w:vMerge/>
            <w:tcBorders>
              <w:top w:val="nil"/>
              <w:left w:val="nil"/>
              <w:bottom w:val="nil"/>
              <w:right w:val="nil"/>
            </w:tcBorders>
            <w:shd w:val="clear" w:color="auto" w:fill="FFFFFF"/>
            <w:vAlign w:val="center"/>
          </w:tcPr>
          <w:p w14:paraId="2950AAB4"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16B18A7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686" w:type="pct"/>
            <w:tcBorders>
              <w:top w:val="nil"/>
              <w:left w:val="nil"/>
              <w:bottom w:val="nil"/>
              <w:right w:val="nil"/>
            </w:tcBorders>
            <w:shd w:val="clear" w:color="auto" w:fill="FFFFFF"/>
            <w:vAlign w:val="center"/>
          </w:tcPr>
          <w:p w14:paraId="3418DCB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143</w:t>
            </w:r>
          </w:p>
        </w:tc>
        <w:tc>
          <w:tcPr>
            <w:tcW w:w="807" w:type="pct"/>
            <w:tcBorders>
              <w:top w:val="nil"/>
              <w:left w:val="nil"/>
              <w:bottom w:val="nil"/>
              <w:right w:val="nil"/>
            </w:tcBorders>
            <w:shd w:val="clear" w:color="auto" w:fill="FFFFFF"/>
            <w:vAlign w:val="center"/>
          </w:tcPr>
          <w:p w14:paraId="38D8B6F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34.79</w:t>
            </w:r>
          </w:p>
        </w:tc>
        <w:tc>
          <w:tcPr>
            <w:tcW w:w="1172" w:type="pct"/>
            <w:tcBorders>
              <w:top w:val="nil"/>
              <w:left w:val="nil"/>
              <w:bottom w:val="nil"/>
              <w:right w:val="nil"/>
            </w:tcBorders>
            <w:shd w:val="clear" w:color="auto" w:fill="FFFFFF"/>
            <w:vAlign w:val="center"/>
          </w:tcPr>
          <w:p w14:paraId="6CEF208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68.61</w:t>
            </w:r>
          </w:p>
        </w:tc>
      </w:tr>
      <w:tr w:rsidR="0067740A" w14:paraId="2DF31CF3" w14:textId="77777777">
        <w:trPr>
          <w:trHeight w:val="270"/>
        </w:trPr>
        <w:tc>
          <w:tcPr>
            <w:tcW w:w="1516" w:type="pct"/>
            <w:vMerge/>
            <w:tcBorders>
              <w:top w:val="nil"/>
              <w:left w:val="nil"/>
              <w:bottom w:val="nil"/>
              <w:right w:val="nil"/>
            </w:tcBorders>
            <w:shd w:val="clear" w:color="auto" w:fill="FFFFFF"/>
            <w:vAlign w:val="center"/>
          </w:tcPr>
          <w:p w14:paraId="78EECE2C"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7C6854A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686" w:type="pct"/>
            <w:tcBorders>
              <w:top w:val="nil"/>
              <w:left w:val="nil"/>
              <w:bottom w:val="nil"/>
              <w:right w:val="nil"/>
            </w:tcBorders>
            <w:shd w:val="clear" w:color="auto" w:fill="FFFFFF"/>
            <w:vAlign w:val="center"/>
          </w:tcPr>
          <w:p w14:paraId="4983C53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129</w:t>
            </w:r>
          </w:p>
        </w:tc>
        <w:tc>
          <w:tcPr>
            <w:tcW w:w="807" w:type="pct"/>
            <w:tcBorders>
              <w:top w:val="nil"/>
              <w:left w:val="nil"/>
              <w:bottom w:val="nil"/>
              <w:right w:val="nil"/>
            </w:tcBorders>
            <w:shd w:val="clear" w:color="auto" w:fill="FFFFFF"/>
            <w:vAlign w:val="center"/>
          </w:tcPr>
          <w:p w14:paraId="5F3173E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31.39</w:t>
            </w:r>
          </w:p>
        </w:tc>
        <w:tc>
          <w:tcPr>
            <w:tcW w:w="1172" w:type="pct"/>
            <w:tcBorders>
              <w:top w:val="nil"/>
              <w:left w:val="nil"/>
              <w:bottom w:val="nil"/>
              <w:right w:val="nil"/>
            </w:tcBorders>
            <w:shd w:val="clear" w:color="auto" w:fill="FFFFFF"/>
            <w:vAlign w:val="center"/>
          </w:tcPr>
          <w:p w14:paraId="0738ED4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2187633B" w14:textId="77777777">
        <w:trPr>
          <w:trHeight w:val="270"/>
        </w:trPr>
        <w:tc>
          <w:tcPr>
            <w:tcW w:w="1516" w:type="pct"/>
            <w:vMerge w:val="restart"/>
            <w:tcBorders>
              <w:top w:val="nil"/>
              <w:left w:val="nil"/>
              <w:bottom w:val="nil"/>
              <w:right w:val="nil"/>
            </w:tcBorders>
            <w:shd w:val="clear" w:color="auto" w:fill="FFFFFF"/>
            <w:vAlign w:val="center"/>
          </w:tcPr>
          <w:p w14:paraId="62AA688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Range and battery life</w:t>
            </w:r>
          </w:p>
        </w:tc>
        <w:tc>
          <w:tcPr>
            <w:tcW w:w="816" w:type="pct"/>
            <w:tcBorders>
              <w:top w:val="nil"/>
              <w:left w:val="nil"/>
              <w:bottom w:val="nil"/>
              <w:right w:val="nil"/>
            </w:tcBorders>
            <w:shd w:val="clear" w:color="auto" w:fill="FFFFFF"/>
            <w:vAlign w:val="center"/>
          </w:tcPr>
          <w:p w14:paraId="3E79ADA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686" w:type="pct"/>
            <w:tcBorders>
              <w:top w:val="nil"/>
              <w:left w:val="nil"/>
              <w:bottom w:val="nil"/>
              <w:right w:val="nil"/>
            </w:tcBorders>
            <w:shd w:val="clear" w:color="auto" w:fill="FFFFFF"/>
            <w:vAlign w:val="center"/>
          </w:tcPr>
          <w:p w14:paraId="5D06F37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w:t>
            </w:r>
          </w:p>
        </w:tc>
        <w:tc>
          <w:tcPr>
            <w:tcW w:w="807" w:type="pct"/>
            <w:tcBorders>
              <w:top w:val="nil"/>
              <w:left w:val="nil"/>
              <w:bottom w:val="nil"/>
              <w:right w:val="nil"/>
            </w:tcBorders>
            <w:shd w:val="clear" w:color="auto" w:fill="FFFFFF"/>
            <w:vAlign w:val="center"/>
          </w:tcPr>
          <w:p w14:paraId="6EB737B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7.79</w:t>
            </w:r>
          </w:p>
        </w:tc>
        <w:tc>
          <w:tcPr>
            <w:tcW w:w="1172" w:type="pct"/>
            <w:tcBorders>
              <w:top w:val="nil"/>
              <w:left w:val="nil"/>
              <w:bottom w:val="nil"/>
              <w:right w:val="nil"/>
            </w:tcBorders>
            <w:shd w:val="clear" w:color="auto" w:fill="FFFFFF"/>
            <w:vAlign w:val="center"/>
          </w:tcPr>
          <w:p w14:paraId="05E0F0E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7.79</w:t>
            </w:r>
          </w:p>
        </w:tc>
      </w:tr>
      <w:tr w:rsidR="0067740A" w14:paraId="06DF0CA5" w14:textId="77777777">
        <w:trPr>
          <w:trHeight w:val="270"/>
        </w:trPr>
        <w:tc>
          <w:tcPr>
            <w:tcW w:w="1516" w:type="pct"/>
            <w:vMerge/>
            <w:tcBorders>
              <w:top w:val="nil"/>
              <w:left w:val="nil"/>
              <w:bottom w:val="nil"/>
              <w:right w:val="nil"/>
            </w:tcBorders>
            <w:shd w:val="clear" w:color="auto" w:fill="FFFFFF"/>
            <w:vAlign w:val="center"/>
          </w:tcPr>
          <w:p w14:paraId="61F68B93"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4A5568A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686" w:type="pct"/>
            <w:tcBorders>
              <w:top w:val="nil"/>
              <w:left w:val="nil"/>
              <w:bottom w:val="nil"/>
              <w:right w:val="nil"/>
            </w:tcBorders>
            <w:shd w:val="clear" w:color="auto" w:fill="FFFFFF"/>
            <w:vAlign w:val="center"/>
          </w:tcPr>
          <w:p w14:paraId="499BEDB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w:t>
            </w:r>
          </w:p>
        </w:tc>
        <w:tc>
          <w:tcPr>
            <w:tcW w:w="807" w:type="pct"/>
            <w:tcBorders>
              <w:top w:val="nil"/>
              <w:left w:val="nil"/>
              <w:bottom w:val="nil"/>
              <w:right w:val="nil"/>
            </w:tcBorders>
            <w:shd w:val="clear" w:color="auto" w:fill="FFFFFF"/>
            <w:vAlign w:val="center"/>
          </w:tcPr>
          <w:p w14:paraId="7DFB374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7.30</w:t>
            </w:r>
          </w:p>
        </w:tc>
        <w:tc>
          <w:tcPr>
            <w:tcW w:w="1172" w:type="pct"/>
            <w:tcBorders>
              <w:top w:val="nil"/>
              <w:left w:val="nil"/>
              <w:bottom w:val="nil"/>
              <w:right w:val="nil"/>
            </w:tcBorders>
            <w:shd w:val="clear" w:color="auto" w:fill="FFFFFF"/>
            <w:vAlign w:val="center"/>
          </w:tcPr>
          <w:p w14:paraId="2985A38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r>
      <w:tr w:rsidR="0067740A" w14:paraId="01498EF5" w14:textId="77777777">
        <w:trPr>
          <w:trHeight w:val="270"/>
        </w:trPr>
        <w:tc>
          <w:tcPr>
            <w:tcW w:w="1516" w:type="pct"/>
            <w:vMerge/>
            <w:tcBorders>
              <w:top w:val="nil"/>
              <w:left w:val="nil"/>
              <w:bottom w:val="nil"/>
              <w:right w:val="nil"/>
            </w:tcBorders>
            <w:shd w:val="clear" w:color="auto" w:fill="FFFFFF"/>
            <w:vAlign w:val="center"/>
          </w:tcPr>
          <w:p w14:paraId="35F4DBED"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0DA5DF9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86" w:type="pct"/>
            <w:tcBorders>
              <w:top w:val="nil"/>
              <w:left w:val="nil"/>
              <w:bottom w:val="nil"/>
              <w:right w:val="nil"/>
            </w:tcBorders>
            <w:shd w:val="clear" w:color="auto" w:fill="FFFFFF"/>
            <w:vAlign w:val="center"/>
          </w:tcPr>
          <w:p w14:paraId="2F7FDBE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82</w:t>
            </w:r>
          </w:p>
        </w:tc>
        <w:tc>
          <w:tcPr>
            <w:tcW w:w="807" w:type="pct"/>
            <w:tcBorders>
              <w:top w:val="nil"/>
              <w:left w:val="nil"/>
              <w:bottom w:val="nil"/>
              <w:right w:val="nil"/>
            </w:tcBorders>
            <w:shd w:val="clear" w:color="auto" w:fill="FFFFFF"/>
            <w:vAlign w:val="center"/>
          </w:tcPr>
          <w:p w14:paraId="572324C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19.95</w:t>
            </w:r>
          </w:p>
        </w:tc>
        <w:tc>
          <w:tcPr>
            <w:tcW w:w="1172" w:type="pct"/>
            <w:tcBorders>
              <w:top w:val="nil"/>
              <w:left w:val="nil"/>
              <w:bottom w:val="nil"/>
              <w:right w:val="nil"/>
            </w:tcBorders>
            <w:shd w:val="clear" w:color="auto" w:fill="FFFFFF"/>
            <w:vAlign w:val="center"/>
          </w:tcPr>
          <w:p w14:paraId="7A46983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35.04</w:t>
            </w:r>
          </w:p>
        </w:tc>
      </w:tr>
      <w:tr w:rsidR="0067740A" w14:paraId="36B3E850" w14:textId="77777777">
        <w:trPr>
          <w:trHeight w:val="270"/>
        </w:trPr>
        <w:tc>
          <w:tcPr>
            <w:tcW w:w="1516" w:type="pct"/>
            <w:vMerge/>
            <w:tcBorders>
              <w:top w:val="nil"/>
              <w:left w:val="nil"/>
              <w:bottom w:val="nil"/>
              <w:right w:val="nil"/>
            </w:tcBorders>
            <w:shd w:val="clear" w:color="auto" w:fill="FFFFFF"/>
            <w:vAlign w:val="center"/>
          </w:tcPr>
          <w:p w14:paraId="7DFE09EB"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15CF701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686" w:type="pct"/>
            <w:tcBorders>
              <w:top w:val="nil"/>
              <w:left w:val="nil"/>
              <w:bottom w:val="nil"/>
              <w:right w:val="nil"/>
            </w:tcBorders>
            <w:shd w:val="clear" w:color="auto" w:fill="FFFFFF"/>
            <w:vAlign w:val="center"/>
          </w:tcPr>
          <w:p w14:paraId="520AE63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130</w:t>
            </w:r>
          </w:p>
        </w:tc>
        <w:tc>
          <w:tcPr>
            <w:tcW w:w="807" w:type="pct"/>
            <w:tcBorders>
              <w:top w:val="nil"/>
              <w:left w:val="nil"/>
              <w:bottom w:val="nil"/>
              <w:right w:val="nil"/>
            </w:tcBorders>
            <w:shd w:val="clear" w:color="auto" w:fill="FFFFFF"/>
            <w:vAlign w:val="center"/>
          </w:tcPr>
          <w:p w14:paraId="072E7BA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31.63</w:t>
            </w:r>
          </w:p>
        </w:tc>
        <w:tc>
          <w:tcPr>
            <w:tcW w:w="1172" w:type="pct"/>
            <w:tcBorders>
              <w:top w:val="nil"/>
              <w:left w:val="nil"/>
              <w:bottom w:val="nil"/>
              <w:right w:val="nil"/>
            </w:tcBorders>
            <w:shd w:val="clear" w:color="auto" w:fill="FFFFFF"/>
            <w:vAlign w:val="center"/>
          </w:tcPr>
          <w:p w14:paraId="1D49E3C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66.67</w:t>
            </w:r>
          </w:p>
        </w:tc>
      </w:tr>
      <w:tr w:rsidR="0067740A" w14:paraId="4FB81977" w14:textId="77777777">
        <w:trPr>
          <w:trHeight w:val="270"/>
        </w:trPr>
        <w:tc>
          <w:tcPr>
            <w:tcW w:w="1516" w:type="pct"/>
            <w:vMerge/>
            <w:tcBorders>
              <w:top w:val="nil"/>
              <w:left w:val="nil"/>
              <w:bottom w:val="nil"/>
              <w:right w:val="nil"/>
            </w:tcBorders>
            <w:shd w:val="clear" w:color="auto" w:fill="FFFFFF"/>
            <w:vAlign w:val="center"/>
          </w:tcPr>
          <w:p w14:paraId="2EE4268C"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01A78867"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686" w:type="pct"/>
            <w:tcBorders>
              <w:top w:val="nil"/>
              <w:left w:val="nil"/>
              <w:bottom w:val="nil"/>
              <w:right w:val="nil"/>
            </w:tcBorders>
            <w:shd w:val="clear" w:color="auto" w:fill="FFFFFF"/>
            <w:vAlign w:val="center"/>
          </w:tcPr>
          <w:p w14:paraId="13288C1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137</w:t>
            </w:r>
          </w:p>
        </w:tc>
        <w:tc>
          <w:tcPr>
            <w:tcW w:w="807" w:type="pct"/>
            <w:tcBorders>
              <w:top w:val="nil"/>
              <w:left w:val="nil"/>
              <w:bottom w:val="nil"/>
              <w:right w:val="nil"/>
            </w:tcBorders>
            <w:shd w:val="clear" w:color="auto" w:fill="FFFFFF"/>
            <w:vAlign w:val="center"/>
          </w:tcPr>
          <w:p w14:paraId="159342C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33.33</w:t>
            </w:r>
          </w:p>
        </w:tc>
        <w:tc>
          <w:tcPr>
            <w:tcW w:w="1172" w:type="pct"/>
            <w:tcBorders>
              <w:top w:val="nil"/>
              <w:left w:val="nil"/>
              <w:bottom w:val="nil"/>
              <w:right w:val="nil"/>
            </w:tcBorders>
            <w:shd w:val="clear" w:color="auto" w:fill="FFFFFF"/>
            <w:vAlign w:val="center"/>
          </w:tcPr>
          <w:p w14:paraId="4D76556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5FCF4E40" w14:textId="77777777">
        <w:trPr>
          <w:trHeight w:val="270"/>
        </w:trPr>
        <w:tc>
          <w:tcPr>
            <w:tcW w:w="1516" w:type="pct"/>
            <w:vMerge w:val="restart"/>
            <w:tcBorders>
              <w:top w:val="nil"/>
              <w:left w:val="nil"/>
              <w:bottom w:val="nil"/>
              <w:right w:val="nil"/>
            </w:tcBorders>
            <w:shd w:val="clear" w:color="auto" w:fill="FFFFFF"/>
            <w:vAlign w:val="center"/>
          </w:tcPr>
          <w:p w14:paraId="64B5CAD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Availability of charging stations</w:t>
            </w:r>
          </w:p>
        </w:tc>
        <w:tc>
          <w:tcPr>
            <w:tcW w:w="816" w:type="pct"/>
            <w:tcBorders>
              <w:top w:val="nil"/>
              <w:left w:val="nil"/>
              <w:bottom w:val="nil"/>
              <w:right w:val="nil"/>
            </w:tcBorders>
            <w:shd w:val="clear" w:color="auto" w:fill="FFFFFF"/>
            <w:vAlign w:val="center"/>
          </w:tcPr>
          <w:p w14:paraId="2D326C9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686" w:type="pct"/>
            <w:tcBorders>
              <w:top w:val="nil"/>
              <w:left w:val="nil"/>
              <w:bottom w:val="nil"/>
              <w:right w:val="nil"/>
            </w:tcBorders>
            <w:shd w:val="clear" w:color="auto" w:fill="FFFFFF"/>
            <w:vAlign w:val="center"/>
          </w:tcPr>
          <w:p w14:paraId="027C032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w:t>
            </w:r>
          </w:p>
        </w:tc>
        <w:tc>
          <w:tcPr>
            <w:tcW w:w="807" w:type="pct"/>
            <w:tcBorders>
              <w:top w:val="nil"/>
              <w:left w:val="nil"/>
              <w:bottom w:val="nil"/>
              <w:right w:val="nil"/>
            </w:tcBorders>
            <w:shd w:val="clear" w:color="auto" w:fill="FFFFFF"/>
            <w:vAlign w:val="center"/>
          </w:tcPr>
          <w:p w14:paraId="6A92523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c>
          <w:tcPr>
            <w:tcW w:w="1172" w:type="pct"/>
            <w:tcBorders>
              <w:top w:val="nil"/>
              <w:left w:val="nil"/>
              <w:bottom w:val="nil"/>
              <w:right w:val="nil"/>
            </w:tcBorders>
            <w:shd w:val="clear" w:color="auto" w:fill="FFFFFF"/>
            <w:vAlign w:val="center"/>
          </w:tcPr>
          <w:p w14:paraId="0A68569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r>
      <w:tr w:rsidR="0067740A" w14:paraId="6F5AC5CB" w14:textId="77777777">
        <w:trPr>
          <w:trHeight w:val="270"/>
        </w:trPr>
        <w:tc>
          <w:tcPr>
            <w:tcW w:w="1516" w:type="pct"/>
            <w:vMerge/>
            <w:tcBorders>
              <w:top w:val="nil"/>
              <w:left w:val="nil"/>
              <w:bottom w:val="nil"/>
              <w:right w:val="nil"/>
            </w:tcBorders>
            <w:shd w:val="clear" w:color="auto" w:fill="FFFFFF"/>
            <w:vAlign w:val="center"/>
          </w:tcPr>
          <w:p w14:paraId="2EF9D434"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414E986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686" w:type="pct"/>
            <w:tcBorders>
              <w:top w:val="nil"/>
              <w:left w:val="nil"/>
              <w:bottom w:val="nil"/>
              <w:right w:val="nil"/>
            </w:tcBorders>
            <w:shd w:val="clear" w:color="auto" w:fill="FFFFFF"/>
            <w:vAlign w:val="center"/>
          </w:tcPr>
          <w:p w14:paraId="7F393BC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w:t>
            </w:r>
          </w:p>
        </w:tc>
        <w:tc>
          <w:tcPr>
            <w:tcW w:w="807" w:type="pct"/>
            <w:tcBorders>
              <w:top w:val="nil"/>
              <w:left w:val="nil"/>
              <w:bottom w:val="nil"/>
              <w:right w:val="nil"/>
            </w:tcBorders>
            <w:shd w:val="clear" w:color="auto" w:fill="FFFFFF"/>
            <w:vAlign w:val="center"/>
          </w:tcPr>
          <w:p w14:paraId="51B7EA8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8.52</w:t>
            </w:r>
          </w:p>
        </w:tc>
        <w:tc>
          <w:tcPr>
            <w:tcW w:w="1172" w:type="pct"/>
            <w:tcBorders>
              <w:top w:val="nil"/>
              <w:left w:val="nil"/>
              <w:bottom w:val="nil"/>
              <w:right w:val="nil"/>
            </w:tcBorders>
            <w:shd w:val="clear" w:color="auto" w:fill="FFFFFF"/>
            <w:vAlign w:val="center"/>
          </w:tcPr>
          <w:p w14:paraId="17AD532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16.55</w:t>
            </w:r>
          </w:p>
        </w:tc>
      </w:tr>
      <w:tr w:rsidR="0067740A" w14:paraId="1C0EB97E" w14:textId="77777777">
        <w:trPr>
          <w:trHeight w:val="270"/>
        </w:trPr>
        <w:tc>
          <w:tcPr>
            <w:tcW w:w="1516" w:type="pct"/>
            <w:vMerge/>
            <w:tcBorders>
              <w:top w:val="nil"/>
              <w:left w:val="nil"/>
              <w:bottom w:val="nil"/>
              <w:right w:val="nil"/>
            </w:tcBorders>
            <w:shd w:val="clear" w:color="auto" w:fill="FFFFFF"/>
            <w:vAlign w:val="center"/>
          </w:tcPr>
          <w:p w14:paraId="0862EE6B"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5661211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86" w:type="pct"/>
            <w:tcBorders>
              <w:top w:val="nil"/>
              <w:left w:val="nil"/>
              <w:bottom w:val="nil"/>
              <w:right w:val="nil"/>
            </w:tcBorders>
            <w:shd w:val="clear" w:color="auto" w:fill="FFFFFF"/>
            <w:vAlign w:val="center"/>
          </w:tcPr>
          <w:p w14:paraId="67402FB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66</w:t>
            </w:r>
          </w:p>
        </w:tc>
        <w:tc>
          <w:tcPr>
            <w:tcW w:w="807" w:type="pct"/>
            <w:tcBorders>
              <w:top w:val="nil"/>
              <w:left w:val="nil"/>
              <w:bottom w:val="nil"/>
              <w:right w:val="nil"/>
            </w:tcBorders>
            <w:shd w:val="clear" w:color="auto" w:fill="FFFFFF"/>
            <w:vAlign w:val="center"/>
          </w:tcPr>
          <w:p w14:paraId="2474A6E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16.06</w:t>
            </w:r>
          </w:p>
        </w:tc>
        <w:tc>
          <w:tcPr>
            <w:tcW w:w="1172" w:type="pct"/>
            <w:tcBorders>
              <w:top w:val="nil"/>
              <w:left w:val="nil"/>
              <w:bottom w:val="nil"/>
              <w:right w:val="nil"/>
            </w:tcBorders>
            <w:shd w:val="clear" w:color="auto" w:fill="FFFFFF"/>
            <w:vAlign w:val="center"/>
          </w:tcPr>
          <w:p w14:paraId="2A33B0B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32.60</w:t>
            </w:r>
          </w:p>
        </w:tc>
      </w:tr>
      <w:tr w:rsidR="0067740A" w14:paraId="5C4DC521" w14:textId="77777777">
        <w:trPr>
          <w:trHeight w:val="270"/>
        </w:trPr>
        <w:tc>
          <w:tcPr>
            <w:tcW w:w="1516" w:type="pct"/>
            <w:vMerge/>
            <w:tcBorders>
              <w:top w:val="nil"/>
              <w:left w:val="nil"/>
              <w:bottom w:val="nil"/>
              <w:right w:val="nil"/>
            </w:tcBorders>
            <w:shd w:val="clear" w:color="auto" w:fill="FFFFFF"/>
            <w:vAlign w:val="center"/>
          </w:tcPr>
          <w:p w14:paraId="7BEED0EA"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13D19F6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686" w:type="pct"/>
            <w:tcBorders>
              <w:top w:val="nil"/>
              <w:left w:val="nil"/>
              <w:bottom w:val="nil"/>
              <w:right w:val="nil"/>
            </w:tcBorders>
            <w:shd w:val="clear" w:color="auto" w:fill="FFFFFF"/>
            <w:vAlign w:val="center"/>
          </w:tcPr>
          <w:p w14:paraId="6BDD697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139</w:t>
            </w:r>
          </w:p>
        </w:tc>
        <w:tc>
          <w:tcPr>
            <w:tcW w:w="807" w:type="pct"/>
            <w:tcBorders>
              <w:top w:val="nil"/>
              <w:left w:val="nil"/>
              <w:bottom w:val="nil"/>
              <w:right w:val="nil"/>
            </w:tcBorders>
            <w:shd w:val="clear" w:color="auto" w:fill="FFFFFF"/>
            <w:vAlign w:val="center"/>
          </w:tcPr>
          <w:p w14:paraId="2823F0C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33.82</w:t>
            </w:r>
          </w:p>
        </w:tc>
        <w:tc>
          <w:tcPr>
            <w:tcW w:w="1172" w:type="pct"/>
            <w:tcBorders>
              <w:top w:val="nil"/>
              <w:left w:val="nil"/>
              <w:bottom w:val="nil"/>
              <w:right w:val="nil"/>
            </w:tcBorders>
            <w:shd w:val="clear" w:color="auto" w:fill="FFFFFF"/>
            <w:vAlign w:val="center"/>
          </w:tcPr>
          <w:p w14:paraId="05D876A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66.42</w:t>
            </w:r>
          </w:p>
        </w:tc>
      </w:tr>
      <w:tr w:rsidR="0067740A" w14:paraId="31068A34" w14:textId="77777777">
        <w:trPr>
          <w:trHeight w:val="270"/>
        </w:trPr>
        <w:tc>
          <w:tcPr>
            <w:tcW w:w="1516" w:type="pct"/>
            <w:vMerge/>
            <w:tcBorders>
              <w:top w:val="nil"/>
              <w:left w:val="nil"/>
              <w:bottom w:val="nil"/>
              <w:right w:val="nil"/>
            </w:tcBorders>
            <w:shd w:val="clear" w:color="auto" w:fill="FFFFFF"/>
            <w:vAlign w:val="center"/>
          </w:tcPr>
          <w:p w14:paraId="2E906D9D"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75C9E5B7"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686" w:type="pct"/>
            <w:tcBorders>
              <w:top w:val="nil"/>
              <w:left w:val="nil"/>
              <w:bottom w:val="nil"/>
              <w:right w:val="nil"/>
            </w:tcBorders>
            <w:shd w:val="clear" w:color="auto" w:fill="FFFFFF"/>
            <w:vAlign w:val="center"/>
          </w:tcPr>
          <w:p w14:paraId="5D7E9AD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138</w:t>
            </w:r>
          </w:p>
        </w:tc>
        <w:tc>
          <w:tcPr>
            <w:tcW w:w="807" w:type="pct"/>
            <w:tcBorders>
              <w:top w:val="nil"/>
              <w:left w:val="nil"/>
              <w:bottom w:val="nil"/>
              <w:right w:val="nil"/>
            </w:tcBorders>
            <w:shd w:val="clear" w:color="auto" w:fill="FFFFFF"/>
            <w:vAlign w:val="center"/>
          </w:tcPr>
          <w:p w14:paraId="5D06D93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33.58</w:t>
            </w:r>
          </w:p>
        </w:tc>
        <w:tc>
          <w:tcPr>
            <w:tcW w:w="1172" w:type="pct"/>
            <w:tcBorders>
              <w:top w:val="nil"/>
              <w:left w:val="nil"/>
              <w:bottom w:val="nil"/>
              <w:right w:val="nil"/>
            </w:tcBorders>
            <w:shd w:val="clear" w:color="auto" w:fill="FFFFFF"/>
            <w:vAlign w:val="center"/>
          </w:tcPr>
          <w:p w14:paraId="6AC8B64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117909C4" w14:textId="77777777">
        <w:trPr>
          <w:trHeight w:val="270"/>
        </w:trPr>
        <w:tc>
          <w:tcPr>
            <w:tcW w:w="1516" w:type="pct"/>
            <w:vMerge w:val="restart"/>
            <w:tcBorders>
              <w:top w:val="nil"/>
              <w:left w:val="nil"/>
              <w:bottom w:val="nil"/>
              <w:right w:val="nil"/>
            </w:tcBorders>
            <w:shd w:val="clear" w:color="auto" w:fill="FFFFFF"/>
            <w:vAlign w:val="center"/>
          </w:tcPr>
          <w:p w14:paraId="62F0CBD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Environmental benefits</w:t>
            </w:r>
          </w:p>
        </w:tc>
        <w:tc>
          <w:tcPr>
            <w:tcW w:w="816" w:type="pct"/>
            <w:tcBorders>
              <w:top w:val="nil"/>
              <w:left w:val="nil"/>
              <w:bottom w:val="nil"/>
              <w:right w:val="nil"/>
            </w:tcBorders>
            <w:shd w:val="clear" w:color="auto" w:fill="FFFFFF"/>
            <w:vAlign w:val="center"/>
          </w:tcPr>
          <w:p w14:paraId="4AC83CD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686" w:type="pct"/>
            <w:tcBorders>
              <w:top w:val="nil"/>
              <w:left w:val="nil"/>
              <w:bottom w:val="nil"/>
              <w:right w:val="nil"/>
            </w:tcBorders>
            <w:shd w:val="clear" w:color="auto" w:fill="FFFFFF"/>
            <w:vAlign w:val="center"/>
          </w:tcPr>
          <w:p w14:paraId="7ED1C54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w:t>
            </w:r>
          </w:p>
        </w:tc>
        <w:tc>
          <w:tcPr>
            <w:tcW w:w="807" w:type="pct"/>
            <w:tcBorders>
              <w:top w:val="nil"/>
              <w:left w:val="nil"/>
              <w:bottom w:val="nil"/>
              <w:right w:val="nil"/>
            </w:tcBorders>
            <w:shd w:val="clear" w:color="auto" w:fill="FFFFFF"/>
            <w:vAlign w:val="center"/>
          </w:tcPr>
          <w:p w14:paraId="5089830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8.52</w:t>
            </w:r>
          </w:p>
        </w:tc>
        <w:tc>
          <w:tcPr>
            <w:tcW w:w="1172" w:type="pct"/>
            <w:tcBorders>
              <w:top w:val="nil"/>
              <w:left w:val="nil"/>
              <w:bottom w:val="nil"/>
              <w:right w:val="nil"/>
            </w:tcBorders>
            <w:shd w:val="clear" w:color="auto" w:fill="FFFFFF"/>
            <w:vAlign w:val="center"/>
          </w:tcPr>
          <w:p w14:paraId="4674FF7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8.52</w:t>
            </w:r>
          </w:p>
        </w:tc>
      </w:tr>
      <w:tr w:rsidR="0067740A" w14:paraId="797C56F3" w14:textId="77777777">
        <w:trPr>
          <w:trHeight w:val="270"/>
        </w:trPr>
        <w:tc>
          <w:tcPr>
            <w:tcW w:w="1516" w:type="pct"/>
            <w:vMerge/>
            <w:tcBorders>
              <w:top w:val="nil"/>
              <w:left w:val="nil"/>
              <w:bottom w:val="nil"/>
              <w:right w:val="nil"/>
            </w:tcBorders>
            <w:shd w:val="clear" w:color="auto" w:fill="FFFFFF"/>
            <w:vAlign w:val="center"/>
          </w:tcPr>
          <w:p w14:paraId="6B786B02"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05AE1E8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686" w:type="pct"/>
            <w:tcBorders>
              <w:top w:val="nil"/>
              <w:left w:val="nil"/>
              <w:bottom w:val="nil"/>
              <w:right w:val="nil"/>
            </w:tcBorders>
            <w:shd w:val="clear" w:color="auto" w:fill="FFFFFF"/>
            <w:vAlign w:val="center"/>
          </w:tcPr>
          <w:p w14:paraId="03D5924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807" w:type="pct"/>
            <w:tcBorders>
              <w:top w:val="nil"/>
              <w:left w:val="nil"/>
              <w:bottom w:val="nil"/>
              <w:right w:val="nil"/>
            </w:tcBorders>
            <w:shd w:val="clear" w:color="auto" w:fill="FFFFFF"/>
            <w:vAlign w:val="center"/>
          </w:tcPr>
          <w:p w14:paraId="3359B65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172" w:type="pct"/>
            <w:tcBorders>
              <w:top w:val="nil"/>
              <w:left w:val="nil"/>
              <w:bottom w:val="nil"/>
              <w:right w:val="nil"/>
            </w:tcBorders>
            <w:shd w:val="clear" w:color="auto" w:fill="FFFFFF"/>
            <w:vAlign w:val="center"/>
          </w:tcPr>
          <w:p w14:paraId="13B3F2F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16.06</w:t>
            </w:r>
          </w:p>
        </w:tc>
      </w:tr>
      <w:tr w:rsidR="0067740A" w14:paraId="59CFD4B9" w14:textId="77777777">
        <w:trPr>
          <w:trHeight w:val="270"/>
        </w:trPr>
        <w:tc>
          <w:tcPr>
            <w:tcW w:w="1516" w:type="pct"/>
            <w:vMerge/>
            <w:tcBorders>
              <w:top w:val="nil"/>
              <w:left w:val="nil"/>
              <w:bottom w:val="nil"/>
              <w:right w:val="nil"/>
            </w:tcBorders>
            <w:shd w:val="clear" w:color="auto" w:fill="FFFFFF"/>
            <w:vAlign w:val="center"/>
          </w:tcPr>
          <w:p w14:paraId="3220A017"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28AA56EB"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86" w:type="pct"/>
            <w:tcBorders>
              <w:top w:val="nil"/>
              <w:left w:val="nil"/>
              <w:bottom w:val="nil"/>
              <w:right w:val="nil"/>
            </w:tcBorders>
            <w:shd w:val="clear" w:color="auto" w:fill="FFFFFF"/>
            <w:vAlign w:val="center"/>
          </w:tcPr>
          <w:p w14:paraId="29D5309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71</w:t>
            </w:r>
          </w:p>
        </w:tc>
        <w:tc>
          <w:tcPr>
            <w:tcW w:w="807" w:type="pct"/>
            <w:tcBorders>
              <w:top w:val="nil"/>
              <w:left w:val="nil"/>
              <w:bottom w:val="nil"/>
              <w:right w:val="nil"/>
            </w:tcBorders>
            <w:shd w:val="clear" w:color="auto" w:fill="FFFFFF"/>
            <w:vAlign w:val="center"/>
          </w:tcPr>
          <w:p w14:paraId="72B4F12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17.27</w:t>
            </w:r>
          </w:p>
        </w:tc>
        <w:tc>
          <w:tcPr>
            <w:tcW w:w="1172" w:type="pct"/>
            <w:tcBorders>
              <w:top w:val="nil"/>
              <w:left w:val="nil"/>
              <w:bottom w:val="nil"/>
              <w:right w:val="nil"/>
            </w:tcBorders>
            <w:shd w:val="clear" w:color="auto" w:fill="FFFFFF"/>
            <w:vAlign w:val="center"/>
          </w:tcPr>
          <w:p w14:paraId="22956EF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33.33</w:t>
            </w:r>
          </w:p>
        </w:tc>
      </w:tr>
      <w:tr w:rsidR="0067740A" w14:paraId="4DF66399" w14:textId="77777777">
        <w:trPr>
          <w:trHeight w:val="270"/>
        </w:trPr>
        <w:tc>
          <w:tcPr>
            <w:tcW w:w="1516" w:type="pct"/>
            <w:vMerge/>
            <w:tcBorders>
              <w:top w:val="nil"/>
              <w:left w:val="nil"/>
              <w:bottom w:val="nil"/>
              <w:right w:val="nil"/>
            </w:tcBorders>
            <w:shd w:val="clear" w:color="auto" w:fill="FFFFFF"/>
            <w:vAlign w:val="center"/>
          </w:tcPr>
          <w:p w14:paraId="15209DDE"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1F550D44"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686" w:type="pct"/>
            <w:tcBorders>
              <w:top w:val="nil"/>
              <w:left w:val="nil"/>
              <w:bottom w:val="nil"/>
              <w:right w:val="nil"/>
            </w:tcBorders>
            <w:shd w:val="clear" w:color="auto" w:fill="FFFFFF"/>
            <w:vAlign w:val="center"/>
          </w:tcPr>
          <w:p w14:paraId="1CEAA55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160</w:t>
            </w:r>
          </w:p>
        </w:tc>
        <w:tc>
          <w:tcPr>
            <w:tcW w:w="807" w:type="pct"/>
            <w:tcBorders>
              <w:top w:val="nil"/>
              <w:left w:val="nil"/>
              <w:bottom w:val="nil"/>
              <w:right w:val="nil"/>
            </w:tcBorders>
            <w:shd w:val="clear" w:color="auto" w:fill="FFFFFF"/>
            <w:vAlign w:val="center"/>
          </w:tcPr>
          <w:p w14:paraId="70D6114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38.93</w:t>
            </w:r>
          </w:p>
        </w:tc>
        <w:tc>
          <w:tcPr>
            <w:tcW w:w="1172" w:type="pct"/>
            <w:tcBorders>
              <w:top w:val="nil"/>
              <w:left w:val="nil"/>
              <w:bottom w:val="nil"/>
              <w:right w:val="nil"/>
            </w:tcBorders>
            <w:shd w:val="clear" w:color="auto" w:fill="FFFFFF"/>
            <w:vAlign w:val="center"/>
          </w:tcPr>
          <w:p w14:paraId="5F62021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72.26</w:t>
            </w:r>
          </w:p>
        </w:tc>
      </w:tr>
      <w:tr w:rsidR="0067740A" w14:paraId="74DFDEF6" w14:textId="77777777">
        <w:trPr>
          <w:trHeight w:val="270"/>
        </w:trPr>
        <w:tc>
          <w:tcPr>
            <w:tcW w:w="1516" w:type="pct"/>
            <w:vMerge/>
            <w:tcBorders>
              <w:top w:val="nil"/>
              <w:left w:val="nil"/>
              <w:bottom w:val="nil"/>
              <w:right w:val="nil"/>
            </w:tcBorders>
            <w:shd w:val="clear" w:color="auto" w:fill="FFFFFF"/>
            <w:vAlign w:val="center"/>
          </w:tcPr>
          <w:p w14:paraId="0057D67A"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44CBBD6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686" w:type="pct"/>
            <w:tcBorders>
              <w:top w:val="nil"/>
              <w:left w:val="nil"/>
              <w:bottom w:val="nil"/>
              <w:right w:val="nil"/>
            </w:tcBorders>
            <w:shd w:val="clear" w:color="auto" w:fill="FFFFFF"/>
            <w:vAlign w:val="center"/>
          </w:tcPr>
          <w:p w14:paraId="572D929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114</w:t>
            </w:r>
          </w:p>
        </w:tc>
        <w:tc>
          <w:tcPr>
            <w:tcW w:w="807" w:type="pct"/>
            <w:tcBorders>
              <w:top w:val="nil"/>
              <w:left w:val="nil"/>
              <w:bottom w:val="nil"/>
              <w:right w:val="nil"/>
            </w:tcBorders>
            <w:shd w:val="clear" w:color="auto" w:fill="FFFFFF"/>
            <w:vAlign w:val="center"/>
          </w:tcPr>
          <w:p w14:paraId="0A5CF33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27.74</w:t>
            </w:r>
          </w:p>
        </w:tc>
        <w:tc>
          <w:tcPr>
            <w:tcW w:w="1172" w:type="pct"/>
            <w:tcBorders>
              <w:top w:val="nil"/>
              <w:left w:val="nil"/>
              <w:bottom w:val="nil"/>
              <w:right w:val="nil"/>
            </w:tcBorders>
            <w:shd w:val="clear" w:color="auto" w:fill="FFFFFF"/>
            <w:vAlign w:val="center"/>
          </w:tcPr>
          <w:p w14:paraId="2AEA2D7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39FC2CFD" w14:textId="77777777">
        <w:trPr>
          <w:trHeight w:val="270"/>
        </w:trPr>
        <w:tc>
          <w:tcPr>
            <w:tcW w:w="1516" w:type="pct"/>
            <w:vMerge w:val="restart"/>
            <w:tcBorders>
              <w:top w:val="nil"/>
              <w:left w:val="nil"/>
              <w:bottom w:val="nil"/>
              <w:right w:val="nil"/>
            </w:tcBorders>
            <w:shd w:val="clear" w:color="auto" w:fill="FFFFFF"/>
            <w:vAlign w:val="center"/>
          </w:tcPr>
          <w:p w14:paraId="4B79794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Technological features</w:t>
            </w:r>
          </w:p>
        </w:tc>
        <w:tc>
          <w:tcPr>
            <w:tcW w:w="816" w:type="pct"/>
            <w:tcBorders>
              <w:top w:val="nil"/>
              <w:left w:val="nil"/>
              <w:bottom w:val="nil"/>
              <w:right w:val="nil"/>
            </w:tcBorders>
            <w:shd w:val="clear" w:color="auto" w:fill="FFFFFF"/>
            <w:vAlign w:val="center"/>
          </w:tcPr>
          <w:p w14:paraId="0E2F7B6F"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686" w:type="pct"/>
            <w:tcBorders>
              <w:top w:val="nil"/>
              <w:left w:val="nil"/>
              <w:bottom w:val="nil"/>
              <w:right w:val="nil"/>
            </w:tcBorders>
            <w:shd w:val="clear" w:color="auto" w:fill="FFFFFF"/>
            <w:vAlign w:val="center"/>
          </w:tcPr>
          <w:p w14:paraId="4E9EF97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27</w:t>
            </w:r>
          </w:p>
        </w:tc>
        <w:tc>
          <w:tcPr>
            <w:tcW w:w="807" w:type="pct"/>
            <w:tcBorders>
              <w:top w:val="nil"/>
              <w:left w:val="nil"/>
              <w:bottom w:val="nil"/>
              <w:right w:val="nil"/>
            </w:tcBorders>
            <w:shd w:val="clear" w:color="auto" w:fill="FFFFFF"/>
            <w:vAlign w:val="center"/>
          </w:tcPr>
          <w:p w14:paraId="43D5F1A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c>
          <w:tcPr>
            <w:tcW w:w="1172" w:type="pct"/>
            <w:tcBorders>
              <w:top w:val="nil"/>
              <w:left w:val="nil"/>
              <w:bottom w:val="nil"/>
              <w:right w:val="nil"/>
            </w:tcBorders>
            <w:shd w:val="clear" w:color="auto" w:fill="FFFFFF"/>
            <w:vAlign w:val="center"/>
          </w:tcPr>
          <w:p w14:paraId="01A5355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6.57</w:t>
            </w:r>
          </w:p>
        </w:tc>
      </w:tr>
      <w:tr w:rsidR="0067740A" w14:paraId="3FA78071" w14:textId="77777777">
        <w:trPr>
          <w:trHeight w:val="270"/>
        </w:trPr>
        <w:tc>
          <w:tcPr>
            <w:tcW w:w="1516" w:type="pct"/>
            <w:vMerge/>
            <w:tcBorders>
              <w:top w:val="nil"/>
              <w:left w:val="nil"/>
              <w:bottom w:val="nil"/>
              <w:right w:val="nil"/>
            </w:tcBorders>
            <w:shd w:val="clear" w:color="auto" w:fill="FFFFFF"/>
            <w:vAlign w:val="center"/>
          </w:tcPr>
          <w:p w14:paraId="1A56AC59"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0A1E876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686" w:type="pct"/>
            <w:tcBorders>
              <w:top w:val="nil"/>
              <w:left w:val="nil"/>
              <w:bottom w:val="nil"/>
              <w:right w:val="nil"/>
            </w:tcBorders>
            <w:shd w:val="clear" w:color="auto" w:fill="FFFFFF"/>
            <w:vAlign w:val="center"/>
          </w:tcPr>
          <w:p w14:paraId="503C852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w:t>
            </w:r>
          </w:p>
        </w:tc>
        <w:tc>
          <w:tcPr>
            <w:tcW w:w="807" w:type="pct"/>
            <w:tcBorders>
              <w:top w:val="nil"/>
              <w:left w:val="nil"/>
              <w:bottom w:val="nil"/>
              <w:right w:val="nil"/>
            </w:tcBorders>
            <w:shd w:val="clear" w:color="auto" w:fill="FFFFFF"/>
            <w:vAlign w:val="center"/>
          </w:tcPr>
          <w:p w14:paraId="3CCD1F1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8.27</w:t>
            </w:r>
          </w:p>
        </w:tc>
        <w:tc>
          <w:tcPr>
            <w:tcW w:w="1172" w:type="pct"/>
            <w:tcBorders>
              <w:top w:val="nil"/>
              <w:left w:val="nil"/>
              <w:bottom w:val="nil"/>
              <w:right w:val="nil"/>
            </w:tcBorders>
            <w:shd w:val="clear" w:color="auto" w:fill="FFFFFF"/>
            <w:vAlign w:val="center"/>
          </w:tcPr>
          <w:p w14:paraId="242F24E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14.84</w:t>
            </w:r>
          </w:p>
        </w:tc>
      </w:tr>
      <w:tr w:rsidR="0067740A" w14:paraId="1F49F6DF" w14:textId="77777777">
        <w:trPr>
          <w:trHeight w:val="270"/>
        </w:trPr>
        <w:tc>
          <w:tcPr>
            <w:tcW w:w="1516" w:type="pct"/>
            <w:vMerge/>
            <w:tcBorders>
              <w:top w:val="nil"/>
              <w:left w:val="nil"/>
              <w:bottom w:val="nil"/>
              <w:right w:val="nil"/>
            </w:tcBorders>
            <w:shd w:val="clear" w:color="auto" w:fill="FFFFFF"/>
            <w:vAlign w:val="center"/>
          </w:tcPr>
          <w:p w14:paraId="17F756AE"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06C50CB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86" w:type="pct"/>
            <w:tcBorders>
              <w:top w:val="nil"/>
              <w:left w:val="nil"/>
              <w:bottom w:val="nil"/>
              <w:right w:val="nil"/>
            </w:tcBorders>
            <w:shd w:val="clear" w:color="auto" w:fill="FFFFFF"/>
            <w:vAlign w:val="center"/>
          </w:tcPr>
          <w:p w14:paraId="508537C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w:t>
            </w:r>
          </w:p>
        </w:tc>
        <w:tc>
          <w:tcPr>
            <w:tcW w:w="807" w:type="pct"/>
            <w:tcBorders>
              <w:top w:val="nil"/>
              <w:left w:val="nil"/>
              <w:bottom w:val="nil"/>
              <w:right w:val="nil"/>
            </w:tcBorders>
            <w:shd w:val="clear" w:color="auto" w:fill="FFFFFF"/>
            <w:vAlign w:val="center"/>
          </w:tcPr>
          <w:p w14:paraId="21B96D5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17.03</w:t>
            </w:r>
          </w:p>
        </w:tc>
        <w:tc>
          <w:tcPr>
            <w:tcW w:w="1172" w:type="pct"/>
            <w:tcBorders>
              <w:top w:val="nil"/>
              <w:left w:val="nil"/>
              <w:bottom w:val="nil"/>
              <w:right w:val="nil"/>
            </w:tcBorders>
            <w:shd w:val="clear" w:color="auto" w:fill="FFFFFF"/>
            <w:vAlign w:val="center"/>
          </w:tcPr>
          <w:p w14:paraId="61A558B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31.87</w:t>
            </w:r>
          </w:p>
        </w:tc>
      </w:tr>
      <w:tr w:rsidR="0067740A" w14:paraId="21DB7AAF" w14:textId="77777777">
        <w:trPr>
          <w:trHeight w:val="270"/>
        </w:trPr>
        <w:tc>
          <w:tcPr>
            <w:tcW w:w="1516" w:type="pct"/>
            <w:vMerge/>
            <w:tcBorders>
              <w:top w:val="nil"/>
              <w:left w:val="nil"/>
              <w:bottom w:val="nil"/>
              <w:right w:val="nil"/>
            </w:tcBorders>
            <w:shd w:val="clear" w:color="auto" w:fill="FFFFFF"/>
            <w:vAlign w:val="center"/>
          </w:tcPr>
          <w:p w14:paraId="739082EE"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09FBCDF7"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686" w:type="pct"/>
            <w:tcBorders>
              <w:top w:val="nil"/>
              <w:left w:val="nil"/>
              <w:bottom w:val="nil"/>
              <w:right w:val="nil"/>
            </w:tcBorders>
            <w:shd w:val="clear" w:color="auto" w:fill="FFFFFF"/>
            <w:vAlign w:val="center"/>
          </w:tcPr>
          <w:p w14:paraId="1C19269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134</w:t>
            </w:r>
          </w:p>
        </w:tc>
        <w:tc>
          <w:tcPr>
            <w:tcW w:w="807" w:type="pct"/>
            <w:tcBorders>
              <w:top w:val="nil"/>
              <w:left w:val="nil"/>
              <w:bottom w:val="nil"/>
              <w:right w:val="nil"/>
            </w:tcBorders>
            <w:shd w:val="clear" w:color="auto" w:fill="FFFFFF"/>
            <w:vAlign w:val="center"/>
          </w:tcPr>
          <w:p w14:paraId="0BEB437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32.60</w:t>
            </w:r>
          </w:p>
        </w:tc>
        <w:tc>
          <w:tcPr>
            <w:tcW w:w="1172" w:type="pct"/>
            <w:tcBorders>
              <w:top w:val="nil"/>
              <w:left w:val="nil"/>
              <w:bottom w:val="nil"/>
              <w:right w:val="nil"/>
            </w:tcBorders>
            <w:shd w:val="clear" w:color="auto" w:fill="FFFFFF"/>
            <w:vAlign w:val="center"/>
          </w:tcPr>
          <w:p w14:paraId="5B88957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64.48</w:t>
            </w:r>
          </w:p>
        </w:tc>
      </w:tr>
      <w:tr w:rsidR="0067740A" w14:paraId="742B19C6" w14:textId="77777777">
        <w:trPr>
          <w:trHeight w:val="270"/>
        </w:trPr>
        <w:tc>
          <w:tcPr>
            <w:tcW w:w="1516" w:type="pct"/>
            <w:vMerge/>
            <w:tcBorders>
              <w:top w:val="nil"/>
              <w:left w:val="nil"/>
              <w:bottom w:val="nil"/>
              <w:right w:val="nil"/>
            </w:tcBorders>
            <w:shd w:val="clear" w:color="auto" w:fill="FFFFFF"/>
            <w:vAlign w:val="center"/>
          </w:tcPr>
          <w:p w14:paraId="7BFE4DBC"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65F90E0B"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686" w:type="pct"/>
            <w:tcBorders>
              <w:top w:val="nil"/>
              <w:left w:val="nil"/>
              <w:bottom w:val="nil"/>
              <w:right w:val="nil"/>
            </w:tcBorders>
            <w:shd w:val="clear" w:color="auto" w:fill="FFFFFF"/>
            <w:vAlign w:val="center"/>
          </w:tcPr>
          <w:p w14:paraId="1E9CB9A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146</w:t>
            </w:r>
          </w:p>
        </w:tc>
        <w:tc>
          <w:tcPr>
            <w:tcW w:w="807" w:type="pct"/>
            <w:tcBorders>
              <w:top w:val="nil"/>
              <w:left w:val="nil"/>
              <w:bottom w:val="nil"/>
              <w:right w:val="nil"/>
            </w:tcBorders>
            <w:shd w:val="clear" w:color="auto" w:fill="FFFFFF"/>
            <w:vAlign w:val="center"/>
          </w:tcPr>
          <w:p w14:paraId="7D8B069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35.52</w:t>
            </w:r>
          </w:p>
        </w:tc>
        <w:tc>
          <w:tcPr>
            <w:tcW w:w="1172" w:type="pct"/>
            <w:tcBorders>
              <w:top w:val="nil"/>
              <w:left w:val="nil"/>
              <w:bottom w:val="nil"/>
              <w:right w:val="nil"/>
            </w:tcBorders>
            <w:shd w:val="clear" w:color="auto" w:fill="FFFFFF"/>
            <w:vAlign w:val="center"/>
          </w:tcPr>
          <w:p w14:paraId="5988E7A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7FB91991" w14:textId="77777777">
        <w:trPr>
          <w:trHeight w:val="270"/>
        </w:trPr>
        <w:tc>
          <w:tcPr>
            <w:tcW w:w="1516" w:type="pct"/>
            <w:vMerge w:val="restart"/>
            <w:tcBorders>
              <w:top w:val="nil"/>
              <w:left w:val="nil"/>
              <w:bottom w:val="nil"/>
              <w:right w:val="nil"/>
            </w:tcBorders>
            <w:shd w:val="clear" w:color="auto" w:fill="FFFFFF"/>
            <w:vAlign w:val="center"/>
          </w:tcPr>
          <w:p w14:paraId="3488BEA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Government incentives</w:t>
            </w:r>
          </w:p>
        </w:tc>
        <w:tc>
          <w:tcPr>
            <w:tcW w:w="816" w:type="pct"/>
            <w:tcBorders>
              <w:top w:val="nil"/>
              <w:left w:val="nil"/>
              <w:bottom w:val="nil"/>
              <w:right w:val="nil"/>
            </w:tcBorders>
            <w:shd w:val="clear" w:color="auto" w:fill="FFFFFF"/>
            <w:vAlign w:val="center"/>
          </w:tcPr>
          <w:p w14:paraId="7D072B4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686" w:type="pct"/>
            <w:tcBorders>
              <w:top w:val="nil"/>
              <w:left w:val="nil"/>
              <w:bottom w:val="nil"/>
              <w:right w:val="nil"/>
            </w:tcBorders>
            <w:shd w:val="clear" w:color="auto" w:fill="FFFFFF"/>
            <w:vAlign w:val="center"/>
          </w:tcPr>
          <w:p w14:paraId="1714A42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39</w:t>
            </w:r>
          </w:p>
        </w:tc>
        <w:tc>
          <w:tcPr>
            <w:tcW w:w="807" w:type="pct"/>
            <w:tcBorders>
              <w:top w:val="nil"/>
              <w:left w:val="nil"/>
              <w:bottom w:val="nil"/>
              <w:right w:val="nil"/>
            </w:tcBorders>
            <w:shd w:val="clear" w:color="auto" w:fill="FFFFFF"/>
            <w:vAlign w:val="center"/>
          </w:tcPr>
          <w:p w14:paraId="0DEB3A9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9.49</w:t>
            </w:r>
          </w:p>
        </w:tc>
        <w:tc>
          <w:tcPr>
            <w:tcW w:w="1172" w:type="pct"/>
            <w:tcBorders>
              <w:top w:val="nil"/>
              <w:left w:val="nil"/>
              <w:bottom w:val="nil"/>
              <w:right w:val="nil"/>
            </w:tcBorders>
            <w:shd w:val="clear" w:color="auto" w:fill="FFFFFF"/>
            <w:vAlign w:val="center"/>
          </w:tcPr>
          <w:p w14:paraId="1432E64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9.49</w:t>
            </w:r>
          </w:p>
        </w:tc>
      </w:tr>
      <w:tr w:rsidR="0067740A" w14:paraId="11E2B800" w14:textId="77777777">
        <w:trPr>
          <w:trHeight w:val="270"/>
        </w:trPr>
        <w:tc>
          <w:tcPr>
            <w:tcW w:w="1516" w:type="pct"/>
            <w:vMerge/>
            <w:tcBorders>
              <w:top w:val="nil"/>
              <w:left w:val="nil"/>
              <w:bottom w:val="nil"/>
              <w:right w:val="nil"/>
            </w:tcBorders>
            <w:shd w:val="clear" w:color="auto" w:fill="FFFFFF"/>
            <w:vAlign w:val="center"/>
          </w:tcPr>
          <w:p w14:paraId="7B16BF77"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32BC38B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686" w:type="pct"/>
            <w:tcBorders>
              <w:top w:val="nil"/>
              <w:left w:val="nil"/>
              <w:bottom w:val="nil"/>
              <w:right w:val="nil"/>
            </w:tcBorders>
            <w:shd w:val="clear" w:color="auto" w:fill="FFFFFF"/>
            <w:vAlign w:val="center"/>
          </w:tcPr>
          <w:p w14:paraId="79D94B8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26</w:t>
            </w:r>
          </w:p>
        </w:tc>
        <w:tc>
          <w:tcPr>
            <w:tcW w:w="807" w:type="pct"/>
            <w:tcBorders>
              <w:top w:val="nil"/>
              <w:left w:val="nil"/>
              <w:bottom w:val="nil"/>
              <w:right w:val="nil"/>
            </w:tcBorders>
            <w:shd w:val="clear" w:color="auto" w:fill="FFFFFF"/>
            <w:vAlign w:val="center"/>
          </w:tcPr>
          <w:p w14:paraId="2034567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6.33</w:t>
            </w:r>
          </w:p>
        </w:tc>
        <w:tc>
          <w:tcPr>
            <w:tcW w:w="1172" w:type="pct"/>
            <w:tcBorders>
              <w:top w:val="nil"/>
              <w:left w:val="nil"/>
              <w:bottom w:val="nil"/>
              <w:right w:val="nil"/>
            </w:tcBorders>
            <w:shd w:val="clear" w:color="auto" w:fill="FFFFFF"/>
            <w:vAlign w:val="center"/>
          </w:tcPr>
          <w:p w14:paraId="12E5B87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15.82</w:t>
            </w:r>
          </w:p>
        </w:tc>
      </w:tr>
      <w:tr w:rsidR="0067740A" w14:paraId="70F8FDDC" w14:textId="77777777">
        <w:trPr>
          <w:trHeight w:val="270"/>
        </w:trPr>
        <w:tc>
          <w:tcPr>
            <w:tcW w:w="1516" w:type="pct"/>
            <w:vMerge/>
            <w:tcBorders>
              <w:top w:val="nil"/>
              <w:left w:val="nil"/>
              <w:bottom w:val="nil"/>
              <w:right w:val="nil"/>
            </w:tcBorders>
            <w:shd w:val="clear" w:color="auto" w:fill="FFFFFF"/>
            <w:vAlign w:val="center"/>
          </w:tcPr>
          <w:p w14:paraId="41B99AC3"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0872FE9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86" w:type="pct"/>
            <w:tcBorders>
              <w:top w:val="nil"/>
              <w:left w:val="nil"/>
              <w:bottom w:val="nil"/>
              <w:right w:val="nil"/>
            </w:tcBorders>
            <w:shd w:val="clear" w:color="auto" w:fill="FFFFFF"/>
            <w:vAlign w:val="center"/>
          </w:tcPr>
          <w:p w14:paraId="3E9E835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72</w:t>
            </w:r>
          </w:p>
        </w:tc>
        <w:tc>
          <w:tcPr>
            <w:tcW w:w="807" w:type="pct"/>
            <w:tcBorders>
              <w:top w:val="nil"/>
              <w:left w:val="nil"/>
              <w:bottom w:val="nil"/>
              <w:right w:val="nil"/>
            </w:tcBorders>
            <w:shd w:val="clear" w:color="auto" w:fill="FFFFFF"/>
            <w:vAlign w:val="center"/>
          </w:tcPr>
          <w:p w14:paraId="62222E5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17.52</w:t>
            </w:r>
          </w:p>
        </w:tc>
        <w:tc>
          <w:tcPr>
            <w:tcW w:w="1172" w:type="pct"/>
            <w:tcBorders>
              <w:top w:val="nil"/>
              <w:left w:val="nil"/>
              <w:bottom w:val="nil"/>
              <w:right w:val="nil"/>
            </w:tcBorders>
            <w:shd w:val="clear" w:color="auto" w:fill="FFFFFF"/>
            <w:vAlign w:val="center"/>
          </w:tcPr>
          <w:p w14:paraId="5458E29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33.33</w:t>
            </w:r>
          </w:p>
        </w:tc>
      </w:tr>
      <w:tr w:rsidR="0067740A" w14:paraId="49F5EDF2" w14:textId="77777777">
        <w:trPr>
          <w:trHeight w:val="270"/>
        </w:trPr>
        <w:tc>
          <w:tcPr>
            <w:tcW w:w="1516" w:type="pct"/>
            <w:vMerge/>
            <w:tcBorders>
              <w:top w:val="nil"/>
              <w:left w:val="nil"/>
              <w:bottom w:val="nil"/>
              <w:right w:val="nil"/>
            </w:tcBorders>
            <w:shd w:val="clear" w:color="auto" w:fill="FFFFFF"/>
            <w:vAlign w:val="center"/>
          </w:tcPr>
          <w:p w14:paraId="1B2FE6AC"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17B110C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686" w:type="pct"/>
            <w:tcBorders>
              <w:top w:val="nil"/>
              <w:left w:val="nil"/>
              <w:bottom w:val="nil"/>
              <w:right w:val="nil"/>
            </w:tcBorders>
            <w:shd w:val="clear" w:color="auto" w:fill="FFFFFF"/>
            <w:vAlign w:val="center"/>
          </w:tcPr>
          <w:p w14:paraId="7EDE6AC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143</w:t>
            </w:r>
          </w:p>
        </w:tc>
        <w:tc>
          <w:tcPr>
            <w:tcW w:w="807" w:type="pct"/>
            <w:tcBorders>
              <w:top w:val="nil"/>
              <w:left w:val="nil"/>
              <w:bottom w:val="nil"/>
              <w:right w:val="nil"/>
            </w:tcBorders>
            <w:shd w:val="clear" w:color="auto" w:fill="FFFFFF"/>
            <w:vAlign w:val="center"/>
          </w:tcPr>
          <w:p w14:paraId="35B33A1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34.79</w:t>
            </w:r>
          </w:p>
        </w:tc>
        <w:tc>
          <w:tcPr>
            <w:tcW w:w="1172" w:type="pct"/>
            <w:tcBorders>
              <w:top w:val="nil"/>
              <w:left w:val="nil"/>
              <w:bottom w:val="nil"/>
              <w:right w:val="nil"/>
            </w:tcBorders>
            <w:shd w:val="clear" w:color="auto" w:fill="FFFFFF"/>
            <w:vAlign w:val="center"/>
          </w:tcPr>
          <w:p w14:paraId="37C98B6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68.13</w:t>
            </w:r>
          </w:p>
        </w:tc>
      </w:tr>
      <w:tr w:rsidR="0067740A" w14:paraId="0F98C463" w14:textId="77777777">
        <w:trPr>
          <w:trHeight w:val="270"/>
        </w:trPr>
        <w:tc>
          <w:tcPr>
            <w:tcW w:w="1516" w:type="pct"/>
            <w:vMerge/>
            <w:tcBorders>
              <w:top w:val="nil"/>
              <w:left w:val="nil"/>
              <w:bottom w:val="nil"/>
              <w:right w:val="nil"/>
            </w:tcBorders>
            <w:shd w:val="clear" w:color="auto" w:fill="FFFFFF"/>
            <w:vAlign w:val="center"/>
          </w:tcPr>
          <w:p w14:paraId="7AB63C98"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3C3F91B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686" w:type="pct"/>
            <w:tcBorders>
              <w:top w:val="nil"/>
              <w:left w:val="nil"/>
              <w:bottom w:val="nil"/>
              <w:right w:val="nil"/>
            </w:tcBorders>
            <w:shd w:val="clear" w:color="auto" w:fill="FFFFFF"/>
            <w:vAlign w:val="center"/>
          </w:tcPr>
          <w:p w14:paraId="6DC54AE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131</w:t>
            </w:r>
          </w:p>
        </w:tc>
        <w:tc>
          <w:tcPr>
            <w:tcW w:w="807" w:type="pct"/>
            <w:tcBorders>
              <w:top w:val="nil"/>
              <w:left w:val="nil"/>
              <w:bottom w:val="nil"/>
              <w:right w:val="nil"/>
            </w:tcBorders>
            <w:shd w:val="clear" w:color="auto" w:fill="FFFFFF"/>
            <w:vAlign w:val="center"/>
          </w:tcPr>
          <w:p w14:paraId="44D6852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31.87</w:t>
            </w:r>
          </w:p>
        </w:tc>
        <w:tc>
          <w:tcPr>
            <w:tcW w:w="1172" w:type="pct"/>
            <w:tcBorders>
              <w:top w:val="nil"/>
              <w:left w:val="nil"/>
              <w:bottom w:val="nil"/>
              <w:right w:val="nil"/>
            </w:tcBorders>
            <w:shd w:val="clear" w:color="auto" w:fill="FFFFFF"/>
            <w:vAlign w:val="center"/>
          </w:tcPr>
          <w:p w14:paraId="74C0480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222946FF" w14:textId="77777777">
        <w:trPr>
          <w:trHeight w:val="270"/>
        </w:trPr>
        <w:tc>
          <w:tcPr>
            <w:tcW w:w="1516" w:type="pct"/>
            <w:vMerge w:val="restart"/>
            <w:tcBorders>
              <w:top w:val="nil"/>
              <w:left w:val="nil"/>
              <w:bottom w:val="nil"/>
              <w:right w:val="nil"/>
            </w:tcBorders>
            <w:shd w:val="clear" w:color="auto" w:fill="FFFFFF"/>
            <w:vAlign w:val="center"/>
          </w:tcPr>
          <w:p w14:paraId="72B2BD2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Brand reputation</w:t>
            </w:r>
          </w:p>
        </w:tc>
        <w:tc>
          <w:tcPr>
            <w:tcW w:w="816" w:type="pct"/>
            <w:tcBorders>
              <w:top w:val="nil"/>
              <w:left w:val="nil"/>
              <w:bottom w:val="nil"/>
              <w:right w:val="nil"/>
            </w:tcBorders>
            <w:shd w:val="clear" w:color="auto" w:fill="FFFFFF"/>
            <w:vAlign w:val="center"/>
          </w:tcPr>
          <w:p w14:paraId="4E0EEA3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unlikely</w:t>
            </w:r>
          </w:p>
        </w:tc>
        <w:tc>
          <w:tcPr>
            <w:tcW w:w="686" w:type="pct"/>
            <w:tcBorders>
              <w:top w:val="nil"/>
              <w:left w:val="nil"/>
              <w:bottom w:val="nil"/>
              <w:right w:val="nil"/>
            </w:tcBorders>
            <w:shd w:val="clear" w:color="auto" w:fill="FFFFFF"/>
            <w:vAlign w:val="center"/>
          </w:tcPr>
          <w:p w14:paraId="2D3D100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807" w:type="pct"/>
            <w:tcBorders>
              <w:top w:val="nil"/>
              <w:left w:val="nil"/>
              <w:bottom w:val="nil"/>
              <w:right w:val="nil"/>
            </w:tcBorders>
            <w:shd w:val="clear" w:color="auto" w:fill="FFFFFF"/>
            <w:vAlign w:val="center"/>
          </w:tcPr>
          <w:p w14:paraId="1A9CF60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172" w:type="pct"/>
            <w:tcBorders>
              <w:top w:val="nil"/>
              <w:left w:val="nil"/>
              <w:bottom w:val="nil"/>
              <w:right w:val="nil"/>
            </w:tcBorders>
            <w:shd w:val="clear" w:color="auto" w:fill="FFFFFF"/>
            <w:vAlign w:val="center"/>
          </w:tcPr>
          <w:p w14:paraId="1296117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r>
      <w:tr w:rsidR="0067740A" w14:paraId="76A44269" w14:textId="77777777">
        <w:trPr>
          <w:trHeight w:val="270"/>
        </w:trPr>
        <w:tc>
          <w:tcPr>
            <w:tcW w:w="1516" w:type="pct"/>
            <w:vMerge/>
            <w:tcBorders>
              <w:top w:val="nil"/>
              <w:left w:val="nil"/>
              <w:bottom w:val="nil"/>
              <w:right w:val="nil"/>
            </w:tcBorders>
            <w:shd w:val="clear" w:color="auto" w:fill="FFFFFF"/>
            <w:vAlign w:val="center"/>
          </w:tcPr>
          <w:p w14:paraId="249557AA"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1050E2F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Unlikely</w:t>
            </w:r>
          </w:p>
        </w:tc>
        <w:tc>
          <w:tcPr>
            <w:tcW w:w="686" w:type="pct"/>
            <w:tcBorders>
              <w:top w:val="nil"/>
              <w:left w:val="nil"/>
              <w:bottom w:val="nil"/>
              <w:right w:val="nil"/>
            </w:tcBorders>
            <w:shd w:val="clear" w:color="auto" w:fill="FFFFFF"/>
            <w:vAlign w:val="center"/>
          </w:tcPr>
          <w:p w14:paraId="0A20A94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807" w:type="pct"/>
            <w:tcBorders>
              <w:top w:val="nil"/>
              <w:left w:val="nil"/>
              <w:bottom w:val="nil"/>
              <w:right w:val="nil"/>
            </w:tcBorders>
            <w:shd w:val="clear" w:color="auto" w:fill="FFFFFF"/>
            <w:vAlign w:val="center"/>
          </w:tcPr>
          <w:p w14:paraId="220BBAF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172" w:type="pct"/>
            <w:tcBorders>
              <w:top w:val="nil"/>
              <w:left w:val="nil"/>
              <w:bottom w:val="nil"/>
              <w:right w:val="nil"/>
            </w:tcBorders>
            <w:shd w:val="clear" w:color="auto" w:fill="FFFFFF"/>
            <w:vAlign w:val="center"/>
          </w:tcPr>
          <w:p w14:paraId="370FDD2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r>
      <w:tr w:rsidR="0067740A" w14:paraId="34B25602" w14:textId="77777777">
        <w:trPr>
          <w:trHeight w:val="270"/>
        </w:trPr>
        <w:tc>
          <w:tcPr>
            <w:tcW w:w="1516" w:type="pct"/>
            <w:vMerge/>
            <w:tcBorders>
              <w:top w:val="nil"/>
              <w:left w:val="nil"/>
              <w:bottom w:val="nil"/>
              <w:right w:val="nil"/>
            </w:tcBorders>
            <w:shd w:val="clear" w:color="auto" w:fill="FFFFFF"/>
            <w:vAlign w:val="center"/>
          </w:tcPr>
          <w:p w14:paraId="1694B227"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61834D5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686" w:type="pct"/>
            <w:tcBorders>
              <w:top w:val="nil"/>
              <w:left w:val="nil"/>
              <w:bottom w:val="nil"/>
              <w:right w:val="nil"/>
            </w:tcBorders>
            <w:shd w:val="clear" w:color="auto" w:fill="FFFFFF"/>
            <w:vAlign w:val="center"/>
          </w:tcPr>
          <w:p w14:paraId="053A23C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82</w:t>
            </w:r>
          </w:p>
        </w:tc>
        <w:tc>
          <w:tcPr>
            <w:tcW w:w="807" w:type="pct"/>
            <w:tcBorders>
              <w:top w:val="nil"/>
              <w:left w:val="nil"/>
              <w:bottom w:val="nil"/>
              <w:right w:val="nil"/>
            </w:tcBorders>
            <w:shd w:val="clear" w:color="auto" w:fill="FFFFFF"/>
            <w:vAlign w:val="center"/>
          </w:tcPr>
          <w:p w14:paraId="227A31E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19.95</w:t>
            </w:r>
          </w:p>
        </w:tc>
        <w:tc>
          <w:tcPr>
            <w:tcW w:w="1172" w:type="pct"/>
            <w:tcBorders>
              <w:top w:val="nil"/>
              <w:left w:val="nil"/>
              <w:bottom w:val="nil"/>
              <w:right w:val="nil"/>
            </w:tcBorders>
            <w:shd w:val="clear" w:color="auto" w:fill="FFFFFF"/>
            <w:vAlign w:val="center"/>
          </w:tcPr>
          <w:p w14:paraId="44D82FE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35.04</w:t>
            </w:r>
          </w:p>
        </w:tc>
      </w:tr>
      <w:tr w:rsidR="0067740A" w14:paraId="17B9C875" w14:textId="77777777">
        <w:trPr>
          <w:trHeight w:val="270"/>
        </w:trPr>
        <w:tc>
          <w:tcPr>
            <w:tcW w:w="1516" w:type="pct"/>
            <w:vMerge/>
            <w:tcBorders>
              <w:top w:val="nil"/>
              <w:left w:val="nil"/>
              <w:bottom w:val="nil"/>
              <w:right w:val="nil"/>
            </w:tcBorders>
            <w:shd w:val="clear" w:color="auto" w:fill="FFFFFF"/>
            <w:vAlign w:val="center"/>
          </w:tcPr>
          <w:p w14:paraId="389A6132"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158F862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Likely</w:t>
            </w:r>
          </w:p>
        </w:tc>
        <w:tc>
          <w:tcPr>
            <w:tcW w:w="686" w:type="pct"/>
            <w:tcBorders>
              <w:top w:val="nil"/>
              <w:left w:val="nil"/>
              <w:bottom w:val="nil"/>
              <w:right w:val="nil"/>
            </w:tcBorders>
            <w:shd w:val="clear" w:color="auto" w:fill="FFFFFF"/>
            <w:vAlign w:val="center"/>
          </w:tcPr>
          <w:p w14:paraId="3E1AF2A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138</w:t>
            </w:r>
          </w:p>
        </w:tc>
        <w:tc>
          <w:tcPr>
            <w:tcW w:w="807" w:type="pct"/>
            <w:tcBorders>
              <w:top w:val="nil"/>
              <w:left w:val="nil"/>
              <w:bottom w:val="nil"/>
              <w:right w:val="nil"/>
            </w:tcBorders>
            <w:shd w:val="clear" w:color="auto" w:fill="FFFFFF"/>
            <w:vAlign w:val="center"/>
          </w:tcPr>
          <w:p w14:paraId="2ADB614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33.58</w:t>
            </w:r>
          </w:p>
        </w:tc>
        <w:tc>
          <w:tcPr>
            <w:tcW w:w="1172" w:type="pct"/>
            <w:tcBorders>
              <w:top w:val="nil"/>
              <w:left w:val="nil"/>
              <w:bottom w:val="nil"/>
              <w:right w:val="nil"/>
            </w:tcBorders>
            <w:shd w:val="clear" w:color="auto" w:fill="FFFFFF"/>
            <w:vAlign w:val="center"/>
          </w:tcPr>
          <w:p w14:paraId="3D30E47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68.61</w:t>
            </w:r>
          </w:p>
        </w:tc>
      </w:tr>
      <w:tr w:rsidR="0067740A" w14:paraId="5CD88407" w14:textId="77777777">
        <w:trPr>
          <w:trHeight w:val="270"/>
        </w:trPr>
        <w:tc>
          <w:tcPr>
            <w:tcW w:w="1516" w:type="pct"/>
            <w:vMerge/>
            <w:tcBorders>
              <w:top w:val="nil"/>
              <w:left w:val="nil"/>
              <w:bottom w:val="nil"/>
              <w:right w:val="nil"/>
            </w:tcBorders>
            <w:shd w:val="clear" w:color="auto" w:fill="FFFFFF"/>
            <w:vAlign w:val="center"/>
          </w:tcPr>
          <w:p w14:paraId="4D4BE374" w14:textId="77777777" w:rsidR="0067740A" w:rsidRDefault="0067740A">
            <w:pPr>
              <w:spacing w:line="360" w:lineRule="auto"/>
              <w:jc w:val="center"/>
              <w:rPr>
                <w:rFonts w:ascii="Arial" w:eastAsia="宋体" w:hAnsi="Arial" w:cs="Arial"/>
                <w:color w:val="000000"/>
              </w:rPr>
            </w:pPr>
          </w:p>
        </w:tc>
        <w:tc>
          <w:tcPr>
            <w:tcW w:w="816" w:type="pct"/>
            <w:tcBorders>
              <w:top w:val="nil"/>
              <w:left w:val="nil"/>
              <w:bottom w:val="nil"/>
              <w:right w:val="nil"/>
            </w:tcBorders>
            <w:shd w:val="clear" w:color="auto" w:fill="FFFFFF"/>
            <w:vAlign w:val="center"/>
          </w:tcPr>
          <w:p w14:paraId="7361C6C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likely</w:t>
            </w:r>
          </w:p>
        </w:tc>
        <w:tc>
          <w:tcPr>
            <w:tcW w:w="686" w:type="pct"/>
            <w:tcBorders>
              <w:top w:val="nil"/>
              <w:left w:val="nil"/>
              <w:bottom w:val="nil"/>
              <w:right w:val="nil"/>
            </w:tcBorders>
            <w:shd w:val="clear" w:color="auto" w:fill="FFFFFF"/>
            <w:vAlign w:val="center"/>
          </w:tcPr>
          <w:p w14:paraId="0912F6B8"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129</w:t>
            </w:r>
          </w:p>
        </w:tc>
        <w:tc>
          <w:tcPr>
            <w:tcW w:w="807" w:type="pct"/>
            <w:tcBorders>
              <w:top w:val="nil"/>
              <w:left w:val="nil"/>
              <w:bottom w:val="nil"/>
              <w:right w:val="nil"/>
            </w:tcBorders>
            <w:shd w:val="clear" w:color="auto" w:fill="FFFFFF"/>
            <w:vAlign w:val="center"/>
          </w:tcPr>
          <w:p w14:paraId="378F961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31.39</w:t>
            </w:r>
          </w:p>
        </w:tc>
        <w:tc>
          <w:tcPr>
            <w:tcW w:w="1172" w:type="pct"/>
            <w:tcBorders>
              <w:top w:val="nil"/>
              <w:left w:val="nil"/>
              <w:bottom w:val="nil"/>
              <w:right w:val="nil"/>
            </w:tcBorders>
            <w:shd w:val="clear" w:color="auto" w:fill="FFFFFF"/>
            <w:vAlign w:val="center"/>
          </w:tcPr>
          <w:p w14:paraId="1A7D880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401208A2" w14:textId="77777777">
        <w:trPr>
          <w:trHeight w:val="270"/>
        </w:trPr>
        <w:tc>
          <w:tcPr>
            <w:tcW w:w="2333" w:type="pct"/>
            <w:gridSpan w:val="2"/>
            <w:tcBorders>
              <w:top w:val="nil"/>
              <w:left w:val="nil"/>
              <w:bottom w:val="single" w:sz="8" w:space="0" w:color="auto"/>
              <w:right w:val="nil"/>
            </w:tcBorders>
            <w:shd w:val="clear" w:color="auto" w:fill="FFFFFF"/>
            <w:vAlign w:val="center"/>
          </w:tcPr>
          <w:p w14:paraId="794DFAA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686" w:type="pct"/>
            <w:tcBorders>
              <w:top w:val="nil"/>
              <w:left w:val="nil"/>
              <w:bottom w:val="single" w:sz="8" w:space="0" w:color="auto"/>
              <w:right w:val="nil"/>
            </w:tcBorders>
            <w:shd w:val="clear" w:color="auto" w:fill="FFFFFF"/>
            <w:vAlign w:val="center"/>
          </w:tcPr>
          <w:p w14:paraId="3F969B8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411</w:t>
            </w:r>
          </w:p>
        </w:tc>
        <w:tc>
          <w:tcPr>
            <w:tcW w:w="807" w:type="pct"/>
            <w:tcBorders>
              <w:top w:val="nil"/>
              <w:left w:val="nil"/>
              <w:bottom w:val="single" w:sz="8" w:space="0" w:color="auto"/>
              <w:right w:val="nil"/>
            </w:tcBorders>
            <w:shd w:val="clear" w:color="auto" w:fill="FFFFFF"/>
            <w:vAlign w:val="center"/>
          </w:tcPr>
          <w:p w14:paraId="0FD9A4C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c>
          <w:tcPr>
            <w:tcW w:w="1172" w:type="pct"/>
            <w:tcBorders>
              <w:top w:val="nil"/>
              <w:left w:val="nil"/>
              <w:bottom w:val="single" w:sz="8" w:space="0" w:color="auto"/>
              <w:right w:val="nil"/>
            </w:tcBorders>
            <w:shd w:val="clear" w:color="auto" w:fill="FFFFFF"/>
            <w:vAlign w:val="center"/>
          </w:tcPr>
          <w:p w14:paraId="2B92F6C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r>
    </w:tbl>
    <w:p w14:paraId="0EE20E9D" w14:textId="77777777" w:rsidR="0067740A" w:rsidRDefault="00000000">
      <w:pPr>
        <w:pStyle w:val="a6"/>
        <w:spacing w:line="360" w:lineRule="auto"/>
        <w:ind w:left="28" w:firstLine="479"/>
        <w:rPr>
          <w:rFonts w:ascii="Arial" w:hAnsi="Arial" w:cs="Arial"/>
        </w:rPr>
      </w:pPr>
      <w:r>
        <w:rPr>
          <w:rFonts w:ascii="Arial" w:hAnsi="Arial" w:cs="Arial"/>
        </w:rPr>
        <w:t xml:space="preserve">As can be seen from the table above, </w:t>
      </w:r>
      <w:proofErr w:type="gramStart"/>
      <w:r>
        <w:rPr>
          <w:rFonts w:ascii="Arial" w:hAnsi="Arial" w:cs="Arial"/>
        </w:rPr>
        <w:t>a number of</w:t>
      </w:r>
      <w:proofErr w:type="gramEnd"/>
      <w:r>
        <w:rPr>
          <w:rFonts w:ascii="Arial" w:hAnsi="Arial" w:cs="Arial"/>
        </w:rPr>
        <w:t xml:space="preserve"> factors play an important role in influencing consumers’ decision to buy an electric car from Volkswagen. </w:t>
      </w:r>
      <w:proofErr w:type="gramStart"/>
      <w:r>
        <w:rPr>
          <w:rFonts w:ascii="Arial" w:hAnsi="Arial" w:cs="Arial"/>
        </w:rPr>
        <w:t>First of all</w:t>
      </w:r>
      <w:proofErr w:type="gramEnd"/>
      <w:r>
        <w:rPr>
          <w:rFonts w:ascii="Arial" w:hAnsi="Arial" w:cs="Arial"/>
        </w:rPr>
        <w:t xml:space="preserve">, </w:t>
      </w:r>
      <w:r>
        <w:rPr>
          <w:rFonts w:ascii="Arial" w:hAnsi="Arial" w:cs="Arial"/>
          <w:lang w:eastAsia="zh-CN"/>
        </w:rPr>
        <w:t>p</w:t>
      </w:r>
      <w:r>
        <w:rPr>
          <w:rFonts w:ascii="Arial" w:hAnsi="Arial" w:cs="Arial"/>
        </w:rPr>
        <w:t>rice is a key factor, with over one-third of respondents stating that it is ‘likely’ or ‘very likely’ to influence their decision to purchase a car, accounting for 34.79% and 31.39% respectively. Second, range and battery life are also important concerns for consumers, with more than a third of respondents also saying this factor has a high impact on their car purchase decision.</w:t>
      </w:r>
    </w:p>
    <w:p w14:paraId="115755C2" w14:textId="77777777" w:rsidR="0067740A" w:rsidRDefault="00000000">
      <w:pPr>
        <w:pStyle w:val="a6"/>
        <w:spacing w:line="360" w:lineRule="auto"/>
        <w:ind w:left="28" w:firstLine="479"/>
        <w:rPr>
          <w:rFonts w:ascii="Arial" w:hAnsi="Arial" w:cs="Arial"/>
        </w:rPr>
      </w:pPr>
      <w:r>
        <w:rPr>
          <w:rFonts w:ascii="Arial" w:hAnsi="Arial" w:cs="Arial"/>
        </w:rPr>
        <w:t xml:space="preserve">In addition, the availability of charging stations, environmental benefits, technological </w:t>
      </w:r>
      <w:r>
        <w:rPr>
          <w:rFonts w:ascii="Arial" w:hAnsi="Arial" w:cs="Arial"/>
        </w:rPr>
        <w:lastRenderedPageBreak/>
        <w:t>features and government incentives are also important factors influencing</w:t>
      </w:r>
      <w:r>
        <w:rPr>
          <w:rFonts w:ascii="Arial" w:hAnsi="Arial" w:cs="Arial"/>
          <w:spacing w:val="-15"/>
        </w:rPr>
        <w:t xml:space="preserve"> </w:t>
      </w:r>
      <w:r>
        <w:rPr>
          <w:rFonts w:ascii="Arial" w:hAnsi="Arial" w:cs="Arial"/>
        </w:rPr>
        <w:t>consumers’</w:t>
      </w:r>
      <w:r>
        <w:rPr>
          <w:rFonts w:ascii="Arial" w:hAnsi="Arial" w:cs="Arial"/>
          <w:spacing w:val="-15"/>
        </w:rPr>
        <w:t xml:space="preserve"> </w:t>
      </w:r>
      <w:r>
        <w:rPr>
          <w:rFonts w:ascii="Arial" w:hAnsi="Arial" w:cs="Arial"/>
        </w:rPr>
        <w:t>decisions.</w:t>
      </w:r>
      <w:r>
        <w:rPr>
          <w:rFonts w:ascii="Arial" w:hAnsi="Arial" w:cs="Arial"/>
          <w:spacing w:val="-15"/>
        </w:rPr>
        <w:t xml:space="preserve"> </w:t>
      </w:r>
      <w:r>
        <w:rPr>
          <w:rFonts w:ascii="Arial" w:hAnsi="Arial" w:cs="Arial"/>
        </w:rPr>
        <w:t>When</w:t>
      </w:r>
      <w:r>
        <w:rPr>
          <w:rFonts w:ascii="Arial" w:hAnsi="Arial" w:cs="Arial"/>
          <w:spacing w:val="-13"/>
        </w:rPr>
        <w:t xml:space="preserve"> </w:t>
      </w:r>
      <w:r>
        <w:rPr>
          <w:rFonts w:ascii="Arial" w:hAnsi="Arial" w:cs="Arial"/>
        </w:rPr>
        <w:t>it</w:t>
      </w:r>
      <w:r>
        <w:rPr>
          <w:rFonts w:ascii="Arial" w:hAnsi="Arial" w:cs="Arial"/>
          <w:spacing w:val="-15"/>
        </w:rPr>
        <w:t xml:space="preserve"> </w:t>
      </w:r>
      <w:r>
        <w:rPr>
          <w:rFonts w:ascii="Arial" w:hAnsi="Arial" w:cs="Arial"/>
        </w:rPr>
        <w:t>comes</w:t>
      </w:r>
      <w:r>
        <w:rPr>
          <w:rFonts w:ascii="Arial" w:hAnsi="Arial" w:cs="Arial"/>
          <w:spacing w:val="-14"/>
        </w:rPr>
        <w:t xml:space="preserve"> </w:t>
      </w:r>
      <w:r>
        <w:rPr>
          <w:rFonts w:ascii="Arial" w:hAnsi="Arial" w:cs="Arial"/>
        </w:rPr>
        <w:t>to</w:t>
      </w:r>
      <w:r>
        <w:rPr>
          <w:rFonts w:ascii="Arial" w:hAnsi="Arial" w:cs="Arial"/>
          <w:spacing w:val="-15"/>
        </w:rPr>
        <w:t xml:space="preserve"> </w:t>
      </w:r>
      <w:r>
        <w:rPr>
          <w:rFonts w:ascii="Arial" w:hAnsi="Arial" w:cs="Arial"/>
        </w:rPr>
        <w:t>the</w:t>
      </w:r>
      <w:r>
        <w:rPr>
          <w:rFonts w:ascii="Arial" w:hAnsi="Arial" w:cs="Arial"/>
          <w:spacing w:val="-15"/>
        </w:rPr>
        <w:t xml:space="preserve"> </w:t>
      </w:r>
      <w:r>
        <w:rPr>
          <w:rFonts w:ascii="Arial" w:hAnsi="Arial" w:cs="Arial"/>
        </w:rPr>
        <w:t>availability</w:t>
      </w:r>
      <w:r>
        <w:rPr>
          <w:rFonts w:ascii="Arial" w:hAnsi="Arial" w:cs="Arial"/>
          <w:spacing w:val="-15"/>
        </w:rPr>
        <w:t xml:space="preserve"> </w:t>
      </w:r>
      <w:r>
        <w:rPr>
          <w:rFonts w:ascii="Arial" w:hAnsi="Arial" w:cs="Arial"/>
        </w:rPr>
        <w:t>of</w:t>
      </w:r>
      <w:r>
        <w:rPr>
          <w:rFonts w:ascii="Arial" w:hAnsi="Arial" w:cs="Arial"/>
          <w:spacing w:val="-15"/>
        </w:rPr>
        <w:t xml:space="preserve"> </w:t>
      </w:r>
      <w:r>
        <w:rPr>
          <w:rFonts w:ascii="Arial" w:hAnsi="Arial" w:cs="Arial"/>
        </w:rPr>
        <w:t>charging</w:t>
      </w:r>
      <w:r>
        <w:rPr>
          <w:rFonts w:ascii="Arial" w:hAnsi="Arial" w:cs="Arial"/>
          <w:spacing w:val="-15"/>
        </w:rPr>
        <w:t xml:space="preserve"> </w:t>
      </w:r>
      <w:r>
        <w:rPr>
          <w:rFonts w:ascii="Arial" w:hAnsi="Arial" w:cs="Arial"/>
        </w:rPr>
        <w:t>stations, 33.82% of respondents said it was “very likely” to influence car purchase decisions, while 33.58% said it was “very likely.” When it comes to environmental</w:t>
      </w:r>
      <w:r>
        <w:rPr>
          <w:rFonts w:ascii="Arial" w:hAnsi="Arial" w:cs="Arial"/>
          <w:spacing w:val="-4"/>
        </w:rPr>
        <w:t xml:space="preserve"> </w:t>
      </w:r>
      <w:r>
        <w:rPr>
          <w:rFonts w:ascii="Arial" w:hAnsi="Arial" w:cs="Arial"/>
        </w:rPr>
        <w:t>benefits,</w:t>
      </w:r>
      <w:r>
        <w:rPr>
          <w:rFonts w:ascii="Arial" w:hAnsi="Arial" w:cs="Arial"/>
          <w:spacing w:val="-3"/>
        </w:rPr>
        <w:t xml:space="preserve"> </w:t>
      </w:r>
      <w:r>
        <w:rPr>
          <w:rFonts w:ascii="Arial" w:hAnsi="Arial" w:cs="Arial"/>
        </w:rPr>
        <w:t>although</w:t>
      </w:r>
      <w:r>
        <w:rPr>
          <w:rFonts w:ascii="Arial" w:hAnsi="Arial" w:cs="Arial"/>
          <w:spacing w:val="-3"/>
        </w:rPr>
        <w:t xml:space="preserve"> “</w:t>
      </w:r>
      <w:r>
        <w:rPr>
          <w:rFonts w:ascii="Arial" w:hAnsi="Arial" w:cs="Arial"/>
        </w:rPr>
        <w:t>very</w:t>
      </w:r>
      <w:r>
        <w:rPr>
          <w:rFonts w:ascii="Arial" w:hAnsi="Arial" w:cs="Arial"/>
          <w:spacing w:val="-3"/>
        </w:rPr>
        <w:t xml:space="preserve"> </w:t>
      </w:r>
      <w:r>
        <w:rPr>
          <w:rFonts w:ascii="Arial" w:hAnsi="Arial" w:cs="Arial"/>
        </w:rPr>
        <w:t>likely”</w:t>
      </w:r>
      <w:r>
        <w:rPr>
          <w:rFonts w:ascii="Arial" w:hAnsi="Arial" w:cs="Arial"/>
          <w:spacing w:val="-3"/>
        </w:rPr>
        <w:t xml:space="preserve"> </w:t>
      </w:r>
      <w:r>
        <w:rPr>
          <w:rFonts w:ascii="Arial" w:hAnsi="Arial" w:cs="Arial"/>
        </w:rPr>
        <w:t>was</w:t>
      </w:r>
      <w:r>
        <w:rPr>
          <w:rFonts w:ascii="Arial" w:hAnsi="Arial" w:cs="Arial"/>
          <w:spacing w:val="-3"/>
        </w:rPr>
        <w:t xml:space="preserve"> </w:t>
      </w:r>
      <w:r>
        <w:rPr>
          <w:rFonts w:ascii="Arial" w:hAnsi="Arial" w:cs="Arial"/>
        </w:rPr>
        <w:t>slightly</w:t>
      </w:r>
      <w:r>
        <w:rPr>
          <w:rFonts w:ascii="Arial" w:hAnsi="Arial" w:cs="Arial"/>
          <w:spacing w:val="-3"/>
        </w:rPr>
        <w:t xml:space="preserve"> </w:t>
      </w:r>
      <w:r>
        <w:rPr>
          <w:rFonts w:ascii="Arial" w:hAnsi="Arial" w:cs="Arial"/>
        </w:rPr>
        <w:t>lower</w:t>
      </w:r>
      <w:r>
        <w:rPr>
          <w:rFonts w:ascii="Arial" w:hAnsi="Arial" w:cs="Arial"/>
          <w:spacing w:val="-3"/>
        </w:rPr>
        <w:t xml:space="preserve"> </w:t>
      </w:r>
      <w:r>
        <w:rPr>
          <w:rFonts w:ascii="Arial" w:hAnsi="Arial" w:cs="Arial"/>
        </w:rPr>
        <w:t>than</w:t>
      </w:r>
      <w:r>
        <w:rPr>
          <w:rFonts w:ascii="Arial" w:hAnsi="Arial" w:cs="Arial"/>
          <w:spacing w:val="-3"/>
        </w:rPr>
        <w:t xml:space="preserve"> </w:t>
      </w:r>
      <w:r>
        <w:rPr>
          <w:rFonts w:ascii="Arial" w:hAnsi="Arial" w:cs="Arial"/>
        </w:rPr>
        <w:t>other</w:t>
      </w:r>
      <w:r>
        <w:rPr>
          <w:rFonts w:ascii="Arial" w:hAnsi="Arial" w:cs="Arial"/>
          <w:spacing w:val="-5"/>
        </w:rPr>
        <w:t xml:space="preserve"> </w:t>
      </w:r>
      <w:r>
        <w:rPr>
          <w:rFonts w:ascii="Arial" w:hAnsi="Arial" w:cs="Arial"/>
          <w:spacing w:val="-2"/>
        </w:rPr>
        <w:t xml:space="preserve">factors, </w:t>
      </w:r>
      <w:r>
        <w:rPr>
          <w:rFonts w:ascii="Arial" w:hAnsi="Arial" w:cs="Arial"/>
        </w:rPr>
        <w:t>38.93% of</w:t>
      </w:r>
      <w:r>
        <w:rPr>
          <w:rFonts w:ascii="Arial" w:hAnsi="Arial" w:cs="Arial"/>
          <w:spacing w:val="-4"/>
        </w:rPr>
        <w:t xml:space="preserve"> </w:t>
      </w:r>
      <w:r>
        <w:rPr>
          <w:rFonts w:ascii="Arial" w:hAnsi="Arial" w:cs="Arial"/>
        </w:rPr>
        <w:t>respondents</w:t>
      </w:r>
      <w:r>
        <w:rPr>
          <w:rFonts w:ascii="Arial" w:hAnsi="Arial" w:cs="Arial"/>
          <w:spacing w:val="-4"/>
        </w:rPr>
        <w:t xml:space="preserve"> </w:t>
      </w:r>
      <w:r>
        <w:rPr>
          <w:rFonts w:ascii="Arial" w:hAnsi="Arial" w:cs="Arial"/>
        </w:rPr>
        <w:t>still</w:t>
      </w:r>
      <w:r>
        <w:rPr>
          <w:rFonts w:ascii="Arial" w:hAnsi="Arial" w:cs="Arial"/>
          <w:spacing w:val="-4"/>
        </w:rPr>
        <w:t xml:space="preserve"> </w:t>
      </w:r>
      <w:r>
        <w:rPr>
          <w:rFonts w:ascii="Arial" w:hAnsi="Arial" w:cs="Arial"/>
        </w:rPr>
        <w:t>said</w:t>
      </w:r>
      <w:r>
        <w:rPr>
          <w:rFonts w:ascii="Arial" w:hAnsi="Arial" w:cs="Arial"/>
          <w:spacing w:val="-4"/>
        </w:rPr>
        <w:t xml:space="preserve"> </w:t>
      </w:r>
      <w:r>
        <w:rPr>
          <w:rFonts w:ascii="Arial" w:hAnsi="Arial" w:cs="Arial"/>
        </w:rPr>
        <w:t>it</w:t>
      </w:r>
      <w:r>
        <w:rPr>
          <w:rFonts w:ascii="Arial" w:hAnsi="Arial" w:cs="Arial"/>
          <w:spacing w:val="-4"/>
        </w:rPr>
        <w:t xml:space="preserve"> </w:t>
      </w:r>
      <w:r>
        <w:rPr>
          <w:rFonts w:ascii="Arial" w:hAnsi="Arial" w:cs="Arial"/>
        </w:rPr>
        <w:t>would</w:t>
      </w:r>
      <w:r>
        <w:rPr>
          <w:rFonts w:ascii="Arial" w:hAnsi="Arial" w:cs="Arial"/>
          <w:spacing w:val="-4"/>
        </w:rPr>
        <w:t xml:space="preserve"> </w:t>
      </w:r>
      <w:r>
        <w:rPr>
          <w:rFonts w:ascii="Arial" w:hAnsi="Arial" w:cs="Arial"/>
        </w:rPr>
        <w:t>influence</w:t>
      </w:r>
      <w:r>
        <w:rPr>
          <w:rFonts w:ascii="Arial" w:hAnsi="Arial" w:cs="Arial"/>
          <w:spacing w:val="-5"/>
        </w:rPr>
        <w:t xml:space="preserve"> </w:t>
      </w:r>
      <w:r>
        <w:rPr>
          <w:rFonts w:ascii="Arial" w:hAnsi="Arial" w:cs="Arial"/>
        </w:rPr>
        <w:t>their</w:t>
      </w:r>
      <w:r>
        <w:rPr>
          <w:rFonts w:ascii="Arial" w:hAnsi="Arial" w:cs="Arial"/>
          <w:spacing w:val="-5"/>
        </w:rPr>
        <w:t xml:space="preserve"> </w:t>
      </w:r>
      <w:r>
        <w:rPr>
          <w:rFonts w:ascii="Arial" w:hAnsi="Arial" w:cs="Arial"/>
        </w:rPr>
        <w:t>decision.</w:t>
      </w:r>
      <w:r>
        <w:rPr>
          <w:rFonts w:ascii="Arial" w:hAnsi="Arial" w:cs="Arial"/>
          <w:spacing w:val="-4"/>
        </w:rPr>
        <w:t xml:space="preserve"> </w:t>
      </w:r>
      <w:r>
        <w:rPr>
          <w:rFonts w:ascii="Arial" w:hAnsi="Arial" w:cs="Arial"/>
        </w:rPr>
        <w:t>Technology features and government incentives also received 32.60% and 34.79% “very likely” influence, respectively.</w:t>
      </w:r>
    </w:p>
    <w:p w14:paraId="5E81BA35" w14:textId="77777777" w:rsidR="0067740A" w:rsidRDefault="00000000">
      <w:pPr>
        <w:pStyle w:val="a6"/>
        <w:spacing w:line="360" w:lineRule="auto"/>
        <w:ind w:left="28" w:firstLine="479"/>
        <w:rPr>
          <w:rFonts w:ascii="Arial" w:hAnsi="Arial" w:cs="Arial"/>
        </w:rPr>
      </w:pPr>
      <w:r>
        <w:rPr>
          <w:rFonts w:ascii="Arial" w:hAnsi="Arial" w:cs="Arial"/>
        </w:rPr>
        <w:t>Brand</w:t>
      </w:r>
      <w:r>
        <w:rPr>
          <w:rFonts w:ascii="Arial" w:hAnsi="Arial" w:cs="Arial"/>
          <w:spacing w:val="-4"/>
        </w:rPr>
        <w:t xml:space="preserve"> </w:t>
      </w:r>
      <w:r>
        <w:rPr>
          <w:rFonts w:ascii="Arial" w:hAnsi="Arial" w:cs="Arial"/>
        </w:rPr>
        <w:t>reputation</w:t>
      </w:r>
      <w:r>
        <w:rPr>
          <w:rFonts w:ascii="Arial" w:hAnsi="Arial" w:cs="Arial"/>
          <w:spacing w:val="-4"/>
        </w:rPr>
        <w:t xml:space="preserve"> </w:t>
      </w:r>
      <w:r>
        <w:rPr>
          <w:rFonts w:ascii="Arial" w:hAnsi="Arial" w:cs="Arial"/>
        </w:rPr>
        <w:t>was</w:t>
      </w:r>
      <w:r>
        <w:rPr>
          <w:rFonts w:ascii="Arial" w:hAnsi="Arial" w:cs="Arial"/>
          <w:spacing w:val="-2"/>
        </w:rPr>
        <w:t xml:space="preserve"> </w:t>
      </w:r>
      <w:r>
        <w:rPr>
          <w:rFonts w:ascii="Arial" w:hAnsi="Arial" w:cs="Arial"/>
        </w:rPr>
        <w:t>also</w:t>
      </w:r>
      <w:r>
        <w:rPr>
          <w:rFonts w:ascii="Arial" w:hAnsi="Arial" w:cs="Arial"/>
          <w:spacing w:val="-4"/>
        </w:rPr>
        <w:t xml:space="preserve"> </w:t>
      </w:r>
      <w:r>
        <w:rPr>
          <w:rFonts w:ascii="Arial" w:hAnsi="Arial" w:cs="Arial"/>
        </w:rPr>
        <w:t>not</w:t>
      </w:r>
      <w:r>
        <w:rPr>
          <w:rFonts w:ascii="Arial" w:hAnsi="Arial" w:cs="Arial"/>
          <w:spacing w:val="-4"/>
        </w:rPr>
        <w:t xml:space="preserve"> </w:t>
      </w:r>
      <w:r>
        <w:rPr>
          <w:rFonts w:ascii="Arial" w:hAnsi="Arial" w:cs="Arial"/>
        </w:rPr>
        <w:t>to</w:t>
      </w:r>
      <w:r>
        <w:rPr>
          <w:rFonts w:ascii="Arial" w:hAnsi="Arial" w:cs="Arial"/>
          <w:spacing w:val="-4"/>
        </w:rPr>
        <w:t xml:space="preserve"> </w:t>
      </w:r>
      <w:r>
        <w:rPr>
          <w:rFonts w:ascii="Arial" w:hAnsi="Arial" w:cs="Arial"/>
        </w:rPr>
        <w:t>be</w:t>
      </w:r>
      <w:r>
        <w:rPr>
          <w:rFonts w:ascii="Arial" w:hAnsi="Arial" w:cs="Arial"/>
          <w:spacing w:val="-5"/>
        </w:rPr>
        <w:t xml:space="preserve"> </w:t>
      </w:r>
      <w:r>
        <w:rPr>
          <w:rFonts w:ascii="Arial" w:hAnsi="Arial" w:cs="Arial"/>
        </w:rPr>
        <w:t>ignored,</w:t>
      </w:r>
      <w:r>
        <w:rPr>
          <w:rFonts w:ascii="Arial" w:hAnsi="Arial" w:cs="Arial"/>
          <w:spacing w:val="-4"/>
        </w:rPr>
        <w:t xml:space="preserve"> </w:t>
      </w:r>
      <w:r>
        <w:rPr>
          <w:rFonts w:ascii="Arial" w:hAnsi="Arial" w:cs="Arial"/>
        </w:rPr>
        <w:t>with</w:t>
      </w:r>
      <w:r>
        <w:rPr>
          <w:rFonts w:ascii="Arial" w:hAnsi="Arial" w:cs="Arial"/>
          <w:spacing w:val="-4"/>
        </w:rPr>
        <w:t xml:space="preserve"> </w:t>
      </w:r>
      <w:r>
        <w:rPr>
          <w:rFonts w:ascii="Arial" w:hAnsi="Arial" w:cs="Arial"/>
        </w:rPr>
        <w:t>33.58% of</w:t>
      </w:r>
      <w:r>
        <w:rPr>
          <w:rFonts w:ascii="Arial" w:hAnsi="Arial" w:cs="Arial"/>
          <w:spacing w:val="-4"/>
        </w:rPr>
        <w:t xml:space="preserve"> </w:t>
      </w:r>
      <w:r>
        <w:rPr>
          <w:rFonts w:ascii="Arial" w:hAnsi="Arial" w:cs="Arial"/>
        </w:rPr>
        <w:t>respondents saying it was “very likely” to influence their decision to buy a Volkswagen electric vehicle, while 31.39% said it was “very likely.”</w:t>
      </w:r>
    </w:p>
    <w:p w14:paraId="31D16F14" w14:textId="77777777" w:rsidR="0067740A" w:rsidRDefault="00000000">
      <w:pPr>
        <w:pStyle w:val="a6"/>
        <w:spacing w:line="360" w:lineRule="auto"/>
        <w:ind w:left="28" w:firstLine="479"/>
        <w:rPr>
          <w:rFonts w:ascii="Arial" w:hAnsi="Arial" w:cs="Arial"/>
        </w:rPr>
      </w:pPr>
      <w:r>
        <w:rPr>
          <w:rFonts w:ascii="Arial" w:hAnsi="Arial" w:cs="Arial"/>
        </w:rPr>
        <w:t>In summary, price, range and battery life, availability of charging stations, environmental benefits, technological features, government incentives, and brand reputation</w:t>
      </w:r>
      <w:r>
        <w:rPr>
          <w:rFonts w:ascii="Arial" w:hAnsi="Arial" w:cs="Arial"/>
          <w:spacing w:val="-15"/>
        </w:rPr>
        <w:t xml:space="preserve"> </w:t>
      </w:r>
      <w:r>
        <w:rPr>
          <w:rFonts w:ascii="Arial" w:hAnsi="Arial" w:cs="Arial"/>
        </w:rPr>
        <w:t>are</w:t>
      </w:r>
      <w:r>
        <w:rPr>
          <w:rFonts w:ascii="Arial" w:hAnsi="Arial" w:cs="Arial"/>
          <w:spacing w:val="-15"/>
        </w:rPr>
        <w:t xml:space="preserve"> </w:t>
      </w:r>
      <w:r>
        <w:rPr>
          <w:rFonts w:ascii="Arial" w:hAnsi="Arial" w:cs="Arial"/>
        </w:rPr>
        <w:t>all</w:t>
      </w:r>
      <w:r>
        <w:rPr>
          <w:rFonts w:ascii="Arial" w:hAnsi="Arial" w:cs="Arial"/>
          <w:spacing w:val="-15"/>
        </w:rPr>
        <w:t xml:space="preserve"> </w:t>
      </w:r>
      <w:r>
        <w:rPr>
          <w:rFonts w:ascii="Arial" w:hAnsi="Arial" w:cs="Arial"/>
        </w:rPr>
        <w:t>important</w:t>
      </w:r>
      <w:r>
        <w:rPr>
          <w:rFonts w:ascii="Arial" w:hAnsi="Arial" w:cs="Arial"/>
          <w:spacing w:val="-15"/>
        </w:rPr>
        <w:t xml:space="preserve"> </w:t>
      </w:r>
      <w:r>
        <w:rPr>
          <w:rFonts w:ascii="Arial" w:hAnsi="Arial" w:cs="Arial"/>
        </w:rPr>
        <w:t>factors</w:t>
      </w:r>
      <w:r>
        <w:rPr>
          <w:rFonts w:ascii="Arial" w:hAnsi="Arial" w:cs="Arial"/>
          <w:spacing w:val="-15"/>
        </w:rPr>
        <w:t xml:space="preserve"> </w:t>
      </w:r>
      <w:r>
        <w:rPr>
          <w:rFonts w:ascii="Arial" w:hAnsi="Arial" w:cs="Arial"/>
        </w:rPr>
        <w:t>that</w:t>
      </w:r>
      <w:r>
        <w:rPr>
          <w:rFonts w:ascii="Arial" w:hAnsi="Arial" w:cs="Arial"/>
          <w:spacing w:val="-15"/>
        </w:rPr>
        <w:t xml:space="preserve"> </w:t>
      </w:r>
      <w:r>
        <w:rPr>
          <w:rFonts w:ascii="Arial" w:hAnsi="Arial" w:cs="Arial"/>
        </w:rPr>
        <w:t>influence</w:t>
      </w:r>
      <w:r>
        <w:rPr>
          <w:rFonts w:ascii="Arial" w:hAnsi="Arial" w:cs="Arial"/>
          <w:spacing w:val="-15"/>
        </w:rPr>
        <w:t xml:space="preserve"> </w:t>
      </w:r>
      <w:r>
        <w:rPr>
          <w:rFonts w:ascii="Arial" w:hAnsi="Arial" w:cs="Arial"/>
        </w:rPr>
        <w:t>consumers’</w:t>
      </w:r>
      <w:r>
        <w:rPr>
          <w:rFonts w:ascii="Arial" w:hAnsi="Arial" w:cs="Arial"/>
          <w:spacing w:val="-15"/>
        </w:rPr>
        <w:t xml:space="preserve"> </w:t>
      </w:r>
      <w:r>
        <w:rPr>
          <w:rFonts w:ascii="Arial" w:hAnsi="Arial" w:cs="Arial"/>
        </w:rPr>
        <w:t>purchase</w:t>
      </w:r>
      <w:r>
        <w:rPr>
          <w:rFonts w:ascii="Arial" w:hAnsi="Arial" w:cs="Arial"/>
          <w:spacing w:val="-15"/>
        </w:rPr>
        <w:t xml:space="preserve"> </w:t>
      </w:r>
      <w:r>
        <w:rPr>
          <w:rFonts w:ascii="Arial" w:hAnsi="Arial" w:cs="Arial"/>
        </w:rPr>
        <w:t>of</w:t>
      </w:r>
      <w:r>
        <w:rPr>
          <w:rFonts w:ascii="Arial" w:hAnsi="Arial" w:cs="Arial"/>
          <w:spacing w:val="-15"/>
        </w:rPr>
        <w:t xml:space="preserve"> </w:t>
      </w:r>
      <w:r>
        <w:rPr>
          <w:rFonts w:ascii="Arial" w:hAnsi="Arial" w:cs="Arial"/>
        </w:rPr>
        <w:t>a</w:t>
      </w:r>
      <w:r>
        <w:rPr>
          <w:rFonts w:ascii="Arial" w:hAnsi="Arial" w:cs="Arial"/>
          <w:spacing w:val="-15"/>
        </w:rPr>
        <w:t xml:space="preserve"> </w:t>
      </w:r>
      <w:r>
        <w:rPr>
          <w:rFonts w:ascii="Arial" w:hAnsi="Arial" w:cs="Arial"/>
        </w:rPr>
        <w:t>Volkswagen electric vehicle.</w:t>
      </w:r>
    </w:p>
    <w:tbl>
      <w:tblPr>
        <w:tblW w:w="5000" w:type="pct"/>
        <w:shd w:val="clear" w:color="auto" w:fill="FFFFFF"/>
        <w:tblCellMar>
          <w:left w:w="0" w:type="dxa"/>
          <w:right w:w="0" w:type="dxa"/>
        </w:tblCellMar>
        <w:tblLook w:val="04A0" w:firstRow="1" w:lastRow="0" w:firstColumn="1" w:lastColumn="0" w:noHBand="0" w:noVBand="1"/>
      </w:tblPr>
      <w:tblGrid>
        <w:gridCol w:w="3082"/>
        <w:gridCol w:w="1649"/>
        <w:gridCol w:w="1134"/>
        <w:gridCol w:w="1601"/>
        <w:gridCol w:w="1894"/>
      </w:tblGrid>
      <w:tr w:rsidR="0067740A" w14:paraId="53DCA27A" w14:textId="77777777">
        <w:trPr>
          <w:trHeight w:val="270"/>
          <w:tblHeader/>
        </w:trPr>
        <w:tc>
          <w:tcPr>
            <w:tcW w:w="5000" w:type="pct"/>
            <w:gridSpan w:val="5"/>
            <w:tcBorders>
              <w:bottom w:val="single" w:sz="8" w:space="0" w:color="auto"/>
            </w:tcBorders>
            <w:shd w:val="clear" w:color="auto" w:fill="FFFFFF"/>
            <w:vAlign w:val="center"/>
          </w:tcPr>
          <w:p w14:paraId="4A9F145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Frequency Analysis Results</w:t>
            </w:r>
          </w:p>
        </w:tc>
      </w:tr>
      <w:tr w:rsidR="0067740A" w14:paraId="05B4DFDF" w14:textId="77777777">
        <w:trPr>
          <w:trHeight w:val="270"/>
          <w:tblHeader/>
        </w:trPr>
        <w:tc>
          <w:tcPr>
            <w:tcW w:w="1714" w:type="pct"/>
            <w:tcBorders>
              <w:bottom w:val="single" w:sz="4" w:space="0" w:color="auto"/>
            </w:tcBorders>
            <w:shd w:val="clear" w:color="auto" w:fill="FFFFFF"/>
            <w:vAlign w:val="center"/>
          </w:tcPr>
          <w:p w14:paraId="5251FDB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Name</w:t>
            </w:r>
          </w:p>
        </w:tc>
        <w:tc>
          <w:tcPr>
            <w:tcW w:w="948" w:type="pct"/>
            <w:tcBorders>
              <w:bottom w:val="single" w:sz="4" w:space="0" w:color="auto"/>
            </w:tcBorders>
            <w:shd w:val="clear" w:color="auto" w:fill="FFFFFF"/>
            <w:vAlign w:val="center"/>
          </w:tcPr>
          <w:p w14:paraId="2E7FDFD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Options</w:t>
            </w:r>
          </w:p>
        </w:tc>
        <w:tc>
          <w:tcPr>
            <w:tcW w:w="582" w:type="pct"/>
            <w:tcBorders>
              <w:bottom w:val="single" w:sz="4" w:space="0" w:color="auto"/>
            </w:tcBorders>
            <w:shd w:val="clear" w:color="auto" w:fill="FFFFFF"/>
            <w:vAlign w:val="center"/>
          </w:tcPr>
          <w:p w14:paraId="7ABB7DC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rPr>
              <w:t>Frequency</w:t>
            </w:r>
          </w:p>
        </w:tc>
        <w:tc>
          <w:tcPr>
            <w:tcW w:w="677" w:type="pct"/>
            <w:tcBorders>
              <w:bottom w:val="single" w:sz="4" w:space="0" w:color="auto"/>
            </w:tcBorders>
            <w:shd w:val="clear" w:color="auto" w:fill="FFFFFF"/>
            <w:vAlign w:val="center"/>
          </w:tcPr>
          <w:p w14:paraId="05D4C4A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Percentage(%)</w:t>
            </w:r>
          </w:p>
        </w:tc>
        <w:tc>
          <w:tcPr>
            <w:tcW w:w="1078" w:type="pct"/>
            <w:tcBorders>
              <w:bottom w:val="single" w:sz="4" w:space="0" w:color="auto"/>
            </w:tcBorders>
            <w:shd w:val="clear" w:color="auto" w:fill="FFFFFF"/>
            <w:vAlign w:val="center"/>
          </w:tcPr>
          <w:p w14:paraId="4E8955F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Cumulative Percentage(%)</w:t>
            </w:r>
          </w:p>
        </w:tc>
      </w:tr>
      <w:tr w:rsidR="0067740A" w14:paraId="6F0758DC" w14:textId="77777777">
        <w:trPr>
          <w:trHeight w:val="270"/>
        </w:trPr>
        <w:tc>
          <w:tcPr>
            <w:tcW w:w="1714" w:type="pct"/>
            <w:vMerge w:val="restart"/>
            <w:tcBorders>
              <w:top w:val="nil"/>
              <w:left w:val="nil"/>
              <w:bottom w:val="nil"/>
              <w:right w:val="nil"/>
            </w:tcBorders>
            <w:shd w:val="clear" w:color="auto" w:fill="FFFFFF"/>
            <w:vAlign w:val="center"/>
          </w:tcPr>
          <w:p w14:paraId="06FD256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17.How important are Volkswagen’s sustainability initiatives in your decision to purchase their vehicles?—How important are Volkswagen’s sustainability initiatives in your decision to purchase their vehicles?</w:t>
            </w:r>
          </w:p>
        </w:tc>
        <w:tc>
          <w:tcPr>
            <w:tcW w:w="948" w:type="pct"/>
            <w:tcBorders>
              <w:top w:val="nil"/>
              <w:left w:val="nil"/>
              <w:bottom w:val="nil"/>
              <w:right w:val="nil"/>
            </w:tcBorders>
            <w:shd w:val="clear" w:color="auto" w:fill="FFFFFF"/>
            <w:vAlign w:val="center"/>
          </w:tcPr>
          <w:p w14:paraId="3890035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Not important</w:t>
            </w:r>
          </w:p>
        </w:tc>
        <w:tc>
          <w:tcPr>
            <w:tcW w:w="582" w:type="pct"/>
            <w:tcBorders>
              <w:top w:val="nil"/>
              <w:left w:val="nil"/>
              <w:bottom w:val="nil"/>
              <w:right w:val="nil"/>
            </w:tcBorders>
            <w:shd w:val="clear" w:color="auto" w:fill="FFFFFF"/>
            <w:vAlign w:val="center"/>
          </w:tcPr>
          <w:p w14:paraId="07DDA35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677" w:type="pct"/>
            <w:tcBorders>
              <w:top w:val="nil"/>
              <w:left w:val="nil"/>
              <w:bottom w:val="nil"/>
              <w:right w:val="nil"/>
            </w:tcBorders>
            <w:shd w:val="clear" w:color="auto" w:fill="FFFFFF"/>
            <w:vAlign w:val="center"/>
          </w:tcPr>
          <w:p w14:paraId="5CCFD59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078" w:type="pct"/>
            <w:tcBorders>
              <w:top w:val="nil"/>
              <w:left w:val="nil"/>
              <w:bottom w:val="nil"/>
              <w:right w:val="nil"/>
            </w:tcBorders>
            <w:shd w:val="clear" w:color="auto" w:fill="FFFFFF"/>
            <w:vAlign w:val="center"/>
          </w:tcPr>
          <w:p w14:paraId="2C41AFF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r>
      <w:tr w:rsidR="0067740A" w14:paraId="74017D48" w14:textId="77777777">
        <w:trPr>
          <w:trHeight w:val="270"/>
        </w:trPr>
        <w:tc>
          <w:tcPr>
            <w:tcW w:w="1714" w:type="pct"/>
            <w:vMerge/>
            <w:tcBorders>
              <w:top w:val="nil"/>
              <w:left w:val="nil"/>
              <w:bottom w:val="nil"/>
              <w:right w:val="nil"/>
            </w:tcBorders>
            <w:shd w:val="clear" w:color="auto" w:fill="FFFFFF"/>
            <w:vAlign w:val="center"/>
          </w:tcPr>
          <w:p w14:paraId="07E8E57D"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0CB89FB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Slightly important</w:t>
            </w:r>
          </w:p>
        </w:tc>
        <w:tc>
          <w:tcPr>
            <w:tcW w:w="582" w:type="pct"/>
            <w:tcBorders>
              <w:top w:val="nil"/>
              <w:left w:val="nil"/>
              <w:bottom w:val="nil"/>
              <w:right w:val="nil"/>
            </w:tcBorders>
            <w:shd w:val="clear" w:color="auto" w:fill="FFFFFF"/>
            <w:vAlign w:val="center"/>
          </w:tcPr>
          <w:p w14:paraId="21D4D96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w:t>
            </w:r>
          </w:p>
        </w:tc>
        <w:tc>
          <w:tcPr>
            <w:tcW w:w="677" w:type="pct"/>
            <w:tcBorders>
              <w:top w:val="nil"/>
              <w:left w:val="nil"/>
              <w:bottom w:val="nil"/>
              <w:right w:val="nil"/>
            </w:tcBorders>
            <w:shd w:val="clear" w:color="auto" w:fill="FFFFFF"/>
            <w:vAlign w:val="center"/>
          </w:tcPr>
          <w:p w14:paraId="7DA4D95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7.30</w:t>
            </w:r>
          </w:p>
        </w:tc>
        <w:tc>
          <w:tcPr>
            <w:tcW w:w="1078" w:type="pct"/>
            <w:tcBorders>
              <w:top w:val="nil"/>
              <w:left w:val="nil"/>
              <w:bottom w:val="nil"/>
              <w:right w:val="nil"/>
            </w:tcBorders>
            <w:shd w:val="clear" w:color="auto" w:fill="FFFFFF"/>
            <w:vAlign w:val="center"/>
          </w:tcPr>
          <w:p w14:paraId="383212A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14.84</w:t>
            </w:r>
          </w:p>
        </w:tc>
      </w:tr>
      <w:tr w:rsidR="0067740A" w14:paraId="3CCEF622" w14:textId="77777777">
        <w:trPr>
          <w:trHeight w:val="270"/>
        </w:trPr>
        <w:tc>
          <w:tcPr>
            <w:tcW w:w="1714" w:type="pct"/>
            <w:vMerge/>
            <w:tcBorders>
              <w:top w:val="nil"/>
              <w:left w:val="nil"/>
              <w:bottom w:val="nil"/>
              <w:right w:val="nil"/>
            </w:tcBorders>
            <w:shd w:val="clear" w:color="auto" w:fill="FFFFFF"/>
            <w:vAlign w:val="center"/>
          </w:tcPr>
          <w:p w14:paraId="78302857"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6A88951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Moderately Important</w:t>
            </w:r>
          </w:p>
        </w:tc>
        <w:tc>
          <w:tcPr>
            <w:tcW w:w="582" w:type="pct"/>
            <w:tcBorders>
              <w:top w:val="nil"/>
              <w:left w:val="nil"/>
              <w:bottom w:val="nil"/>
              <w:right w:val="nil"/>
            </w:tcBorders>
            <w:shd w:val="clear" w:color="auto" w:fill="FFFFFF"/>
            <w:vAlign w:val="center"/>
          </w:tcPr>
          <w:p w14:paraId="14CCFE4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85</w:t>
            </w:r>
          </w:p>
        </w:tc>
        <w:tc>
          <w:tcPr>
            <w:tcW w:w="677" w:type="pct"/>
            <w:tcBorders>
              <w:top w:val="nil"/>
              <w:left w:val="nil"/>
              <w:bottom w:val="nil"/>
              <w:right w:val="nil"/>
            </w:tcBorders>
            <w:shd w:val="clear" w:color="auto" w:fill="FFFFFF"/>
            <w:vAlign w:val="center"/>
          </w:tcPr>
          <w:p w14:paraId="1742EE7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20.68</w:t>
            </w:r>
          </w:p>
        </w:tc>
        <w:tc>
          <w:tcPr>
            <w:tcW w:w="1078" w:type="pct"/>
            <w:tcBorders>
              <w:top w:val="nil"/>
              <w:left w:val="nil"/>
              <w:bottom w:val="nil"/>
              <w:right w:val="nil"/>
            </w:tcBorders>
            <w:shd w:val="clear" w:color="auto" w:fill="FFFFFF"/>
            <w:vAlign w:val="center"/>
          </w:tcPr>
          <w:p w14:paraId="7DC2FF7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35.52</w:t>
            </w:r>
          </w:p>
        </w:tc>
      </w:tr>
      <w:tr w:rsidR="0067740A" w14:paraId="1DA5AE7D" w14:textId="77777777">
        <w:trPr>
          <w:trHeight w:val="270"/>
        </w:trPr>
        <w:tc>
          <w:tcPr>
            <w:tcW w:w="1714" w:type="pct"/>
            <w:vMerge/>
            <w:tcBorders>
              <w:top w:val="nil"/>
              <w:left w:val="nil"/>
              <w:bottom w:val="nil"/>
              <w:right w:val="nil"/>
            </w:tcBorders>
            <w:shd w:val="clear" w:color="auto" w:fill="FFFFFF"/>
            <w:vAlign w:val="center"/>
          </w:tcPr>
          <w:p w14:paraId="6AC54CE4"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2E23BF2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Very Important</w:t>
            </w:r>
          </w:p>
        </w:tc>
        <w:tc>
          <w:tcPr>
            <w:tcW w:w="582" w:type="pct"/>
            <w:tcBorders>
              <w:top w:val="nil"/>
              <w:left w:val="nil"/>
              <w:bottom w:val="nil"/>
              <w:right w:val="nil"/>
            </w:tcBorders>
            <w:shd w:val="clear" w:color="auto" w:fill="FFFFFF"/>
            <w:vAlign w:val="center"/>
          </w:tcPr>
          <w:p w14:paraId="2C697D2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144</w:t>
            </w:r>
          </w:p>
        </w:tc>
        <w:tc>
          <w:tcPr>
            <w:tcW w:w="677" w:type="pct"/>
            <w:tcBorders>
              <w:top w:val="nil"/>
              <w:left w:val="nil"/>
              <w:bottom w:val="nil"/>
              <w:right w:val="nil"/>
            </w:tcBorders>
            <w:shd w:val="clear" w:color="auto" w:fill="FFFFFF"/>
            <w:vAlign w:val="center"/>
          </w:tcPr>
          <w:p w14:paraId="65F34BA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35.04</w:t>
            </w:r>
          </w:p>
        </w:tc>
        <w:tc>
          <w:tcPr>
            <w:tcW w:w="1078" w:type="pct"/>
            <w:tcBorders>
              <w:top w:val="nil"/>
              <w:left w:val="nil"/>
              <w:bottom w:val="nil"/>
              <w:right w:val="nil"/>
            </w:tcBorders>
            <w:shd w:val="clear" w:color="auto" w:fill="FFFFFF"/>
            <w:vAlign w:val="center"/>
          </w:tcPr>
          <w:p w14:paraId="41A9797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70.56</w:t>
            </w:r>
          </w:p>
        </w:tc>
      </w:tr>
      <w:tr w:rsidR="0067740A" w14:paraId="0FED037A" w14:textId="77777777">
        <w:trPr>
          <w:trHeight w:val="270"/>
        </w:trPr>
        <w:tc>
          <w:tcPr>
            <w:tcW w:w="1714" w:type="pct"/>
            <w:vMerge/>
            <w:tcBorders>
              <w:top w:val="nil"/>
              <w:left w:val="nil"/>
              <w:bottom w:val="nil"/>
              <w:right w:val="nil"/>
            </w:tcBorders>
            <w:shd w:val="clear" w:color="auto" w:fill="FFFFFF"/>
            <w:vAlign w:val="center"/>
          </w:tcPr>
          <w:p w14:paraId="7823A63B"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0AAD27D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Extremely Important</w:t>
            </w:r>
          </w:p>
        </w:tc>
        <w:tc>
          <w:tcPr>
            <w:tcW w:w="582" w:type="pct"/>
            <w:tcBorders>
              <w:top w:val="nil"/>
              <w:left w:val="nil"/>
              <w:bottom w:val="nil"/>
              <w:right w:val="nil"/>
            </w:tcBorders>
            <w:shd w:val="clear" w:color="auto" w:fill="FFFFFF"/>
            <w:vAlign w:val="center"/>
          </w:tcPr>
          <w:p w14:paraId="2FDD0C2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121</w:t>
            </w:r>
          </w:p>
        </w:tc>
        <w:tc>
          <w:tcPr>
            <w:tcW w:w="677" w:type="pct"/>
            <w:tcBorders>
              <w:top w:val="nil"/>
              <w:left w:val="nil"/>
              <w:bottom w:val="nil"/>
              <w:right w:val="nil"/>
            </w:tcBorders>
            <w:shd w:val="clear" w:color="auto" w:fill="FFFFFF"/>
            <w:vAlign w:val="center"/>
          </w:tcPr>
          <w:p w14:paraId="4E276FA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29.44</w:t>
            </w:r>
          </w:p>
        </w:tc>
        <w:tc>
          <w:tcPr>
            <w:tcW w:w="1078" w:type="pct"/>
            <w:tcBorders>
              <w:top w:val="nil"/>
              <w:left w:val="nil"/>
              <w:bottom w:val="nil"/>
              <w:right w:val="nil"/>
            </w:tcBorders>
            <w:shd w:val="clear" w:color="auto" w:fill="FFFFFF"/>
            <w:vAlign w:val="center"/>
          </w:tcPr>
          <w:p w14:paraId="59F465A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66FA88DE" w14:textId="77777777">
        <w:trPr>
          <w:trHeight w:val="270"/>
        </w:trPr>
        <w:tc>
          <w:tcPr>
            <w:tcW w:w="1714" w:type="pct"/>
            <w:vMerge w:val="restart"/>
            <w:tcBorders>
              <w:top w:val="nil"/>
              <w:left w:val="nil"/>
              <w:bottom w:val="nil"/>
              <w:right w:val="nil"/>
            </w:tcBorders>
            <w:shd w:val="clear" w:color="auto" w:fill="FFFFFF"/>
            <w:vAlign w:val="center"/>
          </w:tcPr>
          <w:p w14:paraId="12AB153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 xml:space="preserve">18.To what extent do you agree with the following statements about electric vehicles?—Electric vehicles are better for the </w:t>
            </w:r>
            <w:r>
              <w:rPr>
                <w:rFonts w:ascii="Arial" w:eastAsia="宋体" w:hAnsi="Arial" w:cs="Arial"/>
                <w:color w:val="000000"/>
                <w:lang w:bidi="ar"/>
              </w:rPr>
              <w:lastRenderedPageBreak/>
              <w:t>environment than traditional gasoline vehicles.</w:t>
            </w:r>
          </w:p>
        </w:tc>
        <w:tc>
          <w:tcPr>
            <w:tcW w:w="948" w:type="pct"/>
            <w:tcBorders>
              <w:top w:val="nil"/>
              <w:left w:val="nil"/>
              <w:bottom w:val="nil"/>
              <w:right w:val="nil"/>
            </w:tcBorders>
            <w:shd w:val="clear" w:color="auto" w:fill="FFFFFF"/>
            <w:vAlign w:val="center"/>
          </w:tcPr>
          <w:p w14:paraId="4858E9A5"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lastRenderedPageBreak/>
              <w:t>Strongly Disagree</w:t>
            </w:r>
          </w:p>
        </w:tc>
        <w:tc>
          <w:tcPr>
            <w:tcW w:w="582" w:type="pct"/>
            <w:tcBorders>
              <w:top w:val="nil"/>
              <w:left w:val="nil"/>
              <w:bottom w:val="nil"/>
              <w:right w:val="nil"/>
            </w:tcBorders>
            <w:shd w:val="clear" w:color="auto" w:fill="FFFFFF"/>
            <w:vAlign w:val="center"/>
          </w:tcPr>
          <w:p w14:paraId="1608278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w:t>
            </w:r>
          </w:p>
        </w:tc>
        <w:tc>
          <w:tcPr>
            <w:tcW w:w="677" w:type="pct"/>
            <w:tcBorders>
              <w:top w:val="nil"/>
              <w:left w:val="nil"/>
              <w:bottom w:val="nil"/>
              <w:right w:val="nil"/>
            </w:tcBorders>
            <w:shd w:val="clear" w:color="auto" w:fill="FFFFFF"/>
            <w:vAlign w:val="center"/>
          </w:tcPr>
          <w:p w14:paraId="51E2001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c>
          <w:tcPr>
            <w:tcW w:w="1078" w:type="pct"/>
            <w:tcBorders>
              <w:top w:val="nil"/>
              <w:left w:val="nil"/>
              <w:bottom w:val="nil"/>
              <w:right w:val="nil"/>
            </w:tcBorders>
            <w:shd w:val="clear" w:color="auto" w:fill="FFFFFF"/>
            <w:vAlign w:val="center"/>
          </w:tcPr>
          <w:p w14:paraId="6629A70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r>
      <w:tr w:rsidR="0067740A" w14:paraId="28F718FD" w14:textId="77777777">
        <w:trPr>
          <w:trHeight w:val="270"/>
        </w:trPr>
        <w:tc>
          <w:tcPr>
            <w:tcW w:w="1714" w:type="pct"/>
            <w:vMerge/>
            <w:tcBorders>
              <w:top w:val="nil"/>
              <w:left w:val="nil"/>
              <w:bottom w:val="nil"/>
              <w:right w:val="nil"/>
            </w:tcBorders>
            <w:shd w:val="clear" w:color="auto" w:fill="FFFFFF"/>
            <w:vAlign w:val="center"/>
          </w:tcPr>
          <w:p w14:paraId="3461A31C"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20BB49AF"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582" w:type="pct"/>
            <w:tcBorders>
              <w:top w:val="nil"/>
              <w:left w:val="nil"/>
              <w:bottom w:val="nil"/>
              <w:right w:val="nil"/>
            </w:tcBorders>
            <w:shd w:val="clear" w:color="auto" w:fill="FFFFFF"/>
            <w:vAlign w:val="center"/>
          </w:tcPr>
          <w:p w14:paraId="4C06704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w:t>
            </w:r>
          </w:p>
        </w:tc>
        <w:tc>
          <w:tcPr>
            <w:tcW w:w="677" w:type="pct"/>
            <w:tcBorders>
              <w:top w:val="nil"/>
              <w:left w:val="nil"/>
              <w:bottom w:val="nil"/>
              <w:right w:val="nil"/>
            </w:tcBorders>
            <w:shd w:val="clear" w:color="auto" w:fill="FFFFFF"/>
            <w:vAlign w:val="center"/>
          </w:tcPr>
          <w:p w14:paraId="2E0D318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c>
          <w:tcPr>
            <w:tcW w:w="1078" w:type="pct"/>
            <w:tcBorders>
              <w:top w:val="nil"/>
              <w:left w:val="nil"/>
              <w:bottom w:val="nil"/>
              <w:right w:val="nil"/>
            </w:tcBorders>
            <w:shd w:val="clear" w:color="auto" w:fill="FFFFFF"/>
            <w:vAlign w:val="center"/>
          </w:tcPr>
          <w:p w14:paraId="4B30C4B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r>
      <w:tr w:rsidR="0067740A" w14:paraId="1D2209EA" w14:textId="77777777">
        <w:trPr>
          <w:trHeight w:val="270"/>
        </w:trPr>
        <w:tc>
          <w:tcPr>
            <w:tcW w:w="1714" w:type="pct"/>
            <w:vMerge/>
            <w:tcBorders>
              <w:top w:val="nil"/>
              <w:left w:val="nil"/>
              <w:bottom w:val="nil"/>
              <w:right w:val="nil"/>
            </w:tcBorders>
            <w:shd w:val="clear" w:color="auto" w:fill="FFFFFF"/>
            <w:vAlign w:val="center"/>
          </w:tcPr>
          <w:p w14:paraId="2A867575"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0354D14A"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82" w:type="pct"/>
            <w:tcBorders>
              <w:top w:val="nil"/>
              <w:left w:val="nil"/>
              <w:bottom w:val="nil"/>
              <w:right w:val="nil"/>
            </w:tcBorders>
            <w:shd w:val="clear" w:color="auto" w:fill="FFFFFF"/>
            <w:vAlign w:val="center"/>
          </w:tcPr>
          <w:p w14:paraId="67EDB7CE"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73</w:t>
            </w:r>
          </w:p>
        </w:tc>
        <w:tc>
          <w:tcPr>
            <w:tcW w:w="677" w:type="pct"/>
            <w:tcBorders>
              <w:top w:val="nil"/>
              <w:left w:val="nil"/>
              <w:bottom w:val="nil"/>
              <w:right w:val="nil"/>
            </w:tcBorders>
            <w:shd w:val="clear" w:color="auto" w:fill="FFFFFF"/>
            <w:vAlign w:val="center"/>
          </w:tcPr>
          <w:p w14:paraId="25B1555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17.76</w:t>
            </w:r>
          </w:p>
        </w:tc>
        <w:tc>
          <w:tcPr>
            <w:tcW w:w="1078" w:type="pct"/>
            <w:tcBorders>
              <w:top w:val="nil"/>
              <w:left w:val="nil"/>
              <w:bottom w:val="nil"/>
              <w:right w:val="nil"/>
            </w:tcBorders>
            <w:shd w:val="clear" w:color="auto" w:fill="FFFFFF"/>
            <w:vAlign w:val="center"/>
          </w:tcPr>
          <w:p w14:paraId="1F23027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32.85</w:t>
            </w:r>
          </w:p>
        </w:tc>
      </w:tr>
      <w:tr w:rsidR="0067740A" w14:paraId="4EF6A6D8" w14:textId="77777777">
        <w:trPr>
          <w:trHeight w:val="270"/>
        </w:trPr>
        <w:tc>
          <w:tcPr>
            <w:tcW w:w="1714" w:type="pct"/>
            <w:vMerge/>
            <w:tcBorders>
              <w:top w:val="nil"/>
              <w:left w:val="nil"/>
              <w:bottom w:val="nil"/>
              <w:right w:val="nil"/>
            </w:tcBorders>
            <w:shd w:val="clear" w:color="auto" w:fill="FFFFFF"/>
            <w:vAlign w:val="center"/>
          </w:tcPr>
          <w:p w14:paraId="3DE30D75"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4A8804D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582" w:type="pct"/>
            <w:tcBorders>
              <w:top w:val="nil"/>
              <w:left w:val="nil"/>
              <w:bottom w:val="nil"/>
              <w:right w:val="nil"/>
            </w:tcBorders>
            <w:shd w:val="clear" w:color="auto" w:fill="FFFFFF"/>
            <w:vAlign w:val="center"/>
          </w:tcPr>
          <w:p w14:paraId="5F2F777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127</w:t>
            </w:r>
          </w:p>
        </w:tc>
        <w:tc>
          <w:tcPr>
            <w:tcW w:w="677" w:type="pct"/>
            <w:tcBorders>
              <w:top w:val="nil"/>
              <w:left w:val="nil"/>
              <w:bottom w:val="nil"/>
              <w:right w:val="nil"/>
            </w:tcBorders>
            <w:shd w:val="clear" w:color="auto" w:fill="FFFFFF"/>
            <w:vAlign w:val="center"/>
          </w:tcPr>
          <w:p w14:paraId="3B05E5C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30.90</w:t>
            </w:r>
          </w:p>
        </w:tc>
        <w:tc>
          <w:tcPr>
            <w:tcW w:w="1078" w:type="pct"/>
            <w:tcBorders>
              <w:top w:val="nil"/>
              <w:left w:val="nil"/>
              <w:bottom w:val="nil"/>
              <w:right w:val="nil"/>
            </w:tcBorders>
            <w:shd w:val="clear" w:color="auto" w:fill="FFFFFF"/>
            <w:vAlign w:val="center"/>
          </w:tcPr>
          <w:p w14:paraId="6C4C877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63.75</w:t>
            </w:r>
          </w:p>
        </w:tc>
      </w:tr>
      <w:tr w:rsidR="0067740A" w14:paraId="1CE4FEFF" w14:textId="77777777">
        <w:trPr>
          <w:trHeight w:val="270"/>
        </w:trPr>
        <w:tc>
          <w:tcPr>
            <w:tcW w:w="1714" w:type="pct"/>
            <w:vMerge/>
            <w:tcBorders>
              <w:top w:val="nil"/>
              <w:left w:val="nil"/>
              <w:bottom w:val="nil"/>
              <w:right w:val="nil"/>
            </w:tcBorders>
            <w:shd w:val="clear" w:color="auto" w:fill="FFFFFF"/>
            <w:vAlign w:val="center"/>
          </w:tcPr>
          <w:p w14:paraId="676B7D9D"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21BEE560"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582" w:type="pct"/>
            <w:tcBorders>
              <w:top w:val="nil"/>
              <w:left w:val="nil"/>
              <w:bottom w:val="nil"/>
              <w:right w:val="nil"/>
            </w:tcBorders>
            <w:shd w:val="clear" w:color="auto" w:fill="FFFFFF"/>
            <w:vAlign w:val="center"/>
          </w:tcPr>
          <w:p w14:paraId="33725896"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149</w:t>
            </w:r>
          </w:p>
        </w:tc>
        <w:tc>
          <w:tcPr>
            <w:tcW w:w="677" w:type="pct"/>
            <w:tcBorders>
              <w:top w:val="nil"/>
              <w:left w:val="nil"/>
              <w:bottom w:val="nil"/>
              <w:right w:val="nil"/>
            </w:tcBorders>
            <w:shd w:val="clear" w:color="auto" w:fill="FFFFFF"/>
            <w:vAlign w:val="center"/>
          </w:tcPr>
          <w:p w14:paraId="44BD3B9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36.25</w:t>
            </w:r>
          </w:p>
        </w:tc>
        <w:tc>
          <w:tcPr>
            <w:tcW w:w="1078" w:type="pct"/>
            <w:tcBorders>
              <w:top w:val="nil"/>
              <w:left w:val="nil"/>
              <w:bottom w:val="nil"/>
              <w:right w:val="nil"/>
            </w:tcBorders>
            <w:shd w:val="clear" w:color="auto" w:fill="FFFFFF"/>
            <w:vAlign w:val="center"/>
          </w:tcPr>
          <w:p w14:paraId="2AA5276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7D2050F6" w14:textId="77777777">
        <w:trPr>
          <w:trHeight w:val="270"/>
        </w:trPr>
        <w:tc>
          <w:tcPr>
            <w:tcW w:w="1714" w:type="pct"/>
            <w:vMerge w:val="restart"/>
            <w:tcBorders>
              <w:top w:val="nil"/>
              <w:left w:val="nil"/>
              <w:bottom w:val="nil"/>
              <w:right w:val="nil"/>
            </w:tcBorders>
            <w:shd w:val="clear" w:color="auto" w:fill="FFFFFF"/>
            <w:vAlign w:val="center"/>
          </w:tcPr>
          <w:p w14:paraId="1817440C"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I am willing to pay more for an electric vehicle due to its environmental benefits.</w:t>
            </w:r>
          </w:p>
        </w:tc>
        <w:tc>
          <w:tcPr>
            <w:tcW w:w="948" w:type="pct"/>
            <w:tcBorders>
              <w:top w:val="nil"/>
              <w:left w:val="nil"/>
              <w:bottom w:val="nil"/>
              <w:right w:val="nil"/>
            </w:tcBorders>
            <w:shd w:val="clear" w:color="auto" w:fill="FFFFFF"/>
            <w:vAlign w:val="center"/>
          </w:tcPr>
          <w:p w14:paraId="4F9A37CE"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582" w:type="pct"/>
            <w:tcBorders>
              <w:top w:val="nil"/>
              <w:left w:val="nil"/>
              <w:bottom w:val="nil"/>
              <w:right w:val="nil"/>
            </w:tcBorders>
            <w:shd w:val="clear" w:color="auto" w:fill="FFFFFF"/>
            <w:vAlign w:val="center"/>
          </w:tcPr>
          <w:p w14:paraId="6A5BC38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w:t>
            </w:r>
          </w:p>
        </w:tc>
        <w:tc>
          <w:tcPr>
            <w:tcW w:w="677" w:type="pct"/>
            <w:tcBorders>
              <w:top w:val="nil"/>
              <w:left w:val="nil"/>
              <w:bottom w:val="nil"/>
              <w:right w:val="nil"/>
            </w:tcBorders>
            <w:shd w:val="clear" w:color="auto" w:fill="FFFFFF"/>
            <w:vAlign w:val="center"/>
          </w:tcPr>
          <w:p w14:paraId="5D6A2A1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c>
          <w:tcPr>
            <w:tcW w:w="1078" w:type="pct"/>
            <w:tcBorders>
              <w:top w:val="nil"/>
              <w:left w:val="nil"/>
              <w:bottom w:val="nil"/>
              <w:right w:val="nil"/>
            </w:tcBorders>
            <w:shd w:val="clear" w:color="auto" w:fill="FFFFFF"/>
            <w:vAlign w:val="center"/>
          </w:tcPr>
          <w:p w14:paraId="4CDE098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8.03</w:t>
            </w:r>
          </w:p>
        </w:tc>
      </w:tr>
      <w:tr w:rsidR="0067740A" w14:paraId="4768F44F" w14:textId="77777777">
        <w:trPr>
          <w:trHeight w:val="270"/>
        </w:trPr>
        <w:tc>
          <w:tcPr>
            <w:tcW w:w="1714" w:type="pct"/>
            <w:vMerge/>
            <w:tcBorders>
              <w:top w:val="nil"/>
              <w:left w:val="nil"/>
              <w:bottom w:val="nil"/>
              <w:right w:val="nil"/>
            </w:tcBorders>
            <w:shd w:val="clear" w:color="auto" w:fill="FFFFFF"/>
            <w:vAlign w:val="center"/>
          </w:tcPr>
          <w:p w14:paraId="5BCEF429"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2D79C068"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582" w:type="pct"/>
            <w:tcBorders>
              <w:top w:val="nil"/>
              <w:left w:val="nil"/>
              <w:bottom w:val="nil"/>
              <w:right w:val="nil"/>
            </w:tcBorders>
            <w:shd w:val="clear" w:color="auto" w:fill="FFFFFF"/>
            <w:vAlign w:val="center"/>
          </w:tcPr>
          <w:p w14:paraId="32D724C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29</w:t>
            </w:r>
          </w:p>
        </w:tc>
        <w:tc>
          <w:tcPr>
            <w:tcW w:w="677" w:type="pct"/>
            <w:tcBorders>
              <w:top w:val="nil"/>
              <w:left w:val="nil"/>
              <w:bottom w:val="nil"/>
              <w:right w:val="nil"/>
            </w:tcBorders>
            <w:shd w:val="clear" w:color="auto" w:fill="FFFFFF"/>
            <w:vAlign w:val="center"/>
          </w:tcPr>
          <w:p w14:paraId="02A9EB3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7.06</w:t>
            </w:r>
          </w:p>
        </w:tc>
        <w:tc>
          <w:tcPr>
            <w:tcW w:w="1078" w:type="pct"/>
            <w:tcBorders>
              <w:top w:val="nil"/>
              <w:left w:val="nil"/>
              <w:bottom w:val="nil"/>
              <w:right w:val="nil"/>
            </w:tcBorders>
            <w:shd w:val="clear" w:color="auto" w:fill="FFFFFF"/>
            <w:vAlign w:val="center"/>
          </w:tcPr>
          <w:p w14:paraId="4BB05991"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r>
      <w:tr w:rsidR="0067740A" w14:paraId="72AF68A7" w14:textId="77777777">
        <w:trPr>
          <w:trHeight w:val="270"/>
        </w:trPr>
        <w:tc>
          <w:tcPr>
            <w:tcW w:w="1714" w:type="pct"/>
            <w:vMerge/>
            <w:tcBorders>
              <w:top w:val="nil"/>
              <w:left w:val="nil"/>
              <w:bottom w:val="nil"/>
              <w:right w:val="nil"/>
            </w:tcBorders>
            <w:shd w:val="clear" w:color="auto" w:fill="FFFFFF"/>
            <w:vAlign w:val="center"/>
          </w:tcPr>
          <w:p w14:paraId="20714302"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3424621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82" w:type="pct"/>
            <w:tcBorders>
              <w:top w:val="nil"/>
              <w:left w:val="nil"/>
              <w:bottom w:val="nil"/>
              <w:right w:val="nil"/>
            </w:tcBorders>
            <w:shd w:val="clear" w:color="auto" w:fill="FFFFFF"/>
            <w:vAlign w:val="center"/>
          </w:tcPr>
          <w:p w14:paraId="72D304C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70</w:t>
            </w:r>
          </w:p>
        </w:tc>
        <w:tc>
          <w:tcPr>
            <w:tcW w:w="677" w:type="pct"/>
            <w:tcBorders>
              <w:top w:val="nil"/>
              <w:left w:val="nil"/>
              <w:bottom w:val="nil"/>
              <w:right w:val="nil"/>
            </w:tcBorders>
            <w:shd w:val="clear" w:color="auto" w:fill="FFFFFF"/>
            <w:vAlign w:val="center"/>
          </w:tcPr>
          <w:p w14:paraId="246C62D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17.03</w:t>
            </w:r>
          </w:p>
        </w:tc>
        <w:tc>
          <w:tcPr>
            <w:tcW w:w="1078" w:type="pct"/>
            <w:tcBorders>
              <w:top w:val="nil"/>
              <w:left w:val="nil"/>
              <w:bottom w:val="nil"/>
              <w:right w:val="nil"/>
            </w:tcBorders>
            <w:shd w:val="clear" w:color="auto" w:fill="FFFFFF"/>
            <w:vAlign w:val="center"/>
          </w:tcPr>
          <w:p w14:paraId="6D18FD0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32.12</w:t>
            </w:r>
          </w:p>
        </w:tc>
      </w:tr>
      <w:tr w:rsidR="0067740A" w14:paraId="6BE7AC6C" w14:textId="77777777">
        <w:trPr>
          <w:trHeight w:val="270"/>
        </w:trPr>
        <w:tc>
          <w:tcPr>
            <w:tcW w:w="1714" w:type="pct"/>
            <w:vMerge/>
            <w:tcBorders>
              <w:top w:val="nil"/>
              <w:left w:val="nil"/>
              <w:bottom w:val="nil"/>
              <w:right w:val="nil"/>
            </w:tcBorders>
            <w:shd w:val="clear" w:color="auto" w:fill="FFFFFF"/>
            <w:vAlign w:val="center"/>
          </w:tcPr>
          <w:p w14:paraId="4E4EC594"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3EFEA2CC"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582" w:type="pct"/>
            <w:tcBorders>
              <w:top w:val="nil"/>
              <w:left w:val="nil"/>
              <w:bottom w:val="nil"/>
              <w:right w:val="nil"/>
            </w:tcBorders>
            <w:shd w:val="clear" w:color="auto" w:fill="FFFFFF"/>
            <w:vAlign w:val="center"/>
          </w:tcPr>
          <w:p w14:paraId="49B8326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141</w:t>
            </w:r>
          </w:p>
        </w:tc>
        <w:tc>
          <w:tcPr>
            <w:tcW w:w="677" w:type="pct"/>
            <w:tcBorders>
              <w:top w:val="nil"/>
              <w:left w:val="nil"/>
              <w:bottom w:val="nil"/>
              <w:right w:val="nil"/>
            </w:tcBorders>
            <w:shd w:val="clear" w:color="auto" w:fill="FFFFFF"/>
            <w:vAlign w:val="center"/>
          </w:tcPr>
          <w:p w14:paraId="3A720EB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34.31</w:t>
            </w:r>
          </w:p>
        </w:tc>
        <w:tc>
          <w:tcPr>
            <w:tcW w:w="1078" w:type="pct"/>
            <w:tcBorders>
              <w:top w:val="nil"/>
              <w:left w:val="nil"/>
              <w:bottom w:val="nil"/>
              <w:right w:val="nil"/>
            </w:tcBorders>
            <w:shd w:val="clear" w:color="auto" w:fill="FFFFFF"/>
            <w:vAlign w:val="center"/>
          </w:tcPr>
          <w:p w14:paraId="44AAEA3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66.42</w:t>
            </w:r>
          </w:p>
        </w:tc>
      </w:tr>
      <w:tr w:rsidR="0067740A" w14:paraId="1A3A4C40" w14:textId="77777777">
        <w:trPr>
          <w:trHeight w:val="270"/>
        </w:trPr>
        <w:tc>
          <w:tcPr>
            <w:tcW w:w="1714" w:type="pct"/>
            <w:vMerge/>
            <w:tcBorders>
              <w:top w:val="nil"/>
              <w:left w:val="nil"/>
              <w:bottom w:val="nil"/>
              <w:right w:val="nil"/>
            </w:tcBorders>
            <w:shd w:val="clear" w:color="auto" w:fill="FFFFFF"/>
            <w:vAlign w:val="center"/>
          </w:tcPr>
          <w:p w14:paraId="31CE9BC7"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5E3AF463"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582" w:type="pct"/>
            <w:tcBorders>
              <w:top w:val="nil"/>
              <w:left w:val="nil"/>
              <w:bottom w:val="nil"/>
              <w:right w:val="nil"/>
            </w:tcBorders>
            <w:shd w:val="clear" w:color="auto" w:fill="FFFFFF"/>
            <w:vAlign w:val="center"/>
          </w:tcPr>
          <w:p w14:paraId="16BE64A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138</w:t>
            </w:r>
          </w:p>
        </w:tc>
        <w:tc>
          <w:tcPr>
            <w:tcW w:w="677" w:type="pct"/>
            <w:tcBorders>
              <w:top w:val="nil"/>
              <w:left w:val="nil"/>
              <w:bottom w:val="nil"/>
              <w:right w:val="nil"/>
            </w:tcBorders>
            <w:shd w:val="clear" w:color="auto" w:fill="FFFFFF"/>
            <w:vAlign w:val="center"/>
          </w:tcPr>
          <w:p w14:paraId="21289A6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33.58</w:t>
            </w:r>
          </w:p>
        </w:tc>
        <w:tc>
          <w:tcPr>
            <w:tcW w:w="1078" w:type="pct"/>
            <w:tcBorders>
              <w:top w:val="nil"/>
              <w:left w:val="nil"/>
              <w:bottom w:val="nil"/>
              <w:right w:val="nil"/>
            </w:tcBorders>
            <w:shd w:val="clear" w:color="auto" w:fill="FFFFFF"/>
            <w:vAlign w:val="center"/>
          </w:tcPr>
          <w:p w14:paraId="2DB88104"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2158473B" w14:textId="77777777">
        <w:trPr>
          <w:trHeight w:val="270"/>
        </w:trPr>
        <w:tc>
          <w:tcPr>
            <w:tcW w:w="1714" w:type="pct"/>
            <w:vMerge w:val="restart"/>
            <w:tcBorders>
              <w:top w:val="nil"/>
              <w:left w:val="nil"/>
              <w:bottom w:val="nil"/>
              <w:right w:val="nil"/>
            </w:tcBorders>
            <w:shd w:val="clear" w:color="auto" w:fill="FFFFFF"/>
            <w:vAlign w:val="center"/>
          </w:tcPr>
          <w:p w14:paraId="498BE5E7"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The availability of charging stations influences my decision to purchase an electric vehicle.</w:t>
            </w:r>
          </w:p>
        </w:tc>
        <w:tc>
          <w:tcPr>
            <w:tcW w:w="948" w:type="pct"/>
            <w:tcBorders>
              <w:top w:val="nil"/>
              <w:left w:val="nil"/>
              <w:bottom w:val="nil"/>
              <w:right w:val="nil"/>
            </w:tcBorders>
            <w:shd w:val="clear" w:color="auto" w:fill="FFFFFF"/>
            <w:vAlign w:val="center"/>
          </w:tcPr>
          <w:p w14:paraId="16FFA0AB"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Disagree</w:t>
            </w:r>
          </w:p>
        </w:tc>
        <w:tc>
          <w:tcPr>
            <w:tcW w:w="582" w:type="pct"/>
            <w:tcBorders>
              <w:top w:val="nil"/>
              <w:left w:val="nil"/>
              <w:bottom w:val="nil"/>
              <w:right w:val="nil"/>
            </w:tcBorders>
            <w:shd w:val="clear" w:color="auto" w:fill="FFFFFF"/>
            <w:vAlign w:val="center"/>
          </w:tcPr>
          <w:p w14:paraId="67C37A1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677" w:type="pct"/>
            <w:tcBorders>
              <w:top w:val="nil"/>
              <w:left w:val="nil"/>
              <w:bottom w:val="nil"/>
              <w:right w:val="nil"/>
            </w:tcBorders>
            <w:shd w:val="clear" w:color="auto" w:fill="FFFFFF"/>
            <w:vAlign w:val="center"/>
          </w:tcPr>
          <w:p w14:paraId="51309B0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078" w:type="pct"/>
            <w:tcBorders>
              <w:top w:val="nil"/>
              <w:left w:val="nil"/>
              <w:bottom w:val="nil"/>
              <w:right w:val="nil"/>
            </w:tcBorders>
            <w:shd w:val="clear" w:color="auto" w:fill="FFFFFF"/>
            <w:vAlign w:val="center"/>
          </w:tcPr>
          <w:p w14:paraId="50B7417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r>
      <w:tr w:rsidR="0067740A" w14:paraId="50361BBE" w14:textId="77777777">
        <w:trPr>
          <w:trHeight w:val="270"/>
        </w:trPr>
        <w:tc>
          <w:tcPr>
            <w:tcW w:w="1714" w:type="pct"/>
            <w:vMerge/>
            <w:tcBorders>
              <w:top w:val="nil"/>
              <w:left w:val="nil"/>
              <w:bottom w:val="nil"/>
              <w:right w:val="nil"/>
            </w:tcBorders>
            <w:shd w:val="clear" w:color="auto" w:fill="FFFFFF"/>
            <w:vAlign w:val="center"/>
          </w:tcPr>
          <w:p w14:paraId="52B16EB6"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7BF11282"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Disagree</w:t>
            </w:r>
          </w:p>
        </w:tc>
        <w:tc>
          <w:tcPr>
            <w:tcW w:w="582" w:type="pct"/>
            <w:tcBorders>
              <w:top w:val="nil"/>
              <w:left w:val="nil"/>
              <w:bottom w:val="nil"/>
              <w:right w:val="nil"/>
            </w:tcBorders>
            <w:shd w:val="clear" w:color="auto" w:fill="FFFFFF"/>
            <w:vAlign w:val="center"/>
          </w:tcPr>
          <w:p w14:paraId="6A5FEF9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31</w:t>
            </w:r>
          </w:p>
        </w:tc>
        <w:tc>
          <w:tcPr>
            <w:tcW w:w="677" w:type="pct"/>
            <w:tcBorders>
              <w:top w:val="nil"/>
              <w:left w:val="nil"/>
              <w:bottom w:val="nil"/>
              <w:right w:val="nil"/>
            </w:tcBorders>
            <w:shd w:val="clear" w:color="auto" w:fill="FFFFFF"/>
            <w:vAlign w:val="center"/>
          </w:tcPr>
          <w:p w14:paraId="7D78A44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7.54</w:t>
            </w:r>
          </w:p>
        </w:tc>
        <w:tc>
          <w:tcPr>
            <w:tcW w:w="1078" w:type="pct"/>
            <w:tcBorders>
              <w:top w:val="nil"/>
              <w:left w:val="nil"/>
              <w:bottom w:val="nil"/>
              <w:right w:val="nil"/>
            </w:tcBorders>
            <w:shd w:val="clear" w:color="auto" w:fill="FFFFFF"/>
            <w:vAlign w:val="center"/>
          </w:tcPr>
          <w:p w14:paraId="1842A81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15.09</w:t>
            </w:r>
          </w:p>
        </w:tc>
      </w:tr>
      <w:tr w:rsidR="0067740A" w14:paraId="2B9ADD0B" w14:textId="77777777">
        <w:trPr>
          <w:trHeight w:val="270"/>
        </w:trPr>
        <w:tc>
          <w:tcPr>
            <w:tcW w:w="1714" w:type="pct"/>
            <w:vMerge/>
            <w:tcBorders>
              <w:top w:val="nil"/>
              <w:left w:val="nil"/>
              <w:bottom w:val="nil"/>
              <w:right w:val="nil"/>
            </w:tcBorders>
            <w:shd w:val="clear" w:color="auto" w:fill="FFFFFF"/>
            <w:vAlign w:val="center"/>
          </w:tcPr>
          <w:p w14:paraId="46D32F20"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2EC3B611"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Neutral</w:t>
            </w:r>
          </w:p>
        </w:tc>
        <w:tc>
          <w:tcPr>
            <w:tcW w:w="582" w:type="pct"/>
            <w:tcBorders>
              <w:top w:val="nil"/>
              <w:left w:val="nil"/>
              <w:bottom w:val="nil"/>
              <w:right w:val="nil"/>
            </w:tcBorders>
            <w:shd w:val="clear" w:color="auto" w:fill="FFFFFF"/>
            <w:vAlign w:val="center"/>
          </w:tcPr>
          <w:p w14:paraId="252C830B"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77</w:t>
            </w:r>
          </w:p>
        </w:tc>
        <w:tc>
          <w:tcPr>
            <w:tcW w:w="677" w:type="pct"/>
            <w:tcBorders>
              <w:top w:val="nil"/>
              <w:left w:val="nil"/>
              <w:bottom w:val="nil"/>
              <w:right w:val="nil"/>
            </w:tcBorders>
            <w:shd w:val="clear" w:color="auto" w:fill="FFFFFF"/>
            <w:vAlign w:val="center"/>
          </w:tcPr>
          <w:p w14:paraId="37AC00C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18.73</w:t>
            </w:r>
          </w:p>
        </w:tc>
        <w:tc>
          <w:tcPr>
            <w:tcW w:w="1078" w:type="pct"/>
            <w:tcBorders>
              <w:top w:val="nil"/>
              <w:left w:val="nil"/>
              <w:bottom w:val="nil"/>
              <w:right w:val="nil"/>
            </w:tcBorders>
            <w:shd w:val="clear" w:color="auto" w:fill="FFFFFF"/>
            <w:vAlign w:val="center"/>
          </w:tcPr>
          <w:p w14:paraId="5CA7C76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33.82</w:t>
            </w:r>
          </w:p>
        </w:tc>
      </w:tr>
      <w:tr w:rsidR="0067740A" w14:paraId="078C18BB" w14:textId="77777777">
        <w:trPr>
          <w:trHeight w:val="270"/>
        </w:trPr>
        <w:tc>
          <w:tcPr>
            <w:tcW w:w="1714" w:type="pct"/>
            <w:vMerge/>
            <w:tcBorders>
              <w:top w:val="nil"/>
              <w:left w:val="nil"/>
              <w:bottom w:val="nil"/>
              <w:right w:val="nil"/>
            </w:tcBorders>
            <w:shd w:val="clear" w:color="auto" w:fill="FFFFFF"/>
            <w:vAlign w:val="center"/>
          </w:tcPr>
          <w:p w14:paraId="6F1EC22A"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0A0BB6ED"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Agree</w:t>
            </w:r>
          </w:p>
        </w:tc>
        <w:tc>
          <w:tcPr>
            <w:tcW w:w="582" w:type="pct"/>
            <w:tcBorders>
              <w:top w:val="nil"/>
              <w:left w:val="nil"/>
              <w:bottom w:val="nil"/>
              <w:right w:val="nil"/>
            </w:tcBorders>
            <w:shd w:val="clear" w:color="auto" w:fill="FFFFFF"/>
            <w:vAlign w:val="center"/>
          </w:tcPr>
          <w:p w14:paraId="7E756AB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125</w:t>
            </w:r>
          </w:p>
        </w:tc>
        <w:tc>
          <w:tcPr>
            <w:tcW w:w="677" w:type="pct"/>
            <w:tcBorders>
              <w:top w:val="nil"/>
              <w:left w:val="nil"/>
              <w:bottom w:val="nil"/>
              <w:right w:val="nil"/>
            </w:tcBorders>
            <w:shd w:val="clear" w:color="auto" w:fill="FFFFFF"/>
            <w:vAlign w:val="center"/>
          </w:tcPr>
          <w:p w14:paraId="798B559A"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30.41</w:t>
            </w:r>
          </w:p>
        </w:tc>
        <w:tc>
          <w:tcPr>
            <w:tcW w:w="1078" w:type="pct"/>
            <w:tcBorders>
              <w:top w:val="nil"/>
              <w:left w:val="nil"/>
              <w:bottom w:val="nil"/>
              <w:right w:val="nil"/>
            </w:tcBorders>
            <w:shd w:val="clear" w:color="auto" w:fill="FFFFFF"/>
            <w:vAlign w:val="center"/>
          </w:tcPr>
          <w:p w14:paraId="715FE97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64.23</w:t>
            </w:r>
          </w:p>
        </w:tc>
      </w:tr>
      <w:tr w:rsidR="0067740A" w14:paraId="7263A6A7" w14:textId="77777777">
        <w:trPr>
          <w:trHeight w:val="270"/>
        </w:trPr>
        <w:tc>
          <w:tcPr>
            <w:tcW w:w="1714" w:type="pct"/>
            <w:vMerge/>
            <w:tcBorders>
              <w:top w:val="nil"/>
              <w:left w:val="nil"/>
              <w:bottom w:val="nil"/>
              <w:right w:val="nil"/>
            </w:tcBorders>
            <w:shd w:val="clear" w:color="auto" w:fill="FFFFFF"/>
            <w:vAlign w:val="center"/>
          </w:tcPr>
          <w:p w14:paraId="249D6EB7" w14:textId="77777777" w:rsidR="0067740A" w:rsidRDefault="0067740A">
            <w:pPr>
              <w:spacing w:line="360" w:lineRule="auto"/>
              <w:jc w:val="center"/>
              <w:rPr>
                <w:rFonts w:ascii="Arial" w:eastAsia="宋体" w:hAnsi="Arial" w:cs="Arial"/>
                <w:color w:val="000000"/>
              </w:rPr>
            </w:pPr>
          </w:p>
        </w:tc>
        <w:tc>
          <w:tcPr>
            <w:tcW w:w="948" w:type="pct"/>
            <w:tcBorders>
              <w:top w:val="nil"/>
              <w:left w:val="nil"/>
              <w:bottom w:val="nil"/>
              <w:right w:val="nil"/>
            </w:tcBorders>
            <w:shd w:val="clear" w:color="auto" w:fill="FFFFFF"/>
            <w:vAlign w:val="center"/>
          </w:tcPr>
          <w:p w14:paraId="46AD1F79" w14:textId="77777777" w:rsidR="0067740A" w:rsidRDefault="00000000">
            <w:pPr>
              <w:spacing w:line="360" w:lineRule="auto"/>
              <w:jc w:val="center"/>
              <w:rPr>
                <w:rFonts w:ascii="Arial" w:eastAsia="宋体" w:hAnsi="Arial" w:cs="Arial"/>
                <w:color w:val="000000"/>
              </w:rPr>
            </w:pPr>
            <w:r>
              <w:rPr>
                <w:rFonts w:ascii="Arial" w:eastAsia="宋体" w:hAnsi="Arial" w:cs="Arial"/>
                <w:lang w:val="en-GB" w:eastAsia="en-US"/>
              </w:rPr>
              <w:t>Strongly agree</w:t>
            </w:r>
          </w:p>
        </w:tc>
        <w:tc>
          <w:tcPr>
            <w:tcW w:w="582" w:type="pct"/>
            <w:tcBorders>
              <w:top w:val="nil"/>
              <w:left w:val="nil"/>
              <w:bottom w:val="nil"/>
              <w:right w:val="nil"/>
            </w:tcBorders>
            <w:shd w:val="clear" w:color="auto" w:fill="FFFFFF"/>
            <w:vAlign w:val="center"/>
          </w:tcPr>
          <w:p w14:paraId="7A9D3940"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147</w:t>
            </w:r>
          </w:p>
        </w:tc>
        <w:tc>
          <w:tcPr>
            <w:tcW w:w="677" w:type="pct"/>
            <w:tcBorders>
              <w:top w:val="nil"/>
              <w:left w:val="nil"/>
              <w:bottom w:val="nil"/>
              <w:right w:val="nil"/>
            </w:tcBorders>
            <w:shd w:val="clear" w:color="auto" w:fill="FFFFFF"/>
            <w:vAlign w:val="center"/>
          </w:tcPr>
          <w:p w14:paraId="7CAA3359"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35.77</w:t>
            </w:r>
          </w:p>
        </w:tc>
        <w:tc>
          <w:tcPr>
            <w:tcW w:w="1078" w:type="pct"/>
            <w:tcBorders>
              <w:top w:val="nil"/>
              <w:left w:val="nil"/>
              <w:bottom w:val="nil"/>
              <w:right w:val="nil"/>
            </w:tcBorders>
            <w:shd w:val="clear" w:color="auto" w:fill="FFFFFF"/>
            <w:vAlign w:val="center"/>
          </w:tcPr>
          <w:p w14:paraId="2880DB23"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100.00</w:t>
            </w:r>
          </w:p>
        </w:tc>
      </w:tr>
      <w:tr w:rsidR="0067740A" w14:paraId="6CA9A27A" w14:textId="77777777">
        <w:trPr>
          <w:trHeight w:val="270"/>
        </w:trPr>
        <w:tc>
          <w:tcPr>
            <w:tcW w:w="2662" w:type="pct"/>
            <w:gridSpan w:val="2"/>
            <w:tcBorders>
              <w:top w:val="nil"/>
              <w:left w:val="nil"/>
              <w:bottom w:val="single" w:sz="8" w:space="0" w:color="auto"/>
              <w:right w:val="nil"/>
            </w:tcBorders>
            <w:shd w:val="clear" w:color="auto" w:fill="FFFFFF"/>
            <w:vAlign w:val="center"/>
          </w:tcPr>
          <w:p w14:paraId="73FD45CF"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Total</w:t>
            </w:r>
          </w:p>
        </w:tc>
        <w:tc>
          <w:tcPr>
            <w:tcW w:w="582" w:type="pct"/>
            <w:tcBorders>
              <w:top w:val="nil"/>
              <w:left w:val="nil"/>
              <w:bottom w:val="single" w:sz="8" w:space="0" w:color="auto"/>
              <w:right w:val="nil"/>
            </w:tcBorders>
            <w:shd w:val="clear" w:color="auto" w:fill="FFFFFF"/>
            <w:vAlign w:val="center"/>
          </w:tcPr>
          <w:p w14:paraId="566BFAAD"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411</w:t>
            </w:r>
          </w:p>
        </w:tc>
        <w:tc>
          <w:tcPr>
            <w:tcW w:w="677" w:type="pct"/>
            <w:tcBorders>
              <w:top w:val="nil"/>
              <w:left w:val="nil"/>
              <w:bottom w:val="single" w:sz="8" w:space="0" w:color="auto"/>
              <w:right w:val="nil"/>
            </w:tcBorders>
            <w:shd w:val="clear" w:color="auto" w:fill="FFFFFF"/>
            <w:vAlign w:val="center"/>
          </w:tcPr>
          <w:p w14:paraId="077CAF05"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c>
          <w:tcPr>
            <w:tcW w:w="1078" w:type="pct"/>
            <w:tcBorders>
              <w:top w:val="nil"/>
              <w:left w:val="nil"/>
              <w:bottom w:val="single" w:sz="8" w:space="0" w:color="auto"/>
              <w:right w:val="nil"/>
            </w:tcBorders>
            <w:shd w:val="clear" w:color="auto" w:fill="FFFFFF"/>
            <w:vAlign w:val="center"/>
          </w:tcPr>
          <w:p w14:paraId="55530312" w14:textId="77777777" w:rsidR="0067740A" w:rsidRDefault="00000000">
            <w:pPr>
              <w:spacing w:line="360" w:lineRule="auto"/>
              <w:jc w:val="center"/>
              <w:rPr>
                <w:rFonts w:ascii="Arial" w:eastAsia="宋体" w:hAnsi="Arial" w:cs="Arial"/>
                <w:color w:val="000000"/>
              </w:rPr>
            </w:pPr>
            <w:r>
              <w:rPr>
                <w:rFonts w:ascii="Arial" w:eastAsia="宋体" w:hAnsi="Arial" w:cs="Arial"/>
                <w:color w:val="000000"/>
                <w:lang w:bidi="ar"/>
              </w:rPr>
              <w:t>100.0</w:t>
            </w:r>
          </w:p>
        </w:tc>
      </w:tr>
    </w:tbl>
    <w:p w14:paraId="42CB1376" w14:textId="77777777" w:rsidR="0067740A" w:rsidRDefault="00000000">
      <w:pPr>
        <w:pStyle w:val="a6"/>
        <w:spacing w:before="93" w:line="360" w:lineRule="auto"/>
        <w:ind w:left="160" w:right="278" w:firstLine="479"/>
        <w:rPr>
          <w:rFonts w:ascii="Arial" w:hAnsi="Arial" w:cs="Arial"/>
          <w:lang w:eastAsia="zh-CN"/>
        </w:rPr>
      </w:pPr>
      <w:r>
        <w:rPr>
          <w:rFonts w:ascii="Arial" w:hAnsi="Arial" w:cs="Arial"/>
        </w:rPr>
        <w:t>As can be seen from the table above, when asked about the impact of Volkswagen's</w:t>
      </w:r>
      <w:r>
        <w:rPr>
          <w:rFonts w:ascii="Arial" w:hAnsi="Arial" w:cs="Arial"/>
          <w:spacing w:val="-6"/>
        </w:rPr>
        <w:t xml:space="preserve"> </w:t>
      </w:r>
      <w:r>
        <w:rPr>
          <w:rFonts w:ascii="Arial" w:hAnsi="Arial" w:cs="Arial"/>
        </w:rPr>
        <w:t>sustainability</w:t>
      </w:r>
      <w:r>
        <w:rPr>
          <w:rFonts w:ascii="Arial" w:hAnsi="Arial" w:cs="Arial"/>
          <w:spacing w:val="-6"/>
        </w:rPr>
        <w:t xml:space="preserve"> </w:t>
      </w:r>
      <w:r>
        <w:rPr>
          <w:rFonts w:ascii="Arial" w:hAnsi="Arial" w:cs="Arial"/>
        </w:rPr>
        <w:t>initiatives</w:t>
      </w:r>
      <w:r>
        <w:rPr>
          <w:rFonts w:ascii="Arial" w:hAnsi="Arial" w:cs="Arial"/>
          <w:spacing w:val="-6"/>
        </w:rPr>
        <w:t xml:space="preserve"> </w:t>
      </w:r>
      <w:r>
        <w:rPr>
          <w:rFonts w:ascii="Arial" w:hAnsi="Arial" w:cs="Arial"/>
        </w:rPr>
        <w:t>on</w:t>
      </w:r>
      <w:r>
        <w:rPr>
          <w:rFonts w:ascii="Arial" w:hAnsi="Arial" w:cs="Arial"/>
          <w:spacing w:val="-6"/>
        </w:rPr>
        <w:t xml:space="preserve"> </w:t>
      </w:r>
      <w:r>
        <w:rPr>
          <w:rFonts w:ascii="Arial" w:hAnsi="Arial" w:cs="Arial"/>
        </w:rPr>
        <w:t>car</w:t>
      </w:r>
      <w:r>
        <w:rPr>
          <w:rFonts w:ascii="Arial" w:hAnsi="Arial" w:cs="Arial"/>
          <w:spacing w:val="-7"/>
        </w:rPr>
        <w:t xml:space="preserve"> </w:t>
      </w:r>
      <w:r>
        <w:rPr>
          <w:rFonts w:ascii="Arial" w:hAnsi="Arial" w:cs="Arial"/>
        </w:rPr>
        <w:t>buying</w:t>
      </w:r>
      <w:r>
        <w:rPr>
          <w:rFonts w:ascii="Arial" w:hAnsi="Arial" w:cs="Arial"/>
          <w:spacing w:val="-5"/>
        </w:rPr>
        <w:t xml:space="preserve"> </w:t>
      </w:r>
      <w:r>
        <w:rPr>
          <w:rFonts w:ascii="Arial" w:hAnsi="Arial" w:cs="Arial"/>
        </w:rPr>
        <w:t>decisions,</w:t>
      </w:r>
      <w:r>
        <w:rPr>
          <w:rFonts w:ascii="Arial" w:hAnsi="Arial" w:cs="Arial"/>
          <w:spacing w:val="-6"/>
        </w:rPr>
        <w:t xml:space="preserve"> </w:t>
      </w:r>
      <w:r>
        <w:rPr>
          <w:rFonts w:ascii="Arial" w:hAnsi="Arial" w:cs="Arial"/>
        </w:rPr>
        <w:t>the</w:t>
      </w:r>
      <w:r>
        <w:rPr>
          <w:rFonts w:ascii="Arial" w:hAnsi="Arial" w:cs="Arial"/>
          <w:spacing w:val="-6"/>
        </w:rPr>
        <w:t xml:space="preserve"> </w:t>
      </w:r>
      <w:r>
        <w:rPr>
          <w:rFonts w:ascii="Arial" w:hAnsi="Arial" w:cs="Arial"/>
        </w:rPr>
        <w:t>results</w:t>
      </w:r>
      <w:r>
        <w:rPr>
          <w:rFonts w:ascii="Arial" w:hAnsi="Arial" w:cs="Arial"/>
          <w:spacing w:val="-6"/>
        </w:rPr>
        <w:t xml:space="preserve"> </w:t>
      </w:r>
      <w:r>
        <w:rPr>
          <w:rFonts w:ascii="Arial" w:hAnsi="Arial" w:cs="Arial"/>
        </w:rPr>
        <w:t>showed</w:t>
      </w:r>
      <w:r>
        <w:rPr>
          <w:rFonts w:ascii="Arial" w:hAnsi="Arial" w:cs="Arial"/>
          <w:spacing w:val="-7"/>
        </w:rPr>
        <w:t xml:space="preserve"> </w:t>
      </w:r>
      <w:r>
        <w:rPr>
          <w:rFonts w:ascii="Arial" w:hAnsi="Arial" w:cs="Arial"/>
        </w:rPr>
        <w:t>that more than a third of respondents rated these initiatives as “very important” or “extremely</w:t>
      </w:r>
      <w:r>
        <w:rPr>
          <w:rFonts w:ascii="Arial" w:hAnsi="Arial" w:cs="Arial"/>
          <w:spacing w:val="-15"/>
        </w:rPr>
        <w:t xml:space="preserve"> </w:t>
      </w:r>
      <w:r>
        <w:rPr>
          <w:rFonts w:ascii="Arial" w:hAnsi="Arial" w:cs="Arial"/>
        </w:rPr>
        <w:t>important”,</w:t>
      </w:r>
      <w:r>
        <w:rPr>
          <w:rFonts w:ascii="Arial" w:hAnsi="Arial" w:cs="Arial"/>
          <w:spacing w:val="-14"/>
        </w:rPr>
        <w:t xml:space="preserve"> </w:t>
      </w:r>
      <w:r>
        <w:rPr>
          <w:rFonts w:ascii="Arial" w:hAnsi="Arial" w:cs="Arial"/>
        </w:rPr>
        <w:t>35.04%</w:t>
      </w:r>
      <w:r>
        <w:rPr>
          <w:rFonts w:ascii="Arial" w:hAnsi="Arial" w:cs="Arial"/>
          <w:spacing w:val="-15"/>
        </w:rPr>
        <w:t xml:space="preserve"> </w:t>
      </w:r>
      <w:r>
        <w:rPr>
          <w:rFonts w:ascii="Arial" w:hAnsi="Arial" w:cs="Arial"/>
        </w:rPr>
        <w:t>and</w:t>
      </w:r>
      <w:r>
        <w:rPr>
          <w:rFonts w:ascii="Arial" w:hAnsi="Arial" w:cs="Arial"/>
          <w:spacing w:val="-14"/>
        </w:rPr>
        <w:t xml:space="preserve"> </w:t>
      </w:r>
      <w:r>
        <w:rPr>
          <w:rFonts w:ascii="Arial" w:hAnsi="Arial" w:cs="Arial"/>
        </w:rPr>
        <w:t>29.44%</w:t>
      </w:r>
      <w:r>
        <w:rPr>
          <w:rFonts w:ascii="Arial" w:hAnsi="Arial" w:cs="Arial"/>
          <w:spacing w:val="-15"/>
        </w:rPr>
        <w:t xml:space="preserve"> </w:t>
      </w:r>
      <w:r>
        <w:rPr>
          <w:rFonts w:ascii="Arial" w:hAnsi="Arial" w:cs="Arial"/>
        </w:rPr>
        <w:t>respectively.</w:t>
      </w:r>
      <w:r>
        <w:rPr>
          <w:rFonts w:ascii="Arial" w:hAnsi="Arial" w:cs="Arial"/>
          <w:spacing w:val="-14"/>
        </w:rPr>
        <w:t xml:space="preserve"> </w:t>
      </w:r>
      <w:r>
        <w:rPr>
          <w:rFonts w:ascii="Arial" w:hAnsi="Arial" w:cs="Arial"/>
        </w:rPr>
        <w:t>This demonstrates that sustainability and environmental considerations are increasingly influencing consumer vehicle purchasing decisions.</w:t>
      </w:r>
    </w:p>
    <w:p w14:paraId="03B67A5A" w14:textId="77777777" w:rsidR="0067740A" w:rsidRDefault="00000000">
      <w:pPr>
        <w:pStyle w:val="a6"/>
        <w:spacing w:before="93" w:line="360" w:lineRule="auto"/>
        <w:ind w:left="160" w:right="278" w:firstLine="479"/>
        <w:rPr>
          <w:rFonts w:ascii="Arial" w:hAnsi="Arial" w:cs="Arial"/>
          <w:color w:val="04073A"/>
        </w:rPr>
      </w:pPr>
      <w:r>
        <w:rPr>
          <w:rFonts w:ascii="Arial" w:hAnsi="Arial" w:cs="Arial"/>
          <w:color w:val="04073A"/>
        </w:rPr>
        <w:t xml:space="preserve">Regarding the perception of electric vehicles, </w:t>
      </w:r>
      <w:proofErr w:type="gramStart"/>
      <w:r>
        <w:rPr>
          <w:rFonts w:ascii="Arial" w:hAnsi="Arial" w:cs="Arial"/>
          <w:color w:val="04073A"/>
        </w:rPr>
        <w:t>the vast majority of</w:t>
      </w:r>
      <w:proofErr w:type="gramEnd"/>
      <w:r>
        <w:rPr>
          <w:rFonts w:ascii="Arial" w:hAnsi="Arial" w:cs="Arial"/>
          <w:color w:val="04073A"/>
        </w:rPr>
        <w:t xml:space="preserve"> respondents (67.25%)</w:t>
      </w:r>
      <w:r>
        <w:rPr>
          <w:rFonts w:ascii="Arial" w:hAnsi="Arial" w:cs="Arial"/>
          <w:color w:val="04073A"/>
          <w:spacing w:val="-1"/>
        </w:rPr>
        <w:t xml:space="preserve"> </w:t>
      </w:r>
      <w:r>
        <w:rPr>
          <w:rFonts w:ascii="Arial" w:hAnsi="Arial" w:cs="Arial"/>
          <w:color w:val="04073A"/>
        </w:rPr>
        <w:t>agreed</w:t>
      </w:r>
      <w:r>
        <w:rPr>
          <w:rFonts w:ascii="Arial" w:hAnsi="Arial" w:cs="Arial"/>
          <w:color w:val="04073A"/>
          <w:spacing w:val="-1"/>
        </w:rPr>
        <w:t xml:space="preserve"> </w:t>
      </w:r>
      <w:r>
        <w:rPr>
          <w:rFonts w:ascii="Arial" w:hAnsi="Arial" w:cs="Arial"/>
          <w:color w:val="04073A"/>
        </w:rPr>
        <w:t>or strongly</w:t>
      </w:r>
      <w:r>
        <w:rPr>
          <w:rFonts w:ascii="Arial" w:hAnsi="Arial" w:cs="Arial"/>
          <w:color w:val="04073A"/>
          <w:spacing w:val="-1"/>
        </w:rPr>
        <w:t xml:space="preserve"> </w:t>
      </w:r>
      <w:r>
        <w:rPr>
          <w:rFonts w:ascii="Arial" w:hAnsi="Arial" w:cs="Arial"/>
          <w:color w:val="04073A"/>
        </w:rPr>
        <w:t>agreed with</w:t>
      </w:r>
      <w:r>
        <w:rPr>
          <w:rFonts w:ascii="Arial" w:hAnsi="Arial" w:cs="Arial"/>
          <w:color w:val="04073A"/>
          <w:spacing w:val="-1"/>
        </w:rPr>
        <w:t xml:space="preserve"> </w:t>
      </w:r>
      <w:r>
        <w:rPr>
          <w:rFonts w:ascii="Arial" w:hAnsi="Arial" w:cs="Arial"/>
          <w:color w:val="04073A"/>
        </w:rPr>
        <w:t>the</w:t>
      </w:r>
      <w:r>
        <w:rPr>
          <w:rFonts w:ascii="Arial" w:hAnsi="Arial" w:cs="Arial"/>
          <w:color w:val="04073A"/>
          <w:spacing w:val="-2"/>
        </w:rPr>
        <w:t xml:space="preserve"> </w:t>
      </w:r>
      <w:r>
        <w:rPr>
          <w:rFonts w:ascii="Arial" w:hAnsi="Arial" w:cs="Arial"/>
          <w:color w:val="04073A"/>
        </w:rPr>
        <w:t>statement</w:t>
      </w:r>
      <w:r>
        <w:rPr>
          <w:rFonts w:ascii="Arial" w:hAnsi="Arial" w:cs="Arial"/>
          <w:color w:val="04073A"/>
          <w:spacing w:val="-1"/>
        </w:rPr>
        <w:t xml:space="preserve"> </w:t>
      </w:r>
      <w:r>
        <w:rPr>
          <w:rFonts w:ascii="Arial" w:hAnsi="Arial" w:cs="Arial"/>
          <w:color w:val="04073A"/>
        </w:rPr>
        <w:t>that</w:t>
      </w:r>
      <w:r>
        <w:rPr>
          <w:rFonts w:ascii="Arial" w:hAnsi="Arial" w:cs="Arial"/>
          <w:color w:val="04073A"/>
          <w:spacing w:val="-1"/>
        </w:rPr>
        <w:t xml:space="preserve"> “</w:t>
      </w:r>
      <w:r>
        <w:rPr>
          <w:rFonts w:ascii="Arial" w:hAnsi="Arial" w:cs="Arial"/>
          <w:color w:val="04073A"/>
        </w:rPr>
        <w:t>electric</w:t>
      </w:r>
      <w:r>
        <w:rPr>
          <w:rFonts w:ascii="Arial" w:hAnsi="Arial" w:cs="Arial"/>
          <w:color w:val="04073A"/>
          <w:spacing w:val="-2"/>
        </w:rPr>
        <w:t xml:space="preserve"> </w:t>
      </w:r>
      <w:r>
        <w:rPr>
          <w:rFonts w:ascii="Arial" w:hAnsi="Arial" w:cs="Arial"/>
          <w:color w:val="04073A"/>
        </w:rPr>
        <w:t>vehicles</w:t>
      </w:r>
      <w:r>
        <w:rPr>
          <w:rFonts w:ascii="Arial" w:hAnsi="Arial" w:cs="Arial"/>
          <w:color w:val="04073A"/>
          <w:spacing w:val="-1"/>
        </w:rPr>
        <w:t xml:space="preserve"> </w:t>
      </w:r>
      <w:r>
        <w:rPr>
          <w:rFonts w:ascii="Arial" w:hAnsi="Arial" w:cs="Arial"/>
          <w:color w:val="04073A"/>
        </w:rPr>
        <w:t>are more</w:t>
      </w:r>
      <w:r>
        <w:rPr>
          <w:rFonts w:ascii="Arial" w:hAnsi="Arial" w:cs="Arial"/>
          <w:color w:val="04073A"/>
          <w:spacing w:val="-10"/>
        </w:rPr>
        <w:t xml:space="preserve"> </w:t>
      </w:r>
      <w:r>
        <w:rPr>
          <w:rFonts w:ascii="Arial" w:hAnsi="Arial" w:cs="Arial"/>
          <w:color w:val="04073A"/>
        </w:rPr>
        <w:t>environmentally</w:t>
      </w:r>
      <w:r>
        <w:rPr>
          <w:rFonts w:ascii="Arial" w:hAnsi="Arial" w:cs="Arial"/>
          <w:color w:val="04073A"/>
          <w:spacing w:val="-9"/>
        </w:rPr>
        <w:t xml:space="preserve"> </w:t>
      </w:r>
      <w:r>
        <w:rPr>
          <w:rFonts w:ascii="Arial" w:hAnsi="Arial" w:cs="Arial"/>
          <w:color w:val="04073A"/>
        </w:rPr>
        <w:t>friendly</w:t>
      </w:r>
      <w:r>
        <w:rPr>
          <w:rFonts w:ascii="Arial" w:hAnsi="Arial" w:cs="Arial"/>
          <w:color w:val="04073A"/>
          <w:spacing w:val="-9"/>
        </w:rPr>
        <w:t xml:space="preserve"> </w:t>
      </w:r>
      <w:r>
        <w:rPr>
          <w:rFonts w:ascii="Arial" w:hAnsi="Arial" w:cs="Arial"/>
          <w:color w:val="04073A"/>
        </w:rPr>
        <w:t>than</w:t>
      </w:r>
      <w:r>
        <w:rPr>
          <w:rFonts w:ascii="Arial" w:hAnsi="Arial" w:cs="Arial"/>
          <w:color w:val="04073A"/>
          <w:spacing w:val="-8"/>
        </w:rPr>
        <w:t xml:space="preserve"> </w:t>
      </w:r>
      <w:r>
        <w:rPr>
          <w:rFonts w:ascii="Arial" w:hAnsi="Arial" w:cs="Arial"/>
          <w:color w:val="04073A"/>
        </w:rPr>
        <w:t>conventional</w:t>
      </w:r>
      <w:r>
        <w:rPr>
          <w:rFonts w:ascii="Arial" w:hAnsi="Arial" w:cs="Arial"/>
          <w:color w:val="04073A"/>
          <w:spacing w:val="-7"/>
        </w:rPr>
        <w:t xml:space="preserve"> </w:t>
      </w:r>
      <w:r>
        <w:rPr>
          <w:rFonts w:ascii="Arial" w:hAnsi="Arial" w:cs="Arial"/>
          <w:color w:val="04073A"/>
        </w:rPr>
        <w:t>gasoline</w:t>
      </w:r>
      <w:r>
        <w:rPr>
          <w:rFonts w:ascii="Arial" w:hAnsi="Arial" w:cs="Arial"/>
          <w:color w:val="04073A"/>
          <w:spacing w:val="-10"/>
        </w:rPr>
        <w:t xml:space="preserve"> </w:t>
      </w:r>
      <w:r>
        <w:rPr>
          <w:rFonts w:ascii="Arial" w:hAnsi="Arial" w:cs="Arial"/>
          <w:color w:val="04073A"/>
        </w:rPr>
        <w:t>vehicles.”</w:t>
      </w:r>
      <w:r>
        <w:rPr>
          <w:rFonts w:ascii="Arial" w:hAnsi="Arial" w:cs="Arial"/>
          <w:color w:val="04073A"/>
          <w:spacing w:val="-7"/>
        </w:rPr>
        <w:t xml:space="preserve"> </w:t>
      </w:r>
      <w:r>
        <w:rPr>
          <w:rFonts w:ascii="Arial" w:hAnsi="Arial" w:cs="Arial"/>
          <w:color w:val="04073A"/>
        </w:rPr>
        <w:t>Meanwhile,</w:t>
      </w:r>
      <w:r>
        <w:rPr>
          <w:rFonts w:ascii="Arial" w:hAnsi="Arial" w:cs="Arial"/>
          <w:color w:val="04073A"/>
          <w:spacing w:val="-10"/>
        </w:rPr>
        <w:t xml:space="preserve"> </w:t>
      </w:r>
      <w:r>
        <w:rPr>
          <w:rFonts w:ascii="Arial" w:hAnsi="Arial" w:cs="Arial"/>
          <w:color w:val="04073A"/>
        </w:rPr>
        <w:t>more than two-thirds of respondents (67.98%) said they were willing to pay more for the environmental features of electric vehicles, showing consumers’ positive attitude toward and willingness to pay for environmentally friendly products.</w:t>
      </w:r>
    </w:p>
    <w:p w14:paraId="0A807211" w14:textId="77777777" w:rsidR="0067740A" w:rsidRDefault="00000000">
      <w:pPr>
        <w:pStyle w:val="a6"/>
        <w:spacing w:line="360" w:lineRule="auto"/>
        <w:ind w:left="160" w:right="278" w:firstLine="479"/>
        <w:rPr>
          <w:rFonts w:ascii="Arial" w:hAnsi="Arial" w:cs="Arial"/>
          <w:color w:val="04073A"/>
        </w:rPr>
      </w:pPr>
      <w:r>
        <w:rPr>
          <w:rFonts w:ascii="Arial" w:hAnsi="Arial" w:cs="Arial"/>
          <w:color w:val="04073A"/>
        </w:rPr>
        <w:t xml:space="preserve">In addition, the availability of charging stations is also an important factor </w:t>
      </w:r>
      <w:r>
        <w:rPr>
          <w:rFonts w:ascii="Arial" w:hAnsi="Arial" w:cs="Arial"/>
          <w:color w:val="04073A"/>
        </w:rPr>
        <w:lastRenderedPageBreak/>
        <w:t xml:space="preserve">influencing consumers’ decision to purchase electric vehicles. More than a third of respondents said the availability of charging stations was “very important” or “extremely important,” with 30.41% and 35.77% respectively. </w:t>
      </w:r>
      <w:r>
        <w:rPr>
          <w:rFonts w:ascii="Arial" w:hAnsi="Arial" w:cs="Arial"/>
        </w:rPr>
        <w:t>This suggests that the availability and quality of charging infrastructure play a crucial role in the promotion of electric vehicles.</w:t>
      </w:r>
    </w:p>
    <w:p w14:paraId="7CA49F75" w14:textId="77777777" w:rsidR="0067740A" w:rsidRDefault="00000000">
      <w:pPr>
        <w:pStyle w:val="a6"/>
        <w:spacing w:line="360" w:lineRule="auto"/>
        <w:ind w:left="160" w:right="278" w:firstLine="479"/>
        <w:rPr>
          <w:rFonts w:ascii="Arial" w:hAnsi="Arial" w:cs="Arial"/>
          <w:lang w:eastAsia="zh-CN"/>
        </w:rPr>
      </w:pPr>
      <w:r>
        <w:rPr>
          <w:rFonts w:ascii="Arial" w:hAnsi="Arial" w:cs="Arial"/>
          <w:color w:val="04073A"/>
          <w:lang w:eastAsia="zh-CN"/>
        </w:rPr>
        <w:t xml:space="preserve">In summary, </w:t>
      </w:r>
      <w:r>
        <w:rPr>
          <w:rFonts w:ascii="Arial" w:hAnsi="Arial" w:cs="Arial"/>
          <w:lang w:eastAsia="zh-CN"/>
        </w:rPr>
        <w:t>c</w:t>
      </w:r>
      <w:r>
        <w:rPr>
          <w:rFonts w:ascii="Arial" w:hAnsi="Arial" w:cs="Arial"/>
        </w:rPr>
        <w:t>onsumers are increasingly attentive to the sustainability initiatives and environmental performance of automotive brands and express a willingness to pay more for environmentally friendly products.</w:t>
      </w:r>
      <w:r>
        <w:rPr>
          <w:rFonts w:ascii="Arial" w:hAnsi="Arial" w:cs="Arial"/>
          <w:lang w:eastAsia="zh-CN"/>
        </w:rPr>
        <w:t xml:space="preserve"> </w:t>
      </w:r>
      <w:r>
        <w:rPr>
          <w:rFonts w:ascii="Arial" w:hAnsi="Arial" w:cs="Arial"/>
          <w:color w:val="04073A"/>
          <w:lang w:eastAsia="zh-CN"/>
        </w:rPr>
        <w:t xml:space="preserve">However, </w:t>
      </w:r>
      <w:r>
        <w:rPr>
          <w:rFonts w:ascii="Arial" w:hAnsi="Arial" w:cs="Arial"/>
          <w:lang w:eastAsia="zh-CN"/>
        </w:rPr>
        <w:t>t</w:t>
      </w:r>
      <w:r>
        <w:rPr>
          <w:rFonts w:ascii="Arial" w:hAnsi="Arial" w:cs="Arial"/>
        </w:rPr>
        <w:t>he availability of charging stations remains a critical factor affecting the expansion of the electric vehicle market.</w:t>
      </w:r>
    </w:p>
    <w:p w14:paraId="52864EED" w14:textId="77777777" w:rsidR="0067740A" w:rsidRDefault="0067740A">
      <w:pPr>
        <w:pStyle w:val="3"/>
        <w:spacing w:line="360" w:lineRule="auto"/>
        <w:rPr>
          <w:rFonts w:ascii="Arial" w:hAnsi="Arial" w:cs="Arial"/>
          <w:szCs w:val="24"/>
        </w:rPr>
      </w:pPr>
      <w:bookmarkStart w:id="124" w:name="OLE_LINK105"/>
      <w:bookmarkStart w:id="125" w:name="OLE_LINK104"/>
    </w:p>
    <w:p w14:paraId="058ECADE" w14:textId="77777777" w:rsidR="0067740A" w:rsidRDefault="0067740A">
      <w:pPr>
        <w:rPr>
          <w:rFonts w:ascii="Arial" w:hAnsi="Arial" w:cs="Arial"/>
        </w:rPr>
      </w:pPr>
    </w:p>
    <w:p w14:paraId="52096849" w14:textId="77777777" w:rsidR="0067740A" w:rsidRDefault="0067740A">
      <w:pPr>
        <w:rPr>
          <w:rFonts w:ascii="Arial" w:hAnsi="Arial" w:cs="Arial"/>
        </w:rPr>
      </w:pPr>
    </w:p>
    <w:p w14:paraId="4DF296DB" w14:textId="77777777" w:rsidR="0067740A" w:rsidRDefault="0067740A">
      <w:pPr>
        <w:rPr>
          <w:rFonts w:ascii="Arial" w:hAnsi="Arial" w:cs="Arial"/>
        </w:rPr>
      </w:pPr>
    </w:p>
    <w:p w14:paraId="6E921D55" w14:textId="77777777" w:rsidR="0067740A" w:rsidRDefault="0067740A">
      <w:pPr>
        <w:rPr>
          <w:rFonts w:ascii="Arial" w:hAnsi="Arial" w:cs="Arial"/>
        </w:rPr>
      </w:pPr>
    </w:p>
    <w:p w14:paraId="767C348C" w14:textId="77777777" w:rsidR="0067740A" w:rsidRDefault="0067740A">
      <w:pPr>
        <w:rPr>
          <w:rFonts w:ascii="Arial" w:hAnsi="Arial" w:cs="Arial"/>
        </w:rPr>
      </w:pPr>
    </w:p>
    <w:p w14:paraId="15F8C3A4" w14:textId="77777777" w:rsidR="0067740A" w:rsidRDefault="0067740A">
      <w:pPr>
        <w:rPr>
          <w:rFonts w:ascii="Arial" w:hAnsi="Arial" w:cs="Arial"/>
        </w:rPr>
      </w:pPr>
    </w:p>
    <w:p w14:paraId="037629E6" w14:textId="77777777" w:rsidR="0067740A" w:rsidRDefault="0067740A">
      <w:pPr>
        <w:rPr>
          <w:rFonts w:ascii="Arial" w:hAnsi="Arial" w:cs="Arial"/>
        </w:rPr>
      </w:pPr>
    </w:p>
    <w:p w14:paraId="6731FC52" w14:textId="77777777" w:rsidR="0067740A" w:rsidRDefault="0067740A">
      <w:pPr>
        <w:rPr>
          <w:rFonts w:ascii="Arial" w:hAnsi="Arial" w:cs="Arial"/>
        </w:rPr>
      </w:pPr>
    </w:p>
    <w:p w14:paraId="03A9D698" w14:textId="77777777" w:rsidR="0067740A" w:rsidRDefault="0067740A">
      <w:pPr>
        <w:rPr>
          <w:rFonts w:ascii="Arial" w:hAnsi="Arial" w:cs="Arial"/>
        </w:rPr>
      </w:pPr>
    </w:p>
    <w:p w14:paraId="259A41EA" w14:textId="77777777" w:rsidR="0067740A" w:rsidRDefault="0067740A">
      <w:pPr>
        <w:rPr>
          <w:rFonts w:ascii="Arial" w:hAnsi="Arial" w:cs="Arial"/>
        </w:rPr>
      </w:pPr>
    </w:p>
    <w:p w14:paraId="29DF666E" w14:textId="77777777" w:rsidR="0067740A" w:rsidRDefault="0067740A">
      <w:pPr>
        <w:rPr>
          <w:rFonts w:ascii="Arial" w:hAnsi="Arial" w:cs="Arial"/>
        </w:rPr>
      </w:pPr>
    </w:p>
    <w:p w14:paraId="7A695B2E" w14:textId="77777777" w:rsidR="0067740A" w:rsidRDefault="0067740A">
      <w:pPr>
        <w:rPr>
          <w:rFonts w:ascii="Arial" w:hAnsi="Arial" w:cs="Arial"/>
        </w:rPr>
      </w:pPr>
    </w:p>
    <w:p w14:paraId="36DBF005" w14:textId="77777777" w:rsidR="0067740A" w:rsidRDefault="0067740A">
      <w:pPr>
        <w:rPr>
          <w:rFonts w:ascii="Arial" w:hAnsi="Arial" w:cs="Arial"/>
        </w:rPr>
      </w:pPr>
    </w:p>
    <w:p w14:paraId="2E93B07B" w14:textId="77777777" w:rsidR="0067740A" w:rsidRDefault="0067740A">
      <w:pPr>
        <w:rPr>
          <w:rFonts w:ascii="Arial" w:hAnsi="Arial" w:cs="Arial"/>
        </w:rPr>
      </w:pPr>
    </w:p>
    <w:p w14:paraId="72E62F27" w14:textId="77777777" w:rsidR="0067740A" w:rsidRDefault="0067740A">
      <w:pPr>
        <w:rPr>
          <w:rFonts w:ascii="Arial" w:hAnsi="Arial" w:cs="Arial"/>
        </w:rPr>
      </w:pPr>
    </w:p>
    <w:p w14:paraId="03ABEE85" w14:textId="77777777" w:rsidR="0067740A" w:rsidRDefault="0067740A">
      <w:pPr>
        <w:rPr>
          <w:rFonts w:ascii="Arial" w:hAnsi="Arial" w:cs="Arial"/>
        </w:rPr>
      </w:pPr>
    </w:p>
    <w:p w14:paraId="75EA27D3" w14:textId="77777777" w:rsidR="0067740A" w:rsidRDefault="0067740A">
      <w:pPr>
        <w:rPr>
          <w:rFonts w:ascii="Arial" w:hAnsi="Arial" w:cs="Arial"/>
        </w:rPr>
      </w:pPr>
    </w:p>
    <w:p w14:paraId="3306BCBE" w14:textId="77777777" w:rsidR="0067740A" w:rsidRDefault="0067740A">
      <w:pPr>
        <w:rPr>
          <w:rFonts w:ascii="Arial" w:hAnsi="Arial" w:cs="Arial"/>
        </w:rPr>
      </w:pPr>
    </w:p>
    <w:p w14:paraId="24839EDD" w14:textId="77777777" w:rsidR="0067740A" w:rsidRDefault="0067740A">
      <w:pPr>
        <w:rPr>
          <w:rFonts w:ascii="Arial" w:hAnsi="Arial" w:cs="Arial"/>
        </w:rPr>
      </w:pPr>
    </w:p>
    <w:p w14:paraId="687255F4" w14:textId="77777777" w:rsidR="0067740A" w:rsidRDefault="0067740A">
      <w:pPr>
        <w:rPr>
          <w:rFonts w:ascii="Arial" w:hAnsi="Arial" w:cs="Arial"/>
        </w:rPr>
      </w:pPr>
    </w:p>
    <w:p w14:paraId="05587166" w14:textId="77777777" w:rsidR="0067740A" w:rsidRDefault="0067740A">
      <w:pPr>
        <w:rPr>
          <w:rFonts w:ascii="Arial" w:hAnsi="Arial" w:cs="Arial"/>
        </w:rPr>
      </w:pPr>
    </w:p>
    <w:p w14:paraId="2D02FDEB" w14:textId="77777777" w:rsidR="0067740A" w:rsidRDefault="0067740A">
      <w:pPr>
        <w:rPr>
          <w:rFonts w:ascii="Arial" w:hAnsi="Arial" w:cs="Arial"/>
        </w:rPr>
      </w:pPr>
    </w:p>
    <w:p w14:paraId="66D3EC1F" w14:textId="77777777" w:rsidR="0067740A" w:rsidRDefault="0067740A">
      <w:pPr>
        <w:rPr>
          <w:rFonts w:ascii="Arial" w:hAnsi="Arial" w:cs="Arial"/>
        </w:rPr>
      </w:pPr>
    </w:p>
    <w:p w14:paraId="6B16539A" w14:textId="77777777" w:rsidR="0067740A" w:rsidRDefault="0067740A">
      <w:pPr>
        <w:rPr>
          <w:rFonts w:ascii="Arial" w:hAnsi="Arial" w:cs="Arial"/>
        </w:rPr>
      </w:pPr>
    </w:p>
    <w:p w14:paraId="52921BD4" w14:textId="77777777" w:rsidR="0067740A" w:rsidRDefault="0067740A">
      <w:pPr>
        <w:rPr>
          <w:rFonts w:ascii="Arial" w:hAnsi="Arial" w:cs="Arial"/>
        </w:rPr>
      </w:pPr>
    </w:p>
    <w:p w14:paraId="4A42689C" w14:textId="77777777" w:rsidR="0067740A" w:rsidRDefault="00000000">
      <w:pPr>
        <w:rPr>
          <w:rFonts w:ascii="Arial" w:eastAsiaTheme="majorEastAsia" w:hAnsi="Arial" w:cs="Arial"/>
          <w:b/>
          <w:color w:val="000000" w:themeColor="text1"/>
        </w:rPr>
      </w:pPr>
      <w:r>
        <w:rPr>
          <w:rFonts w:ascii="Arial" w:hAnsi="Arial" w:cs="Arial"/>
        </w:rPr>
        <w:br w:type="page"/>
      </w:r>
    </w:p>
    <w:p w14:paraId="70B40548" w14:textId="77777777" w:rsidR="0067740A" w:rsidRDefault="00000000">
      <w:pPr>
        <w:pStyle w:val="2"/>
        <w:rPr>
          <w:rFonts w:ascii="Arial" w:hAnsi="Arial" w:cs="Arial"/>
          <w:szCs w:val="24"/>
        </w:rPr>
      </w:pPr>
      <w:bookmarkStart w:id="126" w:name="_Toc177666046"/>
      <w:r>
        <w:rPr>
          <w:rFonts w:ascii="Arial" w:hAnsi="Arial" w:cs="Arial"/>
          <w:szCs w:val="24"/>
        </w:rPr>
        <w:lastRenderedPageBreak/>
        <w:t>Appendix</w:t>
      </w:r>
      <w:bookmarkEnd w:id="124"/>
      <w:bookmarkEnd w:id="125"/>
      <w:r>
        <w:rPr>
          <w:rFonts w:ascii="Arial" w:hAnsi="Arial" w:cs="Arial"/>
          <w:szCs w:val="24"/>
        </w:rPr>
        <w:t xml:space="preserve"> C: Interview Questions</w:t>
      </w:r>
      <w:bookmarkEnd w:id="126"/>
    </w:p>
    <w:p w14:paraId="453B887A" w14:textId="77777777" w:rsidR="0067740A" w:rsidRDefault="00000000">
      <w:pPr>
        <w:pStyle w:val="af"/>
        <w:spacing w:line="360" w:lineRule="auto"/>
        <w:rPr>
          <w:rFonts w:ascii="Arial" w:hAnsi="Arial" w:cs="Arial"/>
        </w:rPr>
      </w:pPr>
      <w:r>
        <w:rPr>
          <w:rStyle w:val="af5"/>
          <w:rFonts w:ascii="Arial" w:hAnsi="Arial" w:cs="Arial"/>
        </w:rPr>
        <w:t>Introduction:</w:t>
      </w:r>
    </w:p>
    <w:p w14:paraId="17EF8AC3" w14:textId="77777777" w:rsidR="0067740A" w:rsidRDefault="00000000">
      <w:pPr>
        <w:pStyle w:val="af"/>
        <w:spacing w:line="360" w:lineRule="auto"/>
        <w:rPr>
          <w:rFonts w:ascii="Arial" w:hAnsi="Arial" w:cs="Arial"/>
        </w:rPr>
      </w:pPr>
      <w:r>
        <w:rPr>
          <w:rFonts w:ascii="Arial" w:hAnsi="Arial" w:cs="Arial"/>
        </w:rPr>
        <w:t>This semi-structured interview is designed to gather insights on consumer perceptions of Volkswagen’s sustainability initiatives, particularly in the areas of green manufacturing and electric vehicles (EVs). Your responses will provide valuable qualitative data that will complement the quantitative findings of the study.</w:t>
      </w:r>
    </w:p>
    <w:p w14:paraId="5BAB1788" w14:textId="77777777" w:rsidR="0067740A" w:rsidRDefault="00000000">
      <w:pPr>
        <w:pStyle w:val="af"/>
        <w:spacing w:line="360" w:lineRule="auto"/>
        <w:rPr>
          <w:rFonts w:ascii="Arial" w:hAnsi="Arial" w:cs="Arial"/>
        </w:rPr>
      </w:pPr>
      <w:r>
        <w:rPr>
          <w:rStyle w:val="af5"/>
          <w:rFonts w:ascii="Arial" w:hAnsi="Arial" w:cs="Arial"/>
        </w:rPr>
        <w:t>Interview Questions:</w:t>
      </w:r>
    </w:p>
    <w:p w14:paraId="4DB29B31" w14:textId="77777777" w:rsidR="0067740A" w:rsidRDefault="00000000">
      <w:pPr>
        <w:pStyle w:val="af"/>
        <w:numPr>
          <w:ilvl w:val="0"/>
          <w:numId w:val="15"/>
        </w:numPr>
        <w:spacing w:line="360" w:lineRule="auto"/>
        <w:rPr>
          <w:rFonts w:ascii="Arial" w:hAnsi="Arial" w:cs="Arial"/>
        </w:rPr>
      </w:pPr>
      <w:r>
        <w:rPr>
          <w:rStyle w:val="af5"/>
          <w:rFonts w:ascii="Arial" w:hAnsi="Arial" w:cs="Arial"/>
        </w:rPr>
        <w:t>Perception of Sustainability Initiatives:</w:t>
      </w:r>
    </w:p>
    <w:p w14:paraId="57F87806"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 xml:space="preserve">How familiar are you with </w:t>
      </w:r>
      <w:r>
        <w:rPr>
          <w:rStyle w:val="af5"/>
          <w:rFonts w:ascii="Arial" w:hAnsi="Arial" w:cs="Arial"/>
        </w:rPr>
        <w:t>Volkswagen’s sustainability initiatives</w:t>
      </w:r>
      <w:r>
        <w:rPr>
          <w:rFonts w:ascii="Arial" w:hAnsi="Arial" w:cs="Arial"/>
        </w:rPr>
        <w:t>?</w:t>
      </w:r>
    </w:p>
    <w:p w14:paraId="7221541F"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What aspects of their sustainability efforts (e.g., electric vehicles, green manufacturing) stand out most to you?</w:t>
      </w:r>
    </w:p>
    <w:p w14:paraId="03A51038" w14:textId="77777777" w:rsidR="0067740A" w:rsidRDefault="00000000">
      <w:pPr>
        <w:pStyle w:val="af"/>
        <w:numPr>
          <w:ilvl w:val="0"/>
          <w:numId w:val="15"/>
        </w:numPr>
        <w:spacing w:line="360" w:lineRule="auto"/>
        <w:rPr>
          <w:rFonts w:ascii="Arial" w:hAnsi="Arial" w:cs="Arial"/>
        </w:rPr>
      </w:pPr>
      <w:r>
        <w:rPr>
          <w:rStyle w:val="af5"/>
          <w:rFonts w:ascii="Arial" w:hAnsi="Arial" w:cs="Arial"/>
        </w:rPr>
        <w:t>Trust and Genuineness:</w:t>
      </w:r>
    </w:p>
    <w:p w14:paraId="6E6BD77C"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 xml:space="preserve">Do you believe that </w:t>
      </w:r>
      <w:r>
        <w:rPr>
          <w:rStyle w:val="af5"/>
          <w:rFonts w:ascii="Arial" w:hAnsi="Arial" w:cs="Arial"/>
        </w:rPr>
        <w:t>Volkswagen’s sustainability initiatives</w:t>
      </w:r>
      <w:r>
        <w:rPr>
          <w:rFonts w:ascii="Arial" w:hAnsi="Arial" w:cs="Arial"/>
        </w:rPr>
        <w:t xml:space="preserve"> are genuine, or do you think they are largely driven by marketing or public relations?</w:t>
      </w:r>
    </w:p>
    <w:p w14:paraId="3A369128"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In what ways could Volkswagen improve transparency to build trust in its sustainability claims?</w:t>
      </w:r>
    </w:p>
    <w:p w14:paraId="5A6B6E97" w14:textId="77777777" w:rsidR="0067740A" w:rsidRDefault="00000000">
      <w:pPr>
        <w:pStyle w:val="af"/>
        <w:numPr>
          <w:ilvl w:val="0"/>
          <w:numId w:val="15"/>
        </w:numPr>
        <w:spacing w:line="360" w:lineRule="auto"/>
        <w:rPr>
          <w:rFonts w:ascii="Arial" w:hAnsi="Arial" w:cs="Arial"/>
        </w:rPr>
      </w:pPr>
      <w:r>
        <w:rPr>
          <w:rStyle w:val="af5"/>
          <w:rFonts w:ascii="Arial" w:hAnsi="Arial" w:cs="Arial"/>
        </w:rPr>
        <w:t>Impact on Purchasing Decisions:</w:t>
      </w:r>
    </w:p>
    <w:p w14:paraId="667E867F"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Have Volkswagen’s sustainability initiatives influenced your decision to purchase or consider purchasing a Volkswagen vehicle?</w:t>
      </w:r>
    </w:p>
    <w:p w14:paraId="1EFAA8B4"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What specific environmental factors (e.g., carbon footprint, use of sustainable materials) most affect your purchase decisions when considering an electric vehicle?</w:t>
      </w:r>
    </w:p>
    <w:p w14:paraId="1126D0D1" w14:textId="77777777" w:rsidR="0067740A" w:rsidRDefault="00000000">
      <w:pPr>
        <w:pStyle w:val="af"/>
        <w:numPr>
          <w:ilvl w:val="0"/>
          <w:numId w:val="15"/>
        </w:numPr>
        <w:spacing w:line="360" w:lineRule="auto"/>
        <w:rPr>
          <w:rFonts w:ascii="Arial" w:hAnsi="Arial" w:cs="Arial"/>
        </w:rPr>
      </w:pPr>
      <w:r>
        <w:rPr>
          <w:rStyle w:val="af5"/>
          <w:rFonts w:ascii="Arial" w:hAnsi="Arial" w:cs="Arial"/>
        </w:rPr>
        <w:t>Price vs. Environmental Concerns:</w:t>
      </w:r>
    </w:p>
    <w:p w14:paraId="1925AA16"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How important is price when considering purchasing an electric vehicle?</w:t>
      </w:r>
    </w:p>
    <w:p w14:paraId="54FABE65"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Would you be willing to pay more for a vehicle that aligns with your environmental values, or is price a more critical factor?</w:t>
      </w:r>
    </w:p>
    <w:p w14:paraId="32670F92" w14:textId="77777777" w:rsidR="0067740A" w:rsidRDefault="00000000">
      <w:pPr>
        <w:pStyle w:val="af"/>
        <w:numPr>
          <w:ilvl w:val="0"/>
          <w:numId w:val="15"/>
        </w:numPr>
        <w:spacing w:line="360" w:lineRule="auto"/>
        <w:rPr>
          <w:rFonts w:ascii="Arial" w:hAnsi="Arial" w:cs="Arial"/>
        </w:rPr>
      </w:pPr>
      <w:r>
        <w:rPr>
          <w:rStyle w:val="af5"/>
          <w:rFonts w:ascii="Arial" w:hAnsi="Arial" w:cs="Arial"/>
        </w:rPr>
        <w:t>Innovation and Future-Proofing:</w:t>
      </w:r>
    </w:p>
    <w:p w14:paraId="36CD1694"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 xml:space="preserve">How do you perceive </w:t>
      </w:r>
      <w:r>
        <w:rPr>
          <w:rStyle w:val="af5"/>
          <w:rFonts w:ascii="Arial" w:hAnsi="Arial" w:cs="Arial"/>
        </w:rPr>
        <w:t>Volkswagen’s investment</w:t>
      </w:r>
      <w:r>
        <w:rPr>
          <w:rFonts w:ascii="Arial" w:hAnsi="Arial" w:cs="Arial"/>
        </w:rPr>
        <w:t xml:space="preserve"> in electric vehicle technology and innovation (e.g., battery life, autonomous driving)?</w:t>
      </w:r>
    </w:p>
    <w:p w14:paraId="74E7EAA1"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lastRenderedPageBreak/>
        <w:t>Do you think that their focus on innovation makes them more competitive in the long term compared to other automotive brands?</w:t>
      </w:r>
    </w:p>
    <w:p w14:paraId="00210B8B" w14:textId="77777777" w:rsidR="0067740A" w:rsidRDefault="00000000">
      <w:pPr>
        <w:pStyle w:val="af"/>
        <w:numPr>
          <w:ilvl w:val="0"/>
          <w:numId w:val="15"/>
        </w:numPr>
        <w:spacing w:line="360" w:lineRule="auto"/>
        <w:rPr>
          <w:rFonts w:ascii="Arial" w:hAnsi="Arial" w:cs="Arial"/>
        </w:rPr>
      </w:pPr>
      <w:r>
        <w:rPr>
          <w:rStyle w:val="af5"/>
          <w:rFonts w:ascii="Arial" w:hAnsi="Arial" w:cs="Arial"/>
        </w:rPr>
        <w:t>Suggestions for Improvement:</w:t>
      </w:r>
    </w:p>
    <w:p w14:paraId="0EC479F0"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What additional steps do you think Volkswagen could take to further enhance its sustainability initiatives?</w:t>
      </w:r>
    </w:p>
    <w:p w14:paraId="2286A6A3"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What improvements would make you more likely to purchase from Volkswagen?</w:t>
      </w:r>
    </w:p>
    <w:p w14:paraId="22B370C6" w14:textId="77777777" w:rsidR="0067740A" w:rsidRDefault="00000000">
      <w:pPr>
        <w:pStyle w:val="af"/>
        <w:numPr>
          <w:ilvl w:val="0"/>
          <w:numId w:val="15"/>
        </w:numPr>
        <w:spacing w:line="360" w:lineRule="auto"/>
        <w:rPr>
          <w:rFonts w:ascii="Arial" w:hAnsi="Arial" w:cs="Arial"/>
        </w:rPr>
      </w:pPr>
      <w:r>
        <w:rPr>
          <w:rStyle w:val="af5"/>
          <w:rFonts w:ascii="Arial" w:hAnsi="Arial" w:cs="Arial"/>
        </w:rPr>
        <w:t>General Perceptions of Volkswagen:</w:t>
      </w:r>
    </w:p>
    <w:p w14:paraId="58FA1267"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How do Volkswagen’s sustainability efforts influence your overall perception of the brand compared to other automakers?</w:t>
      </w:r>
    </w:p>
    <w:p w14:paraId="0CA0D549" w14:textId="77777777" w:rsidR="0067740A" w:rsidRDefault="00000000">
      <w:pPr>
        <w:numPr>
          <w:ilvl w:val="1"/>
          <w:numId w:val="15"/>
        </w:numPr>
        <w:spacing w:before="100" w:beforeAutospacing="1" w:after="100" w:afterAutospacing="1" w:line="360" w:lineRule="auto"/>
        <w:rPr>
          <w:rFonts w:ascii="Arial" w:hAnsi="Arial" w:cs="Arial"/>
        </w:rPr>
      </w:pPr>
      <w:r>
        <w:rPr>
          <w:rFonts w:ascii="Arial" w:hAnsi="Arial" w:cs="Arial"/>
        </w:rPr>
        <w:t>Would you recommend Volkswagen based on their sustainability practices? Why or why not?</w:t>
      </w:r>
    </w:p>
    <w:p w14:paraId="1122F929" w14:textId="77777777" w:rsidR="0067740A" w:rsidRDefault="00000000">
      <w:pPr>
        <w:pStyle w:val="af"/>
        <w:spacing w:line="360" w:lineRule="auto"/>
        <w:rPr>
          <w:rFonts w:ascii="Arial" w:hAnsi="Arial" w:cs="Arial"/>
        </w:rPr>
      </w:pPr>
      <w:proofErr w:type="spellStart"/>
      <w:r>
        <w:rPr>
          <w:rStyle w:val="af5"/>
          <w:rFonts w:ascii="Arial" w:hAnsi="Arial" w:cs="Arial"/>
        </w:rPr>
        <w:t>Closing:</w:t>
      </w:r>
      <w:r>
        <w:rPr>
          <w:rFonts w:ascii="Arial" w:hAnsi="Arial" w:cs="Arial"/>
        </w:rPr>
        <w:t>Thank</w:t>
      </w:r>
      <w:proofErr w:type="spellEnd"/>
      <w:r>
        <w:rPr>
          <w:rFonts w:ascii="Arial" w:hAnsi="Arial" w:cs="Arial"/>
        </w:rPr>
        <w:t xml:space="preserve"> you for your valuable insights. Your responses will contribute to a deeper understanding of consumer behaviour related to sustainability in the automotive industry.</w:t>
      </w:r>
    </w:p>
    <w:p w14:paraId="05BD50BF" w14:textId="77777777" w:rsidR="0067740A" w:rsidRDefault="0067740A">
      <w:pPr>
        <w:pStyle w:val="af"/>
        <w:spacing w:line="360" w:lineRule="auto"/>
        <w:rPr>
          <w:rFonts w:ascii="Arial" w:hAnsi="Arial" w:cs="Arial"/>
        </w:rPr>
      </w:pPr>
    </w:p>
    <w:p w14:paraId="4ACF615D" w14:textId="77777777" w:rsidR="0067740A" w:rsidRDefault="0067740A">
      <w:pPr>
        <w:pStyle w:val="3"/>
        <w:spacing w:line="360" w:lineRule="auto"/>
        <w:rPr>
          <w:rFonts w:ascii="Arial" w:hAnsi="Arial" w:cs="Arial"/>
          <w:szCs w:val="24"/>
        </w:rPr>
      </w:pPr>
    </w:p>
    <w:p w14:paraId="10D70C8C" w14:textId="77777777" w:rsidR="0067740A" w:rsidRDefault="0067740A">
      <w:pPr>
        <w:pStyle w:val="3"/>
        <w:spacing w:line="360" w:lineRule="auto"/>
        <w:rPr>
          <w:rFonts w:ascii="Arial" w:hAnsi="Arial" w:cs="Arial"/>
          <w:szCs w:val="24"/>
        </w:rPr>
      </w:pPr>
    </w:p>
    <w:p w14:paraId="25090F95" w14:textId="77777777" w:rsidR="0067740A" w:rsidRDefault="0067740A">
      <w:pPr>
        <w:rPr>
          <w:rFonts w:ascii="Arial" w:hAnsi="Arial" w:cs="Arial"/>
        </w:rPr>
      </w:pPr>
    </w:p>
    <w:p w14:paraId="67A78DDC" w14:textId="77777777" w:rsidR="0067740A" w:rsidRDefault="0067740A">
      <w:pPr>
        <w:rPr>
          <w:rFonts w:ascii="Arial" w:hAnsi="Arial" w:cs="Arial"/>
        </w:rPr>
      </w:pPr>
    </w:p>
    <w:p w14:paraId="21FA1CBF" w14:textId="77777777" w:rsidR="0067740A" w:rsidRDefault="0067740A">
      <w:pPr>
        <w:rPr>
          <w:rFonts w:ascii="Arial" w:hAnsi="Arial" w:cs="Arial"/>
        </w:rPr>
      </w:pPr>
    </w:p>
    <w:p w14:paraId="132D8D7A" w14:textId="77777777" w:rsidR="0067740A" w:rsidRDefault="0067740A">
      <w:pPr>
        <w:rPr>
          <w:rFonts w:ascii="Arial" w:hAnsi="Arial" w:cs="Arial"/>
        </w:rPr>
      </w:pPr>
    </w:p>
    <w:p w14:paraId="55993CBD" w14:textId="77777777" w:rsidR="0067740A" w:rsidRDefault="0067740A">
      <w:pPr>
        <w:rPr>
          <w:rFonts w:ascii="Arial" w:hAnsi="Arial" w:cs="Arial"/>
        </w:rPr>
      </w:pPr>
    </w:p>
    <w:p w14:paraId="72BBFA12" w14:textId="77777777" w:rsidR="0067740A" w:rsidRDefault="0067740A">
      <w:pPr>
        <w:rPr>
          <w:rFonts w:ascii="Arial" w:hAnsi="Arial" w:cs="Arial"/>
        </w:rPr>
      </w:pPr>
    </w:p>
    <w:p w14:paraId="30757575" w14:textId="77777777" w:rsidR="0067740A" w:rsidRDefault="0067740A">
      <w:pPr>
        <w:rPr>
          <w:rFonts w:ascii="Arial" w:hAnsi="Arial" w:cs="Arial"/>
        </w:rPr>
      </w:pPr>
    </w:p>
    <w:p w14:paraId="2527D928" w14:textId="77777777" w:rsidR="0067740A" w:rsidRDefault="0067740A">
      <w:pPr>
        <w:rPr>
          <w:rFonts w:ascii="Arial" w:hAnsi="Arial" w:cs="Arial"/>
        </w:rPr>
      </w:pPr>
    </w:p>
    <w:p w14:paraId="04C28A3C" w14:textId="77777777" w:rsidR="0067740A" w:rsidRDefault="0067740A">
      <w:pPr>
        <w:rPr>
          <w:rFonts w:ascii="Arial" w:hAnsi="Arial" w:cs="Arial"/>
        </w:rPr>
      </w:pPr>
    </w:p>
    <w:p w14:paraId="363DC3D7" w14:textId="77777777" w:rsidR="0067740A" w:rsidRDefault="0067740A">
      <w:pPr>
        <w:rPr>
          <w:rFonts w:ascii="Arial" w:hAnsi="Arial" w:cs="Arial"/>
        </w:rPr>
      </w:pPr>
    </w:p>
    <w:p w14:paraId="7A8ED0BD" w14:textId="77777777" w:rsidR="0067740A" w:rsidRDefault="00000000">
      <w:pPr>
        <w:rPr>
          <w:rFonts w:ascii="Arial" w:eastAsiaTheme="majorEastAsia" w:hAnsi="Arial" w:cs="Arial"/>
          <w:b/>
          <w:color w:val="000000" w:themeColor="text1"/>
        </w:rPr>
      </w:pPr>
      <w:r>
        <w:rPr>
          <w:rFonts w:ascii="Arial" w:hAnsi="Arial" w:cs="Arial"/>
        </w:rPr>
        <w:br w:type="page"/>
      </w:r>
    </w:p>
    <w:p w14:paraId="53EAE75B" w14:textId="77777777" w:rsidR="0067740A" w:rsidRDefault="00000000">
      <w:pPr>
        <w:pStyle w:val="2"/>
        <w:rPr>
          <w:rFonts w:ascii="Arial" w:hAnsi="Arial" w:cs="Arial"/>
          <w:szCs w:val="24"/>
        </w:rPr>
      </w:pPr>
      <w:bookmarkStart w:id="127" w:name="_Toc177666047"/>
      <w:r>
        <w:rPr>
          <w:rFonts w:ascii="Arial" w:hAnsi="Arial" w:cs="Arial"/>
          <w:szCs w:val="24"/>
        </w:rPr>
        <w:lastRenderedPageBreak/>
        <w:t>Appendix D: Qualitative Data Collection and Analysis: Interview Process</w:t>
      </w:r>
      <w:bookmarkEnd w:id="127"/>
    </w:p>
    <w:p w14:paraId="75BA8245" w14:textId="77777777" w:rsidR="0067740A" w:rsidRDefault="00000000">
      <w:pPr>
        <w:pStyle w:val="af"/>
        <w:spacing w:line="360" w:lineRule="auto"/>
        <w:ind w:firstLine="567"/>
        <w:rPr>
          <w:rFonts w:ascii="Arial" w:hAnsi="Arial" w:cs="Arial"/>
        </w:rPr>
      </w:pPr>
      <w:r>
        <w:rPr>
          <w:rFonts w:ascii="Arial" w:hAnsi="Arial" w:cs="Arial"/>
        </w:rPr>
        <w:t>To gain a deeper understanding of consumer perceptions regarding Volkswagen’s sustainability initiatives, semi-structured interviews were conducted with a select group of respondents who had previously completed the survey. These interviews provided valuable qualitative insights, complementing the quantitative data and shedding light on the motivations and attitudes driving consumer behaviour.</w:t>
      </w:r>
    </w:p>
    <w:p w14:paraId="0F2486B5" w14:textId="77777777" w:rsidR="0067740A" w:rsidRDefault="00000000">
      <w:pPr>
        <w:pStyle w:val="af"/>
        <w:spacing w:line="360" w:lineRule="auto"/>
        <w:ind w:firstLine="567"/>
        <w:rPr>
          <w:rFonts w:ascii="Arial" w:hAnsi="Arial" w:cs="Arial"/>
        </w:rPr>
      </w:pPr>
      <w:r>
        <w:rPr>
          <w:rFonts w:ascii="Arial" w:hAnsi="Arial" w:cs="Arial"/>
        </w:rPr>
        <w:t>Interview Process</w:t>
      </w:r>
      <w:r>
        <w:rPr>
          <w:rFonts w:ascii="Arial" w:hAnsi="Arial" w:cs="Arial"/>
        </w:rPr>
        <w:br/>
        <w:t>The interviews followed a semi-structured format, ensuring that while key topics were covered, there was flexibility to explore areas of interest in greater depth. All interviews were recorded with participant consent and subsequently transcribed for analysis. The questions were designed to elicit in-depth perspectives on Volkswagen’s sustainability efforts and their influence on consumer purchasing decisions.</w:t>
      </w:r>
    </w:p>
    <w:p w14:paraId="075087FA" w14:textId="77777777" w:rsidR="0067740A" w:rsidRDefault="00000000">
      <w:pPr>
        <w:pStyle w:val="af"/>
        <w:spacing w:line="360" w:lineRule="auto"/>
        <w:ind w:firstLine="567"/>
        <w:rPr>
          <w:rFonts w:ascii="Arial" w:hAnsi="Arial" w:cs="Arial"/>
        </w:rPr>
      </w:pPr>
      <w:r>
        <w:rPr>
          <w:rFonts w:ascii="Arial" w:hAnsi="Arial" w:cs="Arial"/>
        </w:rPr>
        <w:t>Key Questions Explored</w:t>
      </w:r>
    </w:p>
    <w:p w14:paraId="377D3A78" w14:textId="77777777" w:rsidR="0067740A" w:rsidRDefault="00000000">
      <w:pPr>
        <w:numPr>
          <w:ilvl w:val="0"/>
          <w:numId w:val="16"/>
        </w:numPr>
        <w:spacing w:before="100" w:beforeAutospacing="1" w:after="100" w:afterAutospacing="1" w:line="360" w:lineRule="auto"/>
        <w:ind w:firstLine="567"/>
        <w:rPr>
          <w:rFonts w:ascii="Arial" w:hAnsi="Arial" w:cs="Arial"/>
        </w:rPr>
      </w:pPr>
      <w:r>
        <w:rPr>
          <w:rFonts w:ascii="Arial" w:hAnsi="Arial" w:cs="Arial"/>
        </w:rPr>
        <w:t>Perception of Sustainability Initiatives: "How do you perceive Volkswagen’s sustainability initiatives? Do you believe they are genuine or merely a marketing strategy?"</w:t>
      </w:r>
    </w:p>
    <w:p w14:paraId="5A38CD5B" w14:textId="77777777" w:rsidR="0067740A" w:rsidRDefault="00000000">
      <w:pPr>
        <w:numPr>
          <w:ilvl w:val="0"/>
          <w:numId w:val="16"/>
        </w:numPr>
        <w:spacing w:before="100" w:beforeAutospacing="1" w:after="100" w:afterAutospacing="1" w:line="360" w:lineRule="auto"/>
        <w:ind w:firstLine="567"/>
        <w:rPr>
          <w:rFonts w:ascii="Arial" w:hAnsi="Arial" w:cs="Arial"/>
        </w:rPr>
      </w:pPr>
      <w:r>
        <w:rPr>
          <w:rFonts w:ascii="Arial" w:hAnsi="Arial" w:cs="Arial"/>
        </w:rPr>
        <w:t>Influence on Purchase Decisions: "Have Volkswagen’s sustainability efforts influenced your decision to purchase their products? If so, how?"</w:t>
      </w:r>
    </w:p>
    <w:p w14:paraId="502B0C00" w14:textId="77777777" w:rsidR="0067740A" w:rsidRDefault="00000000">
      <w:pPr>
        <w:numPr>
          <w:ilvl w:val="0"/>
          <w:numId w:val="16"/>
        </w:numPr>
        <w:spacing w:before="100" w:beforeAutospacing="1" w:after="100" w:afterAutospacing="1" w:line="360" w:lineRule="auto"/>
        <w:ind w:firstLine="567"/>
        <w:rPr>
          <w:rFonts w:ascii="Arial" w:hAnsi="Arial" w:cs="Arial"/>
        </w:rPr>
      </w:pPr>
      <w:r>
        <w:rPr>
          <w:rFonts w:ascii="Arial" w:hAnsi="Arial" w:cs="Arial"/>
        </w:rPr>
        <w:t>Suggestions for Improvement: "What additional sustainability initiatives or improvements would make you more inclined to buy from Volkswagen?"</w:t>
      </w:r>
    </w:p>
    <w:p w14:paraId="1E784414" w14:textId="77777777" w:rsidR="0067740A" w:rsidRDefault="00000000">
      <w:pPr>
        <w:pStyle w:val="af"/>
        <w:spacing w:line="360" w:lineRule="auto"/>
        <w:ind w:firstLine="567"/>
        <w:rPr>
          <w:rFonts w:ascii="Arial" w:hAnsi="Arial" w:cs="Arial"/>
        </w:rPr>
      </w:pPr>
      <w:r>
        <w:rPr>
          <w:rFonts w:ascii="Arial" w:hAnsi="Arial" w:cs="Arial"/>
        </w:rPr>
        <w:t>Data Collection</w:t>
      </w:r>
      <w:r>
        <w:rPr>
          <w:rFonts w:ascii="Arial" w:hAnsi="Arial" w:cs="Arial"/>
        </w:rPr>
        <w:br/>
        <w:t>Respondents were selected from various demographic groups to ensure diversity of perspectives, allowing for a more comprehensive understanding of consumer attitudes. The interviews were recorded, and the audio files were transcribed for subsequent analysis. These transcriptions formed the basis of a thematic analysis, enabling the identification of recurring patterns and themes across the responses.</w:t>
      </w:r>
    </w:p>
    <w:p w14:paraId="06D87236" w14:textId="77777777" w:rsidR="0067740A" w:rsidRDefault="00000000">
      <w:pPr>
        <w:pStyle w:val="af"/>
        <w:spacing w:line="360" w:lineRule="auto"/>
        <w:ind w:firstLine="567"/>
        <w:rPr>
          <w:rFonts w:ascii="Arial" w:hAnsi="Arial" w:cs="Arial"/>
        </w:rPr>
      </w:pPr>
      <w:r>
        <w:rPr>
          <w:rFonts w:ascii="Arial" w:hAnsi="Arial" w:cs="Arial"/>
        </w:rPr>
        <w:lastRenderedPageBreak/>
        <w:t>Data Analysis</w:t>
      </w:r>
      <w:r>
        <w:rPr>
          <w:rFonts w:ascii="Arial" w:hAnsi="Arial" w:cs="Arial"/>
        </w:rPr>
        <w:br/>
        <w:t>The thematic coding approach was employed to analyse the transcribed interviews. This process involved categorising segments of data into broader themes that reflected the underlying motivations of consumers. By systematically coding the data, the analysis revealed key patterns that were pivotal to understanding consumer perceptions.</w:t>
      </w:r>
    </w:p>
    <w:p w14:paraId="38A224E9" w14:textId="77777777" w:rsidR="0067740A" w:rsidRDefault="00000000">
      <w:pPr>
        <w:pStyle w:val="af"/>
        <w:spacing w:line="360" w:lineRule="auto"/>
        <w:ind w:firstLine="567"/>
        <w:rPr>
          <w:rFonts w:ascii="Arial" w:hAnsi="Arial" w:cs="Arial"/>
        </w:rPr>
      </w:pPr>
      <w:r>
        <w:rPr>
          <w:rFonts w:ascii="Arial" w:hAnsi="Arial" w:cs="Arial"/>
        </w:rPr>
        <w:t>The following table provides a summary of the coded data, including the initial codes, broader themes, and relevant notes associated with each data segment.</w:t>
      </w:r>
    </w:p>
    <w:tbl>
      <w:tblPr>
        <w:tblStyle w:val="af4"/>
        <w:tblW w:w="0" w:type="auto"/>
        <w:tblLook w:val="04A0" w:firstRow="1" w:lastRow="0" w:firstColumn="1" w:lastColumn="0" w:noHBand="0" w:noVBand="1"/>
      </w:tblPr>
      <w:tblGrid>
        <w:gridCol w:w="1296"/>
        <w:gridCol w:w="2110"/>
        <w:gridCol w:w="1894"/>
        <w:gridCol w:w="1978"/>
        <w:gridCol w:w="2072"/>
      </w:tblGrid>
      <w:tr w:rsidR="0067740A" w14:paraId="5AC3963A" w14:textId="77777777">
        <w:tc>
          <w:tcPr>
            <w:tcW w:w="0" w:type="auto"/>
          </w:tcPr>
          <w:p w14:paraId="3F6EC753" w14:textId="77777777" w:rsidR="0067740A" w:rsidRDefault="00000000">
            <w:pPr>
              <w:spacing w:line="360" w:lineRule="auto"/>
              <w:jc w:val="center"/>
              <w:rPr>
                <w:rFonts w:ascii="Arial" w:hAnsi="Arial" w:cs="Arial"/>
                <w:b/>
                <w:bCs/>
              </w:rPr>
            </w:pPr>
            <w:r>
              <w:rPr>
                <w:rStyle w:val="af5"/>
                <w:rFonts w:ascii="Arial" w:hAnsi="Arial" w:cs="Arial"/>
              </w:rPr>
              <w:t>Data Segment Number</w:t>
            </w:r>
          </w:p>
        </w:tc>
        <w:tc>
          <w:tcPr>
            <w:tcW w:w="0" w:type="auto"/>
          </w:tcPr>
          <w:p w14:paraId="17E19C56" w14:textId="77777777" w:rsidR="0067740A" w:rsidRDefault="00000000">
            <w:pPr>
              <w:spacing w:line="360" w:lineRule="auto"/>
              <w:jc w:val="center"/>
              <w:rPr>
                <w:rFonts w:ascii="Arial" w:hAnsi="Arial" w:cs="Arial"/>
                <w:b/>
                <w:bCs/>
              </w:rPr>
            </w:pPr>
            <w:r>
              <w:rPr>
                <w:rStyle w:val="af5"/>
                <w:rFonts w:ascii="Arial" w:hAnsi="Arial" w:cs="Arial"/>
              </w:rPr>
              <w:t>Data Segment Content</w:t>
            </w:r>
          </w:p>
        </w:tc>
        <w:tc>
          <w:tcPr>
            <w:tcW w:w="0" w:type="auto"/>
          </w:tcPr>
          <w:p w14:paraId="45375945" w14:textId="77777777" w:rsidR="0067740A" w:rsidRDefault="00000000">
            <w:pPr>
              <w:spacing w:line="360" w:lineRule="auto"/>
              <w:jc w:val="center"/>
              <w:rPr>
                <w:rFonts w:ascii="Arial" w:hAnsi="Arial" w:cs="Arial"/>
                <w:b/>
                <w:bCs/>
              </w:rPr>
            </w:pPr>
            <w:r>
              <w:rPr>
                <w:rStyle w:val="af5"/>
                <w:rFonts w:ascii="Arial" w:hAnsi="Arial" w:cs="Arial"/>
              </w:rPr>
              <w:t>Initial Coding</w:t>
            </w:r>
          </w:p>
        </w:tc>
        <w:tc>
          <w:tcPr>
            <w:tcW w:w="0" w:type="auto"/>
          </w:tcPr>
          <w:p w14:paraId="77689796" w14:textId="77777777" w:rsidR="0067740A" w:rsidRDefault="00000000">
            <w:pPr>
              <w:spacing w:line="360" w:lineRule="auto"/>
              <w:jc w:val="center"/>
              <w:rPr>
                <w:rFonts w:ascii="Arial" w:hAnsi="Arial" w:cs="Arial"/>
                <w:b/>
                <w:bCs/>
              </w:rPr>
            </w:pPr>
            <w:r>
              <w:rPr>
                <w:rStyle w:val="af5"/>
                <w:rFonts w:ascii="Arial" w:hAnsi="Arial" w:cs="Arial"/>
              </w:rPr>
              <w:t>Theme</w:t>
            </w:r>
          </w:p>
        </w:tc>
        <w:tc>
          <w:tcPr>
            <w:tcW w:w="0" w:type="auto"/>
          </w:tcPr>
          <w:p w14:paraId="028C4870" w14:textId="77777777" w:rsidR="0067740A" w:rsidRDefault="00000000">
            <w:pPr>
              <w:spacing w:line="360" w:lineRule="auto"/>
              <w:jc w:val="center"/>
              <w:rPr>
                <w:rFonts w:ascii="Arial" w:hAnsi="Arial" w:cs="Arial"/>
                <w:b/>
                <w:bCs/>
              </w:rPr>
            </w:pPr>
            <w:r>
              <w:rPr>
                <w:rStyle w:val="af5"/>
                <w:rFonts w:ascii="Arial" w:hAnsi="Arial" w:cs="Arial"/>
              </w:rPr>
              <w:t>Notes</w:t>
            </w:r>
          </w:p>
        </w:tc>
      </w:tr>
      <w:tr w:rsidR="0067740A" w14:paraId="45F0D9E6" w14:textId="77777777">
        <w:tc>
          <w:tcPr>
            <w:tcW w:w="0" w:type="auto"/>
          </w:tcPr>
          <w:p w14:paraId="1C6708FD" w14:textId="77777777" w:rsidR="0067740A" w:rsidRDefault="00000000">
            <w:pPr>
              <w:spacing w:line="360" w:lineRule="auto"/>
              <w:rPr>
                <w:rFonts w:ascii="Arial" w:hAnsi="Arial" w:cs="Arial"/>
              </w:rPr>
            </w:pPr>
            <w:r>
              <w:rPr>
                <w:rFonts w:ascii="Arial" w:hAnsi="Arial" w:cs="Arial"/>
              </w:rPr>
              <w:t>1</w:t>
            </w:r>
          </w:p>
        </w:tc>
        <w:tc>
          <w:tcPr>
            <w:tcW w:w="0" w:type="auto"/>
          </w:tcPr>
          <w:p w14:paraId="37D09B31" w14:textId="77777777" w:rsidR="0067740A" w:rsidRDefault="00000000">
            <w:pPr>
              <w:spacing w:line="360" w:lineRule="auto"/>
              <w:rPr>
                <w:rFonts w:ascii="Arial" w:hAnsi="Arial" w:cs="Arial"/>
              </w:rPr>
            </w:pPr>
            <w:r>
              <w:rPr>
                <w:rFonts w:ascii="Arial" w:hAnsi="Arial" w:cs="Arial"/>
              </w:rPr>
              <w:t>"I think Volkswagen’s focus on sustainability makes them more trustworthy."</w:t>
            </w:r>
          </w:p>
        </w:tc>
        <w:tc>
          <w:tcPr>
            <w:tcW w:w="0" w:type="auto"/>
          </w:tcPr>
          <w:p w14:paraId="58DE7300" w14:textId="77777777" w:rsidR="0067740A" w:rsidRDefault="00000000">
            <w:pPr>
              <w:spacing w:line="360" w:lineRule="auto"/>
              <w:rPr>
                <w:rFonts w:ascii="Arial" w:hAnsi="Arial" w:cs="Arial"/>
              </w:rPr>
            </w:pPr>
            <w:r>
              <w:rPr>
                <w:rFonts w:ascii="Arial" w:hAnsi="Arial" w:cs="Arial"/>
              </w:rPr>
              <w:t>Sustainability builds trust</w:t>
            </w:r>
          </w:p>
        </w:tc>
        <w:tc>
          <w:tcPr>
            <w:tcW w:w="0" w:type="auto"/>
          </w:tcPr>
          <w:p w14:paraId="68EEBCC9" w14:textId="77777777" w:rsidR="0067740A" w:rsidRDefault="00000000">
            <w:pPr>
              <w:spacing w:line="360" w:lineRule="auto"/>
              <w:rPr>
                <w:rFonts w:ascii="Arial" w:hAnsi="Arial" w:cs="Arial"/>
              </w:rPr>
            </w:pPr>
            <w:r>
              <w:rPr>
                <w:rFonts w:ascii="Arial" w:hAnsi="Arial" w:cs="Arial"/>
              </w:rPr>
              <w:t>Perception of Trustworthiness</w:t>
            </w:r>
          </w:p>
        </w:tc>
        <w:tc>
          <w:tcPr>
            <w:tcW w:w="0" w:type="auto"/>
          </w:tcPr>
          <w:p w14:paraId="29CD598A" w14:textId="77777777" w:rsidR="0067740A" w:rsidRDefault="00000000">
            <w:pPr>
              <w:spacing w:line="360" w:lineRule="auto"/>
              <w:rPr>
                <w:rFonts w:ascii="Arial" w:hAnsi="Arial" w:cs="Arial"/>
              </w:rPr>
            </w:pPr>
            <w:r>
              <w:rPr>
                <w:rFonts w:ascii="Arial" w:hAnsi="Arial" w:cs="Arial"/>
              </w:rPr>
              <w:t xml:space="preserve">Reflects the impact of sustainability initiatives on </w:t>
            </w:r>
            <w:r>
              <w:rPr>
                <w:rStyle w:val="af5"/>
                <w:rFonts w:ascii="Arial" w:hAnsi="Arial" w:cs="Arial"/>
              </w:rPr>
              <w:t>brand perception</w:t>
            </w:r>
            <w:r>
              <w:rPr>
                <w:rFonts w:ascii="Arial" w:hAnsi="Arial" w:cs="Arial"/>
              </w:rPr>
              <w:t>.</w:t>
            </w:r>
          </w:p>
        </w:tc>
      </w:tr>
      <w:tr w:rsidR="0067740A" w14:paraId="36ED263B" w14:textId="77777777">
        <w:tc>
          <w:tcPr>
            <w:tcW w:w="0" w:type="auto"/>
          </w:tcPr>
          <w:p w14:paraId="43E4336E" w14:textId="77777777" w:rsidR="0067740A" w:rsidRDefault="00000000">
            <w:pPr>
              <w:spacing w:line="360" w:lineRule="auto"/>
              <w:rPr>
                <w:rFonts w:ascii="Arial" w:hAnsi="Arial" w:cs="Arial"/>
              </w:rPr>
            </w:pPr>
            <w:r>
              <w:rPr>
                <w:rFonts w:ascii="Arial" w:hAnsi="Arial" w:cs="Arial"/>
              </w:rPr>
              <w:t>2</w:t>
            </w:r>
          </w:p>
        </w:tc>
        <w:tc>
          <w:tcPr>
            <w:tcW w:w="0" w:type="auto"/>
          </w:tcPr>
          <w:p w14:paraId="2495EBDD" w14:textId="77777777" w:rsidR="0067740A" w:rsidRDefault="00000000">
            <w:pPr>
              <w:spacing w:line="360" w:lineRule="auto"/>
              <w:rPr>
                <w:rFonts w:ascii="Arial" w:hAnsi="Arial" w:cs="Arial"/>
              </w:rPr>
            </w:pPr>
            <w:r>
              <w:rPr>
                <w:rFonts w:ascii="Arial" w:hAnsi="Arial" w:cs="Arial"/>
              </w:rPr>
              <w:t>"I’m more likely to buy from companies that have clear green initiatives."</w:t>
            </w:r>
          </w:p>
        </w:tc>
        <w:tc>
          <w:tcPr>
            <w:tcW w:w="0" w:type="auto"/>
          </w:tcPr>
          <w:p w14:paraId="26863C27" w14:textId="77777777" w:rsidR="0067740A" w:rsidRDefault="00000000">
            <w:pPr>
              <w:spacing w:line="360" w:lineRule="auto"/>
              <w:rPr>
                <w:rFonts w:ascii="Arial" w:hAnsi="Arial" w:cs="Arial"/>
              </w:rPr>
            </w:pPr>
            <w:r>
              <w:rPr>
                <w:rFonts w:ascii="Arial" w:hAnsi="Arial" w:cs="Arial"/>
              </w:rPr>
              <w:t>Likelihood of purchase due to green initiatives</w:t>
            </w:r>
          </w:p>
        </w:tc>
        <w:tc>
          <w:tcPr>
            <w:tcW w:w="0" w:type="auto"/>
          </w:tcPr>
          <w:p w14:paraId="06BE66DC" w14:textId="77777777" w:rsidR="0067740A" w:rsidRDefault="00000000">
            <w:pPr>
              <w:spacing w:line="360" w:lineRule="auto"/>
              <w:rPr>
                <w:rFonts w:ascii="Arial" w:hAnsi="Arial" w:cs="Arial"/>
              </w:rPr>
            </w:pPr>
            <w:r>
              <w:rPr>
                <w:rFonts w:ascii="Arial" w:hAnsi="Arial" w:cs="Arial"/>
              </w:rPr>
              <w:t>Purchase Intention</w:t>
            </w:r>
          </w:p>
        </w:tc>
        <w:tc>
          <w:tcPr>
            <w:tcW w:w="0" w:type="auto"/>
          </w:tcPr>
          <w:p w14:paraId="517CAC5C" w14:textId="77777777" w:rsidR="0067740A" w:rsidRDefault="00000000">
            <w:pPr>
              <w:spacing w:line="360" w:lineRule="auto"/>
              <w:rPr>
                <w:rFonts w:ascii="Arial" w:hAnsi="Arial" w:cs="Arial"/>
              </w:rPr>
            </w:pPr>
            <w:r>
              <w:rPr>
                <w:rFonts w:ascii="Arial" w:hAnsi="Arial" w:cs="Arial"/>
              </w:rPr>
              <w:t xml:space="preserve">Highlights how sustainability efforts influence </w:t>
            </w:r>
            <w:r>
              <w:rPr>
                <w:rStyle w:val="af5"/>
                <w:rFonts w:ascii="Arial" w:hAnsi="Arial" w:cs="Arial"/>
              </w:rPr>
              <w:t>consumer purchasing behaviour</w:t>
            </w:r>
            <w:r>
              <w:rPr>
                <w:rFonts w:ascii="Arial" w:hAnsi="Arial" w:cs="Arial"/>
              </w:rPr>
              <w:t>.</w:t>
            </w:r>
          </w:p>
        </w:tc>
      </w:tr>
      <w:tr w:rsidR="0067740A" w14:paraId="0ABA5428" w14:textId="77777777">
        <w:tc>
          <w:tcPr>
            <w:tcW w:w="0" w:type="auto"/>
          </w:tcPr>
          <w:p w14:paraId="42E072FC" w14:textId="77777777" w:rsidR="0067740A" w:rsidRDefault="00000000">
            <w:pPr>
              <w:spacing w:line="360" w:lineRule="auto"/>
              <w:rPr>
                <w:rFonts w:ascii="Arial" w:hAnsi="Arial" w:cs="Arial"/>
              </w:rPr>
            </w:pPr>
            <w:r>
              <w:rPr>
                <w:rFonts w:ascii="Arial" w:hAnsi="Arial" w:cs="Arial"/>
              </w:rPr>
              <w:t>3</w:t>
            </w:r>
          </w:p>
        </w:tc>
        <w:tc>
          <w:tcPr>
            <w:tcW w:w="0" w:type="auto"/>
          </w:tcPr>
          <w:p w14:paraId="37A80750" w14:textId="77777777" w:rsidR="0067740A" w:rsidRDefault="00000000">
            <w:pPr>
              <w:spacing w:line="360" w:lineRule="auto"/>
              <w:rPr>
                <w:rFonts w:ascii="Arial" w:hAnsi="Arial" w:cs="Arial"/>
              </w:rPr>
            </w:pPr>
            <w:r>
              <w:rPr>
                <w:rFonts w:ascii="Arial" w:hAnsi="Arial" w:cs="Arial"/>
              </w:rPr>
              <w:t xml:space="preserve">"I’m still not convinced that their sustainability efforts are </w:t>
            </w:r>
            <w:r>
              <w:rPr>
                <w:rFonts w:ascii="Arial" w:hAnsi="Arial" w:cs="Arial"/>
              </w:rPr>
              <w:lastRenderedPageBreak/>
              <w:t>genuine; it seems like marketing."</w:t>
            </w:r>
          </w:p>
        </w:tc>
        <w:tc>
          <w:tcPr>
            <w:tcW w:w="0" w:type="auto"/>
          </w:tcPr>
          <w:p w14:paraId="442D52C4" w14:textId="77777777" w:rsidR="0067740A" w:rsidRDefault="00000000">
            <w:pPr>
              <w:spacing w:line="360" w:lineRule="auto"/>
              <w:rPr>
                <w:rFonts w:ascii="Arial" w:hAnsi="Arial" w:cs="Arial"/>
              </w:rPr>
            </w:pPr>
            <w:r>
              <w:rPr>
                <w:rFonts w:ascii="Arial" w:hAnsi="Arial" w:cs="Arial"/>
              </w:rPr>
              <w:lastRenderedPageBreak/>
              <w:t>Scepticism towards sustainability efforts</w:t>
            </w:r>
          </w:p>
        </w:tc>
        <w:tc>
          <w:tcPr>
            <w:tcW w:w="0" w:type="auto"/>
          </w:tcPr>
          <w:p w14:paraId="19CD06B7" w14:textId="77777777" w:rsidR="0067740A" w:rsidRDefault="00000000">
            <w:pPr>
              <w:spacing w:line="360" w:lineRule="auto"/>
              <w:rPr>
                <w:rFonts w:ascii="Arial" w:hAnsi="Arial" w:cs="Arial"/>
              </w:rPr>
            </w:pPr>
            <w:r>
              <w:rPr>
                <w:rFonts w:ascii="Arial" w:hAnsi="Arial" w:cs="Arial"/>
              </w:rPr>
              <w:t>Perception of Genuineness</w:t>
            </w:r>
          </w:p>
        </w:tc>
        <w:tc>
          <w:tcPr>
            <w:tcW w:w="0" w:type="auto"/>
          </w:tcPr>
          <w:p w14:paraId="69876854" w14:textId="77777777" w:rsidR="0067740A" w:rsidRDefault="00000000">
            <w:pPr>
              <w:spacing w:line="360" w:lineRule="auto"/>
              <w:rPr>
                <w:rFonts w:ascii="Arial" w:hAnsi="Arial" w:cs="Arial"/>
              </w:rPr>
            </w:pPr>
            <w:r>
              <w:rPr>
                <w:rFonts w:ascii="Arial" w:hAnsi="Arial" w:cs="Arial"/>
              </w:rPr>
              <w:t xml:space="preserve">Indicates concerns regarding the </w:t>
            </w:r>
            <w:r>
              <w:rPr>
                <w:rStyle w:val="af5"/>
                <w:rFonts w:ascii="Arial" w:hAnsi="Arial" w:cs="Arial"/>
              </w:rPr>
              <w:t>authenticity</w:t>
            </w:r>
            <w:r>
              <w:rPr>
                <w:rFonts w:ascii="Arial" w:hAnsi="Arial" w:cs="Arial"/>
              </w:rPr>
              <w:t xml:space="preserve"> of </w:t>
            </w:r>
            <w:r>
              <w:rPr>
                <w:rFonts w:ascii="Arial" w:hAnsi="Arial" w:cs="Arial"/>
              </w:rPr>
              <w:lastRenderedPageBreak/>
              <w:t>Volkswagen’s green initiatives.</w:t>
            </w:r>
          </w:p>
        </w:tc>
      </w:tr>
      <w:tr w:rsidR="0067740A" w14:paraId="3025F270" w14:textId="77777777">
        <w:tc>
          <w:tcPr>
            <w:tcW w:w="0" w:type="auto"/>
          </w:tcPr>
          <w:p w14:paraId="293B3CC1" w14:textId="77777777" w:rsidR="0067740A" w:rsidRDefault="00000000">
            <w:pPr>
              <w:spacing w:line="360" w:lineRule="auto"/>
              <w:rPr>
                <w:rFonts w:ascii="Arial" w:hAnsi="Arial" w:cs="Arial"/>
              </w:rPr>
            </w:pPr>
            <w:r>
              <w:rPr>
                <w:rFonts w:ascii="Arial" w:hAnsi="Arial" w:cs="Arial"/>
              </w:rPr>
              <w:t>4</w:t>
            </w:r>
          </w:p>
        </w:tc>
        <w:tc>
          <w:tcPr>
            <w:tcW w:w="0" w:type="auto"/>
          </w:tcPr>
          <w:p w14:paraId="609670C2" w14:textId="77777777" w:rsidR="0067740A" w:rsidRDefault="00000000">
            <w:pPr>
              <w:spacing w:line="360" w:lineRule="auto"/>
              <w:rPr>
                <w:rFonts w:ascii="Arial" w:hAnsi="Arial" w:cs="Arial"/>
              </w:rPr>
            </w:pPr>
            <w:r>
              <w:rPr>
                <w:rFonts w:ascii="Arial" w:hAnsi="Arial" w:cs="Arial"/>
              </w:rPr>
              <w:t>"I care about the environment, but price is still the most important factor for me."</w:t>
            </w:r>
          </w:p>
        </w:tc>
        <w:tc>
          <w:tcPr>
            <w:tcW w:w="0" w:type="auto"/>
          </w:tcPr>
          <w:p w14:paraId="0670A89C" w14:textId="77777777" w:rsidR="0067740A" w:rsidRDefault="00000000">
            <w:pPr>
              <w:spacing w:line="360" w:lineRule="auto"/>
              <w:rPr>
                <w:rFonts w:ascii="Arial" w:hAnsi="Arial" w:cs="Arial"/>
              </w:rPr>
            </w:pPr>
            <w:r>
              <w:rPr>
                <w:rFonts w:ascii="Arial" w:hAnsi="Arial" w:cs="Arial"/>
              </w:rPr>
              <w:t>Price as a key factor despite environmental concern</w:t>
            </w:r>
          </w:p>
        </w:tc>
        <w:tc>
          <w:tcPr>
            <w:tcW w:w="0" w:type="auto"/>
          </w:tcPr>
          <w:p w14:paraId="2B010BE4" w14:textId="77777777" w:rsidR="0067740A" w:rsidRDefault="00000000">
            <w:pPr>
              <w:spacing w:line="360" w:lineRule="auto"/>
              <w:rPr>
                <w:rFonts w:ascii="Arial" w:hAnsi="Arial" w:cs="Arial"/>
              </w:rPr>
            </w:pPr>
            <w:r>
              <w:rPr>
                <w:rFonts w:ascii="Arial" w:hAnsi="Arial" w:cs="Arial"/>
              </w:rPr>
              <w:t>Price vs. Environmental Impact</w:t>
            </w:r>
          </w:p>
        </w:tc>
        <w:tc>
          <w:tcPr>
            <w:tcW w:w="0" w:type="auto"/>
          </w:tcPr>
          <w:p w14:paraId="6231EB8A" w14:textId="77777777" w:rsidR="0067740A" w:rsidRDefault="00000000">
            <w:pPr>
              <w:spacing w:line="360" w:lineRule="auto"/>
              <w:rPr>
                <w:rFonts w:ascii="Arial" w:hAnsi="Arial" w:cs="Arial"/>
              </w:rPr>
            </w:pPr>
            <w:r>
              <w:rPr>
                <w:rFonts w:ascii="Arial" w:hAnsi="Arial" w:cs="Arial"/>
              </w:rPr>
              <w:t xml:space="preserve">Shows the tension between </w:t>
            </w:r>
            <w:r>
              <w:rPr>
                <w:rStyle w:val="af5"/>
                <w:rFonts w:ascii="Arial" w:hAnsi="Arial" w:cs="Arial"/>
              </w:rPr>
              <w:t>price sensitivity</w:t>
            </w:r>
            <w:r>
              <w:rPr>
                <w:rFonts w:ascii="Arial" w:hAnsi="Arial" w:cs="Arial"/>
              </w:rPr>
              <w:t xml:space="preserve"> and environmental values among consumers.</w:t>
            </w:r>
          </w:p>
        </w:tc>
      </w:tr>
      <w:tr w:rsidR="0067740A" w14:paraId="25F4BE32" w14:textId="77777777">
        <w:tc>
          <w:tcPr>
            <w:tcW w:w="0" w:type="auto"/>
          </w:tcPr>
          <w:p w14:paraId="3AD27C58" w14:textId="77777777" w:rsidR="0067740A" w:rsidRDefault="00000000">
            <w:pPr>
              <w:spacing w:line="360" w:lineRule="auto"/>
              <w:rPr>
                <w:rFonts w:ascii="Arial" w:hAnsi="Arial" w:cs="Arial"/>
              </w:rPr>
            </w:pPr>
            <w:r>
              <w:rPr>
                <w:rFonts w:ascii="Arial" w:hAnsi="Arial" w:cs="Arial"/>
              </w:rPr>
              <w:t>5</w:t>
            </w:r>
          </w:p>
        </w:tc>
        <w:tc>
          <w:tcPr>
            <w:tcW w:w="0" w:type="auto"/>
          </w:tcPr>
          <w:p w14:paraId="37F904A6" w14:textId="77777777" w:rsidR="0067740A" w:rsidRDefault="00000000">
            <w:pPr>
              <w:spacing w:line="360" w:lineRule="auto"/>
              <w:rPr>
                <w:rFonts w:ascii="Arial" w:hAnsi="Arial" w:cs="Arial"/>
              </w:rPr>
            </w:pPr>
            <w:r>
              <w:rPr>
                <w:rFonts w:ascii="Arial" w:hAnsi="Arial" w:cs="Arial"/>
              </w:rPr>
              <w:t>"Volkswagen’s investment in electric vehicles shows they are forward-thinking."</w:t>
            </w:r>
          </w:p>
        </w:tc>
        <w:tc>
          <w:tcPr>
            <w:tcW w:w="0" w:type="auto"/>
          </w:tcPr>
          <w:p w14:paraId="6734357C" w14:textId="77777777" w:rsidR="0067740A" w:rsidRDefault="00000000">
            <w:pPr>
              <w:spacing w:line="360" w:lineRule="auto"/>
              <w:rPr>
                <w:rFonts w:ascii="Arial" w:hAnsi="Arial" w:cs="Arial"/>
              </w:rPr>
            </w:pPr>
            <w:r>
              <w:rPr>
                <w:rFonts w:ascii="Arial" w:hAnsi="Arial" w:cs="Arial"/>
              </w:rPr>
              <w:t>EV investment as future-proofing</w:t>
            </w:r>
          </w:p>
        </w:tc>
        <w:tc>
          <w:tcPr>
            <w:tcW w:w="0" w:type="auto"/>
          </w:tcPr>
          <w:p w14:paraId="58F4C670" w14:textId="77777777" w:rsidR="0067740A" w:rsidRDefault="00000000">
            <w:pPr>
              <w:spacing w:line="360" w:lineRule="auto"/>
              <w:rPr>
                <w:rFonts w:ascii="Arial" w:hAnsi="Arial" w:cs="Arial"/>
              </w:rPr>
            </w:pPr>
            <w:r>
              <w:rPr>
                <w:rFonts w:ascii="Arial" w:hAnsi="Arial" w:cs="Arial"/>
              </w:rPr>
              <w:t>Innovation and Sustainability</w:t>
            </w:r>
          </w:p>
        </w:tc>
        <w:tc>
          <w:tcPr>
            <w:tcW w:w="0" w:type="auto"/>
          </w:tcPr>
          <w:p w14:paraId="416DA236" w14:textId="77777777" w:rsidR="0067740A" w:rsidRDefault="00000000">
            <w:pPr>
              <w:spacing w:line="360" w:lineRule="auto"/>
              <w:rPr>
                <w:rFonts w:ascii="Arial" w:hAnsi="Arial" w:cs="Arial"/>
              </w:rPr>
            </w:pPr>
            <w:r>
              <w:rPr>
                <w:rFonts w:ascii="Arial" w:hAnsi="Arial" w:cs="Arial"/>
              </w:rPr>
              <w:t xml:space="preserve">Demonstrates that </w:t>
            </w:r>
            <w:r>
              <w:rPr>
                <w:rStyle w:val="af5"/>
                <w:rFonts w:ascii="Arial" w:hAnsi="Arial" w:cs="Arial"/>
              </w:rPr>
              <w:t>innovation</w:t>
            </w:r>
            <w:r>
              <w:rPr>
                <w:rFonts w:ascii="Arial" w:hAnsi="Arial" w:cs="Arial"/>
              </w:rPr>
              <w:t xml:space="preserve"> in EV technology enhances perceptions of </w:t>
            </w:r>
            <w:r>
              <w:rPr>
                <w:rStyle w:val="af5"/>
                <w:rFonts w:ascii="Arial" w:hAnsi="Arial" w:cs="Arial"/>
              </w:rPr>
              <w:t>future-proofing</w:t>
            </w:r>
            <w:r>
              <w:rPr>
                <w:rFonts w:ascii="Arial" w:hAnsi="Arial" w:cs="Arial"/>
              </w:rPr>
              <w:t>.</w:t>
            </w:r>
          </w:p>
        </w:tc>
      </w:tr>
    </w:tbl>
    <w:p w14:paraId="39315011" w14:textId="77777777" w:rsidR="0067740A" w:rsidRDefault="00000000">
      <w:pPr>
        <w:pStyle w:val="af"/>
        <w:spacing w:line="360" w:lineRule="auto"/>
        <w:ind w:firstLine="567"/>
        <w:rPr>
          <w:rFonts w:ascii="Arial" w:hAnsi="Arial" w:cs="Arial"/>
        </w:rPr>
      </w:pPr>
      <w:r>
        <w:rPr>
          <w:rFonts w:ascii="Arial" w:hAnsi="Arial" w:cs="Arial"/>
        </w:rPr>
        <w:t>The qualitative analysis, combined with the survey results, provides valuable insights into how consumers perceive Volkswagen’s sustainability initiatives. The data identified several key themes, including trust in the brand, scepticism toward green marketing, the balance between environmental values and price, and the role of innovation in reinforcing brand loyalty. These findings will inform the strategic recommendations designed to help Volkswagen improve its sustainability efforts and enhance its position in the Chinese market.</w:t>
      </w:r>
      <w:r>
        <w:rPr>
          <w:rFonts w:ascii="Arial" w:hAnsi="Arial" w:cs="Arial" w:hint="eastAsia"/>
        </w:rPr>
        <w:t xml:space="preserve"> </w:t>
      </w:r>
    </w:p>
    <w:sectPr w:rsidR="0067740A">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3FE05BB"/>
    <w:multiLevelType w:val="singleLevel"/>
    <w:tmpl w:val="F3FE05BB"/>
    <w:lvl w:ilvl="0">
      <w:start w:val="2"/>
      <w:numFmt w:val="decimal"/>
      <w:suff w:val="space"/>
      <w:lvlText w:val="%1."/>
      <w:lvlJc w:val="left"/>
    </w:lvl>
  </w:abstractNum>
  <w:abstractNum w:abstractNumId="1" w15:restartNumberingAfterBreak="0">
    <w:nsid w:val="F56DA87C"/>
    <w:multiLevelType w:val="singleLevel"/>
    <w:tmpl w:val="F56DA87C"/>
    <w:lvl w:ilvl="0">
      <w:start w:val="6"/>
      <w:numFmt w:val="decimal"/>
      <w:suff w:val="space"/>
      <w:lvlText w:val="%1."/>
      <w:lvlJc w:val="left"/>
    </w:lvl>
  </w:abstractNum>
  <w:abstractNum w:abstractNumId="2" w15:restartNumberingAfterBreak="0">
    <w:nsid w:val="1B636D41"/>
    <w:multiLevelType w:val="multilevel"/>
    <w:tmpl w:val="1B636D41"/>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CA52CD2"/>
    <w:multiLevelType w:val="multilevel"/>
    <w:tmpl w:val="1CA52CD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4" w15:restartNumberingAfterBreak="0">
    <w:nsid w:val="1DFD1D48"/>
    <w:multiLevelType w:val="multilevel"/>
    <w:tmpl w:val="1DFD1D4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245E7054"/>
    <w:multiLevelType w:val="multilevel"/>
    <w:tmpl w:val="245E7054"/>
    <w:lvl w:ilvl="0">
      <w:start w:val="8"/>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3DAB1AC0"/>
    <w:multiLevelType w:val="multilevel"/>
    <w:tmpl w:val="3DAB1AC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3EE7564E"/>
    <w:multiLevelType w:val="multilevel"/>
    <w:tmpl w:val="3EE7564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46532691"/>
    <w:multiLevelType w:val="multilevel"/>
    <w:tmpl w:val="46532691"/>
    <w:lvl w:ilvl="0">
      <w:start w:val="3"/>
      <w:numFmt w:val="decimal"/>
      <w:lvlText w:val="%1"/>
      <w:lvlJc w:val="left"/>
      <w:pPr>
        <w:ind w:left="360" w:hanging="360"/>
      </w:pPr>
      <w:rPr>
        <w:rFonts w:eastAsiaTheme="majorEastAsia" w:cstheme="majorBidi" w:hint="default"/>
        <w:b/>
        <w:color w:val="000000" w:themeColor="text1"/>
      </w:rPr>
    </w:lvl>
    <w:lvl w:ilvl="1">
      <w:start w:val="1"/>
      <w:numFmt w:val="decimal"/>
      <w:lvlText w:val="%1.%2"/>
      <w:lvlJc w:val="left"/>
      <w:pPr>
        <w:ind w:left="360" w:hanging="360"/>
      </w:pPr>
      <w:rPr>
        <w:rFonts w:eastAsiaTheme="majorEastAsia" w:cstheme="majorBidi" w:hint="default"/>
        <w:b/>
        <w:color w:val="000000" w:themeColor="text1"/>
      </w:rPr>
    </w:lvl>
    <w:lvl w:ilvl="2">
      <w:start w:val="1"/>
      <w:numFmt w:val="decimal"/>
      <w:lvlText w:val="%1.%2.%3"/>
      <w:lvlJc w:val="left"/>
      <w:pPr>
        <w:ind w:left="1440" w:hanging="720"/>
      </w:pPr>
      <w:rPr>
        <w:rFonts w:eastAsiaTheme="majorEastAsia" w:cstheme="majorBidi" w:hint="default"/>
        <w:b/>
        <w:color w:val="000000" w:themeColor="text1"/>
      </w:rPr>
    </w:lvl>
    <w:lvl w:ilvl="3">
      <w:start w:val="1"/>
      <w:numFmt w:val="decimal"/>
      <w:lvlText w:val="%1.%2.%3.%4"/>
      <w:lvlJc w:val="left"/>
      <w:pPr>
        <w:ind w:left="1800" w:hanging="720"/>
      </w:pPr>
      <w:rPr>
        <w:rFonts w:eastAsiaTheme="majorEastAsia" w:cstheme="majorBidi" w:hint="default"/>
        <w:b/>
        <w:color w:val="000000" w:themeColor="text1"/>
      </w:rPr>
    </w:lvl>
    <w:lvl w:ilvl="4">
      <w:start w:val="1"/>
      <w:numFmt w:val="decimal"/>
      <w:lvlText w:val="%1.%2.%3.%4.%5"/>
      <w:lvlJc w:val="left"/>
      <w:pPr>
        <w:ind w:left="2520" w:hanging="1080"/>
      </w:pPr>
      <w:rPr>
        <w:rFonts w:eastAsiaTheme="majorEastAsia" w:cstheme="majorBidi" w:hint="default"/>
        <w:b/>
        <w:color w:val="000000" w:themeColor="text1"/>
      </w:rPr>
    </w:lvl>
    <w:lvl w:ilvl="5">
      <w:start w:val="1"/>
      <w:numFmt w:val="decimal"/>
      <w:lvlText w:val="%1.%2.%3.%4.%5.%6"/>
      <w:lvlJc w:val="left"/>
      <w:pPr>
        <w:ind w:left="2880" w:hanging="1080"/>
      </w:pPr>
      <w:rPr>
        <w:rFonts w:eastAsiaTheme="majorEastAsia" w:cstheme="majorBidi" w:hint="default"/>
        <w:b/>
        <w:color w:val="000000" w:themeColor="text1"/>
      </w:rPr>
    </w:lvl>
    <w:lvl w:ilvl="6">
      <w:start w:val="1"/>
      <w:numFmt w:val="decimal"/>
      <w:lvlText w:val="%1.%2.%3.%4.%5.%6.%7"/>
      <w:lvlJc w:val="left"/>
      <w:pPr>
        <w:ind w:left="3600" w:hanging="1440"/>
      </w:pPr>
      <w:rPr>
        <w:rFonts w:eastAsiaTheme="majorEastAsia" w:cstheme="majorBidi" w:hint="default"/>
        <w:b/>
        <w:color w:val="000000" w:themeColor="text1"/>
      </w:rPr>
    </w:lvl>
    <w:lvl w:ilvl="7">
      <w:start w:val="1"/>
      <w:numFmt w:val="decimal"/>
      <w:lvlText w:val="%1.%2.%3.%4.%5.%6.%7.%8"/>
      <w:lvlJc w:val="left"/>
      <w:pPr>
        <w:ind w:left="3960" w:hanging="1440"/>
      </w:pPr>
      <w:rPr>
        <w:rFonts w:eastAsiaTheme="majorEastAsia" w:cstheme="majorBidi" w:hint="default"/>
        <w:b/>
        <w:color w:val="000000" w:themeColor="text1"/>
      </w:rPr>
    </w:lvl>
    <w:lvl w:ilvl="8">
      <w:start w:val="1"/>
      <w:numFmt w:val="decimal"/>
      <w:lvlText w:val="%1.%2.%3.%4.%5.%6.%7.%8.%9"/>
      <w:lvlJc w:val="left"/>
      <w:pPr>
        <w:ind w:left="4680" w:hanging="1800"/>
      </w:pPr>
      <w:rPr>
        <w:rFonts w:eastAsiaTheme="majorEastAsia" w:cstheme="majorBidi" w:hint="default"/>
        <w:b/>
        <w:color w:val="000000" w:themeColor="text1"/>
      </w:rPr>
    </w:lvl>
  </w:abstractNum>
  <w:abstractNum w:abstractNumId="9" w15:restartNumberingAfterBreak="0">
    <w:nsid w:val="48F402D5"/>
    <w:multiLevelType w:val="multilevel"/>
    <w:tmpl w:val="48F402D5"/>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4EC93816"/>
    <w:multiLevelType w:val="multilevel"/>
    <w:tmpl w:val="4EC93816"/>
    <w:lvl w:ilvl="0">
      <w:start w:val="12"/>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67B97387"/>
    <w:multiLevelType w:val="multilevel"/>
    <w:tmpl w:val="67B97387"/>
    <w:lvl w:ilvl="0">
      <w:start w:val="6"/>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70595071"/>
    <w:multiLevelType w:val="multilevel"/>
    <w:tmpl w:val="7059507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7A8345D3"/>
    <w:multiLevelType w:val="multilevel"/>
    <w:tmpl w:val="7A8345D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F343B3D"/>
    <w:multiLevelType w:val="multilevel"/>
    <w:tmpl w:val="7F343B3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7FFF5FA6"/>
    <w:multiLevelType w:val="singleLevel"/>
    <w:tmpl w:val="7FFF5FA6"/>
    <w:lvl w:ilvl="0">
      <w:start w:val="1"/>
      <w:numFmt w:val="lowerLetter"/>
      <w:suff w:val="space"/>
      <w:lvlText w:val="%1."/>
      <w:lvlJc w:val="left"/>
    </w:lvl>
  </w:abstractNum>
  <w:num w:numId="1" w16cid:durableId="894124502">
    <w:abstractNumId w:val="3"/>
  </w:num>
  <w:num w:numId="2" w16cid:durableId="2137598252">
    <w:abstractNumId w:val="13"/>
  </w:num>
  <w:num w:numId="3" w16cid:durableId="2141027538">
    <w:abstractNumId w:val="9"/>
  </w:num>
  <w:num w:numId="4" w16cid:durableId="1623227149">
    <w:abstractNumId w:val="8"/>
  </w:num>
  <w:num w:numId="5" w16cid:durableId="856968080">
    <w:abstractNumId w:val="14"/>
  </w:num>
  <w:num w:numId="6" w16cid:durableId="903874197">
    <w:abstractNumId w:val="6"/>
  </w:num>
  <w:num w:numId="7" w16cid:durableId="1482119747">
    <w:abstractNumId w:val="7"/>
  </w:num>
  <w:num w:numId="8" w16cid:durableId="2100329520">
    <w:abstractNumId w:val="4"/>
  </w:num>
  <w:num w:numId="9" w16cid:durableId="1304890655">
    <w:abstractNumId w:val="11"/>
  </w:num>
  <w:num w:numId="10" w16cid:durableId="956570301">
    <w:abstractNumId w:val="5"/>
  </w:num>
  <w:num w:numId="11" w16cid:durableId="556824375">
    <w:abstractNumId w:val="10"/>
  </w:num>
  <w:num w:numId="12" w16cid:durableId="1360156842">
    <w:abstractNumId w:val="0"/>
  </w:num>
  <w:num w:numId="13" w16cid:durableId="1221862769">
    <w:abstractNumId w:val="1"/>
  </w:num>
  <w:num w:numId="14" w16cid:durableId="692388592">
    <w:abstractNumId w:val="15"/>
  </w:num>
  <w:num w:numId="15" w16cid:durableId="385030384">
    <w:abstractNumId w:val="2"/>
  </w:num>
  <w:num w:numId="16" w16cid:durableId="9686293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1"/>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0A1"/>
    <w:rsid w:val="BDF3680B"/>
    <w:rsid w:val="FBFE6F37"/>
    <w:rsid w:val="000064BC"/>
    <w:rsid w:val="000068D0"/>
    <w:rsid w:val="00014915"/>
    <w:rsid w:val="00020915"/>
    <w:rsid w:val="000235D2"/>
    <w:rsid w:val="00033359"/>
    <w:rsid w:val="00035E7F"/>
    <w:rsid w:val="00037D1A"/>
    <w:rsid w:val="0005029D"/>
    <w:rsid w:val="00054E80"/>
    <w:rsid w:val="00067618"/>
    <w:rsid w:val="00072ACA"/>
    <w:rsid w:val="00076AF7"/>
    <w:rsid w:val="00086C1B"/>
    <w:rsid w:val="000A00E2"/>
    <w:rsid w:val="000B0605"/>
    <w:rsid w:val="000B39E4"/>
    <w:rsid w:val="000C2815"/>
    <w:rsid w:val="000C2D67"/>
    <w:rsid w:val="000D65E6"/>
    <w:rsid w:val="000D712B"/>
    <w:rsid w:val="000F6FA4"/>
    <w:rsid w:val="001114BA"/>
    <w:rsid w:val="00112D31"/>
    <w:rsid w:val="001167A5"/>
    <w:rsid w:val="00135692"/>
    <w:rsid w:val="001376F5"/>
    <w:rsid w:val="00147AF9"/>
    <w:rsid w:val="00150E19"/>
    <w:rsid w:val="00153CAA"/>
    <w:rsid w:val="001606BB"/>
    <w:rsid w:val="00160D5B"/>
    <w:rsid w:val="00174274"/>
    <w:rsid w:val="00176911"/>
    <w:rsid w:val="00177AF0"/>
    <w:rsid w:val="00181105"/>
    <w:rsid w:val="001818B9"/>
    <w:rsid w:val="001824F1"/>
    <w:rsid w:val="00186606"/>
    <w:rsid w:val="00191D1C"/>
    <w:rsid w:val="001A6CAB"/>
    <w:rsid w:val="001B6757"/>
    <w:rsid w:val="001C1D9A"/>
    <w:rsid w:val="001D4400"/>
    <w:rsid w:val="001E24CC"/>
    <w:rsid w:val="002006FF"/>
    <w:rsid w:val="00203F5E"/>
    <w:rsid w:val="00215D25"/>
    <w:rsid w:val="002179FB"/>
    <w:rsid w:val="00225C56"/>
    <w:rsid w:val="00232C9F"/>
    <w:rsid w:val="00233D15"/>
    <w:rsid w:val="0024169F"/>
    <w:rsid w:val="00246B9C"/>
    <w:rsid w:val="002646F8"/>
    <w:rsid w:val="002651E8"/>
    <w:rsid w:val="00267EC1"/>
    <w:rsid w:val="0027199A"/>
    <w:rsid w:val="0028131D"/>
    <w:rsid w:val="00291161"/>
    <w:rsid w:val="002976B4"/>
    <w:rsid w:val="002A1B4B"/>
    <w:rsid w:val="002A2ECB"/>
    <w:rsid w:val="002A4322"/>
    <w:rsid w:val="002A5049"/>
    <w:rsid w:val="002B6AFC"/>
    <w:rsid w:val="002B7255"/>
    <w:rsid w:val="002D2899"/>
    <w:rsid w:val="002D2D82"/>
    <w:rsid w:val="002E6AA1"/>
    <w:rsid w:val="002E6CFF"/>
    <w:rsid w:val="002F161E"/>
    <w:rsid w:val="002F572F"/>
    <w:rsid w:val="003005CC"/>
    <w:rsid w:val="0031098C"/>
    <w:rsid w:val="00311495"/>
    <w:rsid w:val="00315560"/>
    <w:rsid w:val="003212F3"/>
    <w:rsid w:val="00321CEC"/>
    <w:rsid w:val="00323CC8"/>
    <w:rsid w:val="00325923"/>
    <w:rsid w:val="00335CD0"/>
    <w:rsid w:val="003425C9"/>
    <w:rsid w:val="00342A77"/>
    <w:rsid w:val="00350BD1"/>
    <w:rsid w:val="00355098"/>
    <w:rsid w:val="003632FC"/>
    <w:rsid w:val="00380234"/>
    <w:rsid w:val="00381FE3"/>
    <w:rsid w:val="0039665D"/>
    <w:rsid w:val="003B453B"/>
    <w:rsid w:val="003B7F9E"/>
    <w:rsid w:val="003C131B"/>
    <w:rsid w:val="003C1972"/>
    <w:rsid w:val="003D026C"/>
    <w:rsid w:val="003D2D9B"/>
    <w:rsid w:val="003D334C"/>
    <w:rsid w:val="003E01DD"/>
    <w:rsid w:val="003E5D78"/>
    <w:rsid w:val="003F08FB"/>
    <w:rsid w:val="0040012C"/>
    <w:rsid w:val="00400BB2"/>
    <w:rsid w:val="00423033"/>
    <w:rsid w:val="00424E1D"/>
    <w:rsid w:val="00431DD4"/>
    <w:rsid w:val="00436C80"/>
    <w:rsid w:val="00446BF7"/>
    <w:rsid w:val="004520B6"/>
    <w:rsid w:val="0046196E"/>
    <w:rsid w:val="00467C8E"/>
    <w:rsid w:val="00477336"/>
    <w:rsid w:val="00477885"/>
    <w:rsid w:val="004805FE"/>
    <w:rsid w:val="00483F53"/>
    <w:rsid w:val="00495F05"/>
    <w:rsid w:val="004A0B3F"/>
    <w:rsid w:val="004A3CD2"/>
    <w:rsid w:val="004B47DA"/>
    <w:rsid w:val="004C194A"/>
    <w:rsid w:val="004C734F"/>
    <w:rsid w:val="004D187C"/>
    <w:rsid w:val="004D6292"/>
    <w:rsid w:val="004D6C00"/>
    <w:rsid w:val="004D6DA3"/>
    <w:rsid w:val="004E1A11"/>
    <w:rsid w:val="004E61AC"/>
    <w:rsid w:val="00501C84"/>
    <w:rsid w:val="00503E42"/>
    <w:rsid w:val="00504157"/>
    <w:rsid w:val="00504CC5"/>
    <w:rsid w:val="00520A25"/>
    <w:rsid w:val="00520C21"/>
    <w:rsid w:val="00520F8D"/>
    <w:rsid w:val="00522606"/>
    <w:rsid w:val="00527FD1"/>
    <w:rsid w:val="00533823"/>
    <w:rsid w:val="00534095"/>
    <w:rsid w:val="005361A0"/>
    <w:rsid w:val="00537090"/>
    <w:rsid w:val="00544756"/>
    <w:rsid w:val="0055132B"/>
    <w:rsid w:val="00552484"/>
    <w:rsid w:val="0055264D"/>
    <w:rsid w:val="005533B8"/>
    <w:rsid w:val="0056030D"/>
    <w:rsid w:val="00561923"/>
    <w:rsid w:val="00573EE5"/>
    <w:rsid w:val="005770F6"/>
    <w:rsid w:val="005776F4"/>
    <w:rsid w:val="00580383"/>
    <w:rsid w:val="0058217D"/>
    <w:rsid w:val="00584AB7"/>
    <w:rsid w:val="00585563"/>
    <w:rsid w:val="00595A5F"/>
    <w:rsid w:val="005A1B42"/>
    <w:rsid w:val="005A2E38"/>
    <w:rsid w:val="005B5738"/>
    <w:rsid w:val="005B79D5"/>
    <w:rsid w:val="005C02F2"/>
    <w:rsid w:val="005D3183"/>
    <w:rsid w:val="005E034F"/>
    <w:rsid w:val="005E56EC"/>
    <w:rsid w:val="005E673B"/>
    <w:rsid w:val="005E719F"/>
    <w:rsid w:val="005F357E"/>
    <w:rsid w:val="005F3845"/>
    <w:rsid w:val="005F7C2E"/>
    <w:rsid w:val="00603F5C"/>
    <w:rsid w:val="00604277"/>
    <w:rsid w:val="00611E89"/>
    <w:rsid w:val="006123B2"/>
    <w:rsid w:val="006138B2"/>
    <w:rsid w:val="0061584F"/>
    <w:rsid w:val="0062011F"/>
    <w:rsid w:val="00621FF9"/>
    <w:rsid w:val="006415D5"/>
    <w:rsid w:val="00643ABD"/>
    <w:rsid w:val="0064533C"/>
    <w:rsid w:val="00652298"/>
    <w:rsid w:val="00653FD8"/>
    <w:rsid w:val="00654150"/>
    <w:rsid w:val="00657107"/>
    <w:rsid w:val="00663566"/>
    <w:rsid w:val="0067740A"/>
    <w:rsid w:val="006816FA"/>
    <w:rsid w:val="0068248B"/>
    <w:rsid w:val="00684704"/>
    <w:rsid w:val="00691E0E"/>
    <w:rsid w:val="0069400A"/>
    <w:rsid w:val="006964C0"/>
    <w:rsid w:val="006A3E1D"/>
    <w:rsid w:val="006B1161"/>
    <w:rsid w:val="006B1859"/>
    <w:rsid w:val="006B4E51"/>
    <w:rsid w:val="006B5387"/>
    <w:rsid w:val="006C436A"/>
    <w:rsid w:val="006C4C60"/>
    <w:rsid w:val="006D2D2D"/>
    <w:rsid w:val="006D5D5C"/>
    <w:rsid w:val="006E27C4"/>
    <w:rsid w:val="006E4050"/>
    <w:rsid w:val="006E5967"/>
    <w:rsid w:val="006F30EC"/>
    <w:rsid w:val="006F3AD5"/>
    <w:rsid w:val="006F7435"/>
    <w:rsid w:val="007020B9"/>
    <w:rsid w:val="00714F5B"/>
    <w:rsid w:val="00716064"/>
    <w:rsid w:val="007229D1"/>
    <w:rsid w:val="00722C2A"/>
    <w:rsid w:val="00725326"/>
    <w:rsid w:val="00726898"/>
    <w:rsid w:val="00726A3F"/>
    <w:rsid w:val="00742D72"/>
    <w:rsid w:val="0074493C"/>
    <w:rsid w:val="00760E7F"/>
    <w:rsid w:val="00765860"/>
    <w:rsid w:val="00766464"/>
    <w:rsid w:val="00766760"/>
    <w:rsid w:val="00785CD0"/>
    <w:rsid w:val="007909FB"/>
    <w:rsid w:val="007924FA"/>
    <w:rsid w:val="007959ED"/>
    <w:rsid w:val="007A447D"/>
    <w:rsid w:val="007C3519"/>
    <w:rsid w:val="007C4A8F"/>
    <w:rsid w:val="007C632A"/>
    <w:rsid w:val="007D0681"/>
    <w:rsid w:val="007D30AE"/>
    <w:rsid w:val="007D716F"/>
    <w:rsid w:val="007E646F"/>
    <w:rsid w:val="007F0324"/>
    <w:rsid w:val="007F04D1"/>
    <w:rsid w:val="007F21FB"/>
    <w:rsid w:val="007F4027"/>
    <w:rsid w:val="00802631"/>
    <w:rsid w:val="008145DF"/>
    <w:rsid w:val="008310A1"/>
    <w:rsid w:val="008316D6"/>
    <w:rsid w:val="00832661"/>
    <w:rsid w:val="008342BA"/>
    <w:rsid w:val="00834BFB"/>
    <w:rsid w:val="0084252E"/>
    <w:rsid w:val="0084567C"/>
    <w:rsid w:val="0085436D"/>
    <w:rsid w:val="00862F73"/>
    <w:rsid w:val="00867520"/>
    <w:rsid w:val="008702AE"/>
    <w:rsid w:val="00875523"/>
    <w:rsid w:val="00881F48"/>
    <w:rsid w:val="00882FFF"/>
    <w:rsid w:val="00890E74"/>
    <w:rsid w:val="00893CB1"/>
    <w:rsid w:val="008A2D0E"/>
    <w:rsid w:val="008A416B"/>
    <w:rsid w:val="008A4DFD"/>
    <w:rsid w:val="008A70C9"/>
    <w:rsid w:val="008B2BE7"/>
    <w:rsid w:val="008C1400"/>
    <w:rsid w:val="008C6D75"/>
    <w:rsid w:val="008C70CD"/>
    <w:rsid w:val="008C73A9"/>
    <w:rsid w:val="008D0703"/>
    <w:rsid w:val="008D15D2"/>
    <w:rsid w:val="008D599C"/>
    <w:rsid w:val="008D6FA8"/>
    <w:rsid w:val="008E1170"/>
    <w:rsid w:val="008F0042"/>
    <w:rsid w:val="008F1602"/>
    <w:rsid w:val="008F487C"/>
    <w:rsid w:val="008F740B"/>
    <w:rsid w:val="0090437D"/>
    <w:rsid w:val="00905035"/>
    <w:rsid w:val="009065DD"/>
    <w:rsid w:val="0091211B"/>
    <w:rsid w:val="009153A4"/>
    <w:rsid w:val="00915A18"/>
    <w:rsid w:val="00916C4F"/>
    <w:rsid w:val="00921482"/>
    <w:rsid w:val="00923AD3"/>
    <w:rsid w:val="00930EF4"/>
    <w:rsid w:val="00930F20"/>
    <w:rsid w:val="009373AB"/>
    <w:rsid w:val="00944C0C"/>
    <w:rsid w:val="009604B4"/>
    <w:rsid w:val="00962FCB"/>
    <w:rsid w:val="009635AF"/>
    <w:rsid w:val="0096427C"/>
    <w:rsid w:val="009658DA"/>
    <w:rsid w:val="0099050C"/>
    <w:rsid w:val="00991081"/>
    <w:rsid w:val="00995348"/>
    <w:rsid w:val="009A670F"/>
    <w:rsid w:val="009B3910"/>
    <w:rsid w:val="009C004F"/>
    <w:rsid w:val="009C3D27"/>
    <w:rsid w:val="009C7826"/>
    <w:rsid w:val="009D171D"/>
    <w:rsid w:val="009D36E2"/>
    <w:rsid w:val="009D6F6C"/>
    <w:rsid w:val="009D71E3"/>
    <w:rsid w:val="009E3853"/>
    <w:rsid w:val="009E4652"/>
    <w:rsid w:val="009E49AB"/>
    <w:rsid w:val="009F0FE9"/>
    <w:rsid w:val="009F2DE6"/>
    <w:rsid w:val="009F399E"/>
    <w:rsid w:val="00A10D5F"/>
    <w:rsid w:val="00A3534F"/>
    <w:rsid w:val="00A35E10"/>
    <w:rsid w:val="00A44859"/>
    <w:rsid w:val="00A46AC2"/>
    <w:rsid w:val="00A47EC7"/>
    <w:rsid w:val="00A50632"/>
    <w:rsid w:val="00A66F8C"/>
    <w:rsid w:val="00A70744"/>
    <w:rsid w:val="00A71D40"/>
    <w:rsid w:val="00A803D9"/>
    <w:rsid w:val="00A86D76"/>
    <w:rsid w:val="00A92897"/>
    <w:rsid w:val="00A95CD7"/>
    <w:rsid w:val="00AA4001"/>
    <w:rsid w:val="00AA4FDB"/>
    <w:rsid w:val="00AA6BEC"/>
    <w:rsid w:val="00AB5B66"/>
    <w:rsid w:val="00AC297D"/>
    <w:rsid w:val="00AC2D55"/>
    <w:rsid w:val="00AC32C4"/>
    <w:rsid w:val="00AD0C13"/>
    <w:rsid w:val="00AD4B73"/>
    <w:rsid w:val="00AD549A"/>
    <w:rsid w:val="00AE335E"/>
    <w:rsid w:val="00AF5CBC"/>
    <w:rsid w:val="00B0232D"/>
    <w:rsid w:val="00B05C5E"/>
    <w:rsid w:val="00B10859"/>
    <w:rsid w:val="00B10E5B"/>
    <w:rsid w:val="00B14827"/>
    <w:rsid w:val="00B14C0B"/>
    <w:rsid w:val="00B22F35"/>
    <w:rsid w:val="00B23850"/>
    <w:rsid w:val="00B25AF9"/>
    <w:rsid w:val="00B31117"/>
    <w:rsid w:val="00B634A4"/>
    <w:rsid w:val="00B63EFF"/>
    <w:rsid w:val="00B64BD6"/>
    <w:rsid w:val="00B659B4"/>
    <w:rsid w:val="00B719CE"/>
    <w:rsid w:val="00B75FF1"/>
    <w:rsid w:val="00B772C9"/>
    <w:rsid w:val="00B80854"/>
    <w:rsid w:val="00B80B7D"/>
    <w:rsid w:val="00B84792"/>
    <w:rsid w:val="00B85AC0"/>
    <w:rsid w:val="00B86508"/>
    <w:rsid w:val="00B91380"/>
    <w:rsid w:val="00B92FE4"/>
    <w:rsid w:val="00B93657"/>
    <w:rsid w:val="00B9622F"/>
    <w:rsid w:val="00B9635F"/>
    <w:rsid w:val="00BA2204"/>
    <w:rsid w:val="00BA28D4"/>
    <w:rsid w:val="00BA4D82"/>
    <w:rsid w:val="00BD4A92"/>
    <w:rsid w:val="00BE0CF1"/>
    <w:rsid w:val="00BE1F3A"/>
    <w:rsid w:val="00BE5FBF"/>
    <w:rsid w:val="00BF474F"/>
    <w:rsid w:val="00BF785A"/>
    <w:rsid w:val="00C01F05"/>
    <w:rsid w:val="00C06D0B"/>
    <w:rsid w:val="00C122F5"/>
    <w:rsid w:val="00C12750"/>
    <w:rsid w:val="00C158DF"/>
    <w:rsid w:val="00C1725E"/>
    <w:rsid w:val="00C31C79"/>
    <w:rsid w:val="00C347A8"/>
    <w:rsid w:val="00C3523F"/>
    <w:rsid w:val="00C46019"/>
    <w:rsid w:val="00C464B4"/>
    <w:rsid w:val="00C54216"/>
    <w:rsid w:val="00C57AA1"/>
    <w:rsid w:val="00C64E9F"/>
    <w:rsid w:val="00C67371"/>
    <w:rsid w:val="00C81FEC"/>
    <w:rsid w:val="00CA2702"/>
    <w:rsid w:val="00CA3358"/>
    <w:rsid w:val="00CB7F71"/>
    <w:rsid w:val="00CC545C"/>
    <w:rsid w:val="00CC687B"/>
    <w:rsid w:val="00CD354F"/>
    <w:rsid w:val="00CE2B67"/>
    <w:rsid w:val="00CE6060"/>
    <w:rsid w:val="00CF113A"/>
    <w:rsid w:val="00CF1BEC"/>
    <w:rsid w:val="00D17B12"/>
    <w:rsid w:val="00D27B3C"/>
    <w:rsid w:val="00D3341B"/>
    <w:rsid w:val="00D55045"/>
    <w:rsid w:val="00D558D5"/>
    <w:rsid w:val="00D55F3A"/>
    <w:rsid w:val="00D57C1B"/>
    <w:rsid w:val="00D66FB2"/>
    <w:rsid w:val="00D80726"/>
    <w:rsid w:val="00D80C19"/>
    <w:rsid w:val="00D83346"/>
    <w:rsid w:val="00D839E7"/>
    <w:rsid w:val="00D904F0"/>
    <w:rsid w:val="00D9293F"/>
    <w:rsid w:val="00DA5984"/>
    <w:rsid w:val="00DC0562"/>
    <w:rsid w:val="00DE2CFA"/>
    <w:rsid w:val="00DE7230"/>
    <w:rsid w:val="00DF440C"/>
    <w:rsid w:val="00DF4F54"/>
    <w:rsid w:val="00DF5AEA"/>
    <w:rsid w:val="00DF6385"/>
    <w:rsid w:val="00E049BD"/>
    <w:rsid w:val="00E06219"/>
    <w:rsid w:val="00E12998"/>
    <w:rsid w:val="00E21465"/>
    <w:rsid w:val="00E21FF6"/>
    <w:rsid w:val="00E22A2E"/>
    <w:rsid w:val="00E246E1"/>
    <w:rsid w:val="00E30476"/>
    <w:rsid w:val="00E43875"/>
    <w:rsid w:val="00E46D2A"/>
    <w:rsid w:val="00E5383A"/>
    <w:rsid w:val="00E57C7F"/>
    <w:rsid w:val="00E634E4"/>
    <w:rsid w:val="00E74CD8"/>
    <w:rsid w:val="00E808BF"/>
    <w:rsid w:val="00E90980"/>
    <w:rsid w:val="00E92068"/>
    <w:rsid w:val="00E921DD"/>
    <w:rsid w:val="00EA1443"/>
    <w:rsid w:val="00EB25AE"/>
    <w:rsid w:val="00EC43DF"/>
    <w:rsid w:val="00ED388A"/>
    <w:rsid w:val="00ED4637"/>
    <w:rsid w:val="00EE34CA"/>
    <w:rsid w:val="00F033E6"/>
    <w:rsid w:val="00F12A3A"/>
    <w:rsid w:val="00F15BB2"/>
    <w:rsid w:val="00F178EC"/>
    <w:rsid w:val="00F24029"/>
    <w:rsid w:val="00F26F39"/>
    <w:rsid w:val="00F2759F"/>
    <w:rsid w:val="00F34E3D"/>
    <w:rsid w:val="00F40A12"/>
    <w:rsid w:val="00F43F42"/>
    <w:rsid w:val="00F51AA8"/>
    <w:rsid w:val="00F66259"/>
    <w:rsid w:val="00F670A0"/>
    <w:rsid w:val="00F724B3"/>
    <w:rsid w:val="00F73F44"/>
    <w:rsid w:val="00F80EED"/>
    <w:rsid w:val="00F86AC4"/>
    <w:rsid w:val="00F86D10"/>
    <w:rsid w:val="00F93E48"/>
    <w:rsid w:val="00FB14FA"/>
    <w:rsid w:val="00FB18D7"/>
    <w:rsid w:val="00FB26CC"/>
    <w:rsid w:val="00FB6EEA"/>
    <w:rsid w:val="00FC0851"/>
    <w:rsid w:val="00FC76BB"/>
    <w:rsid w:val="00FD60C9"/>
    <w:rsid w:val="00FD7202"/>
    <w:rsid w:val="00FD76BA"/>
    <w:rsid w:val="00FE38FB"/>
    <w:rsid w:val="00FF2040"/>
    <w:rsid w:val="00FF31B8"/>
    <w:rsid w:val="00FF558A"/>
    <w:rsid w:val="398FCDB9"/>
    <w:rsid w:val="3F930A0A"/>
    <w:rsid w:val="4EE71CB3"/>
    <w:rsid w:val="4F191238"/>
    <w:rsid w:val="5EE6BF2D"/>
    <w:rsid w:val="63DFEBC5"/>
    <w:rsid w:val="76FFCE51"/>
    <w:rsid w:val="7D93FF13"/>
    <w:rsid w:val="7DF77346"/>
    <w:rsid w:val="7F7D2D87"/>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E6EEA7C"/>
  <w15:docId w15:val="{7DBA1D9B-3090-8D43-B4D4-501168ED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nhideWhenUsed="1" w:qFormat="1"/>
    <w:lsdException w:name="heading 3"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lang w:val="en-SG"/>
    </w:rPr>
  </w:style>
  <w:style w:type="paragraph" w:styleId="1">
    <w:name w:val="heading 1"/>
    <w:basedOn w:val="a"/>
    <w:next w:val="a"/>
    <w:link w:val="10"/>
    <w:uiPriority w:val="99"/>
    <w:qFormat/>
    <w:pPr>
      <w:keepNext/>
      <w:keepLines/>
      <w:spacing w:before="360" w:after="80"/>
      <w:outlineLvl w:val="0"/>
    </w:pPr>
    <w:rPr>
      <w:rFonts w:eastAsiaTheme="majorEastAsia" w:cstheme="majorBidi"/>
      <w:b/>
      <w:color w:val="000000" w:themeColor="text1"/>
      <w:szCs w:val="40"/>
    </w:rPr>
  </w:style>
  <w:style w:type="paragraph" w:styleId="2">
    <w:name w:val="heading 2"/>
    <w:basedOn w:val="a"/>
    <w:next w:val="a"/>
    <w:link w:val="20"/>
    <w:uiPriority w:val="99"/>
    <w:unhideWhenUsed/>
    <w:qFormat/>
    <w:pPr>
      <w:keepNext/>
      <w:keepLines/>
      <w:spacing w:before="160" w:after="80"/>
      <w:outlineLvl w:val="1"/>
    </w:pPr>
    <w:rPr>
      <w:rFonts w:eastAsiaTheme="majorEastAsia" w:cstheme="majorBidi"/>
      <w:b/>
      <w:color w:val="000000" w:themeColor="text1"/>
      <w:szCs w:val="32"/>
    </w:rPr>
  </w:style>
  <w:style w:type="paragraph" w:styleId="3">
    <w:name w:val="heading 3"/>
    <w:basedOn w:val="a"/>
    <w:next w:val="a"/>
    <w:link w:val="30"/>
    <w:uiPriority w:val="99"/>
    <w:unhideWhenUsed/>
    <w:qFormat/>
    <w:pPr>
      <w:keepNext/>
      <w:keepLines/>
      <w:spacing w:before="160" w:after="80"/>
      <w:outlineLvl w:val="2"/>
    </w:pPr>
    <w:rPr>
      <w:rFonts w:eastAsiaTheme="majorEastAsia" w:cstheme="majorBidi"/>
      <w:b/>
      <w:color w:val="000000" w:themeColor="text1"/>
      <w:szCs w:val="28"/>
    </w:rPr>
  </w:style>
  <w:style w:type="paragraph" w:styleId="4">
    <w:name w:val="heading 4"/>
    <w:basedOn w:val="a"/>
    <w:next w:val="a"/>
    <w:link w:val="40"/>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pPr>
      <w:keepNext/>
      <w:keepLines/>
      <w:outlineLvl w:val="7"/>
    </w:pPr>
    <w:rPr>
      <w:rFonts w:eastAsiaTheme="majorEastAsia" w:cstheme="majorBidi"/>
      <w:i/>
      <w:iCs/>
      <w:color w:val="262626" w:themeColor="text1" w:themeTint="D9"/>
    </w:rPr>
  </w:style>
  <w:style w:type="paragraph" w:styleId="9">
    <w:name w:val="heading 9"/>
    <w:basedOn w:val="a"/>
    <w:next w:val="a"/>
    <w:link w:val="90"/>
    <w:uiPriority w:val="9"/>
    <w:semiHidden/>
    <w:unhideWhenUsed/>
    <w:qFormat/>
    <w:pPr>
      <w:keepNext/>
      <w:keepLines/>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semiHidden/>
    <w:unhideWhenUsed/>
    <w:pPr>
      <w:ind w:left="1440"/>
    </w:pPr>
    <w:rPr>
      <w:rFonts w:asciiTheme="minorHAnsi" w:hAnsiTheme="minorHAnsi"/>
      <w:sz w:val="20"/>
      <w:szCs w:val="20"/>
    </w:rPr>
  </w:style>
  <w:style w:type="paragraph" w:styleId="a3">
    <w:name w:val="caption"/>
    <w:basedOn w:val="a"/>
    <w:next w:val="a"/>
    <w:uiPriority w:val="35"/>
    <w:unhideWhenUsed/>
    <w:qFormat/>
    <w:pPr>
      <w:spacing w:after="200"/>
    </w:pPr>
    <w:rPr>
      <w:i/>
      <w:iCs/>
      <w:color w:val="0E2841" w:themeColor="text2"/>
      <w:sz w:val="18"/>
      <w:szCs w:val="18"/>
    </w:rPr>
  </w:style>
  <w:style w:type="paragraph" w:styleId="a4">
    <w:name w:val="annotation text"/>
    <w:basedOn w:val="a"/>
    <w:link w:val="a5"/>
    <w:uiPriority w:val="99"/>
    <w:unhideWhenUsed/>
    <w:rPr>
      <w:sz w:val="20"/>
      <w:szCs w:val="20"/>
    </w:rPr>
  </w:style>
  <w:style w:type="paragraph" w:styleId="a6">
    <w:name w:val="Body Text"/>
    <w:basedOn w:val="a"/>
    <w:link w:val="a7"/>
    <w:uiPriority w:val="1"/>
    <w:qFormat/>
    <w:pPr>
      <w:widowControl w:val="0"/>
      <w:jc w:val="both"/>
    </w:pPr>
    <w:rPr>
      <w:kern w:val="2"/>
      <w:lang w:val="en-US" w:eastAsia="en-US"/>
    </w:rPr>
  </w:style>
  <w:style w:type="paragraph" w:styleId="TOC5">
    <w:name w:val="toc 5"/>
    <w:basedOn w:val="a"/>
    <w:next w:val="a"/>
    <w:uiPriority w:val="39"/>
    <w:semiHidden/>
    <w:unhideWhenUsed/>
    <w:pPr>
      <w:ind w:left="960"/>
    </w:pPr>
    <w:rPr>
      <w:rFonts w:asciiTheme="minorHAnsi" w:hAnsiTheme="minorHAnsi"/>
      <w:sz w:val="20"/>
      <w:szCs w:val="20"/>
    </w:rPr>
  </w:style>
  <w:style w:type="paragraph" w:styleId="TOC3">
    <w:name w:val="toc 3"/>
    <w:basedOn w:val="a"/>
    <w:next w:val="a"/>
    <w:uiPriority w:val="39"/>
    <w:unhideWhenUsed/>
    <w:pPr>
      <w:ind w:left="480"/>
    </w:pPr>
    <w:rPr>
      <w:rFonts w:asciiTheme="minorHAnsi" w:hAnsiTheme="minorHAnsi"/>
      <w:sz w:val="20"/>
      <w:szCs w:val="20"/>
    </w:rPr>
  </w:style>
  <w:style w:type="paragraph" w:styleId="TOC8">
    <w:name w:val="toc 8"/>
    <w:basedOn w:val="a"/>
    <w:next w:val="a"/>
    <w:uiPriority w:val="39"/>
    <w:semiHidden/>
    <w:unhideWhenUsed/>
    <w:pPr>
      <w:ind w:left="1680"/>
    </w:pPr>
    <w:rPr>
      <w:rFonts w:asciiTheme="minorHAnsi" w:hAnsiTheme="minorHAnsi"/>
      <w:sz w:val="20"/>
      <w:szCs w:val="20"/>
    </w:rPr>
  </w:style>
  <w:style w:type="paragraph" w:styleId="a8">
    <w:name w:val="endnote text"/>
    <w:basedOn w:val="a"/>
    <w:link w:val="a9"/>
    <w:uiPriority w:val="99"/>
    <w:semiHidden/>
    <w:unhideWhenUsed/>
    <w:rPr>
      <w:sz w:val="20"/>
      <w:szCs w:val="20"/>
    </w:rPr>
  </w:style>
  <w:style w:type="paragraph" w:styleId="aa">
    <w:name w:val="Balloon Text"/>
    <w:basedOn w:val="a"/>
    <w:link w:val="ab"/>
    <w:uiPriority w:val="99"/>
    <w:semiHidden/>
    <w:unhideWhenUsed/>
    <w:rPr>
      <w:rFonts w:ascii="Tahoma" w:hAnsi="Tahoma" w:cs="Tahoma"/>
      <w:sz w:val="16"/>
      <w:szCs w:val="16"/>
    </w:rPr>
  </w:style>
  <w:style w:type="paragraph" w:styleId="TOC1">
    <w:name w:val="toc 1"/>
    <w:basedOn w:val="a"/>
    <w:next w:val="a"/>
    <w:uiPriority w:val="39"/>
    <w:unhideWhenUsed/>
    <w:pPr>
      <w:spacing w:before="120"/>
    </w:pPr>
    <w:rPr>
      <w:rFonts w:asciiTheme="minorHAnsi" w:hAnsiTheme="minorHAnsi"/>
      <w:b/>
      <w:bCs/>
      <w:i/>
      <w:iCs/>
    </w:rPr>
  </w:style>
  <w:style w:type="paragraph" w:styleId="TOC4">
    <w:name w:val="toc 4"/>
    <w:basedOn w:val="a"/>
    <w:next w:val="a"/>
    <w:uiPriority w:val="39"/>
    <w:semiHidden/>
    <w:unhideWhenUsed/>
    <w:pPr>
      <w:ind w:left="720"/>
    </w:pPr>
    <w:rPr>
      <w:rFonts w:asciiTheme="minorHAnsi" w:hAnsiTheme="minorHAnsi"/>
      <w:sz w:val="20"/>
      <w:szCs w:val="20"/>
    </w:rPr>
  </w:style>
  <w:style w:type="paragraph" w:styleId="ac">
    <w:name w:val="Subtitle"/>
    <w:basedOn w:val="a"/>
    <w:next w:val="a"/>
    <w:link w:val="ad"/>
    <w:uiPriority w:val="11"/>
    <w:qFormat/>
    <w:rPr>
      <w:rFonts w:eastAsiaTheme="majorEastAsia" w:cstheme="majorBidi"/>
      <w:color w:val="595959" w:themeColor="text1" w:themeTint="A6"/>
      <w:spacing w:val="15"/>
      <w:sz w:val="28"/>
      <w:szCs w:val="28"/>
    </w:rPr>
  </w:style>
  <w:style w:type="paragraph" w:styleId="TOC6">
    <w:name w:val="toc 6"/>
    <w:basedOn w:val="a"/>
    <w:next w:val="a"/>
    <w:uiPriority w:val="39"/>
    <w:semiHidden/>
    <w:unhideWhenUsed/>
    <w:pPr>
      <w:ind w:left="1200"/>
    </w:pPr>
    <w:rPr>
      <w:rFonts w:asciiTheme="minorHAnsi" w:hAnsiTheme="minorHAnsi"/>
      <w:sz w:val="20"/>
      <w:szCs w:val="20"/>
    </w:rPr>
  </w:style>
  <w:style w:type="paragraph" w:styleId="ae">
    <w:name w:val="table of figures"/>
    <w:basedOn w:val="a"/>
    <w:next w:val="a"/>
    <w:uiPriority w:val="99"/>
    <w:unhideWhenUsed/>
  </w:style>
  <w:style w:type="paragraph" w:styleId="TOC2">
    <w:name w:val="toc 2"/>
    <w:basedOn w:val="a"/>
    <w:next w:val="a"/>
    <w:uiPriority w:val="39"/>
    <w:unhideWhenUsed/>
    <w:pPr>
      <w:spacing w:before="120"/>
      <w:ind w:left="240"/>
    </w:pPr>
    <w:rPr>
      <w:rFonts w:asciiTheme="minorHAnsi" w:hAnsiTheme="minorHAnsi"/>
      <w:b/>
      <w:bCs/>
      <w:sz w:val="22"/>
      <w:szCs w:val="22"/>
    </w:rPr>
  </w:style>
  <w:style w:type="paragraph" w:styleId="TOC9">
    <w:name w:val="toc 9"/>
    <w:basedOn w:val="a"/>
    <w:next w:val="a"/>
    <w:uiPriority w:val="39"/>
    <w:semiHidden/>
    <w:unhideWhenUsed/>
    <w:pPr>
      <w:ind w:left="1920"/>
    </w:pPr>
    <w:rPr>
      <w:rFonts w:asciiTheme="minorHAnsi" w:hAnsiTheme="minorHAnsi"/>
      <w:sz w:val="20"/>
      <w:szCs w:val="20"/>
    </w:rPr>
  </w:style>
  <w:style w:type="paragraph" w:styleId="af">
    <w:name w:val="Normal (Web)"/>
    <w:basedOn w:val="a"/>
    <w:uiPriority w:val="99"/>
    <w:unhideWhenUsed/>
    <w:pPr>
      <w:spacing w:before="100" w:beforeAutospacing="1" w:after="100" w:afterAutospacing="1"/>
    </w:pPr>
  </w:style>
  <w:style w:type="paragraph" w:styleId="af0">
    <w:name w:val="Title"/>
    <w:basedOn w:val="a"/>
    <w:next w:val="a"/>
    <w:link w:val="af1"/>
    <w:uiPriority w:val="10"/>
    <w:qFormat/>
    <w:pPr>
      <w:spacing w:after="80"/>
      <w:contextualSpacing/>
    </w:pPr>
    <w:rPr>
      <w:rFonts w:asciiTheme="majorHAnsi" w:eastAsiaTheme="majorEastAsia" w:hAnsiTheme="majorHAnsi" w:cstheme="majorBidi"/>
      <w:spacing w:val="-10"/>
      <w:kern w:val="28"/>
      <w:sz w:val="56"/>
      <w:szCs w:val="56"/>
    </w:rPr>
  </w:style>
  <w:style w:type="paragraph" w:styleId="af2">
    <w:name w:val="annotation subject"/>
    <w:basedOn w:val="a4"/>
    <w:next w:val="a4"/>
    <w:link w:val="af3"/>
    <w:uiPriority w:val="99"/>
    <w:semiHidden/>
    <w:unhideWhenUsed/>
    <w:rPr>
      <w:b/>
      <w:bCs/>
    </w:rPr>
  </w:style>
  <w:style w:type="table" w:styleId="af4">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0"/>
    <w:uiPriority w:val="22"/>
    <w:qFormat/>
    <w:rPr>
      <w:b/>
      <w:bCs/>
    </w:rPr>
  </w:style>
  <w:style w:type="character" w:styleId="af6">
    <w:name w:val="endnote reference"/>
    <w:basedOn w:val="a0"/>
    <w:uiPriority w:val="99"/>
    <w:semiHidden/>
    <w:unhideWhenUsed/>
    <w:rPr>
      <w:vertAlign w:val="superscript"/>
    </w:rPr>
  </w:style>
  <w:style w:type="character" w:styleId="af7">
    <w:name w:val="FollowedHyperlink"/>
    <w:basedOn w:val="a0"/>
    <w:uiPriority w:val="99"/>
    <w:semiHidden/>
    <w:unhideWhenUsed/>
    <w:rPr>
      <w:color w:val="96607D" w:themeColor="followedHyperlink"/>
      <w:u w:val="single"/>
    </w:rPr>
  </w:style>
  <w:style w:type="character" w:styleId="af8">
    <w:name w:val="Emphasis"/>
    <w:basedOn w:val="a0"/>
    <w:uiPriority w:val="20"/>
    <w:qFormat/>
    <w:rPr>
      <w:i/>
      <w:iCs/>
    </w:rPr>
  </w:style>
  <w:style w:type="character" w:styleId="af9">
    <w:name w:val="Hyperlink"/>
    <w:basedOn w:val="a0"/>
    <w:uiPriority w:val="99"/>
    <w:unhideWhenUsed/>
    <w:rPr>
      <w:color w:val="0000FF"/>
      <w:u w:val="single"/>
    </w:rPr>
  </w:style>
  <w:style w:type="character" w:styleId="afa">
    <w:name w:val="annotation reference"/>
    <w:basedOn w:val="a0"/>
    <w:uiPriority w:val="99"/>
    <w:semiHidden/>
    <w:unhideWhenUsed/>
    <w:rPr>
      <w:sz w:val="16"/>
      <w:szCs w:val="16"/>
    </w:rPr>
  </w:style>
  <w:style w:type="character" w:customStyle="1" w:styleId="10">
    <w:name w:val="标题 1 字符"/>
    <w:basedOn w:val="a0"/>
    <w:link w:val="1"/>
    <w:uiPriority w:val="99"/>
    <w:rPr>
      <w:rFonts w:ascii="Times New Roman" w:eastAsiaTheme="majorEastAsia" w:hAnsi="Times New Roman" w:cstheme="majorBidi"/>
      <w:b/>
      <w:color w:val="000000" w:themeColor="text1"/>
      <w:sz w:val="24"/>
      <w:szCs w:val="40"/>
    </w:rPr>
  </w:style>
  <w:style w:type="character" w:customStyle="1" w:styleId="20">
    <w:name w:val="标题 2 字符"/>
    <w:basedOn w:val="a0"/>
    <w:link w:val="2"/>
    <w:uiPriority w:val="99"/>
    <w:rPr>
      <w:rFonts w:ascii="Times New Roman" w:eastAsiaTheme="majorEastAsia" w:hAnsi="Times New Roman" w:cstheme="majorBidi"/>
      <w:b/>
      <w:color w:val="000000" w:themeColor="text1"/>
      <w:sz w:val="24"/>
      <w:szCs w:val="32"/>
    </w:rPr>
  </w:style>
  <w:style w:type="character" w:customStyle="1" w:styleId="30">
    <w:name w:val="标题 3 字符"/>
    <w:basedOn w:val="a0"/>
    <w:link w:val="3"/>
    <w:uiPriority w:val="99"/>
    <w:rPr>
      <w:rFonts w:ascii="Times New Roman" w:eastAsiaTheme="majorEastAsia" w:hAnsi="Times New Roman" w:cstheme="majorBidi"/>
      <w:b/>
      <w:color w:val="000000" w:themeColor="text1"/>
      <w:sz w:val="24"/>
      <w:szCs w:val="28"/>
    </w:rPr>
  </w:style>
  <w:style w:type="character" w:customStyle="1" w:styleId="40">
    <w:name w:val="标题 4 字符"/>
    <w:basedOn w:val="a0"/>
    <w:link w:val="4"/>
    <w:uiPriority w:val="9"/>
    <w:rPr>
      <w:rFonts w:eastAsiaTheme="majorEastAsia" w:cstheme="majorBidi"/>
      <w:i/>
      <w:iCs/>
      <w:color w:val="0F4761" w:themeColor="accent1" w:themeShade="BF"/>
    </w:rPr>
  </w:style>
  <w:style w:type="character" w:customStyle="1" w:styleId="50">
    <w:name w:val="标题 5 字符"/>
    <w:basedOn w:val="a0"/>
    <w:link w:val="5"/>
    <w:uiPriority w:val="9"/>
    <w:semiHidden/>
    <w:rPr>
      <w:rFonts w:eastAsiaTheme="majorEastAsia" w:cstheme="majorBidi"/>
      <w:color w:val="0F4761" w:themeColor="accent1" w:themeShade="BF"/>
    </w:rPr>
  </w:style>
  <w:style w:type="character" w:customStyle="1" w:styleId="60">
    <w:name w:val="标题 6 字符"/>
    <w:basedOn w:val="a0"/>
    <w:link w:val="6"/>
    <w:uiPriority w:val="9"/>
    <w:semiHidden/>
    <w:rPr>
      <w:rFonts w:eastAsiaTheme="majorEastAsia" w:cstheme="majorBidi"/>
      <w:i/>
      <w:iCs/>
      <w:color w:val="595959" w:themeColor="text1" w:themeTint="A6"/>
    </w:rPr>
  </w:style>
  <w:style w:type="character" w:customStyle="1" w:styleId="70">
    <w:name w:val="标题 7 字符"/>
    <w:basedOn w:val="a0"/>
    <w:link w:val="7"/>
    <w:uiPriority w:val="9"/>
    <w:semiHidden/>
    <w:rPr>
      <w:rFonts w:eastAsiaTheme="majorEastAsia" w:cstheme="majorBidi"/>
      <w:color w:val="595959" w:themeColor="text1" w:themeTint="A6"/>
    </w:rPr>
  </w:style>
  <w:style w:type="character" w:customStyle="1" w:styleId="80">
    <w:name w:val="标题 8 字符"/>
    <w:basedOn w:val="a0"/>
    <w:link w:val="8"/>
    <w:uiPriority w:val="9"/>
    <w:semiHidden/>
    <w:rPr>
      <w:rFonts w:eastAsiaTheme="majorEastAsia" w:cstheme="majorBidi"/>
      <w:i/>
      <w:iCs/>
      <w:color w:val="262626" w:themeColor="text1" w:themeTint="D9"/>
    </w:rPr>
  </w:style>
  <w:style w:type="character" w:customStyle="1" w:styleId="90">
    <w:name w:val="标题 9 字符"/>
    <w:basedOn w:val="a0"/>
    <w:link w:val="9"/>
    <w:uiPriority w:val="9"/>
    <w:semiHidden/>
    <w:rPr>
      <w:rFonts w:eastAsiaTheme="majorEastAsia" w:cstheme="majorBidi"/>
      <w:color w:val="262626" w:themeColor="text1" w:themeTint="D9"/>
    </w:rPr>
  </w:style>
  <w:style w:type="character" w:customStyle="1" w:styleId="af1">
    <w:name w:val="标题 字符"/>
    <w:basedOn w:val="a0"/>
    <w:link w:val="af0"/>
    <w:uiPriority w:val="10"/>
    <w:rPr>
      <w:rFonts w:asciiTheme="majorHAnsi" w:eastAsiaTheme="majorEastAsia" w:hAnsiTheme="majorHAnsi" w:cstheme="majorBidi"/>
      <w:spacing w:val="-10"/>
      <w:kern w:val="28"/>
      <w:sz w:val="56"/>
      <w:szCs w:val="56"/>
    </w:rPr>
  </w:style>
  <w:style w:type="character" w:customStyle="1" w:styleId="ad">
    <w:name w:val="副标题 字符"/>
    <w:basedOn w:val="a0"/>
    <w:link w:val="ac"/>
    <w:uiPriority w:val="11"/>
    <w:rPr>
      <w:rFonts w:eastAsiaTheme="majorEastAsia" w:cstheme="majorBidi"/>
      <w:color w:val="595959" w:themeColor="text1" w:themeTint="A6"/>
      <w:spacing w:val="15"/>
      <w:sz w:val="28"/>
      <w:szCs w:val="28"/>
    </w:rPr>
  </w:style>
  <w:style w:type="paragraph" w:styleId="afb">
    <w:name w:val="Quote"/>
    <w:basedOn w:val="a"/>
    <w:next w:val="a"/>
    <w:link w:val="afc"/>
    <w:uiPriority w:val="29"/>
    <w:qFormat/>
    <w:pPr>
      <w:spacing w:before="160"/>
      <w:jc w:val="center"/>
    </w:pPr>
    <w:rPr>
      <w:i/>
      <w:iCs/>
      <w:color w:val="404040" w:themeColor="text1" w:themeTint="BF"/>
    </w:rPr>
  </w:style>
  <w:style w:type="character" w:customStyle="1" w:styleId="afc">
    <w:name w:val="引用 字符"/>
    <w:basedOn w:val="a0"/>
    <w:link w:val="afb"/>
    <w:uiPriority w:val="29"/>
    <w:rPr>
      <w:i/>
      <w:iCs/>
      <w:color w:val="404040" w:themeColor="text1" w:themeTint="BF"/>
    </w:rPr>
  </w:style>
  <w:style w:type="paragraph" w:styleId="afd">
    <w:name w:val="List Paragraph"/>
    <w:basedOn w:val="a"/>
    <w:uiPriority w:val="34"/>
    <w:qFormat/>
    <w:pPr>
      <w:ind w:left="720"/>
      <w:contextualSpacing/>
    </w:pPr>
  </w:style>
  <w:style w:type="character" w:customStyle="1" w:styleId="IntenseEmphasis1">
    <w:name w:val="Intense Emphasis1"/>
    <w:basedOn w:val="a0"/>
    <w:uiPriority w:val="21"/>
    <w:qFormat/>
    <w:rPr>
      <w:i/>
      <w:iCs/>
      <w:color w:val="0F4761" w:themeColor="accent1" w:themeShade="BF"/>
    </w:rPr>
  </w:style>
  <w:style w:type="paragraph" w:styleId="afe">
    <w:name w:val="Intense Quote"/>
    <w:basedOn w:val="a"/>
    <w:next w:val="a"/>
    <w:link w:val="aff"/>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f">
    <w:name w:val="明显引用 字符"/>
    <w:basedOn w:val="a0"/>
    <w:link w:val="afe"/>
    <w:uiPriority w:val="30"/>
    <w:rPr>
      <w:i/>
      <w:iCs/>
      <w:color w:val="0F4761" w:themeColor="accent1" w:themeShade="BF"/>
    </w:rPr>
  </w:style>
  <w:style w:type="character" w:customStyle="1" w:styleId="IntenseReference1">
    <w:name w:val="Intense Reference1"/>
    <w:basedOn w:val="a0"/>
    <w:uiPriority w:val="32"/>
    <w:qFormat/>
    <w:rPr>
      <w:b/>
      <w:bCs/>
      <w:smallCaps/>
      <w:color w:val="0F4761" w:themeColor="accent1" w:themeShade="BF"/>
      <w:spacing w:val="5"/>
    </w:rPr>
  </w:style>
  <w:style w:type="character" w:customStyle="1" w:styleId="overflow-hidden">
    <w:name w:val="overflow-hidden"/>
    <w:basedOn w:val="a0"/>
  </w:style>
  <w:style w:type="character" w:customStyle="1" w:styleId="a5">
    <w:name w:val="批注文字 字符"/>
    <w:basedOn w:val="a0"/>
    <w:link w:val="a4"/>
    <w:uiPriority w:val="99"/>
    <w:rPr>
      <w:rFonts w:ascii="Times New Roman" w:eastAsia="Times New Roman" w:hAnsi="Times New Roman" w:cs="Times New Roman"/>
      <w:kern w:val="0"/>
      <w:sz w:val="20"/>
      <w:szCs w:val="20"/>
      <w14:ligatures w14:val="none"/>
    </w:rPr>
  </w:style>
  <w:style w:type="character" w:customStyle="1" w:styleId="af3">
    <w:name w:val="批注主题 字符"/>
    <w:basedOn w:val="a5"/>
    <w:link w:val="af2"/>
    <w:uiPriority w:val="99"/>
    <w:semiHidden/>
    <w:rPr>
      <w:rFonts w:ascii="Times New Roman" w:eastAsia="Times New Roman" w:hAnsi="Times New Roman" w:cs="Times New Roman"/>
      <w:b/>
      <w:bCs/>
      <w:kern w:val="0"/>
      <w:sz w:val="20"/>
      <w:szCs w:val="20"/>
      <w14:ligatures w14:val="none"/>
    </w:r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a7">
    <w:name w:val="正文文本 字符"/>
    <w:basedOn w:val="a0"/>
    <w:link w:val="a6"/>
    <w:uiPriority w:val="1"/>
    <w:rPr>
      <w:rFonts w:ascii="Times New Roman" w:eastAsia="Times New Roman" w:hAnsi="Times New Roman" w:cs="Times New Roman"/>
      <w:kern w:val="2"/>
      <w:sz w:val="24"/>
      <w:szCs w:val="24"/>
      <w:lang w:val="en-US" w:eastAsia="en-US"/>
    </w:rPr>
  </w:style>
  <w:style w:type="table" w:customStyle="1" w:styleId="TableGridLight1">
    <w:name w:val="Table Grid Light1"/>
    <w:basedOn w:val="a1"/>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a1"/>
    <w:uiPriority w:val="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a1"/>
    <w:uiPriority w:val="43"/>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OCHeading1">
    <w:name w:val="TOC Heading1"/>
    <w:basedOn w:val="1"/>
    <w:next w:val="a"/>
    <w:uiPriority w:val="39"/>
    <w:unhideWhenUsed/>
    <w:qFormat/>
    <w:pPr>
      <w:spacing w:before="480" w:after="0" w:line="276" w:lineRule="auto"/>
      <w:outlineLvl w:val="9"/>
    </w:pPr>
    <w:rPr>
      <w:rFonts w:asciiTheme="majorHAnsi" w:hAnsiTheme="majorHAnsi"/>
      <w:bCs/>
      <w:color w:val="0F4761" w:themeColor="accent1" w:themeShade="BF"/>
      <w:sz w:val="28"/>
      <w:szCs w:val="28"/>
      <w:lang w:val="en-US" w:eastAsia="en-US"/>
    </w:rPr>
  </w:style>
  <w:style w:type="paragraph" w:styleId="aff0">
    <w:name w:val="No Spacing"/>
    <w:link w:val="aff1"/>
    <w:uiPriority w:val="1"/>
    <w:qFormat/>
    <w:rPr>
      <w:sz w:val="22"/>
      <w:szCs w:val="22"/>
    </w:rPr>
  </w:style>
  <w:style w:type="character" w:customStyle="1" w:styleId="aff1">
    <w:name w:val="无间隔 字符"/>
    <w:basedOn w:val="a0"/>
    <w:link w:val="aff0"/>
    <w:uiPriority w:val="1"/>
    <w:rPr>
      <w:sz w:val="22"/>
      <w:szCs w:val="22"/>
      <w:lang w:val="en-US"/>
    </w:rPr>
  </w:style>
  <w:style w:type="character" w:customStyle="1" w:styleId="ab">
    <w:name w:val="批注框文本 字符"/>
    <w:basedOn w:val="a0"/>
    <w:link w:val="aa"/>
    <w:uiPriority w:val="99"/>
    <w:semiHidden/>
    <w:rPr>
      <w:rFonts w:ascii="Tahoma" w:eastAsia="Times New Roman" w:hAnsi="Tahoma" w:cs="Tahoma"/>
      <w:sz w:val="16"/>
      <w:szCs w:val="16"/>
      <w:lang w:val="en-SG"/>
    </w:rPr>
  </w:style>
  <w:style w:type="character" w:customStyle="1" w:styleId="a9">
    <w:name w:val="尾注文本 字符"/>
    <w:basedOn w:val="a0"/>
    <w:link w:val="a8"/>
    <w:uiPriority w:val="99"/>
    <w:semiHidden/>
    <w:rPr>
      <w:rFonts w:ascii="Times New Roman" w:eastAsia="Times New Roman" w:hAnsi="Times New Roman" w:cs="Times New Roman"/>
      <w:lang w:val="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16/j.jclepro.2021.128034" TargetMode="External"/><Relationship Id="rId18" Type="http://schemas.openxmlformats.org/officeDocument/2006/relationships/hyperlink" Target="https://doi.org/10.1016/j.jenvman.2021.11410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olkswagen-group.com" TargetMode="External"/><Relationship Id="rId7" Type="http://schemas.openxmlformats.org/officeDocument/2006/relationships/image" Target="media/image2.png"/><Relationship Id="rId12" Type="http://schemas.openxmlformats.org/officeDocument/2006/relationships/hyperlink" Target="https://doi.org/10.1016/j.jbusres.2021.12.030" TargetMode="External"/><Relationship Id="rId17" Type="http://schemas.openxmlformats.org/officeDocument/2006/relationships/hyperlink" Target="https://doi.org/10.1016/j.jclepro.2021.1252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ckinsey.com/industries/automotive-and-assembly/our-insights/a-roadmap-to-the-future-for-the-auto-industry" TargetMode="External"/><Relationship Id="rId20" Type="http://schemas.openxmlformats.org/officeDocument/2006/relationships/hyperlink" Target="https://www.un.org/sustainabledevelopment/sustainable-development-goal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wjx.cn/vm/PpJqlkc.aspx" TargetMode="External"/><Relationship Id="rId5" Type="http://schemas.openxmlformats.org/officeDocument/2006/relationships/webSettings" Target="webSettings.xml"/><Relationship Id="rId15" Type="http://schemas.openxmlformats.org/officeDocument/2006/relationships/hyperlink" Target="https://doi.org/10.3390/su12239863" TargetMode="External"/><Relationship Id="rId23" Type="http://schemas.openxmlformats.org/officeDocument/2006/relationships/hyperlink" Target="https://www.volkswagenag.com" TargetMode="External"/><Relationship Id="rId10" Type="http://schemas.openxmlformats.org/officeDocument/2006/relationships/image" Target="media/image5.png"/><Relationship Id="rId19"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nytimes.com" TargetMode="External"/><Relationship Id="rId22" Type="http://schemas.openxmlformats.org/officeDocument/2006/relationships/hyperlink" Target="https://www.volkswagena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118</Pages>
  <Words>23698</Words>
  <Characters>135081</Characters>
  <Application>Microsoft Office Word</Application>
  <DocSecurity>0</DocSecurity>
  <Lines>1125</Lines>
  <Paragraphs>316</Paragraphs>
  <ScaleCrop>false</ScaleCrop>
  <Company/>
  <LinksUpToDate>false</LinksUpToDate>
  <CharactersWithSpaces>158463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Hualin Si</dc:creator>
  <cp:lastModifiedBy>Emma</cp:lastModifiedBy>
  <cp:revision>15</cp:revision>
  <dcterms:created xsi:type="dcterms:W3CDTF">2024-09-22T18:23:00Z</dcterms:created>
  <dcterms:modified xsi:type="dcterms:W3CDTF">2024-09-23T01:51:00Z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2052-5.7.3.8095</vt:lpwstr>
  </property>
</Properties>
</file>