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3DDB7" w14:textId="12EC2D55" w:rsidR="00613740" w:rsidRPr="002E6D2A" w:rsidRDefault="00613740" w:rsidP="00F51DCB">
      <w:pPr>
        <w:spacing w:after="0" w:line="480" w:lineRule="auto"/>
        <w:rPr>
          <w:rFonts w:cs="Times New Roman"/>
          <w:b/>
          <w:bCs/>
        </w:rPr>
      </w:pPr>
    </w:p>
    <w:p w14:paraId="55DDA38D" w14:textId="77777777" w:rsidR="00613740" w:rsidRPr="00E70DED" w:rsidRDefault="00613740" w:rsidP="00613740">
      <w:pPr>
        <w:spacing w:after="0" w:line="480" w:lineRule="auto"/>
        <w:jc w:val="center"/>
        <w:rPr>
          <w:highlight w:val="darkGray"/>
        </w:rPr>
      </w:pPr>
      <w:r w:rsidRPr="00E70DED">
        <w:rPr>
          <w:highlight w:val="darkGray"/>
        </w:rPr>
        <w:t xml:space="preserve">Noorhan </w:t>
      </w:r>
    </w:p>
    <w:p w14:paraId="32D82B8B" w14:textId="77777777" w:rsidR="00613740" w:rsidRPr="00E70DED" w:rsidRDefault="00613740" w:rsidP="00613740">
      <w:pPr>
        <w:spacing w:after="0" w:line="480" w:lineRule="auto"/>
        <w:jc w:val="center"/>
        <w:rPr>
          <w:highlight w:val="darkGray"/>
        </w:rPr>
      </w:pPr>
      <w:r w:rsidRPr="00E70DED">
        <w:rPr>
          <w:highlight w:val="darkGray"/>
        </w:rPr>
        <w:t xml:space="preserve">1500 </w:t>
      </w:r>
    </w:p>
    <w:p w14:paraId="29572FBC" w14:textId="77777777" w:rsidR="00E70DED" w:rsidRDefault="00613740" w:rsidP="00E70DED">
      <w:pPr>
        <w:spacing w:after="0" w:line="480" w:lineRule="auto"/>
        <w:jc w:val="center"/>
      </w:pPr>
      <w:r w:rsidRPr="00E70DED">
        <w:rPr>
          <w:highlight w:val="darkGray"/>
        </w:rPr>
        <w:t>ECEY4010</w:t>
      </w:r>
    </w:p>
    <w:p w14:paraId="1FC37446" w14:textId="4B01FAFD" w:rsidR="00613740" w:rsidRPr="00E70DED" w:rsidRDefault="002E6D2A" w:rsidP="00E70DED">
      <w:pPr>
        <w:spacing w:after="0" w:line="480" w:lineRule="auto"/>
        <w:jc w:val="center"/>
      </w:pPr>
      <w:r w:rsidRPr="001B267A">
        <w:rPr>
          <w:rFonts w:cs="Times New Roman"/>
          <w:b/>
          <w:bCs/>
          <w:highlight w:val="darkGray"/>
        </w:rPr>
        <w:t>Multilingual Practice</w:t>
      </w:r>
    </w:p>
    <w:p w14:paraId="28506CA9" w14:textId="77777777" w:rsidR="00613740" w:rsidRDefault="00613740" w:rsidP="00613740">
      <w:pPr>
        <w:spacing w:after="0" w:line="480" w:lineRule="auto"/>
        <w:rPr>
          <w:rFonts w:cs="Times New Roman"/>
          <w:b/>
          <w:bCs/>
        </w:rPr>
      </w:pPr>
      <w:r w:rsidRPr="00F51DCB">
        <w:rPr>
          <w:rFonts w:cs="Times New Roman"/>
          <w:b/>
          <w:bCs/>
          <w:highlight w:val="lightGray"/>
        </w:rPr>
        <w:t>Part I</w:t>
      </w:r>
    </w:p>
    <w:p w14:paraId="31FD6E42" w14:textId="77777777" w:rsidR="00F51DCB" w:rsidRDefault="00613740" w:rsidP="00613740">
      <w:pPr>
        <w:spacing w:after="0" w:line="480" w:lineRule="auto"/>
        <w:rPr>
          <w:rFonts w:cs="Times New Roman"/>
          <w:b/>
          <w:bCs/>
        </w:rPr>
      </w:pPr>
      <w:hyperlink r:id="rId7" w:history="1">
        <w:r w:rsidRPr="003C7602">
          <w:rPr>
            <w:rStyle w:val="Hyperlink"/>
            <w:rFonts w:cs="Times New Roman"/>
            <w:b/>
            <w:bCs/>
          </w:rPr>
          <w:t>https://drive.google.com/file/d/1M3PHzDwI-w_lgCVg_BbUyLIpMalowB4p/view?usp=drivesdk</w:t>
        </w:r>
      </w:hyperlink>
      <w:r>
        <w:rPr>
          <w:rFonts w:cs="Times New Roman"/>
          <w:b/>
          <w:bCs/>
        </w:rPr>
        <w:t xml:space="preserve"> </w:t>
      </w:r>
    </w:p>
    <w:p w14:paraId="3F26E52B" w14:textId="7106734A" w:rsidR="00F51DCB" w:rsidRDefault="00250B22" w:rsidP="00613740">
      <w:pPr>
        <w:spacing w:after="0" w:line="480" w:lineRule="auto"/>
        <w:rPr>
          <w:rFonts w:cs="Times New Roman"/>
          <w:b/>
          <w:bCs/>
        </w:rPr>
      </w:pPr>
      <w:r w:rsidRPr="00250B22">
        <w:rPr>
          <w:rFonts w:cs="Times New Roman"/>
          <w:b/>
          <w:bCs/>
          <w:highlight w:val="lightGray"/>
        </w:rPr>
        <w:t>Part2</w:t>
      </w:r>
    </w:p>
    <w:p w14:paraId="52CB7468" w14:textId="627BB6F6" w:rsidR="00613740" w:rsidRPr="00277040" w:rsidRDefault="00613740" w:rsidP="00613740">
      <w:pPr>
        <w:spacing w:after="0" w:line="480" w:lineRule="auto"/>
        <w:rPr>
          <w:rFonts w:cs="Times New Roman"/>
          <w:b/>
          <w:bCs/>
          <w:color w:val="ED7D31" w:themeColor="accent2"/>
        </w:rPr>
      </w:pPr>
      <w:r w:rsidRPr="00277040">
        <w:rPr>
          <w:rFonts w:cs="Times New Roman"/>
          <w:b/>
          <w:bCs/>
          <w:color w:val="ED7D31" w:themeColor="accent2"/>
        </w:rPr>
        <w:t>Introduction</w:t>
      </w:r>
    </w:p>
    <w:p w14:paraId="5ECB900B" w14:textId="7099E0D2" w:rsidR="0057554B" w:rsidRDefault="00613740" w:rsidP="00A50EFF">
      <w:pPr>
        <w:pStyle w:val="NormalWeb"/>
        <w:spacing w:before="0" w:beforeAutospacing="0" w:after="0" w:afterAutospacing="0" w:line="480" w:lineRule="auto"/>
      </w:pPr>
      <w:r w:rsidRPr="00FC2EE0">
        <w:t xml:space="preserve">Studies of people who know many languages point to stronger executive functioning, better problem-solving abilities, and more adaptation. It also makes abundantly evident how English as an Additional Language (EAL) and Welsh as an Additional Language (WAL) support Welsh education. For both Welsh and English as additional learning courses, the Welsh education system consists of significant elements. Preserving and enhancing Welsh as a living language is the goal of the national plan for transferring languages. Still, it is difficult to guarantee excellent immersion instruction and strike a balance between </w:t>
      </w:r>
      <w:r w:rsidR="00250B22" w:rsidRPr="00FC2EE0">
        <w:t>bilingualisms</w:t>
      </w:r>
      <w:r w:rsidRPr="00FC2EE0">
        <w:t>. Another very important feature of bilingualism is brain growth. Multilingual people have more developed cognitive control systems, which facilitates better decision-making and multitasking. One key element of creativity—diverse thinki</w:t>
      </w:r>
      <w:r w:rsidR="005B1F40">
        <w:t>ng—is improved by bilingualism.</w:t>
      </w:r>
    </w:p>
    <w:p w14:paraId="6186A62B" w14:textId="7E5211A2" w:rsidR="00E743C9" w:rsidRDefault="00613740" w:rsidP="00291C4F">
      <w:pPr>
        <w:pStyle w:val="NormalWeb"/>
        <w:spacing w:before="0" w:beforeAutospacing="0" w:after="0" w:afterAutospacing="0" w:line="480" w:lineRule="auto"/>
      </w:pPr>
      <w:r w:rsidRPr="00FC2EE0">
        <w:t xml:space="preserve">Reviewing national legislation, immersion education approaches, and language issues helps one to assess how bilingual education fosters language transmission, cognitive development, and cultural preservation. </w:t>
      </w:r>
      <w:r w:rsidR="00E743C9">
        <w:t xml:space="preserve">The recording was made for part of the project to educate about </w:t>
      </w:r>
      <w:r w:rsidR="00E743C9">
        <w:lastRenderedPageBreak/>
        <w:t xml:space="preserve">bilingualism—more especially, Arabic and English. The recording sought to educate about various fruits and vegetables along with their colors. Its significance was in teaching English and Arabic names; for </w:t>
      </w:r>
      <w:r w:rsidR="005E431C">
        <w:t>instance</w:t>
      </w:r>
      <w:r w:rsidR="00E743C9">
        <w:t>, the terms apple and lettuce were given in English and Arabic, respectively.</w:t>
      </w:r>
    </w:p>
    <w:p w14:paraId="7265C920" w14:textId="05A1B1AA" w:rsidR="00613740" w:rsidRPr="00277040" w:rsidRDefault="00613740" w:rsidP="00E743C9">
      <w:pPr>
        <w:pStyle w:val="NormalWeb"/>
        <w:spacing w:before="0" w:beforeAutospacing="0" w:after="0" w:afterAutospacing="0" w:line="480" w:lineRule="auto"/>
        <w:rPr>
          <w:b/>
          <w:bCs/>
          <w:color w:val="ED7D31" w:themeColor="accent2"/>
        </w:rPr>
      </w:pPr>
      <w:r w:rsidRPr="00277040">
        <w:rPr>
          <w:b/>
          <w:bCs/>
          <w:color w:val="ED7D31" w:themeColor="accent2"/>
        </w:rPr>
        <w:t>Benefits of bilingualism and multilingualism</w:t>
      </w:r>
    </w:p>
    <w:p w14:paraId="45E1C3DD" w14:textId="77777777" w:rsidR="00613740" w:rsidRPr="00FC2EE0" w:rsidRDefault="00613740" w:rsidP="00250B22">
      <w:pPr>
        <w:pStyle w:val="NormalWeb"/>
        <w:spacing w:before="0" w:beforeAutospacing="0" w:after="0" w:afterAutospacing="0" w:line="480" w:lineRule="auto"/>
      </w:pPr>
      <w:bookmarkStart w:id="0" w:name="_Hlk192232742"/>
      <w:r w:rsidRPr="00FC2EE0">
        <w:t xml:space="preserve">Being multilingual has advantages that go well beyond simple communication in the globalized world. </w:t>
      </w:r>
      <w:bookmarkEnd w:id="0"/>
      <w:r w:rsidRPr="00FC2EE0">
        <w:t xml:space="preserve">Speaking more than one language improves cognitive skills even if it offers access to many civilizations and groups. One of the mental advantages of bilingualism is the ability to solve problems. Regular language switching improves cognitive flexibility, which facilitates the approach of issues from many viewpoints and the development of creative answers. Bilingual people grasp arithmetic ideas and word problems more precisely than their non-bilingual colleagues. </w:t>
      </w:r>
      <w:bookmarkStart w:id="1" w:name="_Hlk192232951"/>
      <w:r w:rsidRPr="00FC2EE0">
        <w:t>Two main benefits of bilingualism are better memory and multitasking capability. Working memory is frequently better in bilingual people than in monolingual colleagues (</w:t>
      </w:r>
      <w:r w:rsidRPr="00FC2EE0">
        <w:rPr>
          <w:color w:val="222222"/>
          <w:shd w:val="clear" w:color="auto" w:fill="FFFFFF"/>
        </w:rPr>
        <w:t xml:space="preserve">Bright &amp; </w:t>
      </w:r>
      <w:proofErr w:type="spellStart"/>
      <w:r w:rsidRPr="00FC2EE0">
        <w:rPr>
          <w:color w:val="222222"/>
          <w:shd w:val="clear" w:color="auto" w:fill="FFFFFF"/>
        </w:rPr>
        <w:t>Filippi</w:t>
      </w:r>
      <w:proofErr w:type="spellEnd"/>
      <w:r w:rsidRPr="00FC2EE0">
        <w:rPr>
          <w:color w:val="222222"/>
          <w:shd w:val="clear" w:color="auto" w:fill="FFFFFF"/>
        </w:rPr>
        <w:t>, 2019)</w:t>
      </w:r>
      <w:r w:rsidRPr="00FC2EE0">
        <w:t xml:space="preserve">. </w:t>
      </w:r>
      <w:bookmarkEnd w:id="1"/>
      <w:r w:rsidRPr="00FC2EE0">
        <w:t>This is so because juggling two languages forces the brain to store and access knowledge more effectively, enhancing general memory capacity.</w:t>
      </w:r>
    </w:p>
    <w:p w14:paraId="55D9B9FD" w14:textId="439A4E14" w:rsidR="00167133" w:rsidRDefault="00613740" w:rsidP="00291C4F">
      <w:pPr>
        <w:pStyle w:val="NormalWeb"/>
        <w:spacing w:before="0" w:beforeAutospacing="0" w:after="0" w:afterAutospacing="0" w:line="480" w:lineRule="auto"/>
      </w:pPr>
      <w:r w:rsidRPr="00FC2EE0">
        <w:t xml:space="preserve">Improved memory also helps with everyday job management and academic success. Because multilingual persons often move between languages, which teaches the brain to manage many things concurrently, this results in the effective capacity to multitask. Young children who speak two languages perform differently on numerous executive functioning tests. More specifically, in task initiation—the capacity to start an activity and autonomously create ideas—bilingual children beat monolinguals, therefore offering evidence of a probable bilingual advantage in response </w:t>
      </w:r>
      <w:r w:rsidRPr="00EA7730">
        <w:t>times (</w:t>
      </w:r>
      <w:r w:rsidRPr="00EA7730">
        <w:rPr>
          <w:shd w:val="clear" w:color="auto" w:fill="FFFFFF"/>
        </w:rPr>
        <w:t xml:space="preserve">Bright &amp; </w:t>
      </w:r>
      <w:proofErr w:type="spellStart"/>
      <w:r w:rsidRPr="00EA7730">
        <w:rPr>
          <w:shd w:val="clear" w:color="auto" w:fill="FFFFFF"/>
        </w:rPr>
        <w:t>Filippi</w:t>
      </w:r>
      <w:proofErr w:type="spellEnd"/>
      <w:r w:rsidRPr="00EA7730">
        <w:rPr>
          <w:shd w:val="clear" w:color="auto" w:fill="FFFFFF"/>
        </w:rPr>
        <w:t>, 2019)</w:t>
      </w:r>
      <w:r w:rsidR="005B1F40">
        <w:t>.</w:t>
      </w:r>
    </w:p>
    <w:p w14:paraId="5E5949C5" w14:textId="23F987C5" w:rsidR="00D348EB" w:rsidRDefault="00613740" w:rsidP="00291C4F">
      <w:pPr>
        <w:pStyle w:val="NormalWeb"/>
        <w:spacing w:before="0" w:beforeAutospacing="0" w:after="0" w:afterAutospacing="0" w:line="480" w:lineRule="auto"/>
      </w:pPr>
      <w:r w:rsidRPr="00FC2EE0">
        <w:lastRenderedPageBreak/>
        <w:t xml:space="preserve">Multilingualism is the state of speaking more than one language; it offers various advantages. One of the most obvious benefits is the chance to meet and talk with people from many different cultural and language groups. </w:t>
      </w:r>
      <w:bookmarkStart w:id="2" w:name="_Hlk192232993"/>
      <w:r w:rsidRPr="00FC2EE0">
        <w:t xml:space="preserve">People who speak more than one language can get around problems and talk to a lot of different people, </w:t>
      </w:r>
      <w:bookmarkEnd w:id="2"/>
      <w:r w:rsidRPr="00FC2EE0">
        <w:t xml:space="preserve">which is especially helpful in today's international world. Being multilingual has benefits for the brain that go beyond just being able to communicate better. </w:t>
      </w:r>
      <w:proofErr w:type="spellStart"/>
      <w:r w:rsidRPr="00FC2EE0">
        <w:t>Haukås</w:t>
      </w:r>
      <w:proofErr w:type="spellEnd"/>
      <w:r w:rsidRPr="00FC2EE0">
        <w:t xml:space="preserve"> et al. (2024) found that those who are bilingual or multilingual tend to be more mentally flexible and adept at multitasking. </w:t>
      </w:r>
      <w:bookmarkStart w:id="3" w:name="_Hlk192233022"/>
      <w:r w:rsidRPr="00FC2EE0">
        <w:t>Bilingual individuals are recognized to have better problem-solving skills since learning another language involves comprehending new words, grammar, and syntax</w:t>
      </w:r>
      <w:bookmarkEnd w:id="3"/>
      <w:r w:rsidRPr="00FC2EE0">
        <w:t>, as well as switching between the two. Most employers reward employees who are fluent in more than one language with bonuses or higher wages to do the job. Also, people speaking several languages might appreciate many cultures more and have more tolerance towards other people</w:t>
      </w:r>
      <w:r>
        <w:t xml:space="preserve"> (</w:t>
      </w:r>
      <w:proofErr w:type="spellStart"/>
      <w:r w:rsidRPr="00FC2EE0">
        <w:t>Haukås</w:t>
      </w:r>
      <w:proofErr w:type="spellEnd"/>
      <w:r w:rsidRPr="00FC2EE0">
        <w:t xml:space="preserve"> et al.</w:t>
      </w:r>
      <w:r>
        <w:t xml:space="preserve">, </w:t>
      </w:r>
      <w:r w:rsidRPr="00FC2EE0">
        <w:t>2024</w:t>
      </w:r>
      <w:r>
        <w:t>)</w:t>
      </w:r>
      <w:r w:rsidRPr="00FC2EE0">
        <w:t>.</w:t>
      </w:r>
      <w:r>
        <w:t xml:space="preserve"> </w:t>
      </w:r>
      <w:r w:rsidRPr="00FC2EE0">
        <w:t>Improving one's communication skills, cognitive abilities, economic standing, and personal and social connections are just a few of the many reasons why learning several languages is so important in today's society.</w:t>
      </w:r>
    </w:p>
    <w:p w14:paraId="57EA37FC" w14:textId="631C6C27" w:rsidR="00613740" w:rsidRDefault="00D348EB" w:rsidP="00291C4F">
      <w:pPr>
        <w:pStyle w:val="NormalWeb"/>
        <w:spacing w:before="0" w:beforeAutospacing="0" w:after="0" w:afterAutospacing="0" w:line="480" w:lineRule="auto"/>
      </w:pPr>
      <w:r>
        <w:t>Learning fresh terminology of a new language allows children to appreciate the power of language. In the video, expressing emotions in English and Arabic comes naturally. Acquiring Arabic will enable students to interact more effectively with other</w:t>
      </w:r>
      <w:r w:rsidR="00CF612E">
        <w:t xml:space="preserve"> Welsh students </w:t>
      </w:r>
      <w:r>
        <w:t>as well as Arab people. Learning Arabic helps one better understand Arab culture, e</w:t>
      </w:r>
      <w:r w:rsidR="005B1F40">
        <w:t>specially its religious aspect.</w:t>
      </w:r>
    </w:p>
    <w:p w14:paraId="4F729072" w14:textId="77777777" w:rsidR="00613740" w:rsidRDefault="00613740" w:rsidP="00613740">
      <w:pPr>
        <w:pStyle w:val="NormalWeb"/>
        <w:spacing w:before="0" w:beforeAutospacing="0" w:after="0" w:afterAutospacing="0" w:line="480" w:lineRule="auto"/>
      </w:pPr>
      <w:r>
        <w:rPr>
          <w:noProof/>
          <w14:ligatures w14:val="standardContextual"/>
        </w:rPr>
        <w:lastRenderedPageBreak/>
        <w:drawing>
          <wp:inline distT="0" distB="0" distL="0" distR="0" wp14:anchorId="522D0041" wp14:editId="271DF5FE">
            <wp:extent cx="5200650" cy="2600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200650" cy="2600325"/>
                    </a:xfrm>
                    <a:prstGeom prst="rect">
                      <a:avLst/>
                    </a:prstGeom>
                  </pic:spPr>
                </pic:pic>
              </a:graphicData>
            </a:graphic>
          </wp:inline>
        </w:drawing>
      </w:r>
    </w:p>
    <w:p w14:paraId="791C38CE" w14:textId="296F312D" w:rsidR="00613740" w:rsidRPr="006042E1" w:rsidRDefault="00613740" w:rsidP="00613740">
      <w:pPr>
        <w:spacing w:after="0" w:line="480" w:lineRule="auto"/>
      </w:pPr>
      <w:r w:rsidRPr="006042E1">
        <w:t>(</w:t>
      </w:r>
      <w:r w:rsidRPr="00291C4F">
        <w:rPr>
          <w:highlight w:val="lightGray"/>
        </w:rPr>
        <w:t>Percentage of Monolingual, Bilingual</w:t>
      </w:r>
      <w:r w:rsidR="00167133" w:rsidRPr="00291C4F">
        <w:rPr>
          <w:highlight w:val="lightGray"/>
        </w:rPr>
        <w:t>,</w:t>
      </w:r>
      <w:r w:rsidRPr="00291C4F">
        <w:rPr>
          <w:highlight w:val="lightGray"/>
        </w:rPr>
        <w:t xml:space="preserve"> and Multilingual Websites, 2020)</w:t>
      </w:r>
    </w:p>
    <w:p w14:paraId="4ABC3D68" w14:textId="77777777" w:rsidR="00613740" w:rsidRPr="00AC755E" w:rsidRDefault="00613740" w:rsidP="00613740">
      <w:pPr>
        <w:pStyle w:val="NormalWeb"/>
        <w:spacing w:before="0" w:beforeAutospacing="0" w:after="0" w:afterAutospacing="0" w:line="480" w:lineRule="auto"/>
        <w:rPr>
          <w:b/>
          <w:bCs/>
          <w:color w:val="ED7D31" w:themeColor="accent2"/>
        </w:rPr>
      </w:pPr>
      <w:r w:rsidRPr="00AC755E">
        <w:rPr>
          <w:b/>
          <w:bCs/>
          <w:color w:val="ED7D31" w:themeColor="accent2"/>
        </w:rPr>
        <w:t>Welsh as an Additional Language / English as an Additional Language</w:t>
      </w:r>
    </w:p>
    <w:p w14:paraId="328CA150" w14:textId="77777777" w:rsidR="00613740" w:rsidRPr="00FC2EE0" w:rsidRDefault="00613740" w:rsidP="00291C4F">
      <w:pPr>
        <w:pStyle w:val="NormalWeb"/>
        <w:spacing w:before="0" w:beforeAutospacing="0" w:after="0" w:afterAutospacing="0" w:line="480" w:lineRule="auto"/>
      </w:pPr>
      <w:bookmarkStart w:id="4" w:name="_Hlk192233071"/>
      <w:r w:rsidRPr="00FC2EE0">
        <w:t>Wales's educational guidelines revolve around encouraging English as an Additional Language (EAL) and Welsh as an Additional Language (WAL).</w:t>
      </w:r>
      <w:bookmarkEnd w:id="4"/>
      <w:r w:rsidRPr="00FC2EE0">
        <w:t xml:space="preserve"> The transmission of the Welsh language enables more people to speak Welsh, thereby providing an extra ability in the workplace that will be more valuable in an environment where such skills are increasing. </w:t>
      </w:r>
      <w:bookmarkStart w:id="5" w:name="_Hlk192233128"/>
      <w:r w:rsidRPr="00FC2EE0">
        <w:t xml:space="preserve">Parents who failed to speak Welsh with their children might have been one factor influencing the declining Welsh speaker count in the early 1900s. </w:t>
      </w:r>
      <w:bookmarkEnd w:id="5"/>
      <w:r w:rsidRPr="00FC2EE0">
        <w:t>One approach to handling linguistic difficulties is improving Welsh language transmission in homes (Morgan, 2021).</w:t>
      </w:r>
    </w:p>
    <w:p w14:paraId="58154E6E" w14:textId="4996F602" w:rsidR="00613740" w:rsidRPr="00FC2EE0" w:rsidRDefault="00613740" w:rsidP="00291C4F">
      <w:pPr>
        <w:pStyle w:val="NormalWeb"/>
        <w:spacing w:before="0" w:beforeAutospacing="0" w:after="0" w:afterAutospacing="0" w:line="480" w:lineRule="auto"/>
      </w:pPr>
      <w:bookmarkStart w:id="6" w:name="_Hlk192233141"/>
      <w:r w:rsidRPr="00FC2EE0">
        <w:t xml:space="preserve">The national strategy for spreading the Welsh language is to increase Welsh speakers and improve bilingual competency. </w:t>
      </w:r>
      <w:bookmarkEnd w:id="6"/>
      <w:r w:rsidRPr="00FC2EE0">
        <w:t xml:space="preserve">The efficacy and quality of the additional learning needs (ALN) service depend on the linguistic medium used. The ALN method used in Wales does not represent the requirements of a multilingual country. The Additional Learning and Education Tribunal Act 2018 (the Act) was a turning point and established the premise that Wales's ALN system must be bilingual so that the Welsh-medium provision is fair to the English-medium </w:t>
      </w:r>
      <w:r w:rsidRPr="00FC2EE0">
        <w:lastRenderedPageBreak/>
        <w:t xml:space="preserve">provision. </w:t>
      </w:r>
      <w:bookmarkStart w:id="7" w:name="_Hlk192233531"/>
      <w:r w:rsidRPr="00FC2EE0">
        <w:t>Two main obstacles stand in the way of delivering ALN via Welsh.</w:t>
      </w:r>
      <w:r>
        <w:t xml:space="preserve"> </w:t>
      </w:r>
      <w:r w:rsidRPr="00FC2EE0">
        <w:t xml:space="preserve">The first is the absence of a specialist staff with the necessary language competency. </w:t>
      </w:r>
      <w:bookmarkEnd w:id="7"/>
      <w:r w:rsidRPr="00FC2EE0">
        <w:t>All local authorities, particularly in areas like neurodiversity and emotional, social, and behavioral challenges, question the size and competence of the ALN workforce that can be provided via the</w:t>
      </w:r>
      <w:r w:rsidR="005B1F40">
        <w:t xml:space="preserve"> Welsh medium.</w:t>
      </w:r>
    </w:p>
    <w:p w14:paraId="3B9A3AA9" w14:textId="78E15E78" w:rsidR="00D348EB" w:rsidRDefault="00613740" w:rsidP="00291C4F">
      <w:pPr>
        <w:pStyle w:val="NormalWeb"/>
        <w:spacing w:before="0" w:beforeAutospacing="0" w:after="0" w:afterAutospacing="0" w:line="480" w:lineRule="auto"/>
      </w:pPr>
      <w:bookmarkStart w:id="8" w:name="_Hlk192233544"/>
      <w:r w:rsidRPr="00FC2EE0">
        <w:t>Second, providing specialist Welsh-medium services is challenging given the limited number of local authorities who would probably benefit from such provision.</w:t>
      </w:r>
      <w:bookmarkEnd w:id="8"/>
      <w:r w:rsidRPr="00FC2EE0">
        <w:t xml:space="preserve"> Although local authorities may acknowledge that their Welsh medium provision is deficient, given the obvious financial and resource restrictions they deal with and the need to provide ALN help that satisfies the majority, they may not see workable options. In this regard, it should be underlined that practitioners with multilingual abilities might serve sectors including Welsh-medium, bilingual, and English-medium ones. (Welsh Language Commissioner, 2023). Reflecting the diverse demands of multilingual nations and support for migratory populations, immersion education demonstrates great variance concerning the policies, programs, and implementation strategies around the globe. Early years immersion includes monolingual and dual-language immersion and environments that run via minority and dominant languages. The approach of early years training in a single language can be used to create two different programs. Children can become more skilled in their mother tongue languages through one program that helps them build a stronger base in their L1. This keeps minority languages from dying out because of the popularity of majority languages (Hickey &amp; de Mejía, 2014). Although immersion education has successfully developed multilingual competency, differences in resources and teacher preparation still affect results (Jones, 2019)</w:t>
      </w:r>
      <w:r w:rsidR="00747B91">
        <w:t>.</w:t>
      </w:r>
    </w:p>
    <w:p w14:paraId="448B64B1" w14:textId="22FF6A35" w:rsidR="00D348EB" w:rsidRDefault="00D348EB" w:rsidP="00291C4F">
      <w:pPr>
        <w:pStyle w:val="NormalWeb"/>
        <w:spacing w:before="0" w:beforeAutospacing="0" w:after="0" w:afterAutospacing="0" w:line="480" w:lineRule="auto"/>
      </w:pPr>
      <w:r>
        <w:lastRenderedPageBreak/>
        <w:t>Speaking many languages is valuable and practical. Speaking with people who speak English as an extra language is far more critical than otherwise. Changing the language in the video lets many viewers grasp Arabic or English. Arabic and English speakers could identify the fruits and vegetables by name and color.</w:t>
      </w:r>
    </w:p>
    <w:p w14:paraId="638C6CFC" w14:textId="77777777" w:rsidR="00747B91" w:rsidRDefault="00747B91" w:rsidP="00613740">
      <w:pPr>
        <w:pStyle w:val="NormalWeb"/>
        <w:spacing w:before="0" w:beforeAutospacing="0" w:after="0" w:afterAutospacing="0" w:line="480" w:lineRule="auto"/>
      </w:pPr>
    </w:p>
    <w:p w14:paraId="6BCBD9FA" w14:textId="77777777" w:rsidR="00747B91" w:rsidRDefault="00747B91" w:rsidP="00613740">
      <w:pPr>
        <w:pStyle w:val="NormalWeb"/>
        <w:spacing w:before="0" w:beforeAutospacing="0" w:after="0" w:afterAutospacing="0" w:line="480" w:lineRule="auto"/>
      </w:pPr>
    </w:p>
    <w:p w14:paraId="67C9C639" w14:textId="1D3DED78" w:rsidR="00613740" w:rsidRDefault="00613740" w:rsidP="00613740">
      <w:pPr>
        <w:pStyle w:val="NormalWeb"/>
        <w:spacing w:before="0" w:beforeAutospacing="0" w:after="0" w:afterAutospacing="0" w:line="480" w:lineRule="auto"/>
      </w:pPr>
      <w:r>
        <w:rPr>
          <w:noProof/>
          <w14:ligatures w14:val="standardContextual"/>
        </w:rPr>
        <w:drawing>
          <wp:inline distT="0" distB="0" distL="0" distR="0" wp14:anchorId="0A4E979C" wp14:editId="570D3326">
            <wp:extent cx="4242435" cy="52852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4270097" cy="5319693"/>
                    </a:xfrm>
                    <a:prstGeom prst="rect">
                      <a:avLst/>
                    </a:prstGeom>
                  </pic:spPr>
                </pic:pic>
              </a:graphicData>
            </a:graphic>
          </wp:inline>
        </w:drawing>
      </w:r>
    </w:p>
    <w:p w14:paraId="2487CD55" w14:textId="74A25786" w:rsidR="00A75BB2" w:rsidRDefault="00613740" w:rsidP="00613740">
      <w:pPr>
        <w:pStyle w:val="NormalWeb"/>
        <w:spacing w:before="0" w:beforeAutospacing="0" w:after="0" w:afterAutospacing="0" w:line="480" w:lineRule="auto"/>
      </w:pPr>
      <w:r w:rsidRPr="00F4306A">
        <w:t>(</w:t>
      </w:r>
      <w:r w:rsidRPr="00A75BB2">
        <w:rPr>
          <w:highlight w:val="lightGray"/>
        </w:rPr>
        <w:t>Welsh language use in Wales, 2022</w:t>
      </w:r>
      <w:r w:rsidR="00D31AA9">
        <w:t>)</w:t>
      </w:r>
    </w:p>
    <w:p w14:paraId="5302555A" w14:textId="0E5D18A9" w:rsidR="00613740" w:rsidRDefault="00747B91" w:rsidP="00613740">
      <w:pPr>
        <w:pStyle w:val="NormalWeb"/>
        <w:spacing w:before="0" w:beforeAutospacing="0" w:after="0" w:afterAutospacing="0" w:line="480" w:lineRule="auto"/>
        <w:rPr>
          <w:b/>
          <w:bCs/>
        </w:rPr>
      </w:pPr>
      <w:r>
        <w:t xml:space="preserve"> </w:t>
      </w:r>
    </w:p>
    <w:p w14:paraId="75F57B72" w14:textId="77777777" w:rsidR="00747B91" w:rsidRDefault="00747B91" w:rsidP="00613740">
      <w:pPr>
        <w:pStyle w:val="NormalWeb"/>
        <w:spacing w:before="0" w:beforeAutospacing="0" w:after="0" w:afterAutospacing="0" w:line="480" w:lineRule="auto"/>
        <w:rPr>
          <w:b/>
          <w:bCs/>
        </w:rPr>
      </w:pPr>
    </w:p>
    <w:p w14:paraId="222C44A8" w14:textId="77777777" w:rsidR="00A75BB2" w:rsidRPr="00AC755E" w:rsidRDefault="00A75BB2" w:rsidP="00877212">
      <w:pPr>
        <w:pStyle w:val="NormalWeb"/>
        <w:spacing w:before="0" w:beforeAutospacing="0" w:after="0" w:afterAutospacing="0" w:line="480" w:lineRule="auto"/>
        <w:rPr>
          <w:b/>
          <w:bCs/>
          <w:color w:val="ED7D31" w:themeColor="accent2"/>
        </w:rPr>
      </w:pPr>
      <w:bookmarkStart w:id="9" w:name="_Hlk192233769"/>
      <w:r w:rsidRPr="00CB10EF">
        <w:rPr>
          <w:b/>
          <w:bCs/>
          <w:color w:val="ED7D31" w:themeColor="accent2"/>
        </w:rPr>
        <w:t>Brain Development and Bilingualism.</w:t>
      </w:r>
      <w:r w:rsidRPr="00AC755E">
        <w:rPr>
          <w:b/>
          <w:bCs/>
          <w:color w:val="ED7D31" w:themeColor="accent2"/>
        </w:rPr>
        <w:t xml:space="preserve"> </w:t>
      </w:r>
    </w:p>
    <w:p w14:paraId="1B9131B1" w14:textId="1981C996" w:rsidR="00613740" w:rsidRDefault="00613740" w:rsidP="00747B91">
      <w:pPr>
        <w:pStyle w:val="NormalWeb"/>
        <w:spacing w:before="0" w:beforeAutospacing="0" w:after="0" w:afterAutospacing="0" w:line="480" w:lineRule="auto"/>
      </w:pPr>
      <w:r w:rsidRPr="00FC2EE0">
        <w:t>According to neurolinguistic studies, multilingual people have more sophisticated cognitive control systems, which enhance multitasking, decision-making, and problem-solving abilities (</w:t>
      </w:r>
      <w:proofErr w:type="spellStart"/>
      <w:r w:rsidRPr="00FC2EE0">
        <w:t>Dallimore</w:t>
      </w:r>
      <w:proofErr w:type="spellEnd"/>
      <w:r w:rsidRPr="00FC2EE0">
        <w:t xml:space="preserve"> &amp; Cunnington-Wynn, 2017). </w:t>
      </w:r>
      <w:bookmarkEnd w:id="9"/>
      <w:r w:rsidRPr="00FC2EE0">
        <w:t xml:space="preserve">Early language exposure improves neuronal plasticity, enabling the brain to adapt more effectively to novel learning opportunities (Hickey &amp; de Mejía, 2014). Mounting information reveals that </w:t>
      </w:r>
      <w:bookmarkStart w:id="10" w:name="_Hlk192233793"/>
      <w:r w:rsidRPr="00FC2EE0">
        <w:t>bilingualism's cognitively demanding nature alters brain anatomy.</w:t>
      </w:r>
      <w:bookmarkEnd w:id="10"/>
      <w:r w:rsidRPr="00FC2EE0">
        <w:t xml:space="preserve"> Researchers interested in the ways in which long-term exposure to mentally taxing stimuli alters brain structure should focus on bilingualism-induced neuroplasticity.</w:t>
      </w:r>
      <w:r w:rsidR="00D348EB">
        <w:t xml:space="preserve"> </w:t>
      </w:r>
      <w:r w:rsidRPr="00FC2EE0">
        <w:t>However, there is a lack of coherence and consistency in the available data (</w:t>
      </w:r>
      <w:proofErr w:type="spellStart"/>
      <w:r w:rsidRPr="00FC2EE0">
        <w:t>Korenar</w:t>
      </w:r>
      <w:proofErr w:type="spellEnd"/>
      <w:r w:rsidRPr="00FC2EE0">
        <w:t xml:space="preserve"> et al., 2023).</w:t>
      </w:r>
    </w:p>
    <w:p w14:paraId="0BDE6B31" w14:textId="31B7927F" w:rsidR="00D348EB" w:rsidRPr="00FC2EE0" w:rsidRDefault="00D348EB" w:rsidP="00D31AA9">
      <w:pPr>
        <w:pStyle w:val="NormalWeb"/>
        <w:spacing w:before="0" w:beforeAutospacing="0" w:after="0" w:afterAutospacing="0" w:line="480" w:lineRule="auto"/>
      </w:pPr>
      <w:r>
        <w:t>Learning Arabic and English sharpens young brains and improves cognitive ability. Compared to their monolingual counterparts, bilingual youngsters become more creative. An Arabic song about the names and colors of several fruits and vegetables appears in the recording. These songs help the brain to learn new languages and improve comprehension.</w:t>
      </w:r>
    </w:p>
    <w:p w14:paraId="2C2C1E88" w14:textId="77777777" w:rsidR="00613740" w:rsidRPr="00CB10EF" w:rsidRDefault="00613740" w:rsidP="00613740">
      <w:pPr>
        <w:pStyle w:val="NormalWeb"/>
        <w:spacing w:before="0" w:beforeAutospacing="0" w:after="0" w:afterAutospacing="0" w:line="480" w:lineRule="auto"/>
        <w:rPr>
          <w:b/>
          <w:bCs/>
          <w:color w:val="ED7D31" w:themeColor="accent2"/>
        </w:rPr>
      </w:pPr>
      <w:bookmarkStart w:id="11" w:name="_Hlk192233826"/>
      <w:r w:rsidRPr="00CB10EF">
        <w:rPr>
          <w:b/>
          <w:bCs/>
          <w:color w:val="ED7D31" w:themeColor="accent2"/>
        </w:rPr>
        <w:t>Divergent Thinking and Bilingualism</w:t>
      </w:r>
    </w:p>
    <w:p w14:paraId="566DBFF8" w14:textId="16409EEC" w:rsidR="00D348EB" w:rsidRDefault="00613740" w:rsidP="00D31AA9">
      <w:pPr>
        <w:pStyle w:val="NormalWeb"/>
        <w:spacing w:before="0" w:beforeAutospacing="0" w:after="0" w:afterAutospacing="0" w:line="480" w:lineRule="auto"/>
      </w:pPr>
      <w:bookmarkStart w:id="12" w:name="_Hlk192233871"/>
      <w:bookmarkEnd w:id="11"/>
      <w:r w:rsidRPr="00FC2EE0">
        <w:t xml:space="preserve">One of the main ingredients of creativity is divergent thinking, which is much shaped by bilingualism (Hickey &amp; de Mejía, 2014). </w:t>
      </w:r>
      <w:bookmarkEnd w:id="12"/>
      <w:r w:rsidRPr="00FC2EE0">
        <w:t>Being multilingual helps people approach challenges from many angles, improving their capacity for problem-solving and creative production (</w:t>
      </w:r>
      <w:proofErr w:type="spellStart"/>
      <w:r w:rsidRPr="00FC2EE0">
        <w:t>Siencyn</w:t>
      </w:r>
      <w:proofErr w:type="spellEnd"/>
      <w:r w:rsidRPr="00FC2EE0">
        <w:t>, 2019). Those who speak two languages frequently show more cognitive flexibility, which helps them to create fresh ideas and fit in different surroundings (Jones, 2019).</w:t>
      </w:r>
      <w:r>
        <w:t xml:space="preserve"> </w:t>
      </w:r>
      <w:r w:rsidRPr="00FC2EE0">
        <w:t xml:space="preserve">Many youngsters growing up worldwide are multilingual. </w:t>
      </w:r>
      <w:bookmarkStart w:id="13" w:name="_Hlk192233947"/>
      <w:r w:rsidRPr="00FC2EE0">
        <w:t xml:space="preserve">Children who acquire a high level of fluency in more than one language and who regularly use and switch between these languages </w:t>
      </w:r>
      <w:r w:rsidRPr="00FC2EE0">
        <w:lastRenderedPageBreak/>
        <w:t xml:space="preserve">have numerous advantages as adults. </w:t>
      </w:r>
      <w:bookmarkEnd w:id="13"/>
      <w:r w:rsidRPr="00FC2EE0">
        <w:t xml:space="preserve">Divergent thinking assessments, insight activities, and consensual evaluation of creative items have been used to evaluate children's inventiveness in several </w:t>
      </w:r>
      <w:r w:rsidR="005B1F40">
        <w:t>contexts (</w:t>
      </w:r>
      <w:proofErr w:type="spellStart"/>
      <w:r w:rsidR="005B1F40">
        <w:t>Booton</w:t>
      </w:r>
      <w:proofErr w:type="spellEnd"/>
      <w:r w:rsidR="005B1F40">
        <w:t xml:space="preserve"> et al., 2021).</w:t>
      </w:r>
    </w:p>
    <w:p w14:paraId="057B55D7" w14:textId="5AFA7BD7" w:rsidR="00D348EB" w:rsidRPr="00FC2EE0" w:rsidRDefault="00D348EB" w:rsidP="00D31AA9">
      <w:pPr>
        <w:pStyle w:val="NormalWeb"/>
        <w:spacing w:before="0" w:beforeAutospacing="0" w:after="0" w:afterAutospacing="0" w:line="480" w:lineRule="auto"/>
      </w:pPr>
      <w:r>
        <w:t>Moreover, bilingualism helps boost cognitive reserve, the brain's capacity for improvisation, and creative problem-solving when confronted with difficulties. The recording notes how, as a child, I called people with a banana acting as a phone. This may be associated with creativity, which reveals how the mind of a multilingual youngster works.</w:t>
      </w:r>
    </w:p>
    <w:p w14:paraId="0410E977" w14:textId="77777777" w:rsidR="00613740" w:rsidRPr="00CB10EF" w:rsidRDefault="00613740" w:rsidP="00613740">
      <w:pPr>
        <w:pStyle w:val="NormalWeb"/>
        <w:spacing w:before="0" w:beforeAutospacing="0" w:after="0" w:afterAutospacing="0" w:line="480" w:lineRule="auto"/>
        <w:rPr>
          <w:b/>
          <w:bCs/>
          <w:color w:val="ED7D31" w:themeColor="accent2"/>
        </w:rPr>
      </w:pPr>
      <w:r w:rsidRPr="00CB10EF">
        <w:rPr>
          <w:b/>
          <w:bCs/>
          <w:color w:val="ED7D31" w:themeColor="accent2"/>
        </w:rPr>
        <w:t>Links with Early Years' Frameworks and Programs</w:t>
      </w:r>
    </w:p>
    <w:p w14:paraId="17D925C4" w14:textId="77777777" w:rsidR="00613740" w:rsidRDefault="00613740" w:rsidP="00CC3055">
      <w:pPr>
        <w:pStyle w:val="NormalWeb"/>
        <w:spacing w:before="0" w:beforeAutospacing="0" w:after="0" w:afterAutospacing="0" w:line="480" w:lineRule="auto"/>
      </w:pPr>
      <w:bookmarkStart w:id="14" w:name="_Hlk192233972"/>
      <w:r w:rsidRPr="00FC2EE0">
        <w:t xml:space="preserve">An aspect of early immersion education is its significant contribution to attempts at language revival. </w:t>
      </w:r>
      <w:bookmarkEnd w:id="14"/>
      <w:r w:rsidRPr="00FC2EE0">
        <w:t>In a more practical sense, it is easier for parents and language supporters to get permission to teach in elementary schools using a language that is not their main or minority language than it is to make a preschool program that meets all the standards.</w:t>
      </w:r>
      <w:r>
        <w:t xml:space="preserve"> </w:t>
      </w:r>
      <w:r w:rsidRPr="00FC2EE0">
        <w:t>Along with assisting children in learning the target language, these preschoolers play an important role in elevating the minority language's profile in the community and coordinating various programs to preserve it, such as parent-only discussion groups and the establishment of educational institutions.</w:t>
      </w:r>
    </w:p>
    <w:p w14:paraId="1C0B99E8" w14:textId="77777777" w:rsidR="00D348EB" w:rsidRDefault="00613740" w:rsidP="00D31AA9">
      <w:pPr>
        <w:pStyle w:val="NormalWeb"/>
        <w:spacing w:before="0" w:beforeAutospacing="0" w:after="0" w:afterAutospacing="0" w:line="480" w:lineRule="auto"/>
      </w:pPr>
      <w:bookmarkStart w:id="15" w:name="_Hlk192233990"/>
      <w:r w:rsidRPr="00FC2EE0">
        <w:t xml:space="preserve">The monolingual approach to early childhood immersion may give rise to two distinct programs. One type gives children who speak a minority language help in their mother tongue to help them get better at their L1. This will help them become additive bilinguals and lower the risk that the language will die out because of the main language. In the second type of early immersion program for one language, </w:t>
      </w:r>
      <w:r>
        <w:t>children</w:t>
      </w:r>
      <w:r w:rsidRPr="00FC2EE0">
        <w:t xml:space="preserve"> whose first language is not in danger learn a second language as a way to communicate in preschool. </w:t>
      </w:r>
      <w:bookmarkEnd w:id="15"/>
      <w:r w:rsidRPr="00FC2EE0">
        <w:t xml:space="preserve">The goal is for them to use the second language as much as possible in their first language. The target language of these programs does not threaten the </w:t>
      </w:r>
      <w:r w:rsidRPr="00FC2EE0">
        <w:lastRenderedPageBreak/>
        <w:t>children's mother tongue (Hickey &amp; de Mejía, 2014). Early childhood education programs that use bilingual models expose children to two languages: their native tongue (to varying degrees) and the dominant language of the community.</w:t>
      </w:r>
    </w:p>
    <w:p w14:paraId="0D6300BB" w14:textId="77777777" w:rsidR="0064541B" w:rsidRDefault="00D348EB" w:rsidP="0064541B">
      <w:pPr>
        <w:pStyle w:val="NormalWeb"/>
        <w:spacing w:before="0" w:beforeAutospacing="0" w:after="0" w:afterAutospacing="0" w:line="480" w:lineRule="auto"/>
      </w:pPr>
      <w:r>
        <w:t>Students pick up excellent immersion language competency. As the example shows, early Arabic acquisition in the classroom guarantees that the learner is competent in both English and Arabic. The pupil would much benefit from knowing the names of veggies and colors.</w:t>
      </w:r>
      <w:bookmarkStart w:id="16" w:name="_Hlk192234028"/>
    </w:p>
    <w:p w14:paraId="3DE49207" w14:textId="77777777" w:rsidR="000571DA" w:rsidRDefault="000571DA" w:rsidP="0064541B">
      <w:pPr>
        <w:pStyle w:val="NormalWeb"/>
        <w:spacing w:before="0" w:beforeAutospacing="0" w:after="0" w:afterAutospacing="0" w:line="480" w:lineRule="auto"/>
      </w:pPr>
    </w:p>
    <w:p w14:paraId="440B829A" w14:textId="77777777" w:rsidR="000571DA" w:rsidRDefault="000571DA" w:rsidP="0064541B">
      <w:pPr>
        <w:pStyle w:val="NormalWeb"/>
        <w:spacing w:before="0" w:beforeAutospacing="0" w:after="0" w:afterAutospacing="0" w:line="480" w:lineRule="auto"/>
      </w:pPr>
    </w:p>
    <w:p w14:paraId="389C8258" w14:textId="77777777" w:rsidR="000571DA" w:rsidRDefault="000571DA" w:rsidP="0064541B">
      <w:pPr>
        <w:pStyle w:val="NormalWeb"/>
        <w:spacing w:before="0" w:beforeAutospacing="0" w:after="0" w:afterAutospacing="0" w:line="480" w:lineRule="auto"/>
      </w:pPr>
    </w:p>
    <w:p w14:paraId="6C657C1B" w14:textId="4B72FE22" w:rsidR="0064541B" w:rsidRPr="0064541B" w:rsidRDefault="000571DA" w:rsidP="000571DA">
      <w:pPr>
        <w:pStyle w:val="NormalWeb"/>
        <w:spacing w:before="0" w:beforeAutospacing="0" w:after="0" w:afterAutospacing="0" w:line="480" w:lineRule="auto"/>
        <w:ind w:left="2160"/>
      </w:pPr>
      <w:r>
        <w:t xml:space="preserve">                         </w:t>
      </w:r>
      <w:r w:rsidR="0064541B" w:rsidRPr="00CC3055">
        <w:rPr>
          <w:b/>
          <w:bCs/>
          <w:color w:val="ED7D31" w:themeColor="accent2"/>
        </w:rPr>
        <w:t>Conclusion</w:t>
      </w:r>
    </w:p>
    <w:p w14:paraId="43B652A5" w14:textId="0CE9476B" w:rsidR="00613740" w:rsidRPr="008B4B6D" w:rsidRDefault="00613740" w:rsidP="00D31AA9">
      <w:pPr>
        <w:pStyle w:val="NormalWeb"/>
        <w:spacing w:before="0" w:beforeAutospacing="0" w:after="0" w:afterAutospacing="0" w:line="480" w:lineRule="auto"/>
      </w:pPr>
      <w:r w:rsidRPr="00FC2EE0">
        <w:t>Multilingualism and bilingualism have significant social, cognitive, and financial advantages</w:t>
      </w:r>
      <w:bookmarkEnd w:id="16"/>
      <w:r w:rsidRPr="00FC2EE0">
        <w:t xml:space="preserve">, as do others. </w:t>
      </w:r>
      <w:bookmarkStart w:id="17" w:name="_Hlk192234056"/>
      <w:r w:rsidRPr="00FC2EE0">
        <w:t xml:space="preserve">Maintaining linguistic variety and advancing educational fairness in Wales depend on initiatives to support English as an Additional Language and Welsh as an Additional Language. </w:t>
      </w:r>
      <w:bookmarkEnd w:id="17"/>
      <w:r w:rsidRPr="00FC2EE0">
        <w:t xml:space="preserve">While studies on divergent thinking show how bilingualism affects creativity, brain development studies emphasize its biological benefits. Though issues in implementation must be addressed, early years' frameworks are very important in promoting multilingual competency. </w:t>
      </w:r>
      <w:bookmarkStart w:id="18" w:name="_Hlk192234073"/>
      <w:r w:rsidRPr="00FC2EE0">
        <w:t>Future studies should concentrate on enhancing bilingual education policies and increasing the availability of top-notch language instruction programs. This will help Wales create a cognitively strong and linguistically rich society.</w:t>
      </w:r>
      <w:bookmarkEnd w:id="18"/>
    </w:p>
    <w:p w14:paraId="448D50D1" w14:textId="77777777" w:rsidR="00613740" w:rsidRDefault="00613740" w:rsidP="00613740">
      <w:pPr>
        <w:rPr>
          <w:rFonts w:cs="Times New Roman"/>
          <w:b/>
          <w:bCs/>
        </w:rPr>
      </w:pPr>
      <w:bookmarkStart w:id="19" w:name="_Hlk192234916"/>
      <w:r>
        <w:rPr>
          <w:rFonts w:cs="Times New Roman"/>
          <w:b/>
          <w:bCs/>
        </w:rPr>
        <w:br w:type="page"/>
      </w:r>
    </w:p>
    <w:p w14:paraId="7C6249B3" w14:textId="77777777" w:rsidR="00613740" w:rsidRPr="00FC2EE0" w:rsidRDefault="00613740" w:rsidP="00613740">
      <w:pPr>
        <w:spacing w:after="0" w:line="480" w:lineRule="auto"/>
        <w:jc w:val="center"/>
        <w:rPr>
          <w:rFonts w:cs="Times New Roman"/>
          <w:b/>
          <w:bCs/>
        </w:rPr>
      </w:pPr>
      <w:r w:rsidRPr="00FC2EE0">
        <w:rPr>
          <w:rFonts w:cs="Times New Roman"/>
          <w:b/>
          <w:bCs/>
        </w:rPr>
        <w:lastRenderedPageBreak/>
        <w:t>References</w:t>
      </w:r>
    </w:p>
    <w:p w14:paraId="61B247D2" w14:textId="77777777" w:rsidR="00613740" w:rsidRPr="00FC2EE0" w:rsidRDefault="00613740" w:rsidP="00613740">
      <w:pPr>
        <w:spacing w:after="0" w:line="480" w:lineRule="auto"/>
        <w:ind w:left="720" w:hanging="720"/>
        <w:rPr>
          <w:rFonts w:cs="Times New Roman"/>
        </w:rPr>
      </w:pPr>
      <w:proofErr w:type="spellStart"/>
      <w:r w:rsidRPr="00FC2EE0">
        <w:rPr>
          <w:rFonts w:cs="Times New Roman"/>
        </w:rPr>
        <w:t>Booton</w:t>
      </w:r>
      <w:proofErr w:type="spellEnd"/>
      <w:r w:rsidRPr="00FC2EE0">
        <w:rPr>
          <w:rFonts w:cs="Times New Roman"/>
        </w:rPr>
        <w:t xml:space="preserve">, S. A., </w:t>
      </w:r>
      <w:proofErr w:type="spellStart"/>
      <w:r w:rsidRPr="00FC2EE0">
        <w:rPr>
          <w:rFonts w:cs="Times New Roman"/>
        </w:rPr>
        <w:t>Hoicka</w:t>
      </w:r>
      <w:proofErr w:type="spellEnd"/>
      <w:r w:rsidRPr="00FC2EE0">
        <w:rPr>
          <w:rFonts w:cs="Times New Roman"/>
        </w:rPr>
        <w:t xml:space="preserve">, E., O'Grady, A. M., Chan, H. Y. N., &amp; Murphy, V. A. (2021). Children's divergent thinking and bilingualism. Thinking skills and creativity, 41, 100918. </w:t>
      </w:r>
      <w:hyperlink r:id="rId10" w:tgtFrame="_blank" w:tooltip="Persistent link using digital object identifier" w:history="1">
        <w:r w:rsidRPr="00FC2EE0">
          <w:rPr>
            <w:rStyle w:val="Hyperlink"/>
            <w:rFonts w:cs="Times New Roman"/>
          </w:rPr>
          <w:t>https://doi.org/10.1016/j.tsc.2021.100918</w:t>
        </w:r>
      </w:hyperlink>
      <w:r w:rsidRPr="00FC2EE0">
        <w:rPr>
          <w:rFonts w:cs="Times New Roman"/>
        </w:rPr>
        <w:t xml:space="preserve"> </w:t>
      </w:r>
    </w:p>
    <w:p w14:paraId="0F7A1D6E" w14:textId="77777777" w:rsidR="00613740" w:rsidRPr="00FC2EE0" w:rsidRDefault="00613740" w:rsidP="00613740">
      <w:pPr>
        <w:spacing w:after="0" w:line="480" w:lineRule="auto"/>
        <w:ind w:left="720" w:hanging="720"/>
        <w:rPr>
          <w:rFonts w:cs="Times New Roman"/>
        </w:rPr>
      </w:pPr>
      <w:r w:rsidRPr="00FC2EE0">
        <w:rPr>
          <w:rFonts w:cs="Times New Roman"/>
          <w:color w:val="222222"/>
          <w:shd w:val="clear" w:color="auto" w:fill="FFFFFF"/>
        </w:rPr>
        <w:t xml:space="preserve">Bright, P., &amp; </w:t>
      </w:r>
      <w:proofErr w:type="spellStart"/>
      <w:r w:rsidRPr="00FC2EE0">
        <w:rPr>
          <w:rFonts w:cs="Times New Roman"/>
          <w:color w:val="222222"/>
          <w:shd w:val="clear" w:color="auto" w:fill="FFFFFF"/>
        </w:rPr>
        <w:t>Filippi</w:t>
      </w:r>
      <w:proofErr w:type="spellEnd"/>
      <w:r w:rsidRPr="00FC2EE0">
        <w:rPr>
          <w:rFonts w:cs="Times New Roman"/>
          <w:color w:val="222222"/>
          <w:shd w:val="clear" w:color="auto" w:fill="FFFFFF"/>
        </w:rPr>
        <w:t>, R. (2019). Perspectives on the “bilingual advantage”: Challenges and opportunities. </w:t>
      </w:r>
      <w:r w:rsidRPr="00FC2EE0">
        <w:rPr>
          <w:rFonts w:cs="Times New Roman"/>
          <w:i/>
          <w:iCs/>
          <w:color w:val="222222"/>
          <w:shd w:val="clear" w:color="auto" w:fill="FFFFFF"/>
        </w:rPr>
        <w:t>Frontiers in Psychology</w:t>
      </w:r>
      <w:r w:rsidRPr="00FC2EE0">
        <w:rPr>
          <w:rFonts w:cs="Times New Roman"/>
          <w:color w:val="222222"/>
          <w:shd w:val="clear" w:color="auto" w:fill="FFFFFF"/>
        </w:rPr>
        <w:t>, </w:t>
      </w:r>
      <w:r w:rsidRPr="00FC2EE0">
        <w:rPr>
          <w:rFonts w:cs="Times New Roman"/>
          <w:i/>
          <w:iCs/>
          <w:color w:val="222222"/>
          <w:shd w:val="clear" w:color="auto" w:fill="FFFFFF"/>
        </w:rPr>
        <w:t>10</w:t>
      </w:r>
      <w:r w:rsidRPr="00FC2EE0">
        <w:rPr>
          <w:rFonts w:cs="Times New Roman"/>
          <w:color w:val="222222"/>
          <w:shd w:val="clear" w:color="auto" w:fill="FFFFFF"/>
        </w:rPr>
        <w:t xml:space="preserve">, 1346. </w:t>
      </w:r>
      <w:hyperlink r:id="rId11" w:history="1">
        <w:r w:rsidRPr="00FC2EE0">
          <w:rPr>
            <w:rStyle w:val="Hyperlink"/>
            <w:rFonts w:cs="Times New Roman"/>
            <w:shd w:val="clear" w:color="auto" w:fill="F7F7F7"/>
          </w:rPr>
          <w:t>https://doi.org/10.3389/fpsyg.2019.01346</w:t>
        </w:r>
      </w:hyperlink>
    </w:p>
    <w:p w14:paraId="5AC7CC24" w14:textId="77777777" w:rsidR="00613740" w:rsidRPr="00FC2EE0" w:rsidRDefault="00613740" w:rsidP="00613740">
      <w:pPr>
        <w:spacing w:after="0" w:line="480" w:lineRule="auto"/>
        <w:ind w:left="720" w:hanging="720"/>
        <w:rPr>
          <w:rFonts w:cs="Times New Roman"/>
        </w:rPr>
      </w:pPr>
      <w:proofErr w:type="spellStart"/>
      <w:r w:rsidRPr="00FC2EE0">
        <w:rPr>
          <w:rFonts w:cs="Times New Roman"/>
        </w:rPr>
        <w:t>Dallimore</w:t>
      </w:r>
      <w:proofErr w:type="spellEnd"/>
      <w:r w:rsidRPr="00FC2EE0">
        <w:rPr>
          <w:rFonts w:cs="Times New Roman"/>
        </w:rPr>
        <w:t>, D. J., &amp; Cunnington-Wynn, L. (2017). Language Learning and Childcare Choice in Wales. </w:t>
      </w:r>
      <w:proofErr w:type="spellStart"/>
      <w:r w:rsidRPr="00FC2EE0">
        <w:rPr>
          <w:rFonts w:cs="Times New Roman"/>
        </w:rPr>
        <w:t>Cylchgrawn</w:t>
      </w:r>
      <w:proofErr w:type="spellEnd"/>
      <w:r w:rsidRPr="00FC2EE0">
        <w:rPr>
          <w:rFonts w:cs="Times New Roman"/>
        </w:rPr>
        <w:t xml:space="preserve"> </w:t>
      </w:r>
      <w:proofErr w:type="spellStart"/>
      <w:r w:rsidRPr="00FC2EE0">
        <w:rPr>
          <w:rFonts w:cs="Times New Roman"/>
        </w:rPr>
        <w:t>Addysg</w:t>
      </w:r>
      <w:proofErr w:type="spellEnd"/>
      <w:r w:rsidRPr="00FC2EE0">
        <w:rPr>
          <w:rFonts w:cs="Times New Roman"/>
        </w:rPr>
        <w:t xml:space="preserve"> Cymru| Wales Journal of Education, 19(2), 51-77. </w:t>
      </w:r>
      <w:hyperlink r:id="rId12" w:history="1">
        <w:r w:rsidRPr="00FC2EE0">
          <w:rPr>
            <w:rStyle w:val="Hyperlink"/>
            <w:rFonts w:cs="Times New Roman"/>
          </w:rPr>
          <w:t>https://doi.org/10.16922/wje.19.2.4</w:t>
        </w:r>
      </w:hyperlink>
      <w:r w:rsidRPr="00FC2EE0">
        <w:rPr>
          <w:rFonts w:cs="Times New Roman"/>
        </w:rPr>
        <w:t xml:space="preserve"> </w:t>
      </w:r>
    </w:p>
    <w:p w14:paraId="3DEF7059" w14:textId="77777777" w:rsidR="00613740" w:rsidRDefault="00613740" w:rsidP="00613740">
      <w:pPr>
        <w:spacing w:after="0" w:line="480" w:lineRule="auto"/>
        <w:ind w:left="720" w:hanging="720"/>
      </w:pPr>
      <w:proofErr w:type="spellStart"/>
      <w:r w:rsidRPr="00017A07">
        <w:t>Giannakoulopoulos</w:t>
      </w:r>
      <w:proofErr w:type="spellEnd"/>
      <w:r w:rsidRPr="00017A07">
        <w:t xml:space="preserve">, A., </w:t>
      </w:r>
      <w:proofErr w:type="spellStart"/>
      <w:r w:rsidRPr="00017A07">
        <w:t>Pergantis</w:t>
      </w:r>
      <w:proofErr w:type="spellEnd"/>
      <w:r w:rsidRPr="00017A07">
        <w:t xml:space="preserve">, M., </w:t>
      </w:r>
      <w:proofErr w:type="spellStart"/>
      <w:r w:rsidRPr="00017A07">
        <w:t>Konstantinou</w:t>
      </w:r>
      <w:proofErr w:type="spellEnd"/>
      <w:r w:rsidRPr="00017A07">
        <w:t xml:space="preserve">, N., </w:t>
      </w:r>
      <w:proofErr w:type="spellStart"/>
      <w:r w:rsidRPr="00017A07">
        <w:t>Lamprogeorgos</w:t>
      </w:r>
      <w:proofErr w:type="spellEnd"/>
      <w:r w:rsidRPr="00017A07">
        <w:t xml:space="preserve">, A., </w:t>
      </w:r>
      <w:proofErr w:type="spellStart"/>
      <w:r w:rsidRPr="00017A07">
        <w:t>Limniati</w:t>
      </w:r>
      <w:proofErr w:type="spellEnd"/>
      <w:r w:rsidRPr="00017A07">
        <w:t xml:space="preserve">, L., &amp; </w:t>
      </w:r>
      <w:proofErr w:type="spellStart"/>
      <w:r w:rsidRPr="00017A07">
        <w:t>Varlamis</w:t>
      </w:r>
      <w:proofErr w:type="spellEnd"/>
      <w:r w:rsidRPr="00017A07">
        <w:t xml:space="preserve">, I. (2020). Exploring the Dominance of the English Language on the Websites of EU Countries. Future Internet, 12(4), 76. </w:t>
      </w:r>
      <w:hyperlink r:id="rId13" w:history="1">
        <w:r w:rsidRPr="00017A07">
          <w:rPr>
            <w:rStyle w:val="Hyperlink"/>
          </w:rPr>
          <w:t>https://doi.org/10.3390/fi12040076</w:t>
        </w:r>
      </w:hyperlink>
    </w:p>
    <w:p w14:paraId="25B5D60F" w14:textId="77777777" w:rsidR="00613740" w:rsidRPr="00FC2EE0" w:rsidRDefault="00613740" w:rsidP="00613740">
      <w:pPr>
        <w:pStyle w:val="dx-doi"/>
        <w:spacing w:before="0" w:beforeAutospacing="0" w:after="0" w:afterAutospacing="0" w:line="480" w:lineRule="auto"/>
        <w:ind w:left="720" w:hanging="720"/>
        <w:rPr>
          <w:color w:val="333333"/>
        </w:rPr>
      </w:pPr>
      <w:proofErr w:type="spellStart"/>
      <w:r w:rsidRPr="00FC2EE0">
        <w:rPr>
          <w:color w:val="222222"/>
          <w:shd w:val="clear" w:color="auto" w:fill="FFFFFF"/>
        </w:rPr>
        <w:t>Haukås</w:t>
      </w:r>
      <w:proofErr w:type="spellEnd"/>
      <w:r w:rsidRPr="00FC2EE0">
        <w:rPr>
          <w:color w:val="222222"/>
          <w:shd w:val="clear" w:color="auto" w:fill="FFFFFF"/>
        </w:rPr>
        <w:t xml:space="preserve">, Å., </w:t>
      </w:r>
      <w:proofErr w:type="spellStart"/>
      <w:r w:rsidRPr="00FC2EE0">
        <w:rPr>
          <w:color w:val="222222"/>
          <w:shd w:val="clear" w:color="auto" w:fill="FFFFFF"/>
        </w:rPr>
        <w:t>Storto</w:t>
      </w:r>
      <w:proofErr w:type="spellEnd"/>
      <w:r w:rsidRPr="00FC2EE0">
        <w:rPr>
          <w:color w:val="222222"/>
          <w:shd w:val="clear" w:color="auto" w:fill="FFFFFF"/>
        </w:rPr>
        <w:t xml:space="preserve">, A., &amp; </w:t>
      </w:r>
      <w:proofErr w:type="spellStart"/>
      <w:r w:rsidRPr="00FC2EE0">
        <w:rPr>
          <w:color w:val="222222"/>
          <w:shd w:val="clear" w:color="auto" w:fill="FFFFFF"/>
        </w:rPr>
        <w:t>Tiurikova</w:t>
      </w:r>
      <w:proofErr w:type="spellEnd"/>
      <w:r w:rsidRPr="00FC2EE0">
        <w:rPr>
          <w:color w:val="222222"/>
          <w:shd w:val="clear" w:color="auto" w:fill="FFFFFF"/>
        </w:rPr>
        <w:t>, I. (2024). School students’ beliefs about the benefits of multilingualism. </w:t>
      </w:r>
      <w:r w:rsidRPr="00FC2EE0">
        <w:rPr>
          <w:i/>
          <w:iCs/>
          <w:color w:val="222222"/>
          <w:shd w:val="clear" w:color="auto" w:fill="FFFFFF"/>
        </w:rPr>
        <w:t>Journal of Multilingual and Multicultural Development</w:t>
      </w:r>
      <w:r w:rsidRPr="00FC2EE0">
        <w:rPr>
          <w:color w:val="222222"/>
          <w:shd w:val="clear" w:color="auto" w:fill="FFFFFF"/>
        </w:rPr>
        <w:t>, </w:t>
      </w:r>
      <w:r w:rsidRPr="00FC2EE0">
        <w:rPr>
          <w:i/>
          <w:iCs/>
          <w:color w:val="222222"/>
          <w:shd w:val="clear" w:color="auto" w:fill="FFFFFF"/>
        </w:rPr>
        <w:t>45</w:t>
      </w:r>
      <w:r w:rsidRPr="00FC2EE0">
        <w:rPr>
          <w:color w:val="222222"/>
          <w:shd w:val="clear" w:color="auto" w:fill="FFFFFF"/>
        </w:rPr>
        <w:t xml:space="preserve">(7), 2817-2830. </w:t>
      </w:r>
      <w:hyperlink r:id="rId14" w:history="1">
        <w:r w:rsidRPr="00FC2EE0">
          <w:rPr>
            <w:rStyle w:val="Hyperlink"/>
            <w:color w:val="10147E"/>
          </w:rPr>
          <w:t>https://doi.org/10.1080/01434632.2022.2075001</w:t>
        </w:r>
      </w:hyperlink>
    </w:p>
    <w:p w14:paraId="4BE1BB1D" w14:textId="77777777" w:rsidR="00613740" w:rsidRPr="00FC2EE0" w:rsidRDefault="00613740" w:rsidP="00613740">
      <w:pPr>
        <w:spacing w:after="0" w:line="480" w:lineRule="auto"/>
        <w:ind w:left="720" w:hanging="720"/>
        <w:rPr>
          <w:rFonts w:cs="Times New Roman"/>
        </w:rPr>
      </w:pPr>
      <w:r w:rsidRPr="00FC2EE0">
        <w:rPr>
          <w:rFonts w:cs="Times New Roman"/>
        </w:rPr>
        <w:t xml:space="preserve">Hickey, T. M., &amp; de Mejía, A. M. (2014). Immersion education in the early years: A special issue. International Journal of Bilingual Education and Bilingualism, 17(2), 131-143. </w:t>
      </w:r>
      <w:hyperlink r:id="rId15" w:history="1">
        <w:r w:rsidRPr="00FC2EE0">
          <w:rPr>
            <w:rStyle w:val="Hyperlink"/>
            <w:rFonts w:cs="Times New Roman"/>
          </w:rPr>
          <w:t>https://doi.org/10.1080/13670050.2013.866624</w:t>
        </w:r>
      </w:hyperlink>
      <w:r w:rsidRPr="00FC2EE0">
        <w:rPr>
          <w:rFonts w:cs="Times New Roman"/>
        </w:rPr>
        <w:t xml:space="preserve"> </w:t>
      </w:r>
    </w:p>
    <w:p w14:paraId="2DD4342F" w14:textId="77777777" w:rsidR="00613740" w:rsidRPr="00FC2EE0" w:rsidRDefault="00613740" w:rsidP="00613740">
      <w:pPr>
        <w:spacing w:after="0" w:line="480" w:lineRule="auto"/>
        <w:ind w:left="720" w:hanging="720"/>
        <w:rPr>
          <w:rFonts w:cs="Times New Roman"/>
        </w:rPr>
      </w:pPr>
      <w:r w:rsidRPr="00FC2EE0">
        <w:rPr>
          <w:rFonts w:cs="Times New Roman"/>
        </w:rPr>
        <w:t xml:space="preserve">Jones, C. (2019, October). Fit for the future education in Wales. </w:t>
      </w:r>
      <w:hyperlink r:id="rId16" w:history="1">
        <w:r w:rsidRPr="00FC2EE0">
          <w:rPr>
            <w:rStyle w:val="Hyperlink"/>
            <w:rFonts w:cs="Times New Roman"/>
          </w:rPr>
          <w:t>https://www.futuregenerations.wales/wp-content/uploads/2019/10/2019-10-16-Fit-for-the-Future-Education-in-Wales-1-1.pdf</w:t>
        </w:r>
      </w:hyperlink>
      <w:r w:rsidRPr="00FC2EE0">
        <w:rPr>
          <w:rFonts w:cs="Times New Roman"/>
        </w:rPr>
        <w:t xml:space="preserve"> </w:t>
      </w:r>
    </w:p>
    <w:p w14:paraId="40E2B116" w14:textId="77777777" w:rsidR="00613740" w:rsidRPr="00FC2EE0" w:rsidRDefault="00613740" w:rsidP="00613740">
      <w:pPr>
        <w:spacing w:after="0" w:line="480" w:lineRule="auto"/>
        <w:ind w:left="720" w:hanging="720"/>
        <w:rPr>
          <w:rFonts w:cs="Times New Roman"/>
        </w:rPr>
      </w:pPr>
      <w:proofErr w:type="spellStart"/>
      <w:r w:rsidRPr="00FC2EE0">
        <w:rPr>
          <w:rFonts w:cs="Times New Roman"/>
        </w:rPr>
        <w:lastRenderedPageBreak/>
        <w:t>Korenar</w:t>
      </w:r>
      <w:proofErr w:type="spellEnd"/>
      <w:r w:rsidRPr="00FC2EE0">
        <w:rPr>
          <w:rFonts w:cs="Times New Roman"/>
        </w:rPr>
        <w:t xml:space="preserve">, M., </w:t>
      </w:r>
      <w:proofErr w:type="spellStart"/>
      <w:r w:rsidRPr="00FC2EE0">
        <w:rPr>
          <w:rFonts w:cs="Times New Roman"/>
        </w:rPr>
        <w:t>Treffers-Daller</w:t>
      </w:r>
      <w:proofErr w:type="spellEnd"/>
      <w:r w:rsidRPr="00FC2EE0">
        <w:rPr>
          <w:rFonts w:cs="Times New Roman"/>
        </w:rPr>
        <w:t xml:space="preserve">, J., &amp; </w:t>
      </w:r>
      <w:proofErr w:type="spellStart"/>
      <w:r w:rsidRPr="00FC2EE0">
        <w:rPr>
          <w:rFonts w:cs="Times New Roman"/>
        </w:rPr>
        <w:t>Pliatsikas</w:t>
      </w:r>
      <w:proofErr w:type="spellEnd"/>
      <w:r w:rsidRPr="00FC2EE0">
        <w:rPr>
          <w:rFonts w:cs="Times New Roman"/>
        </w:rPr>
        <w:t xml:space="preserve">, C. (2023). Dynamic effects of bilingualism on brain structure map onto general principles of experience-based neuroplasticity. Scientific reports, 13(1), 3428. </w:t>
      </w:r>
      <w:hyperlink r:id="rId17" w:history="1">
        <w:r w:rsidRPr="00FC2EE0">
          <w:rPr>
            <w:rStyle w:val="Hyperlink"/>
            <w:rFonts w:cs="Times New Roman"/>
          </w:rPr>
          <w:t>https://doi.org/10.1038/s41598-023-30326-3</w:t>
        </w:r>
      </w:hyperlink>
      <w:r w:rsidRPr="00FC2EE0">
        <w:rPr>
          <w:rFonts w:cs="Times New Roman"/>
        </w:rPr>
        <w:t xml:space="preserve"> </w:t>
      </w:r>
    </w:p>
    <w:p w14:paraId="53B073CE" w14:textId="77777777" w:rsidR="00613740" w:rsidRPr="00FC2EE0" w:rsidRDefault="00613740" w:rsidP="00613740">
      <w:pPr>
        <w:spacing w:after="0" w:line="480" w:lineRule="auto"/>
        <w:ind w:left="720" w:hanging="720"/>
        <w:rPr>
          <w:rFonts w:cs="Times New Roman"/>
        </w:rPr>
      </w:pPr>
      <w:r w:rsidRPr="00FC2EE0">
        <w:rPr>
          <w:rFonts w:cs="Times New Roman"/>
        </w:rPr>
        <w:t xml:space="preserve">Morgan, E. (2021). National-policy-on-Welsh-language-transmission-and-use- ... </w:t>
      </w:r>
      <w:hyperlink r:id="rId18" w:history="1">
        <w:r w:rsidRPr="00FC2EE0">
          <w:rPr>
            <w:rStyle w:val="Hyperlink"/>
            <w:rFonts w:cs="Times New Roman"/>
          </w:rPr>
          <w:t>https://www.gov.wales/sites/default/files/publications/2021-01/national-policy-on-welsh-language-transmission-and-use-in-families.pdf</w:t>
        </w:r>
      </w:hyperlink>
      <w:r w:rsidRPr="00FC2EE0">
        <w:rPr>
          <w:rFonts w:cs="Times New Roman"/>
        </w:rPr>
        <w:t xml:space="preserve"> </w:t>
      </w:r>
    </w:p>
    <w:p w14:paraId="3357855F" w14:textId="77777777" w:rsidR="00613740" w:rsidRPr="00FC2EE0" w:rsidRDefault="00613740" w:rsidP="00613740">
      <w:pPr>
        <w:spacing w:after="0" w:line="480" w:lineRule="auto"/>
        <w:ind w:left="720" w:hanging="720"/>
        <w:rPr>
          <w:rFonts w:cs="Times New Roman"/>
        </w:rPr>
      </w:pPr>
      <w:proofErr w:type="spellStart"/>
      <w:r w:rsidRPr="00FC2EE0">
        <w:rPr>
          <w:rFonts w:cs="Times New Roman"/>
        </w:rPr>
        <w:t>Siencyn</w:t>
      </w:r>
      <w:proofErr w:type="spellEnd"/>
      <w:r w:rsidRPr="00FC2EE0">
        <w:rPr>
          <w:rFonts w:cs="Times New Roman"/>
        </w:rPr>
        <w:t xml:space="preserve">, S. W. (2019). Early years' provision for young children in Wales: history, challenges, and the Welsh language. TEANGA, the Journal of the Irish Association for Applied Linguistics, 10, 19-37. </w:t>
      </w:r>
      <w:hyperlink r:id="rId19" w:history="1">
        <w:r w:rsidRPr="00FC2EE0">
          <w:rPr>
            <w:rStyle w:val="Hyperlink"/>
            <w:rFonts w:cs="Times New Roman"/>
          </w:rPr>
          <w:t>https://doi.org/10.35903/teanga.v10i0.68</w:t>
        </w:r>
      </w:hyperlink>
      <w:r w:rsidRPr="00FC2EE0">
        <w:rPr>
          <w:rFonts w:cs="Times New Roman"/>
        </w:rPr>
        <w:t xml:space="preserve"> </w:t>
      </w:r>
    </w:p>
    <w:p w14:paraId="3FA457B1" w14:textId="77777777" w:rsidR="00613740" w:rsidRDefault="00613740" w:rsidP="00613740">
      <w:pPr>
        <w:spacing w:after="0" w:line="480" w:lineRule="auto"/>
        <w:ind w:left="720" w:hanging="720"/>
        <w:rPr>
          <w:rFonts w:cs="Times New Roman"/>
        </w:rPr>
      </w:pPr>
      <w:r w:rsidRPr="00FC2EE0">
        <w:rPr>
          <w:rFonts w:cs="Times New Roman"/>
        </w:rPr>
        <w:t xml:space="preserve">Welsh Language Commissioner (2023, June 1). The Welsh Language in the Additional Learning Needs System. </w:t>
      </w:r>
      <w:hyperlink r:id="rId20" w:history="1">
        <w:r w:rsidRPr="00FC2EE0">
          <w:rPr>
            <w:rStyle w:val="Hyperlink"/>
            <w:rFonts w:cs="Times New Roman"/>
          </w:rPr>
          <w:t>https://www.childcomwales.org.uk/wp-content/uploads/2023/06/The-Welsh-Language-and-the-Additional-Learning-Needs-System.pdf</w:t>
        </w:r>
      </w:hyperlink>
      <w:r w:rsidRPr="00FC2EE0">
        <w:rPr>
          <w:rFonts w:cs="Times New Roman"/>
        </w:rPr>
        <w:t xml:space="preserve"> </w:t>
      </w:r>
    </w:p>
    <w:p w14:paraId="1EC4F466" w14:textId="77777777" w:rsidR="00613740" w:rsidRPr="00017A07" w:rsidRDefault="00613740" w:rsidP="00613740">
      <w:pPr>
        <w:pStyle w:val="NormalWeb"/>
        <w:spacing w:before="0" w:beforeAutospacing="0" w:after="0" w:afterAutospacing="0" w:line="480" w:lineRule="auto"/>
        <w:ind w:left="720" w:hanging="720"/>
      </w:pPr>
      <w:r w:rsidRPr="000B74D5">
        <w:t>Welsh language use in Wales (initial findings): July 2019 to March 2020</w:t>
      </w:r>
      <w:r>
        <w:rPr>
          <w:i/>
          <w:iCs/>
        </w:rPr>
        <w:t xml:space="preserve"> </w:t>
      </w:r>
      <w:r>
        <w:t xml:space="preserve">(2022, February 17). GOV.WALES. </w:t>
      </w:r>
      <w:hyperlink r:id="rId21" w:history="1">
        <w:r w:rsidRPr="009E7906">
          <w:rPr>
            <w:rStyle w:val="Hyperlink"/>
          </w:rPr>
          <w:t>https://www.gov.wales/welsh-language-use-wales-initial-findings-july-2019-march-2020-revised-html</w:t>
        </w:r>
      </w:hyperlink>
      <w:r>
        <w:rPr>
          <w:rStyle w:val="url"/>
        </w:rPr>
        <w:t xml:space="preserve"> </w:t>
      </w:r>
    </w:p>
    <w:bookmarkEnd w:id="19"/>
    <w:p w14:paraId="04E0B165" w14:textId="77777777" w:rsidR="00613740" w:rsidRPr="00FC2EE0" w:rsidRDefault="00613740" w:rsidP="00613740">
      <w:pPr>
        <w:spacing w:after="0" w:line="480" w:lineRule="auto"/>
        <w:rPr>
          <w:rFonts w:cs="Times New Roman"/>
        </w:rPr>
      </w:pPr>
    </w:p>
    <w:p w14:paraId="3B0215FB" w14:textId="77777777" w:rsidR="00613740" w:rsidRPr="00FC2EE0" w:rsidRDefault="00613740" w:rsidP="00613740">
      <w:pPr>
        <w:spacing w:after="0" w:line="480" w:lineRule="auto"/>
        <w:rPr>
          <w:rFonts w:cs="Times New Roman"/>
        </w:rPr>
      </w:pPr>
    </w:p>
    <w:p w14:paraId="5A12110E" w14:textId="77777777" w:rsidR="00613740" w:rsidRPr="00FC2EE0" w:rsidRDefault="00613740" w:rsidP="00613740">
      <w:pPr>
        <w:spacing w:after="0" w:line="480" w:lineRule="auto"/>
        <w:rPr>
          <w:rFonts w:cs="Times New Roman"/>
        </w:rPr>
      </w:pPr>
    </w:p>
    <w:p w14:paraId="02251BE2" w14:textId="77777777" w:rsidR="00613740" w:rsidRPr="00FC2EE0" w:rsidRDefault="00613740" w:rsidP="00613740">
      <w:pPr>
        <w:spacing w:after="0" w:line="480" w:lineRule="auto"/>
        <w:rPr>
          <w:rFonts w:cs="Times New Roman"/>
        </w:rPr>
      </w:pPr>
    </w:p>
    <w:p w14:paraId="64AB5FC0" w14:textId="77777777" w:rsidR="00E142B9" w:rsidRDefault="00E142B9"/>
    <w:sectPr w:rsidR="00E142B9">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15130" w14:textId="77777777" w:rsidR="008C2DA8" w:rsidRDefault="008C2DA8">
      <w:pPr>
        <w:spacing w:after="0" w:line="240" w:lineRule="auto"/>
      </w:pPr>
      <w:r>
        <w:separator/>
      </w:r>
    </w:p>
  </w:endnote>
  <w:endnote w:type="continuationSeparator" w:id="0">
    <w:p w14:paraId="5023F27B" w14:textId="77777777" w:rsidR="008C2DA8" w:rsidRDefault="008C2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7CA8E" w14:textId="4881BFC5" w:rsidR="0010495A" w:rsidRDefault="0010495A" w:rsidP="00877212">
    <w:pPr>
      <w:pStyle w:val="NormalWeb"/>
      <w:spacing w:before="0" w:beforeAutospacing="0" w:after="0" w:afterAutospacing="0" w:line="480" w:lineRule="auto"/>
    </w:pPr>
  </w:p>
  <w:p w14:paraId="2421D7FE" w14:textId="77777777" w:rsidR="00244551" w:rsidRDefault="002445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0B47E" w14:textId="77777777" w:rsidR="008C2DA8" w:rsidRDefault="008C2DA8">
      <w:pPr>
        <w:spacing w:after="0" w:line="240" w:lineRule="auto"/>
      </w:pPr>
      <w:r>
        <w:separator/>
      </w:r>
    </w:p>
  </w:footnote>
  <w:footnote w:type="continuationSeparator" w:id="0">
    <w:p w14:paraId="0BD1ED8F" w14:textId="77777777" w:rsidR="008C2DA8" w:rsidRDefault="008C2D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1876565"/>
      <w:docPartObj>
        <w:docPartGallery w:val="Page Numbers (Top of Page)"/>
        <w:docPartUnique/>
      </w:docPartObj>
    </w:sdtPr>
    <w:sdtEndPr>
      <w:rPr>
        <w:noProof/>
      </w:rPr>
    </w:sdtEndPr>
    <w:sdtContent>
      <w:p w14:paraId="489295C2" w14:textId="71837B3E" w:rsidR="00244551" w:rsidRDefault="00613740" w:rsidP="009322C4">
        <w:pPr>
          <w:pStyle w:val="Header"/>
          <w:spacing w:line="480" w:lineRule="auto"/>
          <w:jc w:val="right"/>
        </w:pPr>
        <w:r>
          <w:fldChar w:fldCharType="begin"/>
        </w:r>
        <w:r>
          <w:instrText xml:space="preserve"> PAGE   \* MERGEFORMAT </w:instrText>
        </w:r>
        <w:r>
          <w:fldChar w:fldCharType="separate"/>
        </w:r>
        <w:r w:rsidR="00867109">
          <w:rPr>
            <w:noProof/>
          </w:rPr>
          <w:t>12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516082"/>
    <w:multiLevelType w:val="hybridMultilevel"/>
    <w:tmpl w:val="49221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4258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M0tDCyBLKMjIyMTZV0lIJTi4sz8/NACoxrAT9ZBkAsAAAA"/>
  </w:docVars>
  <w:rsids>
    <w:rsidRoot w:val="00613740"/>
    <w:rsid w:val="00001F7C"/>
    <w:rsid w:val="000571DA"/>
    <w:rsid w:val="0007049C"/>
    <w:rsid w:val="000927AF"/>
    <w:rsid w:val="0010495A"/>
    <w:rsid w:val="001312B6"/>
    <w:rsid w:val="00167133"/>
    <w:rsid w:val="001B267A"/>
    <w:rsid w:val="00244551"/>
    <w:rsid w:val="00250B22"/>
    <w:rsid w:val="00257D98"/>
    <w:rsid w:val="00277040"/>
    <w:rsid w:val="00291C4F"/>
    <w:rsid w:val="002E6D2A"/>
    <w:rsid w:val="00383391"/>
    <w:rsid w:val="003C3290"/>
    <w:rsid w:val="003D46D2"/>
    <w:rsid w:val="00441890"/>
    <w:rsid w:val="005407B6"/>
    <w:rsid w:val="0057554B"/>
    <w:rsid w:val="005B1F40"/>
    <w:rsid w:val="005E431C"/>
    <w:rsid w:val="00613740"/>
    <w:rsid w:val="0064116C"/>
    <w:rsid w:val="0064541B"/>
    <w:rsid w:val="00747B91"/>
    <w:rsid w:val="00836D65"/>
    <w:rsid w:val="00867109"/>
    <w:rsid w:val="008C2DA8"/>
    <w:rsid w:val="008E23E0"/>
    <w:rsid w:val="00996DC8"/>
    <w:rsid w:val="009C6DB4"/>
    <w:rsid w:val="00A32863"/>
    <w:rsid w:val="00A50EFF"/>
    <w:rsid w:val="00A75BB2"/>
    <w:rsid w:val="00AC755E"/>
    <w:rsid w:val="00CB10EF"/>
    <w:rsid w:val="00CC3055"/>
    <w:rsid w:val="00CF612E"/>
    <w:rsid w:val="00D31AA9"/>
    <w:rsid w:val="00D348EB"/>
    <w:rsid w:val="00D419BA"/>
    <w:rsid w:val="00D8392D"/>
    <w:rsid w:val="00E142B9"/>
    <w:rsid w:val="00E70DED"/>
    <w:rsid w:val="00E743C9"/>
    <w:rsid w:val="00E879F6"/>
    <w:rsid w:val="00F11947"/>
    <w:rsid w:val="00F213F3"/>
    <w:rsid w:val="00F51DCB"/>
    <w:rsid w:val="00FE0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8F6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bCs/>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740"/>
    <w:rPr>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3740"/>
    <w:rPr>
      <w:color w:val="0000FF"/>
      <w:u w:val="single"/>
    </w:rPr>
  </w:style>
  <w:style w:type="paragraph" w:styleId="NormalWeb">
    <w:name w:val="Normal (Web)"/>
    <w:basedOn w:val="Normal"/>
    <w:uiPriority w:val="99"/>
    <w:unhideWhenUsed/>
    <w:rsid w:val="00613740"/>
    <w:pPr>
      <w:spacing w:before="100" w:beforeAutospacing="1" w:after="100" w:afterAutospacing="1" w:line="240" w:lineRule="auto"/>
    </w:pPr>
    <w:rPr>
      <w:rFonts w:eastAsia="Times New Roman" w:cs="Times New Roman"/>
      <w:kern w:val="0"/>
      <w14:ligatures w14:val="none"/>
    </w:rPr>
  </w:style>
  <w:style w:type="paragraph" w:styleId="Header">
    <w:name w:val="header"/>
    <w:basedOn w:val="Normal"/>
    <w:link w:val="HeaderChar"/>
    <w:uiPriority w:val="99"/>
    <w:unhideWhenUsed/>
    <w:rsid w:val="006137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740"/>
    <w:rPr>
      <w:bCs w:val="0"/>
    </w:rPr>
  </w:style>
  <w:style w:type="paragraph" w:styleId="Footer">
    <w:name w:val="footer"/>
    <w:basedOn w:val="Normal"/>
    <w:link w:val="FooterChar"/>
    <w:uiPriority w:val="99"/>
    <w:unhideWhenUsed/>
    <w:rsid w:val="006137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740"/>
    <w:rPr>
      <w:bCs w:val="0"/>
    </w:rPr>
  </w:style>
  <w:style w:type="paragraph" w:customStyle="1" w:styleId="dx-doi">
    <w:name w:val="dx-doi"/>
    <w:basedOn w:val="Normal"/>
    <w:rsid w:val="00613740"/>
    <w:pPr>
      <w:spacing w:before="100" w:beforeAutospacing="1" w:after="100" w:afterAutospacing="1" w:line="240" w:lineRule="auto"/>
    </w:pPr>
    <w:rPr>
      <w:rFonts w:eastAsia="Times New Roman" w:cs="Times New Roman"/>
      <w:kern w:val="0"/>
      <w14:ligatures w14:val="none"/>
    </w:rPr>
  </w:style>
  <w:style w:type="character" w:customStyle="1" w:styleId="url">
    <w:name w:val="url"/>
    <w:basedOn w:val="DefaultParagraphFont"/>
    <w:rsid w:val="00613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01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fi12040076" TargetMode="External"/><Relationship Id="rId18" Type="http://schemas.openxmlformats.org/officeDocument/2006/relationships/hyperlink" Target="https://www.gov.wales/sites/default/files/publications/2021-01/national-policy-on-welsh-language-transmission-and-use-in-families.pdf" TargetMode="External"/><Relationship Id="rId3" Type="http://schemas.openxmlformats.org/officeDocument/2006/relationships/settings" Target="settings.xml"/><Relationship Id="rId21" Type="http://schemas.openxmlformats.org/officeDocument/2006/relationships/hyperlink" Target="https://www.gov.wales/welsh-language-use-wales-initial-findings-july-2019-march-2020-revised-html" TargetMode="External"/><Relationship Id="rId7" Type="http://schemas.openxmlformats.org/officeDocument/2006/relationships/hyperlink" Target="https://drive.google.com/file/d/1M3PHzDwI-w_lgCVg_BbUyLIpMalowB4p/view?usp=drivesdk" TargetMode="External"/><Relationship Id="rId12" Type="http://schemas.openxmlformats.org/officeDocument/2006/relationships/hyperlink" Target="https://doi.org/10.16922/wje.19.2.4" TargetMode="External"/><Relationship Id="rId17" Type="http://schemas.openxmlformats.org/officeDocument/2006/relationships/hyperlink" Target="https://doi.org/10.1038/s41598-023-30326-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futuregenerations.wales/wp-content/uploads/2019/10/2019-10-16-Fit-for-the-Future-Education-in-Wales-1-1.pdf" TargetMode="External"/><Relationship Id="rId20" Type="http://schemas.openxmlformats.org/officeDocument/2006/relationships/hyperlink" Target="https://www.childcomwales.org.uk/wp-content/uploads/2023/06/The-Welsh-Language-and-the-Additional-Learning-Needs-System.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psyg.2019.01346"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80/13670050.2013.866624" TargetMode="External"/><Relationship Id="rId23" Type="http://schemas.openxmlformats.org/officeDocument/2006/relationships/footer" Target="footer1.xml"/><Relationship Id="rId10" Type="http://schemas.openxmlformats.org/officeDocument/2006/relationships/hyperlink" Target="https://doi.org/10.1016/j.tsc.2021.100918" TargetMode="External"/><Relationship Id="rId19" Type="http://schemas.openxmlformats.org/officeDocument/2006/relationships/hyperlink" Target="https://doi.org/10.35903/teanga.v10i0.68"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i.org/10.1080/01434632.2022.2075001"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2574</Words>
  <Characters>14677</Characters>
  <Application>Microsoft Office Word</Application>
  <DocSecurity>0</DocSecurity>
  <Lines>122</Lines>
  <Paragraphs>34</Paragraphs>
  <ScaleCrop>false</ScaleCrop>
  <Company/>
  <LinksUpToDate>false</LinksUpToDate>
  <CharactersWithSpaces>17217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2025-03-13T13:02:00Z</dcterms:created>
  <dcterms:modified xsi:type="dcterms:W3CDTF">2025-03-13T13:02:00Z</dcterms:modified>
</cp:coreProperties>
</file>