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EEC198" w14:textId="77777777" w:rsidR="009E1B2A" w:rsidRDefault="00F77981">
      <w:pPr>
        <w:widowControl w:val="0"/>
        <w:spacing w:line="240" w:lineRule="auto"/>
        <w:ind w:left="2408"/>
        <w:jc w:val="left"/>
        <w:rPr>
          <w:sz w:val="20"/>
          <w:szCs w:val="20"/>
        </w:rPr>
      </w:pPr>
      <w:r>
        <w:rPr>
          <w:noProof/>
          <w:sz w:val="20"/>
          <w:szCs w:val="20"/>
        </w:rPr>
        <w:drawing>
          <wp:inline distT="0" distB="0" distL="0" distR="0" wp14:anchorId="1CDEEDC3" wp14:editId="2F541923">
            <wp:extent cx="2739980" cy="5619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739980" cy="561975"/>
                    </a:xfrm>
                    <a:prstGeom prst="rect">
                      <a:avLst/>
                    </a:prstGeom>
                    <a:ln/>
                  </pic:spPr>
                </pic:pic>
              </a:graphicData>
            </a:graphic>
          </wp:inline>
        </w:drawing>
      </w:r>
    </w:p>
    <w:p w14:paraId="1485D06B" w14:textId="77777777" w:rsidR="009E1B2A" w:rsidRDefault="00F77981">
      <w:pPr>
        <w:widowControl w:val="0"/>
        <w:spacing w:before="284" w:line="240" w:lineRule="auto"/>
        <w:ind w:right="2"/>
        <w:jc w:val="center"/>
        <w:rPr>
          <w:rFonts w:ascii="Trebuchet MS" w:eastAsia="Trebuchet MS" w:hAnsi="Trebuchet MS" w:cs="Trebuchet MS"/>
          <w:b/>
          <w:bCs/>
          <w:sz w:val="38"/>
          <w:szCs w:val="38"/>
        </w:rPr>
      </w:pPr>
      <w:r>
        <w:rPr>
          <w:rFonts w:ascii="Trebuchet MS" w:eastAsia="Trebuchet MS" w:hAnsi="Trebuchet MS" w:cs="Trebuchet MS"/>
          <w:b/>
          <w:bCs/>
          <w:sz w:val="38"/>
          <w:szCs w:val="38"/>
        </w:rPr>
        <w:t>Master of Business Administration</w:t>
      </w:r>
    </w:p>
    <w:p w14:paraId="6C99576F" w14:textId="77777777" w:rsidR="009E1B2A" w:rsidRDefault="00F77981">
      <w:pPr>
        <w:widowControl w:val="0"/>
        <w:spacing w:before="180" w:line="240" w:lineRule="auto"/>
        <w:ind w:left="2" w:right="1"/>
        <w:jc w:val="center"/>
        <w:rPr>
          <w:rFonts w:ascii="Trebuchet MS" w:eastAsia="Trebuchet MS" w:hAnsi="Trebuchet MS" w:cs="Trebuchet MS"/>
          <w:b/>
          <w:bCs/>
          <w:sz w:val="32"/>
          <w:szCs w:val="32"/>
        </w:rPr>
      </w:pPr>
      <w:r>
        <w:rPr>
          <w:rFonts w:ascii="Trebuchet MS" w:eastAsia="Trebuchet MS" w:hAnsi="Trebuchet MS" w:cs="Trebuchet MS"/>
          <w:b/>
          <w:bCs/>
          <w:sz w:val="32"/>
          <w:szCs w:val="32"/>
        </w:rPr>
        <w:t>International Business pathway</w:t>
      </w:r>
    </w:p>
    <w:p w14:paraId="51BC30DD" w14:textId="77777777" w:rsidR="009E1B2A" w:rsidRDefault="009E1B2A">
      <w:pPr>
        <w:widowControl w:val="0"/>
        <w:spacing w:line="240" w:lineRule="auto"/>
        <w:jc w:val="left"/>
        <w:rPr>
          <w:rFonts w:ascii="Trebuchet MS" w:eastAsia="Trebuchet MS" w:hAnsi="Trebuchet MS" w:cs="Trebuchet MS"/>
          <w:sz w:val="20"/>
          <w:szCs w:val="20"/>
        </w:rPr>
      </w:pPr>
    </w:p>
    <w:p w14:paraId="3BAB6B92" w14:textId="77777777" w:rsidR="009E1B2A" w:rsidRDefault="009E1B2A">
      <w:pPr>
        <w:widowControl w:val="0"/>
        <w:spacing w:line="240" w:lineRule="auto"/>
        <w:jc w:val="left"/>
        <w:rPr>
          <w:rFonts w:ascii="Trebuchet MS" w:eastAsia="Trebuchet MS" w:hAnsi="Trebuchet MS" w:cs="Trebuchet MS"/>
          <w:sz w:val="20"/>
          <w:szCs w:val="20"/>
        </w:rPr>
      </w:pPr>
    </w:p>
    <w:p w14:paraId="3A4A9F59" w14:textId="77777777" w:rsidR="009E1B2A" w:rsidRDefault="00F77981">
      <w:pPr>
        <w:widowControl w:val="0"/>
        <w:spacing w:before="14" w:line="240" w:lineRule="auto"/>
        <w:jc w:val="left"/>
        <w:rPr>
          <w:rFonts w:ascii="Trebuchet MS" w:eastAsia="Trebuchet MS" w:hAnsi="Trebuchet MS" w:cs="Trebuchet MS"/>
          <w:sz w:val="20"/>
          <w:szCs w:val="20"/>
        </w:rPr>
      </w:pPr>
      <w:r>
        <w:rPr>
          <w:noProof/>
        </w:rPr>
        <w:drawing>
          <wp:anchor distT="0" distB="0" distL="0" distR="0" simplePos="0" relativeHeight="251658240" behindDoc="0" locked="0" layoutInCell="1" hidden="0" allowOverlap="1" wp14:anchorId="485513E4" wp14:editId="02E8EE8E">
            <wp:simplePos x="0" y="0"/>
            <wp:positionH relativeFrom="column">
              <wp:posOffset>1746884</wp:posOffset>
            </wp:positionH>
            <wp:positionV relativeFrom="paragraph">
              <wp:posOffset>171801</wp:posOffset>
            </wp:positionV>
            <wp:extent cx="2252662" cy="2252662"/>
            <wp:effectExtent l="0" t="0" r="0" b="0"/>
            <wp:wrapTopAndBottom distT="0" distB="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2252662" cy="2252662"/>
                    </a:xfrm>
                    <a:prstGeom prst="rect">
                      <a:avLst/>
                    </a:prstGeom>
                    <a:ln/>
                  </pic:spPr>
                </pic:pic>
              </a:graphicData>
            </a:graphic>
          </wp:anchor>
        </w:drawing>
      </w:r>
    </w:p>
    <w:p w14:paraId="5BCFF4F8" w14:textId="77777777" w:rsidR="009E1B2A" w:rsidRDefault="00F77981">
      <w:pPr>
        <w:widowControl w:val="0"/>
        <w:spacing w:before="237" w:line="240" w:lineRule="auto"/>
        <w:ind w:left="1" w:right="2"/>
        <w:jc w:val="center"/>
        <w:rPr>
          <w:rFonts w:ascii="Trebuchet MS" w:eastAsia="Trebuchet MS" w:hAnsi="Trebuchet MS" w:cs="Trebuchet MS"/>
          <w:b/>
          <w:bCs/>
          <w:sz w:val="48"/>
          <w:szCs w:val="48"/>
        </w:rPr>
      </w:pPr>
      <w:r>
        <w:rPr>
          <w:rFonts w:ascii="Trebuchet MS" w:eastAsia="Trebuchet MS" w:hAnsi="Trebuchet MS" w:cs="Trebuchet MS"/>
          <w:b/>
          <w:bCs/>
          <w:color w:val="ED0000"/>
          <w:sz w:val="48"/>
          <w:szCs w:val="48"/>
        </w:rPr>
        <w:t>Contemporary employability skills</w:t>
      </w:r>
    </w:p>
    <w:p w14:paraId="53F5AD8D" w14:textId="77777777" w:rsidR="009E1B2A" w:rsidRDefault="00F77981">
      <w:pPr>
        <w:widowControl w:val="0"/>
        <w:spacing w:before="286" w:line="240" w:lineRule="auto"/>
        <w:ind w:left="1819"/>
        <w:jc w:val="left"/>
        <w:rPr>
          <w:rFonts w:ascii="Trebuchet MS" w:eastAsia="Trebuchet MS" w:hAnsi="Trebuchet MS" w:cs="Trebuchet MS"/>
          <w:color w:val="ED0000"/>
          <w:sz w:val="28"/>
          <w:szCs w:val="28"/>
        </w:rPr>
      </w:pPr>
      <w:r>
        <w:rPr>
          <w:rFonts w:ascii="Trebuchet MS" w:eastAsia="Trebuchet MS" w:hAnsi="Trebuchet MS" w:cs="Trebuchet MS"/>
          <w:sz w:val="28"/>
          <w:szCs w:val="28"/>
        </w:rPr>
        <w:t xml:space="preserve">Assessment </w:t>
      </w:r>
      <w:r>
        <w:rPr>
          <w:rFonts w:ascii="Trebuchet MS" w:eastAsia="Trebuchet MS" w:hAnsi="Trebuchet MS" w:cs="Trebuchet MS"/>
          <w:color w:val="ED0000"/>
          <w:sz w:val="28"/>
          <w:szCs w:val="28"/>
        </w:rPr>
        <w:t>1: Individual report</w:t>
      </w:r>
      <w:r>
        <w:rPr>
          <w:rFonts w:ascii="Trebuchet MS" w:eastAsia="Trebuchet MS" w:hAnsi="Trebuchet MS" w:cs="Trebuchet MS"/>
          <w:sz w:val="28"/>
          <w:szCs w:val="28"/>
        </w:rPr>
        <w:t xml:space="preserve">. Weight: </w:t>
      </w:r>
      <w:r>
        <w:rPr>
          <w:rFonts w:ascii="Trebuchet MS" w:eastAsia="Trebuchet MS" w:hAnsi="Trebuchet MS" w:cs="Trebuchet MS"/>
          <w:color w:val="ED0000"/>
          <w:sz w:val="28"/>
          <w:szCs w:val="28"/>
        </w:rPr>
        <w:t>100%</w:t>
      </w:r>
    </w:p>
    <w:p w14:paraId="130FE3CD" w14:textId="77777777" w:rsidR="009E1B2A" w:rsidRDefault="009E1B2A">
      <w:pPr>
        <w:widowControl w:val="0"/>
        <w:spacing w:before="286" w:line="240" w:lineRule="auto"/>
        <w:ind w:left="1819"/>
        <w:jc w:val="left"/>
        <w:rPr>
          <w:rFonts w:ascii="Trebuchet MS" w:eastAsia="Trebuchet MS" w:hAnsi="Trebuchet MS" w:cs="Trebuchet MS"/>
          <w:sz w:val="28"/>
          <w:szCs w:val="28"/>
        </w:rPr>
      </w:pPr>
    </w:p>
    <w:p w14:paraId="63A2E053" w14:textId="77777777" w:rsidR="009E1B2A" w:rsidRDefault="00F77981">
      <w:pPr>
        <w:widowControl w:val="0"/>
        <w:ind w:left="23" w:right="90"/>
        <w:jc w:val="left"/>
        <w:rPr>
          <w:rFonts w:ascii="Trebuchet MS" w:eastAsia="Trebuchet MS" w:hAnsi="Trebuchet MS" w:cs="Trebuchet MS"/>
          <w:b/>
          <w:bCs/>
          <w:sz w:val="28"/>
          <w:szCs w:val="28"/>
        </w:rPr>
      </w:pPr>
      <w:r>
        <w:rPr>
          <w:rFonts w:ascii="Trebuchet MS" w:eastAsia="Trebuchet MS" w:hAnsi="Trebuchet MS" w:cs="Trebuchet MS"/>
          <w:b/>
          <w:bCs/>
          <w:sz w:val="28"/>
          <w:szCs w:val="28"/>
        </w:rPr>
        <w:t>Module Name: International Marketing:Principles and Practices</w:t>
      </w:r>
    </w:p>
    <w:p w14:paraId="7A84BA79" w14:textId="77777777" w:rsidR="009E1B2A" w:rsidRDefault="00F77981">
      <w:pPr>
        <w:widowControl w:val="0"/>
        <w:ind w:left="23" w:right="1279"/>
        <w:jc w:val="left"/>
        <w:rPr>
          <w:rFonts w:ascii="Trebuchet MS" w:eastAsia="Trebuchet MS" w:hAnsi="Trebuchet MS" w:cs="Trebuchet MS"/>
          <w:b/>
          <w:bCs/>
          <w:sz w:val="28"/>
          <w:szCs w:val="28"/>
        </w:rPr>
      </w:pPr>
      <w:r>
        <w:rPr>
          <w:rFonts w:ascii="Trebuchet MS" w:eastAsia="Trebuchet MS" w:hAnsi="Trebuchet MS" w:cs="Trebuchet MS"/>
          <w:b/>
          <w:bCs/>
          <w:sz w:val="28"/>
          <w:szCs w:val="28"/>
        </w:rPr>
        <w:t>Module Code: LCMB7026</w:t>
      </w:r>
    </w:p>
    <w:p w14:paraId="50F2AA7E" w14:textId="77777777" w:rsidR="009E1B2A" w:rsidRDefault="00F77981">
      <w:pPr>
        <w:widowControl w:val="0"/>
        <w:ind w:right="1279"/>
        <w:jc w:val="left"/>
        <w:rPr>
          <w:rFonts w:ascii="Trebuchet MS" w:eastAsia="Trebuchet MS" w:hAnsi="Trebuchet MS" w:cs="Trebuchet MS"/>
          <w:sz w:val="28"/>
          <w:szCs w:val="28"/>
        </w:rPr>
      </w:pPr>
      <w:r>
        <w:rPr>
          <w:rFonts w:ascii="Trebuchet MS" w:eastAsia="Trebuchet MS" w:hAnsi="Trebuchet MS" w:cs="Trebuchet MS"/>
          <w:b/>
          <w:bCs/>
          <w:sz w:val="28"/>
          <w:szCs w:val="28"/>
        </w:rPr>
        <w:t xml:space="preserve">Lecturer: </w:t>
      </w:r>
      <w:r w:rsidR="00172AAC">
        <w:rPr>
          <w:rFonts w:ascii="Trebuchet MS" w:eastAsia="Trebuchet MS" w:hAnsi="Trebuchet MS" w:cs="Trebuchet MS"/>
          <w:b/>
          <w:bCs/>
          <w:sz w:val="28"/>
          <w:szCs w:val="28"/>
        </w:rPr>
        <w:t>Dr.</w:t>
      </w:r>
      <w:r>
        <w:rPr>
          <w:rFonts w:ascii="Trebuchet MS" w:eastAsia="Trebuchet MS" w:hAnsi="Trebuchet MS" w:cs="Trebuchet MS"/>
          <w:b/>
          <w:bCs/>
          <w:sz w:val="28"/>
          <w:szCs w:val="28"/>
        </w:rPr>
        <w:t>Tola Odugbesan</w:t>
      </w:r>
    </w:p>
    <w:p w14:paraId="08838B41" w14:textId="77777777" w:rsidR="009E1B2A" w:rsidRDefault="009E1B2A">
      <w:pPr>
        <w:widowControl w:val="0"/>
        <w:ind w:right="1279"/>
        <w:jc w:val="left"/>
        <w:rPr>
          <w:rFonts w:ascii="Trebuchet MS" w:eastAsia="Trebuchet MS" w:hAnsi="Trebuchet MS" w:cs="Trebuchet MS"/>
          <w:sz w:val="28"/>
          <w:szCs w:val="28"/>
        </w:rPr>
      </w:pPr>
    </w:p>
    <w:p w14:paraId="3981EA2C" w14:textId="77777777" w:rsidR="009E1B2A" w:rsidRDefault="00F77981">
      <w:pPr>
        <w:widowControl w:val="0"/>
        <w:ind w:right="1279"/>
        <w:jc w:val="left"/>
        <w:rPr>
          <w:rFonts w:ascii="Trebuchet MS" w:eastAsia="Trebuchet MS" w:hAnsi="Trebuchet MS" w:cs="Trebuchet MS"/>
          <w:b/>
          <w:bCs/>
          <w:sz w:val="28"/>
          <w:szCs w:val="28"/>
        </w:rPr>
      </w:pPr>
      <w:r>
        <w:rPr>
          <w:rFonts w:ascii="Trebuchet MS" w:eastAsia="Trebuchet MS" w:hAnsi="Trebuchet MS" w:cs="Trebuchet MS"/>
          <w:b/>
          <w:bCs/>
          <w:sz w:val="28"/>
          <w:szCs w:val="28"/>
        </w:rPr>
        <w:t>Student name</w:t>
      </w:r>
      <w:r>
        <w:rPr>
          <w:rFonts w:ascii="Trebuchet MS" w:eastAsia="Trebuchet MS" w:hAnsi="Trebuchet MS" w:cs="Trebuchet MS"/>
          <w:sz w:val="28"/>
          <w:szCs w:val="28"/>
        </w:rPr>
        <w:t xml:space="preserve">: </w:t>
      </w:r>
      <w:r>
        <w:rPr>
          <w:rFonts w:ascii="Trebuchet MS" w:eastAsia="Trebuchet MS" w:hAnsi="Trebuchet MS" w:cs="Trebuchet MS"/>
          <w:b/>
          <w:bCs/>
          <w:sz w:val="28"/>
          <w:szCs w:val="28"/>
        </w:rPr>
        <w:t>Ishan Dineshbhai Rana</w:t>
      </w:r>
    </w:p>
    <w:p w14:paraId="48015E3E" w14:textId="77777777" w:rsidR="009E1B2A" w:rsidRDefault="00F77981">
      <w:pPr>
        <w:widowControl w:val="0"/>
        <w:ind w:right="1279"/>
        <w:jc w:val="left"/>
        <w:rPr>
          <w:rFonts w:ascii="Trebuchet MS" w:eastAsia="Trebuchet MS" w:hAnsi="Trebuchet MS" w:cs="Trebuchet MS"/>
          <w:b/>
          <w:bCs/>
          <w:sz w:val="28"/>
          <w:szCs w:val="28"/>
        </w:rPr>
      </w:pPr>
      <w:r>
        <w:rPr>
          <w:rFonts w:ascii="Trebuchet MS" w:eastAsia="Trebuchet MS" w:hAnsi="Trebuchet MS" w:cs="Trebuchet MS"/>
          <w:b/>
          <w:bCs/>
          <w:sz w:val="28"/>
          <w:szCs w:val="28"/>
        </w:rPr>
        <w:t>Student ID:</w:t>
      </w:r>
      <w:r>
        <w:rPr>
          <w:rFonts w:ascii="Arial" w:eastAsia="Arial" w:hAnsi="Arial" w:cs="Arial"/>
          <w:b/>
          <w:bCs/>
          <w:sz w:val="22"/>
          <w:szCs w:val="22"/>
        </w:rPr>
        <w:t xml:space="preserve"> </w:t>
      </w:r>
      <w:r>
        <w:rPr>
          <w:rFonts w:ascii="Trebuchet MS" w:eastAsia="Trebuchet MS" w:hAnsi="Trebuchet MS" w:cs="Trebuchet MS"/>
          <w:b/>
          <w:bCs/>
          <w:sz w:val="28"/>
          <w:szCs w:val="28"/>
        </w:rPr>
        <w:t>2507137</w:t>
      </w:r>
    </w:p>
    <w:p w14:paraId="77895C91" w14:textId="77777777" w:rsidR="009E1B2A" w:rsidRDefault="009E1B2A">
      <w:pPr>
        <w:widowControl w:val="0"/>
        <w:ind w:right="1279"/>
        <w:jc w:val="left"/>
        <w:rPr>
          <w:rFonts w:ascii="Trebuchet MS" w:eastAsia="Trebuchet MS" w:hAnsi="Trebuchet MS" w:cs="Trebuchet MS"/>
          <w:sz w:val="28"/>
          <w:szCs w:val="28"/>
        </w:rPr>
      </w:pPr>
    </w:p>
    <w:p w14:paraId="6BB12407" w14:textId="77777777" w:rsidR="009E1B2A" w:rsidRDefault="00F77981">
      <w:pPr>
        <w:widowControl w:val="0"/>
        <w:ind w:left="23" w:right="1279"/>
        <w:jc w:val="left"/>
        <w:rPr>
          <w:rFonts w:ascii="Trebuchet MS" w:eastAsia="Trebuchet MS" w:hAnsi="Trebuchet MS" w:cs="Trebuchet MS"/>
          <w:b/>
          <w:bCs/>
          <w:sz w:val="28"/>
          <w:szCs w:val="28"/>
        </w:rPr>
      </w:pPr>
      <w:r>
        <w:rPr>
          <w:rFonts w:ascii="Trebuchet MS" w:eastAsia="Trebuchet MS" w:hAnsi="Trebuchet MS" w:cs="Trebuchet MS"/>
          <w:b/>
          <w:bCs/>
          <w:sz w:val="28"/>
          <w:szCs w:val="28"/>
        </w:rPr>
        <w:t>Word count: 5040</w:t>
      </w:r>
    </w:p>
    <w:p w14:paraId="05C01C67" w14:textId="77777777" w:rsidR="009E1B2A" w:rsidRDefault="00F77981">
      <w:pPr>
        <w:widowControl w:val="0"/>
        <w:ind w:left="23" w:right="1279"/>
        <w:jc w:val="left"/>
        <w:rPr>
          <w:rFonts w:ascii="Trebuchet MS" w:eastAsia="Trebuchet MS" w:hAnsi="Trebuchet MS" w:cs="Trebuchet MS"/>
          <w:b/>
          <w:bCs/>
          <w:sz w:val="28"/>
          <w:szCs w:val="28"/>
        </w:rPr>
        <w:sectPr w:rsidR="009E1B2A">
          <w:footerReference w:type="default" r:id="rId8"/>
          <w:pgSz w:w="12240" w:h="15840"/>
          <w:pgMar w:top="1440" w:right="1440" w:bottom="1440" w:left="1440" w:header="720" w:footer="720" w:gutter="0"/>
          <w:pgNumType w:start="0"/>
          <w:cols w:space="720"/>
          <w:titlePg/>
        </w:sectPr>
      </w:pPr>
      <w:r>
        <w:rPr>
          <w:rFonts w:ascii="Trebuchet MS" w:eastAsia="Trebuchet MS" w:hAnsi="Trebuchet MS" w:cs="Trebuchet MS"/>
          <w:b/>
          <w:bCs/>
          <w:sz w:val="28"/>
          <w:szCs w:val="28"/>
        </w:rPr>
        <w:t>Submission date: 13th August 2026</w:t>
      </w:r>
    </w:p>
    <w:p w14:paraId="360E58A3" w14:textId="77777777" w:rsidR="009E1B2A" w:rsidRDefault="00F77981">
      <w:pPr>
        <w:jc w:val="center"/>
        <w:rPr>
          <w:rFonts w:ascii="Arial" w:eastAsia="Arial" w:hAnsi="Arial" w:cs="Arial"/>
          <w:b/>
          <w:bCs/>
          <w:sz w:val="28"/>
          <w:szCs w:val="28"/>
        </w:rPr>
      </w:pPr>
      <w:r>
        <w:rPr>
          <w:rFonts w:ascii="Arial" w:eastAsia="Arial" w:hAnsi="Arial" w:cs="Arial"/>
          <w:b/>
          <w:bCs/>
          <w:sz w:val="32"/>
          <w:szCs w:val="32"/>
        </w:rPr>
        <w:t>Title: International Market Entry Strategy and Marketing Mix of Cadbury: India and the United Kingdom</w:t>
      </w:r>
    </w:p>
    <w:p w14:paraId="5F6B280D" w14:textId="77777777" w:rsidR="009E1B2A" w:rsidRDefault="00F77981">
      <w:pPr>
        <w:rPr>
          <w:rFonts w:ascii="Arial" w:eastAsia="Arial" w:hAnsi="Arial" w:cs="Arial"/>
          <w:b/>
          <w:bCs/>
          <w:sz w:val="28"/>
          <w:szCs w:val="28"/>
        </w:rPr>
      </w:pPr>
      <w:r>
        <w:rPr>
          <w:rFonts w:ascii="Arial" w:eastAsia="Arial" w:hAnsi="Arial" w:cs="Arial"/>
          <w:b/>
          <w:bCs/>
          <w:sz w:val="28"/>
          <w:szCs w:val="28"/>
        </w:rPr>
        <w:t xml:space="preserve">Executive Summary </w:t>
      </w:r>
    </w:p>
    <w:p w14:paraId="2CEC5576" w14:textId="77777777" w:rsidR="009E1B2A" w:rsidRDefault="00F77981">
      <w:pPr>
        <w:rPr>
          <w:rFonts w:ascii="Arial" w:eastAsia="Arial" w:hAnsi="Arial" w:cs="Arial"/>
        </w:rPr>
      </w:pPr>
      <w:r>
        <w:rPr>
          <w:rFonts w:ascii="Arial" w:eastAsia="Arial" w:hAnsi="Arial" w:cs="Arial"/>
        </w:rPr>
        <w:t>In this report an analysis of Cadbury's international marketing strategy is carried out by comparing the Indian and the UK markets. PESTEL and Hofstede analysis recognize key environmental and cultural differences that impact consumer behavior and strategic decisions. STP and the 7Ps reflect the fact that local adaptation and global brand consistency are essential. The development of Cadbury's Indian market and the ethical issues are critically examined, along with food safety and responsible marketing issues. The four recommendations emphasize localisation of products, digital expansion, sustainability and transparency.</w:t>
      </w:r>
      <w:r>
        <w:br w:type="page"/>
      </w:r>
    </w:p>
    <w:p w14:paraId="01976870" w14:textId="77777777" w:rsidR="009E1B2A" w:rsidRDefault="00F77981">
      <w:pPr>
        <w:jc w:val="center"/>
        <w:rPr>
          <w:rFonts w:ascii="Arial" w:eastAsia="Arial" w:hAnsi="Arial" w:cs="Arial"/>
          <w:b/>
          <w:bCs/>
          <w:sz w:val="28"/>
          <w:szCs w:val="28"/>
        </w:rPr>
      </w:pPr>
      <w:r>
        <w:rPr>
          <w:rFonts w:ascii="Arial" w:eastAsia="Arial" w:hAnsi="Arial" w:cs="Arial"/>
          <w:b/>
          <w:bCs/>
          <w:sz w:val="28"/>
          <w:szCs w:val="28"/>
        </w:rPr>
        <w:t>Table of Contents</w:t>
      </w:r>
    </w:p>
    <w:sdt>
      <w:sdtPr>
        <w:id w:val="-248102471"/>
        <w:docPartObj>
          <w:docPartGallery w:val="Table of Contents"/>
          <w:docPartUnique/>
        </w:docPartObj>
      </w:sdtPr>
      <w:sdtEndPr/>
      <w:sdtContent>
        <w:p w14:paraId="288E38A0" w14:textId="77777777" w:rsidR="009E1B2A" w:rsidRDefault="00F77981">
          <w:pPr>
            <w:pBdr>
              <w:top w:val="nil"/>
              <w:left w:val="nil"/>
              <w:bottom w:val="nil"/>
              <w:right w:val="nil"/>
              <w:between w:val="nil"/>
            </w:pBdr>
            <w:tabs>
              <w:tab w:val="right" w:leader="dot" w:pos="9350"/>
            </w:tabs>
            <w:spacing w:after="100"/>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sds0yuz2rq2y">
            <w:r>
              <w:rPr>
                <w:rFonts w:ascii="Arial" w:eastAsia="Arial" w:hAnsi="Arial" w:cs="Arial"/>
                <w:color w:val="000000"/>
              </w:rPr>
              <w:t>Section 1: International Market Entry Strategy and Marketing Mix</w:t>
            </w:r>
          </w:hyperlink>
          <w:hyperlink w:anchor="_sds0yuz2rq2y">
            <w:r>
              <w:rPr>
                <w:color w:val="000000"/>
              </w:rPr>
              <w:tab/>
              <w:t>3</w:t>
            </w:r>
          </w:hyperlink>
        </w:p>
        <w:p w14:paraId="731F24D8" w14:textId="77777777" w:rsidR="009E1B2A" w:rsidRDefault="00F7798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kgj7ners9azi">
            <w:r>
              <w:rPr>
                <w:rFonts w:ascii="Arial" w:eastAsia="Arial" w:hAnsi="Arial" w:cs="Arial"/>
                <w:color w:val="000000"/>
              </w:rPr>
              <w:t>1. Introduction</w:t>
            </w:r>
          </w:hyperlink>
          <w:hyperlink w:anchor="_kgj7ners9azi">
            <w:r>
              <w:rPr>
                <w:color w:val="000000"/>
              </w:rPr>
              <w:tab/>
              <w:t>3</w:t>
            </w:r>
          </w:hyperlink>
        </w:p>
        <w:p w14:paraId="0CD56C31" w14:textId="77777777" w:rsidR="009E1B2A" w:rsidRDefault="00F7798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55xkz919ha5m">
            <w:r>
              <w:rPr>
                <w:rFonts w:ascii="Arial" w:eastAsia="Arial" w:hAnsi="Arial" w:cs="Arial"/>
                <w:color w:val="000000"/>
              </w:rPr>
              <w:t>2. Comparative Analysis of the Indian and UK Markets</w:t>
            </w:r>
          </w:hyperlink>
          <w:hyperlink w:anchor="_55xkz919ha5m">
            <w:r>
              <w:rPr>
                <w:color w:val="000000"/>
              </w:rPr>
              <w:tab/>
              <w:t>3</w:t>
            </w:r>
          </w:hyperlink>
        </w:p>
        <w:p w14:paraId="72A45D4D" w14:textId="77777777" w:rsidR="009E1B2A" w:rsidRDefault="00F7798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qgsbrinf9q2w">
            <w:r>
              <w:rPr>
                <w:rFonts w:ascii="Arial" w:eastAsia="Arial" w:hAnsi="Arial" w:cs="Arial"/>
                <w:color w:val="000000"/>
              </w:rPr>
              <w:t>3. Comparative Analysis of STP and International Marketing Mix</w:t>
            </w:r>
          </w:hyperlink>
          <w:hyperlink w:anchor="_qgsbrinf9q2w">
            <w:r>
              <w:rPr>
                <w:color w:val="000000"/>
              </w:rPr>
              <w:tab/>
              <w:t>7</w:t>
            </w:r>
          </w:hyperlink>
        </w:p>
        <w:p w14:paraId="269C5A72" w14:textId="77777777" w:rsidR="009E1B2A" w:rsidRDefault="00F7798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ln8jvzw97bht">
            <w:r>
              <w:rPr>
                <w:rFonts w:ascii="Arial" w:eastAsia="Arial" w:hAnsi="Arial" w:cs="Arial"/>
                <w:color w:val="000000"/>
              </w:rPr>
              <w:t>4. Market Entry Strategy in India</w:t>
            </w:r>
          </w:hyperlink>
          <w:hyperlink w:anchor="_ln8jvzw97bht">
            <w:r>
              <w:rPr>
                <w:color w:val="000000"/>
              </w:rPr>
              <w:tab/>
              <w:t>12</w:t>
            </w:r>
          </w:hyperlink>
        </w:p>
        <w:p w14:paraId="57468A79" w14:textId="77777777" w:rsidR="009E1B2A" w:rsidRDefault="00F7798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yuph0t7xixf7">
            <w:r>
              <w:rPr>
                <w:rFonts w:ascii="Arial" w:eastAsia="Arial" w:hAnsi="Arial" w:cs="Arial"/>
                <w:color w:val="000000"/>
              </w:rPr>
              <w:t>5. Ethical Issues Related to Cadbury’s Marketing Mix in India</w:t>
            </w:r>
          </w:hyperlink>
          <w:hyperlink w:anchor="_yuph0t7xixf7">
            <w:r>
              <w:rPr>
                <w:color w:val="000000"/>
              </w:rPr>
              <w:tab/>
              <w:t>16</w:t>
            </w:r>
          </w:hyperlink>
        </w:p>
        <w:p w14:paraId="483B339A" w14:textId="77777777" w:rsidR="009E1B2A" w:rsidRDefault="00F7798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tk9qp4aeixn3">
            <w:r>
              <w:rPr>
                <w:rFonts w:ascii="Arial" w:eastAsia="Arial" w:hAnsi="Arial" w:cs="Arial"/>
                <w:color w:val="000000"/>
              </w:rPr>
              <w:t>6. Recommendations for Cadbury’s Future International Marketing Strategy</w:t>
            </w:r>
          </w:hyperlink>
          <w:hyperlink w:anchor="_tk9qp4aeixn3">
            <w:r>
              <w:rPr>
                <w:color w:val="000000"/>
              </w:rPr>
              <w:tab/>
              <w:t>18</w:t>
            </w:r>
          </w:hyperlink>
        </w:p>
        <w:p w14:paraId="22376726" w14:textId="77777777" w:rsidR="009E1B2A" w:rsidRDefault="00F7798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xax289lgwges">
            <w:r>
              <w:rPr>
                <w:rFonts w:ascii="Arial" w:eastAsia="Arial" w:hAnsi="Arial" w:cs="Arial"/>
                <w:color w:val="000000"/>
              </w:rPr>
              <w:t>7. Conclusion</w:t>
            </w:r>
          </w:hyperlink>
          <w:hyperlink w:anchor="_xax289lgwges">
            <w:r>
              <w:rPr>
                <w:color w:val="000000"/>
              </w:rPr>
              <w:tab/>
              <w:t>20</w:t>
            </w:r>
          </w:hyperlink>
        </w:p>
        <w:p w14:paraId="427CEC3B" w14:textId="77777777" w:rsidR="009E1B2A" w:rsidRDefault="00F77981">
          <w:pPr>
            <w:pBdr>
              <w:top w:val="nil"/>
              <w:left w:val="nil"/>
              <w:bottom w:val="nil"/>
              <w:right w:val="nil"/>
              <w:between w:val="nil"/>
            </w:pBdr>
            <w:tabs>
              <w:tab w:val="right" w:leader="dot" w:pos="9350"/>
            </w:tabs>
            <w:spacing w:after="100"/>
            <w:rPr>
              <w:rFonts w:ascii="Cambria" w:eastAsia="Cambria" w:hAnsi="Cambria" w:cs="Cambria"/>
              <w:color w:val="000000"/>
            </w:rPr>
          </w:pPr>
          <w:hyperlink w:anchor="_z17kjiaaahbm">
            <w:r>
              <w:rPr>
                <w:rFonts w:ascii="Arial" w:eastAsia="Arial" w:hAnsi="Arial" w:cs="Arial"/>
                <w:color w:val="000000"/>
              </w:rPr>
              <w:t>Section 2: Reflective Account</w:t>
            </w:r>
          </w:hyperlink>
          <w:hyperlink w:anchor="_z17kjiaaahbm">
            <w:r>
              <w:rPr>
                <w:color w:val="000000"/>
              </w:rPr>
              <w:tab/>
              <w:t>21</w:t>
            </w:r>
          </w:hyperlink>
        </w:p>
        <w:p w14:paraId="4D7F5B97" w14:textId="77777777" w:rsidR="009E1B2A" w:rsidRDefault="00F77981">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1axrdx2xwx8l">
            <w:r>
              <w:rPr>
                <w:rFonts w:ascii="Arial" w:eastAsia="Arial" w:hAnsi="Arial" w:cs="Arial"/>
                <w:color w:val="000000"/>
              </w:rPr>
              <w:t>Reflective Account Using Gibbs’ Reflective Cycle</w:t>
            </w:r>
          </w:hyperlink>
          <w:hyperlink w:anchor="_1axrdx2xwx8l">
            <w:r>
              <w:rPr>
                <w:color w:val="000000"/>
              </w:rPr>
              <w:tab/>
              <w:t>21</w:t>
            </w:r>
          </w:hyperlink>
        </w:p>
        <w:p w14:paraId="29E986A0" w14:textId="77777777" w:rsidR="009E1B2A" w:rsidRDefault="00F77981">
          <w:pPr>
            <w:pBdr>
              <w:top w:val="nil"/>
              <w:left w:val="nil"/>
              <w:bottom w:val="nil"/>
              <w:right w:val="nil"/>
              <w:between w:val="nil"/>
            </w:pBdr>
            <w:tabs>
              <w:tab w:val="right" w:leader="dot" w:pos="9350"/>
            </w:tabs>
            <w:spacing w:after="100"/>
            <w:rPr>
              <w:rFonts w:ascii="Cambria" w:eastAsia="Cambria" w:hAnsi="Cambria" w:cs="Cambria"/>
              <w:color w:val="000000"/>
            </w:rPr>
          </w:pPr>
          <w:hyperlink w:anchor="_jhry4k903d5q">
            <w:r>
              <w:rPr>
                <w:rFonts w:ascii="Arial" w:eastAsia="Arial" w:hAnsi="Arial" w:cs="Arial"/>
                <w:color w:val="000000"/>
              </w:rPr>
              <w:t>Reference List</w:t>
            </w:r>
          </w:hyperlink>
          <w:hyperlink w:anchor="_jhry4k903d5q">
            <w:r>
              <w:rPr>
                <w:color w:val="000000"/>
              </w:rPr>
              <w:tab/>
              <w:t>25</w:t>
            </w:r>
          </w:hyperlink>
        </w:p>
        <w:p w14:paraId="7EDE68A2" w14:textId="77777777" w:rsidR="009E1B2A" w:rsidRDefault="00F77981">
          <w:pPr>
            <w:widowControl w:val="0"/>
            <w:tabs>
              <w:tab w:val="right" w:pos="12000"/>
            </w:tabs>
            <w:spacing w:before="60"/>
            <w:jc w:val="left"/>
            <w:rPr>
              <w:rFonts w:ascii="Arial" w:eastAsia="Arial" w:hAnsi="Arial" w:cs="Arial"/>
              <w:b/>
              <w:bCs/>
              <w:color w:val="000000"/>
            </w:rPr>
          </w:pPr>
          <w:r>
            <w:fldChar w:fldCharType="end"/>
          </w:r>
        </w:p>
      </w:sdtContent>
    </w:sdt>
    <w:p w14:paraId="35611E1E" w14:textId="77777777" w:rsidR="009E1B2A" w:rsidRDefault="00F77981">
      <w:pPr>
        <w:jc w:val="center"/>
        <w:rPr>
          <w:rFonts w:ascii="Arial" w:eastAsia="Arial" w:hAnsi="Arial" w:cs="Arial"/>
        </w:rPr>
      </w:pPr>
      <w:r>
        <w:br w:type="page"/>
      </w:r>
    </w:p>
    <w:p w14:paraId="69CD23C3" w14:textId="77777777" w:rsidR="009E1B2A" w:rsidRDefault="00F77981">
      <w:pPr>
        <w:pStyle w:val="Heading1"/>
        <w:rPr>
          <w:rFonts w:ascii="Arial" w:eastAsia="Arial" w:hAnsi="Arial" w:cs="Arial"/>
        </w:rPr>
      </w:pPr>
      <w:bookmarkStart w:id="0" w:name="_sds0yuz2rq2y" w:colFirst="0" w:colLast="0"/>
      <w:bookmarkEnd w:id="0"/>
      <w:r>
        <w:rPr>
          <w:rFonts w:ascii="Arial" w:eastAsia="Arial" w:hAnsi="Arial" w:cs="Arial"/>
        </w:rPr>
        <w:t>Section 1: International Market Entry Strategy and Marketing Mix</w:t>
      </w:r>
    </w:p>
    <w:p w14:paraId="7DE1D8E3" w14:textId="77777777" w:rsidR="009E1B2A" w:rsidRDefault="00F77981">
      <w:pPr>
        <w:pStyle w:val="Heading2"/>
        <w:rPr>
          <w:rFonts w:ascii="Arial" w:eastAsia="Arial" w:hAnsi="Arial" w:cs="Arial"/>
        </w:rPr>
      </w:pPr>
      <w:bookmarkStart w:id="1" w:name="_kgj7ners9azi" w:colFirst="0" w:colLast="0"/>
      <w:bookmarkEnd w:id="1"/>
      <w:r>
        <w:rPr>
          <w:rFonts w:ascii="Arial" w:eastAsia="Arial" w:hAnsi="Arial" w:cs="Arial"/>
        </w:rPr>
        <w:t>1. Introduction</w:t>
      </w:r>
    </w:p>
    <w:p w14:paraId="5C4A6FA1" w14:textId="77777777" w:rsidR="009E1B2A" w:rsidRDefault="00F77981">
      <w:pPr>
        <w:spacing w:before="240" w:after="240"/>
        <w:rPr>
          <w:rFonts w:ascii="Arial" w:eastAsia="Arial" w:hAnsi="Arial" w:cs="Arial"/>
        </w:rPr>
      </w:pPr>
      <w:r>
        <w:rPr>
          <w:rFonts w:ascii="Arial" w:eastAsia="Arial" w:hAnsi="Arial" w:cs="Arial"/>
        </w:rPr>
        <w:t>The increasing role of global marketing in our world; particularly for multinational brand that desire to compete in the global and domestic markets that their economical, consumer's, legislative as well as social circumstances differentiate between regions. With international recognition and the most powerful chocolate trademark worldwide, Cadbury is belonging to Mondelez International that is keen to make its brand have uniform across all global locations while maintaining its adjustment on localized aspects. Specifically the PESTEL model is deployed to thoroughly inspect all the socio- economic, cultural, environmental, legal, political, technological factors affecting the selling strategies by Cadbury. Finally through analyzing culture dimension, it will try to shed some insight into the differences of consuming behaviors that both countries may present affecting our discussed brands and selling efforts.</w:t>
      </w:r>
    </w:p>
    <w:p w14:paraId="2EA9545F" w14:textId="77777777" w:rsidR="009E1B2A" w:rsidRDefault="00F77981">
      <w:pPr>
        <w:pStyle w:val="Heading2"/>
        <w:rPr>
          <w:rFonts w:ascii="Arial" w:eastAsia="Arial" w:hAnsi="Arial" w:cs="Arial"/>
        </w:rPr>
      </w:pPr>
      <w:bookmarkStart w:id="2" w:name="_55xkz919ha5m" w:colFirst="0" w:colLast="0"/>
      <w:bookmarkEnd w:id="2"/>
      <w:r>
        <w:rPr>
          <w:rFonts w:ascii="Arial" w:eastAsia="Arial" w:hAnsi="Arial" w:cs="Arial"/>
        </w:rPr>
        <w:t>2. Comparative Analysis of the Indian and UK Markets</w:t>
      </w:r>
    </w:p>
    <w:p w14:paraId="31169508" w14:textId="77777777" w:rsidR="009E1B2A" w:rsidRDefault="00F77981">
      <w:pPr>
        <w:rPr>
          <w:rFonts w:ascii="Arial" w:eastAsia="Arial" w:hAnsi="Arial" w:cs="Arial"/>
        </w:rPr>
      </w:pPr>
      <w:r>
        <w:rPr>
          <w:rFonts w:ascii="Arial" w:eastAsia="Arial" w:hAnsi="Arial" w:cs="Arial"/>
          <w:b/>
          <w:bCs/>
        </w:rPr>
        <w:t>PESTEL Analysis of India and the United Kingdom</w:t>
      </w:r>
    </w:p>
    <w:tbl>
      <w:tblPr>
        <w:tblStyle w:val="a"/>
        <w:tblW w:w="9420" w:type="dxa"/>
        <w:tblInd w:w="0" w:type="dxa"/>
        <w:tblBorders>
          <w:top w:val="single" w:sz="9" w:space="0" w:color="000000"/>
          <w:left w:val="single" w:sz="9" w:space="0" w:color="000000"/>
          <w:bottom w:val="single" w:sz="9" w:space="0" w:color="000000"/>
          <w:right w:val="single" w:sz="9" w:space="0" w:color="000000"/>
          <w:insideH w:val="single" w:sz="9" w:space="0" w:color="000000"/>
          <w:insideV w:val="single" w:sz="9" w:space="0" w:color="000000"/>
        </w:tblBorders>
        <w:tblLayout w:type="fixed"/>
        <w:tblLook w:val="0600" w:firstRow="0" w:lastRow="0" w:firstColumn="0" w:lastColumn="0" w:noHBand="1" w:noVBand="1"/>
      </w:tblPr>
      <w:tblGrid>
        <w:gridCol w:w="1620"/>
        <w:gridCol w:w="2835"/>
        <w:gridCol w:w="2970"/>
        <w:gridCol w:w="1995"/>
      </w:tblGrid>
      <w:tr w:rsidR="009E1B2A" w14:paraId="177263F8" w14:textId="77777777">
        <w:trPr>
          <w:trHeight w:val="435"/>
        </w:trPr>
        <w:tc>
          <w:tcPr>
            <w:tcW w:w="162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4A60298D" w14:textId="77777777" w:rsidR="009E1B2A" w:rsidRDefault="00F77981">
            <w:pPr>
              <w:jc w:val="center"/>
              <w:rPr>
                <w:rFonts w:ascii="Arial" w:eastAsia="Arial" w:hAnsi="Arial" w:cs="Arial"/>
                <w:b/>
                <w:bCs/>
              </w:rPr>
            </w:pPr>
            <w:r>
              <w:rPr>
                <w:rFonts w:ascii="Arial" w:eastAsia="Arial" w:hAnsi="Arial" w:cs="Arial"/>
                <w:b/>
                <w:bCs/>
              </w:rPr>
              <w:t>PESTEL</w:t>
            </w:r>
          </w:p>
        </w:tc>
        <w:tc>
          <w:tcPr>
            <w:tcW w:w="283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6626D14C" w14:textId="77777777" w:rsidR="009E1B2A" w:rsidRDefault="00F77981">
            <w:pPr>
              <w:jc w:val="center"/>
              <w:rPr>
                <w:rFonts w:ascii="Arial" w:eastAsia="Arial" w:hAnsi="Arial" w:cs="Arial"/>
                <w:b/>
                <w:bCs/>
              </w:rPr>
            </w:pPr>
            <w:r>
              <w:rPr>
                <w:rFonts w:ascii="Arial" w:eastAsia="Arial" w:hAnsi="Arial" w:cs="Arial"/>
                <w:b/>
                <w:bCs/>
              </w:rPr>
              <w:t>India</w:t>
            </w:r>
          </w:p>
        </w:tc>
        <w:tc>
          <w:tcPr>
            <w:tcW w:w="2970" w:type="dxa"/>
            <w:tcBorders>
              <w:top w:val="single" w:sz="12" w:space="0" w:color="000000"/>
              <w:left w:val="single" w:sz="12" w:space="0" w:color="000000"/>
              <w:bottom w:val="single" w:sz="12" w:space="0" w:color="000000"/>
              <w:right w:val="single" w:sz="12" w:space="0" w:color="000000"/>
            </w:tcBorders>
            <w:tcMar>
              <w:top w:w="20" w:type="dxa"/>
              <w:left w:w="20" w:type="dxa"/>
              <w:bottom w:w="20" w:type="dxa"/>
              <w:right w:w="20" w:type="dxa"/>
            </w:tcMar>
          </w:tcPr>
          <w:p w14:paraId="7A3850F5" w14:textId="77777777" w:rsidR="009E1B2A" w:rsidRDefault="00F77981">
            <w:pPr>
              <w:jc w:val="center"/>
              <w:rPr>
                <w:rFonts w:ascii="Arial" w:eastAsia="Arial" w:hAnsi="Arial" w:cs="Arial"/>
                <w:b/>
                <w:bCs/>
              </w:rPr>
            </w:pPr>
            <w:r>
              <w:rPr>
                <w:rFonts w:ascii="Arial" w:eastAsia="Arial" w:hAnsi="Arial" w:cs="Arial"/>
                <w:b/>
                <w:bCs/>
              </w:rPr>
              <w:t>United Kingdom</w:t>
            </w:r>
          </w:p>
        </w:tc>
        <w:tc>
          <w:tcPr>
            <w:tcW w:w="199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5D86CCF9" w14:textId="77777777" w:rsidR="009E1B2A" w:rsidRDefault="00F77981">
            <w:pPr>
              <w:jc w:val="center"/>
              <w:rPr>
                <w:rFonts w:ascii="Arial" w:eastAsia="Arial" w:hAnsi="Arial" w:cs="Arial"/>
                <w:b/>
                <w:bCs/>
              </w:rPr>
            </w:pPr>
            <w:r>
              <w:rPr>
                <w:rFonts w:ascii="Arial" w:eastAsia="Arial" w:hAnsi="Arial" w:cs="Arial"/>
                <w:b/>
                <w:bCs/>
              </w:rPr>
              <w:t>Impact</w:t>
            </w:r>
          </w:p>
        </w:tc>
      </w:tr>
      <w:tr w:rsidR="009E1B2A" w14:paraId="0F9E5851" w14:textId="77777777">
        <w:trPr>
          <w:trHeight w:val="1515"/>
        </w:trPr>
        <w:tc>
          <w:tcPr>
            <w:tcW w:w="162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1A71F012" w14:textId="77777777" w:rsidR="009E1B2A" w:rsidRDefault="00F77981">
            <w:pPr>
              <w:jc w:val="left"/>
              <w:rPr>
                <w:rFonts w:ascii="Arial" w:eastAsia="Arial" w:hAnsi="Arial" w:cs="Arial"/>
                <w:b/>
                <w:bCs/>
              </w:rPr>
            </w:pPr>
            <w:r>
              <w:rPr>
                <w:rFonts w:ascii="Arial" w:eastAsia="Arial" w:hAnsi="Arial" w:cs="Arial"/>
                <w:b/>
                <w:bCs/>
              </w:rPr>
              <w:t>Political</w:t>
            </w:r>
          </w:p>
        </w:tc>
        <w:tc>
          <w:tcPr>
            <w:tcW w:w="283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2013A740" w14:textId="77777777" w:rsidR="009E1B2A" w:rsidRDefault="00F77981">
            <w:pPr>
              <w:jc w:val="left"/>
              <w:rPr>
                <w:rFonts w:ascii="Arial" w:eastAsia="Arial" w:hAnsi="Arial" w:cs="Arial"/>
              </w:rPr>
            </w:pPr>
            <w:r>
              <w:rPr>
                <w:rFonts w:ascii="Arial" w:eastAsia="Arial" w:hAnsi="Arial" w:cs="Arial"/>
              </w:rPr>
              <w:t xml:space="preserve">Goods and Services Tax (GST) Act 2017, Foreign Exchange Management Act (FEMA) 1999 (GST, 2026) </w:t>
            </w:r>
          </w:p>
        </w:tc>
        <w:tc>
          <w:tcPr>
            <w:tcW w:w="2970" w:type="dxa"/>
            <w:tcBorders>
              <w:top w:val="single" w:sz="12" w:space="0" w:color="000000"/>
              <w:left w:val="single" w:sz="12" w:space="0" w:color="000000"/>
              <w:bottom w:val="single" w:sz="12" w:space="0" w:color="000000"/>
              <w:right w:val="single" w:sz="12" w:space="0" w:color="000000"/>
            </w:tcBorders>
            <w:tcMar>
              <w:top w:w="20" w:type="dxa"/>
              <w:left w:w="20" w:type="dxa"/>
              <w:bottom w:w="20" w:type="dxa"/>
              <w:right w:w="20" w:type="dxa"/>
            </w:tcMar>
          </w:tcPr>
          <w:p w14:paraId="2D040B62" w14:textId="77777777" w:rsidR="009E1B2A" w:rsidRDefault="00F77981">
            <w:pPr>
              <w:rPr>
                <w:rFonts w:ascii="Arial" w:eastAsia="Arial" w:hAnsi="Arial" w:cs="Arial"/>
              </w:rPr>
            </w:pPr>
            <w:r>
              <w:rPr>
                <w:rFonts w:ascii="Arial" w:eastAsia="Arial" w:hAnsi="Arial" w:cs="Arial"/>
              </w:rPr>
              <w:t>Stable parliamentary democracy and strict rule of law. The UK–EU Trade and Cooperation Agreement (Gov.UK).</w:t>
            </w:r>
          </w:p>
        </w:tc>
        <w:tc>
          <w:tcPr>
            <w:tcW w:w="199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0F356CDF" w14:textId="77777777" w:rsidR="009E1B2A" w:rsidRDefault="00F77981">
            <w:pPr>
              <w:jc w:val="left"/>
              <w:rPr>
                <w:rFonts w:ascii="Arial" w:eastAsia="Arial" w:hAnsi="Arial" w:cs="Arial"/>
              </w:rPr>
            </w:pPr>
            <w:r>
              <w:rPr>
                <w:rFonts w:ascii="Arial" w:eastAsia="Arial" w:hAnsi="Arial" w:cs="Arial"/>
              </w:rPr>
              <w:t>High</w:t>
            </w:r>
          </w:p>
        </w:tc>
      </w:tr>
      <w:tr w:rsidR="009E1B2A" w14:paraId="27CCD263" w14:textId="77777777">
        <w:trPr>
          <w:trHeight w:val="1515"/>
        </w:trPr>
        <w:tc>
          <w:tcPr>
            <w:tcW w:w="162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48AEE2D5" w14:textId="77777777" w:rsidR="009E1B2A" w:rsidRDefault="00F77981">
            <w:pPr>
              <w:jc w:val="left"/>
              <w:rPr>
                <w:rFonts w:ascii="Arial" w:eastAsia="Arial" w:hAnsi="Arial" w:cs="Arial"/>
                <w:b/>
                <w:bCs/>
              </w:rPr>
            </w:pPr>
            <w:r>
              <w:rPr>
                <w:rFonts w:ascii="Arial" w:eastAsia="Arial" w:hAnsi="Arial" w:cs="Arial"/>
                <w:b/>
                <w:bCs/>
              </w:rPr>
              <w:t>Economic</w:t>
            </w:r>
          </w:p>
        </w:tc>
        <w:tc>
          <w:tcPr>
            <w:tcW w:w="283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7840E330" w14:textId="77777777" w:rsidR="009E1B2A" w:rsidRDefault="00F77981">
            <w:pPr>
              <w:jc w:val="left"/>
              <w:rPr>
                <w:rFonts w:ascii="Arial" w:eastAsia="Arial" w:hAnsi="Arial" w:cs="Arial"/>
              </w:rPr>
            </w:pPr>
            <w:r>
              <w:rPr>
                <w:rFonts w:ascii="Arial" w:eastAsia="Arial" w:hAnsi="Arial" w:cs="Arial"/>
              </w:rPr>
              <w:t>GDP growth around 6% to 7%, population above 1.4  billion, large differences in household income (World Bank, 2025)</w:t>
            </w:r>
          </w:p>
        </w:tc>
        <w:tc>
          <w:tcPr>
            <w:tcW w:w="2970" w:type="dxa"/>
            <w:tcBorders>
              <w:top w:val="single" w:sz="12" w:space="0" w:color="000000"/>
              <w:left w:val="single" w:sz="12" w:space="0" w:color="000000"/>
              <w:bottom w:val="single" w:sz="12" w:space="0" w:color="000000"/>
              <w:right w:val="single" w:sz="12" w:space="0" w:color="000000"/>
            </w:tcBorders>
            <w:tcMar>
              <w:top w:w="20" w:type="dxa"/>
              <w:left w:w="20" w:type="dxa"/>
              <w:bottom w:w="20" w:type="dxa"/>
              <w:right w:w="20" w:type="dxa"/>
            </w:tcMar>
          </w:tcPr>
          <w:p w14:paraId="6C589229" w14:textId="77777777" w:rsidR="009E1B2A" w:rsidRDefault="00F77981">
            <w:pPr>
              <w:rPr>
                <w:rFonts w:ascii="Arial" w:eastAsia="Arial" w:hAnsi="Arial" w:cs="Arial"/>
              </w:rPr>
            </w:pPr>
            <w:r>
              <w:rPr>
                <w:rFonts w:ascii="Arial" w:eastAsia="Arial" w:hAnsi="Arial" w:cs="Arial"/>
              </w:rPr>
              <w:t>GDP growth was approximately 0.6% in 2024, with growth projected at around 1.2% in 2025. The population is approximately 68 million. (ONS, 2025)</w:t>
            </w:r>
          </w:p>
        </w:tc>
        <w:tc>
          <w:tcPr>
            <w:tcW w:w="199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1CEC1420" w14:textId="77777777" w:rsidR="009E1B2A" w:rsidRDefault="00F77981">
            <w:pPr>
              <w:jc w:val="left"/>
              <w:rPr>
                <w:rFonts w:ascii="Arial" w:eastAsia="Arial" w:hAnsi="Arial" w:cs="Arial"/>
              </w:rPr>
            </w:pPr>
            <w:r>
              <w:rPr>
                <w:rFonts w:ascii="Arial" w:eastAsia="Arial" w:hAnsi="Arial" w:cs="Arial"/>
              </w:rPr>
              <w:t>Low</w:t>
            </w:r>
          </w:p>
        </w:tc>
      </w:tr>
      <w:tr w:rsidR="009E1B2A" w14:paraId="6AA366E1" w14:textId="77777777">
        <w:trPr>
          <w:trHeight w:val="1875"/>
        </w:trPr>
        <w:tc>
          <w:tcPr>
            <w:tcW w:w="162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77AFF3BB" w14:textId="77777777" w:rsidR="009E1B2A" w:rsidRDefault="00F77981">
            <w:pPr>
              <w:jc w:val="left"/>
              <w:rPr>
                <w:rFonts w:ascii="Arial" w:eastAsia="Arial" w:hAnsi="Arial" w:cs="Arial"/>
                <w:b/>
                <w:bCs/>
              </w:rPr>
            </w:pPr>
            <w:r>
              <w:rPr>
                <w:rFonts w:ascii="Arial" w:eastAsia="Arial" w:hAnsi="Arial" w:cs="Arial"/>
                <w:b/>
                <w:bCs/>
              </w:rPr>
              <w:t>Social</w:t>
            </w:r>
          </w:p>
        </w:tc>
        <w:tc>
          <w:tcPr>
            <w:tcW w:w="283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34264FFC" w14:textId="77777777" w:rsidR="009E1B2A" w:rsidRDefault="00F77981">
            <w:pPr>
              <w:jc w:val="left"/>
              <w:rPr>
                <w:rFonts w:ascii="Arial" w:eastAsia="Arial" w:hAnsi="Arial" w:cs="Arial"/>
              </w:rPr>
            </w:pPr>
            <w:r>
              <w:rPr>
                <w:rFonts w:ascii="Arial" w:eastAsia="Arial" w:hAnsi="Arial" w:cs="Arial"/>
              </w:rPr>
              <w:t xml:space="preserve">Population above 1.4 billion, approximately 65% under age 35, strong cultural diversity and gifting/festival consumption (PIB, 2026) </w:t>
            </w:r>
          </w:p>
        </w:tc>
        <w:tc>
          <w:tcPr>
            <w:tcW w:w="2970" w:type="dxa"/>
            <w:tcBorders>
              <w:top w:val="single" w:sz="12" w:space="0" w:color="000000"/>
              <w:left w:val="single" w:sz="12" w:space="0" w:color="000000"/>
              <w:bottom w:val="single" w:sz="12" w:space="0" w:color="000000"/>
              <w:right w:val="single" w:sz="12" w:space="0" w:color="000000"/>
            </w:tcBorders>
            <w:tcMar>
              <w:top w:w="20" w:type="dxa"/>
              <w:left w:w="20" w:type="dxa"/>
              <w:bottom w:w="20" w:type="dxa"/>
              <w:right w:w="20" w:type="dxa"/>
            </w:tcMar>
          </w:tcPr>
          <w:p w14:paraId="3CD7448C" w14:textId="77777777" w:rsidR="009E1B2A" w:rsidRDefault="00F77981">
            <w:pPr>
              <w:rPr>
                <w:rFonts w:ascii="Arial" w:eastAsia="Arial" w:hAnsi="Arial" w:cs="Arial"/>
              </w:rPr>
            </w:pPr>
            <w:r>
              <w:rPr>
                <w:rFonts w:ascii="Arial" w:eastAsia="Arial" w:hAnsi="Arial" w:cs="Arial"/>
              </w:rPr>
              <w:t>Population of around 68 million, with approximately 18% aged over 65 (ONS, 2025).</w:t>
            </w:r>
          </w:p>
        </w:tc>
        <w:tc>
          <w:tcPr>
            <w:tcW w:w="199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296D8C12" w14:textId="77777777" w:rsidR="009E1B2A" w:rsidRDefault="00F77981">
            <w:pPr>
              <w:jc w:val="left"/>
              <w:rPr>
                <w:rFonts w:ascii="Arial" w:eastAsia="Arial" w:hAnsi="Arial" w:cs="Arial"/>
              </w:rPr>
            </w:pPr>
            <w:r>
              <w:rPr>
                <w:rFonts w:ascii="Arial" w:eastAsia="Arial" w:hAnsi="Arial" w:cs="Arial"/>
              </w:rPr>
              <w:t>Moderate</w:t>
            </w:r>
          </w:p>
        </w:tc>
      </w:tr>
      <w:tr w:rsidR="009E1B2A" w14:paraId="023B98AE" w14:textId="77777777">
        <w:trPr>
          <w:trHeight w:val="1515"/>
        </w:trPr>
        <w:tc>
          <w:tcPr>
            <w:tcW w:w="162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19AEA580" w14:textId="77777777" w:rsidR="009E1B2A" w:rsidRDefault="00F77981">
            <w:pPr>
              <w:jc w:val="left"/>
              <w:rPr>
                <w:rFonts w:ascii="Arial" w:eastAsia="Arial" w:hAnsi="Arial" w:cs="Arial"/>
                <w:b/>
                <w:bCs/>
              </w:rPr>
            </w:pPr>
            <w:r>
              <w:rPr>
                <w:rFonts w:ascii="Arial" w:eastAsia="Arial" w:hAnsi="Arial" w:cs="Arial"/>
                <w:b/>
                <w:bCs/>
              </w:rPr>
              <w:t>Technological</w:t>
            </w:r>
          </w:p>
        </w:tc>
        <w:tc>
          <w:tcPr>
            <w:tcW w:w="283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5C0FD838" w14:textId="77777777" w:rsidR="009E1B2A" w:rsidRDefault="00F77981">
            <w:pPr>
              <w:jc w:val="left"/>
              <w:rPr>
                <w:rFonts w:ascii="Arial" w:eastAsia="Arial" w:hAnsi="Arial" w:cs="Arial"/>
              </w:rPr>
            </w:pPr>
            <w:r>
              <w:rPr>
                <w:rFonts w:ascii="Arial" w:eastAsia="Arial" w:hAnsi="Arial" w:cs="Arial"/>
              </w:rPr>
              <w:t>More than 800 million internet users, rapid growth of e-commerce and digital payments (ITA, 2024)</w:t>
            </w:r>
          </w:p>
        </w:tc>
        <w:tc>
          <w:tcPr>
            <w:tcW w:w="2970" w:type="dxa"/>
            <w:tcBorders>
              <w:top w:val="single" w:sz="12" w:space="0" w:color="000000"/>
              <w:left w:val="single" w:sz="12" w:space="0" w:color="000000"/>
              <w:bottom w:val="single" w:sz="12" w:space="0" w:color="000000"/>
              <w:right w:val="single" w:sz="12" w:space="0" w:color="000000"/>
            </w:tcBorders>
            <w:tcMar>
              <w:top w:w="20" w:type="dxa"/>
              <w:left w:w="20" w:type="dxa"/>
              <w:bottom w:w="20" w:type="dxa"/>
              <w:right w:w="20" w:type="dxa"/>
            </w:tcMar>
          </w:tcPr>
          <w:p w14:paraId="66E6C970" w14:textId="77777777" w:rsidR="009E1B2A" w:rsidRDefault="00F77981">
            <w:pPr>
              <w:rPr>
                <w:rFonts w:ascii="Arial" w:eastAsia="Arial" w:hAnsi="Arial" w:cs="Arial"/>
              </w:rPr>
            </w:pPr>
            <w:r>
              <w:rPr>
                <w:rFonts w:ascii="Arial" w:eastAsia="Arial" w:hAnsi="Arial" w:cs="Arial"/>
              </w:rPr>
              <w:t>More than 94% of UK households have internet access, supporting high levels of digital engagement and e-commerce adoption (Statista, 2020)</w:t>
            </w:r>
          </w:p>
        </w:tc>
        <w:tc>
          <w:tcPr>
            <w:tcW w:w="199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3ECAB982" w14:textId="77777777" w:rsidR="009E1B2A" w:rsidRDefault="00F77981">
            <w:pPr>
              <w:jc w:val="left"/>
              <w:rPr>
                <w:rFonts w:ascii="Arial" w:eastAsia="Arial" w:hAnsi="Arial" w:cs="Arial"/>
              </w:rPr>
            </w:pPr>
            <w:r>
              <w:rPr>
                <w:rFonts w:ascii="Arial" w:eastAsia="Arial" w:hAnsi="Arial" w:cs="Arial"/>
              </w:rPr>
              <w:t>High</w:t>
            </w:r>
          </w:p>
        </w:tc>
      </w:tr>
      <w:tr w:rsidR="009E1B2A" w14:paraId="34C335EF" w14:textId="77777777">
        <w:trPr>
          <w:trHeight w:val="1875"/>
        </w:trPr>
        <w:tc>
          <w:tcPr>
            <w:tcW w:w="162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435D06A1" w14:textId="77777777" w:rsidR="009E1B2A" w:rsidRDefault="00F77981">
            <w:pPr>
              <w:jc w:val="left"/>
              <w:rPr>
                <w:rFonts w:ascii="Arial" w:eastAsia="Arial" w:hAnsi="Arial" w:cs="Arial"/>
                <w:b/>
                <w:bCs/>
              </w:rPr>
            </w:pPr>
            <w:r>
              <w:rPr>
                <w:rFonts w:ascii="Arial" w:eastAsia="Arial" w:hAnsi="Arial" w:cs="Arial"/>
                <w:b/>
                <w:bCs/>
              </w:rPr>
              <w:t>Environmental</w:t>
            </w:r>
          </w:p>
        </w:tc>
        <w:tc>
          <w:tcPr>
            <w:tcW w:w="283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62D429E7" w14:textId="77777777" w:rsidR="009E1B2A" w:rsidRDefault="00F77981">
            <w:pPr>
              <w:jc w:val="left"/>
              <w:rPr>
                <w:rFonts w:ascii="Arial" w:eastAsia="Arial" w:hAnsi="Arial" w:cs="Arial"/>
              </w:rPr>
            </w:pPr>
            <w:r>
              <w:rPr>
                <w:rFonts w:ascii="Arial" w:eastAsia="Arial" w:hAnsi="Arial" w:cs="Arial"/>
              </w:rPr>
              <w:t>Environment (Protection) Act 1986, Plastic Waste Management Rules 2016, increasing pressure on sustainable packaging (CPCB, 2026)</w:t>
            </w:r>
          </w:p>
        </w:tc>
        <w:tc>
          <w:tcPr>
            <w:tcW w:w="2970" w:type="dxa"/>
            <w:tcBorders>
              <w:top w:val="single" w:sz="12" w:space="0" w:color="000000"/>
              <w:left w:val="single" w:sz="12" w:space="0" w:color="000000"/>
              <w:bottom w:val="single" w:sz="12" w:space="0" w:color="000000"/>
              <w:right w:val="single" w:sz="12" w:space="0" w:color="000000"/>
            </w:tcBorders>
            <w:tcMar>
              <w:top w:w="20" w:type="dxa"/>
              <w:left w:w="20" w:type="dxa"/>
              <w:bottom w:w="20" w:type="dxa"/>
              <w:right w:w="20" w:type="dxa"/>
            </w:tcMar>
          </w:tcPr>
          <w:p w14:paraId="0058647B" w14:textId="77777777" w:rsidR="009E1B2A" w:rsidRDefault="00F77981">
            <w:pPr>
              <w:rPr>
                <w:rFonts w:ascii="Arial" w:eastAsia="Arial" w:hAnsi="Arial" w:cs="Arial"/>
              </w:rPr>
            </w:pPr>
            <w:r>
              <w:rPr>
                <w:rFonts w:ascii="Arial" w:eastAsia="Arial" w:hAnsi="Arial" w:cs="Arial"/>
              </w:rPr>
              <w:t>The UK has a legally binding Net Zero target for 2050 under the Climate Change Act 2008 (as amended). The Environment Act 2021 strengthens requirements relating to waste management, biodiversity and resource efficiency (UK Government, 2026).</w:t>
            </w:r>
          </w:p>
        </w:tc>
        <w:tc>
          <w:tcPr>
            <w:tcW w:w="199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5A1362D4" w14:textId="77777777" w:rsidR="009E1B2A" w:rsidRDefault="00F77981">
            <w:pPr>
              <w:jc w:val="left"/>
              <w:rPr>
                <w:rFonts w:ascii="Arial" w:eastAsia="Arial" w:hAnsi="Arial" w:cs="Arial"/>
              </w:rPr>
            </w:pPr>
            <w:r>
              <w:rPr>
                <w:rFonts w:ascii="Arial" w:eastAsia="Arial" w:hAnsi="Arial" w:cs="Arial"/>
              </w:rPr>
              <w:t>Moderate</w:t>
            </w:r>
          </w:p>
        </w:tc>
      </w:tr>
      <w:tr w:rsidR="009E1B2A" w14:paraId="44BFC13F" w14:textId="77777777">
        <w:trPr>
          <w:trHeight w:val="2235"/>
        </w:trPr>
        <w:tc>
          <w:tcPr>
            <w:tcW w:w="162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3FF8EEA9" w14:textId="77777777" w:rsidR="009E1B2A" w:rsidRDefault="00F77981">
            <w:pPr>
              <w:jc w:val="left"/>
              <w:rPr>
                <w:rFonts w:ascii="Arial" w:eastAsia="Arial" w:hAnsi="Arial" w:cs="Arial"/>
                <w:b/>
                <w:bCs/>
              </w:rPr>
            </w:pPr>
            <w:r>
              <w:rPr>
                <w:rFonts w:ascii="Arial" w:eastAsia="Arial" w:hAnsi="Arial" w:cs="Arial"/>
                <w:b/>
                <w:bCs/>
              </w:rPr>
              <w:t>Legal</w:t>
            </w:r>
          </w:p>
        </w:tc>
        <w:tc>
          <w:tcPr>
            <w:tcW w:w="283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4BE8A542" w14:textId="77777777" w:rsidR="009E1B2A" w:rsidRDefault="00F77981">
            <w:pPr>
              <w:jc w:val="left"/>
              <w:rPr>
                <w:rFonts w:ascii="Arial" w:eastAsia="Arial" w:hAnsi="Arial" w:cs="Arial"/>
              </w:rPr>
            </w:pPr>
            <w:r>
              <w:rPr>
                <w:rFonts w:ascii="Arial" w:eastAsia="Arial" w:hAnsi="Arial" w:cs="Arial"/>
              </w:rPr>
              <w:t>Food Safety and Standards Act 2006, Consumer Protection Act 2019, Legal Metrology Act 2009 (DCA, 2024)</w:t>
            </w:r>
          </w:p>
        </w:tc>
        <w:tc>
          <w:tcPr>
            <w:tcW w:w="2970" w:type="dxa"/>
            <w:tcBorders>
              <w:top w:val="single" w:sz="12" w:space="0" w:color="000000"/>
              <w:left w:val="single" w:sz="12" w:space="0" w:color="000000"/>
              <w:bottom w:val="single" w:sz="12" w:space="0" w:color="000000"/>
              <w:right w:val="single" w:sz="12" w:space="0" w:color="000000"/>
            </w:tcBorders>
            <w:tcMar>
              <w:top w:w="20" w:type="dxa"/>
              <w:left w:w="20" w:type="dxa"/>
              <w:bottom w:w="20" w:type="dxa"/>
              <w:right w:w="20" w:type="dxa"/>
            </w:tcMar>
          </w:tcPr>
          <w:p w14:paraId="3718A2FA" w14:textId="77777777" w:rsidR="009E1B2A" w:rsidRDefault="00F77981">
            <w:pPr>
              <w:rPr>
                <w:rFonts w:ascii="Arial" w:eastAsia="Arial" w:hAnsi="Arial" w:cs="Arial"/>
              </w:rPr>
            </w:pPr>
            <w:r>
              <w:rPr>
                <w:rFonts w:ascii="Arial" w:eastAsia="Arial" w:hAnsi="Arial" w:cs="Arial"/>
              </w:rPr>
              <w:t>The Food Information Regulations 2014 require clear food and allergen labelling. The Advertising Standards Authority (ASA) regulates advertising through requirements for truthful, responsible and non-misleading marketing (UK Government, 2026).</w:t>
            </w:r>
          </w:p>
        </w:tc>
        <w:tc>
          <w:tcPr>
            <w:tcW w:w="199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47312E08" w14:textId="77777777" w:rsidR="009E1B2A" w:rsidRDefault="00F77981">
            <w:pPr>
              <w:jc w:val="left"/>
              <w:rPr>
                <w:rFonts w:ascii="Arial" w:eastAsia="Arial" w:hAnsi="Arial" w:cs="Arial"/>
              </w:rPr>
            </w:pPr>
            <w:r>
              <w:rPr>
                <w:rFonts w:ascii="Arial" w:eastAsia="Arial" w:hAnsi="Arial" w:cs="Arial"/>
              </w:rPr>
              <w:t>High</w:t>
            </w:r>
          </w:p>
        </w:tc>
      </w:tr>
    </w:tbl>
    <w:p w14:paraId="0B656DA6" w14:textId="77777777" w:rsidR="009E1B2A" w:rsidRDefault="00F77981">
      <w:pPr>
        <w:jc w:val="center"/>
        <w:rPr>
          <w:rFonts w:ascii="Arial" w:eastAsia="Arial" w:hAnsi="Arial" w:cs="Arial"/>
          <w:b/>
          <w:bCs/>
        </w:rPr>
      </w:pPr>
      <w:r>
        <w:rPr>
          <w:rFonts w:ascii="Arial" w:eastAsia="Arial" w:hAnsi="Arial" w:cs="Arial"/>
          <w:b/>
          <w:bCs/>
        </w:rPr>
        <w:t>Table 1: PESTLE Analysis</w:t>
      </w:r>
    </w:p>
    <w:p w14:paraId="4D2C3206" w14:textId="77777777" w:rsidR="009E1B2A" w:rsidRDefault="00F77981">
      <w:pPr>
        <w:jc w:val="center"/>
        <w:rPr>
          <w:rFonts w:ascii="Arial" w:eastAsia="Arial" w:hAnsi="Arial" w:cs="Arial"/>
        </w:rPr>
      </w:pPr>
      <w:r>
        <w:rPr>
          <w:rFonts w:ascii="Arial" w:eastAsia="Arial" w:hAnsi="Arial" w:cs="Arial"/>
        </w:rPr>
        <w:t>(Source: Self-Developed)</w:t>
      </w:r>
    </w:p>
    <w:p w14:paraId="3387FD47" w14:textId="77777777" w:rsidR="009E1B2A" w:rsidRDefault="00F77981">
      <w:pPr>
        <w:rPr>
          <w:rFonts w:ascii="Arial" w:eastAsia="Arial" w:hAnsi="Arial" w:cs="Arial"/>
        </w:rPr>
      </w:pPr>
      <w:r>
        <w:rPr>
          <w:rFonts w:ascii="Arial" w:eastAsia="Arial" w:hAnsi="Arial" w:cs="Arial"/>
        </w:rPr>
        <w:t>The industrial/macro environmental factors differ significantly in Cadbury in India and the UK. India with a population over 1.4 billion is an economy of high growth rates, immense cultural variety, huge population and lots of potential that needs to be exploited. Price discrimination can address the need for pricing and differentiation of products while segmentation can aid product variation for consumers across the various geographies and cultures to cater the differences and promotional mix through appropriate strategies can target the segments accordingly. It also lays down significant provisions of the Food Safety and Standards Act 2006, the Legal Metrology Act 2009 and the Consumer Protection Act 2019. Contrary to that, the UK's population is about 68 million, and its purchasing power and the sophistication of the confectionery market are much higher and more developed than in other countries.</w:t>
      </w:r>
    </w:p>
    <w:p w14:paraId="030C5241" w14:textId="77777777" w:rsidR="009E1B2A" w:rsidRDefault="00F77981">
      <w:pPr>
        <w:rPr>
          <w:rFonts w:ascii="Arial" w:eastAsia="Arial" w:hAnsi="Arial" w:cs="Arial"/>
          <w:b/>
          <w:bCs/>
        </w:rPr>
      </w:pPr>
      <w:r>
        <w:rPr>
          <w:rFonts w:ascii="Arial" w:eastAsia="Arial" w:hAnsi="Arial" w:cs="Arial"/>
          <w:b/>
          <w:bCs/>
        </w:rPr>
        <w:t>Hofstede Cultural Analysis of India and the United Kingdom</w:t>
      </w:r>
    </w:p>
    <w:p w14:paraId="0ABC49B4" w14:textId="77777777" w:rsidR="009E1B2A" w:rsidRDefault="00F77981">
      <w:pPr>
        <w:rPr>
          <w:rFonts w:ascii="Arial" w:eastAsia="Arial" w:hAnsi="Arial" w:cs="Arial"/>
          <w:b/>
          <w:bCs/>
        </w:rPr>
      </w:pPr>
      <w:r>
        <w:rPr>
          <w:rFonts w:ascii="Arial" w:eastAsia="Arial" w:hAnsi="Arial" w:cs="Arial"/>
          <w:b/>
          <w:bCs/>
          <w:noProof/>
        </w:rPr>
        <w:drawing>
          <wp:inline distT="114300" distB="114300" distL="114300" distR="114300" wp14:anchorId="3D147BDA" wp14:editId="55E031DD">
            <wp:extent cx="5943600" cy="4406900"/>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943600" cy="4406900"/>
                    </a:xfrm>
                    <a:prstGeom prst="rect">
                      <a:avLst/>
                    </a:prstGeom>
                    <a:ln/>
                  </pic:spPr>
                </pic:pic>
              </a:graphicData>
            </a:graphic>
          </wp:inline>
        </w:drawing>
      </w:r>
    </w:p>
    <w:p w14:paraId="746439CF" w14:textId="77777777" w:rsidR="009E1B2A" w:rsidRDefault="00F77981">
      <w:pPr>
        <w:jc w:val="center"/>
        <w:rPr>
          <w:rFonts w:ascii="Arial" w:eastAsia="Arial" w:hAnsi="Arial" w:cs="Arial"/>
          <w:b/>
          <w:bCs/>
        </w:rPr>
      </w:pPr>
      <w:r>
        <w:rPr>
          <w:rFonts w:ascii="Arial" w:eastAsia="Arial" w:hAnsi="Arial" w:cs="Arial"/>
          <w:b/>
          <w:bCs/>
        </w:rPr>
        <w:t>Figure 1: Hofstede’s Cultural Dimensions</w:t>
      </w:r>
    </w:p>
    <w:p w14:paraId="440AAC9B" w14:textId="77777777" w:rsidR="009E1B2A" w:rsidRDefault="00F77981">
      <w:pPr>
        <w:jc w:val="center"/>
        <w:rPr>
          <w:rFonts w:ascii="Arial" w:eastAsia="Arial" w:hAnsi="Arial" w:cs="Arial"/>
        </w:rPr>
      </w:pPr>
      <w:r>
        <w:rPr>
          <w:rFonts w:ascii="Arial" w:eastAsia="Arial" w:hAnsi="Arial" w:cs="Arial"/>
        </w:rPr>
        <w:t xml:space="preserve">(Source: Hofstede Insights, 2025) </w:t>
      </w:r>
    </w:p>
    <w:p w14:paraId="688C8EF2" w14:textId="77777777" w:rsidR="009E1B2A" w:rsidRDefault="00F77981">
      <w:pPr>
        <w:rPr>
          <w:rFonts w:ascii="Arial" w:eastAsia="Arial" w:hAnsi="Arial" w:cs="Arial"/>
        </w:rPr>
      </w:pPr>
      <w:r>
        <w:rPr>
          <w:rFonts w:ascii="Arial" w:eastAsia="Arial" w:hAnsi="Arial" w:cs="Arial"/>
        </w:rPr>
        <w:t xml:space="preserve">The key cultural differences found in Hofstede's framework may affect Cadbury's marketing strategy internationally. India's Power Distance (PDI) of 77 is greater than the 35 of the United Kingdom, which means that it accepts more inequalities in the power relationship and hierarchy. This could help to promote stronger marketing messages based on families and authorities. One of the major contrasts is that Individualism (IDV) is 24 in India and 76 in the UK (Hofstede Insights, 2025). One of the main factors that affects Indian consumers is that of relative and social relationships; thus, gifting and consumption are relevant to Cadbury's positioning, while UK consumers radiate individualism, favouring personal choice and rewarding messages. India is anointed with a large Masculinity (MAS) score of 56 when compared with the UK at 66, which indicates that while working together and creating a quality of life is more supported in India, working smartly and competitively is more important in the US. India [UAI] = 40 and the United Kingdom [UAI] = 35, which means that uncertainty avoidance is similar across these countries. India scores a 51 on Long Term Orientation (LTO) against an American score of 60, indicating some more future-oriented and pragmatic tendencies in the Indian population. Last but not least, Indulgence (IVR) in India is 26 while it's 69 (higher) in the US, which shows that the UK customers are more comfortable enjoying and satisfying. </w:t>
      </w:r>
    </w:p>
    <w:p w14:paraId="7354D58B" w14:textId="77777777" w:rsidR="009E1B2A" w:rsidRDefault="00F77981">
      <w:pPr>
        <w:rPr>
          <w:rFonts w:ascii="Arial" w:eastAsia="Arial" w:hAnsi="Arial" w:cs="Arial"/>
        </w:rPr>
      </w:pPr>
      <w:r>
        <w:rPr>
          <w:rFonts w:ascii="Arial" w:eastAsia="Arial" w:hAnsi="Arial" w:cs="Arial"/>
        </w:rPr>
        <w:t>The “differential” aspect of the cultural differences has a direct connection to how Cadbury needs to design their customer experience and communication needs. The relative collectivist bent in India also allows for greater strategic value of social proof and family approval as well as family consumption moments. With these sorts of images, Cadbury can campaign, for example, people using the products together (around weddings, festivals and family celebrations). The UK can go towards the opposite extreme of individualism and have campaigns focus on personal choice, personal expression and giving individual rewards, while Cadbury reinforces its own image as providing personal moments instead of mostly social moments.</w:t>
      </w:r>
    </w:p>
    <w:p w14:paraId="18912A76" w14:textId="77777777" w:rsidR="009E1B2A" w:rsidRDefault="00F77981">
      <w:pPr>
        <w:rPr>
          <w:rFonts w:ascii="Arial" w:eastAsia="Arial" w:hAnsi="Arial" w:cs="Arial"/>
        </w:rPr>
      </w:pPr>
      <w:r>
        <w:rPr>
          <w:rFonts w:ascii="Arial" w:eastAsia="Arial" w:hAnsi="Arial" w:cs="Arial"/>
        </w:rPr>
        <w:t xml:space="preserve">The gap between long-term time orientation is also a factor to consider regarding the brand relationship (Seyed Kalali, 2022). The messages it can communicate concerning tradition, continuity and long term relationship could influence Indian consumers more positively thus allowing Cadbury to maintain its Indian tradition and continuous presence in India while in contrast the consumer at UK would be much more prone to deal with newness, short-term promotion benefits and Instant gratification (Shou </w:t>
      </w:r>
      <w:r>
        <w:rPr>
          <w:rFonts w:ascii="Arial" w:eastAsia="Arial" w:hAnsi="Arial" w:cs="Arial"/>
          <w:i/>
          <w:iCs/>
        </w:rPr>
        <w:t>et al</w:t>
      </w:r>
      <w:r>
        <w:rPr>
          <w:rFonts w:ascii="Arial" w:eastAsia="Arial" w:hAnsi="Arial" w:cs="Arial"/>
        </w:rPr>
        <w:t xml:space="preserve">., 2025) And the change in the area of indulgence offers another rationale for variations in timing of promotions and content of promotions. Cadbury might be able to sell consumption in the context of culturally resonant events and ‘enjoyment in moderation ’, whereas UK campaigns can be more overt about ‘treats', 'fun' and 'consumption on the spur of the moment'. </w:t>
      </w:r>
    </w:p>
    <w:p w14:paraId="1416B92D" w14:textId="77777777" w:rsidR="009E1B2A" w:rsidRDefault="00F77981">
      <w:pPr>
        <w:pStyle w:val="Heading2"/>
        <w:rPr>
          <w:rFonts w:ascii="Arial" w:eastAsia="Arial" w:hAnsi="Arial" w:cs="Arial"/>
        </w:rPr>
      </w:pPr>
      <w:bookmarkStart w:id="3" w:name="_qgsbrinf9q2w" w:colFirst="0" w:colLast="0"/>
      <w:bookmarkEnd w:id="3"/>
      <w:r>
        <w:rPr>
          <w:rFonts w:ascii="Arial" w:eastAsia="Arial" w:hAnsi="Arial" w:cs="Arial"/>
        </w:rPr>
        <w:t>3. Comparative Analysis of STP and International Marketing Mix</w:t>
      </w:r>
    </w:p>
    <w:p w14:paraId="46CAB1B0" w14:textId="77777777" w:rsidR="009E1B2A" w:rsidRDefault="00F77981">
      <w:pPr>
        <w:rPr>
          <w:rFonts w:ascii="Arial" w:eastAsia="Arial" w:hAnsi="Arial" w:cs="Arial"/>
        </w:rPr>
      </w:pPr>
      <w:r>
        <w:rPr>
          <w:rFonts w:ascii="Arial" w:eastAsia="Arial" w:hAnsi="Arial" w:cs="Arial"/>
          <w:b/>
          <w:bCs/>
        </w:rPr>
        <w:t>Segmentation, Targeting and Positioning (STP)</w:t>
      </w:r>
    </w:p>
    <w:tbl>
      <w:tblPr>
        <w:tblStyle w:val="a0"/>
        <w:tblW w:w="9270" w:type="dxa"/>
        <w:tblInd w:w="0" w:type="dxa"/>
        <w:tblBorders>
          <w:top w:val="single" w:sz="9" w:space="0" w:color="000000"/>
          <w:left w:val="single" w:sz="9" w:space="0" w:color="000000"/>
          <w:bottom w:val="single" w:sz="9" w:space="0" w:color="000000"/>
          <w:right w:val="single" w:sz="9" w:space="0" w:color="000000"/>
          <w:insideH w:val="single" w:sz="9" w:space="0" w:color="000000"/>
          <w:insideV w:val="single" w:sz="9" w:space="0" w:color="000000"/>
        </w:tblBorders>
        <w:tblLayout w:type="fixed"/>
        <w:tblLook w:val="0600" w:firstRow="0" w:lastRow="0" w:firstColumn="0" w:lastColumn="0" w:noHBand="1" w:noVBand="1"/>
      </w:tblPr>
      <w:tblGrid>
        <w:gridCol w:w="1680"/>
        <w:gridCol w:w="3315"/>
        <w:gridCol w:w="4275"/>
      </w:tblGrid>
      <w:tr w:rsidR="009E1B2A" w14:paraId="41DF6277" w14:textId="77777777">
        <w:trPr>
          <w:trHeight w:val="795"/>
        </w:trPr>
        <w:tc>
          <w:tcPr>
            <w:tcW w:w="168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690F8B92" w14:textId="77777777" w:rsidR="009E1B2A" w:rsidRDefault="00F77981">
            <w:pPr>
              <w:jc w:val="center"/>
              <w:rPr>
                <w:rFonts w:ascii="Arial" w:eastAsia="Arial" w:hAnsi="Arial" w:cs="Arial"/>
                <w:b/>
                <w:bCs/>
              </w:rPr>
            </w:pPr>
            <w:r>
              <w:rPr>
                <w:rFonts w:ascii="Arial" w:eastAsia="Arial" w:hAnsi="Arial" w:cs="Arial"/>
                <w:b/>
                <w:bCs/>
              </w:rPr>
              <w:t>Segmentation Type</w:t>
            </w:r>
          </w:p>
        </w:tc>
        <w:tc>
          <w:tcPr>
            <w:tcW w:w="331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146A49B1" w14:textId="77777777" w:rsidR="009E1B2A" w:rsidRDefault="00F77981">
            <w:pPr>
              <w:jc w:val="center"/>
              <w:rPr>
                <w:rFonts w:ascii="Arial" w:eastAsia="Arial" w:hAnsi="Arial" w:cs="Arial"/>
                <w:b/>
                <w:bCs/>
              </w:rPr>
            </w:pPr>
            <w:r>
              <w:rPr>
                <w:rFonts w:ascii="Arial" w:eastAsia="Arial" w:hAnsi="Arial" w:cs="Arial"/>
                <w:b/>
                <w:bCs/>
              </w:rPr>
              <w:t>India</w:t>
            </w:r>
          </w:p>
        </w:tc>
        <w:tc>
          <w:tcPr>
            <w:tcW w:w="427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4C99C31F" w14:textId="77777777" w:rsidR="009E1B2A" w:rsidRDefault="00F77981">
            <w:pPr>
              <w:jc w:val="center"/>
              <w:rPr>
                <w:rFonts w:ascii="Arial" w:eastAsia="Arial" w:hAnsi="Arial" w:cs="Arial"/>
                <w:b/>
                <w:bCs/>
              </w:rPr>
            </w:pPr>
            <w:r>
              <w:rPr>
                <w:rFonts w:ascii="Arial" w:eastAsia="Arial" w:hAnsi="Arial" w:cs="Arial"/>
                <w:b/>
                <w:bCs/>
              </w:rPr>
              <w:t>United Kingdom</w:t>
            </w:r>
          </w:p>
        </w:tc>
      </w:tr>
      <w:tr w:rsidR="009E1B2A" w14:paraId="4938DFCF" w14:textId="77777777">
        <w:trPr>
          <w:trHeight w:val="1515"/>
        </w:trPr>
        <w:tc>
          <w:tcPr>
            <w:tcW w:w="168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31D13FC8" w14:textId="77777777" w:rsidR="009E1B2A" w:rsidRDefault="00F77981">
            <w:pPr>
              <w:jc w:val="left"/>
              <w:rPr>
                <w:rFonts w:ascii="Arial" w:eastAsia="Arial" w:hAnsi="Arial" w:cs="Arial"/>
                <w:b/>
                <w:bCs/>
              </w:rPr>
            </w:pPr>
            <w:r>
              <w:rPr>
                <w:rFonts w:ascii="Arial" w:eastAsia="Arial" w:hAnsi="Arial" w:cs="Arial"/>
                <w:b/>
                <w:bCs/>
              </w:rPr>
              <w:t>Demographic</w:t>
            </w:r>
          </w:p>
        </w:tc>
        <w:tc>
          <w:tcPr>
            <w:tcW w:w="331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4388993F" w14:textId="77777777" w:rsidR="009E1B2A" w:rsidRDefault="00F77981">
            <w:pPr>
              <w:jc w:val="left"/>
              <w:rPr>
                <w:rFonts w:ascii="Arial" w:eastAsia="Arial" w:hAnsi="Arial" w:cs="Arial"/>
              </w:rPr>
            </w:pPr>
            <w:r>
              <w:rPr>
                <w:rFonts w:ascii="Arial" w:eastAsia="Arial" w:hAnsi="Arial" w:cs="Arial"/>
              </w:rPr>
              <w:t>8 to 40, lower-middle and higher income consumers.</w:t>
            </w:r>
          </w:p>
        </w:tc>
        <w:tc>
          <w:tcPr>
            <w:tcW w:w="427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6A6BEB90" w14:textId="77777777" w:rsidR="009E1B2A" w:rsidRDefault="00F77981">
            <w:pPr>
              <w:jc w:val="left"/>
              <w:rPr>
                <w:rFonts w:ascii="Arial" w:eastAsia="Arial" w:hAnsi="Arial" w:cs="Arial"/>
              </w:rPr>
            </w:pPr>
            <w:r>
              <w:rPr>
                <w:rFonts w:ascii="Arial" w:eastAsia="Arial" w:hAnsi="Arial" w:cs="Arial"/>
              </w:rPr>
              <w:t>8 to 40, lower-middle and higher income consumers.</w:t>
            </w:r>
          </w:p>
        </w:tc>
      </w:tr>
      <w:tr w:rsidR="009E1B2A" w14:paraId="150FF76C" w14:textId="77777777">
        <w:trPr>
          <w:trHeight w:val="1515"/>
        </w:trPr>
        <w:tc>
          <w:tcPr>
            <w:tcW w:w="168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25EEE2A4" w14:textId="77777777" w:rsidR="009E1B2A" w:rsidRDefault="00F77981">
            <w:pPr>
              <w:jc w:val="left"/>
              <w:rPr>
                <w:rFonts w:ascii="Arial" w:eastAsia="Arial" w:hAnsi="Arial" w:cs="Arial"/>
                <w:b/>
                <w:bCs/>
              </w:rPr>
            </w:pPr>
            <w:r>
              <w:rPr>
                <w:rFonts w:ascii="Arial" w:eastAsia="Arial" w:hAnsi="Arial" w:cs="Arial"/>
                <w:b/>
                <w:bCs/>
              </w:rPr>
              <w:t>Geographic</w:t>
            </w:r>
          </w:p>
        </w:tc>
        <w:tc>
          <w:tcPr>
            <w:tcW w:w="331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58796A45" w14:textId="77777777" w:rsidR="009E1B2A" w:rsidRDefault="00F77981">
            <w:pPr>
              <w:jc w:val="left"/>
              <w:rPr>
                <w:rFonts w:ascii="Arial" w:eastAsia="Arial" w:hAnsi="Arial" w:cs="Arial"/>
              </w:rPr>
            </w:pPr>
            <w:r>
              <w:rPr>
                <w:rFonts w:ascii="Arial" w:eastAsia="Arial" w:hAnsi="Arial" w:cs="Arial"/>
              </w:rPr>
              <w:t>Metropolitan cities, Tier-2 cities and rural markets.</w:t>
            </w:r>
          </w:p>
        </w:tc>
        <w:tc>
          <w:tcPr>
            <w:tcW w:w="427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44EEB7DA" w14:textId="77777777" w:rsidR="009E1B2A" w:rsidRDefault="00F77981">
            <w:pPr>
              <w:jc w:val="left"/>
              <w:rPr>
                <w:rFonts w:ascii="Arial" w:eastAsia="Arial" w:hAnsi="Arial" w:cs="Arial"/>
              </w:rPr>
            </w:pPr>
            <w:r>
              <w:rPr>
                <w:rFonts w:ascii="Arial" w:eastAsia="Arial" w:hAnsi="Arial" w:cs="Arial"/>
              </w:rPr>
              <w:t>Metropolitan, suburban and regional markets.</w:t>
            </w:r>
          </w:p>
        </w:tc>
      </w:tr>
      <w:tr w:rsidR="009E1B2A" w14:paraId="25C7359D" w14:textId="77777777">
        <w:trPr>
          <w:trHeight w:val="1515"/>
        </w:trPr>
        <w:tc>
          <w:tcPr>
            <w:tcW w:w="168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209399D1" w14:textId="77777777" w:rsidR="009E1B2A" w:rsidRDefault="00F77981">
            <w:pPr>
              <w:jc w:val="left"/>
              <w:rPr>
                <w:rFonts w:ascii="Arial" w:eastAsia="Arial" w:hAnsi="Arial" w:cs="Arial"/>
                <w:b/>
                <w:bCs/>
              </w:rPr>
            </w:pPr>
            <w:r>
              <w:rPr>
                <w:rFonts w:ascii="Arial" w:eastAsia="Arial" w:hAnsi="Arial" w:cs="Arial"/>
                <w:b/>
                <w:bCs/>
              </w:rPr>
              <w:t>Psychographic</w:t>
            </w:r>
          </w:p>
        </w:tc>
        <w:tc>
          <w:tcPr>
            <w:tcW w:w="331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5980A783" w14:textId="77777777" w:rsidR="009E1B2A" w:rsidRDefault="00F77981">
            <w:pPr>
              <w:jc w:val="left"/>
              <w:rPr>
                <w:rFonts w:ascii="Arial" w:eastAsia="Arial" w:hAnsi="Arial" w:cs="Arial"/>
              </w:rPr>
            </w:pPr>
            <w:r>
              <w:rPr>
                <w:rFonts w:ascii="Arial" w:eastAsia="Arial" w:hAnsi="Arial" w:cs="Arial"/>
              </w:rPr>
              <w:t>Family-oriented, relationship-focused, gifting and celebration-driven consumers.</w:t>
            </w:r>
          </w:p>
        </w:tc>
        <w:tc>
          <w:tcPr>
            <w:tcW w:w="427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37A73C75" w14:textId="77777777" w:rsidR="009E1B2A" w:rsidRDefault="00F77981">
            <w:pPr>
              <w:jc w:val="left"/>
              <w:rPr>
                <w:rFonts w:ascii="Arial" w:eastAsia="Arial" w:hAnsi="Arial" w:cs="Arial"/>
              </w:rPr>
            </w:pPr>
            <w:r>
              <w:rPr>
                <w:rFonts w:ascii="Arial" w:eastAsia="Arial" w:hAnsi="Arial" w:cs="Arial"/>
              </w:rPr>
              <w:t>Individualistic, indulgence-focused, quality- and lifestyle-oriented consumers.</w:t>
            </w:r>
          </w:p>
        </w:tc>
      </w:tr>
      <w:tr w:rsidR="009E1B2A" w14:paraId="55882755" w14:textId="77777777">
        <w:trPr>
          <w:trHeight w:val="1515"/>
        </w:trPr>
        <w:tc>
          <w:tcPr>
            <w:tcW w:w="168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66608B18" w14:textId="77777777" w:rsidR="009E1B2A" w:rsidRDefault="00F77981">
            <w:pPr>
              <w:jc w:val="left"/>
              <w:rPr>
                <w:rFonts w:ascii="Arial" w:eastAsia="Arial" w:hAnsi="Arial" w:cs="Arial"/>
                <w:b/>
                <w:bCs/>
              </w:rPr>
            </w:pPr>
            <w:r>
              <w:rPr>
                <w:rFonts w:ascii="Arial" w:eastAsia="Arial" w:hAnsi="Arial" w:cs="Arial"/>
                <w:b/>
                <w:bCs/>
              </w:rPr>
              <w:t>Behavioural</w:t>
            </w:r>
          </w:p>
        </w:tc>
        <w:tc>
          <w:tcPr>
            <w:tcW w:w="331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20C5075D" w14:textId="77777777" w:rsidR="009E1B2A" w:rsidRDefault="00F77981">
            <w:pPr>
              <w:jc w:val="left"/>
              <w:rPr>
                <w:rFonts w:ascii="Arial" w:eastAsia="Arial" w:hAnsi="Arial" w:cs="Arial"/>
              </w:rPr>
            </w:pPr>
            <w:r>
              <w:rPr>
                <w:rFonts w:ascii="Arial" w:eastAsia="Arial" w:hAnsi="Arial" w:cs="Arial"/>
              </w:rPr>
              <w:t>Regular snackers, gifting purchasers, brand-loyal consumers and price-sensitive buyers, strong festival purchasing.</w:t>
            </w:r>
          </w:p>
        </w:tc>
        <w:tc>
          <w:tcPr>
            <w:tcW w:w="427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41B846FD" w14:textId="77777777" w:rsidR="009E1B2A" w:rsidRDefault="00F77981">
            <w:pPr>
              <w:jc w:val="left"/>
              <w:rPr>
                <w:rFonts w:ascii="Arial" w:eastAsia="Arial" w:hAnsi="Arial" w:cs="Arial"/>
              </w:rPr>
            </w:pPr>
            <w:r>
              <w:rPr>
                <w:rFonts w:ascii="Arial" w:eastAsia="Arial" w:hAnsi="Arial" w:cs="Arial"/>
              </w:rPr>
              <w:t>Regular snackers, impulse buyers, self-reward consumers, brand-loyal and premium-product buyers.</w:t>
            </w:r>
          </w:p>
        </w:tc>
      </w:tr>
    </w:tbl>
    <w:p w14:paraId="6359D665" w14:textId="77777777" w:rsidR="009E1B2A" w:rsidRDefault="00F77981">
      <w:pPr>
        <w:jc w:val="center"/>
        <w:rPr>
          <w:rFonts w:ascii="Arial" w:eastAsia="Arial" w:hAnsi="Arial" w:cs="Arial"/>
          <w:b/>
          <w:bCs/>
        </w:rPr>
      </w:pPr>
      <w:r>
        <w:rPr>
          <w:rFonts w:ascii="Arial" w:eastAsia="Arial" w:hAnsi="Arial" w:cs="Arial"/>
          <w:b/>
          <w:bCs/>
        </w:rPr>
        <w:t>Table 2: Segmentation Table</w:t>
      </w:r>
    </w:p>
    <w:p w14:paraId="0882DDD3" w14:textId="77777777" w:rsidR="009E1B2A" w:rsidRDefault="00F77981">
      <w:pPr>
        <w:jc w:val="center"/>
        <w:rPr>
          <w:rFonts w:ascii="Arial" w:eastAsia="Arial" w:hAnsi="Arial" w:cs="Arial"/>
        </w:rPr>
      </w:pPr>
      <w:r>
        <w:rPr>
          <w:rFonts w:ascii="Arial" w:eastAsia="Arial" w:hAnsi="Arial" w:cs="Arial"/>
        </w:rPr>
        <w:t>(Source: Self-Developed)</w:t>
      </w:r>
    </w:p>
    <w:p w14:paraId="1F84A82B" w14:textId="77777777" w:rsidR="009E1B2A" w:rsidRDefault="00F77981">
      <w:pPr>
        <w:rPr>
          <w:rFonts w:ascii="Arial" w:eastAsia="Arial" w:hAnsi="Arial" w:cs="Arial"/>
        </w:rPr>
      </w:pPr>
      <w:r>
        <w:rPr>
          <w:rFonts w:ascii="Arial" w:eastAsia="Arial" w:hAnsi="Arial" w:cs="Arial"/>
        </w:rPr>
        <w:t xml:space="preserve">Cadbury should be segmented in their respective markets according to the differences between their demographic, geographic, psychographic and behavioural characteristics in India and the UK. Demographically, Cadbury can focus on a variety of age groups and income groups and make available products within the reach of others in India, while premium products cater to a higher purchasing power in the UK (Mohapatro, 2025). Geographically, the market in India is highly fragmented and different consumer preferences across the geographic regions make it more change-prone as compared to the UK market, where the market can be segmented by states, urban markets, and retail stores (Akinrinoye </w:t>
      </w:r>
      <w:r>
        <w:rPr>
          <w:rFonts w:ascii="Arial" w:eastAsia="Arial" w:hAnsi="Arial" w:cs="Arial"/>
          <w:i/>
          <w:iCs/>
        </w:rPr>
        <w:t>et al</w:t>
      </w:r>
      <w:r>
        <w:rPr>
          <w:rFonts w:ascii="Arial" w:eastAsia="Arial" w:hAnsi="Arial" w:cs="Arial"/>
        </w:rPr>
        <w:t xml:space="preserve">., 2020). </w:t>
      </w:r>
      <w:r>
        <w:rPr>
          <w:rFonts w:ascii="Arial" w:eastAsia="Arial" w:hAnsi="Arial" w:cs="Arial"/>
          <w:b/>
          <w:bCs/>
        </w:rPr>
        <w:t>Targeting</w:t>
      </w:r>
      <w:r>
        <w:rPr>
          <w:rFonts w:ascii="Arial" w:eastAsia="Arial" w:hAnsi="Arial" w:cs="Arial"/>
        </w:rPr>
        <w:t xml:space="preserve"> allows Cadbury to focus its marketing on India's mass-market and occasional consumers while focusing on UK consumers who want to indulge in confectionery products, plus their premium and convenient experience. </w:t>
      </w:r>
    </w:p>
    <w:p w14:paraId="3F343C28" w14:textId="77777777" w:rsidR="009E1B2A" w:rsidRDefault="00F77981">
      <w:pPr>
        <w:rPr>
          <w:rFonts w:ascii="Arial" w:eastAsia="Arial" w:hAnsi="Arial" w:cs="Arial"/>
        </w:rPr>
      </w:pPr>
      <w:r>
        <w:rPr>
          <w:rFonts w:ascii="Arial" w:eastAsia="Arial" w:hAnsi="Arial" w:cs="Arial"/>
          <w:noProof/>
        </w:rPr>
        <w:drawing>
          <wp:inline distT="114300" distB="114300" distL="114300" distR="114300" wp14:anchorId="14E5C9B3" wp14:editId="4E778668">
            <wp:extent cx="5943600" cy="44196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943600" cy="4419600"/>
                    </a:xfrm>
                    <a:prstGeom prst="rect">
                      <a:avLst/>
                    </a:prstGeom>
                    <a:ln/>
                  </pic:spPr>
                </pic:pic>
              </a:graphicData>
            </a:graphic>
          </wp:inline>
        </w:drawing>
      </w:r>
    </w:p>
    <w:p w14:paraId="51F4AFC2" w14:textId="77777777" w:rsidR="009E1B2A" w:rsidRDefault="00F77981">
      <w:pPr>
        <w:jc w:val="center"/>
        <w:rPr>
          <w:rFonts w:ascii="Arial" w:eastAsia="Arial" w:hAnsi="Arial" w:cs="Arial"/>
          <w:b/>
          <w:bCs/>
        </w:rPr>
      </w:pPr>
      <w:r>
        <w:rPr>
          <w:rFonts w:ascii="Arial" w:eastAsia="Arial" w:hAnsi="Arial" w:cs="Arial"/>
          <w:b/>
          <w:bCs/>
        </w:rPr>
        <w:t>Figure 2: Indian Chocolates and Cadbury Positioning</w:t>
      </w:r>
    </w:p>
    <w:p w14:paraId="33078E87" w14:textId="77777777" w:rsidR="009E1B2A" w:rsidRDefault="00F77981">
      <w:pPr>
        <w:jc w:val="center"/>
        <w:rPr>
          <w:rFonts w:ascii="Arial" w:eastAsia="Arial" w:hAnsi="Arial" w:cs="Arial"/>
        </w:rPr>
      </w:pPr>
      <w:r>
        <w:rPr>
          <w:rFonts w:ascii="Arial" w:eastAsia="Arial" w:hAnsi="Arial" w:cs="Arial"/>
        </w:rPr>
        <w:t>(Source: Self-Developed)</w:t>
      </w:r>
    </w:p>
    <w:p w14:paraId="43F39DD8" w14:textId="77777777" w:rsidR="009E1B2A" w:rsidRDefault="00F77981">
      <w:pPr>
        <w:rPr>
          <w:rFonts w:ascii="Arial" w:eastAsia="Arial" w:hAnsi="Arial" w:cs="Arial"/>
        </w:rPr>
      </w:pPr>
      <w:r>
        <w:rPr>
          <w:rFonts w:ascii="Arial" w:eastAsia="Arial" w:hAnsi="Arial" w:cs="Arial"/>
        </w:rPr>
        <w:t>As seen above, the balance of positioning in India is therefore between awareness of the global brand and its local relevance (Vaziri, Llonch-Andreu and López-Belbeze, 2021). Cadbury's positioning can lead to their true use by man, either emotional or social, together, at holidays and for gifts in India. Cadbury is in a strong position in the higher price and high quality segment of the India positioning map, while the competitors are in different quality and price segments. The share of market size with respect to a well-known brand in the industry along with the presence and knowledge Indian consumers possess, in-addition with a variety of products to sell, and all-inclusive equity a brand like Cadbury will own along with knowledge to Indian customers possessed on its existence that's been building it up.</w:t>
      </w:r>
    </w:p>
    <w:p w14:paraId="73FB4846" w14:textId="77777777" w:rsidR="009E1B2A" w:rsidRDefault="00F77981">
      <w:pPr>
        <w:jc w:val="center"/>
        <w:rPr>
          <w:rFonts w:ascii="Arial" w:eastAsia="Arial" w:hAnsi="Arial" w:cs="Arial"/>
        </w:rPr>
      </w:pPr>
      <w:r>
        <w:rPr>
          <w:rFonts w:ascii="Arial" w:eastAsia="Arial" w:hAnsi="Arial" w:cs="Arial"/>
          <w:noProof/>
        </w:rPr>
        <w:drawing>
          <wp:inline distT="114300" distB="114300" distL="114300" distR="114300" wp14:anchorId="5A6C2E54" wp14:editId="033A3199">
            <wp:extent cx="5943600" cy="44577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43600" cy="4457700"/>
                    </a:xfrm>
                    <a:prstGeom prst="rect">
                      <a:avLst/>
                    </a:prstGeom>
                    <a:ln/>
                  </pic:spPr>
                </pic:pic>
              </a:graphicData>
            </a:graphic>
          </wp:inline>
        </w:drawing>
      </w:r>
    </w:p>
    <w:p w14:paraId="0A109959" w14:textId="77777777" w:rsidR="009E1B2A" w:rsidRDefault="00F77981">
      <w:pPr>
        <w:jc w:val="center"/>
        <w:rPr>
          <w:rFonts w:ascii="Arial" w:eastAsia="Arial" w:hAnsi="Arial" w:cs="Arial"/>
          <w:b/>
          <w:bCs/>
        </w:rPr>
      </w:pPr>
      <w:r>
        <w:rPr>
          <w:rFonts w:ascii="Arial" w:eastAsia="Arial" w:hAnsi="Arial" w:cs="Arial"/>
          <w:b/>
          <w:bCs/>
        </w:rPr>
        <w:t>Figure 3: UK Chocolates and Cadbury Positioning</w:t>
      </w:r>
    </w:p>
    <w:p w14:paraId="39D79ECF" w14:textId="77777777" w:rsidR="009E1B2A" w:rsidRDefault="00F77981">
      <w:pPr>
        <w:jc w:val="center"/>
        <w:rPr>
          <w:rFonts w:ascii="Arial" w:eastAsia="Arial" w:hAnsi="Arial" w:cs="Arial"/>
        </w:rPr>
      </w:pPr>
      <w:r>
        <w:rPr>
          <w:rFonts w:ascii="Arial" w:eastAsia="Arial" w:hAnsi="Arial" w:cs="Arial"/>
        </w:rPr>
        <w:t>(Source: Self-Developed)</w:t>
      </w:r>
    </w:p>
    <w:p w14:paraId="1FF43CE0" w14:textId="77777777" w:rsidR="009E1B2A" w:rsidRDefault="00F77981">
      <w:pPr>
        <w:rPr>
          <w:rFonts w:ascii="Arial" w:eastAsia="Arial" w:hAnsi="Arial" w:cs="Arial"/>
        </w:rPr>
      </w:pPr>
      <w:r>
        <w:rPr>
          <w:rFonts w:ascii="Arial" w:eastAsia="Arial" w:hAnsi="Arial" w:cs="Arial"/>
        </w:rPr>
        <w:t>According to the above image, positioning in the UK can be more about the taste, quality, indulgence and the enjoyment of each individual. This illustrates that an effective international STP strategy is not one and the same world strategy and that adaptation is essential. This illustrates Cadbury's robust quality, accessibility and market reputation in the UK.</w:t>
      </w:r>
    </w:p>
    <w:p w14:paraId="77D01066" w14:textId="77777777" w:rsidR="009E1B2A" w:rsidRDefault="00F77981">
      <w:pPr>
        <w:rPr>
          <w:rFonts w:ascii="Arial" w:eastAsia="Arial" w:hAnsi="Arial" w:cs="Arial"/>
          <w:b/>
          <w:bCs/>
        </w:rPr>
      </w:pPr>
      <w:r>
        <w:rPr>
          <w:rFonts w:ascii="Arial" w:eastAsia="Arial" w:hAnsi="Arial" w:cs="Arial"/>
          <w:b/>
          <w:bCs/>
        </w:rPr>
        <w:t>International Marketing Mix (7Ps)</w:t>
      </w:r>
    </w:p>
    <w:p w14:paraId="04120DA6" w14:textId="77777777" w:rsidR="009E1B2A" w:rsidRDefault="00F77981">
      <w:pPr>
        <w:rPr>
          <w:rFonts w:ascii="Arial" w:eastAsia="Arial" w:hAnsi="Arial" w:cs="Arial"/>
          <w:b/>
          <w:bCs/>
        </w:rPr>
      </w:pPr>
      <w:r>
        <w:rPr>
          <w:rFonts w:ascii="Arial" w:eastAsia="Arial" w:hAnsi="Arial" w:cs="Arial"/>
          <w:b/>
          <w:bCs/>
        </w:rPr>
        <w:t>Product</w:t>
      </w:r>
    </w:p>
    <w:p w14:paraId="43A23EB2" w14:textId="77777777" w:rsidR="009E1B2A" w:rsidRDefault="00F77981">
      <w:pPr>
        <w:rPr>
          <w:rFonts w:ascii="Arial" w:eastAsia="Arial" w:hAnsi="Arial" w:cs="Arial"/>
        </w:rPr>
      </w:pPr>
      <w:r>
        <w:rPr>
          <w:rFonts w:ascii="Arial" w:eastAsia="Arial" w:hAnsi="Arial" w:cs="Arial"/>
        </w:rPr>
        <w:t>Cadbury has a consistent brand identity across the world but caters to local consumer needs by developing a product range accordingly (Aujla, 2026). For occasions such as birthdays and festivals, Dairy Milk products and packaging are well suited in India due to their association with sharing, relationships, giving and celebrations. Smaller pack formats may also reduce the financial burden and ease of accessibility for consumers who are interested in, but on a budget for, that pack (Jiménez Romanillos, Williams and Wever, 2024). Cadbury can focus more in the UK on indulgence, taste, product range and premium experiences.</w:t>
      </w:r>
    </w:p>
    <w:p w14:paraId="424BFEA4" w14:textId="77777777" w:rsidR="009E1B2A" w:rsidRDefault="00F77981">
      <w:pPr>
        <w:rPr>
          <w:rFonts w:ascii="Arial" w:eastAsia="Arial" w:hAnsi="Arial" w:cs="Arial"/>
          <w:b/>
          <w:bCs/>
        </w:rPr>
      </w:pPr>
      <w:r>
        <w:rPr>
          <w:rFonts w:ascii="Arial" w:eastAsia="Arial" w:hAnsi="Arial" w:cs="Arial"/>
          <w:b/>
          <w:bCs/>
        </w:rPr>
        <w:t>Price</w:t>
      </w:r>
    </w:p>
    <w:p w14:paraId="7874BA75" w14:textId="77777777" w:rsidR="009E1B2A" w:rsidRDefault="00F77981">
      <w:pPr>
        <w:rPr>
          <w:rFonts w:ascii="Arial" w:eastAsia="Arial" w:hAnsi="Arial" w:cs="Arial"/>
        </w:rPr>
      </w:pPr>
      <w:r>
        <w:rPr>
          <w:rFonts w:ascii="Arial" w:eastAsia="Arial" w:hAnsi="Arial" w:cs="Arial"/>
        </w:rPr>
        <w:t>Highly differentiated pricing should be based on the highly differentiated purchasing power and consumer sensitivity (Gonen, Tavor and Spiegel, 2024). Cadbury can offer a more affordable price and vary pack sizes in India to cater to all three demographics: middle-and high-income consumers. The smaller pack sizes can help stimulate trial and repeat purchases, and the higher value products can be directed at the higher end of the market and gift-giving situations.</w:t>
      </w:r>
    </w:p>
    <w:p w14:paraId="31221563" w14:textId="77777777" w:rsidR="009E1B2A" w:rsidRDefault="00F77981">
      <w:pPr>
        <w:rPr>
          <w:rFonts w:ascii="Arial" w:eastAsia="Arial" w:hAnsi="Arial" w:cs="Arial"/>
          <w:b/>
          <w:bCs/>
        </w:rPr>
      </w:pPr>
      <w:r>
        <w:rPr>
          <w:rFonts w:ascii="Arial" w:eastAsia="Arial" w:hAnsi="Arial" w:cs="Arial"/>
          <w:b/>
          <w:bCs/>
        </w:rPr>
        <w:t>Place</w:t>
      </w:r>
    </w:p>
    <w:p w14:paraId="039B4C9D" w14:textId="77777777" w:rsidR="009E1B2A" w:rsidRDefault="00F77981">
      <w:pPr>
        <w:rPr>
          <w:rFonts w:ascii="Arial" w:eastAsia="Arial" w:hAnsi="Arial" w:cs="Arial"/>
        </w:rPr>
      </w:pPr>
      <w:r>
        <w:rPr>
          <w:rFonts w:ascii="Arial" w:eastAsia="Arial" w:hAnsi="Arial" w:cs="Arial"/>
        </w:rPr>
        <w:t>India's distribution market must be wide, as consumers buy confectionery in supermarkets, convenience stores and, of course, through traditional retail stores and with more and more consumers coming in through the e-commerce route. Connecting to Tier-2 cities and rural markets is also crucial, in addition to the metros (Pallavi Utagi, 2023). Supermarkets, convenience stores, specialist stores and their online counterparts offer significant distribution opportunities in the United Kingdom (Alfnes, Ardebili and Viciunaite, 2024). It is especially helpful for seasonal and premium products when it comes to e-commerce.</w:t>
      </w:r>
    </w:p>
    <w:p w14:paraId="77D6C7BF" w14:textId="77777777" w:rsidR="009E1B2A" w:rsidRDefault="00F77981">
      <w:pPr>
        <w:rPr>
          <w:rFonts w:ascii="Arial" w:eastAsia="Arial" w:hAnsi="Arial" w:cs="Arial"/>
          <w:b/>
          <w:bCs/>
        </w:rPr>
      </w:pPr>
      <w:r>
        <w:rPr>
          <w:rFonts w:ascii="Arial" w:eastAsia="Arial" w:hAnsi="Arial" w:cs="Arial"/>
          <w:b/>
          <w:bCs/>
        </w:rPr>
        <w:t>Promotion</w:t>
      </w:r>
    </w:p>
    <w:p w14:paraId="05B9EABE" w14:textId="77777777" w:rsidR="009E1B2A" w:rsidRDefault="00F77981">
      <w:pPr>
        <w:rPr>
          <w:rFonts w:ascii="Arial" w:eastAsia="Arial" w:hAnsi="Arial" w:cs="Arial"/>
        </w:rPr>
      </w:pPr>
      <w:r>
        <w:rPr>
          <w:rFonts w:ascii="Arial" w:eastAsia="Arial" w:hAnsi="Arial" w:cs="Arial"/>
        </w:rPr>
        <w:t>Promotional messages must be culturally appropriate. Cadbury can highlight family, friends, giving, festivity and emotional relations, giving greater importance in India, where chocolate is associated with social events. Digital Campaigns aim at younger consumers, and traditional advertising keeps the mass market covered. Promotional communication in the UK can establish a keener emphasis on each person's enjoyment, indulgence, taste and personal reward (Bartulay, 2024).</w:t>
      </w:r>
    </w:p>
    <w:p w14:paraId="486F3458" w14:textId="77777777" w:rsidR="009E1B2A" w:rsidRDefault="00F77981">
      <w:pPr>
        <w:rPr>
          <w:rFonts w:ascii="Arial" w:eastAsia="Arial" w:hAnsi="Arial" w:cs="Arial"/>
          <w:b/>
          <w:bCs/>
        </w:rPr>
      </w:pPr>
      <w:r>
        <w:rPr>
          <w:rFonts w:ascii="Arial" w:eastAsia="Arial" w:hAnsi="Arial" w:cs="Arial"/>
          <w:b/>
          <w:bCs/>
        </w:rPr>
        <w:t>People</w:t>
      </w:r>
    </w:p>
    <w:p w14:paraId="6D37EC15" w14:textId="77777777" w:rsidR="009E1B2A" w:rsidRDefault="00F77981">
      <w:pPr>
        <w:rPr>
          <w:rFonts w:ascii="Arial" w:eastAsia="Arial" w:hAnsi="Arial" w:cs="Arial"/>
        </w:rPr>
      </w:pPr>
      <w:r>
        <w:rPr>
          <w:rFonts w:ascii="Arial" w:eastAsia="Arial" w:hAnsi="Arial" w:cs="Arial"/>
        </w:rPr>
        <w:t xml:space="preserve">Cadbury's employees, sales staff, distributors and customer service staff all play a role in the Cadbury experience. Staff have to deal with consumers who place greater emphasis on product information, quality, service and transparency in the UK (Alshurideh </w:t>
      </w:r>
      <w:r>
        <w:rPr>
          <w:rFonts w:ascii="Arial" w:eastAsia="Arial" w:hAnsi="Arial" w:cs="Arial"/>
          <w:i/>
          <w:iCs/>
        </w:rPr>
        <w:t>et al</w:t>
      </w:r>
      <w:r>
        <w:rPr>
          <w:rFonts w:ascii="Arial" w:eastAsia="Arial" w:hAnsi="Arial" w:cs="Arial"/>
        </w:rPr>
        <w:t>., 2022). Good training can then contribute to uniformity of services, and this can be supplemented with local responsiveness.</w:t>
      </w:r>
    </w:p>
    <w:p w14:paraId="1568D2D9" w14:textId="77777777" w:rsidR="009E1B2A" w:rsidRDefault="00F77981">
      <w:pPr>
        <w:rPr>
          <w:rFonts w:ascii="Arial" w:eastAsia="Arial" w:hAnsi="Arial" w:cs="Arial"/>
          <w:b/>
          <w:bCs/>
        </w:rPr>
      </w:pPr>
      <w:r>
        <w:rPr>
          <w:rFonts w:ascii="Arial" w:eastAsia="Arial" w:hAnsi="Arial" w:cs="Arial"/>
          <w:b/>
          <w:bCs/>
        </w:rPr>
        <w:t>Process</w:t>
      </w:r>
    </w:p>
    <w:p w14:paraId="716D93FD" w14:textId="77777777" w:rsidR="009E1B2A" w:rsidRDefault="00F77981">
      <w:pPr>
        <w:rPr>
          <w:rFonts w:ascii="Arial" w:eastAsia="Arial" w:hAnsi="Arial" w:cs="Arial"/>
        </w:rPr>
      </w:pPr>
      <w:r>
        <w:rPr>
          <w:rFonts w:ascii="Arial" w:eastAsia="Arial" w:hAnsi="Arial" w:cs="Arial"/>
        </w:rPr>
        <w:t>Cadbury needs a strong manufacturing ability, quality control measures, ordering and distribution system in both markets. But these processes have to meet the regulatory environment. Indian operations will need to comply with the Food Safety and Standards Act 2006, while UK operations will need to comply with fairly stringent requirements in food safety, food nutrition labelling, and food allergens (GOV.UK, 2026).</w:t>
      </w:r>
    </w:p>
    <w:p w14:paraId="13D343DA" w14:textId="77777777" w:rsidR="009E1B2A" w:rsidRDefault="00F77981">
      <w:pPr>
        <w:rPr>
          <w:rFonts w:ascii="Arial" w:eastAsia="Arial" w:hAnsi="Arial" w:cs="Arial"/>
          <w:b/>
          <w:bCs/>
        </w:rPr>
      </w:pPr>
      <w:r>
        <w:rPr>
          <w:rFonts w:ascii="Arial" w:eastAsia="Arial" w:hAnsi="Arial" w:cs="Arial"/>
          <w:b/>
          <w:bCs/>
        </w:rPr>
        <w:t>Physical Evidence</w:t>
      </w:r>
    </w:p>
    <w:p w14:paraId="2ADECE19" w14:textId="77777777" w:rsidR="009E1B2A" w:rsidRDefault="00F77981">
      <w:pPr>
        <w:rPr>
          <w:rFonts w:ascii="Arial" w:eastAsia="Arial" w:hAnsi="Arial" w:cs="Arial"/>
        </w:rPr>
      </w:pPr>
      <w:r>
        <w:rPr>
          <w:rFonts w:ascii="Arial" w:eastAsia="Arial" w:hAnsi="Arial" w:cs="Arial"/>
        </w:rPr>
        <w:t xml:space="preserve">Cadbury's brand quality is seen in packaging, retail displays, product presentation and digitally. Colourful packaging and gift-giving presentation can help strengthen the sense of celebration and emotion in the midst of the festivities in India. Packaging that is appealing and well done on point, and includes nutritional and allergy information, can add to the sense of trust in the  UK. </w:t>
      </w:r>
    </w:p>
    <w:p w14:paraId="40956EFF" w14:textId="77777777" w:rsidR="009E1B2A" w:rsidRDefault="00F77981">
      <w:pPr>
        <w:pStyle w:val="Heading2"/>
        <w:rPr>
          <w:rFonts w:ascii="Arial" w:eastAsia="Arial" w:hAnsi="Arial" w:cs="Arial"/>
        </w:rPr>
      </w:pPr>
      <w:bookmarkStart w:id="4" w:name="_ln8jvzw97bht" w:colFirst="0" w:colLast="0"/>
      <w:bookmarkEnd w:id="4"/>
      <w:r>
        <w:rPr>
          <w:rFonts w:ascii="Arial" w:eastAsia="Arial" w:hAnsi="Arial" w:cs="Arial"/>
        </w:rPr>
        <w:t>4. Market Entry Strategy in India</w:t>
      </w:r>
    </w:p>
    <w:p w14:paraId="3FD00547" w14:textId="77777777" w:rsidR="009E1B2A" w:rsidRDefault="00F77981">
      <w:pPr>
        <w:spacing w:before="240" w:after="40"/>
        <w:rPr>
          <w:rFonts w:ascii="Arial" w:eastAsia="Arial" w:hAnsi="Arial" w:cs="Arial"/>
          <w:b/>
          <w:bCs/>
        </w:rPr>
      </w:pPr>
      <w:r>
        <w:rPr>
          <w:rFonts w:ascii="Arial" w:eastAsia="Arial" w:hAnsi="Arial" w:cs="Arial"/>
          <w:b/>
          <w:bCs/>
        </w:rPr>
        <w:t>4.1 Cadbury’s Entry Strategy and Market Development in India</w:t>
      </w:r>
    </w:p>
    <w:p w14:paraId="2A674A10" w14:textId="77777777" w:rsidR="009E1B2A" w:rsidRDefault="00F77981">
      <w:pPr>
        <w:spacing w:before="240" w:after="40"/>
        <w:jc w:val="center"/>
        <w:rPr>
          <w:rFonts w:ascii="Arial" w:eastAsia="Arial" w:hAnsi="Arial" w:cs="Arial"/>
          <w:b/>
          <w:bCs/>
        </w:rPr>
      </w:pPr>
      <w:r>
        <w:rPr>
          <w:rFonts w:ascii="Arial" w:eastAsia="Arial" w:hAnsi="Arial" w:cs="Arial"/>
          <w:b/>
          <w:bCs/>
          <w:noProof/>
        </w:rPr>
        <w:drawing>
          <wp:inline distT="114300" distB="114300" distL="114300" distR="114300" wp14:anchorId="6A8D6F54" wp14:editId="4EF4E4ED">
            <wp:extent cx="3524250" cy="571500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3524250" cy="5715000"/>
                    </a:xfrm>
                    <a:prstGeom prst="rect">
                      <a:avLst/>
                    </a:prstGeom>
                    <a:ln/>
                  </pic:spPr>
                </pic:pic>
              </a:graphicData>
            </a:graphic>
          </wp:inline>
        </w:drawing>
      </w:r>
    </w:p>
    <w:p w14:paraId="57911669" w14:textId="77777777" w:rsidR="009E1B2A" w:rsidRDefault="00F77981">
      <w:pPr>
        <w:spacing w:before="240" w:after="40"/>
        <w:jc w:val="center"/>
        <w:rPr>
          <w:rFonts w:ascii="Arial" w:eastAsia="Arial" w:hAnsi="Arial" w:cs="Arial"/>
          <w:b/>
          <w:bCs/>
        </w:rPr>
      </w:pPr>
      <w:r>
        <w:rPr>
          <w:rFonts w:ascii="Arial" w:eastAsia="Arial" w:hAnsi="Arial" w:cs="Arial"/>
          <w:b/>
          <w:bCs/>
        </w:rPr>
        <w:t>Figure 4: Cadbury in India</w:t>
      </w:r>
    </w:p>
    <w:p w14:paraId="7415A8BC" w14:textId="77777777" w:rsidR="009E1B2A" w:rsidRDefault="00F77981">
      <w:pPr>
        <w:spacing w:before="240" w:after="40"/>
        <w:jc w:val="center"/>
        <w:rPr>
          <w:rFonts w:ascii="Arial" w:eastAsia="Arial" w:hAnsi="Arial" w:cs="Arial"/>
        </w:rPr>
      </w:pPr>
      <w:r>
        <w:rPr>
          <w:rFonts w:ascii="Arial" w:eastAsia="Arial" w:hAnsi="Arial" w:cs="Arial"/>
        </w:rPr>
        <w:t xml:space="preserve">(Source: Subramanian and Shukla, 2026) </w:t>
      </w:r>
    </w:p>
    <w:p w14:paraId="7DF73864" w14:textId="77777777" w:rsidR="009E1B2A" w:rsidRDefault="00F77981">
      <w:pPr>
        <w:rPr>
          <w:rFonts w:ascii="Arial" w:eastAsia="Arial" w:hAnsi="Arial" w:cs="Arial"/>
        </w:rPr>
      </w:pPr>
      <w:r>
        <w:rPr>
          <w:rFonts w:ascii="Arial" w:eastAsia="Arial" w:hAnsi="Arial" w:cs="Arial"/>
        </w:rPr>
        <w:t xml:space="preserve">The figure shows Cadbury’s strong position in India, with chocolates accounting for 69.7% market share, compared with 15% for milk food beverages, 8.5% for confectionery, 6.8% for cold beverages, 0.7% for biscuits and 5.5% for gum. Cadbury entered India in 1948 on an importing basis but was able to begin local production. It sought to gain the competence of local production, distribution and marketing to cater to a domestic market rather than seeking a future dependent solely on exports in the long run, with a strong local operation base. Local production also facilitated higher product availability control, quality and pricing, and helped the company effectively cater to the changing consumer demands (Arief Prayitno, 2024). Gradually, Cadbury diversified their business in India to go beyond the traditional use of chocolate, they started to create products and campaigns with local contexts to be used during local festivals, gifting or building relationships. The strategy progressed from selling in the market to how much localisation can be achieved, thus leading towards deeper market development and localisation. Cadbury's subsequent move to become part of Mondelēz International brought them access to the world's resources, technology and expertise, without giving up their core local expertise (Mondelēz International, 2024). </w:t>
      </w:r>
    </w:p>
    <w:p w14:paraId="103B5D86" w14:textId="77777777" w:rsidR="009E1B2A" w:rsidRDefault="00F77981">
      <w:pPr>
        <w:spacing w:before="240" w:after="40"/>
        <w:rPr>
          <w:rFonts w:ascii="Arial" w:eastAsia="Arial" w:hAnsi="Arial" w:cs="Arial"/>
          <w:b/>
          <w:bCs/>
        </w:rPr>
      </w:pPr>
      <w:r>
        <w:rPr>
          <w:rFonts w:ascii="Arial" w:eastAsia="Arial" w:hAnsi="Arial" w:cs="Arial"/>
          <w:b/>
          <w:bCs/>
        </w:rPr>
        <w:t>4.2 Rationale and Evaluation of the Entry Strategy</w:t>
      </w:r>
    </w:p>
    <w:p w14:paraId="507FA7A2" w14:textId="77777777" w:rsidR="009E1B2A" w:rsidRDefault="00F77981">
      <w:pPr>
        <w:spacing w:before="240" w:after="240"/>
        <w:rPr>
          <w:rFonts w:ascii="Arial" w:eastAsia="Arial" w:hAnsi="Arial" w:cs="Arial"/>
        </w:rPr>
      </w:pPr>
      <w:r>
        <w:rPr>
          <w:rFonts w:ascii="Arial" w:eastAsia="Arial" w:hAnsi="Arial" w:cs="Arial"/>
        </w:rPr>
        <w:t xml:space="preserve">The approach undertaken by Cadbury was appropriate as India was and potential huge market, but difficult to operate within. By establishing local capacities, the company's views on local preferences, distribution and adaptation will be gained, while exporting means relying significantly on the foreign importer and their preferences and requirements(Tsougkou </w:t>
      </w:r>
      <w:r>
        <w:rPr>
          <w:rFonts w:ascii="Arial" w:eastAsia="Arial" w:hAnsi="Arial" w:cs="Arial"/>
          <w:i/>
          <w:iCs/>
        </w:rPr>
        <w:t>et al</w:t>
      </w:r>
      <w:r>
        <w:rPr>
          <w:rFonts w:ascii="Arial" w:eastAsia="Arial" w:hAnsi="Arial" w:cs="Arial"/>
        </w:rPr>
        <w:t xml:space="preserve">., 2024). A local capacity allows learning about consumers' preferences, distribution and adaptation scope. It really is different relying on export and being dependent on the foreigner importer's perspective. Also allows some extent of self-sufficiency locally, more responsive to demands and less susceptible to global supply chains. An idea that proved more beneficial is the fact that Indian consumption of their chocolate is more subject to cultural events, family dynamics and affordability factors, and Cadbury had to adapt its marketing approach beyond a common approach to go global. Its powerful brand building has how-to tagging as much as the importance and effectiveness of international-local integration. But there were some drawbacks to the strategy, too. The great regional variation in India made it difficult to keep things consistent and run them successfully in each market; the varying income levels amongst the nation, and complex regulatory environment also made it difficult (Chakraborty, 2024). Cadbury has also had to deal with lots of competition nationally and internationally from the confectionery sector, and so solely having a presence in the market would not ensure their growth in the future. </w:t>
      </w:r>
    </w:p>
    <w:p w14:paraId="4C4ED668" w14:textId="77777777" w:rsidR="009E1B2A" w:rsidRDefault="00F77981">
      <w:pPr>
        <w:spacing w:before="240" w:after="40"/>
        <w:rPr>
          <w:rFonts w:ascii="Arial" w:eastAsia="Arial" w:hAnsi="Arial" w:cs="Arial"/>
          <w:b/>
          <w:bCs/>
        </w:rPr>
      </w:pPr>
      <w:r>
        <w:rPr>
          <w:rFonts w:ascii="Arial" w:eastAsia="Arial" w:hAnsi="Arial" w:cs="Arial"/>
          <w:b/>
          <w:bCs/>
        </w:rPr>
        <w:t>4.3 Strategic Implications for Cadbury’s Future International Expansion</w:t>
      </w:r>
    </w:p>
    <w:p w14:paraId="0784247C" w14:textId="77777777" w:rsidR="009E1B2A" w:rsidRDefault="00F77981">
      <w:pPr>
        <w:spacing w:before="240" w:after="40"/>
        <w:jc w:val="center"/>
        <w:rPr>
          <w:rFonts w:ascii="Arial" w:eastAsia="Arial" w:hAnsi="Arial" w:cs="Arial"/>
          <w:b/>
          <w:bCs/>
        </w:rPr>
      </w:pPr>
      <w:r>
        <w:rPr>
          <w:rFonts w:ascii="Arial" w:eastAsia="Arial" w:hAnsi="Arial" w:cs="Arial"/>
          <w:b/>
          <w:bCs/>
          <w:noProof/>
        </w:rPr>
        <w:drawing>
          <wp:inline distT="114300" distB="114300" distL="114300" distR="114300" wp14:anchorId="23FF28CC" wp14:editId="0ECCE5A4">
            <wp:extent cx="4805363" cy="2985459"/>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805363" cy="2985459"/>
                    </a:xfrm>
                    <a:prstGeom prst="rect">
                      <a:avLst/>
                    </a:prstGeom>
                    <a:ln/>
                  </pic:spPr>
                </pic:pic>
              </a:graphicData>
            </a:graphic>
          </wp:inline>
        </w:drawing>
      </w:r>
    </w:p>
    <w:p w14:paraId="73784E35" w14:textId="77777777" w:rsidR="009E1B2A" w:rsidRDefault="00F77981">
      <w:pPr>
        <w:spacing w:before="240" w:after="40"/>
        <w:jc w:val="center"/>
        <w:rPr>
          <w:rFonts w:ascii="Arial" w:eastAsia="Arial" w:hAnsi="Arial" w:cs="Arial"/>
          <w:b/>
          <w:bCs/>
        </w:rPr>
      </w:pPr>
      <w:r>
        <w:rPr>
          <w:rFonts w:ascii="Arial" w:eastAsia="Arial" w:hAnsi="Arial" w:cs="Arial"/>
          <w:b/>
          <w:bCs/>
        </w:rPr>
        <w:t>Figure 5: Cadbury Expansion Map</w:t>
      </w:r>
    </w:p>
    <w:p w14:paraId="695D4B0D" w14:textId="77777777" w:rsidR="009E1B2A" w:rsidRDefault="00F77981">
      <w:pPr>
        <w:spacing w:before="240" w:after="40"/>
        <w:jc w:val="center"/>
        <w:rPr>
          <w:rFonts w:ascii="Arial" w:eastAsia="Arial" w:hAnsi="Arial" w:cs="Arial"/>
        </w:rPr>
      </w:pPr>
      <w:r>
        <w:rPr>
          <w:rFonts w:ascii="Arial" w:eastAsia="Arial" w:hAnsi="Arial" w:cs="Arial"/>
        </w:rPr>
        <w:t xml:space="preserve">(Source: Cadbury, 2026) </w:t>
      </w:r>
    </w:p>
    <w:p w14:paraId="3B151F0B" w14:textId="77777777" w:rsidR="009E1B2A" w:rsidRDefault="00F77981">
      <w:pPr>
        <w:spacing w:before="240" w:after="240"/>
        <w:rPr>
          <w:rFonts w:ascii="Arial" w:eastAsia="Arial" w:hAnsi="Arial" w:cs="Arial"/>
        </w:rPr>
      </w:pPr>
      <w:r>
        <w:rPr>
          <w:rFonts w:ascii="Arial" w:eastAsia="Arial" w:hAnsi="Arial" w:cs="Arial"/>
        </w:rPr>
        <w:t xml:space="preserve">The map provided indicates that Cadbury rapidly expanded internationally as data trends indicated demand as well as available resources. Cadbury's past Indian operations reveal that appearing inviting, choosing a region in which to invest can be all that is necessary to have an entry, but capabilities must ensure long term relevance, with this regard being illustrated within a brand that operates transnationally by the success of a local operation in manufacturing, distributing knowledge, and using cultural relevant communication (Mehta, Ramanathan and Kulkarni, 2026) have instilled market advantage with the brand. For this reason Cadbury would need to scrutinize whether specific markets have sufficient potential to justify substantial internal investments as opposed to simply exporting products abroad, whilst considering cultural nuances and local buying power, as well as, regulatory frameworks and distribution access routes so as to inform the most appropriate entry method. This gradual approach could simplify unknown variables and align the company knowledge with market requirements while bridging the distance between Cadbury and all retail outlets and consumers (Panda, Maurya and Islam, 2021). </w:t>
      </w:r>
    </w:p>
    <w:p w14:paraId="3454C35C" w14:textId="77777777" w:rsidR="009E1B2A" w:rsidRDefault="00F77981">
      <w:pPr>
        <w:pStyle w:val="Heading2"/>
        <w:rPr>
          <w:rFonts w:ascii="Arial" w:eastAsia="Arial" w:hAnsi="Arial" w:cs="Arial"/>
        </w:rPr>
      </w:pPr>
      <w:bookmarkStart w:id="5" w:name="_yuph0t7xixf7" w:colFirst="0" w:colLast="0"/>
      <w:bookmarkEnd w:id="5"/>
      <w:r>
        <w:rPr>
          <w:rFonts w:ascii="Arial" w:eastAsia="Arial" w:hAnsi="Arial" w:cs="Arial"/>
        </w:rPr>
        <w:t>5. Ethical Issues Related to Cadbury’s Marketing Mix in India</w:t>
      </w:r>
    </w:p>
    <w:p w14:paraId="32D77C83" w14:textId="77777777" w:rsidR="009E1B2A" w:rsidRDefault="00F77981">
      <w:pPr>
        <w:spacing w:before="240" w:after="240"/>
        <w:rPr>
          <w:rFonts w:ascii="Arial" w:eastAsia="Arial" w:hAnsi="Arial" w:cs="Arial"/>
        </w:rPr>
      </w:pPr>
      <w:r>
        <w:rPr>
          <w:rFonts w:ascii="Arial" w:eastAsia="Arial" w:hAnsi="Arial" w:cs="Arial"/>
        </w:rPr>
        <w:t xml:space="preserve">The consumer issue during the Cadbury case involved the ethics regarding consumer protection, as well as whether misleading information was communicated to the public. Beyond the law, the Cadbury in Indian consumer case demonstrated that good ethical marketing included, consumer protection, clear communication, quality goods, responsible advertising, as well as social as well as environmentally friendly business practices (IRM India, 2021). The greatest of all concerns came at the moment where, in the year 2003 it was reported that worms were found in Cadbury’s dairy milk which created significant public worry and distress (IRM India, 2021). This caused much dismay in consumer perceptions, and showed the importance of sound manufacturing, storage, and packaging ethics, with steps including further development in Packaging, particularly security within packaging technology and extensive mass media communication to regain public trust, have been put in place as responses. </w:t>
      </w:r>
    </w:p>
    <w:p w14:paraId="0FD06A23" w14:textId="77777777" w:rsidR="009E1B2A" w:rsidRDefault="00F77981">
      <w:pPr>
        <w:spacing w:before="240" w:after="240"/>
        <w:rPr>
          <w:rFonts w:ascii="Arial" w:eastAsia="Arial" w:hAnsi="Arial" w:cs="Arial"/>
        </w:rPr>
      </w:pPr>
      <w:r>
        <w:rPr>
          <w:rFonts w:ascii="Arial" w:eastAsia="Arial" w:hAnsi="Arial" w:cs="Arial"/>
        </w:rPr>
        <w:t>In this the issue became much broader in as much that there was a general increase concern regarding food quality and customer defense when a more recent dispute regarding worm as well as fungus contamination took place over Cadbury chocolate in 2006, with regard to their product, which took on greater importance in context with the Food Safety and Standards Act 2006,which standardized the foods laws pertaining to food protection within India and offered specific standards for food manufacturing, distribution and selling practices (IES, 2026 ). This legislation can be related to such concepts as non-standard, deceptive advertisements as well as food not suitable for health, and is seen as a legislation creating both moral and legislative requirements. The latest installment Consumer Protection Act 2019 continued its commitment to protect against misleading advertising practices as well as unfair trades so as much of what Cadbury does in promotion communicates truthful practices.</w:t>
      </w:r>
    </w:p>
    <w:p w14:paraId="49846B33" w14:textId="77777777" w:rsidR="009E1B2A" w:rsidRDefault="009E1B2A">
      <w:pPr>
        <w:rPr>
          <w:rFonts w:ascii="Arial" w:eastAsia="Arial" w:hAnsi="Arial" w:cs="Arial"/>
        </w:rPr>
      </w:pPr>
    </w:p>
    <w:p w14:paraId="78115CFD" w14:textId="77777777" w:rsidR="009E1B2A" w:rsidRDefault="00F77981">
      <w:pPr>
        <w:jc w:val="center"/>
        <w:rPr>
          <w:rFonts w:ascii="Arial" w:eastAsia="Arial" w:hAnsi="Arial" w:cs="Arial"/>
        </w:rPr>
      </w:pPr>
      <w:r>
        <w:rPr>
          <w:rFonts w:ascii="Arial" w:eastAsia="Arial" w:hAnsi="Arial" w:cs="Arial"/>
          <w:noProof/>
        </w:rPr>
        <w:drawing>
          <wp:inline distT="114300" distB="114300" distL="114300" distR="114300" wp14:anchorId="65927BA6" wp14:editId="3F9E7C8D">
            <wp:extent cx="4267200" cy="364807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b="14126"/>
                    <a:stretch>
                      <a:fillRect/>
                    </a:stretch>
                  </pic:blipFill>
                  <pic:spPr>
                    <a:xfrm>
                      <a:off x="0" y="0"/>
                      <a:ext cx="4267200" cy="3648075"/>
                    </a:xfrm>
                    <a:prstGeom prst="rect">
                      <a:avLst/>
                    </a:prstGeom>
                    <a:ln/>
                  </pic:spPr>
                </pic:pic>
              </a:graphicData>
            </a:graphic>
          </wp:inline>
        </w:drawing>
      </w:r>
    </w:p>
    <w:p w14:paraId="4D295177" w14:textId="77777777" w:rsidR="009E1B2A" w:rsidRDefault="00F77981">
      <w:pPr>
        <w:jc w:val="center"/>
        <w:rPr>
          <w:rFonts w:ascii="Arial" w:eastAsia="Arial" w:hAnsi="Arial" w:cs="Arial"/>
          <w:b/>
          <w:bCs/>
        </w:rPr>
      </w:pPr>
      <w:r>
        <w:rPr>
          <w:rFonts w:ascii="Arial" w:eastAsia="Arial" w:hAnsi="Arial" w:cs="Arial"/>
          <w:b/>
          <w:bCs/>
        </w:rPr>
        <w:t>Figure 6: News Banner from Revant Himatsingka Scandal</w:t>
      </w:r>
    </w:p>
    <w:p w14:paraId="4527304D" w14:textId="77777777" w:rsidR="009E1B2A" w:rsidRDefault="00F77981">
      <w:pPr>
        <w:jc w:val="center"/>
        <w:rPr>
          <w:rFonts w:ascii="Arial" w:eastAsia="Arial" w:hAnsi="Arial" w:cs="Arial"/>
        </w:rPr>
      </w:pPr>
      <w:r>
        <w:rPr>
          <w:rFonts w:ascii="Arial" w:eastAsia="Arial" w:hAnsi="Arial" w:cs="Arial"/>
        </w:rPr>
        <w:t xml:space="preserve">(Source: Javaid, 2023) </w:t>
      </w:r>
    </w:p>
    <w:p w14:paraId="0B74CD4C" w14:textId="77777777" w:rsidR="009E1B2A" w:rsidRDefault="00F77981">
      <w:pPr>
        <w:rPr>
          <w:rFonts w:ascii="Arial" w:eastAsia="Arial" w:hAnsi="Arial" w:cs="Arial"/>
        </w:rPr>
      </w:pPr>
      <w:r>
        <w:rPr>
          <w:rFonts w:ascii="Arial" w:eastAsia="Arial" w:hAnsi="Arial" w:cs="Arial"/>
        </w:rPr>
        <w:t>As seen in the above image, Cadbury has seen controversy regarding another brand in its portfolio, Bournvita. Bournvita was criticised by the social-media personality, Revant Himatsingka, in 2023 for its sugar content and its positioning with regard to health (Press Trust of India, 2023). The debate elicited a huge audience response and ethical questions regarding the communication of products high in sugar content to parents and children. Bournvita is not a chocolate product, but the controversy is also relevant to the broader issue of marketing ethics at Cadbury (Gerrard, 2022). This is given the dangers that lie with nutritional communication and transparency with younger consumers and the health claims issue.</w:t>
      </w:r>
    </w:p>
    <w:p w14:paraId="1AF48F7D" w14:textId="77777777" w:rsidR="009E1B2A" w:rsidRDefault="00F77981">
      <w:pPr>
        <w:rPr>
          <w:rFonts w:ascii="Arial" w:eastAsia="Arial" w:hAnsi="Arial" w:cs="Arial"/>
        </w:rPr>
      </w:pPr>
      <w:r>
        <w:rPr>
          <w:rFonts w:ascii="Arial" w:eastAsia="Arial" w:hAnsi="Arial" w:cs="Arial"/>
        </w:rPr>
        <w:t>Promotion and targeting are also impacted by ethical issues. Emotional Advertising has been a successful strategy at Cadbury in India, which has traditionally linked friendship, family, celebration and happiness to Cadbury chocolate (YUP, 2025). This positioning can lead to firm relationships with the consumers, but marketing confectionery for the young ones is a certain responsibility, and children may be more easily influenced by persuasive approaches. Cadbury should therefore not suggest that the acceptance of a person into society, emotional wellness or success can be attained through the consumption of chocolate. Publicity campaigns should be well balanced and not be used as an incentive for overconsumption. A particular aspect that comes into play with the Food Safety and Standards Authority of India (FSSAI) framework is where food advertising and claims might furnish a misleading impression (Forbes, 2026).</w:t>
      </w:r>
    </w:p>
    <w:p w14:paraId="33316EB3" w14:textId="77777777" w:rsidR="009E1B2A" w:rsidRDefault="00F77981">
      <w:pPr>
        <w:rPr>
          <w:rFonts w:ascii="Arial" w:eastAsia="Arial" w:hAnsi="Arial" w:cs="Arial"/>
        </w:rPr>
      </w:pPr>
      <w:r>
        <w:rPr>
          <w:rFonts w:ascii="Arial" w:eastAsia="Arial" w:hAnsi="Arial" w:cs="Arial"/>
        </w:rPr>
        <w:t>Ethical issues are also present in the price and place elements. Smaller packaging increases Cadbury's affordability, but should not be done in a way that stimulates over-consumption by lower-income consumers (Mandal, 2025). Distribution also must ensure that the chocolate experiences the proper conditions for its storage, as its quality can also suffer due to improper temperature. This links moral marketing directly to Cadbury's supply chain and retail application.</w:t>
      </w:r>
    </w:p>
    <w:p w14:paraId="0A709D07" w14:textId="77777777" w:rsidR="009E1B2A" w:rsidRDefault="00F77981">
      <w:pPr>
        <w:pStyle w:val="Heading2"/>
        <w:rPr>
          <w:rFonts w:ascii="Arial" w:eastAsia="Arial" w:hAnsi="Arial" w:cs="Arial"/>
        </w:rPr>
      </w:pPr>
      <w:bookmarkStart w:id="6" w:name="_tk9qp4aeixn3" w:colFirst="0" w:colLast="0"/>
      <w:bookmarkEnd w:id="6"/>
      <w:r>
        <w:rPr>
          <w:rFonts w:ascii="Arial" w:eastAsia="Arial" w:hAnsi="Arial" w:cs="Arial"/>
        </w:rPr>
        <w:t>6. Recommendations for Cadbury’s Future International Marketing Strategy</w:t>
      </w:r>
    </w:p>
    <w:p w14:paraId="1D44BA69" w14:textId="77777777" w:rsidR="009E1B2A" w:rsidRDefault="00F77981">
      <w:pPr>
        <w:rPr>
          <w:rFonts w:ascii="Arial" w:eastAsia="Arial" w:hAnsi="Arial" w:cs="Arial"/>
          <w:b/>
          <w:bCs/>
        </w:rPr>
      </w:pPr>
      <w:r>
        <w:rPr>
          <w:rFonts w:ascii="Arial" w:eastAsia="Arial" w:hAnsi="Arial" w:cs="Arial"/>
          <w:b/>
          <w:bCs/>
        </w:rPr>
        <w:t>Recommendation 1: Strengthen Localised Product Innovation</w:t>
      </w:r>
    </w:p>
    <w:p w14:paraId="70B00FB4" w14:textId="77777777" w:rsidR="009E1B2A" w:rsidRDefault="00F77981">
      <w:pPr>
        <w:rPr>
          <w:rFonts w:ascii="Arial" w:eastAsia="Arial" w:hAnsi="Arial" w:cs="Arial"/>
        </w:rPr>
      </w:pPr>
      <w:r>
        <w:rPr>
          <w:rFonts w:ascii="Arial" w:eastAsia="Arial" w:hAnsi="Arial" w:cs="Arial"/>
        </w:rPr>
        <w:t>Cadbury needs to further invest in product innovation specific to the Indian market and retain its global brand name. It should be a strategy that prioritises niche or limited-level varieties, festival-specific packaging and smaller market-priced variants, catering to consumption segments of different Indian groups. This has been proven to be effective as Mondelez has regularly released products that are localised to Indians' preferences and occasions, even if it is not always based on a standardised international product. But Cadbury must have consumer information to segment consumers and understand their tastes and preferences in different regions and throughout different seasons, along with the new younger consumer base. This recommendation would enable the company to retain its brand identity and be more relevant to the local market.</w:t>
      </w:r>
    </w:p>
    <w:p w14:paraId="2D576A1F" w14:textId="77777777" w:rsidR="009E1B2A" w:rsidRDefault="00F77981">
      <w:pPr>
        <w:rPr>
          <w:rFonts w:ascii="Arial" w:eastAsia="Arial" w:hAnsi="Arial" w:cs="Arial"/>
          <w:b/>
          <w:bCs/>
        </w:rPr>
      </w:pPr>
      <w:r>
        <w:rPr>
          <w:rFonts w:ascii="Arial" w:eastAsia="Arial" w:hAnsi="Arial" w:cs="Arial"/>
          <w:b/>
          <w:bCs/>
        </w:rPr>
        <w:t>Recommendation 2: Expand Digital and Omnichannel Marketing</w:t>
      </w:r>
    </w:p>
    <w:p w14:paraId="0D8EF929" w14:textId="77777777" w:rsidR="009E1B2A" w:rsidRDefault="00F77981">
      <w:pPr>
        <w:rPr>
          <w:rFonts w:ascii="Arial" w:eastAsia="Arial" w:hAnsi="Arial" w:cs="Arial"/>
        </w:rPr>
      </w:pPr>
      <w:r>
        <w:rPr>
          <w:rFonts w:ascii="Arial" w:eastAsia="Arial" w:hAnsi="Arial" w:cs="Arial"/>
        </w:rPr>
        <w:t>Cadbury's marketing mix needs enhancement as far as digital and omnichannel marketing are concerned, as the firm must take an approach which incorporates social media, e-commerce, influencer marketing and personalised marketing campaigns as integrated marketing within its existing physical distribution mix. The view is endorsed through Mondelez's digital transformation project with the growing role of modern trade and e-commerce in the Indian business. Cadbury can enhance its ability by targeting consumers based on age, purchasing behaviour, geography, and consumption occasions. Limited-edition products, festival collections and personalised gifting could be promoted to the masses through their digital campaigns, and e-commerce can enable easy access to premium and seasonal products. The expected outcome is higher interaction with younger digital native audiences, and better conversion from promotional activity to purchases.</w:t>
      </w:r>
    </w:p>
    <w:p w14:paraId="40F961D3" w14:textId="77777777" w:rsidR="009E1B2A" w:rsidRDefault="00F77981">
      <w:pPr>
        <w:rPr>
          <w:rFonts w:ascii="Arial" w:eastAsia="Arial" w:hAnsi="Arial" w:cs="Arial"/>
          <w:b/>
          <w:bCs/>
        </w:rPr>
      </w:pPr>
      <w:r>
        <w:rPr>
          <w:rFonts w:ascii="Arial" w:eastAsia="Arial" w:hAnsi="Arial" w:cs="Arial"/>
          <w:b/>
          <w:bCs/>
        </w:rPr>
        <w:t>Recommendation 3: Strengthen Sustainable Cocoa and Packaging Practices</w:t>
      </w:r>
    </w:p>
    <w:p w14:paraId="3A2AC3E1" w14:textId="77777777" w:rsidR="009E1B2A" w:rsidRDefault="00F77981">
      <w:pPr>
        <w:spacing w:before="240" w:after="240"/>
        <w:rPr>
          <w:rFonts w:ascii="Arial" w:eastAsia="Arial" w:hAnsi="Arial" w:cs="Arial"/>
        </w:rPr>
      </w:pPr>
      <w:r>
        <w:rPr>
          <w:rFonts w:ascii="Arial" w:eastAsia="Arial" w:hAnsi="Arial" w:cs="Arial"/>
        </w:rPr>
        <w:t>For marketing in India, Cadbury need to focus more on making the actions of responsible sourcing and sustainable packaging of its products more visible. The suggestion will effectively complement the Mondelez cocoa sourcing initiative; Cocoa Life, that highlights the companies effort to responsibly source cocoa and support farmers already within the organization. Rather than an entirely new corporate sustainability initiative, Cadbury should more openly, and with concrete evidence, articulate progress with packaging, digital and communications. Packaging innovation should instead be focused on minimizing usage of packaging material and improving usability for re-use and recyclability without sacrificing protection for the product. The existing sustainability efforts in Mondelez offer a proof of concept that large-scale sourcing efforts can be implemented throughout the retail channel, providing a foundation for these initiatives, and the expected result from implementing these efforts is a very strong corporate reputation and increased consumer confidence as well as added value for environmentally conscious consumers.</w:t>
      </w:r>
    </w:p>
    <w:p w14:paraId="15A95B9E" w14:textId="77777777" w:rsidR="009E1B2A" w:rsidRDefault="00F77981">
      <w:pPr>
        <w:rPr>
          <w:rFonts w:ascii="Arial" w:eastAsia="Arial" w:hAnsi="Arial" w:cs="Arial"/>
          <w:b/>
          <w:bCs/>
        </w:rPr>
      </w:pPr>
      <w:r>
        <w:rPr>
          <w:rFonts w:ascii="Arial" w:eastAsia="Arial" w:hAnsi="Arial" w:cs="Arial"/>
          <w:b/>
          <w:bCs/>
        </w:rPr>
        <w:t>Recommendation 4: Improve Transparency and Responsible Marketing</w:t>
      </w:r>
    </w:p>
    <w:p w14:paraId="1D2C7DD0" w14:textId="77777777" w:rsidR="009E1B2A" w:rsidRDefault="00F77981">
      <w:pPr>
        <w:spacing w:before="240" w:after="240"/>
        <w:rPr>
          <w:rFonts w:ascii="Arial" w:eastAsia="Arial" w:hAnsi="Arial" w:cs="Arial"/>
        </w:rPr>
      </w:pPr>
      <w:r>
        <w:rPr>
          <w:rFonts w:ascii="Arial" w:eastAsia="Arial" w:hAnsi="Arial" w:cs="Arial"/>
        </w:rPr>
        <w:t>A greater transparency from Cadbury across food sourcing, product contents, nutrition labelling, marketing communications and addressing consumer issues will likely help build further consumer trust, which is a critically important area for Cadbury due to their history of past food safety scares that can significantly tarnish the brand. Explicit details should be made available on nutritional benefits, potential allergens and any public health claims need to be supported by robust evidence. Words used in the promotion of Cadbury’s products to children for gift ( ornamental ) chocolates could also benefit from a particular degree of care and caution. Cadbury and Mondelez’s commitment to a public-visible, measurable transparency can form the basis for better consumer communications, while communication platforms for raising consumer issues on digital channels should enable quick feedback in relation to future concerns and the handling of customer related concerns (eg product issues). The anticipated outcome of increased consumer confidence, reduce reputational risks, and reinforced long term consumer loyalty and preferences.</w:t>
      </w:r>
    </w:p>
    <w:p w14:paraId="4EE35DFE" w14:textId="77777777" w:rsidR="009E1B2A" w:rsidRDefault="00F77981">
      <w:pPr>
        <w:pStyle w:val="Heading2"/>
        <w:rPr>
          <w:rFonts w:ascii="Arial" w:eastAsia="Arial" w:hAnsi="Arial" w:cs="Arial"/>
        </w:rPr>
      </w:pPr>
      <w:bookmarkStart w:id="7" w:name="_xax289lgwges" w:colFirst="0" w:colLast="0"/>
      <w:bookmarkEnd w:id="7"/>
      <w:r>
        <w:rPr>
          <w:rFonts w:ascii="Arial" w:eastAsia="Arial" w:hAnsi="Arial" w:cs="Arial"/>
        </w:rPr>
        <w:t>7. Conclusion</w:t>
      </w:r>
    </w:p>
    <w:p w14:paraId="0399B36B" w14:textId="77777777" w:rsidR="009E1B2A" w:rsidRDefault="00F77981">
      <w:pPr>
        <w:spacing w:before="240" w:after="240"/>
        <w:rPr>
          <w:rFonts w:ascii="Arial" w:eastAsia="Arial" w:hAnsi="Arial" w:cs="Arial"/>
        </w:rPr>
      </w:pPr>
      <w:r>
        <w:rPr>
          <w:rFonts w:ascii="Arial" w:eastAsia="Arial" w:hAnsi="Arial" w:cs="Arial"/>
        </w:rPr>
        <w:t>The study concluded that Cadbury cannot entirely standardised her international strategy on marketing due to differences in the level of cultural, economic, social, political, and legislative environments. Following the PESTEL analysis, we identified that the market of Indian is an extremely large with diversities and marketing decision criteria are mainly related to affordability and opportunities that can be created from culture and celebrations, the digital, regulation. Meanwhile, the United Kingdom is mature, and wealthy market which it has a strong level of competition as well as its high digits and nutritional approaches to consumer concerns. From this research it is evident that maintaining of balance between the company brand name and local values of the consumers determines its success. For sustainable growth in both India and United kingdom Cadbury must continuously research its market and customer needs with the use of understanding cultural factor and it is also significant for the ethics of the company with innovation and it creates strength of customers with awareness against competitive pressures.</w:t>
      </w:r>
    </w:p>
    <w:p w14:paraId="3A84B0B1" w14:textId="77777777" w:rsidR="009E1B2A" w:rsidRDefault="009E1B2A">
      <w:pPr>
        <w:rPr>
          <w:rFonts w:ascii="Arial" w:eastAsia="Arial" w:hAnsi="Arial" w:cs="Arial"/>
        </w:rPr>
      </w:pPr>
    </w:p>
    <w:p w14:paraId="0F7B3F36" w14:textId="77777777" w:rsidR="009E1B2A" w:rsidRDefault="00F77981">
      <w:pPr>
        <w:pStyle w:val="Heading1"/>
        <w:rPr>
          <w:rFonts w:ascii="Arial" w:eastAsia="Arial" w:hAnsi="Arial" w:cs="Arial"/>
        </w:rPr>
      </w:pPr>
      <w:bookmarkStart w:id="8" w:name="_3o82nbpqm1x" w:colFirst="0" w:colLast="0"/>
      <w:bookmarkEnd w:id="8"/>
      <w:r>
        <w:br w:type="page"/>
      </w:r>
    </w:p>
    <w:p w14:paraId="0634A3FB" w14:textId="77777777" w:rsidR="009E1B2A" w:rsidRDefault="00F77981">
      <w:pPr>
        <w:pStyle w:val="Heading1"/>
        <w:rPr>
          <w:rFonts w:ascii="Arial" w:eastAsia="Arial" w:hAnsi="Arial" w:cs="Arial"/>
        </w:rPr>
      </w:pPr>
      <w:bookmarkStart w:id="9" w:name="_z17kjiaaahbm" w:colFirst="0" w:colLast="0"/>
      <w:bookmarkEnd w:id="9"/>
      <w:r>
        <w:rPr>
          <w:rFonts w:ascii="Arial" w:eastAsia="Arial" w:hAnsi="Arial" w:cs="Arial"/>
        </w:rPr>
        <w:t>Section 2: Reflective Account</w:t>
      </w:r>
    </w:p>
    <w:p w14:paraId="2C8391DA" w14:textId="77777777" w:rsidR="009E1B2A" w:rsidRDefault="00F77981">
      <w:pPr>
        <w:pStyle w:val="Heading2"/>
        <w:rPr>
          <w:rFonts w:ascii="Arial" w:eastAsia="Arial" w:hAnsi="Arial" w:cs="Arial"/>
        </w:rPr>
      </w:pPr>
      <w:bookmarkStart w:id="10" w:name="_1axrdx2xwx8l" w:colFirst="0" w:colLast="0"/>
      <w:bookmarkEnd w:id="10"/>
      <w:r>
        <w:rPr>
          <w:rFonts w:ascii="Arial" w:eastAsia="Arial" w:hAnsi="Arial" w:cs="Arial"/>
        </w:rPr>
        <w:t>Reflective Account Using Gibbs’ Reflective Cycle</w:t>
      </w:r>
    </w:p>
    <w:p w14:paraId="4E7F1E7A" w14:textId="77777777" w:rsidR="009E1B2A" w:rsidRDefault="00F77981">
      <w:pPr>
        <w:jc w:val="center"/>
        <w:rPr>
          <w:rFonts w:ascii="Arial" w:eastAsia="Arial" w:hAnsi="Arial" w:cs="Arial"/>
        </w:rPr>
      </w:pPr>
      <w:r>
        <w:rPr>
          <w:rFonts w:ascii="Arial" w:eastAsia="Arial" w:hAnsi="Arial" w:cs="Arial"/>
          <w:noProof/>
        </w:rPr>
        <w:drawing>
          <wp:inline distT="114300" distB="114300" distL="114300" distR="114300" wp14:anchorId="3E1D009E" wp14:editId="79AD8D9A">
            <wp:extent cx="4876800" cy="348615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876800" cy="3486150"/>
                    </a:xfrm>
                    <a:prstGeom prst="rect">
                      <a:avLst/>
                    </a:prstGeom>
                    <a:ln/>
                  </pic:spPr>
                </pic:pic>
              </a:graphicData>
            </a:graphic>
          </wp:inline>
        </w:drawing>
      </w:r>
    </w:p>
    <w:p w14:paraId="7DC116B1" w14:textId="77777777" w:rsidR="009E1B2A" w:rsidRDefault="00F77981">
      <w:pPr>
        <w:jc w:val="center"/>
        <w:rPr>
          <w:rFonts w:ascii="Arial" w:eastAsia="Arial" w:hAnsi="Arial" w:cs="Arial"/>
          <w:b/>
          <w:bCs/>
        </w:rPr>
      </w:pPr>
      <w:r>
        <w:rPr>
          <w:rFonts w:ascii="Arial" w:eastAsia="Arial" w:hAnsi="Arial" w:cs="Arial"/>
          <w:b/>
          <w:bCs/>
        </w:rPr>
        <w:t>Figure 7: Gibbs Reflective Model</w:t>
      </w:r>
    </w:p>
    <w:p w14:paraId="73908579" w14:textId="77777777" w:rsidR="009E1B2A" w:rsidRDefault="00F77981">
      <w:pPr>
        <w:jc w:val="center"/>
        <w:rPr>
          <w:rFonts w:ascii="Arial" w:eastAsia="Arial" w:hAnsi="Arial" w:cs="Arial"/>
        </w:rPr>
      </w:pPr>
      <w:r>
        <w:rPr>
          <w:rFonts w:ascii="Arial" w:eastAsia="Arial" w:hAnsi="Arial" w:cs="Arial"/>
        </w:rPr>
        <w:t>(Source: TOU, 2026)</w:t>
      </w:r>
    </w:p>
    <w:p w14:paraId="0A5D78DC" w14:textId="77777777" w:rsidR="009E1B2A" w:rsidRDefault="00F77981">
      <w:pPr>
        <w:rPr>
          <w:rFonts w:ascii="Arial" w:eastAsia="Arial" w:hAnsi="Arial" w:cs="Arial"/>
          <w:b/>
          <w:bCs/>
        </w:rPr>
      </w:pPr>
      <w:r>
        <w:rPr>
          <w:rFonts w:ascii="Arial" w:eastAsia="Arial" w:hAnsi="Arial" w:cs="Arial"/>
          <w:b/>
          <w:bCs/>
        </w:rPr>
        <w:t>Description</w:t>
      </w:r>
    </w:p>
    <w:p w14:paraId="3EF233D0" w14:textId="77777777" w:rsidR="009E1B2A" w:rsidRDefault="00F77981">
      <w:pPr>
        <w:spacing w:before="240" w:after="240"/>
        <w:rPr>
          <w:rFonts w:ascii="Arial" w:eastAsia="Arial" w:hAnsi="Arial" w:cs="Arial"/>
        </w:rPr>
      </w:pPr>
      <w:r>
        <w:rPr>
          <w:rFonts w:ascii="Arial" w:eastAsia="Arial" w:hAnsi="Arial" w:cs="Arial"/>
        </w:rPr>
        <w:t>This report writing exercise provided an interesting opportunity for reflective on analysing an international marketing strategy of Cadbury in India and in U.K. Itself. These consisted of research the macro environments, analysis of Hofstede dimensions of cultural differences in the both countries, analysing segmentation, targeting and positioning in U.K and Indian Markets. Additionally, analysed the International Marketing Mix of Seven P's as well. The report also touched up the Ethical considerations, Market development strategy of Cadbury's in India and future strategically suggestions. A global brand name makes up such assignments somewhat appear simple as most of the analysis has been based on an already famous product. There, it had a balancing act of analysing a famous international name but different nationalities and thought process as well but soon, the assignment began to appear more complex as and with global recognition, a same marketing mix cannot be beneficial in all the countries.</w:t>
      </w:r>
    </w:p>
    <w:p w14:paraId="6CBA8CA0" w14:textId="77777777" w:rsidR="009E1B2A" w:rsidRDefault="00F77981">
      <w:pPr>
        <w:rPr>
          <w:rFonts w:ascii="Arial" w:eastAsia="Arial" w:hAnsi="Arial" w:cs="Arial"/>
          <w:b/>
          <w:bCs/>
        </w:rPr>
      </w:pPr>
      <w:r>
        <w:rPr>
          <w:rFonts w:ascii="Arial" w:eastAsia="Arial" w:hAnsi="Arial" w:cs="Arial"/>
          <w:b/>
          <w:bCs/>
        </w:rPr>
        <w:t>Feelings</w:t>
      </w:r>
    </w:p>
    <w:p w14:paraId="4BB1BCB4" w14:textId="77777777" w:rsidR="009E1B2A" w:rsidRDefault="00F77981">
      <w:pPr>
        <w:rPr>
          <w:rFonts w:ascii="Arial" w:eastAsia="Arial" w:hAnsi="Arial" w:cs="Arial"/>
        </w:rPr>
      </w:pPr>
      <w:r>
        <w:rPr>
          <w:rFonts w:ascii="Arial" w:eastAsia="Arial" w:hAnsi="Arial" w:cs="Arial"/>
        </w:rPr>
        <w:t>I began by being confident as Cadbury is an established brand which we all recognise. But not much confidence was provided when I started comparing India and the United Kingdom, as a lot of information is available that might give a descriptive report rather than an analytical report. I also determined that it was difficult to differentiate between information relevant to international marketing and information that was just background information about the company. Careful interpretation of the Hofstede analysis was necessary, because only the marketing decision had to be made from the cultural scores, and not the scores themselves.</w:t>
      </w:r>
    </w:p>
    <w:p w14:paraId="7CA1127D" w14:textId="77777777" w:rsidR="009E1B2A" w:rsidRDefault="00F77981">
      <w:pPr>
        <w:rPr>
          <w:rFonts w:ascii="Arial" w:eastAsia="Arial" w:hAnsi="Arial" w:cs="Arial"/>
          <w:b/>
          <w:bCs/>
        </w:rPr>
      </w:pPr>
      <w:r>
        <w:rPr>
          <w:rFonts w:ascii="Arial" w:eastAsia="Arial" w:hAnsi="Arial" w:cs="Arial"/>
          <w:b/>
          <w:bCs/>
        </w:rPr>
        <w:t>Evaluation</w:t>
      </w:r>
    </w:p>
    <w:p w14:paraId="4A4F4217" w14:textId="77777777" w:rsidR="009E1B2A" w:rsidRDefault="00F77981">
      <w:pPr>
        <w:spacing w:before="240" w:after="240"/>
        <w:rPr>
          <w:rFonts w:ascii="Arial" w:eastAsia="Arial" w:hAnsi="Arial" w:cs="Arial"/>
        </w:rPr>
      </w:pPr>
      <w:r>
        <w:rPr>
          <w:rFonts w:ascii="Arial" w:eastAsia="Arial" w:hAnsi="Arial" w:cs="Arial"/>
        </w:rPr>
        <w:t>One strength was the combined use of a number of frameworks to analyze. The PESTEL was helpful to show the external environment differences. The Hofstede was useful to provide a cultural background that can help to compare consumer behavior. The STP and the 7Ps then help to relate the differences directly to the marketing strategy. This provided a more intelligent and meaningful analysis and did not treat the analysis of each framework separately. The inclusion of ethical issues as well as business issues was also a strength. With analysis of Cadbury, it was found that not only product quality and advertising may be involved together and consumer confidence can also effect marketing strategy.</w:t>
      </w:r>
    </w:p>
    <w:p w14:paraId="5DA74FC9" w14:textId="77777777" w:rsidR="009E1B2A" w:rsidRDefault="00F77981">
      <w:pPr>
        <w:rPr>
          <w:rFonts w:ascii="Arial" w:eastAsia="Arial" w:hAnsi="Arial" w:cs="Arial"/>
          <w:b/>
          <w:bCs/>
        </w:rPr>
      </w:pPr>
      <w:r>
        <w:rPr>
          <w:rFonts w:ascii="Arial" w:eastAsia="Arial" w:hAnsi="Arial" w:cs="Arial"/>
          <w:b/>
          <w:bCs/>
        </w:rPr>
        <w:t>Analysis</w:t>
      </w:r>
    </w:p>
    <w:p w14:paraId="76ACAD47" w14:textId="77777777" w:rsidR="009E1B2A" w:rsidRDefault="00F77981">
      <w:pPr>
        <w:spacing w:before="240" w:after="240"/>
        <w:rPr>
          <w:rFonts w:ascii="Arial" w:eastAsia="Arial" w:hAnsi="Arial" w:cs="Arial"/>
        </w:rPr>
      </w:pPr>
      <w:r>
        <w:rPr>
          <w:rFonts w:ascii="Arial" w:eastAsia="Arial" w:hAnsi="Arial" w:cs="Arial"/>
        </w:rPr>
        <w:t xml:space="preserve">The whole study taught me that international marketing analysis cannot be descriptive, but should critically compare and contrast. While initially I relied on using frameworks like PESTEL and Hofstede, I came to realize these are simply a means to organize information. The reality of how money was being made from them was more evident when they became vested in perceived strategic choices. The larger population sizes and the cultural variance of India are not simply constants; they create opportunities and also create an imperative for segmentation and localization (Okonkwo </w:t>
      </w:r>
      <w:r>
        <w:rPr>
          <w:rFonts w:ascii="Arial" w:eastAsia="Arial" w:hAnsi="Arial" w:cs="Arial"/>
          <w:i/>
          <w:iCs/>
        </w:rPr>
        <w:t>et al</w:t>
      </w:r>
      <w:r>
        <w:rPr>
          <w:rFonts w:ascii="Arial" w:eastAsia="Arial" w:hAnsi="Arial" w:cs="Arial"/>
        </w:rPr>
        <w:t>., 2023). Similarly the purchasing power of the United Kingdom comes with a lot of competition and transparency or available information about the product.</w:t>
      </w:r>
      <w:r>
        <w:rPr>
          <w:rFonts w:ascii="Arial" w:eastAsia="Arial" w:hAnsi="Arial" w:cs="Arial"/>
        </w:rPr>
        <w:br/>
        <w:t xml:space="preserve">STP and 7 Ps analysis also taught me to link evidence from the environment to Marketing decisions. Understandable Hofstede cultural difference can be linked to product promotion and economic difference to price and packaging (Ho </w:t>
      </w:r>
      <w:r>
        <w:rPr>
          <w:rFonts w:ascii="Arial" w:eastAsia="Arial" w:hAnsi="Arial" w:cs="Arial"/>
          <w:i/>
          <w:iCs/>
        </w:rPr>
        <w:t>et al</w:t>
      </w:r>
      <w:r>
        <w:rPr>
          <w:rFonts w:ascii="Arial" w:eastAsia="Arial" w:hAnsi="Arial" w:cs="Arial"/>
        </w:rPr>
        <w:t>., 2022). It was through this that I realized Marketing is not simply about translating what I already knew at home, but I needed a greater depth of understanding to adapt or enhance the marketing strategy for international use. Instead the question should perhaps be what variables must be kept constant, and which vary according to locale?</w:t>
      </w:r>
    </w:p>
    <w:p w14:paraId="59808623" w14:textId="77777777" w:rsidR="009E1B2A" w:rsidRDefault="00F77981">
      <w:pPr>
        <w:rPr>
          <w:rFonts w:ascii="Arial" w:eastAsia="Arial" w:hAnsi="Arial" w:cs="Arial"/>
          <w:b/>
          <w:bCs/>
        </w:rPr>
      </w:pPr>
      <w:r>
        <w:rPr>
          <w:rFonts w:ascii="Arial" w:eastAsia="Arial" w:hAnsi="Arial" w:cs="Arial"/>
          <w:b/>
          <w:bCs/>
        </w:rPr>
        <w:t>Conclusion</w:t>
      </w:r>
    </w:p>
    <w:p w14:paraId="32A6C49B" w14:textId="77777777" w:rsidR="009E1B2A" w:rsidRDefault="00F77981">
      <w:pPr>
        <w:rPr>
          <w:rFonts w:ascii="Arial" w:eastAsia="Arial" w:hAnsi="Arial" w:cs="Arial"/>
        </w:rPr>
      </w:pPr>
      <w:r>
        <w:rPr>
          <w:rFonts w:ascii="Arial" w:eastAsia="Arial" w:hAnsi="Arial" w:cs="Arial"/>
        </w:rPr>
        <w:t>Overall, the project was able to strengthen my critical reflexes towards strategic frameworks and my theoretical understanding with practice in a real multinational company. I think my contribution to the course came from the 'difference between India and the UK' and being able to discuss its implications in the marketing plan of Cadbury. I also gained insight into how to assess the trustworthiness and applicability of sources to an academic argument. But I need to become more efficient and effective at my research, especially if there is a lot of information available.</w:t>
      </w:r>
    </w:p>
    <w:p w14:paraId="42D14A9F" w14:textId="77777777" w:rsidR="009E1B2A" w:rsidRDefault="00F77981">
      <w:pPr>
        <w:rPr>
          <w:rFonts w:ascii="Arial" w:eastAsia="Arial" w:hAnsi="Arial" w:cs="Arial"/>
          <w:b/>
          <w:bCs/>
        </w:rPr>
      </w:pPr>
      <w:r>
        <w:rPr>
          <w:rFonts w:ascii="Arial" w:eastAsia="Arial" w:hAnsi="Arial" w:cs="Arial"/>
          <w:b/>
          <w:bCs/>
        </w:rPr>
        <w:t>Action Plan</w:t>
      </w:r>
    </w:p>
    <w:tbl>
      <w:tblPr>
        <w:tblStyle w:val="a1"/>
        <w:tblW w:w="9225" w:type="dxa"/>
        <w:tblInd w:w="0" w:type="dxa"/>
        <w:tblBorders>
          <w:top w:val="single" w:sz="9" w:space="0" w:color="000000"/>
          <w:left w:val="single" w:sz="9" w:space="0" w:color="000000"/>
          <w:bottom w:val="single" w:sz="9" w:space="0" w:color="000000"/>
          <w:right w:val="single" w:sz="9" w:space="0" w:color="000000"/>
          <w:insideH w:val="single" w:sz="9" w:space="0" w:color="000000"/>
          <w:insideV w:val="single" w:sz="9" w:space="0" w:color="000000"/>
        </w:tblBorders>
        <w:tblLayout w:type="fixed"/>
        <w:tblLook w:val="0600" w:firstRow="0" w:lastRow="0" w:firstColumn="0" w:lastColumn="0" w:noHBand="1" w:noVBand="1"/>
      </w:tblPr>
      <w:tblGrid>
        <w:gridCol w:w="2160"/>
        <w:gridCol w:w="3570"/>
        <w:gridCol w:w="3495"/>
      </w:tblGrid>
      <w:tr w:rsidR="009E1B2A" w14:paraId="63B342E5" w14:textId="77777777">
        <w:trPr>
          <w:trHeight w:val="435"/>
        </w:trPr>
        <w:tc>
          <w:tcPr>
            <w:tcW w:w="21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72288735" w14:textId="77777777" w:rsidR="009E1B2A" w:rsidRDefault="00F77981">
            <w:pPr>
              <w:rPr>
                <w:rFonts w:ascii="Arial" w:eastAsia="Arial" w:hAnsi="Arial" w:cs="Arial"/>
                <w:b/>
                <w:bCs/>
              </w:rPr>
            </w:pPr>
            <w:r>
              <w:rPr>
                <w:rFonts w:ascii="Arial" w:eastAsia="Arial" w:hAnsi="Arial" w:cs="Arial"/>
                <w:b/>
                <w:bCs/>
              </w:rPr>
              <w:t>Issue Identified</w:t>
            </w:r>
          </w:p>
        </w:tc>
        <w:tc>
          <w:tcPr>
            <w:tcW w:w="357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17D7E71B" w14:textId="77777777" w:rsidR="009E1B2A" w:rsidRDefault="00F77981">
            <w:pPr>
              <w:rPr>
                <w:rFonts w:ascii="Arial" w:eastAsia="Arial" w:hAnsi="Arial" w:cs="Arial"/>
                <w:b/>
                <w:bCs/>
              </w:rPr>
            </w:pPr>
            <w:r>
              <w:rPr>
                <w:rFonts w:ascii="Arial" w:eastAsia="Arial" w:hAnsi="Arial" w:cs="Arial"/>
                <w:b/>
                <w:bCs/>
              </w:rPr>
              <w:t>Mitigation Strategy</w:t>
            </w:r>
          </w:p>
        </w:tc>
        <w:tc>
          <w:tcPr>
            <w:tcW w:w="349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50C9AB08" w14:textId="77777777" w:rsidR="009E1B2A" w:rsidRDefault="00F77981">
            <w:pPr>
              <w:rPr>
                <w:rFonts w:ascii="Arial" w:eastAsia="Arial" w:hAnsi="Arial" w:cs="Arial"/>
                <w:b/>
                <w:bCs/>
              </w:rPr>
            </w:pPr>
            <w:r>
              <w:rPr>
                <w:rFonts w:ascii="Arial" w:eastAsia="Arial" w:hAnsi="Arial" w:cs="Arial"/>
                <w:b/>
                <w:bCs/>
              </w:rPr>
              <w:t>Time-Bound Action</w:t>
            </w:r>
          </w:p>
        </w:tc>
      </w:tr>
      <w:tr w:rsidR="009E1B2A" w14:paraId="5BB8D3A6" w14:textId="77777777">
        <w:trPr>
          <w:trHeight w:val="1515"/>
        </w:trPr>
        <w:tc>
          <w:tcPr>
            <w:tcW w:w="21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6F1A4818" w14:textId="77777777" w:rsidR="009E1B2A" w:rsidRDefault="00F77981">
            <w:pPr>
              <w:rPr>
                <w:rFonts w:ascii="Arial" w:eastAsia="Arial" w:hAnsi="Arial" w:cs="Arial"/>
                <w:b/>
                <w:bCs/>
              </w:rPr>
            </w:pPr>
            <w:r>
              <w:rPr>
                <w:rFonts w:ascii="Arial" w:eastAsia="Arial" w:hAnsi="Arial" w:cs="Arial"/>
                <w:b/>
                <w:bCs/>
              </w:rPr>
              <w:t>Information Overload</w:t>
            </w:r>
          </w:p>
        </w:tc>
        <w:tc>
          <w:tcPr>
            <w:tcW w:w="357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5E4CB90D" w14:textId="77777777" w:rsidR="009E1B2A" w:rsidRDefault="00F77981">
            <w:pPr>
              <w:rPr>
                <w:rFonts w:ascii="Arial" w:eastAsia="Arial" w:hAnsi="Arial" w:cs="Arial"/>
              </w:rPr>
            </w:pPr>
            <w:r>
              <w:rPr>
                <w:rFonts w:ascii="Arial" w:eastAsia="Arial" w:hAnsi="Arial" w:cs="Arial"/>
              </w:rPr>
              <w:t>Use a structured source-tracking sheet and record only evidence directly relevant to each section.</w:t>
            </w:r>
          </w:p>
        </w:tc>
        <w:tc>
          <w:tcPr>
            <w:tcW w:w="349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40641CFC" w14:textId="77777777" w:rsidR="009E1B2A" w:rsidRDefault="00F77981">
            <w:pPr>
              <w:rPr>
                <w:rFonts w:ascii="Arial" w:eastAsia="Arial" w:hAnsi="Arial" w:cs="Arial"/>
              </w:rPr>
            </w:pPr>
            <w:r>
              <w:rPr>
                <w:rFonts w:ascii="Arial" w:eastAsia="Arial" w:hAnsi="Arial" w:cs="Arial"/>
              </w:rPr>
              <w:t>Complete the source sheet within the first week of the next assignment.</w:t>
            </w:r>
          </w:p>
        </w:tc>
      </w:tr>
      <w:tr w:rsidR="009E1B2A" w14:paraId="0D2ACF27" w14:textId="77777777">
        <w:trPr>
          <w:trHeight w:val="1515"/>
        </w:trPr>
        <w:tc>
          <w:tcPr>
            <w:tcW w:w="21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5C9C7AEB" w14:textId="77777777" w:rsidR="009E1B2A" w:rsidRDefault="00F77981">
            <w:pPr>
              <w:rPr>
                <w:rFonts w:ascii="Arial" w:eastAsia="Arial" w:hAnsi="Arial" w:cs="Arial"/>
                <w:b/>
                <w:bCs/>
              </w:rPr>
            </w:pPr>
            <w:r>
              <w:rPr>
                <w:rFonts w:ascii="Arial" w:eastAsia="Arial" w:hAnsi="Arial" w:cs="Arial"/>
                <w:b/>
                <w:bCs/>
              </w:rPr>
              <w:t>Time management</w:t>
            </w:r>
          </w:p>
        </w:tc>
        <w:tc>
          <w:tcPr>
            <w:tcW w:w="357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7A246D9F" w14:textId="77777777" w:rsidR="009E1B2A" w:rsidRDefault="00F77981">
            <w:pPr>
              <w:rPr>
                <w:rFonts w:ascii="Arial" w:eastAsia="Arial" w:hAnsi="Arial" w:cs="Arial"/>
              </w:rPr>
            </w:pPr>
            <w:r>
              <w:rPr>
                <w:rFonts w:ascii="Arial" w:eastAsia="Arial" w:hAnsi="Arial" w:cs="Arial"/>
              </w:rPr>
              <w:t>Divide the assignment into smaller weekly targets and set earlier internal deadlines instead of working towards the final submission date.</w:t>
            </w:r>
          </w:p>
        </w:tc>
        <w:tc>
          <w:tcPr>
            <w:tcW w:w="349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628E6E50" w14:textId="77777777" w:rsidR="009E1B2A" w:rsidRDefault="00F77981">
            <w:pPr>
              <w:rPr>
                <w:rFonts w:ascii="Arial" w:eastAsia="Arial" w:hAnsi="Arial" w:cs="Arial"/>
              </w:rPr>
            </w:pPr>
            <w:r>
              <w:rPr>
                <w:rFonts w:ascii="Arial" w:eastAsia="Arial" w:hAnsi="Arial" w:cs="Arial"/>
              </w:rPr>
              <w:t>Create a full schedule on the first day and review progress every three days.</w:t>
            </w:r>
          </w:p>
        </w:tc>
      </w:tr>
      <w:tr w:rsidR="009E1B2A" w14:paraId="17EFC55C" w14:textId="77777777">
        <w:trPr>
          <w:trHeight w:val="1515"/>
        </w:trPr>
        <w:tc>
          <w:tcPr>
            <w:tcW w:w="216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3E59C7B6" w14:textId="77777777" w:rsidR="009E1B2A" w:rsidRDefault="00F77981">
            <w:pPr>
              <w:rPr>
                <w:rFonts w:ascii="Arial" w:eastAsia="Arial" w:hAnsi="Arial" w:cs="Arial"/>
                <w:b/>
                <w:bCs/>
              </w:rPr>
            </w:pPr>
            <w:r>
              <w:rPr>
                <w:rFonts w:ascii="Arial" w:eastAsia="Arial" w:hAnsi="Arial" w:cs="Arial"/>
                <w:b/>
                <w:bCs/>
              </w:rPr>
              <w:t>Critical assessment</w:t>
            </w:r>
          </w:p>
        </w:tc>
        <w:tc>
          <w:tcPr>
            <w:tcW w:w="3570"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154F61F8" w14:textId="77777777" w:rsidR="009E1B2A" w:rsidRDefault="00F77981">
            <w:pPr>
              <w:spacing w:before="240" w:after="240"/>
              <w:rPr>
                <w:rFonts w:ascii="Arial" w:eastAsia="Arial" w:hAnsi="Arial" w:cs="Arial"/>
              </w:rPr>
            </w:pPr>
            <w:r>
              <w:rPr>
                <w:rFonts w:ascii="Arial" w:eastAsia="Arial" w:hAnsi="Arial" w:cs="Arial"/>
              </w:rPr>
              <w:t>Make the comparison between different academic perspectives and clearly state evidence, limitations and implications before concluding.</w:t>
            </w:r>
          </w:p>
        </w:tc>
        <w:tc>
          <w:tcPr>
            <w:tcW w:w="3495" w:type="dxa"/>
            <w:tcBorders>
              <w:top w:val="single" w:sz="9" w:space="0" w:color="000000"/>
              <w:left w:val="single" w:sz="9" w:space="0" w:color="000000"/>
              <w:bottom w:val="single" w:sz="9" w:space="0" w:color="000000"/>
              <w:right w:val="single" w:sz="9" w:space="0" w:color="000000"/>
            </w:tcBorders>
            <w:tcMar>
              <w:top w:w="20" w:type="dxa"/>
              <w:left w:w="20" w:type="dxa"/>
              <w:bottom w:w="20" w:type="dxa"/>
              <w:right w:w="20" w:type="dxa"/>
            </w:tcMar>
          </w:tcPr>
          <w:p w14:paraId="216E1A32" w14:textId="77777777" w:rsidR="009E1B2A" w:rsidRDefault="00F77981">
            <w:pPr>
              <w:rPr>
                <w:rFonts w:ascii="Arial" w:eastAsia="Arial" w:hAnsi="Arial" w:cs="Arial"/>
              </w:rPr>
            </w:pPr>
            <w:r>
              <w:rPr>
                <w:rFonts w:ascii="Arial" w:eastAsia="Arial" w:hAnsi="Arial" w:cs="Arial"/>
              </w:rPr>
              <w:t>Complete two critical-analysis exercises per week for four weeks before the next major assignment.</w:t>
            </w:r>
          </w:p>
        </w:tc>
      </w:tr>
    </w:tbl>
    <w:p w14:paraId="6473220D" w14:textId="77777777" w:rsidR="009E1B2A" w:rsidRDefault="00F77981">
      <w:pPr>
        <w:jc w:val="center"/>
        <w:rPr>
          <w:rFonts w:ascii="Arial" w:eastAsia="Arial" w:hAnsi="Arial" w:cs="Arial"/>
          <w:b/>
          <w:bCs/>
        </w:rPr>
      </w:pPr>
      <w:r>
        <w:rPr>
          <w:rFonts w:ascii="Arial" w:eastAsia="Arial" w:hAnsi="Arial" w:cs="Arial"/>
          <w:b/>
          <w:bCs/>
        </w:rPr>
        <w:t>Table 3: Action Plan</w:t>
      </w:r>
    </w:p>
    <w:p w14:paraId="2FEE3F70" w14:textId="77777777" w:rsidR="009E1B2A" w:rsidRDefault="00F77981">
      <w:pPr>
        <w:jc w:val="center"/>
        <w:rPr>
          <w:rFonts w:ascii="Arial" w:eastAsia="Arial" w:hAnsi="Arial" w:cs="Arial"/>
        </w:rPr>
      </w:pPr>
      <w:r>
        <w:rPr>
          <w:rFonts w:ascii="Arial" w:eastAsia="Arial" w:hAnsi="Arial" w:cs="Arial"/>
        </w:rPr>
        <w:t xml:space="preserve">(Source: Self-Developed) </w:t>
      </w:r>
    </w:p>
    <w:p w14:paraId="6204890C" w14:textId="77777777" w:rsidR="009E1B2A" w:rsidRDefault="009E1B2A">
      <w:pPr>
        <w:rPr>
          <w:rFonts w:ascii="Arial" w:eastAsia="Arial" w:hAnsi="Arial" w:cs="Arial"/>
        </w:rPr>
      </w:pPr>
    </w:p>
    <w:p w14:paraId="630A77A2" w14:textId="77777777" w:rsidR="009E1B2A" w:rsidRDefault="00F77981">
      <w:pPr>
        <w:rPr>
          <w:rFonts w:ascii="Arial" w:eastAsia="Arial" w:hAnsi="Arial" w:cs="Arial"/>
          <w:b/>
          <w:bCs/>
          <w:sz w:val="28"/>
          <w:szCs w:val="28"/>
        </w:rPr>
      </w:pPr>
      <w:r>
        <w:br w:type="page"/>
      </w:r>
    </w:p>
    <w:p w14:paraId="239C7FBC" w14:textId="77777777" w:rsidR="009E1B2A" w:rsidRDefault="00F77981">
      <w:pPr>
        <w:pStyle w:val="Heading1"/>
        <w:spacing w:before="240"/>
        <w:rPr>
          <w:rFonts w:ascii="Arial" w:eastAsia="Arial" w:hAnsi="Arial" w:cs="Arial"/>
        </w:rPr>
      </w:pPr>
      <w:bookmarkStart w:id="11" w:name="_jhry4k903d5q" w:colFirst="0" w:colLast="0"/>
      <w:bookmarkEnd w:id="11"/>
      <w:r>
        <w:rPr>
          <w:rFonts w:ascii="Arial" w:eastAsia="Arial" w:hAnsi="Arial" w:cs="Arial"/>
        </w:rPr>
        <w:t>Reference List</w:t>
      </w:r>
    </w:p>
    <w:p w14:paraId="45DD08C4" w14:textId="77777777" w:rsidR="009E1B2A" w:rsidRDefault="00F77981">
      <w:pPr>
        <w:spacing w:before="240" w:after="240"/>
        <w:rPr>
          <w:rFonts w:ascii="Arial" w:eastAsia="Arial" w:hAnsi="Arial" w:cs="Arial"/>
        </w:rPr>
      </w:pPr>
      <w:r>
        <w:rPr>
          <w:rFonts w:ascii="Arial" w:eastAsia="Arial" w:hAnsi="Arial" w:cs="Arial"/>
        </w:rPr>
        <w:t xml:space="preserve">Alshurideh, M., Alrawabdeh, W., Al Kurdi, B. and Alzoubi, A. (2022). The impact of service quality and service transparency on customer satisfaction. </w:t>
      </w:r>
      <w:r>
        <w:rPr>
          <w:rFonts w:ascii="Arial" w:eastAsia="Arial" w:hAnsi="Arial" w:cs="Arial"/>
          <w:i/>
          <w:iCs/>
        </w:rPr>
        <w:t>International Journal of Theory of Organization and Practice (IJTOP)</w:t>
      </w:r>
      <w:r>
        <w:rPr>
          <w:rFonts w:ascii="Arial" w:eastAsia="Arial" w:hAnsi="Arial" w:cs="Arial"/>
        </w:rPr>
        <w:t>, 1(1), pp.137–154. doi:10.54489/ijtop.v1i1.150.</w:t>
      </w:r>
    </w:p>
    <w:p w14:paraId="4BA62D41" w14:textId="77777777" w:rsidR="009E1B2A" w:rsidRDefault="00F77981">
      <w:pPr>
        <w:spacing w:before="240" w:after="240"/>
        <w:rPr>
          <w:rFonts w:ascii="Arial" w:eastAsia="Arial" w:hAnsi="Arial" w:cs="Arial"/>
        </w:rPr>
      </w:pPr>
      <w:r>
        <w:rPr>
          <w:rFonts w:ascii="Arial" w:eastAsia="Arial" w:hAnsi="Arial" w:cs="Arial"/>
        </w:rPr>
        <w:t xml:space="preserve">Arief Prayitno (2024). The role of supply chain management in enchancing the competiveness of local products. </w:t>
      </w:r>
      <w:r>
        <w:rPr>
          <w:rFonts w:ascii="Arial" w:eastAsia="Arial" w:hAnsi="Arial" w:cs="Arial"/>
          <w:i/>
          <w:iCs/>
        </w:rPr>
        <w:t>Journal of Law, Social Science and Humanities</w:t>
      </w:r>
      <w:r>
        <w:rPr>
          <w:rFonts w:ascii="Arial" w:eastAsia="Arial" w:hAnsi="Arial" w:cs="Arial"/>
        </w:rPr>
        <w:t>, [online] 1(2), pp.220–235. Available at: https://myjournal.or.id/index.php/JLSSH/article/view/346 [Accessed 4 Aug. 2026].</w:t>
      </w:r>
    </w:p>
    <w:p w14:paraId="4122FF97" w14:textId="77777777" w:rsidR="009E1B2A" w:rsidRDefault="00F77981">
      <w:pPr>
        <w:spacing w:before="240" w:after="240"/>
        <w:rPr>
          <w:rFonts w:ascii="Arial" w:eastAsia="Arial" w:hAnsi="Arial" w:cs="Arial"/>
        </w:rPr>
      </w:pPr>
      <w:r>
        <w:rPr>
          <w:rFonts w:ascii="Arial" w:eastAsia="Arial" w:hAnsi="Arial" w:cs="Arial"/>
        </w:rPr>
        <w:t xml:space="preserve">Aujla, D. (2026). </w:t>
      </w:r>
      <w:r>
        <w:rPr>
          <w:rFonts w:ascii="Arial" w:eastAsia="Arial" w:hAnsi="Arial" w:cs="Arial"/>
          <w:i/>
          <w:iCs/>
        </w:rPr>
        <w:t>Marketing mastery: Strategies for captivating audiences</w:t>
      </w:r>
      <w:r>
        <w:rPr>
          <w:rFonts w:ascii="Arial" w:eastAsia="Arial" w:hAnsi="Arial" w:cs="Arial"/>
        </w:rPr>
        <w:t>. [online] Google Books. Available at: https://books.google.com/books?hl=en&amp;lr=&amp;id=RgEJEQAAQBAJ&amp;oi=fnd&amp;pg=PA43&amp;dq=Cadbury+has+a+consistent+brand+identity+across+the+world+but+caters+to+local+consumer+needs+by+developing+a+product+range+accordingly&amp;ots=06UAjlrwpn&amp;sig=0qeFSGMgdf0v5I5MtVviKl5RYec [Accessed 8 Aug. 2026].</w:t>
      </w:r>
    </w:p>
    <w:p w14:paraId="76B409B0" w14:textId="77777777" w:rsidR="009E1B2A" w:rsidRDefault="00F77981">
      <w:pPr>
        <w:spacing w:before="240" w:after="240"/>
        <w:rPr>
          <w:rFonts w:ascii="Arial" w:eastAsia="Arial" w:hAnsi="Arial" w:cs="Arial"/>
        </w:rPr>
      </w:pPr>
      <w:r>
        <w:rPr>
          <w:rFonts w:ascii="Arial" w:eastAsia="Arial" w:hAnsi="Arial" w:cs="Arial"/>
        </w:rPr>
        <w:t xml:space="preserve">Bartulay, G. (2024). </w:t>
      </w:r>
      <w:r>
        <w:rPr>
          <w:rFonts w:ascii="Arial" w:eastAsia="Arial" w:hAnsi="Arial" w:cs="Arial"/>
          <w:i/>
          <w:iCs/>
        </w:rPr>
        <w:t>Traditional advertising vs. digital advertising: Impact on small businesses</w:t>
      </w:r>
      <w:r>
        <w:rPr>
          <w:rFonts w:ascii="Arial" w:eastAsia="Arial" w:hAnsi="Arial" w:cs="Arial"/>
        </w:rPr>
        <w:t xml:space="preserve">. [online] </w:t>
      </w:r>
      <w:r>
        <w:rPr>
          <w:rFonts w:ascii="Arial" w:eastAsia="Arial" w:hAnsi="Arial" w:cs="Arial"/>
          <w:i/>
          <w:iCs/>
        </w:rPr>
        <w:t>ResearchGate</w:t>
      </w:r>
      <w:r>
        <w:rPr>
          <w:rFonts w:ascii="Arial" w:eastAsia="Arial" w:hAnsi="Arial" w:cs="Arial"/>
        </w:rPr>
        <w:t>. Available at: https://www.researchgate.net/publication/380460689_Traditional_Advertising_vs_Digital_Advertising_Impact_on_Small_Businesses [Accessed 8 Aug. 2026].</w:t>
      </w:r>
    </w:p>
    <w:p w14:paraId="73E489DD" w14:textId="77777777" w:rsidR="009E1B2A" w:rsidRDefault="00F77981">
      <w:pPr>
        <w:spacing w:before="240" w:after="240"/>
        <w:rPr>
          <w:rFonts w:ascii="Arial" w:eastAsia="Arial" w:hAnsi="Arial" w:cs="Arial"/>
        </w:rPr>
      </w:pPr>
      <w:r>
        <w:rPr>
          <w:rFonts w:ascii="Arial" w:eastAsia="Arial" w:hAnsi="Arial" w:cs="Arial"/>
        </w:rPr>
        <w:t xml:space="preserve">Cadbury (2026). </w:t>
      </w:r>
      <w:r>
        <w:rPr>
          <w:rFonts w:ascii="Arial" w:eastAsia="Arial" w:hAnsi="Arial" w:cs="Arial"/>
          <w:i/>
          <w:iCs/>
        </w:rPr>
        <w:t>About-Cadbury</w:t>
      </w:r>
      <w:r>
        <w:rPr>
          <w:rFonts w:ascii="Arial" w:eastAsia="Arial" w:hAnsi="Arial" w:cs="Arial"/>
        </w:rPr>
        <w:t xml:space="preserve">. [online] </w:t>
      </w:r>
      <w:r>
        <w:rPr>
          <w:rFonts w:ascii="Arial" w:eastAsia="Arial" w:hAnsi="Arial" w:cs="Arial"/>
          <w:i/>
          <w:iCs/>
        </w:rPr>
        <w:t>Cadbury</w:t>
      </w:r>
      <w:r>
        <w:rPr>
          <w:rFonts w:ascii="Arial" w:eastAsia="Arial" w:hAnsi="Arial" w:cs="Arial"/>
        </w:rPr>
        <w:t>. Available at: https://cadburytnc.weebly.com/about.html [Accessed 7 Aug. 2026].</w:t>
      </w:r>
    </w:p>
    <w:p w14:paraId="2189D6E7" w14:textId="77777777" w:rsidR="009E1B2A" w:rsidRDefault="00F77981">
      <w:pPr>
        <w:spacing w:before="240" w:after="240"/>
        <w:rPr>
          <w:rFonts w:ascii="Arial" w:eastAsia="Arial" w:hAnsi="Arial" w:cs="Arial"/>
        </w:rPr>
      </w:pPr>
      <w:r>
        <w:rPr>
          <w:rFonts w:ascii="Arial" w:eastAsia="Arial" w:hAnsi="Arial" w:cs="Arial"/>
        </w:rPr>
        <w:t xml:space="preserve">Chakraborty, M. (2024). Industrial clustering and location in India: Sectoral patterns of investments and employments. </w:t>
      </w:r>
      <w:r>
        <w:rPr>
          <w:rFonts w:ascii="Arial" w:eastAsia="Arial" w:hAnsi="Arial" w:cs="Arial"/>
          <w:i/>
          <w:iCs/>
        </w:rPr>
        <w:t>Regional Science Policy &amp; Practice</w:t>
      </w:r>
      <w:r>
        <w:rPr>
          <w:rFonts w:ascii="Arial" w:eastAsia="Arial" w:hAnsi="Arial" w:cs="Arial"/>
        </w:rPr>
        <w:t>, [online] p.100041. doi:10.1016/j.rspp.2024.100041.</w:t>
      </w:r>
    </w:p>
    <w:p w14:paraId="400619E2" w14:textId="77777777" w:rsidR="009E1B2A" w:rsidRDefault="00F77981">
      <w:pPr>
        <w:spacing w:before="240" w:after="240"/>
        <w:rPr>
          <w:rFonts w:ascii="Arial" w:eastAsia="Arial" w:hAnsi="Arial" w:cs="Arial"/>
        </w:rPr>
      </w:pPr>
      <w:r>
        <w:rPr>
          <w:rFonts w:ascii="Arial" w:eastAsia="Arial" w:hAnsi="Arial" w:cs="Arial"/>
        </w:rPr>
        <w:t xml:space="preserve">CPCB (2026). </w:t>
      </w:r>
      <w:r>
        <w:rPr>
          <w:rFonts w:ascii="Arial" w:eastAsia="Arial" w:hAnsi="Arial" w:cs="Arial"/>
          <w:i/>
          <w:iCs/>
        </w:rPr>
        <w:t>CPCB | central pollution control board</w:t>
      </w:r>
      <w:r>
        <w:rPr>
          <w:rFonts w:ascii="Arial" w:eastAsia="Arial" w:hAnsi="Arial" w:cs="Arial"/>
        </w:rPr>
        <w:t xml:space="preserve">. [online] </w:t>
      </w:r>
      <w:r>
        <w:rPr>
          <w:rFonts w:ascii="Arial" w:eastAsia="Arial" w:hAnsi="Arial" w:cs="Arial"/>
          <w:i/>
          <w:iCs/>
        </w:rPr>
        <w:t>cpcb.nic.in</w:t>
      </w:r>
      <w:r>
        <w:rPr>
          <w:rFonts w:ascii="Arial" w:eastAsia="Arial" w:hAnsi="Arial" w:cs="Arial"/>
        </w:rPr>
        <w:t>. Available at: https://cpcb.nic.in/rules-4/ [Accessed 8 Aug. 2026].</w:t>
      </w:r>
    </w:p>
    <w:p w14:paraId="451BD542" w14:textId="77777777" w:rsidR="009E1B2A" w:rsidRDefault="00F77981">
      <w:pPr>
        <w:spacing w:before="240" w:after="240"/>
        <w:rPr>
          <w:rFonts w:ascii="Arial" w:eastAsia="Arial" w:hAnsi="Arial" w:cs="Arial"/>
        </w:rPr>
      </w:pPr>
      <w:r>
        <w:rPr>
          <w:rFonts w:ascii="Arial" w:eastAsia="Arial" w:hAnsi="Arial" w:cs="Arial"/>
        </w:rPr>
        <w:t xml:space="preserve">DCA (2024). </w:t>
      </w:r>
      <w:r>
        <w:rPr>
          <w:rFonts w:ascii="Arial" w:eastAsia="Arial" w:hAnsi="Arial" w:cs="Arial"/>
          <w:i/>
          <w:iCs/>
        </w:rPr>
        <w:t>The legal metrology act</w:t>
      </w:r>
      <w:r>
        <w:rPr>
          <w:rFonts w:ascii="Arial" w:eastAsia="Arial" w:hAnsi="Arial" w:cs="Arial"/>
        </w:rPr>
        <w:t xml:space="preserve">. [online] </w:t>
      </w:r>
      <w:r>
        <w:rPr>
          <w:rFonts w:ascii="Arial" w:eastAsia="Arial" w:hAnsi="Arial" w:cs="Arial"/>
          <w:i/>
          <w:iCs/>
        </w:rPr>
        <w:t>Consumeraffairs.gov.in</w:t>
      </w:r>
      <w:r>
        <w:rPr>
          <w:rFonts w:ascii="Arial" w:eastAsia="Arial" w:hAnsi="Arial" w:cs="Arial"/>
        </w:rPr>
        <w:t>. Available at: https://consumeraffairs.gov.in/pages/legal-metrology-act [Accessed 6 Aug. 2026].</w:t>
      </w:r>
    </w:p>
    <w:p w14:paraId="57D11CDE" w14:textId="77777777" w:rsidR="009E1B2A" w:rsidRDefault="00F77981">
      <w:pPr>
        <w:spacing w:before="240" w:after="240"/>
        <w:rPr>
          <w:rFonts w:ascii="Arial" w:eastAsia="Arial" w:hAnsi="Arial" w:cs="Arial"/>
        </w:rPr>
      </w:pPr>
      <w:r>
        <w:rPr>
          <w:rFonts w:ascii="Arial" w:eastAsia="Arial" w:hAnsi="Arial" w:cs="Arial"/>
        </w:rPr>
        <w:t xml:space="preserve">EPA (2020). </w:t>
      </w:r>
      <w:r>
        <w:rPr>
          <w:rFonts w:ascii="Arial" w:eastAsia="Arial" w:hAnsi="Arial" w:cs="Arial"/>
          <w:i/>
          <w:iCs/>
        </w:rPr>
        <w:t>Summary of the resource conservation and recovery act | US EPA</w:t>
      </w:r>
      <w:r>
        <w:rPr>
          <w:rFonts w:ascii="Arial" w:eastAsia="Arial" w:hAnsi="Arial" w:cs="Arial"/>
        </w:rPr>
        <w:t xml:space="preserve">. [online] </w:t>
      </w:r>
      <w:r>
        <w:rPr>
          <w:rFonts w:ascii="Arial" w:eastAsia="Arial" w:hAnsi="Arial" w:cs="Arial"/>
          <w:i/>
          <w:iCs/>
        </w:rPr>
        <w:t>US EPA</w:t>
      </w:r>
      <w:r>
        <w:rPr>
          <w:rFonts w:ascii="Arial" w:eastAsia="Arial" w:hAnsi="Arial" w:cs="Arial"/>
        </w:rPr>
        <w:t>. Available at: https://www.epa.gov/laws-regulations/summary-resource-conservation-and-recovery-act [Accessed 5 Aug. 2026].</w:t>
      </w:r>
    </w:p>
    <w:p w14:paraId="0C4D4CF7" w14:textId="77777777" w:rsidR="009E1B2A" w:rsidRDefault="00F77981">
      <w:pPr>
        <w:spacing w:before="240" w:after="240"/>
        <w:rPr>
          <w:rFonts w:ascii="Arial" w:eastAsia="Arial" w:hAnsi="Arial" w:cs="Arial"/>
        </w:rPr>
      </w:pPr>
      <w:r>
        <w:rPr>
          <w:rFonts w:ascii="Arial" w:eastAsia="Arial" w:hAnsi="Arial" w:cs="Arial"/>
        </w:rPr>
        <w:t xml:space="preserve">Forbes (2026). </w:t>
      </w:r>
      <w:r>
        <w:rPr>
          <w:rFonts w:ascii="Arial" w:eastAsia="Arial" w:hAnsi="Arial" w:cs="Arial"/>
          <w:i/>
          <w:iCs/>
        </w:rPr>
        <w:t>FSSAI turns the screw on mislabelling</w:t>
      </w:r>
      <w:r>
        <w:rPr>
          <w:rFonts w:ascii="Arial" w:eastAsia="Arial" w:hAnsi="Arial" w:cs="Arial"/>
        </w:rPr>
        <w:t>. [online] forbesindia. Available at: https://www.forbesindia.com/article/news/deep-dive/fssai-turns-the-screw-on-mislabelling/2996711/1 [Accessed 6 Aug. 2026].</w:t>
      </w:r>
    </w:p>
    <w:p w14:paraId="0C8E4AD1" w14:textId="77777777" w:rsidR="009E1B2A" w:rsidRDefault="00F77981">
      <w:pPr>
        <w:spacing w:before="240" w:after="240"/>
        <w:rPr>
          <w:rFonts w:ascii="Arial" w:eastAsia="Arial" w:hAnsi="Arial" w:cs="Arial"/>
        </w:rPr>
      </w:pPr>
      <w:r>
        <w:rPr>
          <w:rFonts w:ascii="Arial" w:eastAsia="Arial" w:hAnsi="Arial" w:cs="Arial"/>
        </w:rPr>
        <w:t xml:space="preserve">Frode Alfnes, Aida Tabarroky Ardebili and Viktorija Viciunaite (2024). Exploring consumer segments for online food provisioning services: Online supermarkets vs. alternative food networks. </w:t>
      </w:r>
      <w:r>
        <w:rPr>
          <w:rFonts w:ascii="Arial" w:eastAsia="Arial" w:hAnsi="Arial" w:cs="Arial"/>
          <w:i/>
          <w:iCs/>
        </w:rPr>
        <w:t>Sustainable production and consumption</w:t>
      </w:r>
      <w:r>
        <w:rPr>
          <w:rFonts w:ascii="Arial" w:eastAsia="Arial" w:hAnsi="Arial" w:cs="Arial"/>
        </w:rPr>
        <w:t>. doi:10.1016/j.spc.2024.04.014.</w:t>
      </w:r>
    </w:p>
    <w:p w14:paraId="49D8F869" w14:textId="77777777" w:rsidR="009E1B2A" w:rsidRDefault="00F77981">
      <w:pPr>
        <w:spacing w:before="240" w:after="240"/>
        <w:rPr>
          <w:rFonts w:ascii="Arial" w:eastAsia="Arial" w:hAnsi="Arial" w:cs="Arial"/>
        </w:rPr>
      </w:pPr>
      <w:r>
        <w:rPr>
          <w:rFonts w:ascii="Arial" w:eastAsia="Arial" w:hAnsi="Arial" w:cs="Arial"/>
        </w:rPr>
        <w:t xml:space="preserve">Gerrard, M. (2022). </w:t>
      </w:r>
      <w:r>
        <w:rPr>
          <w:rFonts w:ascii="Arial" w:eastAsia="Arial" w:hAnsi="Arial" w:cs="Arial"/>
          <w:i/>
          <w:iCs/>
        </w:rPr>
        <w:t>The instascams of big candy: Greenwashing, corporate harm &amp; fraudulent ethical narratives</w:t>
      </w:r>
      <w:r>
        <w:rPr>
          <w:rFonts w:ascii="Arial" w:eastAsia="Arial" w:hAnsi="Arial" w:cs="Arial"/>
        </w:rPr>
        <w:t xml:space="preserve">. [online] </w:t>
      </w:r>
      <w:r>
        <w:rPr>
          <w:rFonts w:ascii="Arial" w:eastAsia="Arial" w:hAnsi="Arial" w:cs="Arial"/>
          <w:i/>
          <w:iCs/>
        </w:rPr>
        <w:t>openaccess.wgtn.ac.nz</w:t>
      </w:r>
      <w:r>
        <w:rPr>
          <w:rFonts w:ascii="Arial" w:eastAsia="Arial" w:hAnsi="Arial" w:cs="Arial"/>
        </w:rPr>
        <w:t>. Available at: https://openaccess.wgtn.ac.nz/articles/thesis/THE_INSTASCAMS_OF_BIG_CANDY_GREENWASHING_CORPORATE_HARM_FRAUDULENT_ETHICAL_NARRATIVES/19430873 [Accessed 4 Aug. 2026].</w:t>
      </w:r>
    </w:p>
    <w:p w14:paraId="23BEAEBC" w14:textId="77777777" w:rsidR="009E1B2A" w:rsidRDefault="00F77981">
      <w:pPr>
        <w:spacing w:before="240" w:after="240"/>
        <w:rPr>
          <w:rFonts w:ascii="Arial" w:eastAsia="Arial" w:hAnsi="Arial" w:cs="Arial"/>
        </w:rPr>
      </w:pPr>
      <w:r>
        <w:rPr>
          <w:rFonts w:ascii="Arial" w:eastAsia="Arial" w:hAnsi="Arial" w:cs="Arial"/>
        </w:rPr>
        <w:t xml:space="preserve">Gonen, L.D., Tavor, T. and Spiegel, U. (2024). Unlocking market potential: Strategic consumer segmentation and dynamic pricing for balancing loyalty and deal seeking. </w:t>
      </w:r>
      <w:r>
        <w:rPr>
          <w:rFonts w:ascii="Arial" w:eastAsia="Arial" w:hAnsi="Arial" w:cs="Arial"/>
          <w:i/>
          <w:iCs/>
        </w:rPr>
        <w:t>Mathematics</w:t>
      </w:r>
      <w:r>
        <w:rPr>
          <w:rFonts w:ascii="Arial" w:eastAsia="Arial" w:hAnsi="Arial" w:cs="Arial"/>
        </w:rPr>
        <w:t>, [online] 12(21), p.3364. Available at: https://www.mdpi.com/2227-7390/12/21/3364 [Accessed 4 Aug. 2026].</w:t>
      </w:r>
    </w:p>
    <w:p w14:paraId="65422CEC" w14:textId="77777777" w:rsidR="009E1B2A" w:rsidRDefault="00F77981">
      <w:pPr>
        <w:spacing w:before="240" w:after="240"/>
        <w:rPr>
          <w:rFonts w:ascii="Arial" w:eastAsia="Arial" w:hAnsi="Arial" w:cs="Arial"/>
        </w:rPr>
      </w:pPr>
      <w:r>
        <w:rPr>
          <w:rFonts w:ascii="Arial" w:eastAsia="Arial" w:hAnsi="Arial" w:cs="Arial"/>
        </w:rPr>
        <w:t xml:space="preserve">Gov.UK (2026). </w:t>
      </w:r>
      <w:r>
        <w:rPr>
          <w:rFonts w:ascii="Arial" w:eastAsia="Arial" w:hAnsi="Arial" w:cs="Arial"/>
          <w:i/>
          <w:iCs/>
        </w:rPr>
        <w:t>Directorate of enforcement</w:t>
      </w:r>
      <w:r>
        <w:rPr>
          <w:rFonts w:ascii="Arial" w:eastAsia="Arial" w:hAnsi="Arial" w:cs="Arial"/>
        </w:rPr>
        <w:t>. [online] Enforcementdirectorate.gov.in. Available at: https://www.enforcementdirectorate.gov.in/acts-and-rules/fema/ [Accessed 8 Aug. 2026].</w:t>
      </w:r>
    </w:p>
    <w:p w14:paraId="36C256A4" w14:textId="77777777" w:rsidR="009E1B2A" w:rsidRDefault="00F77981">
      <w:pPr>
        <w:spacing w:before="240" w:after="240"/>
        <w:rPr>
          <w:rFonts w:ascii="Arial" w:eastAsia="Arial" w:hAnsi="Arial" w:cs="Arial"/>
        </w:rPr>
      </w:pPr>
      <w:r>
        <w:rPr>
          <w:rFonts w:ascii="Arial" w:eastAsia="Arial" w:hAnsi="Arial" w:cs="Arial"/>
        </w:rPr>
        <w:t xml:space="preserve">GOV.UK (2026). </w:t>
      </w:r>
      <w:r>
        <w:rPr>
          <w:rFonts w:ascii="Arial" w:eastAsia="Arial" w:hAnsi="Arial" w:cs="Arial"/>
          <w:i/>
          <w:iCs/>
        </w:rPr>
        <w:t>Food labelling and packaging</w:t>
      </w:r>
      <w:r>
        <w:rPr>
          <w:rFonts w:ascii="Arial" w:eastAsia="Arial" w:hAnsi="Arial" w:cs="Arial"/>
        </w:rPr>
        <w:t xml:space="preserve">. [online] </w:t>
      </w:r>
      <w:r>
        <w:rPr>
          <w:rFonts w:ascii="Arial" w:eastAsia="Arial" w:hAnsi="Arial" w:cs="Arial"/>
          <w:i/>
          <w:iCs/>
        </w:rPr>
        <w:t>GOV.UK</w:t>
      </w:r>
      <w:r>
        <w:rPr>
          <w:rFonts w:ascii="Arial" w:eastAsia="Arial" w:hAnsi="Arial" w:cs="Arial"/>
        </w:rPr>
        <w:t>. Available at: https://www.gov.uk/food-labelling-and-packaging [Accessed 8 Aug. 2026].</w:t>
      </w:r>
    </w:p>
    <w:p w14:paraId="5882A38C" w14:textId="77777777" w:rsidR="009E1B2A" w:rsidRDefault="00F77981">
      <w:pPr>
        <w:spacing w:before="240" w:after="240"/>
        <w:rPr>
          <w:rFonts w:ascii="Arial" w:eastAsia="Arial" w:hAnsi="Arial" w:cs="Arial"/>
        </w:rPr>
      </w:pPr>
      <w:r>
        <w:rPr>
          <w:rFonts w:ascii="Arial" w:eastAsia="Arial" w:hAnsi="Arial" w:cs="Arial"/>
        </w:rPr>
        <w:t xml:space="preserve">GST (2026). </w:t>
      </w:r>
      <w:r>
        <w:rPr>
          <w:rFonts w:ascii="Arial" w:eastAsia="Arial" w:hAnsi="Arial" w:cs="Arial"/>
          <w:i/>
          <w:iCs/>
        </w:rPr>
        <w:t>Goods &amp; services tax (GST) | returns</w:t>
      </w:r>
      <w:r>
        <w:rPr>
          <w:rFonts w:ascii="Arial" w:eastAsia="Arial" w:hAnsi="Arial" w:cs="Arial"/>
        </w:rPr>
        <w:t xml:space="preserve">. [online] </w:t>
      </w:r>
      <w:r>
        <w:rPr>
          <w:rFonts w:ascii="Arial" w:eastAsia="Arial" w:hAnsi="Arial" w:cs="Arial"/>
          <w:i/>
          <w:iCs/>
        </w:rPr>
        <w:t>Gst.gov.in</w:t>
      </w:r>
      <w:r>
        <w:rPr>
          <w:rFonts w:ascii="Arial" w:eastAsia="Arial" w:hAnsi="Arial" w:cs="Arial"/>
        </w:rPr>
        <w:t>. Available at: https://www.gst.gov.in/help/returns [Accessed 7 Aug. 2026].</w:t>
      </w:r>
    </w:p>
    <w:p w14:paraId="26C92720" w14:textId="77777777" w:rsidR="009E1B2A" w:rsidRDefault="00F77981">
      <w:pPr>
        <w:spacing w:before="240" w:after="240"/>
        <w:rPr>
          <w:rFonts w:ascii="Arial" w:eastAsia="Arial" w:hAnsi="Arial" w:cs="Arial"/>
        </w:rPr>
      </w:pPr>
      <w:r>
        <w:rPr>
          <w:rFonts w:ascii="Arial" w:eastAsia="Arial" w:hAnsi="Arial" w:cs="Arial"/>
        </w:rPr>
        <w:t xml:space="preserve">Ho, K.F.X., Liu, F., Tarabashkina, L. and Volery, T. (2022). Cross-cultural differences in consumers” attention to food labels. </w:t>
      </w:r>
      <w:r>
        <w:rPr>
          <w:rFonts w:ascii="Arial" w:eastAsia="Arial" w:hAnsi="Arial" w:cs="Arial"/>
          <w:i/>
          <w:iCs/>
        </w:rPr>
        <w:t>British Food Journal</w:t>
      </w:r>
      <w:r>
        <w:rPr>
          <w:rFonts w:ascii="Arial" w:eastAsia="Arial" w:hAnsi="Arial" w:cs="Arial"/>
        </w:rPr>
        <w:t>, ahead-of-print(ahead-of-print). doi:10.1108/bfj-07-2021-0751.</w:t>
      </w:r>
    </w:p>
    <w:p w14:paraId="0DEEB45F" w14:textId="77777777" w:rsidR="009E1B2A" w:rsidRDefault="00F77981">
      <w:pPr>
        <w:spacing w:before="240" w:after="240"/>
        <w:rPr>
          <w:rFonts w:ascii="Arial" w:eastAsia="Arial" w:hAnsi="Arial" w:cs="Arial"/>
        </w:rPr>
      </w:pPr>
      <w:r>
        <w:rPr>
          <w:rFonts w:ascii="Arial" w:eastAsia="Arial" w:hAnsi="Arial" w:cs="Arial"/>
        </w:rPr>
        <w:t xml:space="preserve">Hofstede Insights (2025). </w:t>
      </w:r>
      <w:r>
        <w:rPr>
          <w:rFonts w:ascii="Arial" w:eastAsia="Arial" w:hAnsi="Arial" w:cs="Arial"/>
          <w:i/>
          <w:iCs/>
        </w:rPr>
        <w:t>Country comparison tool</w:t>
      </w:r>
      <w:r>
        <w:rPr>
          <w:rFonts w:ascii="Arial" w:eastAsia="Arial" w:hAnsi="Arial" w:cs="Arial"/>
        </w:rPr>
        <w:t xml:space="preserve">. [online] </w:t>
      </w:r>
      <w:r>
        <w:rPr>
          <w:rFonts w:ascii="Arial" w:eastAsia="Arial" w:hAnsi="Arial" w:cs="Arial"/>
          <w:i/>
          <w:iCs/>
        </w:rPr>
        <w:t>Theculturefactor.com</w:t>
      </w:r>
      <w:r>
        <w:rPr>
          <w:rFonts w:ascii="Arial" w:eastAsia="Arial" w:hAnsi="Arial" w:cs="Arial"/>
        </w:rPr>
        <w:t>. Available at: https://www.theculturefactor.com/country-comparison-tool?countries=india%2Cunited+states [Accessed 4 Aug. 2026].</w:t>
      </w:r>
    </w:p>
    <w:p w14:paraId="198A4767" w14:textId="77777777" w:rsidR="009E1B2A" w:rsidRDefault="00F77981">
      <w:pPr>
        <w:spacing w:before="240" w:after="240"/>
        <w:rPr>
          <w:rFonts w:ascii="Arial" w:eastAsia="Arial" w:hAnsi="Arial" w:cs="Arial"/>
        </w:rPr>
      </w:pPr>
      <w:r>
        <w:rPr>
          <w:rFonts w:ascii="Arial" w:eastAsia="Arial" w:hAnsi="Arial" w:cs="Arial"/>
        </w:rPr>
        <w:t xml:space="preserve">IES (2026). </w:t>
      </w:r>
      <w:r>
        <w:rPr>
          <w:rFonts w:ascii="Arial" w:eastAsia="Arial" w:hAnsi="Arial" w:cs="Arial"/>
          <w:i/>
          <w:iCs/>
        </w:rPr>
        <w:t>Food safety and standards act, 2006 | Indian economic service</w:t>
      </w:r>
      <w:r>
        <w:rPr>
          <w:rFonts w:ascii="Arial" w:eastAsia="Arial" w:hAnsi="Arial" w:cs="Arial"/>
        </w:rPr>
        <w:t>. [online] Ies.gov.in. Available at: https://ies.gov.in/arthapedia/concept/food-safety-and-standards-act-2006 [Accessed 8 Aug. 2026].</w:t>
      </w:r>
    </w:p>
    <w:p w14:paraId="68E1F84E" w14:textId="77777777" w:rsidR="009E1B2A" w:rsidRDefault="00F77981">
      <w:pPr>
        <w:spacing w:before="240" w:after="240"/>
        <w:rPr>
          <w:rFonts w:ascii="Arial" w:eastAsia="Arial" w:hAnsi="Arial" w:cs="Arial"/>
        </w:rPr>
      </w:pPr>
      <w:r>
        <w:rPr>
          <w:rFonts w:ascii="Arial" w:eastAsia="Arial" w:hAnsi="Arial" w:cs="Arial"/>
        </w:rPr>
        <w:t xml:space="preserve">IRM India (2021). </w:t>
      </w:r>
      <w:r>
        <w:rPr>
          <w:rFonts w:ascii="Arial" w:eastAsia="Arial" w:hAnsi="Arial" w:cs="Arial"/>
          <w:i/>
          <w:iCs/>
        </w:rPr>
        <w:t>When crisis led to consumer safety: The story of Cadbury</w:t>
      </w:r>
      <w:r>
        <w:rPr>
          <w:rFonts w:ascii="Arial" w:eastAsia="Arial" w:hAnsi="Arial" w:cs="Arial"/>
        </w:rPr>
        <w:t xml:space="preserve">. [online] </w:t>
      </w:r>
      <w:r>
        <w:rPr>
          <w:rFonts w:ascii="Arial" w:eastAsia="Arial" w:hAnsi="Arial" w:cs="Arial"/>
          <w:i/>
          <w:iCs/>
        </w:rPr>
        <w:t>IRM India Affiliate</w:t>
      </w:r>
      <w:r>
        <w:rPr>
          <w:rFonts w:ascii="Arial" w:eastAsia="Arial" w:hAnsi="Arial" w:cs="Arial"/>
        </w:rPr>
        <w:t>. Available at: https://www.theirmindia.org/blog/when-crisis-led-to-consumer-safety-the-story-of-cadbury/ [Accessed 8 Aug. 2026].</w:t>
      </w:r>
    </w:p>
    <w:p w14:paraId="3FFFC9E3" w14:textId="77777777" w:rsidR="009E1B2A" w:rsidRDefault="00F77981">
      <w:pPr>
        <w:spacing w:before="240" w:after="240"/>
        <w:rPr>
          <w:rFonts w:ascii="Arial" w:eastAsia="Arial" w:hAnsi="Arial" w:cs="Arial"/>
        </w:rPr>
      </w:pPr>
      <w:r>
        <w:rPr>
          <w:rFonts w:ascii="Arial" w:eastAsia="Arial" w:hAnsi="Arial" w:cs="Arial"/>
        </w:rPr>
        <w:t xml:space="preserve">ITA (2024). </w:t>
      </w:r>
      <w:r>
        <w:rPr>
          <w:rFonts w:ascii="Arial" w:eastAsia="Arial" w:hAnsi="Arial" w:cs="Arial"/>
          <w:i/>
          <w:iCs/>
        </w:rPr>
        <w:t>India - digital economy</w:t>
      </w:r>
      <w:r>
        <w:rPr>
          <w:rFonts w:ascii="Arial" w:eastAsia="Arial" w:hAnsi="Arial" w:cs="Arial"/>
        </w:rPr>
        <w:t xml:space="preserve">. [online] </w:t>
      </w:r>
      <w:r>
        <w:rPr>
          <w:rFonts w:ascii="Arial" w:eastAsia="Arial" w:hAnsi="Arial" w:cs="Arial"/>
          <w:i/>
          <w:iCs/>
        </w:rPr>
        <w:t>International Trade Administration | Trade.gov</w:t>
      </w:r>
      <w:r>
        <w:rPr>
          <w:rFonts w:ascii="Arial" w:eastAsia="Arial" w:hAnsi="Arial" w:cs="Arial"/>
        </w:rPr>
        <w:t>. Available at: https://www.trade.gov/country-commercial-guides/india-digital-economy [Accessed 6 Aug. 2026].</w:t>
      </w:r>
    </w:p>
    <w:p w14:paraId="52F0E57A" w14:textId="77777777" w:rsidR="009E1B2A" w:rsidRDefault="00F77981">
      <w:pPr>
        <w:spacing w:before="240" w:after="240"/>
        <w:rPr>
          <w:rFonts w:ascii="Arial" w:eastAsia="Arial" w:hAnsi="Arial" w:cs="Arial"/>
        </w:rPr>
      </w:pPr>
      <w:r>
        <w:rPr>
          <w:rFonts w:ascii="Arial" w:eastAsia="Arial" w:hAnsi="Arial" w:cs="Arial"/>
        </w:rPr>
        <w:t xml:space="preserve">Javaid, A. (2023). </w:t>
      </w:r>
      <w:r>
        <w:rPr>
          <w:rFonts w:ascii="Arial" w:eastAsia="Arial" w:hAnsi="Arial" w:cs="Arial"/>
          <w:i/>
          <w:iCs/>
        </w:rPr>
        <w:t>Man who criticised Cadbury’s bournvita deletes video, apologises. Here’s why | trending</w:t>
      </w:r>
      <w:r>
        <w:rPr>
          <w:rFonts w:ascii="Arial" w:eastAsia="Arial" w:hAnsi="Arial" w:cs="Arial"/>
        </w:rPr>
        <w:t>. [online] Hindustan Times. Available at: https://www.hindustantimes.com/trending/man-who-criticised-cadbury-s-bournvita-deletes-video-apologises-here-s-why-101681728149960.html [Accessed 7 Aug. 2026].</w:t>
      </w:r>
    </w:p>
    <w:p w14:paraId="7EA05541" w14:textId="77777777" w:rsidR="009E1B2A" w:rsidRDefault="00F77981">
      <w:pPr>
        <w:spacing w:before="240" w:after="240"/>
        <w:rPr>
          <w:rFonts w:ascii="Arial" w:eastAsia="Arial" w:hAnsi="Arial" w:cs="Arial"/>
        </w:rPr>
      </w:pPr>
      <w:r>
        <w:rPr>
          <w:rFonts w:ascii="Arial" w:eastAsia="Arial" w:hAnsi="Arial" w:cs="Arial"/>
        </w:rPr>
        <w:t>Jiménez Romanillos, E., Williams, H. and Wever, R. (2024). Unpacking behaviours: A literature study and research agenda on consumer behaviour in packaging</w:t>
      </w:r>
      <w:r>
        <w:rPr>
          <w:rFonts w:ascii="Cambria Math" w:eastAsia="Cambria Math" w:hAnsi="Cambria Math" w:cs="Cambria Math"/>
        </w:rPr>
        <w:t>‐</w:t>
      </w:r>
      <w:r>
        <w:rPr>
          <w:rFonts w:ascii="Arial" w:eastAsia="Arial" w:hAnsi="Arial" w:cs="Arial"/>
        </w:rPr>
        <w:t xml:space="preserve">free systems. </w:t>
      </w:r>
      <w:r>
        <w:rPr>
          <w:rFonts w:ascii="Arial" w:eastAsia="Arial" w:hAnsi="Arial" w:cs="Arial"/>
          <w:i/>
          <w:iCs/>
        </w:rPr>
        <w:t>Packaging technology &amp; science/Packaging technology and science</w:t>
      </w:r>
      <w:r>
        <w:rPr>
          <w:rFonts w:ascii="Arial" w:eastAsia="Arial" w:hAnsi="Arial" w:cs="Arial"/>
        </w:rPr>
        <w:t>. doi:10.1002/pts.2825.</w:t>
      </w:r>
    </w:p>
    <w:p w14:paraId="67F399F1" w14:textId="77777777" w:rsidR="009E1B2A" w:rsidRDefault="00F77981">
      <w:pPr>
        <w:spacing w:before="240" w:after="240"/>
        <w:rPr>
          <w:rFonts w:ascii="Arial" w:eastAsia="Arial" w:hAnsi="Arial" w:cs="Arial"/>
        </w:rPr>
      </w:pPr>
      <w:r>
        <w:rPr>
          <w:rFonts w:ascii="Arial" w:eastAsia="Arial" w:hAnsi="Arial" w:cs="Arial"/>
        </w:rPr>
        <w:t xml:space="preserve">Mandal, S.C. (2025). Regulatory aspects on food safety and standards. </w:t>
      </w:r>
      <w:r>
        <w:rPr>
          <w:rFonts w:ascii="Arial" w:eastAsia="Arial" w:hAnsi="Arial" w:cs="Arial"/>
          <w:i/>
          <w:iCs/>
        </w:rPr>
        <w:t>Dietary Supplements and Nutraceuticals</w:t>
      </w:r>
      <w:r>
        <w:rPr>
          <w:rFonts w:ascii="Arial" w:eastAsia="Arial" w:hAnsi="Arial" w:cs="Arial"/>
        </w:rPr>
        <w:t>, pp.853–878. doi:10.1007/978-981-96-8622-3_26.</w:t>
      </w:r>
    </w:p>
    <w:p w14:paraId="0765B202" w14:textId="77777777" w:rsidR="009E1B2A" w:rsidRDefault="00F77981">
      <w:pPr>
        <w:spacing w:before="240" w:after="240"/>
        <w:rPr>
          <w:rFonts w:ascii="Arial" w:eastAsia="Arial" w:hAnsi="Arial" w:cs="Arial"/>
        </w:rPr>
      </w:pPr>
      <w:r>
        <w:rPr>
          <w:rFonts w:ascii="Arial" w:eastAsia="Arial" w:hAnsi="Arial" w:cs="Arial"/>
        </w:rPr>
        <w:t xml:space="preserve">Mehta, A., Ramanathan, P. and Kulkarni, R. (2026). Global business strategy in India: Market entry, competitive dynamics, and institutional adaptation. </w:t>
      </w:r>
      <w:r>
        <w:rPr>
          <w:rFonts w:ascii="Arial" w:eastAsia="Arial" w:hAnsi="Arial" w:cs="Arial"/>
          <w:i/>
          <w:iCs/>
        </w:rPr>
        <w:t>Advanced Industrial and Business Management</w:t>
      </w:r>
      <w:r>
        <w:rPr>
          <w:rFonts w:ascii="Arial" w:eastAsia="Arial" w:hAnsi="Arial" w:cs="Arial"/>
        </w:rPr>
        <w:t>, 1(2). doi:10.53623/aibm.v1i2.1259.</w:t>
      </w:r>
    </w:p>
    <w:p w14:paraId="636AA914" w14:textId="77777777" w:rsidR="009E1B2A" w:rsidRDefault="00F77981">
      <w:pPr>
        <w:spacing w:before="240" w:after="240"/>
        <w:rPr>
          <w:rFonts w:ascii="Arial" w:eastAsia="Arial" w:hAnsi="Arial" w:cs="Arial"/>
        </w:rPr>
      </w:pPr>
      <w:r>
        <w:rPr>
          <w:rFonts w:ascii="Arial" w:eastAsia="Arial" w:hAnsi="Arial" w:cs="Arial"/>
        </w:rPr>
        <w:t xml:space="preserve">Mohapatro, A. (2025). </w:t>
      </w:r>
      <w:r>
        <w:rPr>
          <w:rFonts w:ascii="Arial" w:eastAsia="Arial" w:hAnsi="Arial" w:cs="Arial"/>
          <w:i/>
          <w:iCs/>
        </w:rPr>
        <w:t>Analysis of Consumer Preferences for Cadbury Chocolates in India</w:t>
      </w:r>
      <w:r>
        <w:rPr>
          <w:rFonts w:ascii="Arial" w:eastAsia="Arial" w:hAnsi="Arial" w:cs="Arial"/>
        </w:rPr>
        <w:t xml:space="preserve">. [online] </w:t>
      </w:r>
      <w:r>
        <w:rPr>
          <w:rFonts w:ascii="Arial" w:eastAsia="Arial" w:hAnsi="Arial" w:cs="Arial"/>
          <w:i/>
          <w:iCs/>
        </w:rPr>
        <w:t>ResearchGate</w:t>
      </w:r>
      <w:r>
        <w:rPr>
          <w:rFonts w:ascii="Arial" w:eastAsia="Arial" w:hAnsi="Arial" w:cs="Arial"/>
        </w:rPr>
        <w:t>. Available at: https://www.researchgate.net/publication/390301474_Analysis_of_Consumer_Preferences_for_Cadbury_Chocolates_in_India [Accessed 8 Aug. 2026].</w:t>
      </w:r>
    </w:p>
    <w:p w14:paraId="0DE54081" w14:textId="77777777" w:rsidR="009E1B2A" w:rsidRDefault="00F77981">
      <w:pPr>
        <w:spacing w:before="240" w:after="240"/>
        <w:rPr>
          <w:rFonts w:ascii="Arial" w:eastAsia="Arial" w:hAnsi="Arial" w:cs="Arial"/>
        </w:rPr>
      </w:pPr>
      <w:r>
        <w:rPr>
          <w:rFonts w:ascii="Arial" w:eastAsia="Arial" w:hAnsi="Arial" w:cs="Arial"/>
        </w:rPr>
        <w:t xml:space="preserve">Mondelēz International (2024). </w:t>
      </w:r>
      <w:r>
        <w:rPr>
          <w:rFonts w:ascii="Arial" w:eastAsia="Arial" w:hAnsi="Arial" w:cs="Arial"/>
          <w:i/>
          <w:iCs/>
        </w:rPr>
        <w:t>Our history | Mondelēz International, Inc.</w:t>
      </w:r>
      <w:r>
        <w:rPr>
          <w:rFonts w:ascii="Arial" w:eastAsia="Arial" w:hAnsi="Arial" w:cs="Arial"/>
        </w:rPr>
        <w:t xml:space="preserve"> [online] </w:t>
      </w:r>
      <w:r>
        <w:rPr>
          <w:rFonts w:ascii="Arial" w:eastAsia="Arial" w:hAnsi="Arial" w:cs="Arial"/>
          <w:i/>
          <w:iCs/>
        </w:rPr>
        <w:t>www.mondelezinternational.com</w:t>
      </w:r>
      <w:r>
        <w:rPr>
          <w:rFonts w:ascii="Arial" w:eastAsia="Arial" w:hAnsi="Arial" w:cs="Arial"/>
        </w:rPr>
        <w:t>. Available at: https://www.mondelezinternational.com/About-Us/Who-We-Are/Our-History/ [Accessed 8 Aug. 2026].</w:t>
      </w:r>
    </w:p>
    <w:p w14:paraId="2EE85F58" w14:textId="77777777" w:rsidR="009E1B2A" w:rsidRDefault="00F77981">
      <w:pPr>
        <w:spacing w:before="240" w:after="240"/>
        <w:rPr>
          <w:rFonts w:ascii="Arial" w:eastAsia="Arial" w:hAnsi="Arial" w:cs="Arial"/>
        </w:rPr>
      </w:pPr>
      <w:r>
        <w:rPr>
          <w:rFonts w:ascii="Arial" w:eastAsia="Arial" w:hAnsi="Arial" w:cs="Arial"/>
        </w:rPr>
        <w:t xml:space="preserve">Okonkwo, I., Mujinga, J., Namkoisse, E. and Francisco, A. (2023). Localization and global marketing: Adapting digital strategies for diverse audiences. </w:t>
      </w:r>
      <w:r>
        <w:rPr>
          <w:rFonts w:ascii="Arial" w:eastAsia="Arial" w:hAnsi="Arial" w:cs="Arial"/>
          <w:i/>
          <w:iCs/>
        </w:rPr>
        <w:t>Journal of Digital Marketing and Communication</w:t>
      </w:r>
      <w:r>
        <w:rPr>
          <w:rFonts w:ascii="Arial" w:eastAsia="Arial" w:hAnsi="Arial" w:cs="Arial"/>
        </w:rPr>
        <w:t>, [online] 3(2), pp.66–80. doi:10.53623/jdmc.v3i2.311.</w:t>
      </w:r>
    </w:p>
    <w:p w14:paraId="239E7B94" w14:textId="77777777" w:rsidR="009E1B2A" w:rsidRDefault="00F77981">
      <w:pPr>
        <w:spacing w:before="240" w:after="240"/>
        <w:rPr>
          <w:rFonts w:ascii="Arial" w:eastAsia="Arial" w:hAnsi="Arial" w:cs="Arial"/>
        </w:rPr>
      </w:pPr>
      <w:r>
        <w:rPr>
          <w:rFonts w:ascii="Arial" w:eastAsia="Arial" w:hAnsi="Arial" w:cs="Arial"/>
        </w:rPr>
        <w:t xml:space="preserve">Oluwatolani Vivian Akinrinoye, Omolola Temitope Kufile, Bisayo Oluwatosin Otokiti and Abiodun Onifade (2020). Customer segmentation strategies in emerging markets: A review of tools, models, and applications. </w:t>
      </w:r>
      <w:r>
        <w:rPr>
          <w:rFonts w:ascii="Arial" w:eastAsia="Arial" w:hAnsi="Arial" w:cs="Arial"/>
          <w:i/>
          <w:iCs/>
        </w:rPr>
        <w:t>International Journal of Scientific Research in Computer Science Engineering and Information Technology</w:t>
      </w:r>
      <w:r>
        <w:rPr>
          <w:rFonts w:ascii="Arial" w:eastAsia="Arial" w:hAnsi="Arial" w:cs="Arial"/>
        </w:rPr>
        <w:t>, [online] 6(1), pp.194–217. Available at: https://www.researchgate.net/publication/394014688_Customer_Segmentation_Strategies_in_Emerging_Markets_A_Review_of_Tools_Models_and_Applications [Accessed 6 Aug. 2026].</w:t>
      </w:r>
    </w:p>
    <w:p w14:paraId="11F7909F" w14:textId="77777777" w:rsidR="009E1B2A" w:rsidRDefault="00F77981">
      <w:pPr>
        <w:spacing w:before="240" w:after="240"/>
        <w:rPr>
          <w:rFonts w:ascii="Arial" w:eastAsia="Arial" w:hAnsi="Arial" w:cs="Arial"/>
        </w:rPr>
      </w:pPr>
      <w:r>
        <w:rPr>
          <w:rFonts w:ascii="Arial" w:eastAsia="Arial" w:hAnsi="Arial" w:cs="Arial"/>
        </w:rPr>
        <w:t xml:space="preserve">ONS (2025). </w:t>
      </w:r>
      <w:r>
        <w:rPr>
          <w:rFonts w:ascii="Arial" w:eastAsia="Arial" w:hAnsi="Arial" w:cs="Arial"/>
          <w:i/>
          <w:iCs/>
        </w:rPr>
        <w:t>Gross domestic product (GDP) - office for national statistics</w:t>
      </w:r>
      <w:r>
        <w:rPr>
          <w:rFonts w:ascii="Arial" w:eastAsia="Arial" w:hAnsi="Arial" w:cs="Arial"/>
        </w:rPr>
        <w:t xml:space="preserve">. [online] </w:t>
      </w:r>
      <w:r>
        <w:rPr>
          <w:rFonts w:ascii="Arial" w:eastAsia="Arial" w:hAnsi="Arial" w:cs="Arial"/>
          <w:i/>
          <w:iCs/>
        </w:rPr>
        <w:t>Ons.gov.uk</w:t>
      </w:r>
      <w:r>
        <w:rPr>
          <w:rFonts w:ascii="Arial" w:eastAsia="Arial" w:hAnsi="Arial" w:cs="Arial"/>
        </w:rPr>
        <w:t>. Available at: https://www.ons.gov.uk/economy/grossdomesticproductgdp [Accessed 8 Aug. 2026].</w:t>
      </w:r>
    </w:p>
    <w:p w14:paraId="6173CB8C" w14:textId="77777777" w:rsidR="009E1B2A" w:rsidRDefault="00F77981">
      <w:pPr>
        <w:spacing w:before="240" w:after="240"/>
        <w:rPr>
          <w:rFonts w:ascii="Arial" w:eastAsia="Arial" w:hAnsi="Arial" w:cs="Arial"/>
        </w:rPr>
      </w:pPr>
      <w:r>
        <w:rPr>
          <w:rFonts w:ascii="Arial" w:eastAsia="Arial" w:hAnsi="Arial" w:cs="Arial"/>
        </w:rPr>
        <w:t xml:space="preserve">Pallavi Utagi (2023). </w:t>
      </w:r>
      <w:r>
        <w:rPr>
          <w:rFonts w:ascii="Arial" w:eastAsia="Arial" w:hAnsi="Arial" w:cs="Arial"/>
          <w:i/>
          <w:iCs/>
        </w:rPr>
        <w:t>Targeting tier 2 cities and beyond remains the secret sauce for start-ups</w:t>
      </w:r>
      <w:r>
        <w:rPr>
          <w:rFonts w:ascii="Arial" w:eastAsia="Arial" w:hAnsi="Arial" w:cs="Arial"/>
        </w:rPr>
        <w:t xml:space="preserve">. [online] </w:t>
      </w:r>
      <w:r>
        <w:rPr>
          <w:rFonts w:ascii="Arial" w:eastAsia="Arial" w:hAnsi="Arial" w:cs="Arial"/>
          <w:i/>
          <w:iCs/>
        </w:rPr>
        <w:t>Times of India Blog</w:t>
      </w:r>
      <w:r>
        <w:rPr>
          <w:rFonts w:ascii="Arial" w:eastAsia="Arial" w:hAnsi="Arial" w:cs="Arial"/>
        </w:rPr>
        <w:t>. Times of India. Available at: https://timesofindia.indiatimes.com/blogs/voices/targeting-tier-2-cities-and-beyond-remains-the-secret-sauce-for-start-ups/ [Accessed 8 Aug. 2026].</w:t>
      </w:r>
    </w:p>
    <w:p w14:paraId="3254A502" w14:textId="77777777" w:rsidR="009E1B2A" w:rsidRDefault="00F77981">
      <w:pPr>
        <w:spacing w:before="240" w:after="240"/>
        <w:rPr>
          <w:rFonts w:ascii="Arial" w:eastAsia="Arial" w:hAnsi="Arial" w:cs="Arial"/>
        </w:rPr>
      </w:pPr>
      <w:r>
        <w:rPr>
          <w:rFonts w:ascii="Arial" w:eastAsia="Arial" w:hAnsi="Arial" w:cs="Arial"/>
        </w:rPr>
        <w:t xml:space="preserve">Panda, R.C., Nitu Maurya and Islam, M.S. (2021). </w:t>
      </w:r>
      <w:r>
        <w:rPr>
          <w:rFonts w:ascii="Arial" w:eastAsia="Arial" w:hAnsi="Arial" w:cs="Arial"/>
          <w:i/>
          <w:iCs/>
        </w:rPr>
        <w:t>Industrial people management Volume-IV</w:t>
      </w:r>
      <w:r>
        <w:rPr>
          <w:rFonts w:ascii="Arial" w:eastAsia="Arial" w:hAnsi="Arial" w:cs="Arial"/>
        </w:rPr>
        <w:t xml:space="preserve">. [online] </w:t>
      </w:r>
      <w:r>
        <w:rPr>
          <w:rFonts w:ascii="Arial" w:eastAsia="Arial" w:hAnsi="Arial" w:cs="Arial"/>
          <w:i/>
          <w:iCs/>
        </w:rPr>
        <w:t>ResearchGate</w:t>
      </w:r>
      <w:r>
        <w:rPr>
          <w:rFonts w:ascii="Arial" w:eastAsia="Arial" w:hAnsi="Arial" w:cs="Arial"/>
        </w:rPr>
        <w:t>. unknown. Available at: https://www.researchgate.net/publication/350734917_Industrial_People_Management_Volume-IV [Accessed 5 Aug. 2026].</w:t>
      </w:r>
    </w:p>
    <w:p w14:paraId="744B0DD2" w14:textId="77777777" w:rsidR="009E1B2A" w:rsidRDefault="00F77981">
      <w:pPr>
        <w:spacing w:before="240" w:after="240"/>
        <w:rPr>
          <w:rFonts w:ascii="Arial" w:eastAsia="Arial" w:hAnsi="Arial" w:cs="Arial"/>
        </w:rPr>
      </w:pPr>
      <w:r>
        <w:rPr>
          <w:rFonts w:ascii="Arial" w:eastAsia="Arial" w:hAnsi="Arial" w:cs="Arial"/>
        </w:rPr>
        <w:t xml:space="preserve">PIB (2026). </w:t>
      </w:r>
      <w:r>
        <w:rPr>
          <w:rFonts w:ascii="Arial" w:eastAsia="Arial" w:hAnsi="Arial" w:cs="Arial"/>
          <w:i/>
          <w:iCs/>
        </w:rPr>
        <w:t>PIB backgrounder</w:t>
      </w:r>
      <w:r>
        <w:rPr>
          <w:rFonts w:ascii="Arial" w:eastAsia="Arial" w:hAnsi="Arial" w:cs="Arial"/>
        </w:rPr>
        <w:t>. [online] Pib.gov.in. Available at: https://www.pib.gov.in/PressNoteDetails.aspx?id=154867&amp;NoteId=154867&amp;ModuleId=3 [Accessed 8 Aug. 2026].</w:t>
      </w:r>
    </w:p>
    <w:p w14:paraId="7E5E3828" w14:textId="77777777" w:rsidR="009E1B2A" w:rsidRDefault="00F77981">
      <w:pPr>
        <w:spacing w:before="240" w:after="240"/>
        <w:rPr>
          <w:rFonts w:ascii="Arial" w:eastAsia="Arial" w:hAnsi="Arial" w:cs="Arial"/>
        </w:rPr>
      </w:pPr>
      <w:r>
        <w:rPr>
          <w:rFonts w:ascii="Arial" w:eastAsia="Arial" w:hAnsi="Arial" w:cs="Arial"/>
        </w:rPr>
        <w:t xml:space="preserve">Press Trust of India (2023). </w:t>
      </w:r>
      <w:r>
        <w:rPr>
          <w:rFonts w:ascii="Arial" w:eastAsia="Arial" w:hAnsi="Arial" w:cs="Arial"/>
          <w:i/>
          <w:iCs/>
        </w:rPr>
        <w:t>Bournvita responds after influencer’s video on “high sugar” goes viral</w:t>
      </w:r>
      <w:r>
        <w:rPr>
          <w:rFonts w:ascii="Arial" w:eastAsia="Arial" w:hAnsi="Arial" w:cs="Arial"/>
        </w:rPr>
        <w:t>. [online] www.ndtv.com. Available at: https://www.ndtv.com/india-news/bournvita-responds-after-influencers-video-on-high-sugar-goes-viral-3957272 [Accessed 5 Aug. 2026].</w:t>
      </w:r>
    </w:p>
    <w:p w14:paraId="7F9D54EF" w14:textId="77777777" w:rsidR="009E1B2A" w:rsidRDefault="00F77981">
      <w:pPr>
        <w:spacing w:before="240" w:after="240"/>
        <w:rPr>
          <w:rFonts w:ascii="Arial" w:eastAsia="Arial" w:hAnsi="Arial" w:cs="Arial"/>
        </w:rPr>
      </w:pPr>
      <w:r>
        <w:rPr>
          <w:rFonts w:ascii="Arial" w:eastAsia="Arial" w:hAnsi="Arial" w:cs="Arial"/>
        </w:rPr>
        <w:t xml:space="preserve">Seyed Kalali, N. (2022). Entrepreneurial orientation in family firms: The effects of long-term orientation. </w:t>
      </w:r>
      <w:r>
        <w:rPr>
          <w:rFonts w:ascii="Arial" w:eastAsia="Arial" w:hAnsi="Arial" w:cs="Arial"/>
          <w:i/>
          <w:iCs/>
        </w:rPr>
        <w:t>International Journal of Entrepreneurial Behavior &amp; Research</w:t>
      </w:r>
      <w:r>
        <w:rPr>
          <w:rFonts w:ascii="Arial" w:eastAsia="Arial" w:hAnsi="Arial" w:cs="Arial"/>
        </w:rPr>
        <w:t>. doi:10.1108/ijebr-06-2020-0406.</w:t>
      </w:r>
    </w:p>
    <w:p w14:paraId="51D03F26" w14:textId="77777777" w:rsidR="009E1B2A" w:rsidRDefault="00F77981">
      <w:pPr>
        <w:spacing w:before="240" w:after="240"/>
        <w:rPr>
          <w:rFonts w:ascii="Arial" w:eastAsia="Arial" w:hAnsi="Arial" w:cs="Arial"/>
        </w:rPr>
      </w:pPr>
      <w:r>
        <w:rPr>
          <w:rFonts w:ascii="Arial" w:eastAsia="Arial" w:hAnsi="Arial" w:cs="Arial"/>
        </w:rPr>
        <w:t xml:space="preserve">Shou, Z., Xia, Q., Su, S. and Teng, H. (2025). Rewarding money or time? The sunk cost effects of customized rewards in loyalty programs. </w:t>
      </w:r>
      <w:r>
        <w:rPr>
          <w:rFonts w:ascii="Arial" w:eastAsia="Arial" w:hAnsi="Arial" w:cs="Arial"/>
          <w:i/>
          <w:iCs/>
        </w:rPr>
        <w:t>Journal of Marketing Research</w:t>
      </w:r>
      <w:r>
        <w:rPr>
          <w:rFonts w:ascii="Arial" w:eastAsia="Arial" w:hAnsi="Arial" w:cs="Arial"/>
        </w:rPr>
        <w:t>. doi:10.1177/00222437251353156.</w:t>
      </w:r>
    </w:p>
    <w:p w14:paraId="3D13650E" w14:textId="77777777" w:rsidR="009E1B2A" w:rsidRDefault="00F77981">
      <w:pPr>
        <w:spacing w:before="240" w:after="240"/>
        <w:rPr>
          <w:rFonts w:ascii="Arial" w:eastAsia="Arial" w:hAnsi="Arial" w:cs="Arial"/>
        </w:rPr>
      </w:pPr>
      <w:r>
        <w:rPr>
          <w:rFonts w:ascii="Arial" w:eastAsia="Arial" w:hAnsi="Arial" w:cs="Arial"/>
        </w:rPr>
        <w:t xml:space="preserve">Statista (2020). </w:t>
      </w:r>
      <w:r>
        <w:rPr>
          <w:rFonts w:ascii="Arial" w:eastAsia="Arial" w:hAnsi="Arial" w:cs="Arial"/>
          <w:i/>
          <w:iCs/>
        </w:rPr>
        <w:t>Topic: Internet usage in the United Kingdom (UK)</w:t>
      </w:r>
      <w:r>
        <w:rPr>
          <w:rFonts w:ascii="Arial" w:eastAsia="Arial" w:hAnsi="Arial" w:cs="Arial"/>
        </w:rPr>
        <w:t>. [online] Statista. Available at: https://www.statista.com/topics/3246/internet-usage-in-the-uk/?srsltid=AfmBOor1UodSnrKNvjoUbxZ8cWGzZAbl2iOTCzPWygWIKcuKsddGbdou [Accessed 5 Aug. 2026].</w:t>
      </w:r>
    </w:p>
    <w:p w14:paraId="2C18922B" w14:textId="77777777" w:rsidR="009E1B2A" w:rsidRDefault="00F77981">
      <w:pPr>
        <w:spacing w:before="240" w:after="240"/>
        <w:rPr>
          <w:rFonts w:ascii="Arial" w:eastAsia="Arial" w:hAnsi="Arial" w:cs="Arial"/>
        </w:rPr>
      </w:pPr>
      <w:r>
        <w:rPr>
          <w:rFonts w:ascii="Arial" w:eastAsia="Arial" w:hAnsi="Arial" w:cs="Arial"/>
        </w:rPr>
        <w:t xml:space="preserve">Subramanian, A. and Shukla, G. (2026). </w:t>
      </w:r>
      <w:r>
        <w:rPr>
          <w:rFonts w:ascii="Arial" w:eastAsia="Arial" w:hAnsi="Arial" w:cs="Arial"/>
          <w:i/>
          <w:iCs/>
        </w:rPr>
        <w:t>How Kraft is changing Cadbury India</w:t>
      </w:r>
      <w:r>
        <w:rPr>
          <w:rFonts w:ascii="Arial" w:eastAsia="Arial" w:hAnsi="Arial" w:cs="Arial"/>
        </w:rPr>
        <w:t xml:space="preserve">. [online] </w:t>
      </w:r>
      <w:r>
        <w:rPr>
          <w:rFonts w:ascii="Arial" w:eastAsia="Arial" w:hAnsi="Arial" w:cs="Arial"/>
          <w:i/>
          <w:iCs/>
        </w:rPr>
        <w:t>Business Today</w:t>
      </w:r>
      <w:r>
        <w:rPr>
          <w:rFonts w:ascii="Arial" w:eastAsia="Arial" w:hAnsi="Arial" w:cs="Arial"/>
        </w:rPr>
        <w:t>. Available at: https://www.businesstoday.in/magazine/features/story/kraft-takes-over-cadbury-india-changes-28663-2012-01-25 [Accessed 7 Aug. 2026].</w:t>
      </w:r>
    </w:p>
    <w:p w14:paraId="45AC4B6B" w14:textId="77777777" w:rsidR="009E1B2A" w:rsidRDefault="00F77981">
      <w:pPr>
        <w:spacing w:before="240" w:after="240"/>
        <w:rPr>
          <w:rFonts w:ascii="Arial" w:eastAsia="Arial" w:hAnsi="Arial" w:cs="Arial"/>
        </w:rPr>
      </w:pPr>
      <w:r>
        <w:rPr>
          <w:rFonts w:ascii="Arial" w:eastAsia="Arial" w:hAnsi="Arial" w:cs="Arial"/>
        </w:rPr>
        <w:t xml:space="preserve">TOU (2026). </w:t>
      </w:r>
      <w:r>
        <w:rPr>
          <w:rFonts w:ascii="Arial" w:eastAsia="Arial" w:hAnsi="Arial" w:cs="Arial"/>
          <w:i/>
          <w:iCs/>
        </w:rPr>
        <w:t>Supporting adult learners’ positive mental health</w:t>
      </w:r>
      <w:r>
        <w:rPr>
          <w:rFonts w:ascii="Arial" w:eastAsia="Arial" w:hAnsi="Arial" w:cs="Arial"/>
        </w:rPr>
        <w:t xml:space="preserve">. [online] </w:t>
      </w:r>
      <w:r>
        <w:rPr>
          <w:rFonts w:ascii="Arial" w:eastAsia="Arial" w:hAnsi="Arial" w:cs="Arial"/>
          <w:i/>
          <w:iCs/>
        </w:rPr>
        <w:t>Open Learning</w:t>
      </w:r>
      <w:r>
        <w:rPr>
          <w:rFonts w:ascii="Arial" w:eastAsia="Arial" w:hAnsi="Arial" w:cs="Arial"/>
        </w:rPr>
        <w:t>. Available at: https://www.open.edu/openlearn/mod/oucontent/view.php?id=166863&amp;section=_unit3.7.1 [Accessed 4 Aug. 2026].</w:t>
      </w:r>
    </w:p>
    <w:p w14:paraId="7DD632DE" w14:textId="77777777" w:rsidR="009E1B2A" w:rsidRDefault="00F77981">
      <w:pPr>
        <w:spacing w:before="240" w:after="240"/>
        <w:rPr>
          <w:rFonts w:ascii="Arial" w:eastAsia="Arial" w:hAnsi="Arial" w:cs="Arial"/>
        </w:rPr>
      </w:pPr>
      <w:r>
        <w:rPr>
          <w:rFonts w:ascii="Arial" w:eastAsia="Arial" w:hAnsi="Arial" w:cs="Arial"/>
        </w:rPr>
        <w:t xml:space="preserve">Tsougkou, E., Cadogan, J.W., Boso, N., Hodgkinson, I.R., Oliveira, J.S., Laukkanen, T., Yazdani, N. and Story, V.M. (2024). International product adaptation and performance: A systematic analysis of the literature and agenda for future research. </w:t>
      </w:r>
      <w:r>
        <w:rPr>
          <w:rFonts w:ascii="Arial" w:eastAsia="Arial" w:hAnsi="Arial" w:cs="Arial"/>
          <w:i/>
          <w:iCs/>
        </w:rPr>
        <w:t>Journal of World Business</w:t>
      </w:r>
      <w:r>
        <w:rPr>
          <w:rFonts w:ascii="Arial" w:eastAsia="Arial" w:hAnsi="Arial" w:cs="Arial"/>
        </w:rPr>
        <w:t>, [online] 60(1), p.101597. doi:10.1016/j.jwb.2024.101597.</w:t>
      </w:r>
    </w:p>
    <w:p w14:paraId="1D6A572D" w14:textId="77777777" w:rsidR="009E1B2A" w:rsidRDefault="00F77981">
      <w:pPr>
        <w:spacing w:before="240" w:after="240"/>
        <w:rPr>
          <w:rFonts w:ascii="Arial" w:eastAsia="Arial" w:hAnsi="Arial" w:cs="Arial"/>
        </w:rPr>
      </w:pPr>
      <w:r>
        <w:rPr>
          <w:rFonts w:ascii="Arial" w:eastAsia="Arial" w:hAnsi="Arial" w:cs="Arial"/>
        </w:rPr>
        <w:t xml:space="preserve">UK Government (2026). </w:t>
      </w:r>
      <w:r>
        <w:rPr>
          <w:rFonts w:ascii="Arial" w:eastAsia="Arial" w:hAnsi="Arial" w:cs="Arial"/>
          <w:i/>
          <w:iCs/>
        </w:rPr>
        <w:t>Climate change act 2008</w:t>
      </w:r>
      <w:r>
        <w:rPr>
          <w:rFonts w:ascii="Arial" w:eastAsia="Arial" w:hAnsi="Arial" w:cs="Arial"/>
        </w:rPr>
        <w:t xml:space="preserve">. [online] </w:t>
      </w:r>
      <w:r>
        <w:rPr>
          <w:rFonts w:ascii="Arial" w:eastAsia="Arial" w:hAnsi="Arial" w:cs="Arial"/>
          <w:i/>
          <w:iCs/>
        </w:rPr>
        <w:t>Legislation.gov.uk</w:t>
      </w:r>
      <w:r>
        <w:rPr>
          <w:rFonts w:ascii="Arial" w:eastAsia="Arial" w:hAnsi="Arial" w:cs="Arial"/>
        </w:rPr>
        <w:t>. Available at: https://www.legislation.gov.uk/ukpga/2008/27/contents [Accessed 7 Aug. 2026].</w:t>
      </w:r>
    </w:p>
    <w:p w14:paraId="139F1BD0" w14:textId="77777777" w:rsidR="009E1B2A" w:rsidRDefault="00F77981">
      <w:pPr>
        <w:spacing w:before="240" w:after="240"/>
        <w:rPr>
          <w:rFonts w:ascii="Arial" w:eastAsia="Arial" w:hAnsi="Arial" w:cs="Arial"/>
        </w:rPr>
      </w:pPr>
      <w:r>
        <w:rPr>
          <w:rFonts w:ascii="Arial" w:eastAsia="Arial" w:hAnsi="Arial" w:cs="Arial"/>
        </w:rPr>
        <w:t xml:space="preserve">Vaziri, M., Llonch-Andreu, J. and López-Belbeze, P. (2021). Brand clarity of local and global brands in fast-moving consumer goods: An empirical study in a Middle East Country. </w:t>
      </w:r>
      <w:r>
        <w:rPr>
          <w:rFonts w:ascii="Arial" w:eastAsia="Arial" w:hAnsi="Arial" w:cs="Arial"/>
          <w:i/>
          <w:iCs/>
        </w:rPr>
        <w:t>Journal of Islamic Marketing</w:t>
      </w:r>
      <w:r>
        <w:rPr>
          <w:rFonts w:ascii="Arial" w:eastAsia="Arial" w:hAnsi="Arial" w:cs="Arial"/>
        </w:rPr>
        <w:t>, ahead-of-print(ahead-of-print). doi:10.1108/jima-01-2020-0018.</w:t>
      </w:r>
    </w:p>
    <w:p w14:paraId="59FAB275" w14:textId="77777777" w:rsidR="009E1B2A" w:rsidRDefault="00F77981">
      <w:pPr>
        <w:spacing w:before="240" w:after="240"/>
        <w:rPr>
          <w:rFonts w:ascii="Arial" w:eastAsia="Arial" w:hAnsi="Arial" w:cs="Arial"/>
        </w:rPr>
      </w:pPr>
      <w:r>
        <w:rPr>
          <w:rFonts w:ascii="Arial" w:eastAsia="Arial" w:hAnsi="Arial" w:cs="Arial"/>
        </w:rPr>
        <w:t xml:space="preserve">World Bank (2025). </w:t>
      </w:r>
      <w:r>
        <w:rPr>
          <w:rFonts w:ascii="Arial" w:eastAsia="Arial" w:hAnsi="Arial" w:cs="Arial"/>
          <w:i/>
          <w:iCs/>
        </w:rPr>
        <w:t>India | World Bank Group</w:t>
      </w:r>
      <w:r>
        <w:rPr>
          <w:rFonts w:ascii="Arial" w:eastAsia="Arial" w:hAnsi="Arial" w:cs="Arial"/>
        </w:rPr>
        <w:t xml:space="preserve">. [online] </w:t>
      </w:r>
      <w:r>
        <w:rPr>
          <w:rFonts w:ascii="Arial" w:eastAsia="Arial" w:hAnsi="Arial" w:cs="Arial"/>
          <w:i/>
          <w:iCs/>
        </w:rPr>
        <w:t>Worldbank.org</w:t>
      </w:r>
      <w:r>
        <w:rPr>
          <w:rFonts w:ascii="Arial" w:eastAsia="Arial" w:hAnsi="Arial" w:cs="Arial"/>
        </w:rPr>
        <w:t>. Available at: https://www.worldbank.org/ext/en/country/india [Accessed 7 Aug. 2026].</w:t>
      </w:r>
    </w:p>
    <w:p w14:paraId="019D1FAE" w14:textId="77777777" w:rsidR="009E1B2A" w:rsidRDefault="00F77981">
      <w:pPr>
        <w:spacing w:before="240" w:after="240"/>
        <w:rPr>
          <w:rFonts w:ascii="Arial" w:eastAsia="Arial" w:hAnsi="Arial" w:cs="Arial"/>
        </w:rPr>
      </w:pPr>
      <w:r>
        <w:rPr>
          <w:rFonts w:ascii="Arial" w:eastAsia="Arial" w:hAnsi="Arial" w:cs="Arial"/>
        </w:rPr>
        <w:t xml:space="preserve">YUP (2025). </w:t>
      </w:r>
      <w:r>
        <w:rPr>
          <w:rFonts w:ascii="Arial" w:eastAsia="Arial" w:hAnsi="Arial" w:cs="Arial"/>
          <w:i/>
          <w:iCs/>
        </w:rPr>
        <w:t>Cadbury case study 2025: Marketing strategy, campaigns &amp; more</w:t>
      </w:r>
      <w:r>
        <w:rPr>
          <w:rFonts w:ascii="Arial" w:eastAsia="Arial" w:hAnsi="Arial" w:cs="Arial"/>
        </w:rPr>
        <w:t xml:space="preserve">. [online] </w:t>
      </w:r>
      <w:r>
        <w:rPr>
          <w:rFonts w:ascii="Arial" w:eastAsia="Arial" w:hAnsi="Arial" w:cs="Arial"/>
          <w:i/>
          <w:iCs/>
        </w:rPr>
        <w:t>Young Urban Project</w:t>
      </w:r>
      <w:r>
        <w:rPr>
          <w:rFonts w:ascii="Arial" w:eastAsia="Arial" w:hAnsi="Arial" w:cs="Arial"/>
        </w:rPr>
        <w:t>. Available at: https://www.youngurbanproject.com/cadbury-case-study/ [Accessed 3 Aug. 2026].</w:t>
      </w:r>
    </w:p>
    <w:p w14:paraId="03D4FC47" w14:textId="77777777" w:rsidR="009E1B2A" w:rsidRDefault="009E1B2A">
      <w:pPr>
        <w:rPr>
          <w:rFonts w:ascii="Arial" w:eastAsia="Arial" w:hAnsi="Arial" w:cs="Arial"/>
        </w:rPr>
      </w:pPr>
    </w:p>
    <w:sectPr w:rsidR="009E1B2A">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2C5C7" w14:textId="77777777" w:rsidR="00F77981" w:rsidRDefault="00F77981">
      <w:pPr>
        <w:spacing w:line="240" w:lineRule="auto"/>
      </w:pPr>
      <w:r>
        <w:separator/>
      </w:r>
    </w:p>
  </w:endnote>
  <w:endnote w:type="continuationSeparator" w:id="0">
    <w:p w14:paraId="258F26DF" w14:textId="77777777" w:rsidR="00F77981" w:rsidRDefault="00F779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embedRegular r:id="rId1" w:fontKey="{5ECFD409-1F1C-4050-8703-FD937A69B85E}"/>
    <w:embedBold r:id="rId2" w:fontKey="{18E01459-AB01-4D9A-9F31-4A59E87FE15A}"/>
  </w:font>
  <w:font w:name="Cambria">
    <w:panose1 w:val="02040503050406030204"/>
    <w:charset w:val="00"/>
    <w:family w:val="roman"/>
    <w:pitch w:val="variable"/>
    <w:sig w:usb0="E00006FF" w:usb1="420024FF" w:usb2="02000000" w:usb3="00000000" w:csb0="0000019F" w:csb1="00000000"/>
    <w:embedRegular r:id="rId3" w:fontKey="{BD9E68A1-81C4-4C82-886E-070134D4B214}"/>
  </w:font>
  <w:font w:name="Cambria Math">
    <w:panose1 w:val="02040503050406030204"/>
    <w:charset w:val="00"/>
    <w:family w:val="roman"/>
    <w:pitch w:val="variable"/>
    <w:sig w:usb0="00000003" w:usb1="00000000" w:usb2="00000000" w:usb3="00000000" w:csb0="00000001" w:csb1="00000000"/>
    <w:embedRegular r:id="rId4" w:fontKey="{60B5419D-EAF6-43C3-9898-ABAD1C0A748E}"/>
  </w:font>
  <w:font w:name="Calibri">
    <w:panose1 w:val="020F0502020204030204"/>
    <w:charset w:val="00"/>
    <w:family w:val="swiss"/>
    <w:pitch w:val="variable"/>
    <w:sig w:usb0="E00002FF" w:usb1="4000ACFF" w:usb2="00000001" w:usb3="00000000" w:csb0="0000019F" w:csb1="00000000"/>
    <w:embedRegular r:id="rId5" w:fontKey="{83417947-2EEA-4CB2-960E-347FAC0EB26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428C80" w14:textId="77777777" w:rsidR="009E1B2A" w:rsidRDefault="00F77981">
    <w:pPr>
      <w:jc w:val="right"/>
      <w:rPr>
        <w:rFonts w:ascii="Arial" w:eastAsia="Arial" w:hAnsi="Arial" w:cs="Arial"/>
        <w:sz w:val="20"/>
        <w:szCs w:val="20"/>
      </w:rPr>
    </w:pPr>
    <w:r>
      <w:rPr>
        <w:rFonts w:ascii="Arial" w:eastAsia="Arial" w:hAnsi="Arial" w:cs="Arial"/>
        <w:sz w:val="20"/>
        <w:szCs w:val="20"/>
      </w:rPr>
      <w:fldChar w:fldCharType="begin"/>
    </w:r>
    <w:r>
      <w:rPr>
        <w:rFonts w:ascii="Arial" w:eastAsia="Arial" w:hAnsi="Arial" w:cs="Arial"/>
        <w:sz w:val="20"/>
        <w:szCs w:val="20"/>
      </w:rPr>
      <w:instrText>PAGE</w:instrText>
    </w:r>
    <w:r>
      <w:rPr>
        <w:rFonts w:ascii="Arial" w:eastAsia="Arial" w:hAnsi="Arial" w:cs="Arial"/>
        <w:sz w:val="20"/>
        <w:szCs w:val="20"/>
      </w:rPr>
      <w:fldChar w:fldCharType="separate"/>
    </w:r>
    <w:r w:rsidR="00172AAC">
      <w:rPr>
        <w:rFonts w:ascii="Arial" w:eastAsia="Arial" w:hAnsi="Arial" w:cs="Arial"/>
        <w:noProof/>
        <w:sz w:val="20"/>
        <w:szCs w:val="20"/>
      </w:rPr>
      <w:t>1</w:t>
    </w:r>
    <w:r>
      <w:rPr>
        <w:rFonts w:ascii="Arial" w:eastAsia="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D908E6" w14:textId="77777777" w:rsidR="00F77981" w:rsidRDefault="00F77981">
      <w:pPr>
        <w:spacing w:line="240" w:lineRule="auto"/>
      </w:pPr>
      <w:r>
        <w:separator/>
      </w:r>
    </w:p>
  </w:footnote>
  <w:footnote w:type="continuationSeparator" w:id="0">
    <w:p w14:paraId="68097BBA" w14:textId="77777777" w:rsidR="00F77981" w:rsidRDefault="00F7798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B2A"/>
    <w:rsid w:val="000E0BE4"/>
    <w:rsid w:val="00172AAC"/>
    <w:rsid w:val="003E71A1"/>
    <w:rsid w:val="009E1B2A"/>
    <w:rsid w:val="00F77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5F9AD"/>
  <w15:docId w15:val="{EBA8238C-851B-4A27-95A5-C556A5A55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7.png" /><Relationship Id="rId3" Type="http://schemas.openxmlformats.org/officeDocument/2006/relationships/webSettings" Target="webSettings.xml" /><Relationship Id="rId7" Type="http://schemas.openxmlformats.org/officeDocument/2006/relationships/image" Target="media/image2.jpg" /><Relationship Id="rId12" Type="http://schemas.openxmlformats.org/officeDocument/2006/relationships/image" Target="media/image6.png" /><Relationship Id="rId17"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5.png" /><Relationship Id="rId5" Type="http://schemas.openxmlformats.org/officeDocument/2006/relationships/endnotes" Target="endnotes.xml" /><Relationship Id="rId15" Type="http://schemas.openxmlformats.org/officeDocument/2006/relationships/image" Target="media/image9.png" /><Relationship Id="rId10" Type="http://schemas.openxmlformats.org/officeDocument/2006/relationships/image" Target="media/image4.png" /><Relationship Id="rId4" Type="http://schemas.openxmlformats.org/officeDocument/2006/relationships/footnotes" Target="footnotes.xml" /><Relationship Id="rId9" Type="http://schemas.openxmlformats.org/officeDocument/2006/relationships/image" Target="media/image3.png" /><Relationship Id="rId14" Type="http://schemas.openxmlformats.org/officeDocument/2006/relationships/image" Target="media/image8.png"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6868</Words>
  <Characters>39152</Characters>
  <Application>Microsoft Office Word</Application>
  <DocSecurity>0</DocSecurity>
  <Lines>326</Lines>
  <Paragraphs>91</Paragraphs>
  <ScaleCrop>false</ScaleCrop>
  <Company/>
  <LinksUpToDate>false</LinksUpToDate>
  <CharactersWithSpaces>45929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Ishan Dineshbhai Rana (2507137)</cp:lastModifiedBy>
  <cp:revision>2</cp:revision>
  <dcterms:created xsi:type="dcterms:W3CDTF">2026-08-13T07:34:00Z</dcterms:created>
  <dcterms:modified xsi:type="dcterms:W3CDTF">2026-08-13T07:34:00Z</dcterms:modified>
</cp:coreProperties>
</file>