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85B7E86" wp14:paraId="5CFC8D34" wp14:textId="4E752892">
      <w:pPr>
        <w:spacing w:before="0" w:beforeAutospacing="off" w:after="160" w:afterAutospacing="off" w:line="360" w:lineRule="auto"/>
        <w:jc w:val="center"/>
      </w:pPr>
      <w:r w:rsidRPr="785B7E86" w:rsidR="33DD4A89">
        <w:rPr>
          <w:rFonts w:ascii="Arial" w:hAnsi="Arial" w:eastAsia="Arial" w:cs="Arial"/>
          <w:b w:val="1"/>
          <w:bCs w:val="1"/>
          <w:noProof w:val="0"/>
          <w:color w:val="262626" w:themeColor="text1" w:themeTint="D9" w:themeShade="FF"/>
          <w:sz w:val="72"/>
          <w:szCs w:val="72"/>
          <w:u w:val="single"/>
          <w:lang w:val="en-US"/>
        </w:rPr>
        <w:t xml:space="preserve">TITLE </w:t>
      </w:r>
    </w:p>
    <w:p xmlns:wp14="http://schemas.microsoft.com/office/word/2010/wordml" w:rsidP="785B7E86" wp14:paraId="7A30309B" wp14:textId="6D2C6398">
      <w:pPr>
        <w:spacing w:before="0" w:beforeAutospacing="off" w:after="160" w:afterAutospacing="off" w:line="360" w:lineRule="auto"/>
      </w:pPr>
      <w:r w:rsidRPr="785B7E86" w:rsidR="33DD4A89">
        <w:rPr>
          <w:rFonts w:ascii="Arial" w:hAnsi="Arial" w:eastAsia="Arial" w:cs="Arial"/>
          <w:b w:val="1"/>
          <w:bCs w:val="1"/>
          <w:noProof w:val="0"/>
          <w:sz w:val="32"/>
          <w:szCs w:val="32"/>
          <w:lang w:val="en-US"/>
        </w:rPr>
        <w:t xml:space="preserve">Name: </w:t>
      </w:r>
      <w:r w:rsidRPr="785B7E86" w:rsidR="33DD4A89">
        <w:rPr>
          <w:rFonts w:ascii="Arial" w:hAnsi="Arial" w:eastAsia="Arial" w:cs="Arial"/>
          <w:b w:val="1"/>
          <w:bCs w:val="1"/>
          <w:noProof w:val="0"/>
          <w:sz w:val="32"/>
          <w:szCs w:val="32"/>
          <w:lang w:val="en-US"/>
        </w:rPr>
        <w:t>khoshboo</w:t>
      </w:r>
      <w:r w:rsidRPr="785B7E86" w:rsidR="33DD4A89">
        <w:rPr>
          <w:rFonts w:ascii="Arial" w:hAnsi="Arial" w:eastAsia="Arial" w:cs="Arial"/>
          <w:b w:val="1"/>
          <w:bCs w:val="1"/>
          <w:noProof w:val="0"/>
          <w:sz w:val="32"/>
          <w:szCs w:val="32"/>
          <w:lang w:val="en-US"/>
        </w:rPr>
        <w:t xml:space="preserve"> patujo</w:t>
      </w:r>
    </w:p>
    <w:p xmlns:wp14="http://schemas.microsoft.com/office/word/2010/wordml" w:rsidP="785B7E86" wp14:paraId="2EA50C8F" wp14:textId="414D47B4">
      <w:pPr>
        <w:spacing w:before="0" w:beforeAutospacing="off" w:after="160" w:afterAutospacing="off" w:line="360" w:lineRule="auto"/>
      </w:pPr>
      <w:r w:rsidRPr="785B7E86" w:rsidR="33DD4A89">
        <w:rPr>
          <w:rFonts w:ascii="Arial" w:hAnsi="Arial" w:eastAsia="Arial" w:cs="Arial"/>
          <w:b w:val="1"/>
          <w:bCs w:val="1"/>
          <w:noProof w:val="0"/>
          <w:sz w:val="32"/>
          <w:szCs w:val="32"/>
          <w:lang w:val="en-US"/>
        </w:rPr>
        <w:t>Student Number: 2321113</w:t>
      </w:r>
    </w:p>
    <w:p xmlns:wp14="http://schemas.microsoft.com/office/word/2010/wordml" w:rsidP="785B7E86" wp14:paraId="43DB1BF3" wp14:textId="41D3E866">
      <w:pPr>
        <w:spacing w:before="0" w:beforeAutospacing="off" w:after="160" w:afterAutospacing="off" w:line="360" w:lineRule="auto"/>
      </w:pPr>
      <w:r w:rsidRPr="785B7E86" w:rsidR="33DD4A89">
        <w:rPr>
          <w:rFonts w:ascii="Arial" w:hAnsi="Arial" w:eastAsia="Arial" w:cs="Arial"/>
          <w:b w:val="1"/>
          <w:bCs w:val="1"/>
          <w:noProof w:val="0"/>
          <w:sz w:val="32"/>
          <w:szCs w:val="32"/>
          <w:lang w:val="en-US"/>
        </w:rPr>
        <w:t xml:space="preserve">Module Code: LCHS4003 </w:t>
      </w:r>
    </w:p>
    <w:p xmlns:wp14="http://schemas.microsoft.com/office/word/2010/wordml" w:rsidP="785B7E86" wp14:paraId="2B4F53FE" wp14:textId="5C9A4A35">
      <w:pPr>
        <w:spacing w:before="0" w:beforeAutospacing="off" w:after="160" w:afterAutospacing="off" w:line="360" w:lineRule="auto"/>
      </w:pPr>
      <w:r w:rsidRPr="785B7E86" w:rsidR="33DD4A89">
        <w:rPr>
          <w:rFonts w:ascii="Arial" w:hAnsi="Arial" w:eastAsia="Arial" w:cs="Arial"/>
          <w:b w:val="1"/>
          <w:bCs w:val="1"/>
          <w:noProof w:val="0"/>
          <w:sz w:val="32"/>
          <w:szCs w:val="32"/>
          <w:lang w:val="en-US"/>
        </w:rPr>
        <w:t>Module title: Introduction to Health and Social Care</w:t>
      </w:r>
    </w:p>
    <w:p xmlns:wp14="http://schemas.microsoft.com/office/word/2010/wordml" w:rsidP="785B7E86" wp14:paraId="7EBA96A5" wp14:textId="172AED43">
      <w:pPr>
        <w:spacing w:before="0" w:beforeAutospacing="off" w:after="160" w:afterAutospacing="off" w:line="360" w:lineRule="auto"/>
        <w:rPr>
          <w:rFonts w:ascii="Arial" w:hAnsi="Arial" w:eastAsia="Arial" w:cs="Arial"/>
          <w:b w:val="1"/>
          <w:bCs w:val="1"/>
          <w:noProof w:val="0"/>
          <w:sz w:val="32"/>
          <w:szCs w:val="32"/>
          <w:lang w:val="en-US"/>
        </w:rPr>
      </w:pPr>
      <w:r w:rsidRPr="785B7E86" w:rsidR="33DD4A89">
        <w:rPr>
          <w:rFonts w:ascii="Arial" w:hAnsi="Arial" w:eastAsia="Arial" w:cs="Arial"/>
          <w:b w:val="1"/>
          <w:bCs w:val="1"/>
          <w:noProof w:val="0"/>
          <w:sz w:val="32"/>
          <w:szCs w:val="32"/>
          <w:lang w:val="en-US"/>
        </w:rPr>
        <w:t xml:space="preserve">Lecturer’s Name: </w:t>
      </w:r>
      <w:r w:rsidRPr="785B7E86" w:rsidR="03E05925">
        <w:rPr>
          <w:rFonts w:ascii="Arial" w:hAnsi="Arial" w:eastAsia="Arial" w:cs="Arial"/>
          <w:b w:val="1"/>
          <w:bCs w:val="1"/>
          <w:noProof w:val="0"/>
          <w:sz w:val="32"/>
          <w:szCs w:val="32"/>
          <w:lang w:val="en-US"/>
        </w:rPr>
        <w:t>Dr Aishat Bakre</w:t>
      </w:r>
    </w:p>
    <w:p xmlns:wp14="http://schemas.microsoft.com/office/word/2010/wordml" w:rsidP="785B7E86" wp14:paraId="76372827" wp14:textId="600EA390">
      <w:pPr>
        <w:spacing w:before="0" w:beforeAutospacing="off" w:after="160" w:afterAutospacing="off" w:line="360" w:lineRule="auto"/>
      </w:pPr>
      <w:r w:rsidRPr="785B7E86" w:rsidR="33DD4A89">
        <w:rPr>
          <w:rFonts w:ascii="Arial" w:hAnsi="Arial" w:eastAsia="Arial" w:cs="Arial"/>
          <w:b w:val="1"/>
          <w:bCs w:val="1"/>
          <w:noProof w:val="0"/>
          <w:sz w:val="32"/>
          <w:szCs w:val="32"/>
          <w:lang w:val="en-US"/>
        </w:rPr>
        <w:t>Assignment Title: Written Assignment</w:t>
      </w:r>
    </w:p>
    <w:p xmlns:wp14="http://schemas.microsoft.com/office/word/2010/wordml" w:rsidP="785B7E86" wp14:paraId="01EC2D1F" wp14:textId="67C74152">
      <w:pPr>
        <w:spacing w:before="0" w:beforeAutospacing="off" w:after="160" w:afterAutospacing="off" w:line="360" w:lineRule="auto"/>
      </w:pPr>
      <w:r w:rsidRPr="785B7E86" w:rsidR="33DD4A89">
        <w:rPr>
          <w:rFonts w:ascii="Arial" w:hAnsi="Arial" w:eastAsia="Arial" w:cs="Arial"/>
          <w:b w:val="1"/>
          <w:bCs w:val="1"/>
          <w:noProof w:val="0"/>
          <w:sz w:val="32"/>
          <w:szCs w:val="32"/>
          <w:lang w:val="en-US"/>
        </w:rPr>
        <w:t xml:space="preserve"> </w:t>
      </w:r>
    </w:p>
    <w:p xmlns:wp14="http://schemas.microsoft.com/office/word/2010/wordml" w:rsidP="785B7E86" wp14:paraId="5A012E08" wp14:textId="5C0D3886">
      <w:pPr>
        <w:spacing w:before="0" w:beforeAutospacing="off" w:after="160" w:afterAutospacing="off" w:line="360" w:lineRule="auto"/>
        <w:jc w:val="center"/>
      </w:pPr>
      <w:r w:rsidRPr="785B7E86" w:rsidR="33DD4A89">
        <w:rPr>
          <w:rFonts w:ascii="Arial" w:hAnsi="Arial" w:eastAsia="Arial" w:cs="Arial"/>
          <w:b w:val="1"/>
          <w:bCs w:val="1"/>
          <w:noProof w:val="0"/>
          <w:color w:val="262626" w:themeColor="text1" w:themeTint="D9" w:themeShade="FF"/>
          <w:sz w:val="72"/>
          <w:szCs w:val="72"/>
          <w:u w:val="single"/>
          <w:lang w:val="en-US"/>
        </w:rPr>
        <w:t>TABLE OF CONTENT</w:t>
      </w:r>
    </w:p>
    <w:p xmlns:wp14="http://schemas.microsoft.com/office/word/2010/wordml" w:rsidP="785B7E86" wp14:paraId="43F80BA4" wp14:textId="24AE29DB">
      <w:pPr>
        <w:spacing w:before="0" w:beforeAutospacing="off" w:after="160" w:afterAutospacing="off" w:line="360" w:lineRule="auto"/>
        <w:jc w:val="center"/>
      </w:pPr>
      <w:r w:rsidRPr="785B7E86" w:rsidR="33DD4A89">
        <w:rPr>
          <w:rFonts w:ascii="Arial" w:hAnsi="Arial" w:eastAsia="Arial" w:cs="Arial"/>
          <w:b w:val="1"/>
          <w:bCs w:val="1"/>
          <w:strike w:val="0"/>
          <w:dstrike w:val="0"/>
          <w:noProof w:val="0"/>
          <w:color w:val="262626" w:themeColor="text1" w:themeTint="D9" w:themeShade="FF"/>
          <w:sz w:val="72"/>
          <w:szCs w:val="72"/>
          <w:u w:val="none"/>
          <w:lang w:val="en-US"/>
        </w:rPr>
        <w:t xml:space="preserve"> </w:t>
      </w:r>
    </w:p>
    <w:p xmlns:wp14="http://schemas.microsoft.com/office/word/2010/wordml" w:rsidP="785B7E86" wp14:paraId="330E4F23" wp14:textId="756768EB">
      <w:pPr>
        <w:pStyle w:val="ListParagraph"/>
        <w:numPr>
          <w:ilvl w:val="0"/>
          <w:numId w:val="1"/>
        </w:numPr>
        <w:spacing w:before="0" w:beforeAutospacing="off" w:after="0" w:afterAutospacing="off" w:line="360" w:lineRule="auto"/>
        <w:ind w:left="720" w:right="0" w:hanging="360"/>
        <w:rPr>
          <w:rFonts w:ascii="Arial" w:hAnsi="Arial" w:eastAsia="Arial" w:cs="Arial"/>
          <w:noProof w:val="0"/>
          <w:color w:val="000000" w:themeColor="text1" w:themeTint="FF" w:themeShade="FF"/>
          <w:sz w:val="40"/>
          <w:szCs w:val="40"/>
          <w:u w:val="single"/>
          <w:lang w:val="en-US"/>
        </w:rPr>
      </w:pPr>
      <w:r w:rsidRPr="785B7E86" w:rsidR="33DD4A89">
        <w:rPr>
          <w:rFonts w:ascii="Arial" w:hAnsi="Arial" w:eastAsia="Arial" w:cs="Arial"/>
          <w:noProof w:val="0"/>
          <w:color w:val="000000" w:themeColor="text1" w:themeTint="FF" w:themeShade="FF"/>
          <w:sz w:val="40"/>
          <w:szCs w:val="40"/>
          <w:u w:val="single"/>
          <w:lang w:val="en-US"/>
        </w:rPr>
        <w:t>Introduction</w:t>
      </w:r>
    </w:p>
    <w:p xmlns:wp14="http://schemas.microsoft.com/office/word/2010/wordml" w:rsidP="785B7E86" wp14:paraId="35831F9E" wp14:textId="1C862B26">
      <w:pPr>
        <w:pStyle w:val="ListParagraph"/>
        <w:numPr>
          <w:ilvl w:val="0"/>
          <w:numId w:val="1"/>
        </w:numPr>
        <w:spacing w:before="0" w:beforeAutospacing="off" w:after="0" w:afterAutospacing="off" w:line="360" w:lineRule="auto"/>
        <w:ind w:left="720" w:right="0" w:hanging="360"/>
        <w:rPr>
          <w:rFonts w:ascii="Arial" w:hAnsi="Arial" w:eastAsia="Arial" w:cs="Arial"/>
          <w:noProof w:val="0"/>
          <w:color w:val="000000" w:themeColor="text1" w:themeTint="FF" w:themeShade="FF"/>
          <w:sz w:val="40"/>
          <w:szCs w:val="40"/>
          <w:u w:val="single"/>
          <w:lang w:val="en-US"/>
        </w:rPr>
      </w:pPr>
      <w:r w:rsidRPr="785B7E86" w:rsidR="33DD4A89">
        <w:rPr>
          <w:rFonts w:ascii="Arial" w:hAnsi="Arial" w:eastAsia="Arial" w:cs="Arial"/>
          <w:noProof w:val="0"/>
          <w:color w:val="000000" w:themeColor="text1" w:themeTint="FF" w:themeShade="FF"/>
          <w:sz w:val="40"/>
          <w:szCs w:val="40"/>
          <w:u w:val="single"/>
          <w:lang w:val="en-US"/>
        </w:rPr>
        <w:t>Importance of Communication in Mrs Mann’s Care</w:t>
      </w:r>
    </w:p>
    <w:p xmlns:wp14="http://schemas.microsoft.com/office/word/2010/wordml" w:rsidP="785B7E86" wp14:paraId="148DA8A5" wp14:textId="48179849">
      <w:pPr>
        <w:pStyle w:val="ListParagraph"/>
        <w:numPr>
          <w:ilvl w:val="0"/>
          <w:numId w:val="1"/>
        </w:numPr>
        <w:spacing w:before="0" w:beforeAutospacing="off" w:after="0" w:afterAutospacing="off" w:line="360" w:lineRule="auto"/>
        <w:ind w:left="720" w:right="0" w:hanging="360"/>
        <w:rPr>
          <w:rFonts w:ascii="Arial" w:hAnsi="Arial" w:eastAsia="Arial" w:cs="Arial"/>
          <w:noProof w:val="0"/>
          <w:color w:val="000000" w:themeColor="text1" w:themeTint="FF" w:themeShade="FF"/>
          <w:sz w:val="40"/>
          <w:szCs w:val="40"/>
          <w:u w:val="single"/>
          <w:lang w:val="en-US"/>
        </w:rPr>
      </w:pPr>
      <w:r w:rsidRPr="785B7E86" w:rsidR="33DD4A89">
        <w:rPr>
          <w:rFonts w:ascii="Arial" w:hAnsi="Arial" w:eastAsia="Arial" w:cs="Arial"/>
          <w:noProof w:val="0"/>
          <w:color w:val="000000" w:themeColor="text1" w:themeTint="FF" w:themeShade="FF"/>
          <w:sz w:val="40"/>
          <w:szCs w:val="40"/>
          <w:u w:val="single"/>
          <w:lang w:val="en-US"/>
        </w:rPr>
        <w:t>Importance of Good Administrative Skills in Professional Practice</w:t>
      </w:r>
    </w:p>
    <w:p xmlns:wp14="http://schemas.microsoft.com/office/word/2010/wordml" w:rsidP="785B7E86" wp14:paraId="520CD8C8" wp14:textId="6C7E46D3">
      <w:pPr>
        <w:pStyle w:val="ListParagraph"/>
        <w:numPr>
          <w:ilvl w:val="0"/>
          <w:numId w:val="1"/>
        </w:numPr>
        <w:spacing w:before="0" w:beforeAutospacing="off" w:after="0" w:afterAutospacing="off" w:line="360" w:lineRule="auto"/>
        <w:ind w:left="720" w:right="0" w:hanging="360"/>
        <w:rPr>
          <w:rFonts w:ascii="Arial" w:hAnsi="Arial" w:eastAsia="Arial" w:cs="Arial"/>
          <w:noProof w:val="0"/>
          <w:color w:val="000000" w:themeColor="text1" w:themeTint="FF" w:themeShade="FF"/>
          <w:sz w:val="40"/>
          <w:szCs w:val="40"/>
          <w:u w:val="single"/>
          <w:lang w:val="en-US"/>
        </w:rPr>
      </w:pPr>
      <w:r w:rsidRPr="785B7E86" w:rsidR="33DD4A89">
        <w:rPr>
          <w:rFonts w:ascii="Arial" w:hAnsi="Arial" w:eastAsia="Arial" w:cs="Arial"/>
          <w:noProof w:val="0"/>
          <w:color w:val="000000" w:themeColor="text1" w:themeTint="FF" w:themeShade="FF"/>
          <w:sz w:val="40"/>
          <w:szCs w:val="40"/>
          <w:u w:val="single"/>
          <w:lang w:val="en-US"/>
        </w:rPr>
        <w:t>Importance of Collaborative Working</w:t>
      </w:r>
    </w:p>
    <w:p xmlns:wp14="http://schemas.microsoft.com/office/word/2010/wordml" w:rsidP="785B7E86" wp14:paraId="1090F3F4" wp14:textId="2DF4088D">
      <w:pPr>
        <w:pStyle w:val="ListParagraph"/>
        <w:numPr>
          <w:ilvl w:val="0"/>
          <w:numId w:val="1"/>
        </w:numPr>
        <w:spacing w:before="0" w:beforeAutospacing="off" w:after="0" w:afterAutospacing="off" w:line="360" w:lineRule="auto"/>
        <w:ind w:left="720" w:right="0" w:hanging="360"/>
        <w:rPr>
          <w:rFonts w:ascii="Arial" w:hAnsi="Arial" w:eastAsia="Arial" w:cs="Arial"/>
          <w:noProof w:val="0"/>
          <w:color w:val="000000" w:themeColor="text1" w:themeTint="FF" w:themeShade="FF"/>
          <w:sz w:val="40"/>
          <w:szCs w:val="40"/>
          <w:u w:val="single"/>
          <w:lang w:val="en-US"/>
        </w:rPr>
      </w:pPr>
      <w:r w:rsidRPr="785B7E86" w:rsidR="33DD4A89">
        <w:rPr>
          <w:rFonts w:ascii="Arial" w:hAnsi="Arial" w:eastAsia="Arial" w:cs="Arial"/>
          <w:noProof w:val="0"/>
          <w:color w:val="000000" w:themeColor="text1" w:themeTint="FF" w:themeShade="FF"/>
          <w:sz w:val="40"/>
          <w:szCs w:val="40"/>
          <w:u w:val="single"/>
          <w:lang w:val="en-US"/>
        </w:rPr>
        <w:t>Conclusion</w:t>
      </w:r>
    </w:p>
    <w:p xmlns:wp14="http://schemas.microsoft.com/office/word/2010/wordml" w:rsidP="785B7E86" wp14:paraId="1F973A15" wp14:textId="23D33FBA">
      <w:pPr>
        <w:pStyle w:val="ListParagraph"/>
        <w:numPr>
          <w:ilvl w:val="0"/>
          <w:numId w:val="1"/>
        </w:numPr>
        <w:spacing w:before="0" w:beforeAutospacing="off" w:after="0" w:afterAutospacing="off" w:line="360" w:lineRule="auto"/>
        <w:ind w:left="720" w:right="0" w:hanging="360"/>
        <w:rPr>
          <w:rFonts w:ascii="Arial" w:hAnsi="Arial" w:eastAsia="Arial" w:cs="Arial"/>
          <w:noProof w:val="0"/>
          <w:color w:val="000000" w:themeColor="text1" w:themeTint="FF" w:themeShade="FF"/>
          <w:sz w:val="40"/>
          <w:szCs w:val="40"/>
          <w:u w:val="single"/>
          <w:lang w:val="en-US"/>
        </w:rPr>
      </w:pPr>
      <w:r w:rsidRPr="785B7E86" w:rsidR="33DD4A89">
        <w:rPr>
          <w:rFonts w:ascii="Arial" w:hAnsi="Arial" w:eastAsia="Arial" w:cs="Arial"/>
          <w:noProof w:val="0"/>
          <w:color w:val="000000" w:themeColor="text1" w:themeTint="FF" w:themeShade="FF"/>
          <w:sz w:val="40"/>
          <w:szCs w:val="40"/>
          <w:u w:val="single"/>
          <w:lang w:val="en-US"/>
        </w:rPr>
        <w:t>Reference List</w:t>
      </w:r>
    </w:p>
    <w:p xmlns:wp14="http://schemas.microsoft.com/office/word/2010/wordml" w:rsidP="785B7E86" wp14:paraId="5B57A365" wp14:textId="1E7815C4">
      <w:pPr>
        <w:spacing w:before="0" w:beforeAutospacing="off" w:after="160" w:afterAutospacing="off" w:line="360" w:lineRule="auto"/>
        <w:jc w:val="center"/>
      </w:pPr>
      <w:r w:rsidRPr="785B7E86" w:rsidR="33DD4A89">
        <w:rPr>
          <w:rFonts w:ascii="Arial" w:hAnsi="Arial" w:eastAsia="Arial" w:cs="Arial"/>
          <w:b w:val="1"/>
          <w:bCs w:val="1"/>
          <w:strike w:val="0"/>
          <w:dstrike w:val="0"/>
          <w:noProof w:val="0"/>
          <w:color w:val="262626" w:themeColor="text1" w:themeTint="D9" w:themeShade="FF"/>
          <w:sz w:val="40"/>
          <w:szCs w:val="40"/>
          <w:u w:val="none"/>
          <w:lang w:val="en-US"/>
        </w:rPr>
        <w:t xml:space="preserve"> </w:t>
      </w:r>
    </w:p>
    <w:p xmlns:wp14="http://schemas.microsoft.com/office/word/2010/wordml" w:rsidP="785B7E86" wp14:paraId="7CBFD04F" wp14:textId="6EC1EA7F">
      <w:pPr>
        <w:spacing w:before="0" w:beforeAutospacing="off" w:after="160" w:afterAutospacing="off" w:line="360" w:lineRule="auto"/>
      </w:pPr>
      <w:r w:rsidRPr="785B7E86" w:rsidR="33DD4A89">
        <w:rPr>
          <w:rFonts w:ascii="Arial" w:hAnsi="Arial" w:eastAsia="Arial" w:cs="Arial"/>
          <w:b w:val="1"/>
          <w:bCs w:val="1"/>
          <w:noProof w:val="0"/>
          <w:sz w:val="32"/>
          <w:szCs w:val="32"/>
          <w:lang w:val="en-US"/>
        </w:rPr>
        <w:t xml:space="preserve"> </w:t>
      </w:r>
    </w:p>
    <w:p xmlns:wp14="http://schemas.microsoft.com/office/word/2010/wordml" w:rsidP="785B7E86" wp14:paraId="7021671E" wp14:textId="1BE53674">
      <w:pPr>
        <w:spacing w:before="0" w:beforeAutospacing="off" w:after="160" w:afterAutospacing="off" w:line="360" w:lineRule="auto"/>
      </w:pPr>
      <w:r w:rsidRPr="785B7E86" w:rsidR="33DD4A89">
        <w:rPr>
          <w:rFonts w:ascii="Arial" w:hAnsi="Arial" w:eastAsia="Arial" w:cs="Arial"/>
          <w:b w:val="1"/>
          <w:bCs w:val="1"/>
          <w:noProof w:val="0"/>
          <w:sz w:val="28"/>
          <w:szCs w:val="28"/>
          <w:lang w:val="en-US"/>
        </w:rPr>
        <w:t>INTRODUCTION</w:t>
      </w:r>
    </w:p>
    <w:p xmlns:wp14="http://schemas.microsoft.com/office/word/2010/wordml" w:rsidP="785B7E86" wp14:paraId="1AD4AEB6" wp14:textId="153FD477">
      <w:pPr>
        <w:spacing w:before="0" w:beforeAutospacing="off" w:after="160" w:afterAutospacing="off" w:line="360" w:lineRule="auto"/>
      </w:pPr>
      <w:r w:rsidRPr="785B7E86" w:rsidR="33DD4A89">
        <w:rPr>
          <w:rFonts w:ascii="Arial" w:hAnsi="Arial" w:eastAsia="Arial" w:cs="Arial"/>
          <w:noProof w:val="0"/>
          <w:sz w:val="22"/>
          <w:szCs w:val="22"/>
          <w:lang w:val="en-US"/>
        </w:rPr>
        <w:t>Mrs Mann, a 72-year-old woman, was recently discharged from hospital after a hip replacement. She lives independently but requires twice-daily visits from a domiciliary care agency for personal care and mobility support. Mrs Mann’s first language is Urdu, and she speaks limited English, often relying on her daughter for interpretation. Her care team coordinates with her GP and a community physiotherapist, who visits twice weekly to assist her rehabilitation. Recently, inconsistencies in care documentation and a missed communication resulted in a delayed medication adjustment, which is currently under review. This case underscores the significance of effective communication, meticulous record keeping, and collaborative professional practice in ensuring safe and high-quality care. This report examines these three critical aspects, integrating relevant legislation, policy frameworks, and communication models, to demonstrate how their application supports person-centred care, reduces risk, and enhances rehabilitation outcomes for patients with language and cultural barriers (BJGP, 2022; NHS England, 2023; Gov.uk, 2018).</w:t>
      </w:r>
    </w:p>
    <w:p xmlns:wp14="http://schemas.microsoft.com/office/word/2010/wordml" w:rsidP="785B7E86" wp14:paraId="4171B614" wp14:textId="58DEB683">
      <w:pPr>
        <w:spacing w:before="0" w:beforeAutospacing="off" w:after="160" w:afterAutospacing="off" w:line="360" w:lineRule="auto"/>
      </w:pPr>
      <w:r w:rsidRPr="785B7E86" w:rsidR="33DD4A89">
        <w:rPr>
          <w:rFonts w:ascii="Arial" w:hAnsi="Arial" w:eastAsia="Arial" w:cs="Arial"/>
          <w:b w:val="1"/>
          <w:bCs w:val="1"/>
          <w:noProof w:val="0"/>
          <w:sz w:val="32"/>
          <w:szCs w:val="32"/>
          <w:lang w:val="en-US"/>
        </w:rPr>
        <w:t>IMPORTANCE OF COMMUNICATION IN MRS MANN’S CARE</w:t>
      </w:r>
    </w:p>
    <w:p xmlns:wp14="http://schemas.microsoft.com/office/word/2010/wordml" w:rsidP="785B7E86" wp14:paraId="065986AE" wp14:textId="7C4DF882">
      <w:pPr>
        <w:spacing w:before="0" w:beforeAutospacing="off" w:after="160" w:afterAutospacing="off" w:line="360" w:lineRule="auto"/>
      </w:pPr>
      <w:r w:rsidRPr="785B7E86" w:rsidR="33DD4A89">
        <w:rPr>
          <w:rFonts w:ascii="Arial" w:hAnsi="Arial" w:eastAsia="Arial" w:cs="Arial"/>
          <w:noProof w:val="0"/>
          <w:sz w:val="22"/>
          <w:szCs w:val="22"/>
          <w:lang w:val="en-US"/>
        </w:rPr>
        <w:t>Effective communication is a cornerstone of safe, high-quality care, directly influencing patient outcomes, satisfaction, and safety. Mrs Mann’s limited English proficiency creates a significant barrier to understanding her treatment plan, rehabilitation exercises, and medication instructions. Miscommunication in such contexts can result in medication errors, reduced adherence to rehabilitation protocols, delayed recovery, and potentially adverse health outcomes (BJGP, 2022). Ensuring that information is conveyed in an accessible and understandable manner is therefore crucial for supporting her autonomy, promoting informed decision making, and maintaining dignity.</w:t>
      </w:r>
    </w:p>
    <w:p xmlns:wp14="http://schemas.microsoft.com/office/word/2010/wordml" w:rsidP="785B7E86" wp14:paraId="78204B80" wp14:textId="26ED04F0">
      <w:pPr>
        <w:spacing w:before="0" w:beforeAutospacing="off" w:after="160" w:afterAutospacing="off" w:line="360" w:lineRule="auto"/>
      </w:pPr>
      <w:r w:rsidRPr="785B7E86" w:rsidR="33DD4A89">
        <w:rPr>
          <w:rFonts w:ascii="Arial" w:hAnsi="Arial" w:eastAsia="Arial" w:cs="Arial"/>
          <w:noProof w:val="0"/>
          <w:sz w:val="22"/>
          <w:szCs w:val="22"/>
          <w:lang w:val="en-US"/>
        </w:rPr>
        <w:t>The Equality Act 2010 places a legal duty on healthcare providers to eliminate discrimination and make reasonable adjustments for patients facing communication barriers. For Mrs Mann, this entails access to professional interpreting services, translated written information, pictorial or visual aids, and culturally appropriate resources. Sole reliance on her daughter for interpretation, while practical, raises concerns regarding accuracy, confidentiality, and professional accountability. It may also introduce ethical dilemmas if sensitive information is disclosed or misunderstood, highlighting the importance of formal mechanisms to support communication (NHS England, 2023; BJGP, 2022).</w:t>
      </w:r>
    </w:p>
    <w:p xmlns:wp14="http://schemas.microsoft.com/office/word/2010/wordml" w:rsidP="785B7E86" wp14:paraId="56B9E4D4" wp14:textId="514AD466">
      <w:pPr>
        <w:spacing w:before="0" w:beforeAutospacing="off" w:after="160" w:afterAutospacing="off" w:line="360" w:lineRule="auto"/>
      </w:pPr>
      <w:r w:rsidRPr="785B7E86" w:rsidR="33DD4A89">
        <w:rPr>
          <w:rFonts w:ascii="Arial" w:hAnsi="Arial" w:eastAsia="Arial" w:cs="Arial"/>
          <w:noProof w:val="0"/>
          <w:sz w:val="22"/>
          <w:szCs w:val="22"/>
          <w:lang w:val="en-US"/>
        </w:rPr>
        <w:t>The Shannon and Weaver communication model provides a useful framework for analysing and improving communication processes (Communications Theory, 2025). In this model, the sender encodes a message, transmits it through a channel, and the receiver decodes it. Noise such as language differences, cultural misunderstandings, or medical terminology can interfere with comprehension, while feedback confirms understanding. Applying this model in practice, domiciliary care staff act as senders, transmitting instructions on medication and rehabilitation, while Mrs Mann decodes the information. Noise is mitigated through the use of professional interpreters, visual aids, and confirmation techniques such as teach back, where the patient repeats instructions to verify understanding. This structured approach enables identification of potential communication gaps and supports more effective patient engagement.</w:t>
      </w:r>
    </w:p>
    <w:p xmlns:wp14="http://schemas.microsoft.com/office/word/2010/wordml" w:rsidP="785B7E86" wp14:paraId="650C6E4A" wp14:textId="6F35C880">
      <w:pPr>
        <w:spacing w:before="0" w:beforeAutospacing="off" w:after="160" w:afterAutospacing="off" w:line="360" w:lineRule="auto"/>
      </w:pPr>
      <w:r w:rsidRPr="785B7E86" w:rsidR="33DD4A89">
        <w:rPr>
          <w:rFonts w:ascii="Arial" w:hAnsi="Arial" w:eastAsia="Arial" w:cs="Arial"/>
          <w:noProof w:val="0"/>
          <w:sz w:val="22"/>
          <w:szCs w:val="22"/>
          <w:lang w:val="en-US"/>
        </w:rPr>
        <w:t>Communication extends beyond direct interaction with Mrs Mann to the multidisciplinary team involved in her care. Clear, timely, and structured information sharing between her GP, physiotherapist, and domiciliary care workers is essential to prevent errors and delays, such as the medication incident in her case. Standardised handover tools, consistent written documentation, and digital records enhance continuity of care and ensure all professionals are working from the same, up-to-date information (PMC, 2023).</w:t>
      </w:r>
    </w:p>
    <w:p xmlns:wp14="http://schemas.microsoft.com/office/word/2010/wordml" w:rsidP="785B7E86" wp14:paraId="19933500" wp14:textId="192710AD">
      <w:pPr>
        <w:spacing w:before="0" w:beforeAutospacing="off" w:after="160" w:afterAutospacing="off" w:line="360" w:lineRule="auto"/>
      </w:pPr>
      <w:r w:rsidRPr="785B7E86" w:rsidR="33DD4A89">
        <w:rPr>
          <w:rFonts w:ascii="Arial" w:hAnsi="Arial" w:eastAsia="Arial" w:cs="Arial"/>
          <w:noProof w:val="0"/>
          <w:sz w:val="22"/>
          <w:szCs w:val="22"/>
          <w:lang w:val="en-US"/>
        </w:rPr>
        <w:t>Professional guidance from the General Medical Council reinforces that clinicians must make all possible efforts to communicate effectively, eliciting patient preferences, confirming understanding, and adapting communication methods as required. For Mrs Mann, combining legislative frameworks, communication theory, and person-centred strategies ensures safety, reduces health inequalities, and addresses the specific challenges associated with language barriers in migrant or minority populations (BJGP, 2022; NHS England, 2023). Effective communication in this context is not only a legal and ethical obligation but also a practical necessity for delivering safe, inclusive, and high quality care.</w:t>
      </w:r>
    </w:p>
    <w:p xmlns:wp14="http://schemas.microsoft.com/office/word/2010/wordml" w:rsidP="785B7E86" wp14:paraId="2DE97480" wp14:textId="6521C8B5">
      <w:pPr>
        <w:spacing w:before="0" w:beforeAutospacing="off" w:after="160" w:afterAutospacing="off" w:line="360" w:lineRule="auto"/>
      </w:pPr>
      <w:r w:rsidRPr="785B7E86" w:rsidR="33DD4A89">
        <w:rPr>
          <w:rFonts w:ascii="Arial" w:hAnsi="Arial" w:eastAsia="Arial" w:cs="Arial"/>
          <w:b w:val="1"/>
          <w:bCs w:val="1"/>
          <w:noProof w:val="0"/>
          <w:sz w:val="32"/>
          <w:szCs w:val="32"/>
          <w:lang w:val="en-US"/>
        </w:rPr>
        <w:t xml:space="preserve">IMPORTANCE OF GOOD ADMINISTRATIVE SKILLS IN PROFESSIONAL PRACTICE </w:t>
      </w:r>
    </w:p>
    <w:p xmlns:wp14="http://schemas.microsoft.com/office/word/2010/wordml" w:rsidP="785B7E86" wp14:paraId="0803C795" wp14:textId="1C7287C5">
      <w:pPr>
        <w:spacing w:before="0" w:beforeAutospacing="off" w:after="160" w:afterAutospacing="off" w:line="360" w:lineRule="auto"/>
      </w:pPr>
      <w:r w:rsidRPr="785B7E86" w:rsidR="33DD4A89">
        <w:rPr>
          <w:rFonts w:ascii="Arial" w:hAnsi="Arial" w:eastAsia="Arial" w:cs="Arial"/>
          <w:noProof w:val="0"/>
          <w:sz w:val="22"/>
          <w:szCs w:val="22"/>
          <w:lang w:val="en-US"/>
        </w:rPr>
        <w:t>Accurate record keeping is fundamental to the delivery of safe, effective, and person-centred care. In Mrs Mann’s situation, inconsistencies in documentation contributed to a delayed adjustment of her medication, illustrating the risks that arise when administrative processes are not followed consistently and thoroughly (BJGP, 2022). Administrative skills encompass organisational ability, attention to detail, systematic documentation of assessments and interventions, and the maintenance of care plans in a timely and structured manner. These skills form the backbone of professional practice within health and social care and are essential for ensuring continuity, safety, and quality of care.</w:t>
      </w:r>
    </w:p>
    <w:p xmlns:wp14="http://schemas.microsoft.com/office/word/2010/wordml" w:rsidP="785B7E86" wp14:paraId="00ADD6D6" wp14:textId="75E579C0">
      <w:pPr>
        <w:spacing w:before="0" w:beforeAutospacing="off" w:after="160" w:afterAutospacing="off" w:line="360" w:lineRule="auto"/>
      </w:pPr>
      <w:r w:rsidRPr="785B7E86" w:rsidR="33DD4A89">
        <w:rPr>
          <w:rFonts w:ascii="Arial" w:hAnsi="Arial" w:eastAsia="Arial" w:cs="Arial"/>
          <w:noProof w:val="0"/>
          <w:sz w:val="22"/>
          <w:szCs w:val="22"/>
          <w:lang w:val="en-US"/>
        </w:rPr>
        <w:t>The Data Protection Act 2018 modernised data protection legislation in the United Kingdom and aligned it with GDPR standards. It provides individuals with greater control over their personal information while allowing organisations to process data securely and lawfully (Gov.uk, 2018; Moodle Factsheet, 2025). Key principles include accuracy, transparency, lawfulness, purpose limitation, data minimisation, and secure storage. In the context of Mrs Mann’s care, health records such as her medication administration charts, physiotherapy notes, and personal care logs must comply with these principles. This ensures that sensitive patient information is protected while allowing lawful sharing with authorised professionals in her care team, maintaining both confidentiality and effective care coordination.</w:t>
      </w:r>
    </w:p>
    <w:p xmlns:wp14="http://schemas.microsoft.com/office/word/2010/wordml" w:rsidP="785B7E86" wp14:paraId="2061A497" wp14:textId="1FE6DE3C">
      <w:pPr>
        <w:spacing w:before="0" w:beforeAutospacing="off" w:after="160" w:afterAutospacing="off" w:line="360" w:lineRule="auto"/>
      </w:pPr>
      <w:r w:rsidRPr="785B7E86" w:rsidR="33DD4A89">
        <w:rPr>
          <w:rFonts w:ascii="Arial" w:hAnsi="Arial" w:eastAsia="Arial" w:cs="Arial"/>
          <w:noProof w:val="0"/>
          <w:sz w:val="22"/>
          <w:szCs w:val="22"/>
          <w:lang w:val="en-US"/>
        </w:rPr>
        <w:t>The Caldicott Principles provide further guidance on the handling of patient information, highlighting the need to collect only necessary information, limit disclosure, maintain accountability, and process data securely (HM Government, 2020). Applying these principles in practice ensures that only professionals who require access to Mrs Mann’s records can do so, safeguarding her privacy while facilitating multi-agency collaboration. This approach also reduces the risk of data breaches and reinforces professional accountability and ethical responsibility.</w:t>
      </w:r>
    </w:p>
    <w:p xmlns:wp14="http://schemas.microsoft.com/office/word/2010/wordml" w:rsidP="785B7E86" wp14:paraId="06174A6D" wp14:textId="07994266">
      <w:pPr>
        <w:spacing w:before="0" w:beforeAutospacing="off" w:after="160" w:afterAutospacing="off" w:line="360" w:lineRule="auto"/>
      </w:pPr>
      <w:r w:rsidRPr="785B7E86" w:rsidR="33DD4A89">
        <w:rPr>
          <w:rFonts w:ascii="Arial" w:hAnsi="Arial" w:eastAsia="Arial" w:cs="Arial"/>
          <w:noProof w:val="0"/>
          <w:sz w:val="22"/>
          <w:szCs w:val="22"/>
          <w:lang w:val="en-US"/>
        </w:rPr>
        <w:t>Consistent and accurate administrative practices directly support continuity of care. Domiciliary care workers must record each visit meticulously, noting any changes in mobility, adherence to prescribed medication, or progress in rehabilitation exercises. Such records enable the physiotherapist and GP to monitor her condition, make informed decisions, and adjust treatment plans promptly, preventing avoidable complications. Conversely, poor documentation can lead to miscommunication, clinical errors, and reduced accountability, which may compromise patient safety and overall care quality (NHS England, 2023; PMC, 2023).</w:t>
      </w:r>
    </w:p>
    <w:p xmlns:wp14="http://schemas.microsoft.com/office/word/2010/wordml" w:rsidP="785B7E86" wp14:paraId="4260920C" wp14:textId="2DF85EAF">
      <w:pPr>
        <w:spacing w:before="0" w:beforeAutospacing="off" w:after="160" w:afterAutospacing="off" w:line="360" w:lineRule="auto"/>
      </w:pPr>
      <w:r w:rsidRPr="785B7E86" w:rsidR="33DD4A89">
        <w:rPr>
          <w:rFonts w:ascii="Arial" w:hAnsi="Arial" w:eastAsia="Arial" w:cs="Arial"/>
          <w:noProof w:val="0"/>
          <w:sz w:val="22"/>
          <w:szCs w:val="22"/>
          <w:lang w:val="en-US"/>
        </w:rPr>
        <w:t xml:space="preserve">Administrative competence also ensures compliance with organisational policies and statutory frameworks. Adhering to NHS standards for record keeping and integrating electronic health record systems guarantees that patient information is secure, auditable, and accessible to authorised personnel when necessary. For Mrs Mann, robust administrative skills would prevent incidents such as delayed medication adjustments, improve multi-agency collaboration, and reduce risks associated with miscommunication and fragmented care (HM Government, 2021). Ultimately, effective administrative practices underpin professional accountability, legal compliance, and the provision of safe, high quality care in health and social care settings. To sum up, Accurate records ensure patient safety, legal compliance, and effective care. </w:t>
      </w:r>
    </w:p>
    <w:p xmlns:wp14="http://schemas.microsoft.com/office/word/2010/wordml" w:rsidP="785B7E86" wp14:paraId="7171FA23" wp14:textId="17A82752">
      <w:pPr>
        <w:spacing w:before="0" w:beforeAutospacing="off" w:after="160" w:afterAutospacing="off" w:line="360" w:lineRule="auto"/>
      </w:pPr>
      <w:r w:rsidRPr="785B7E86" w:rsidR="33DD4A89">
        <w:rPr>
          <w:rFonts w:ascii="Arial" w:hAnsi="Arial" w:eastAsia="Arial" w:cs="Arial"/>
          <w:b w:val="1"/>
          <w:bCs w:val="1"/>
          <w:noProof w:val="0"/>
          <w:sz w:val="32"/>
          <w:szCs w:val="32"/>
          <w:lang w:val="en-US"/>
        </w:rPr>
        <w:t xml:space="preserve">Importance of Collaborative Working </w:t>
      </w:r>
    </w:p>
    <w:p xmlns:wp14="http://schemas.microsoft.com/office/word/2010/wordml" w:rsidP="785B7E86" wp14:paraId="35C2898E" wp14:textId="47A13263">
      <w:pPr>
        <w:spacing w:before="0" w:beforeAutospacing="off" w:after="160" w:afterAutospacing="off" w:line="360" w:lineRule="auto"/>
      </w:pPr>
      <w:r w:rsidRPr="785B7E86" w:rsidR="33DD4A89">
        <w:rPr>
          <w:rFonts w:ascii="Arial" w:hAnsi="Arial" w:eastAsia="Arial" w:cs="Arial"/>
          <w:noProof w:val="0"/>
          <w:sz w:val="22"/>
          <w:szCs w:val="22"/>
          <w:lang w:val="en-US"/>
        </w:rPr>
        <w:t xml:space="preserve"> In the case of Mrs Mann, collaboration involves her GP, community physiotherapist, domiciliary care staff, and family members, particularly her daughter who often assists with interpretation. Effective collaboration ensures that her rehabilitation is coordinated, medication management is accurate and timely, and care delivery is responsive to her individual preferences and requirements (HM Government, 2021). Without collaboration, there is a risk of fragmented care, miscommunication, and reduced patient safety.</w:t>
      </w:r>
    </w:p>
    <w:p xmlns:wp14="http://schemas.microsoft.com/office/word/2010/wordml" w:rsidP="785B7E86" wp14:paraId="47CE6E46" wp14:textId="45A8074F">
      <w:pPr>
        <w:spacing w:before="0" w:beforeAutospacing="off" w:after="160" w:afterAutospacing="off" w:line="360" w:lineRule="auto"/>
      </w:pPr>
      <w:r w:rsidRPr="785B7E86" w:rsidR="33DD4A89">
        <w:rPr>
          <w:rFonts w:ascii="Arial" w:hAnsi="Arial" w:eastAsia="Arial" w:cs="Arial"/>
          <w:noProof w:val="0"/>
          <w:sz w:val="22"/>
          <w:szCs w:val="22"/>
          <w:lang w:val="en-US"/>
        </w:rPr>
        <w:t>Several approaches can be employed to foster effective collaboration in practice. Shared care plans, structured communication channels, and regular multidisciplinary meetings provide a framework for all professionals involved to exchange information, monitor progress, and update treatment strategies. Clearly defined roles and responsibilities prevent duplication of effort and ensure accountability. The use of digital records and standardised handover tools allows all professionals to access accurate, up to date information, reducing errors and supporting prompt interventions (PMC, 2023). In Mrs Mann’s case, including her daughter as a communication facilitator can be helpful; however, this should be balanced with professional interpreting services to maintain accuracy, confidentiality, and compliance with best practice standards (BJGP, 2022).</w:t>
      </w:r>
    </w:p>
    <w:p xmlns:wp14="http://schemas.microsoft.com/office/word/2010/wordml" w:rsidP="785B7E86" wp14:paraId="53744FE1" wp14:textId="62BB61E6">
      <w:pPr>
        <w:spacing w:before="0" w:beforeAutospacing="off" w:after="160" w:afterAutospacing="off" w:line="360" w:lineRule="auto"/>
      </w:pPr>
      <w:r w:rsidRPr="785B7E86" w:rsidR="33DD4A89">
        <w:rPr>
          <w:rFonts w:ascii="Arial" w:hAnsi="Arial" w:eastAsia="Arial" w:cs="Arial"/>
          <w:noProof w:val="0"/>
          <w:sz w:val="22"/>
          <w:szCs w:val="22"/>
          <w:lang w:val="en-US"/>
        </w:rPr>
        <w:t>Multi agency working is not without challenges. Language barriers, inconsistent documentation, workload pressures, and differing professional priorities can hinder effective collaboration. In Mrs Mann’s care, these challenges contributed to a delayed medication adjustment, highlighting the importance of proactive strategies. Strategies to overcome these barriers include joint care planning, structured handovers, cultural competence training, use of professional interpreters, and consistent team communication. Encouraging mutual respect and recognition of each professional’s expertise strengthens relationships and promotes a collaborative culture, which is essential for coordinated care delivery (NHS England, 2023).</w:t>
      </w:r>
    </w:p>
    <w:p xmlns:wp14="http://schemas.microsoft.com/office/word/2010/wordml" w:rsidP="785B7E86" wp14:paraId="4DF83B49" wp14:textId="35CEF333">
      <w:pPr>
        <w:spacing w:before="0" w:beforeAutospacing="off" w:after="160" w:afterAutospacing="off" w:line="360" w:lineRule="auto"/>
      </w:pPr>
      <w:r w:rsidRPr="785B7E86" w:rsidR="33DD4A89">
        <w:rPr>
          <w:rFonts w:ascii="Arial" w:hAnsi="Arial" w:eastAsia="Arial" w:cs="Arial"/>
          <w:noProof w:val="0"/>
          <w:sz w:val="22"/>
          <w:szCs w:val="22"/>
          <w:lang w:val="en-US"/>
        </w:rPr>
        <w:t>Collaborative working enhances continuity of care, minimises the risk of adverse events, and improves patient satisfaction and engagement. By ensuring that all professionals contribute effectively to her care, her rehabilitation journey becomes more efficient and tailored to her individual needs, demonstrating the critical importance of teamwork in health and social care settings (BJGP, 2022; HM Government, 2021).</w:t>
      </w:r>
    </w:p>
    <w:p xmlns:wp14="http://schemas.microsoft.com/office/word/2010/wordml" w:rsidP="785B7E86" wp14:paraId="1A6BFE70" wp14:textId="2AAD622F">
      <w:pPr>
        <w:spacing w:before="0" w:beforeAutospacing="off" w:after="160" w:afterAutospacing="off" w:line="360" w:lineRule="auto"/>
      </w:pPr>
      <w:r w:rsidRPr="785B7E86" w:rsidR="33DD4A89">
        <w:rPr>
          <w:rFonts w:ascii="Arial" w:hAnsi="Arial" w:eastAsia="Arial" w:cs="Arial"/>
          <w:noProof w:val="0"/>
          <w:sz w:val="22"/>
          <w:szCs w:val="22"/>
          <w:lang w:val="en-US"/>
        </w:rPr>
        <w:t xml:space="preserve"> </w:t>
      </w:r>
    </w:p>
    <w:p xmlns:wp14="http://schemas.microsoft.com/office/word/2010/wordml" w:rsidP="785B7E86" wp14:paraId="039001A9" wp14:textId="6A84823C">
      <w:pPr>
        <w:spacing w:before="0" w:beforeAutospacing="off" w:after="160" w:afterAutospacing="off" w:line="360" w:lineRule="auto"/>
      </w:pPr>
      <w:r w:rsidRPr="785B7E86" w:rsidR="33DD4A89">
        <w:rPr>
          <w:rFonts w:ascii="Arial" w:hAnsi="Arial" w:eastAsia="Arial" w:cs="Arial"/>
          <w:b w:val="1"/>
          <w:bCs w:val="1"/>
          <w:noProof w:val="0"/>
          <w:sz w:val="32"/>
          <w:szCs w:val="32"/>
          <w:lang w:val="en-US"/>
        </w:rPr>
        <w:t>CONCLUSION</w:t>
      </w:r>
    </w:p>
    <w:p xmlns:wp14="http://schemas.microsoft.com/office/word/2010/wordml" w:rsidP="785B7E86" wp14:paraId="53B72D8E" wp14:textId="5B3D663C">
      <w:pPr>
        <w:spacing w:before="0" w:beforeAutospacing="off" w:after="160" w:afterAutospacing="off" w:line="360" w:lineRule="auto"/>
      </w:pPr>
      <w:r w:rsidRPr="785B7E86" w:rsidR="33DD4A89">
        <w:rPr>
          <w:rFonts w:ascii="Arial" w:hAnsi="Arial" w:eastAsia="Arial" w:cs="Arial"/>
          <w:noProof w:val="0"/>
          <w:sz w:val="22"/>
          <w:szCs w:val="22"/>
          <w:lang w:val="en-US"/>
        </w:rPr>
        <w:t>Mrs Mann’s case illustrates the interconnectedness of communication, administrative skills, and collaborative working in health and social care. Effective communication, guided by the Equality Act 2010 and the Shannon and Weaver model, enables Mrs Mann to understand her care, participate in decisions, and mitigate risks arising from language barriers (BJGP, 2022; Communications Theory, 2025). Accurate record keeping, aligned with the Data Protection Act 2018 and Caldicott Principles, ensures secure, accessible, and auditable documentation, facilitating safe, coordinated care (Gov.uk, 2018; HM Government, 2020; Moodle Factsheet, 2025). Collaborative working between her GP, physiotherapist, domiciliary care staff, and family promotes coordinated rehabilitation, continuity of medication management, and holistic support. Integrating legislative frameworks, professional guidance, and practical strategies allows healthcare providers to deliver person-centred, safe, and equitable care, addressing the challenges posed by linguistic diversity and complex care needs (NHS England, 2023; HM Government, 2021; PMC, 2023).</w:t>
      </w:r>
    </w:p>
    <w:p xmlns:wp14="http://schemas.microsoft.com/office/word/2010/wordml" w:rsidP="785B7E86" wp14:paraId="66BBF615" wp14:textId="00878F53">
      <w:pPr>
        <w:spacing w:before="0" w:beforeAutospacing="off" w:after="160" w:afterAutospacing="off" w:line="360" w:lineRule="auto"/>
      </w:pPr>
      <w:r w:rsidRPr="785B7E86" w:rsidR="33DD4A89">
        <w:rPr>
          <w:rFonts w:ascii="Arial" w:hAnsi="Arial" w:eastAsia="Arial" w:cs="Arial"/>
          <w:b w:val="1"/>
          <w:bCs w:val="1"/>
          <w:noProof w:val="0"/>
          <w:sz w:val="32"/>
          <w:szCs w:val="32"/>
          <w:lang w:val="en-US"/>
        </w:rPr>
        <w:t>REFERENCE LIST</w:t>
      </w:r>
    </w:p>
    <w:p xmlns:wp14="http://schemas.microsoft.com/office/word/2010/wordml" w:rsidP="785B7E86" wp14:paraId="7A1E160D" wp14:textId="5C3D9A42">
      <w:pPr>
        <w:spacing w:before="0" w:beforeAutospacing="off" w:after="160" w:afterAutospacing="off" w:line="360" w:lineRule="auto"/>
      </w:pPr>
      <w:r w:rsidRPr="785B7E86" w:rsidR="33DD4A89">
        <w:rPr>
          <w:rFonts w:ascii="Arial" w:hAnsi="Arial" w:eastAsia="Arial" w:cs="Arial"/>
          <w:b w:val="1"/>
          <w:bCs w:val="1"/>
          <w:noProof w:val="0"/>
          <w:sz w:val="32"/>
          <w:szCs w:val="32"/>
          <w:lang w:val="en-US"/>
        </w:rPr>
        <w:t xml:space="preserve"> </w:t>
      </w:r>
    </w:p>
    <w:p xmlns:wp14="http://schemas.microsoft.com/office/word/2010/wordml" w:rsidP="785B7E86" wp14:paraId="2FE1D73F" wp14:textId="57F56F75">
      <w:pPr>
        <w:pStyle w:val="ListParagraph"/>
        <w:numPr>
          <w:ilvl w:val="0"/>
          <w:numId w:val="2"/>
        </w:numPr>
        <w:spacing w:before="0" w:beforeAutospacing="off" w:after="0" w:afterAutospacing="off" w:line="360" w:lineRule="auto"/>
        <w:ind w:left="720" w:right="0" w:hanging="360"/>
        <w:rPr>
          <w:rFonts w:ascii="Arial" w:hAnsi="Arial" w:eastAsia="Arial" w:cs="Arial"/>
          <w:noProof w:val="0"/>
          <w:sz w:val="22"/>
          <w:szCs w:val="22"/>
          <w:lang w:val="en-US"/>
        </w:rPr>
      </w:pPr>
      <w:r w:rsidRPr="785B7E86" w:rsidR="33DD4A89">
        <w:rPr>
          <w:rFonts w:ascii="Arial" w:hAnsi="Arial" w:eastAsia="Arial" w:cs="Arial"/>
          <w:noProof w:val="0"/>
          <w:sz w:val="22"/>
          <w:szCs w:val="22"/>
          <w:lang w:val="en-US"/>
        </w:rPr>
        <w:t xml:space="preserve">BJGP. (2022) ‘Addressing language as a barrier to healthcare access and quality’, </w:t>
      </w:r>
      <w:r w:rsidRPr="785B7E86" w:rsidR="33DD4A89">
        <w:rPr>
          <w:rFonts w:ascii="Arial" w:hAnsi="Arial" w:eastAsia="Arial" w:cs="Arial"/>
          <w:i w:val="1"/>
          <w:iCs w:val="1"/>
          <w:noProof w:val="0"/>
          <w:sz w:val="22"/>
          <w:szCs w:val="22"/>
          <w:lang w:val="en-US"/>
        </w:rPr>
        <w:t>British Journal of General Practice</w:t>
      </w:r>
      <w:r w:rsidRPr="785B7E86" w:rsidR="33DD4A89">
        <w:rPr>
          <w:rFonts w:ascii="Arial" w:hAnsi="Arial" w:eastAsia="Arial" w:cs="Arial"/>
          <w:noProof w:val="0"/>
          <w:sz w:val="22"/>
          <w:szCs w:val="22"/>
          <w:lang w:val="en-US"/>
        </w:rPr>
        <w:t xml:space="preserve">, 72(714), pp. 4–5. Available at: </w:t>
      </w:r>
      <w:hyperlink r:id="Rf73515d966ef4ed2">
        <w:r w:rsidRPr="785B7E86" w:rsidR="33DD4A89">
          <w:rPr>
            <w:rStyle w:val="Hyperlink"/>
            <w:rFonts w:ascii="Arial" w:hAnsi="Arial" w:eastAsia="Arial" w:cs="Arial"/>
            <w:strike w:val="0"/>
            <w:dstrike w:val="0"/>
            <w:noProof w:val="0"/>
            <w:color w:val="0563C1"/>
            <w:sz w:val="22"/>
            <w:szCs w:val="22"/>
            <w:u w:val="single"/>
            <w:lang w:val="en-US"/>
          </w:rPr>
          <w:t>https://doi.org/10.3399/bjgp22X718013</w:t>
        </w:r>
      </w:hyperlink>
      <w:r w:rsidRPr="785B7E86" w:rsidR="33DD4A89">
        <w:rPr>
          <w:rFonts w:ascii="Arial" w:hAnsi="Arial" w:eastAsia="Arial" w:cs="Arial"/>
          <w:noProof w:val="0"/>
          <w:sz w:val="22"/>
          <w:szCs w:val="22"/>
          <w:lang w:val="en-US"/>
        </w:rPr>
        <w:t xml:space="preserve"> (Accessed: 20 November 2025).</w:t>
      </w:r>
    </w:p>
    <w:p xmlns:wp14="http://schemas.microsoft.com/office/word/2010/wordml" w:rsidP="785B7E86" wp14:paraId="56762CDD" wp14:textId="7C0F5353">
      <w:pPr>
        <w:pStyle w:val="ListParagraph"/>
        <w:numPr>
          <w:ilvl w:val="0"/>
          <w:numId w:val="2"/>
        </w:numPr>
        <w:spacing w:before="0" w:beforeAutospacing="off" w:after="0" w:afterAutospacing="off" w:line="360" w:lineRule="auto"/>
        <w:ind w:left="720" w:right="0" w:hanging="360"/>
        <w:rPr>
          <w:rFonts w:ascii="Arial" w:hAnsi="Arial" w:eastAsia="Arial" w:cs="Arial"/>
          <w:noProof w:val="0"/>
          <w:sz w:val="22"/>
          <w:szCs w:val="22"/>
          <w:lang w:val="en-US"/>
        </w:rPr>
      </w:pPr>
      <w:r w:rsidRPr="785B7E86" w:rsidR="33DD4A89">
        <w:rPr>
          <w:rFonts w:ascii="Arial" w:hAnsi="Arial" w:eastAsia="Arial" w:cs="Arial"/>
          <w:noProof w:val="0"/>
          <w:sz w:val="22"/>
          <w:szCs w:val="22"/>
          <w:lang w:val="en-US"/>
        </w:rPr>
        <w:t xml:space="preserve">Communications Theory. (2025) ‘Shannon–Weaver model of communication’. Available at: </w:t>
      </w:r>
      <w:hyperlink r:id="R1ac9eb5660784cf3">
        <w:r w:rsidRPr="785B7E86" w:rsidR="33DD4A89">
          <w:rPr>
            <w:rStyle w:val="Hyperlink"/>
            <w:rFonts w:ascii="Arial" w:hAnsi="Arial" w:eastAsia="Arial" w:cs="Arial"/>
            <w:strike w:val="0"/>
            <w:dstrike w:val="0"/>
            <w:noProof w:val="0"/>
            <w:color w:val="0563C1"/>
            <w:sz w:val="22"/>
            <w:szCs w:val="22"/>
            <w:u w:val="single"/>
            <w:lang w:val="en-US"/>
          </w:rPr>
          <w:t>https://communicationstheory.wordpress.com/2025/03/17/shannon-weaver-model-of-communication/</w:t>
        </w:r>
      </w:hyperlink>
      <w:r w:rsidRPr="785B7E86" w:rsidR="33DD4A89">
        <w:rPr>
          <w:rFonts w:ascii="Arial" w:hAnsi="Arial" w:eastAsia="Arial" w:cs="Arial"/>
          <w:noProof w:val="0"/>
          <w:sz w:val="22"/>
          <w:szCs w:val="22"/>
          <w:lang w:val="en-US"/>
        </w:rPr>
        <w:t xml:space="preserve"> (Accessed: 20 November 2025).</w:t>
      </w:r>
    </w:p>
    <w:p xmlns:wp14="http://schemas.microsoft.com/office/word/2010/wordml" w:rsidP="785B7E86" wp14:paraId="2230B65D" wp14:textId="51B9329A">
      <w:pPr>
        <w:pStyle w:val="ListParagraph"/>
        <w:numPr>
          <w:ilvl w:val="0"/>
          <w:numId w:val="2"/>
        </w:numPr>
        <w:spacing w:before="0" w:beforeAutospacing="off" w:after="0" w:afterAutospacing="off" w:line="360" w:lineRule="auto"/>
        <w:ind w:left="720" w:right="0" w:hanging="360"/>
        <w:rPr>
          <w:rFonts w:ascii="Arial" w:hAnsi="Arial" w:eastAsia="Arial" w:cs="Arial"/>
          <w:noProof w:val="0"/>
          <w:sz w:val="22"/>
          <w:szCs w:val="22"/>
          <w:lang w:val="en-US"/>
        </w:rPr>
      </w:pPr>
      <w:r w:rsidRPr="785B7E86" w:rsidR="33DD4A89">
        <w:rPr>
          <w:rFonts w:ascii="Arial" w:hAnsi="Arial" w:eastAsia="Arial" w:cs="Arial"/>
          <w:noProof w:val="0"/>
          <w:sz w:val="22"/>
          <w:szCs w:val="22"/>
          <w:lang w:val="en-US"/>
        </w:rPr>
        <w:t xml:space="preserve">Gov.uk. (2018) </w:t>
      </w:r>
      <w:r w:rsidRPr="785B7E86" w:rsidR="33DD4A89">
        <w:rPr>
          <w:rFonts w:ascii="Arial" w:hAnsi="Arial" w:eastAsia="Arial" w:cs="Arial"/>
          <w:i w:val="1"/>
          <w:iCs w:val="1"/>
          <w:noProof w:val="0"/>
          <w:sz w:val="22"/>
          <w:szCs w:val="22"/>
          <w:lang w:val="en-US"/>
        </w:rPr>
        <w:t>Data Protection Act 2018</w:t>
      </w:r>
      <w:r w:rsidRPr="785B7E86" w:rsidR="33DD4A89">
        <w:rPr>
          <w:rFonts w:ascii="Arial" w:hAnsi="Arial" w:eastAsia="Arial" w:cs="Arial"/>
          <w:noProof w:val="0"/>
          <w:sz w:val="22"/>
          <w:szCs w:val="22"/>
          <w:lang w:val="en-US"/>
        </w:rPr>
        <w:t xml:space="preserve">. Available at: </w:t>
      </w:r>
      <w:hyperlink r:id="Rb5002c930208426f">
        <w:r w:rsidRPr="785B7E86" w:rsidR="33DD4A89">
          <w:rPr>
            <w:rStyle w:val="Hyperlink"/>
            <w:rFonts w:ascii="Arial" w:hAnsi="Arial" w:eastAsia="Arial" w:cs="Arial"/>
            <w:strike w:val="0"/>
            <w:dstrike w:val="0"/>
            <w:noProof w:val="0"/>
            <w:color w:val="0563C1"/>
            <w:sz w:val="22"/>
            <w:szCs w:val="22"/>
            <w:u w:val="single"/>
            <w:lang w:val="en-US"/>
          </w:rPr>
          <w:t>https://www.gov.uk/data-protection</w:t>
        </w:r>
      </w:hyperlink>
      <w:r w:rsidRPr="785B7E86" w:rsidR="33DD4A89">
        <w:rPr>
          <w:rFonts w:ascii="Arial" w:hAnsi="Arial" w:eastAsia="Arial" w:cs="Arial"/>
          <w:noProof w:val="0"/>
          <w:sz w:val="22"/>
          <w:szCs w:val="22"/>
          <w:lang w:val="en-US"/>
        </w:rPr>
        <w:t xml:space="preserve"> (Accessed: 20 November 2025).</w:t>
      </w:r>
    </w:p>
    <w:p xmlns:wp14="http://schemas.microsoft.com/office/word/2010/wordml" w:rsidP="785B7E86" wp14:paraId="323AF250" wp14:textId="62BBCD6C">
      <w:pPr>
        <w:pStyle w:val="ListParagraph"/>
        <w:numPr>
          <w:ilvl w:val="0"/>
          <w:numId w:val="2"/>
        </w:numPr>
        <w:spacing w:before="0" w:beforeAutospacing="off" w:after="0" w:afterAutospacing="off" w:line="360" w:lineRule="auto"/>
        <w:ind w:left="720" w:right="0" w:hanging="360"/>
        <w:rPr>
          <w:rFonts w:ascii="Arial" w:hAnsi="Arial" w:eastAsia="Arial" w:cs="Arial"/>
          <w:noProof w:val="0"/>
          <w:sz w:val="22"/>
          <w:szCs w:val="22"/>
          <w:lang w:val="en-US"/>
        </w:rPr>
      </w:pPr>
      <w:r w:rsidRPr="785B7E86" w:rsidR="33DD4A89">
        <w:rPr>
          <w:rFonts w:ascii="Arial" w:hAnsi="Arial" w:eastAsia="Arial" w:cs="Arial"/>
          <w:noProof w:val="0"/>
          <w:sz w:val="22"/>
          <w:szCs w:val="22"/>
          <w:lang w:val="en-US"/>
        </w:rPr>
        <w:t xml:space="preserve">HM Government. (2020) </w:t>
      </w:r>
      <w:r w:rsidRPr="785B7E86" w:rsidR="33DD4A89">
        <w:rPr>
          <w:rFonts w:ascii="Arial" w:hAnsi="Arial" w:eastAsia="Arial" w:cs="Arial"/>
          <w:i w:val="1"/>
          <w:iCs w:val="1"/>
          <w:noProof w:val="0"/>
          <w:sz w:val="22"/>
          <w:szCs w:val="22"/>
          <w:lang w:val="en-US"/>
        </w:rPr>
        <w:t>The Eight Caldicott Principles</w:t>
      </w:r>
      <w:r w:rsidRPr="785B7E86" w:rsidR="33DD4A89">
        <w:rPr>
          <w:rFonts w:ascii="Arial" w:hAnsi="Arial" w:eastAsia="Arial" w:cs="Arial"/>
          <w:noProof w:val="0"/>
          <w:sz w:val="22"/>
          <w:szCs w:val="22"/>
          <w:lang w:val="en-US"/>
        </w:rPr>
        <w:t xml:space="preserve">. Available at: </w:t>
      </w:r>
      <w:hyperlink r:id="Re2805689482047e0">
        <w:r w:rsidRPr="785B7E86" w:rsidR="33DD4A89">
          <w:rPr>
            <w:rStyle w:val="Hyperlink"/>
            <w:rFonts w:ascii="Arial" w:hAnsi="Arial" w:eastAsia="Arial" w:cs="Arial"/>
            <w:strike w:val="0"/>
            <w:dstrike w:val="0"/>
            <w:noProof w:val="0"/>
            <w:color w:val="0563C1"/>
            <w:sz w:val="22"/>
            <w:szCs w:val="22"/>
            <w:u w:val="single"/>
            <w:lang w:val="en-US"/>
          </w:rPr>
          <w:t>https://assets.publishing.service.gov.uk/media/5fcf9b92d3bf7f5d0bb8bb13/Eight_Caldicott_Principles_08.12.20.pdf</w:t>
        </w:r>
      </w:hyperlink>
      <w:r w:rsidRPr="785B7E86" w:rsidR="33DD4A89">
        <w:rPr>
          <w:rFonts w:ascii="Arial" w:hAnsi="Arial" w:eastAsia="Arial" w:cs="Arial"/>
          <w:noProof w:val="0"/>
          <w:sz w:val="22"/>
          <w:szCs w:val="22"/>
          <w:lang w:val="en-US"/>
        </w:rPr>
        <w:t xml:space="preserve"> (Accessed: 20 November 2025).</w:t>
      </w:r>
    </w:p>
    <w:p xmlns:wp14="http://schemas.microsoft.com/office/word/2010/wordml" w:rsidP="785B7E86" wp14:paraId="2E71B674" wp14:textId="790F30CC">
      <w:pPr>
        <w:pStyle w:val="ListParagraph"/>
        <w:numPr>
          <w:ilvl w:val="0"/>
          <w:numId w:val="2"/>
        </w:numPr>
        <w:spacing w:before="0" w:beforeAutospacing="off" w:after="0" w:afterAutospacing="off" w:line="360" w:lineRule="auto"/>
        <w:ind w:left="720" w:right="0" w:hanging="360"/>
        <w:rPr>
          <w:rFonts w:ascii="Arial" w:hAnsi="Arial" w:eastAsia="Arial" w:cs="Arial"/>
          <w:noProof w:val="0"/>
          <w:sz w:val="22"/>
          <w:szCs w:val="22"/>
          <w:lang w:val="en-US"/>
        </w:rPr>
      </w:pPr>
      <w:r w:rsidRPr="785B7E86" w:rsidR="33DD4A89">
        <w:rPr>
          <w:rFonts w:ascii="Arial" w:hAnsi="Arial" w:eastAsia="Arial" w:cs="Arial"/>
          <w:noProof w:val="0"/>
          <w:sz w:val="22"/>
          <w:szCs w:val="22"/>
          <w:lang w:val="en-US"/>
        </w:rPr>
        <w:t xml:space="preserve">HM Government. (2021) </w:t>
      </w:r>
      <w:r w:rsidRPr="785B7E86" w:rsidR="33DD4A89">
        <w:rPr>
          <w:rFonts w:ascii="Arial" w:hAnsi="Arial" w:eastAsia="Arial" w:cs="Arial"/>
          <w:i w:val="1"/>
          <w:iCs w:val="1"/>
          <w:noProof w:val="0"/>
          <w:sz w:val="22"/>
          <w:szCs w:val="22"/>
          <w:lang w:val="en-US"/>
        </w:rPr>
        <w:t>Integration and innovation: working together to improve health and social care for all</w:t>
      </w:r>
      <w:r w:rsidRPr="785B7E86" w:rsidR="33DD4A89">
        <w:rPr>
          <w:rFonts w:ascii="Arial" w:hAnsi="Arial" w:eastAsia="Arial" w:cs="Arial"/>
          <w:noProof w:val="0"/>
          <w:sz w:val="22"/>
          <w:szCs w:val="22"/>
          <w:lang w:val="en-US"/>
        </w:rPr>
        <w:t xml:space="preserve">, 11 February. Available at: </w:t>
      </w:r>
      <w:hyperlink r:id="Rc7d032c0dc3c43dd">
        <w:r w:rsidRPr="785B7E86" w:rsidR="33DD4A89">
          <w:rPr>
            <w:rStyle w:val="Hyperlink"/>
            <w:rFonts w:ascii="Arial" w:hAnsi="Arial" w:eastAsia="Arial" w:cs="Arial"/>
            <w:strike w:val="0"/>
            <w:dstrike w:val="0"/>
            <w:noProof w:val="0"/>
            <w:color w:val="0563C1"/>
            <w:sz w:val="22"/>
            <w:szCs w:val="22"/>
            <w:u w:val="single"/>
            <w:lang w:val="en-US"/>
          </w:rPr>
          <w:t>https://assets.publishing.service.gov.uk/media/60251afb8fa8f5037e13c418/integration-and-innovation-working-together-to-improve-health-and-social-care-for-all-web-version.pdf</w:t>
        </w:r>
      </w:hyperlink>
      <w:r w:rsidRPr="785B7E86" w:rsidR="33DD4A89">
        <w:rPr>
          <w:rFonts w:ascii="Arial" w:hAnsi="Arial" w:eastAsia="Arial" w:cs="Arial"/>
          <w:noProof w:val="0"/>
          <w:sz w:val="22"/>
          <w:szCs w:val="22"/>
          <w:lang w:val="en-US"/>
        </w:rPr>
        <w:t xml:space="preserve"> (Accessed: 20 November 2025).</w:t>
      </w:r>
    </w:p>
    <w:p xmlns:wp14="http://schemas.microsoft.com/office/word/2010/wordml" w:rsidP="785B7E86" wp14:paraId="56B46452" wp14:textId="0A2F37EA">
      <w:pPr>
        <w:pStyle w:val="ListParagraph"/>
        <w:numPr>
          <w:ilvl w:val="0"/>
          <w:numId w:val="2"/>
        </w:numPr>
        <w:spacing w:before="0" w:beforeAutospacing="off" w:after="0" w:afterAutospacing="off" w:line="360" w:lineRule="auto"/>
        <w:ind w:left="720" w:right="0" w:hanging="360"/>
        <w:rPr>
          <w:rFonts w:ascii="Arial" w:hAnsi="Arial" w:eastAsia="Arial" w:cs="Arial"/>
          <w:noProof w:val="0"/>
          <w:sz w:val="22"/>
          <w:szCs w:val="22"/>
          <w:lang w:val="en-US"/>
        </w:rPr>
      </w:pPr>
      <w:r w:rsidRPr="785B7E86" w:rsidR="33DD4A89">
        <w:rPr>
          <w:rFonts w:ascii="Arial" w:hAnsi="Arial" w:eastAsia="Arial" w:cs="Arial"/>
          <w:noProof w:val="0"/>
          <w:sz w:val="22"/>
          <w:szCs w:val="22"/>
          <w:lang w:val="en-US"/>
        </w:rPr>
        <w:t xml:space="preserve">Moodle. (2025) </w:t>
      </w:r>
      <w:r w:rsidRPr="785B7E86" w:rsidR="33DD4A89">
        <w:rPr>
          <w:rFonts w:ascii="Arial" w:hAnsi="Arial" w:eastAsia="Arial" w:cs="Arial"/>
          <w:i w:val="1"/>
          <w:iCs w:val="1"/>
          <w:noProof w:val="0"/>
          <w:sz w:val="22"/>
          <w:szCs w:val="22"/>
          <w:lang w:val="en-US"/>
        </w:rPr>
        <w:t>Data Protection Act 2018 Factsheet – Overview</w:t>
      </w:r>
      <w:r w:rsidRPr="785B7E86" w:rsidR="33DD4A89">
        <w:rPr>
          <w:rFonts w:ascii="Arial" w:hAnsi="Arial" w:eastAsia="Arial" w:cs="Arial"/>
          <w:noProof w:val="0"/>
          <w:sz w:val="22"/>
          <w:szCs w:val="22"/>
          <w:lang w:val="en-US"/>
        </w:rPr>
        <w:t xml:space="preserve">. University of Wales Trinity Saint David. Available at: </w:t>
      </w:r>
      <w:hyperlink r:id="Rc2295bc5be8541fa">
        <w:r w:rsidRPr="785B7E86" w:rsidR="33DD4A89">
          <w:rPr>
            <w:rStyle w:val="Hyperlink"/>
            <w:rFonts w:ascii="Arial" w:hAnsi="Arial" w:eastAsia="Arial" w:cs="Arial"/>
            <w:strike w:val="0"/>
            <w:dstrike w:val="0"/>
            <w:noProof w:val="0"/>
            <w:color w:val="0563C1"/>
            <w:sz w:val="22"/>
            <w:szCs w:val="22"/>
            <w:u w:val="single"/>
            <w:lang w:val="en-US"/>
          </w:rPr>
          <w:t>https://moodle.uwtsd.ac.uk/pluginfile.php/619256/mod_folder/content/0/Data%20Protection%20Act%20Factsheet.pdf?forcedownload=1</w:t>
        </w:r>
      </w:hyperlink>
      <w:r w:rsidRPr="785B7E86" w:rsidR="33DD4A89">
        <w:rPr>
          <w:rFonts w:ascii="Arial" w:hAnsi="Arial" w:eastAsia="Arial" w:cs="Arial"/>
          <w:noProof w:val="0"/>
          <w:sz w:val="22"/>
          <w:szCs w:val="22"/>
          <w:lang w:val="en-US"/>
        </w:rPr>
        <w:t xml:space="preserve"> (Accessed: 20 November 2025).</w:t>
      </w:r>
    </w:p>
    <w:p xmlns:wp14="http://schemas.microsoft.com/office/word/2010/wordml" w:rsidP="785B7E86" wp14:paraId="46DEA277" wp14:textId="5F8432A5">
      <w:pPr>
        <w:pStyle w:val="ListParagraph"/>
        <w:numPr>
          <w:ilvl w:val="0"/>
          <w:numId w:val="2"/>
        </w:numPr>
        <w:spacing w:before="0" w:beforeAutospacing="off" w:after="0" w:afterAutospacing="off" w:line="360" w:lineRule="auto"/>
        <w:ind w:left="720" w:right="0" w:hanging="360"/>
        <w:rPr>
          <w:rFonts w:ascii="Arial" w:hAnsi="Arial" w:eastAsia="Arial" w:cs="Arial"/>
          <w:noProof w:val="0"/>
          <w:sz w:val="22"/>
          <w:szCs w:val="22"/>
          <w:lang w:val="en-US"/>
        </w:rPr>
      </w:pPr>
      <w:r w:rsidRPr="785B7E86" w:rsidR="33DD4A89">
        <w:rPr>
          <w:rFonts w:ascii="Arial" w:hAnsi="Arial" w:eastAsia="Arial" w:cs="Arial"/>
          <w:noProof w:val="0"/>
          <w:sz w:val="22"/>
          <w:szCs w:val="22"/>
          <w:lang w:val="en-US"/>
        </w:rPr>
        <w:t xml:space="preserve">NHS England. (2023) </w:t>
      </w:r>
      <w:r w:rsidRPr="785B7E86" w:rsidR="33DD4A89">
        <w:rPr>
          <w:rFonts w:ascii="Arial" w:hAnsi="Arial" w:eastAsia="Arial" w:cs="Arial"/>
          <w:i w:val="1"/>
          <w:iCs w:val="1"/>
          <w:noProof w:val="0"/>
          <w:sz w:val="22"/>
          <w:szCs w:val="22"/>
          <w:lang w:val="en-US"/>
        </w:rPr>
        <w:t>NHS Equality, Diversity and Inclusion Improvement Plan</w:t>
      </w:r>
      <w:r w:rsidRPr="785B7E86" w:rsidR="33DD4A89">
        <w:rPr>
          <w:rFonts w:ascii="Arial" w:hAnsi="Arial" w:eastAsia="Arial" w:cs="Arial"/>
          <w:noProof w:val="0"/>
          <w:sz w:val="22"/>
          <w:szCs w:val="22"/>
          <w:lang w:val="en-US"/>
        </w:rPr>
        <w:t xml:space="preserve">. Available at: </w:t>
      </w:r>
      <w:hyperlink r:id="R9bb07a9650074775">
        <w:r w:rsidRPr="785B7E86" w:rsidR="33DD4A89">
          <w:rPr>
            <w:rStyle w:val="Hyperlink"/>
            <w:rFonts w:ascii="Arial" w:hAnsi="Arial" w:eastAsia="Arial" w:cs="Arial"/>
            <w:strike w:val="0"/>
            <w:dstrike w:val="0"/>
            <w:noProof w:val="0"/>
            <w:color w:val="0563C1"/>
            <w:sz w:val="22"/>
            <w:szCs w:val="22"/>
            <w:u w:val="single"/>
            <w:lang w:val="en-US"/>
          </w:rPr>
          <w:t>https://www.england.nhs.uk/long-read/nhs-equality-diversity-and-inclusion-improvement-plan/</w:t>
        </w:r>
      </w:hyperlink>
      <w:r w:rsidRPr="785B7E86" w:rsidR="33DD4A89">
        <w:rPr>
          <w:rFonts w:ascii="Arial" w:hAnsi="Arial" w:eastAsia="Arial" w:cs="Arial"/>
          <w:noProof w:val="0"/>
          <w:sz w:val="22"/>
          <w:szCs w:val="22"/>
          <w:lang w:val="en-US"/>
        </w:rPr>
        <w:t xml:space="preserve"> (Accessed: 20 November 2025).</w:t>
      </w:r>
    </w:p>
    <w:p xmlns:wp14="http://schemas.microsoft.com/office/word/2010/wordml" w:rsidP="785B7E86" wp14:paraId="37639B57" wp14:textId="50D16370">
      <w:pPr>
        <w:pStyle w:val="ListParagraph"/>
        <w:numPr>
          <w:ilvl w:val="0"/>
          <w:numId w:val="2"/>
        </w:numPr>
        <w:spacing w:before="0" w:beforeAutospacing="off" w:after="0" w:afterAutospacing="off" w:line="360" w:lineRule="auto"/>
        <w:ind w:left="720" w:right="0" w:hanging="360"/>
        <w:rPr>
          <w:rFonts w:ascii="Arial" w:hAnsi="Arial" w:eastAsia="Arial" w:cs="Arial"/>
          <w:noProof w:val="0"/>
          <w:sz w:val="22"/>
          <w:szCs w:val="22"/>
          <w:lang w:val="en-US"/>
        </w:rPr>
      </w:pPr>
      <w:r w:rsidRPr="785B7E86" w:rsidR="33DD4A89">
        <w:rPr>
          <w:rFonts w:ascii="Arial" w:hAnsi="Arial" w:eastAsia="Arial" w:cs="Arial"/>
          <w:noProof w:val="0"/>
          <w:sz w:val="22"/>
          <w:szCs w:val="22"/>
          <w:lang w:val="en-US"/>
        </w:rPr>
        <w:t xml:space="preserve">PMC. (2023) ‘[Article title]’, </w:t>
      </w:r>
      <w:r w:rsidRPr="785B7E86" w:rsidR="33DD4A89">
        <w:rPr>
          <w:rFonts w:ascii="Arial" w:hAnsi="Arial" w:eastAsia="Arial" w:cs="Arial"/>
          <w:i w:val="1"/>
          <w:iCs w:val="1"/>
          <w:noProof w:val="0"/>
          <w:sz w:val="22"/>
          <w:szCs w:val="22"/>
          <w:lang w:val="en-US"/>
        </w:rPr>
        <w:t>PubMed Central</w:t>
      </w:r>
      <w:r w:rsidRPr="785B7E86" w:rsidR="33DD4A89">
        <w:rPr>
          <w:rFonts w:ascii="Arial" w:hAnsi="Arial" w:eastAsia="Arial" w:cs="Arial"/>
          <w:noProof w:val="0"/>
          <w:sz w:val="22"/>
          <w:szCs w:val="22"/>
          <w:lang w:val="en-US"/>
        </w:rPr>
        <w:t xml:space="preserve">, 22 August. Available at: </w:t>
      </w:r>
      <w:hyperlink w:anchor="Sec2" r:id="R03137834f1674422">
        <w:r w:rsidRPr="785B7E86" w:rsidR="33DD4A89">
          <w:rPr>
            <w:rStyle w:val="Hyperlink"/>
            <w:rFonts w:ascii="Arial" w:hAnsi="Arial" w:eastAsia="Arial" w:cs="Arial"/>
            <w:strike w:val="0"/>
            <w:dstrike w:val="0"/>
            <w:noProof w:val="0"/>
            <w:color w:val="0563C1"/>
            <w:sz w:val="22"/>
            <w:szCs w:val="22"/>
            <w:u w:val="single"/>
            <w:lang w:val="en-US"/>
          </w:rPr>
          <w:t>https://pmc.ncbi.nlm.nih.gov/articles/PMC10464255/#Sec2</w:t>
        </w:r>
      </w:hyperlink>
      <w:r w:rsidRPr="785B7E86" w:rsidR="33DD4A89">
        <w:rPr>
          <w:rFonts w:ascii="Arial" w:hAnsi="Arial" w:eastAsia="Arial" w:cs="Arial"/>
          <w:noProof w:val="0"/>
          <w:sz w:val="22"/>
          <w:szCs w:val="22"/>
          <w:lang w:val="en-US"/>
        </w:rPr>
        <w:t xml:space="preserve"> (Accessed: 20 November 2025).</w:t>
      </w:r>
    </w:p>
    <w:p xmlns:wp14="http://schemas.microsoft.com/office/word/2010/wordml" w:rsidP="785B7E86" wp14:paraId="4740E722" wp14:textId="4625371D">
      <w:pPr>
        <w:spacing w:before="0" w:beforeAutospacing="off" w:after="160" w:afterAutospacing="off" w:line="360" w:lineRule="auto"/>
      </w:pPr>
      <w:r w:rsidRPr="785B7E86" w:rsidR="33DD4A89">
        <w:rPr>
          <w:rFonts w:ascii="Arial" w:hAnsi="Arial" w:eastAsia="Arial" w:cs="Arial"/>
          <w:noProof w:val="0"/>
          <w:sz w:val="22"/>
          <w:szCs w:val="22"/>
          <w:lang w:val="en-US"/>
        </w:rPr>
        <w:t xml:space="preserve"> </w:t>
      </w:r>
    </w:p>
    <w:p xmlns:wp14="http://schemas.microsoft.com/office/word/2010/wordml" w:rsidP="785B7E86" wp14:paraId="1165D59D" wp14:textId="6B63A325">
      <w:pPr>
        <w:spacing w:before="0" w:beforeAutospacing="off" w:after="160" w:afterAutospacing="off" w:line="360" w:lineRule="auto"/>
      </w:pPr>
      <w:r w:rsidRPr="785B7E86" w:rsidR="33DD4A89">
        <w:rPr>
          <w:rFonts w:ascii="Arial" w:hAnsi="Arial" w:eastAsia="Arial" w:cs="Arial"/>
          <w:noProof w:val="0"/>
          <w:sz w:val="22"/>
          <w:szCs w:val="22"/>
          <w:lang w:val="en-US"/>
        </w:rPr>
        <w:t xml:space="preserve"> </w:t>
      </w:r>
    </w:p>
    <w:p xmlns:wp14="http://schemas.microsoft.com/office/word/2010/wordml" w:rsidP="785B7E86" wp14:paraId="675A347B" wp14:textId="1D7D9A8C">
      <w:pPr>
        <w:spacing w:before="0" w:beforeAutospacing="off" w:after="160" w:afterAutospacing="off" w:line="360" w:lineRule="auto"/>
        <w:rPr>
          <w:rFonts w:ascii="Arial" w:hAnsi="Arial" w:eastAsia="Arial" w:cs="Arial"/>
          <w:noProof w:val="0"/>
          <w:sz w:val="22"/>
          <w:szCs w:val="22"/>
          <w:lang w:val="en-US"/>
        </w:rPr>
      </w:pPr>
    </w:p>
    <w:p xmlns:wp14="http://schemas.microsoft.com/office/word/2010/wordml" wp14:paraId="5E5787A5" wp14:textId="2C549D16"/>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634af7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ff055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60F103"/>
    <w:rsid w:val="03E05925"/>
    <w:rsid w:val="26CE2EE4"/>
    <w:rsid w:val="33DD4A89"/>
    <w:rsid w:val="6060F103"/>
    <w:rsid w:val="785B7E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0F103"/>
  <w15:chartTrackingRefBased/>
  <w15:docId w15:val="{52682D27-10C4-45B3-967D-FEBC2E744D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85B7E86"/>
    <w:pPr>
      <w:spacing/>
      <w:ind w:left="720"/>
      <w:contextualSpacing/>
    </w:pPr>
  </w:style>
  <w:style w:type="character" w:styleId="Hyperlink">
    <w:uiPriority w:val="99"/>
    <w:name w:val="Hyperlink"/>
    <w:basedOn w:val="DefaultParagraphFont"/>
    <w:unhideWhenUsed/>
    <w:rsid w:val="785B7E8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3399/bjgp22X718013" TargetMode="External" Id="Rf73515d966ef4ed2" /><Relationship Type="http://schemas.openxmlformats.org/officeDocument/2006/relationships/hyperlink" Target="https://communicationstheory.wordpress.com/2025/03/17/shannon-weaver-model-of-communication/" TargetMode="External" Id="R1ac9eb5660784cf3" /><Relationship Type="http://schemas.openxmlformats.org/officeDocument/2006/relationships/hyperlink" Target="https://www.gov.uk/data-protection" TargetMode="External" Id="Rb5002c930208426f" /><Relationship Type="http://schemas.openxmlformats.org/officeDocument/2006/relationships/hyperlink" Target="https://assets.publishing.service.gov.uk/media/5fcf9b92d3bf7f5d0bb8bb13/Eight_Caldicott_Principles_08.12.20.pdf" TargetMode="External" Id="Re2805689482047e0" /><Relationship Type="http://schemas.openxmlformats.org/officeDocument/2006/relationships/hyperlink" Target="https://assets.publishing.service.gov.uk/media/60251afb8fa8f5037e13c418/integration-and-innovation-working-together-to-improve-health-and-social-care-for-all-web-version.pdf" TargetMode="External" Id="Rc7d032c0dc3c43dd" /><Relationship Type="http://schemas.openxmlformats.org/officeDocument/2006/relationships/hyperlink" Target="https://moodle.uwtsd.ac.uk/pluginfile.php/619256/mod_folder/content/0/Data%20Protection%20Act%20Factsheet.pdf?forcedownload=1" TargetMode="External" Id="Rc2295bc5be8541fa" /><Relationship Type="http://schemas.openxmlformats.org/officeDocument/2006/relationships/hyperlink" Target="https://www.england.nhs.uk/long-read/nhs-equality-diversity-and-inclusion-improvement-plan/" TargetMode="External" Id="R9bb07a9650074775" /><Relationship Type="http://schemas.openxmlformats.org/officeDocument/2006/relationships/hyperlink" Target="https://pmc.ncbi.nlm.nih.gov/articles/PMC10464255/" TargetMode="External" Id="R03137834f1674422" /><Relationship Type="http://schemas.openxmlformats.org/officeDocument/2006/relationships/numbering" Target="/word/numbering.xml" Id="R9e8d65b65c19484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Khoshboo Patujo (2321113)</dc:creator>
  <keywords/>
  <dc:description/>
  <lastModifiedBy>Khoshboo Patujo (2321113)</lastModifiedBy>
  <revision>2</revision>
  <dcterms:created xsi:type="dcterms:W3CDTF">2025-11-20T12:41:30.6127754Z</dcterms:created>
  <dcterms:modified xsi:type="dcterms:W3CDTF">2025-11-20T12:44:13.4574026Z</dcterms:modified>
</coreProperties>
</file>