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7894C" w14:textId="77777777" w:rsidR="0082767C" w:rsidRDefault="0082767C" w:rsidP="00445D2D">
      <w:pPr>
        <w:ind w:firstLine="0"/>
      </w:pPr>
    </w:p>
    <w:p w14:paraId="374B058B" w14:textId="77777777" w:rsidR="00445D2D" w:rsidRPr="008B1465" w:rsidRDefault="00445D2D" w:rsidP="00445D2D">
      <w:pPr>
        <w:rPr>
          <w:rFonts w:cs="Times New Roman"/>
          <w:b/>
          <w:szCs w:val="24"/>
        </w:rPr>
      </w:pPr>
      <w:r w:rsidRPr="008B489E">
        <w:rPr>
          <w:rFonts w:eastAsia="Times New Roman"/>
          <w:noProof/>
          <w:color w:val="000000"/>
          <w:bdr w:val="none" w:sz="0" w:space="0" w:color="auto" w:frame="1"/>
          <w:lang w:eastAsia="en-GB"/>
        </w:rPr>
        <w:drawing>
          <wp:anchor distT="0" distB="0" distL="114300" distR="114300" simplePos="0" relativeHeight="251661312" behindDoc="0" locked="0" layoutInCell="1" allowOverlap="1" wp14:anchorId="211E838F" wp14:editId="2AA9C0AB">
            <wp:simplePos x="0" y="0"/>
            <wp:positionH relativeFrom="column">
              <wp:posOffset>-254523</wp:posOffset>
            </wp:positionH>
            <wp:positionV relativeFrom="paragraph">
              <wp:posOffset>301</wp:posOffset>
            </wp:positionV>
            <wp:extent cx="6428740" cy="1162050"/>
            <wp:effectExtent l="0" t="0" r="0" b="0"/>
            <wp:wrapSquare wrapText="bothSides"/>
            <wp:docPr id="1390072744" name="Picture 1390072744" descr="https://lh7-rt.googleusercontent.com/docsz/AD_4nXfckxgMSHfpn5wLqzw6Lop116l69vtE7Aa9tBicRwM__smV_ZH30qyPI3YyPO_eY3RuKKFbbAZr_8Rr42XO5sPdpahpbAN7rFkakSUzY-V98t3TT4P-Ktv2KfaWkJNWbP-8YaMN?key=aCKAk6IbKOf_mrY10H0LQ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fckxgMSHfpn5wLqzw6Lop116l69vtE7Aa9tBicRwM__smV_ZH30qyPI3YyPO_eY3RuKKFbbAZr_8Rr42XO5sPdpahpbAN7rFkakSUzY-V98t3TT4P-Ktv2KfaWkJNWbP-8YaMN?key=aCKAk6IbKOf_mrY10H0LQ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28740" cy="1162050"/>
                    </a:xfrm>
                    <a:prstGeom prst="rect">
                      <a:avLst/>
                    </a:prstGeom>
                    <a:noFill/>
                    <a:ln w="9525">
                      <a:noFill/>
                      <a:miter lim="800000"/>
                      <a:headEnd/>
                      <a:tailEnd/>
                    </a:ln>
                  </pic:spPr>
                </pic:pic>
              </a:graphicData>
            </a:graphic>
            <wp14:sizeRelH relativeFrom="margin">
              <wp14:pctWidth>0</wp14:pctWidth>
            </wp14:sizeRelH>
          </wp:anchor>
        </w:drawing>
      </w:r>
    </w:p>
    <w:p w14:paraId="542085EE" w14:textId="77777777" w:rsidR="00445D2D" w:rsidRPr="008B489E" w:rsidRDefault="00445D2D" w:rsidP="00445D2D">
      <w:pPr>
        <w:spacing w:after="0"/>
        <w:jc w:val="center"/>
        <w:rPr>
          <w:rFonts w:eastAsia="Times New Roman" w:cs="Times New Roman"/>
          <w:szCs w:val="24"/>
        </w:rPr>
      </w:pPr>
      <w:r w:rsidRPr="008B489E">
        <w:rPr>
          <w:rFonts w:eastAsia="Times New Roman" w:cs="Times New Roman"/>
          <w:b/>
          <w:bCs/>
          <w:color w:val="000000"/>
          <w:sz w:val="32"/>
          <w:szCs w:val="32"/>
        </w:rPr>
        <w:t>Module: International Meetings Management for the Hotel Industry</w:t>
      </w:r>
    </w:p>
    <w:p w14:paraId="7EBECC88" w14:textId="77777777" w:rsidR="00445D2D" w:rsidRPr="008B489E" w:rsidRDefault="00445D2D" w:rsidP="00445D2D">
      <w:pPr>
        <w:spacing w:after="0"/>
        <w:jc w:val="center"/>
        <w:rPr>
          <w:rFonts w:eastAsia="Times New Roman" w:cs="Times New Roman"/>
          <w:szCs w:val="24"/>
        </w:rPr>
      </w:pPr>
    </w:p>
    <w:p w14:paraId="78B96BC6" w14:textId="77777777" w:rsidR="00445D2D" w:rsidRPr="008B489E" w:rsidRDefault="00445D2D" w:rsidP="00445D2D">
      <w:pPr>
        <w:spacing w:after="0"/>
        <w:jc w:val="center"/>
        <w:rPr>
          <w:rFonts w:eastAsia="Times New Roman" w:cs="Times New Roman"/>
          <w:szCs w:val="24"/>
        </w:rPr>
      </w:pPr>
      <w:r w:rsidRPr="008B489E">
        <w:rPr>
          <w:rFonts w:eastAsia="Times New Roman" w:cs="Times New Roman"/>
          <w:b/>
          <w:bCs/>
          <w:color w:val="000000"/>
          <w:sz w:val="32"/>
          <w:szCs w:val="32"/>
        </w:rPr>
        <w:t>Module code: BMIH6007</w:t>
      </w:r>
    </w:p>
    <w:p w14:paraId="7C687A32" w14:textId="77777777" w:rsidR="00445D2D" w:rsidRPr="00021E9B" w:rsidRDefault="00445D2D" w:rsidP="00445D2D">
      <w:pPr>
        <w:spacing w:after="0"/>
        <w:jc w:val="center"/>
        <w:rPr>
          <w:rFonts w:eastAsia="Times New Roman" w:cs="Times New Roman"/>
          <w:b/>
          <w:bCs/>
          <w:color w:val="000000"/>
          <w:sz w:val="32"/>
          <w:szCs w:val="32"/>
        </w:rPr>
      </w:pPr>
      <w:r w:rsidRPr="008B489E">
        <w:rPr>
          <w:rFonts w:eastAsia="Times New Roman" w:cs="Times New Roman"/>
          <w:b/>
          <w:bCs/>
          <w:color w:val="000000"/>
          <w:sz w:val="32"/>
          <w:szCs w:val="32"/>
        </w:rPr>
        <w:t>Lecturer: Kathryn Flynn</w:t>
      </w:r>
      <w:r>
        <w:rPr>
          <w:rFonts w:eastAsia="Times New Roman" w:cs="Times New Roman"/>
          <w:b/>
          <w:bCs/>
          <w:color w:val="000000"/>
          <w:sz w:val="32"/>
          <w:szCs w:val="32"/>
        </w:rPr>
        <w:t xml:space="preserve"> </w:t>
      </w:r>
      <w:r w:rsidRPr="008B489E">
        <w:rPr>
          <w:rFonts w:eastAsia="Times New Roman" w:cs="Times New Roman"/>
          <w:b/>
          <w:bCs/>
          <w:color w:val="000000"/>
          <w:sz w:val="32"/>
          <w:szCs w:val="32"/>
        </w:rPr>
        <w:t>Roberts</w:t>
      </w:r>
    </w:p>
    <w:p w14:paraId="4F24C653" w14:textId="77777777" w:rsidR="00445D2D" w:rsidRPr="00021E9B" w:rsidRDefault="00445D2D" w:rsidP="00445D2D">
      <w:pPr>
        <w:jc w:val="center"/>
        <w:rPr>
          <w:rFonts w:cs="Times New Roman"/>
          <w:b/>
          <w:sz w:val="32"/>
          <w:szCs w:val="32"/>
        </w:rPr>
      </w:pPr>
      <w:r w:rsidRPr="008B1465">
        <w:rPr>
          <w:rFonts w:cs="Times New Roman"/>
          <w:b/>
          <w:sz w:val="32"/>
          <w:szCs w:val="32"/>
        </w:rPr>
        <w:t>Assignment Title: Planning and Delivering an International Meeting/Event - "Legends of Wales" Summit Feasibility Report</w:t>
      </w:r>
    </w:p>
    <w:p w14:paraId="50D94939" w14:textId="77777777" w:rsidR="00445D2D" w:rsidRPr="008B489E" w:rsidRDefault="00445D2D" w:rsidP="00445D2D">
      <w:pPr>
        <w:spacing w:after="0"/>
        <w:jc w:val="center"/>
        <w:rPr>
          <w:rFonts w:eastAsia="Times New Roman" w:cs="Times New Roman"/>
          <w:szCs w:val="24"/>
        </w:rPr>
      </w:pPr>
      <w:r w:rsidRPr="008B489E">
        <w:rPr>
          <w:rFonts w:eastAsia="Times New Roman" w:cs="Times New Roman"/>
          <w:b/>
          <w:bCs/>
          <w:color w:val="000000"/>
          <w:sz w:val="32"/>
          <w:szCs w:val="32"/>
        </w:rPr>
        <w:t>Student Name:</w:t>
      </w:r>
      <w:r>
        <w:rPr>
          <w:rFonts w:eastAsia="Times New Roman" w:cs="Times New Roman"/>
          <w:b/>
          <w:bCs/>
          <w:color w:val="000000"/>
          <w:sz w:val="32"/>
          <w:szCs w:val="32"/>
        </w:rPr>
        <w:t xml:space="preserve"> Sabbir Ansar Hussain</w:t>
      </w:r>
    </w:p>
    <w:p w14:paraId="3ADAFF33" w14:textId="77777777" w:rsidR="00445D2D" w:rsidRPr="008B1465" w:rsidRDefault="00445D2D" w:rsidP="00445D2D">
      <w:pPr>
        <w:spacing w:after="0"/>
        <w:jc w:val="center"/>
        <w:rPr>
          <w:rFonts w:eastAsia="Times New Roman" w:cs="Times New Roman"/>
          <w:szCs w:val="24"/>
        </w:rPr>
      </w:pPr>
      <w:r w:rsidRPr="008B489E">
        <w:rPr>
          <w:rFonts w:eastAsia="Times New Roman" w:cs="Times New Roman"/>
          <w:b/>
          <w:bCs/>
          <w:color w:val="000000"/>
          <w:sz w:val="32"/>
          <w:szCs w:val="32"/>
        </w:rPr>
        <w:t>Student ID:</w:t>
      </w:r>
      <w:r>
        <w:rPr>
          <w:rFonts w:eastAsia="Times New Roman" w:cs="Times New Roman"/>
          <w:b/>
          <w:bCs/>
          <w:color w:val="000000"/>
          <w:sz w:val="32"/>
          <w:szCs w:val="32"/>
        </w:rPr>
        <w:t xml:space="preserve"> 2233891</w:t>
      </w:r>
      <w:r w:rsidRPr="008B489E">
        <w:rPr>
          <w:rFonts w:eastAsia="Times New Roman" w:cs="Times New Roman"/>
          <w:b/>
          <w:bCs/>
          <w:color w:val="000000"/>
          <w:sz w:val="32"/>
          <w:szCs w:val="32"/>
        </w:rPr>
        <w:br/>
        <w:t>Word Count: 2500</w:t>
      </w:r>
    </w:p>
    <w:p w14:paraId="7E7D2C27" w14:textId="77777777" w:rsidR="00445D2D" w:rsidRDefault="00445D2D" w:rsidP="00445D2D">
      <w:pPr>
        <w:spacing w:after="0"/>
        <w:rPr>
          <w:rFonts w:eastAsia="Times New Roman" w:cs="Times New Roman"/>
          <w:b/>
          <w:bCs/>
          <w:color w:val="000000"/>
          <w:szCs w:val="24"/>
        </w:rPr>
      </w:pPr>
    </w:p>
    <w:p w14:paraId="4A73B5EF" w14:textId="77777777" w:rsidR="00445D2D" w:rsidRPr="00445D2D" w:rsidRDefault="00445D2D" w:rsidP="00445D2D">
      <w:pPr>
        <w:spacing w:after="0"/>
        <w:ind w:firstLine="0"/>
        <w:rPr>
          <w:rFonts w:eastAsia="Times New Roman" w:cs="Times New Roman"/>
          <w:b/>
          <w:bCs/>
          <w:color w:val="000000"/>
          <w:sz w:val="28"/>
          <w:szCs w:val="28"/>
        </w:rPr>
      </w:pPr>
    </w:p>
    <w:p w14:paraId="54176FA2" w14:textId="77777777" w:rsidR="00445D2D" w:rsidRPr="00445D2D" w:rsidRDefault="00445D2D" w:rsidP="00445D2D">
      <w:pPr>
        <w:spacing w:after="0"/>
        <w:jc w:val="center"/>
        <w:rPr>
          <w:rFonts w:eastAsia="Times New Roman" w:cs="Times New Roman"/>
          <w:sz w:val="28"/>
          <w:szCs w:val="28"/>
        </w:rPr>
      </w:pPr>
      <w:r w:rsidRPr="00445D2D">
        <w:rPr>
          <w:rFonts w:eastAsia="Times New Roman" w:cs="Times New Roman"/>
          <w:b/>
          <w:bCs/>
          <w:color w:val="000000"/>
          <w:sz w:val="28"/>
          <w:szCs w:val="28"/>
        </w:rPr>
        <w:t>AI Acknowledgement</w:t>
      </w:r>
    </w:p>
    <w:p w14:paraId="22228394" w14:textId="77777777" w:rsidR="00445D2D" w:rsidRPr="00445D2D" w:rsidRDefault="00445D2D" w:rsidP="00445D2D">
      <w:pPr>
        <w:spacing w:after="0"/>
        <w:jc w:val="center"/>
        <w:rPr>
          <w:rFonts w:eastAsia="Times New Roman" w:cs="Times New Roman"/>
          <w:b/>
          <w:bCs/>
          <w:color w:val="000000"/>
          <w:sz w:val="28"/>
          <w:szCs w:val="28"/>
        </w:rPr>
      </w:pPr>
      <w:r w:rsidRPr="00445D2D">
        <w:rPr>
          <w:rFonts w:eastAsia="Times New Roman" w:cs="Times New Roman"/>
          <w:b/>
          <w:bCs/>
          <w:color w:val="000000"/>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E5B169B" w14:textId="023F3E22" w:rsidR="00FF6D32" w:rsidRDefault="00FF6D32" w:rsidP="00703797"/>
    <w:p w14:paraId="3E07FB4D" w14:textId="2072BD74" w:rsidR="00492B69" w:rsidRPr="00445D2D" w:rsidRDefault="0013684A" w:rsidP="00445D2D">
      <w:pPr>
        <w:ind w:firstLine="0"/>
        <w:rPr>
          <w:b/>
          <w:sz w:val="32"/>
        </w:rPr>
      </w:pPr>
      <w:r w:rsidRPr="00411571">
        <w:rPr>
          <w:sz w:val="18"/>
        </w:rPr>
        <w:br w:type="page"/>
      </w:r>
    </w:p>
    <w:p w14:paraId="53409F06" w14:textId="77777777" w:rsidR="00492B69" w:rsidRPr="00317034" w:rsidRDefault="0013684A" w:rsidP="00664B6C">
      <w:pPr>
        <w:pStyle w:val="Heading1"/>
        <w:jc w:val="center"/>
      </w:pPr>
      <w:bookmarkStart w:id="0" w:name="_Toc222264648"/>
      <w:r w:rsidRPr="00317034">
        <w:lastRenderedPageBreak/>
        <w:t xml:space="preserve">Table </w:t>
      </w:r>
      <w:r w:rsidR="004867DB" w:rsidRPr="00317034">
        <w:t>of Content</w:t>
      </w:r>
      <w:bookmarkEnd w:id="0"/>
    </w:p>
    <w:p w14:paraId="2659848F" w14:textId="2A9D889D" w:rsidR="00852B7F" w:rsidRDefault="0013684A">
      <w:pPr>
        <w:pStyle w:val="TOC1"/>
        <w:tabs>
          <w:tab w:val="right" w:leader="dot" w:pos="9016"/>
        </w:tabs>
        <w:rPr>
          <w:rFonts w:asciiTheme="minorHAnsi" w:eastAsiaTheme="minorEastAsia" w:hAnsiTheme="minorHAnsi" w:cstheme="minorBidi"/>
          <w:noProof/>
          <w:lang w:eastAsia="en-GB"/>
        </w:rPr>
      </w:pPr>
      <w:r w:rsidRPr="00317034">
        <w:rPr>
          <w:rFonts w:cs="Times New Roman"/>
        </w:rPr>
        <w:fldChar w:fldCharType="begin"/>
      </w:r>
      <w:r w:rsidRPr="00317034">
        <w:rPr>
          <w:rFonts w:cs="Times New Roman"/>
        </w:rPr>
        <w:instrText xml:space="preserve"> TOC \o "1-3" \h \z \u </w:instrText>
      </w:r>
      <w:r w:rsidRPr="00317034">
        <w:rPr>
          <w:rFonts w:cs="Times New Roman"/>
        </w:rPr>
        <w:fldChar w:fldCharType="separate"/>
      </w:r>
      <w:hyperlink w:anchor="_Toc222264648" w:history="1">
        <w:r w:rsidR="00852B7F" w:rsidRPr="002D4B86">
          <w:rPr>
            <w:rStyle w:val="Hyperlink"/>
            <w:noProof/>
          </w:rPr>
          <w:t>Table of Content</w:t>
        </w:r>
        <w:r w:rsidR="00852B7F">
          <w:rPr>
            <w:noProof/>
            <w:webHidden/>
          </w:rPr>
          <w:tab/>
        </w:r>
        <w:r w:rsidR="00852B7F">
          <w:rPr>
            <w:noProof/>
            <w:webHidden/>
          </w:rPr>
          <w:fldChar w:fldCharType="begin"/>
        </w:r>
        <w:r w:rsidR="00852B7F">
          <w:rPr>
            <w:noProof/>
            <w:webHidden/>
          </w:rPr>
          <w:instrText xml:space="preserve"> PAGEREF _Toc222264648 \h </w:instrText>
        </w:r>
        <w:r w:rsidR="00852B7F">
          <w:rPr>
            <w:noProof/>
            <w:webHidden/>
          </w:rPr>
        </w:r>
        <w:r w:rsidR="00852B7F">
          <w:rPr>
            <w:noProof/>
            <w:webHidden/>
          </w:rPr>
          <w:fldChar w:fldCharType="separate"/>
        </w:r>
        <w:r w:rsidR="008B6F0C">
          <w:rPr>
            <w:noProof/>
            <w:webHidden/>
          </w:rPr>
          <w:t>2</w:t>
        </w:r>
        <w:r w:rsidR="00852B7F">
          <w:rPr>
            <w:noProof/>
            <w:webHidden/>
          </w:rPr>
          <w:fldChar w:fldCharType="end"/>
        </w:r>
      </w:hyperlink>
    </w:p>
    <w:p w14:paraId="533F1606" w14:textId="16E88021" w:rsidR="00852B7F" w:rsidRDefault="00852B7F">
      <w:pPr>
        <w:pStyle w:val="TOC1"/>
        <w:tabs>
          <w:tab w:val="right" w:leader="dot" w:pos="9016"/>
        </w:tabs>
        <w:rPr>
          <w:rFonts w:asciiTheme="minorHAnsi" w:eastAsiaTheme="minorEastAsia" w:hAnsiTheme="minorHAnsi" w:cstheme="minorBidi"/>
          <w:noProof/>
          <w:lang w:eastAsia="en-GB"/>
        </w:rPr>
      </w:pPr>
      <w:hyperlink w:anchor="_Toc222264649" w:history="1">
        <w:r w:rsidRPr="002D4B86">
          <w:rPr>
            <w:rStyle w:val="Hyperlink"/>
            <w:noProof/>
          </w:rPr>
          <w:t>Introduction</w:t>
        </w:r>
        <w:r>
          <w:rPr>
            <w:noProof/>
            <w:webHidden/>
          </w:rPr>
          <w:tab/>
        </w:r>
        <w:r>
          <w:rPr>
            <w:noProof/>
            <w:webHidden/>
          </w:rPr>
          <w:fldChar w:fldCharType="begin"/>
        </w:r>
        <w:r>
          <w:rPr>
            <w:noProof/>
            <w:webHidden/>
          </w:rPr>
          <w:instrText xml:space="preserve"> PAGEREF _Toc222264649 \h </w:instrText>
        </w:r>
        <w:r>
          <w:rPr>
            <w:noProof/>
            <w:webHidden/>
          </w:rPr>
        </w:r>
        <w:r>
          <w:rPr>
            <w:noProof/>
            <w:webHidden/>
          </w:rPr>
          <w:fldChar w:fldCharType="separate"/>
        </w:r>
        <w:r w:rsidR="008B6F0C">
          <w:rPr>
            <w:noProof/>
            <w:webHidden/>
          </w:rPr>
          <w:t>3</w:t>
        </w:r>
        <w:r>
          <w:rPr>
            <w:noProof/>
            <w:webHidden/>
          </w:rPr>
          <w:fldChar w:fldCharType="end"/>
        </w:r>
      </w:hyperlink>
    </w:p>
    <w:p w14:paraId="363CC73C" w14:textId="34F1F6CC" w:rsidR="00852B7F" w:rsidRDefault="00852B7F">
      <w:pPr>
        <w:pStyle w:val="TOC1"/>
        <w:tabs>
          <w:tab w:val="right" w:leader="dot" w:pos="9016"/>
        </w:tabs>
        <w:rPr>
          <w:rFonts w:asciiTheme="minorHAnsi" w:eastAsiaTheme="minorEastAsia" w:hAnsiTheme="minorHAnsi" w:cstheme="minorBidi"/>
          <w:noProof/>
          <w:lang w:eastAsia="en-GB"/>
        </w:rPr>
      </w:pPr>
      <w:hyperlink w:anchor="_Toc222264650" w:history="1">
        <w:r w:rsidRPr="002D4B86">
          <w:rPr>
            <w:rStyle w:val="Hyperlink"/>
            <w:noProof/>
          </w:rPr>
          <w:t>Event Cycle: EMBOK Framework</w:t>
        </w:r>
        <w:r>
          <w:rPr>
            <w:noProof/>
            <w:webHidden/>
          </w:rPr>
          <w:tab/>
        </w:r>
        <w:r>
          <w:rPr>
            <w:noProof/>
            <w:webHidden/>
          </w:rPr>
          <w:fldChar w:fldCharType="begin"/>
        </w:r>
        <w:r>
          <w:rPr>
            <w:noProof/>
            <w:webHidden/>
          </w:rPr>
          <w:instrText xml:space="preserve"> PAGEREF _Toc222264650 \h </w:instrText>
        </w:r>
        <w:r>
          <w:rPr>
            <w:noProof/>
            <w:webHidden/>
          </w:rPr>
        </w:r>
        <w:r>
          <w:rPr>
            <w:noProof/>
            <w:webHidden/>
          </w:rPr>
          <w:fldChar w:fldCharType="separate"/>
        </w:r>
        <w:r w:rsidR="008B6F0C">
          <w:rPr>
            <w:noProof/>
            <w:webHidden/>
          </w:rPr>
          <w:t>3</w:t>
        </w:r>
        <w:r>
          <w:rPr>
            <w:noProof/>
            <w:webHidden/>
          </w:rPr>
          <w:fldChar w:fldCharType="end"/>
        </w:r>
      </w:hyperlink>
    </w:p>
    <w:p w14:paraId="54B42795" w14:textId="2785E293" w:rsidR="00852B7F" w:rsidRDefault="00852B7F">
      <w:pPr>
        <w:pStyle w:val="TOC2"/>
        <w:tabs>
          <w:tab w:val="right" w:leader="dot" w:pos="9016"/>
        </w:tabs>
        <w:rPr>
          <w:rFonts w:asciiTheme="minorHAnsi" w:eastAsiaTheme="minorEastAsia" w:hAnsiTheme="minorHAnsi" w:cstheme="minorBidi"/>
          <w:noProof/>
          <w:lang w:eastAsia="en-GB"/>
        </w:rPr>
      </w:pPr>
      <w:hyperlink w:anchor="_Toc222264651" w:history="1">
        <w:r w:rsidRPr="002D4B86">
          <w:rPr>
            <w:rStyle w:val="Hyperlink"/>
            <w:noProof/>
            <w:lang w:val="fr-FR"/>
          </w:rPr>
          <w:t>Initiation Stage</w:t>
        </w:r>
        <w:r>
          <w:rPr>
            <w:noProof/>
            <w:webHidden/>
          </w:rPr>
          <w:tab/>
        </w:r>
        <w:r>
          <w:rPr>
            <w:noProof/>
            <w:webHidden/>
          </w:rPr>
          <w:fldChar w:fldCharType="begin"/>
        </w:r>
        <w:r>
          <w:rPr>
            <w:noProof/>
            <w:webHidden/>
          </w:rPr>
          <w:instrText xml:space="preserve"> PAGEREF _Toc222264651 \h </w:instrText>
        </w:r>
        <w:r>
          <w:rPr>
            <w:noProof/>
            <w:webHidden/>
          </w:rPr>
        </w:r>
        <w:r>
          <w:rPr>
            <w:noProof/>
            <w:webHidden/>
          </w:rPr>
          <w:fldChar w:fldCharType="separate"/>
        </w:r>
        <w:r w:rsidR="008B6F0C">
          <w:rPr>
            <w:noProof/>
            <w:webHidden/>
          </w:rPr>
          <w:t>4</w:t>
        </w:r>
        <w:r>
          <w:rPr>
            <w:noProof/>
            <w:webHidden/>
          </w:rPr>
          <w:fldChar w:fldCharType="end"/>
        </w:r>
      </w:hyperlink>
    </w:p>
    <w:p w14:paraId="1E5F505B" w14:textId="21A790A1" w:rsidR="00852B7F" w:rsidRDefault="00852B7F">
      <w:pPr>
        <w:pStyle w:val="TOC2"/>
        <w:tabs>
          <w:tab w:val="right" w:leader="dot" w:pos="9016"/>
        </w:tabs>
        <w:rPr>
          <w:rFonts w:asciiTheme="minorHAnsi" w:eastAsiaTheme="minorEastAsia" w:hAnsiTheme="minorHAnsi" w:cstheme="minorBidi"/>
          <w:noProof/>
          <w:lang w:eastAsia="en-GB"/>
        </w:rPr>
      </w:pPr>
      <w:hyperlink w:anchor="_Toc222264652" w:history="1">
        <w:r w:rsidRPr="002D4B86">
          <w:rPr>
            <w:rStyle w:val="Hyperlink"/>
            <w:noProof/>
          </w:rPr>
          <w:t>Planning Stage</w:t>
        </w:r>
        <w:r>
          <w:rPr>
            <w:noProof/>
            <w:webHidden/>
          </w:rPr>
          <w:tab/>
        </w:r>
        <w:r>
          <w:rPr>
            <w:noProof/>
            <w:webHidden/>
          </w:rPr>
          <w:fldChar w:fldCharType="begin"/>
        </w:r>
        <w:r>
          <w:rPr>
            <w:noProof/>
            <w:webHidden/>
          </w:rPr>
          <w:instrText xml:space="preserve"> PAGEREF _Toc222264652 \h </w:instrText>
        </w:r>
        <w:r>
          <w:rPr>
            <w:noProof/>
            <w:webHidden/>
          </w:rPr>
        </w:r>
        <w:r>
          <w:rPr>
            <w:noProof/>
            <w:webHidden/>
          </w:rPr>
          <w:fldChar w:fldCharType="separate"/>
        </w:r>
        <w:r w:rsidR="008B6F0C">
          <w:rPr>
            <w:noProof/>
            <w:webHidden/>
          </w:rPr>
          <w:t>4</w:t>
        </w:r>
        <w:r>
          <w:rPr>
            <w:noProof/>
            <w:webHidden/>
          </w:rPr>
          <w:fldChar w:fldCharType="end"/>
        </w:r>
      </w:hyperlink>
    </w:p>
    <w:p w14:paraId="499A62A3" w14:textId="03A46B4D" w:rsidR="00852B7F" w:rsidRDefault="00852B7F">
      <w:pPr>
        <w:pStyle w:val="TOC2"/>
        <w:tabs>
          <w:tab w:val="right" w:leader="dot" w:pos="9016"/>
        </w:tabs>
        <w:rPr>
          <w:rFonts w:asciiTheme="minorHAnsi" w:eastAsiaTheme="minorEastAsia" w:hAnsiTheme="minorHAnsi" w:cstheme="minorBidi"/>
          <w:noProof/>
          <w:lang w:eastAsia="en-GB"/>
        </w:rPr>
      </w:pPr>
      <w:hyperlink w:anchor="_Toc222264653" w:history="1">
        <w:r w:rsidRPr="002D4B86">
          <w:rPr>
            <w:rStyle w:val="Hyperlink"/>
            <w:noProof/>
          </w:rPr>
          <w:t>Implementation Stage</w:t>
        </w:r>
        <w:r>
          <w:rPr>
            <w:noProof/>
            <w:webHidden/>
          </w:rPr>
          <w:tab/>
        </w:r>
        <w:r>
          <w:rPr>
            <w:noProof/>
            <w:webHidden/>
          </w:rPr>
          <w:fldChar w:fldCharType="begin"/>
        </w:r>
        <w:r>
          <w:rPr>
            <w:noProof/>
            <w:webHidden/>
          </w:rPr>
          <w:instrText xml:space="preserve"> PAGEREF _Toc222264653 \h </w:instrText>
        </w:r>
        <w:r>
          <w:rPr>
            <w:noProof/>
            <w:webHidden/>
          </w:rPr>
        </w:r>
        <w:r>
          <w:rPr>
            <w:noProof/>
            <w:webHidden/>
          </w:rPr>
          <w:fldChar w:fldCharType="separate"/>
        </w:r>
        <w:r w:rsidR="008B6F0C">
          <w:rPr>
            <w:noProof/>
            <w:webHidden/>
          </w:rPr>
          <w:t>4</w:t>
        </w:r>
        <w:r>
          <w:rPr>
            <w:noProof/>
            <w:webHidden/>
          </w:rPr>
          <w:fldChar w:fldCharType="end"/>
        </w:r>
      </w:hyperlink>
    </w:p>
    <w:p w14:paraId="42C6EE2B" w14:textId="1D201B56" w:rsidR="00852B7F" w:rsidRDefault="00852B7F">
      <w:pPr>
        <w:pStyle w:val="TOC2"/>
        <w:tabs>
          <w:tab w:val="right" w:leader="dot" w:pos="9016"/>
        </w:tabs>
        <w:rPr>
          <w:rFonts w:asciiTheme="minorHAnsi" w:eastAsiaTheme="minorEastAsia" w:hAnsiTheme="minorHAnsi" w:cstheme="minorBidi"/>
          <w:noProof/>
          <w:lang w:eastAsia="en-GB"/>
        </w:rPr>
      </w:pPr>
      <w:hyperlink w:anchor="_Toc222264654" w:history="1">
        <w:r w:rsidRPr="002D4B86">
          <w:rPr>
            <w:rStyle w:val="Hyperlink"/>
            <w:noProof/>
          </w:rPr>
          <w:t>Event Stage</w:t>
        </w:r>
        <w:r>
          <w:rPr>
            <w:noProof/>
            <w:webHidden/>
          </w:rPr>
          <w:tab/>
        </w:r>
        <w:r>
          <w:rPr>
            <w:noProof/>
            <w:webHidden/>
          </w:rPr>
          <w:fldChar w:fldCharType="begin"/>
        </w:r>
        <w:r>
          <w:rPr>
            <w:noProof/>
            <w:webHidden/>
          </w:rPr>
          <w:instrText xml:space="preserve"> PAGEREF _Toc222264654 \h </w:instrText>
        </w:r>
        <w:r>
          <w:rPr>
            <w:noProof/>
            <w:webHidden/>
          </w:rPr>
        </w:r>
        <w:r>
          <w:rPr>
            <w:noProof/>
            <w:webHidden/>
          </w:rPr>
          <w:fldChar w:fldCharType="separate"/>
        </w:r>
        <w:r w:rsidR="008B6F0C">
          <w:rPr>
            <w:noProof/>
            <w:webHidden/>
          </w:rPr>
          <w:t>4</w:t>
        </w:r>
        <w:r>
          <w:rPr>
            <w:noProof/>
            <w:webHidden/>
          </w:rPr>
          <w:fldChar w:fldCharType="end"/>
        </w:r>
      </w:hyperlink>
    </w:p>
    <w:p w14:paraId="64ABB120" w14:textId="779F8CB8" w:rsidR="00852B7F" w:rsidRDefault="00852B7F">
      <w:pPr>
        <w:pStyle w:val="TOC2"/>
        <w:tabs>
          <w:tab w:val="right" w:leader="dot" w:pos="9016"/>
        </w:tabs>
        <w:rPr>
          <w:rFonts w:asciiTheme="minorHAnsi" w:eastAsiaTheme="minorEastAsia" w:hAnsiTheme="minorHAnsi" w:cstheme="minorBidi"/>
          <w:noProof/>
          <w:lang w:eastAsia="en-GB"/>
        </w:rPr>
      </w:pPr>
      <w:hyperlink w:anchor="_Toc222264655" w:history="1">
        <w:r w:rsidRPr="002D4B86">
          <w:rPr>
            <w:rStyle w:val="Hyperlink"/>
            <w:noProof/>
          </w:rPr>
          <w:t>Closure Stage</w:t>
        </w:r>
        <w:r>
          <w:rPr>
            <w:noProof/>
            <w:webHidden/>
          </w:rPr>
          <w:tab/>
        </w:r>
        <w:r>
          <w:rPr>
            <w:noProof/>
            <w:webHidden/>
          </w:rPr>
          <w:fldChar w:fldCharType="begin"/>
        </w:r>
        <w:r>
          <w:rPr>
            <w:noProof/>
            <w:webHidden/>
          </w:rPr>
          <w:instrText xml:space="preserve"> PAGEREF _Toc222264655 \h </w:instrText>
        </w:r>
        <w:r>
          <w:rPr>
            <w:noProof/>
            <w:webHidden/>
          </w:rPr>
        </w:r>
        <w:r>
          <w:rPr>
            <w:noProof/>
            <w:webHidden/>
          </w:rPr>
          <w:fldChar w:fldCharType="separate"/>
        </w:r>
        <w:r w:rsidR="008B6F0C">
          <w:rPr>
            <w:noProof/>
            <w:webHidden/>
          </w:rPr>
          <w:t>5</w:t>
        </w:r>
        <w:r>
          <w:rPr>
            <w:noProof/>
            <w:webHidden/>
          </w:rPr>
          <w:fldChar w:fldCharType="end"/>
        </w:r>
      </w:hyperlink>
    </w:p>
    <w:p w14:paraId="29B6F9BC" w14:textId="277305CD" w:rsidR="00852B7F" w:rsidRDefault="00852B7F">
      <w:pPr>
        <w:pStyle w:val="TOC1"/>
        <w:tabs>
          <w:tab w:val="right" w:leader="dot" w:pos="9016"/>
        </w:tabs>
        <w:rPr>
          <w:rFonts w:asciiTheme="minorHAnsi" w:eastAsiaTheme="minorEastAsia" w:hAnsiTheme="minorHAnsi" w:cstheme="minorBidi"/>
          <w:noProof/>
          <w:lang w:eastAsia="en-GB"/>
        </w:rPr>
      </w:pPr>
      <w:hyperlink w:anchor="_Toc222264656" w:history="1">
        <w:r w:rsidRPr="002D4B86">
          <w:rPr>
            <w:rStyle w:val="Hyperlink"/>
            <w:noProof/>
          </w:rPr>
          <w:t>Event Concept &amp; Delegate Experience</w:t>
        </w:r>
        <w:r>
          <w:rPr>
            <w:noProof/>
            <w:webHidden/>
          </w:rPr>
          <w:tab/>
        </w:r>
        <w:r>
          <w:rPr>
            <w:noProof/>
            <w:webHidden/>
          </w:rPr>
          <w:fldChar w:fldCharType="begin"/>
        </w:r>
        <w:r>
          <w:rPr>
            <w:noProof/>
            <w:webHidden/>
          </w:rPr>
          <w:instrText xml:space="preserve"> PAGEREF _Toc222264656 \h </w:instrText>
        </w:r>
        <w:r>
          <w:rPr>
            <w:noProof/>
            <w:webHidden/>
          </w:rPr>
        </w:r>
        <w:r>
          <w:rPr>
            <w:noProof/>
            <w:webHidden/>
          </w:rPr>
          <w:fldChar w:fldCharType="separate"/>
        </w:r>
        <w:r w:rsidR="008B6F0C">
          <w:rPr>
            <w:noProof/>
            <w:webHidden/>
          </w:rPr>
          <w:t>5</w:t>
        </w:r>
        <w:r>
          <w:rPr>
            <w:noProof/>
            <w:webHidden/>
          </w:rPr>
          <w:fldChar w:fldCharType="end"/>
        </w:r>
      </w:hyperlink>
    </w:p>
    <w:p w14:paraId="6B97645B" w14:textId="0CE71049" w:rsidR="00852B7F" w:rsidRDefault="00852B7F">
      <w:pPr>
        <w:pStyle w:val="TOC1"/>
        <w:tabs>
          <w:tab w:val="right" w:leader="dot" w:pos="9016"/>
        </w:tabs>
        <w:rPr>
          <w:rFonts w:asciiTheme="minorHAnsi" w:eastAsiaTheme="minorEastAsia" w:hAnsiTheme="minorHAnsi" w:cstheme="minorBidi"/>
          <w:noProof/>
          <w:lang w:eastAsia="en-GB"/>
        </w:rPr>
      </w:pPr>
      <w:hyperlink w:anchor="_Toc222264657" w:history="1">
        <w:r w:rsidRPr="002D4B86">
          <w:rPr>
            <w:rStyle w:val="Hyperlink"/>
            <w:noProof/>
          </w:rPr>
          <w:t>Aim and Objectives</w:t>
        </w:r>
        <w:r>
          <w:rPr>
            <w:noProof/>
            <w:webHidden/>
          </w:rPr>
          <w:tab/>
        </w:r>
        <w:r>
          <w:rPr>
            <w:noProof/>
            <w:webHidden/>
          </w:rPr>
          <w:fldChar w:fldCharType="begin"/>
        </w:r>
        <w:r>
          <w:rPr>
            <w:noProof/>
            <w:webHidden/>
          </w:rPr>
          <w:instrText xml:space="preserve"> PAGEREF _Toc222264657 \h </w:instrText>
        </w:r>
        <w:r>
          <w:rPr>
            <w:noProof/>
            <w:webHidden/>
          </w:rPr>
        </w:r>
        <w:r>
          <w:rPr>
            <w:noProof/>
            <w:webHidden/>
          </w:rPr>
          <w:fldChar w:fldCharType="separate"/>
        </w:r>
        <w:r w:rsidR="008B6F0C">
          <w:rPr>
            <w:noProof/>
            <w:webHidden/>
          </w:rPr>
          <w:t>6</w:t>
        </w:r>
        <w:r>
          <w:rPr>
            <w:noProof/>
            <w:webHidden/>
          </w:rPr>
          <w:fldChar w:fldCharType="end"/>
        </w:r>
      </w:hyperlink>
    </w:p>
    <w:p w14:paraId="29F1E6B4" w14:textId="1F1CB073" w:rsidR="00852B7F" w:rsidRDefault="00852B7F">
      <w:pPr>
        <w:pStyle w:val="TOC3"/>
        <w:tabs>
          <w:tab w:val="right" w:leader="dot" w:pos="9016"/>
        </w:tabs>
        <w:rPr>
          <w:rFonts w:asciiTheme="minorHAnsi" w:eastAsiaTheme="minorEastAsia" w:hAnsiTheme="minorHAnsi" w:cstheme="minorBidi"/>
          <w:noProof/>
          <w:lang w:eastAsia="en-GB"/>
        </w:rPr>
      </w:pPr>
      <w:hyperlink w:anchor="_Toc222264658" w:history="1">
        <w:r w:rsidRPr="002D4B86">
          <w:rPr>
            <w:rStyle w:val="Hyperlink"/>
            <w:noProof/>
          </w:rPr>
          <w:t>Aim</w:t>
        </w:r>
        <w:r>
          <w:rPr>
            <w:noProof/>
            <w:webHidden/>
          </w:rPr>
          <w:tab/>
        </w:r>
        <w:r>
          <w:rPr>
            <w:noProof/>
            <w:webHidden/>
          </w:rPr>
          <w:fldChar w:fldCharType="begin"/>
        </w:r>
        <w:r>
          <w:rPr>
            <w:noProof/>
            <w:webHidden/>
          </w:rPr>
          <w:instrText xml:space="preserve"> PAGEREF _Toc222264658 \h </w:instrText>
        </w:r>
        <w:r>
          <w:rPr>
            <w:noProof/>
            <w:webHidden/>
          </w:rPr>
        </w:r>
        <w:r>
          <w:rPr>
            <w:noProof/>
            <w:webHidden/>
          </w:rPr>
          <w:fldChar w:fldCharType="separate"/>
        </w:r>
        <w:r w:rsidR="008B6F0C">
          <w:rPr>
            <w:noProof/>
            <w:webHidden/>
          </w:rPr>
          <w:t>6</w:t>
        </w:r>
        <w:r>
          <w:rPr>
            <w:noProof/>
            <w:webHidden/>
          </w:rPr>
          <w:fldChar w:fldCharType="end"/>
        </w:r>
      </w:hyperlink>
    </w:p>
    <w:p w14:paraId="402C53BE" w14:textId="530D3507" w:rsidR="00852B7F" w:rsidRDefault="00852B7F">
      <w:pPr>
        <w:pStyle w:val="TOC3"/>
        <w:tabs>
          <w:tab w:val="right" w:leader="dot" w:pos="9016"/>
        </w:tabs>
        <w:rPr>
          <w:rFonts w:asciiTheme="minorHAnsi" w:eastAsiaTheme="minorEastAsia" w:hAnsiTheme="minorHAnsi" w:cstheme="minorBidi"/>
          <w:noProof/>
          <w:lang w:eastAsia="en-GB"/>
        </w:rPr>
      </w:pPr>
      <w:hyperlink w:anchor="_Toc222264659" w:history="1">
        <w:r w:rsidRPr="002D4B86">
          <w:rPr>
            <w:rStyle w:val="Hyperlink"/>
            <w:noProof/>
          </w:rPr>
          <w:t>SMART Objectives</w:t>
        </w:r>
        <w:r>
          <w:rPr>
            <w:noProof/>
            <w:webHidden/>
          </w:rPr>
          <w:tab/>
        </w:r>
        <w:r>
          <w:rPr>
            <w:noProof/>
            <w:webHidden/>
          </w:rPr>
          <w:fldChar w:fldCharType="begin"/>
        </w:r>
        <w:r>
          <w:rPr>
            <w:noProof/>
            <w:webHidden/>
          </w:rPr>
          <w:instrText xml:space="preserve"> PAGEREF _Toc222264659 \h </w:instrText>
        </w:r>
        <w:r>
          <w:rPr>
            <w:noProof/>
            <w:webHidden/>
          </w:rPr>
        </w:r>
        <w:r>
          <w:rPr>
            <w:noProof/>
            <w:webHidden/>
          </w:rPr>
          <w:fldChar w:fldCharType="separate"/>
        </w:r>
        <w:r w:rsidR="008B6F0C">
          <w:rPr>
            <w:noProof/>
            <w:webHidden/>
          </w:rPr>
          <w:t>6</w:t>
        </w:r>
        <w:r>
          <w:rPr>
            <w:noProof/>
            <w:webHidden/>
          </w:rPr>
          <w:fldChar w:fldCharType="end"/>
        </w:r>
      </w:hyperlink>
    </w:p>
    <w:p w14:paraId="7F957D61" w14:textId="028A7C9F" w:rsidR="00852B7F" w:rsidRDefault="00852B7F">
      <w:pPr>
        <w:pStyle w:val="TOC1"/>
        <w:tabs>
          <w:tab w:val="right" w:leader="dot" w:pos="9016"/>
        </w:tabs>
        <w:rPr>
          <w:rFonts w:asciiTheme="minorHAnsi" w:eastAsiaTheme="minorEastAsia" w:hAnsiTheme="minorHAnsi" w:cstheme="minorBidi"/>
          <w:noProof/>
          <w:lang w:eastAsia="en-GB"/>
        </w:rPr>
      </w:pPr>
      <w:hyperlink w:anchor="_Toc222264660" w:history="1">
        <w:r w:rsidRPr="002D4B86">
          <w:rPr>
            <w:rStyle w:val="Hyperlink"/>
            <w:noProof/>
          </w:rPr>
          <w:t>Event Management: Skills &amp; Resources</w:t>
        </w:r>
        <w:r>
          <w:rPr>
            <w:noProof/>
            <w:webHidden/>
          </w:rPr>
          <w:tab/>
        </w:r>
        <w:r>
          <w:rPr>
            <w:noProof/>
            <w:webHidden/>
          </w:rPr>
          <w:fldChar w:fldCharType="begin"/>
        </w:r>
        <w:r>
          <w:rPr>
            <w:noProof/>
            <w:webHidden/>
          </w:rPr>
          <w:instrText xml:space="preserve"> PAGEREF _Toc222264660 \h </w:instrText>
        </w:r>
        <w:r>
          <w:rPr>
            <w:noProof/>
            <w:webHidden/>
          </w:rPr>
        </w:r>
        <w:r>
          <w:rPr>
            <w:noProof/>
            <w:webHidden/>
          </w:rPr>
          <w:fldChar w:fldCharType="separate"/>
        </w:r>
        <w:r w:rsidR="008B6F0C">
          <w:rPr>
            <w:noProof/>
            <w:webHidden/>
          </w:rPr>
          <w:t>6</w:t>
        </w:r>
        <w:r>
          <w:rPr>
            <w:noProof/>
            <w:webHidden/>
          </w:rPr>
          <w:fldChar w:fldCharType="end"/>
        </w:r>
      </w:hyperlink>
    </w:p>
    <w:p w14:paraId="24F7FEE1" w14:textId="218FF526" w:rsidR="00852B7F" w:rsidRDefault="00852B7F">
      <w:pPr>
        <w:pStyle w:val="TOC2"/>
        <w:tabs>
          <w:tab w:val="right" w:leader="dot" w:pos="9016"/>
        </w:tabs>
        <w:rPr>
          <w:rFonts w:asciiTheme="minorHAnsi" w:eastAsiaTheme="minorEastAsia" w:hAnsiTheme="minorHAnsi" w:cstheme="minorBidi"/>
          <w:noProof/>
          <w:lang w:eastAsia="en-GB"/>
        </w:rPr>
      </w:pPr>
      <w:hyperlink w:anchor="_Toc222264661" w:history="1">
        <w:r w:rsidRPr="002D4B86">
          <w:rPr>
            <w:rStyle w:val="Hyperlink"/>
            <w:noProof/>
          </w:rPr>
          <w:t>Operational Planning &amp; Human Resources</w:t>
        </w:r>
        <w:r>
          <w:rPr>
            <w:noProof/>
            <w:webHidden/>
          </w:rPr>
          <w:tab/>
        </w:r>
        <w:r>
          <w:rPr>
            <w:noProof/>
            <w:webHidden/>
          </w:rPr>
          <w:fldChar w:fldCharType="begin"/>
        </w:r>
        <w:r>
          <w:rPr>
            <w:noProof/>
            <w:webHidden/>
          </w:rPr>
          <w:instrText xml:space="preserve"> PAGEREF _Toc222264661 \h </w:instrText>
        </w:r>
        <w:r>
          <w:rPr>
            <w:noProof/>
            <w:webHidden/>
          </w:rPr>
        </w:r>
        <w:r>
          <w:rPr>
            <w:noProof/>
            <w:webHidden/>
          </w:rPr>
          <w:fldChar w:fldCharType="separate"/>
        </w:r>
        <w:r w:rsidR="008B6F0C">
          <w:rPr>
            <w:noProof/>
            <w:webHidden/>
          </w:rPr>
          <w:t>6</w:t>
        </w:r>
        <w:r>
          <w:rPr>
            <w:noProof/>
            <w:webHidden/>
          </w:rPr>
          <w:fldChar w:fldCharType="end"/>
        </w:r>
      </w:hyperlink>
    </w:p>
    <w:p w14:paraId="58F9D554" w14:textId="1D2D55F9" w:rsidR="00852B7F" w:rsidRDefault="00852B7F">
      <w:pPr>
        <w:pStyle w:val="TOC2"/>
        <w:tabs>
          <w:tab w:val="right" w:leader="dot" w:pos="9016"/>
        </w:tabs>
        <w:rPr>
          <w:rFonts w:asciiTheme="minorHAnsi" w:eastAsiaTheme="minorEastAsia" w:hAnsiTheme="minorHAnsi" w:cstheme="minorBidi"/>
          <w:noProof/>
          <w:lang w:eastAsia="en-GB"/>
        </w:rPr>
      </w:pPr>
      <w:hyperlink w:anchor="_Toc222264662" w:history="1">
        <w:r w:rsidRPr="002D4B86">
          <w:rPr>
            <w:rStyle w:val="Hyperlink"/>
            <w:noProof/>
          </w:rPr>
          <w:t>Marketing Activities</w:t>
        </w:r>
        <w:r>
          <w:rPr>
            <w:noProof/>
            <w:webHidden/>
          </w:rPr>
          <w:tab/>
        </w:r>
        <w:r>
          <w:rPr>
            <w:noProof/>
            <w:webHidden/>
          </w:rPr>
          <w:fldChar w:fldCharType="begin"/>
        </w:r>
        <w:r>
          <w:rPr>
            <w:noProof/>
            <w:webHidden/>
          </w:rPr>
          <w:instrText xml:space="preserve"> PAGEREF _Toc222264662 \h </w:instrText>
        </w:r>
        <w:r>
          <w:rPr>
            <w:noProof/>
            <w:webHidden/>
          </w:rPr>
        </w:r>
        <w:r>
          <w:rPr>
            <w:noProof/>
            <w:webHidden/>
          </w:rPr>
          <w:fldChar w:fldCharType="separate"/>
        </w:r>
        <w:r w:rsidR="008B6F0C">
          <w:rPr>
            <w:noProof/>
            <w:webHidden/>
          </w:rPr>
          <w:t>7</w:t>
        </w:r>
        <w:r>
          <w:rPr>
            <w:noProof/>
            <w:webHidden/>
          </w:rPr>
          <w:fldChar w:fldCharType="end"/>
        </w:r>
      </w:hyperlink>
    </w:p>
    <w:p w14:paraId="0379DE52" w14:textId="33A51C51" w:rsidR="00852B7F" w:rsidRDefault="00852B7F">
      <w:pPr>
        <w:pStyle w:val="TOC2"/>
        <w:tabs>
          <w:tab w:val="right" w:leader="dot" w:pos="9016"/>
        </w:tabs>
        <w:rPr>
          <w:rFonts w:asciiTheme="minorHAnsi" w:eastAsiaTheme="minorEastAsia" w:hAnsiTheme="minorHAnsi" w:cstheme="minorBidi"/>
          <w:noProof/>
          <w:lang w:eastAsia="en-GB"/>
        </w:rPr>
      </w:pPr>
      <w:hyperlink w:anchor="_Toc222264663" w:history="1">
        <w:r w:rsidRPr="002D4B86">
          <w:rPr>
            <w:rStyle w:val="Hyperlink"/>
            <w:noProof/>
          </w:rPr>
          <w:t>Risk &amp; Contingency Planning</w:t>
        </w:r>
        <w:r>
          <w:rPr>
            <w:noProof/>
            <w:webHidden/>
          </w:rPr>
          <w:tab/>
        </w:r>
        <w:r>
          <w:rPr>
            <w:noProof/>
            <w:webHidden/>
          </w:rPr>
          <w:fldChar w:fldCharType="begin"/>
        </w:r>
        <w:r>
          <w:rPr>
            <w:noProof/>
            <w:webHidden/>
          </w:rPr>
          <w:instrText xml:space="preserve"> PAGEREF _Toc222264663 \h </w:instrText>
        </w:r>
        <w:r>
          <w:rPr>
            <w:noProof/>
            <w:webHidden/>
          </w:rPr>
        </w:r>
        <w:r>
          <w:rPr>
            <w:noProof/>
            <w:webHidden/>
          </w:rPr>
          <w:fldChar w:fldCharType="separate"/>
        </w:r>
        <w:r w:rsidR="008B6F0C">
          <w:rPr>
            <w:noProof/>
            <w:webHidden/>
          </w:rPr>
          <w:t>7</w:t>
        </w:r>
        <w:r>
          <w:rPr>
            <w:noProof/>
            <w:webHidden/>
          </w:rPr>
          <w:fldChar w:fldCharType="end"/>
        </w:r>
      </w:hyperlink>
    </w:p>
    <w:p w14:paraId="7552AB5B" w14:textId="7E053303" w:rsidR="00852B7F" w:rsidRDefault="00852B7F">
      <w:pPr>
        <w:pStyle w:val="TOC1"/>
        <w:tabs>
          <w:tab w:val="right" w:leader="dot" w:pos="9016"/>
        </w:tabs>
        <w:rPr>
          <w:rFonts w:asciiTheme="minorHAnsi" w:eastAsiaTheme="minorEastAsia" w:hAnsiTheme="minorHAnsi" w:cstheme="minorBidi"/>
          <w:noProof/>
          <w:lang w:eastAsia="en-GB"/>
        </w:rPr>
      </w:pPr>
      <w:hyperlink w:anchor="_Toc222264664" w:history="1">
        <w:r w:rsidRPr="002D4B86">
          <w:rPr>
            <w:rStyle w:val="Hyperlink"/>
            <w:noProof/>
          </w:rPr>
          <w:t>Event Budget</w:t>
        </w:r>
        <w:r>
          <w:rPr>
            <w:noProof/>
            <w:webHidden/>
          </w:rPr>
          <w:tab/>
        </w:r>
        <w:r>
          <w:rPr>
            <w:noProof/>
            <w:webHidden/>
          </w:rPr>
          <w:fldChar w:fldCharType="begin"/>
        </w:r>
        <w:r>
          <w:rPr>
            <w:noProof/>
            <w:webHidden/>
          </w:rPr>
          <w:instrText xml:space="preserve"> PAGEREF _Toc222264664 \h </w:instrText>
        </w:r>
        <w:r>
          <w:rPr>
            <w:noProof/>
            <w:webHidden/>
          </w:rPr>
        </w:r>
        <w:r>
          <w:rPr>
            <w:noProof/>
            <w:webHidden/>
          </w:rPr>
          <w:fldChar w:fldCharType="separate"/>
        </w:r>
        <w:r w:rsidR="008B6F0C">
          <w:rPr>
            <w:noProof/>
            <w:webHidden/>
          </w:rPr>
          <w:t>7</w:t>
        </w:r>
        <w:r>
          <w:rPr>
            <w:noProof/>
            <w:webHidden/>
          </w:rPr>
          <w:fldChar w:fldCharType="end"/>
        </w:r>
      </w:hyperlink>
    </w:p>
    <w:p w14:paraId="7F84AB67" w14:textId="41CEF7C1" w:rsidR="00852B7F" w:rsidRDefault="00852B7F">
      <w:pPr>
        <w:pStyle w:val="TOC1"/>
        <w:tabs>
          <w:tab w:val="right" w:leader="dot" w:pos="9016"/>
        </w:tabs>
        <w:rPr>
          <w:rFonts w:asciiTheme="minorHAnsi" w:eastAsiaTheme="minorEastAsia" w:hAnsiTheme="minorHAnsi" w:cstheme="minorBidi"/>
          <w:noProof/>
          <w:lang w:eastAsia="en-GB"/>
        </w:rPr>
      </w:pPr>
      <w:hyperlink w:anchor="_Toc222264665" w:history="1">
        <w:r w:rsidRPr="002D4B86">
          <w:rPr>
            <w:rStyle w:val="Hyperlink"/>
            <w:noProof/>
          </w:rPr>
          <w:t>Industry Trends, Issues, and Impacts</w:t>
        </w:r>
        <w:r>
          <w:rPr>
            <w:noProof/>
            <w:webHidden/>
          </w:rPr>
          <w:tab/>
        </w:r>
        <w:r>
          <w:rPr>
            <w:noProof/>
            <w:webHidden/>
          </w:rPr>
          <w:fldChar w:fldCharType="begin"/>
        </w:r>
        <w:r>
          <w:rPr>
            <w:noProof/>
            <w:webHidden/>
          </w:rPr>
          <w:instrText xml:space="preserve"> PAGEREF _Toc222264665 \h </w:instrText>
        </w:r>
        <w:r>
          <w:rPr>
            <w:noProof/>
            <w:webHidden/>
          </w:rPr>
        </w:r>
        <w:r>
          <w:rPr>
            <w:noProof/>
            <w:webHidden/>
          </w:rPr>
          <w:fldChar w:fldCharType="separate"/>
        </w:r>
        <w:r w:rsidR="008B6F0C">
          <w:rPr>
            <w:noProof/>
            <w:webHidden/>
          </w:rPr>
          <w:t>9</w:t>
        </w:r>
        <w:r>
          <w:rPr>
            <w:noProof/>
            <w:webHidden/>
          </w:rPr>
          <w:fldChar w:fldCharType="end"/>
        </w:r>
      </w:hyperlink>
    </w:p>
    <w:p w14:paraId="1FB09D9C" w14:textId="6DE6FD44" w:rsidR="00852B7F" w:rsidRDefault="00852B7F">
      <w:pPr>
        <w:pStyle w:val="TOC1"/>
        <w:tabs>
          <w:tab w:val="right" w:leader="dot" w:pos="9016"/>
        </w:tabs>
        <w:rPr>
          <w:rFonts w:asciiTheme="minorHAnsi" w:eastAsiaTheme="minorEastAsia" w:hAnsiTheme="minorHAnsi" w:cstheme="minorBidi"/>
          <w:noProof/>
          <w:lang w:eastAsia="en-GB"/>
        </w:rPr>
      </w:pPr>
      <w:hyperlink w:anchor="_Toc222264666" w:history="1">
        <w:r w:rsidRPr="002D4B86">
          <w:rPr>
            <w:rStyle w:val="Hyperlink"/>
            <w:noProof/>
          </w:rPr>
          <w:t>Situational &amp; Cultural Considerations</w:t>
        </w:r>
        <w:r>
          <w:rPr>
            <w:noProof/>
            <w:webHidden/>
          </w:rPr>
          <w:tab/>
        </w:r>
        <w:r>
          <w:rPr>
            <w:noProof/>
            <w:webHidden/>
          </w:rPr>
          <w:fldChar w:fldCharType="begin"/>
        </w:r>
        <w:r>
          <w:rPr>
            <w:noProof/>
            <w:webHidden/>
          </w:rPr>
          <w:instrText xml:space="preserve"> PAGEREF _Toc222264666 \h </w:instrText>
        </w:r>
        <w:r>
          <w:rPr>
            <w:noProof/>
            <w:webHidden/>
          </w:rPr>
        </w:r>
        <w:r>
          <w:rPr>
            <w:noProof/>
            <w:webHidden/>
          </w:rPr>
          <w:fldChar w:fldCharType="separate"/>
        </w:r>
        <w:r w:rsidR="008B6F0C">
          <w:rPr>
            <w:noProof/>
            <w:webHidden/>
          </w:rPr>
          <w:t>9</w:t>
        </w:r>
        <w:r>
          <w:rPr>
            <w:noProof/>
            <w:webHidden/>
          </w:rPr>
          <w:fldChar w:fldCharType="end"/>
        </w:r>
      </w:hyperlink>
    </w:p>
    <w:p w14:paraId="559B21A4" w14:textId="78B99845" w:rsidR="00852B7F" w:rsidRDefault="00852B7F">
      <w:pPr>
        <w:pStyle w:val="TOC3"/>
        <w:tabs>
          <w:tab w:val="right" w:leader="dot" w:pos="9016"/>
        </w:tabs>
        <w:rPr>
          <w:rFonts w:asciiTheme="minorHAnsi" w:eastAsiaTheme="minorEastAsia" w:hAnsiTheme="minorHAnsi" w:cstheme="minorBidi"/>
          <w:noProof/>
          <w:lang w:eastAsia="en-GB"/>
        </w:rPr>
      </w:pPr>
      <w:hyperlink w:anchor="_Toc222264667" w:history="1">
        <w:r w:rsidRPr="002D4B86">
          <w:rPr>
            <w:rStyle w:val="Hyperlink"/>
            <w:noProof/>
          </w:rPr>
          <w:t>Policy Context/Legacy Branding</w:t>
        </w:r>
        <w:r>
          <w:rPr>
            <w:noProof/>
            <w:webHidden/>
          </w:rPr>
          <w:tab/>
        </w:r>
        <w:r>
          <w:rPr>
            <w:noProof/>
            <w:webHidden/>
          </w:rPr>
          <w:fldChar w:fldCharType="begin"/>
        </w:r>
        <w:r>
          <w:rPr>
            <w:noProof/>
            <w:webHidden/>
          </w:rPr>
          <w:instrText xml:space="preserve"> PAGEREF _Toc222264667 \h </w:instrText>
        </w:r>
        <w:r>
          <w:rPr>
            <w:noProof/>
            <w:webHidden/>
          </w:rPr>
        </w:r>
        <w:r>
          <w:rPr>
            <w:noProof/>
            <w:webHidden/>
          </w:rPr>
          <w:fldChar w:fldCharType="separate"/>
        </w:r>
        <w:r w:rsidR="008B6F0C">
          <w:rPr>
            <w:noProof/>
            <w:webHidden/>
          </w:rPr>
          <w:t>10</w:t>
        </w:r>
        <w:r>
          <w:rPr>
            <w:noProof/>
            <w:webHidden/>
          </w:rPr>
          <w:fldChar w:fldCharType="end"/>
        </w:r>
      </w:hyperlink>
    </w:p>
    <w:p w14:paraId="3B6684B8" w14:textId="20B9B866" w:rsidR="00852B7F" w:rsidRDefault="00852B7F">
      <w:pPr>
        <w:pStyle w:val="TOC1"/>
        <w:tabs>
          <w:tab w:val="right" w:leader="dot" w:pos="9016"/>
        </w:tabs>
        <w:rPr>
          <w:rFonts w:asciiTheme="minorHAnsi" w:eastAsiaTheme="minorEastAsia" w:hAnsiTheme="minorHAnsi" w:cstheme="minorBidi"/>
          <w:noProof/>
          <w:lang w:eastAsia="en-GB"/>
        </w:rPr>
      </w:pPr>
      <w:hyperlink w:anchor="_Toc222264668" w:history="1">
        <w:r w:rsidRPr="002D4B86">
          <w:rPr>
            <w:rStyle w:val="Hyperlink"/>
            <w:noProof/>
          </w:rPr>
          <w:t>Conclusion</w:t>
        </w:r>
        <w:r>
          <w:rPr>
            <w:noProof/>
            <w:webHidden/>
          </w:rPr>
          <w:tab/>
        </w:r>
        <w:r>
          <w:rPr>
            <w:noProof/>
            <w:webHidden/>
          </w:rPr>
          <w:fldChar w:fldCharType="begin"/>
        </w:r>
        <w:r>
          <w:rPr>
            <w:noProof/>
            <w:webHidden/>
          </w:rPr>
          <w:instrText xml:space="preserve"> PAGEREF _Toc222264668 \h </w:instrText>
        </w:r>
        <w:r>
          <w:rPr>
            <w:noProof/>
            <w:webHidden/>
          </w:rPr>
        </w:r>
        <w:r>
          <w:rPr>
            <w:noProof/>
            <w:webHidden/>
          </w:rPr>
          <w:fldChar w:fldCharType="separate"/>
        </w:r>
        <w:r w:rsidR="008B6F0C">
          <w:rPr>
            <w:noProof/>
            <w:webHidden/>
          </w:rPr>
          <w:t>10</w:t>
        </w:r>
        <w:r>
          <w:rPr>
            <w:noProof/>
            <w:webHidden/>
          </w:rPr>
          <w:fldChar w:fldCharType="end"/>
        </w:r>
      </w:hyperlink>
    </w:p>
    <w:p w14:paraId="66FE4F26" w14:textId="34F55035" w:rsidR="00852B7F" w:rsidRDefault="00852B7F">
      <w:pPr>
        <w:pStyle w:val="TOC1"/>
        <w:tabs>
          <w:tab w:val="right" w:leader="dot" w:pos="9016"/>
        </w:tabs>
        <w:rPr>
          <w:rFonts w:asciiTheme="minorHAnsi" w:eastAsiaTheme="minorEastAsia" w:hAnsiTheme="minorHAnsi" w:cstheme="minorBidi"/>
          <w:noProof/>
          <w:lang w:eastAsia="en-GB"/>
        </w:rPr>
      </w:pPr>
      <w:hyperlink w:anchor="_Toc222264669" w:history="1">
        <w:r w:rsidRPr="002D4B86">
          <w:rPr>
            <w:rStyle w:val="Hyperlink"/>
            <w:noProof/>
            <w:lang w:eastAsia="en-GB"/>
          </w:rPr>
          <w:t>References</w:t>
        </w:r>
        <w:r>
          <w:rPr>
            <w:noProof/>
            <w:webHidden/>
          </w:rPr>
          <w:tab/>
        </w:r>
        <w:r>
          <w:rPr>
            <w:noProof/>
            <w:webHidden/>
          </w:rPr>
          <w:fldChar w:fldCharType="begin"/>
        </w:r>
        <w:r>
          <w:rPr>
            <w:noProof/>
            <w:webHidden/>
          </w:rPr>
          <w:instrText xml:space="preserve"> PAGEREF _Toc222264669 \h </w:instrText>
        </w:r>
        <w:r>
          <w:rPr>
            <w:noProof/>
            <w:webHidden/>
          </w:rPr>
        </w:r>
        <w:r>
          <w:rPr>
            <w:noProof/>
            <w:webHidden/>
          </w:rPr>
          <w:fldChar w:fldCharType="separate"/>
        </w:r>
        <w:r w:rsidR="008B6F0C">
          <w:rPr>
            <w:noProof/>
            <w:webHidden/>
          </w:rPr>
          <w:t>11</w:t>
        </w:r>
        <w:r>
          <w:rPr>
            <w:noProof/>
            <w:webHidden/>
          </w:rPr>
          <w:fldChar w:fldCharType="end"/>
        </w:r>
      </w:hyperlink>
    </w:p>
    <w:p w14:paraId="452F4982" w14:textId="680FFD87" w:rsidR="00852B7F" w:rsidRDefault="00852B7F">
      <w:pPr>
        <w:pStyle w:val="TOC1"/>
        <w:tabs>
          <w:tab w:val="right" w:leader="dot" w:pos="9016"/>
        </w:tabs>
        <w:rPr>
          <w:rFonts w:asciiTheme="minorHAnsi" w:eastAsiaTheme="minorEastAsia" w:hAnsiTheme="minorHAnsi" w:cstheme="minorBidi"/>
          <w:noProof/>
          <w:lang w:eastAsia="en-GB"/>
        </w:rPr>
      </w:pPr>
      <w:hyperlink w:anchor="_Toc222264670" w:history="1">
        <w:r w:rsidRPr="002D4B86">
          <w:rPr>
            <w:rStyle w:val="Hyperlink"/>
            <w:noProof/>
          </w:rPr>
          <w:t>Appendices</w:t>
        </w:r>
        <w:r>
          <w:rPr>
            <w:noProof/>
            <w:webHidden/>
          </w:rPr>
          <w:tab/>
        </w:r>
        <w:r>
          <w:rPr>
            <w:noProof/>
            <w:webHidden/>
          </w:rPr>
          <w:fldChar w:fldCharType="begin"/>
        </w:r>
        <w:r>
          <w:rPr>
            <w:noProof/>
            <w:webHidden/>
          </w:rPr>
          <w:instrText xml:space="preserve"> PAGEREF _Toc222264670 \h </w:instrText>
        </w:r>
        <w:r>
          <w:rPr>
            <w:noProof/>
            <w:webHidden/>
          </w:rPr>
        </w:r>
        <w:r>
          <w:rPr>
            <w:noProof/>
            <w:webHidden/>
          </w:rPr>
          <w:fldChar w:fldCharType="separate"/>
        </w:r>
        <w:r w:rsidR="008B6F0C">
          <w:rPr>
            <w:noProof/>
            <w:webHidden/>
          </w:rPr>
          <w:t>15</w:t>
        </w:r>
        <w:r>
          <w:rPr>
            <w:noProof/>
            <w:webHidden/>
          </w:rPr>
          <w:fldChar w:fldCharType="end"/>
        </w:r>
      </w:hyperlink>
    </w:p>
    <w:p w14:paraId="4223DEDC" w14:textId="26F43C95" w:rsidR="00852B7F" w:rsidRDefault="00852B7F">
      <w:pPr>
        <w:pStyle w:val="TOC2"/>
        <w:tabs>
          <w:tab w:val="right" w:leader="dot" w:pos="9016"/>
        </w:tabs>
        <w:rPr>
          <w:rFonts w:asciiTheme="minorHAnsi" w:eastAsiaTheme="minorEastAsia" w:hAnsiTheme="minorHAnsi" w:cstheme="minorBidi"/>
          <w:noProof/>
          <w:lang w:eastAsia="en-GB"/>
        </w:rPr>
      </w:pPr>
      <w:hyperlink w:anchor="_Toc222264671" w:history="1">
        <w:r w:rsidRPr="002D4B86">
          <w:rPr>
            <w:rStyle w:val="Hyperlink"/>
            <w:noProof/>
          </w:rPr>
          <w:t>Appendix A: Proposed 3-day itinerary with timings</w:t>
        </w:r>
        <w:r>
          <w:rPr>
            <w:noProof/>
            <w:webHidden/>
          </w:rPr>
          <w:tab/>
        </w:r>
        <w:r>
          <w:rPr>
            <w:noProof/>
            <w:webHidden/>
          </w:rPr>
          <w:fldChar w:fldCharType="begin"/>
        </w:r>
        <w:r>
          <w:rPr>
            <w:noProof/>
            <w:webHidden/>
          </w:rPr>
          <w:instrText xml:space="preserve"> PAGEREF _Toc222264671 \h </w:instrText>
        </w:r>
        <w:r>
          <w:rPr>
            <w:noProof/>
            <w:webHidden/>
          </w:rPr>
        </w:r>
        <w:r>
          <w:rPr>
            <w:noProof/>
            <w:webHidden/>
          </w:rPr>
          <w:fldChar w:fldCharType="separate"/>
        </w:r>
        <w:r w:rsidR="008B6F0C">
          <w:rPr>
            <w:noProof/>
            <w:webHidden/>
          </w:rPr>
          <w:t>15</w:t>
        </w:r>
        <w:r>
          <w:rPr>
            <w:noProof/>
            <w:webHidden/>
          </w:rPr>
          <w:fldChar w:fldCharType="end"/>
        </w:r>
      </w:hyperlink>
    </w:p>
    <w:p w14:paraId="75298791" w14:textId="573E0D37" w:rsidR="00852B7F" w:rsidRDefault="00852B7F">
      <w:pPr>
        <w:pStyle w:val="TOC2"/>
        <w:tabs>
          <w:tab w:val="right" w:leader="dot" w:pos="9016"/>
        </w:tabs>
        <w:rPr>
          <w:rFonts w:asciiTheme="minorHAnsi" w:eastAsiaTheme="minorEastAsia" w:hAnsiTheme="minorHAnsi" w:cstheme="minorBidi"/>
          <w:noProof/>
          <w:lang w:eastAsia="en-GB"/>
        </w:rPr>
      </w:pPr>
      <w:hyperlink w:anchor="_Toc222264672" w:history="1">
        <w:r w:rsidRPr="002D4B86">
          <w:rPr>
            <w:rStyle w:val="Hyperlink"/>
            <w:noProof/>
          </w:rPr>
          <w:t>Appendix B: Estimated proposed income and expenditure budget</w:t>
        </w:r>
        <w:r>
          <w:rPr>
            <w:noProof/>
            <w:webHidden/>
          </w:rPr>
          <w:tab/>
        </w:r>
        <w:r>
          <w:rPr>
            <w:noProof/>
            <w:webHidden/>
          </w:rPr>
          <w:fldChar w:fldCharType="begin"/>
        </w:r>
        <w:r>
          <w:rPr>
            <w:noProof/>
            <w:webHidden/>
          </w:rPr>
          <w:instrText xml:space="preserve"> PAGEREF _Toc222264672 \h </w:instrText>
        </w:r>
        <w:r>
          <w:rPr>
            <w:noProof/>
            <w:webHidden/>
          </w:rPr>
        </w:r>
        <w:r>
          <w:rPr>
            <w:noProof/>
            <w:webHidden/>
          </w:rPr>
          <w:fldChar w:fldCharType="separate"/>
        </w:r>
        <w:r w:rsidR="008B6F0C">
          <w:rPr>
            <w:noProof/>
            <w:webHidden/>
          </w:rPr>
          <w:t>17</w:t>
        </w:r>
        <w:r>
          <w:rPr>
            <w:noProof/>
            <w:webHidden/>
          </w:rPr>
          <w:fldChar w:fldCharType="end"/>
        </w:r>
      </w:hyperlink>
    </w:p>
    <w:p w14:paraId="5542CA39" w14:textId="192307D7" w:rsidR="00852B7F" w:rsidRDefault="00852B7F">
      <w:pPr>
        <w:pStyle w:val="TOC2"/>
        <w:tabs>
          <w:tab w:val="right" w:leader="dot" w:pos="9016"/>
        </w:tabs>
        <w:rPr>
          <w:rFonts w:asciiTheme="minorHAnsi" w:eastAsiaTheme="minorEastAsia" w:hAnsiTheme="minorHAnsi" w:cstheme="minorBidi"/>
          <w:noProof/>
          <w:lang w:eastAsia="en-GB"/>
        </w:rPr>
      </w:pPr>
      <w:hyperlink w:anchor="_Toc222264673" w:history="1">
        <w:r w:rsidRPr="002D4B86">
          <w:rPr>
            <w:rStyle w:val="Hyperlink"/>
            <w:noProof/>
          </w:rPr>
          <w:t>Appendix C: PESTEL Analysis</w:t>
        </w:r>
        <w:r>
          <w:rPr>
            <w:noProof/>
            <w:webHidden/>
          </w:rPr>
          <w:tab/>
        </w:r>
        <w:r>
          <w:rPr>
            <w:noProof/>
            <w:webHidden/>
          </w:rPr>
          <w:fldChar w:fldCharType="begin"/>
        </w:r>
        <w:r>
          <w:rPr>
            <w:noProof/>
            <w:webHidden/>
          </w:rPr>
          <w:instrText xml:space="preserve"> PAGEREF _Toc222264673 \h </w:instrText>
        </w:r>
        <w:r>
          <w:rPr>
            <w:noProof/>
            <w:webHidden/>
          </w:rPr>
        </w:r>
        <w:r>
          <w:rPr>
            <w:noProof/>
            <w:webHidden/>
          </w:rPr>
          <w:fldChar w:fldCharType="separate"/>
        </w:r>
        <w:r w:rsidR="008B6F0C">
          <w:rPr>
            <w:noProof/>
            <w:webHidden/>
          </w:rPr>
          <w:t>18</w:t>
        </w:r>
        <w:r>
          <w:rPr>
            <w:noProof/>
            <w:webHidden/>
          </w:rPr>
          <w:fldChar w:fldCharType="end"/>
        </w:r>
      </w:hyperlink>
    </w:p>
    <w:p w14:paraId="7E54D2FB" w14:textId="7A69139D" w:rsidR="00852B7F" w:rsidRDefault="00852B7F">
      <w:pPr>
        <w:pStyle w:val="TOC2"/>
        <w:tabs>
          <w:tab w:val="right" w:leader="dot" w:pos="9016"/>
        </w:tabs>
        <w:rPr>
          <w:noProof/>
        </w:rPr>
      </w:pPr>
      <w:hyperlink w:anchor="_Toc222264674" w:history="1">
        <w:r w:rsidRPr="002D4B86">
          <w:rPr>
            <w:rStyle w:val="Hyperlink"/>
            <w:noProof/>
          </w:rPr>
          <w:t>Appendix D: SWOT Analysis</w:t>
        </w:r>
        <w:r>
          <w:rPr>
            <w:noProof/>
            <w:webHidden/>
          </w:rPr>
          <w:tab/>
        </w:r>
        <w:r>
          <w:rPr>
            <w:noProof/>
            <w:webHidden/>
          </w:rPr>
          <w:fldChar w:fldCharType="begin"/>
        </w:r>
        <w:r>
          <w:rPr>
            <w:noProof/>
            <w:webHidden/>
          </w:rPr>
          <w:instrText xml:space="preserve"> PAGEREF _Toc222264674 \h </w:instrText>
        </w:r>
        <w:r>
          <w:rPr>
            <w:noProof/>
            <w:webHidden/>
          </w:rPr>
        </w:r>
        <w:r>
          <w:rPr>
            <w:noProof/>
            <w:webHidden/>
          </w:rPr>
          <w:fldChar w:fldCharType="separate"/>
        </w:r>
        <w:r w:rsidR="008B6F0C">
          <w:rPr>
            <w:noProof/>
            <w:webHidden/>
          </w:rPr>
          <w:t>19</w:t>
        </w:r>
        <w:r>
          <w:rPr>
            <w:noProof/>
            <w:webHidden/>
          </w:rPr>
          <w:fldChar w:fldCharType="end"/>
        </w:r>
      </w:hyperlink>
    </w:p>
    <w:p w14:paraId="3F695F5C" w14:textId="487C175A" w:rsidR="008B6F0C" w:rsidRDefault="008B6F0C">
      <w:pPr>
        <w:spacing w:line="259" w:lineRule="auto"/>
        <w:ind w:firstLine="0"/>
        <w:jc w:val="left"/>
        <w:rPr>
          <w:noProof/>
        </w:rPr>
      </w:pPr>
      <w:r>
        <w:rPr>
          <w:noProof/>
        </w:rPr>
        <w:br w:type="page"/>
      </w:r>
    </w:p>
    <w:p w14:paraId="5A30D869" w14:textId="07FD4BA6" w:rsidR="000B2159" w:rsidRPr="008652FC" w:rsidRDefault="0013684A" w:rsidP="00724DA8">
      <w:pPr>
        <w:pStyle w:val="Heading1"/>
      </w:pPr>
      <w:r w:rsidRPr="00317034">
        <w:lastRenderedPageBreak/>
        <w:fldChar w:fldCharType="end"/>
      </w:r>
      <w:bookmarkStart w:id="1" w:name="_Toc222264649"/>
      <w:r w:rsidRPr="008652FC">
        <w:t>Introduction</w:t>
      </w:r>
      <w:bookmarkEnd w:id="1"/>
    </w:p>
    <w:p w14:paraId="1EEB0F09" w14:textId="47970B33" w:rsidR="000B2159" w:rsidRPr="00317034" w:rsidRDefault="0013684A" w:rsidP="00703797">
      <w:r w:rsidRPr="00317034">
        <w:t xml:space="preserve">This report examines the strategic planning and implementation of </w:t>
      </w:r>
      <w:r w:rsidR="00453524" w:rsidRPr="00317034">
        <w:t xml:space="preserve">the </w:t>
      </w:r>
      <w:r w:rsidRPr="00317034">
        <w:t>proposed Legends of Wales International Tourism Summit 2025</w:t>
      </w:r>
      <w:r w:rsidR="00453524" w:rsidRPr="00317034">
        <w:t>,</w:t>
      </w:r>
      <w:r w:rsidRPr="00317034">
        <w:t xml:space="preserve"> a </w:t>
      </w:r>
      <w:r w:rsidR="00453524" w:rsidRPr="00317034">
        <w:t>three-day</w:t>
      </w:r>
      <w:r w:rsidRPr="00317034">
        <w:t xml:space="preserve"> international conference and exhibition on cultural tourism in the hospitality industry. </w:t>
      </w:r>
      <w:r w:rsidR="006D08D1" w:rsidRPr="00317034">
        <w:t xml:space="preserve">Within the events industry, MICE </w:t>
      </w:r>
      <w:r w:rsidR="00083CBC" w:rsidRPr="00317034">
        <w:t>refer</w:t>
      </w:r>
      <w:r w:rsidR="006D08D1" w:rsidRPr="00317034">
        <w:t xml:space="preserve"> to Meetings, Incentives, Conferences, and Exhibitions. It represents a sector focused on professionally organised business events that facilitate knowledge exchange, networking, and destination promotion (Getz and Page, 2019; ICCA, 2024). </w:t>
      </w:r>
      <w:r w:rsidRPr="00317034">
        <w:t>Consistent with Visit Wales</w:t>
      </w:r>
      <w:r w:rsidR="00B2340A">
        <w:t xml:space="preserve"> </w:t>
      </w:r>
      <w:r w:rsidRPr="00317034">
        <w:t xml:space="preserve">Year of Legends theme, the summit is expected to showcase Welsh heritage, mythology, and contemporary cultural identity to the global community and to create business opportunities in </w:t>
      </w:r>
      <w:r w:rsidR="00453524" w:rsidRPr="00317034">
        <w:t xml:space="preserve">the </w:t>
      </w:r>
      <w:r w:rsidRPr="00317034">
        <w:t xml:space="preserve">tourism and hospitality sectors. The report, based on the feasibility check carried out in Assignment 1, takes a strategic approach, examining event management cycles, resource and skill demands, business planning, industry trends, and cultural factors. The analysis is supported by established theories of event management and strategic planning, making the decisions theoretically informed and practically </w:t>
      </w:r>
      <w:r w:rsidR="00724DA8" w:rsidRPr="00317034">
        <w:t>viable.</w:t>
      </w:r>
      <w:r w:rsidR="00724DA8" w:rsidRPr="00690FBA">
        <w:t xml:space="preserve"> Wales</w:t>
      </w:r>
      <w:r w:rsidR="00690FBA" w:rsidRPr="00690FBA">
        <w:t xml:space="preserve"> provides a culturally rich and strategically branded destination, strengthened by Visit Wales</w:t>
      </w:r>
      <w:r w:rsidR="00083CBC">
        <w:t xml:space="preserve"> </w:t>
      </w:r>
      <w:r w:rsidR="00690FBA" w:rsidRPr="00690FBA">
        <w:t>Year of Legends campaign (Welsh Government, 2017). ICC Wales offers accessibility, capacity and modern facilities, supporting long-term tourism growth through strategic event planning.</w:t>
      </w:r>
    </w:p>
    <w:p w14:paraId="08935E35" w14:textId="77777777" w:rsidR="009C1D2C" w:rsidRPr="00317034" w:rsidRDefault="0013684A" w:rsidP="008652FC">
      <w:pPr>
        <w:pStyle w:val="Heading1"/>
      </w:pPr>
      <w:bookmarkStart w:id="2" w:name="_Toc222264650"/>
      <w:r w:rsidRPr="008652FC">
        <w:t>Event</w:t>
      </w:r>
      <w:r w:rsidRPr="00317034">
        <w:t xml:space="preserve"> Cycle: EMBOK Framework</w:t>
      </w:r>
      <w:bookmarkEnd w:id="2"/>
    </w:p>
    <w:p w14:paraId="2FA08759" w14:textId="2D107C86" w:rsidR="009B2660" w:rsidRPr="00317034" w:rsidRDefault="009B2660" w:rsidP="00703797">
      <w:r w:rsidRPr="00317034">
        <w:t xml:space="preserve">In the Initiation phase, the Administration and Design areas of EMBOK were operationalised through a feasibility analysis that aligned with the strategic priorities of Visit Wales and the capacity limitations of ICC Wales. An initial stakeholder mapping activity revealed prominent stakeholders such as Visit Wales, ICC Wales, cultural practitioners, and international buyers of MICE. </w:t>
      </w:r>
      <w:r w:rsidR="00F91715" w:rsidRPr="00317034">
        <w:t xml:space="preserve">To translate the strategic aims outlined in the introduction into a structured and deliverable event plan, this report adopts </w:t>
      </w:r>
      <w:r w:rsidR="0013684A" w:rsidRPr="00317034">
        <w:t>Event Management Body of Knowledge (EMBOK) is a universally accepted theoretical framework created to inform professional event planning and delivery (Silvers et al., 2005; EMBOK, 2026</w:t>
      </w:r>
      <w:r w:rsidR="003221EF" w:rsidRPr="00317034">
        <w:t>)</w:t>
      </w:r>
      <w:r w:rsidR="00162276" w:rsidRPr="00317034">
        <w:t xml:space="preserve">. </w:t>
      </w:r>
    </w:p>
    <w:p w14:paraId="0E1C9FFF" w14:textId="12FB021A" w:rsidR="00B95E09" w:rsidRPr="00317034" w:rsidRDefault="00162276" w:rsidP="00703797">
      <w:r w:rsidRPr="00317034">
        <w:t>In contrast to the Event Life Cycle model by Goldblatt</w:t>
      </w:r>
      <w:r w:rsidR="00600B40" w:rsidRPr="00317034">
        <w:t xml:space="preserve"> (20</w:t>
      </w:r>
      <w:r w:rsidR="00103BE1" w:rsidRPr="00317034">
        <w:t>14</w:t>
      </w:r>
      <w:r w:rsidR="00600B40" w:rsidRPr="00317034">
        <w:t>)</w:t>
      </w:r>
      <w:r w:rsidRPr="00317034">
        <w:t xml:space="preserve">, in which stakeholder relationships and celebratory value are given priority, the advantage of EMBOK is the systematic control of risk, documentation and evaluation within functional </w:t>
      </w:r>
      <w:r w:rsidR="00DE0F41" w:rsidRPr="00317034">
        <w:t>domains (</w:t>
      </w:r>
      <w:r w:rsidRPr="00317034">
        <w:t xml:space="preserve">Silvers et al., 2005). </w:t>
      </w:r>
      <w:r w:rsidR="00E15CCB" w:rsidRPr="00317034">
        <w:t xml:space="preserve">This risk is particularly pronounced in hybrid events, where parallel digital and physical workflows intensify coordination demands </w:t>
      </w:r>
      <w:r w:rsidRPr="00317034">
        <w:t xml:space="preserve">Likewise, linear life-cycle models provide simplicity and clarity but do not provide the same ability as EMBOK to combine experience design and risk management in </w:t>
      </w:r>
      <w:r w:rsidR="00DE0F41" w:rsidRPr="00317034">
        <w:t>parallel (</w:t>
      </w:r>
      <w:r w:rsidRPr="00317034">
        <w:t>Robson, 2008). Consequently, EMBOK is not embraced as the universally best model, but rather the most suitable one to pursue an international summit of hybrids aligned with the policy but applied sparingly to prevent over-</w:t>
      </w:r>
      <w:r w:rsidRPr="00317034">
        <w:lastRenderedPageBreak/>
        <w:t>bureaucratisation.</w:t>
      </w:r>
      <w:r w:rsidR="00E82B4D">
        <w:t xml:space="preserve"> </w:t>
      </w:r>
      <w:r w:rsidR="00E82B4D" w:rsidRPr="00E82B4D">
        <w:t xml:space="preserve">In the case of the Legends of Wales Summit, EMBOK facilitated feasibility, stakeholder mapping, supplier coordination, risk control, hybrid delivery, and post-event evaluation. Its domains made cultural design fit into ICC Wales activities and sponsor needs. But over-standardisation can lead to stifling of community led </w:t>
      </w:r>
      <w:r w:rsidR="0096051C" w:rsidRPr="00E82B4D">
        <w:t>storytelling</w:t>
      </w:r>
      <w:r w:rsidR="00E82B4D" w:rsidRPr="00E82B4D">
        <w:t xml:space="preserve"> and there should be bending of the rules to the culture to ensure that its authenticity is not lost (Silvers et al., 2005; Robson, 2008).</w:t>
      </w:r>
    </w:p>
    <w:p w14:paraId="61648C00" w14:textId="77777777" w:rsidR="008935A5" w:rsidRPr="00317034" w:rsidRDefault="0013684A" w:rsidP="00703797">
      <w:r w:rsidRPr="00317034">
        <w:rPr>
          <w:noProof/>
          <w:lang w:eastAsia="en-GB"/>
        </w:rPr>
        <w:drawing>
          <wp:inline distT="0" distB="0" distL="0" distR="0" wp14:anchorId="0A6B5014" wp14:editId="51EBBDA5">
            <wp:extent cx="5731510" cy="21507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vent-planning-and-management-lifecycle-Source-EMBOK-2016 (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150745"/>
                    </a:xfrm>
                    <a:prstGeom prst="rect">
                      <a:avLst/>
                    </a:prstGeom>
                  </pic:spPr>
                </pic:pic>
              </a:graphicData>
            </a:graphic>
          </wp:inline>
        </w:drawing>
      </w:r>
    </w:p>
    <w:p w14:paraId="695BC113" w14:textId="79766223" w:rsidR="008935A5" w:rsidRPr="00317034" w:rsidRDefault="0013684A" w:rsidP="00703797">
      <w:pPr>
        <w:rPr>
          <w:sz w:val="48"/>
          <w:szCs w:val="48"/>
        </w:rPr>
      </w:pPr>
      <w:r w:rsidRPr="00317034">
        <w:t xml:space="preserve">Figure </w:t>
      </w:r>
      <w:r w:rsidR="00453524" w:rsidRPr="00317034">
        <w:fldChar w:fldCharType="begin"/>
      </w:r>
      <w:r w:rsidRPr="00317034">
        <w:instrText xml:space="preserve"> SEQ Figure \* ARABIC </w:instrText>
      </w:r>
      <w:r w:rsidR="00453524" w:rsidRPr="00317034">
        <w:fldChar w:fldCharType="separate"/>
      </w:r>
      <w:r w:rsidR="00213A1D">
        <w:rPr>
          <w:noProof/>
        </w:rPr>
        <w:t>1</w:t>
      </w:r>
      <w:r w:rsidR="00453524" w:rsidRPr="00317034">
        <w:rPr>
          <w:noProof/>
        </w:rPr>
        <w:fldChar w:fldCharType="end"/>
      </w:r>
      <w:r w:rsidRPr="00317034">
        <w:t>. Event Planning and Management Lifecycle</w:t>
      </w:r>
    </w:p>
    <w:p w14:paraId="000AF762" w14:textId="1A06EC00" w:rsidR="008935A5" w:rsidRPr="00317034" w:rsidRDefault="00E82B4D" w:rsidP="00703797">
      <w:pPr>
        <w:rPr>
          <w:lang w:val="fr-FR"/>
        </w:rPr>
      </w:pPr>
      <w:r w:rsidRPr="00317034">
        <w:rPr>
          <w:lang w:val="fr-FR"/>
        </w:rPr>
        <w:t>Source :</w:t>
      </w:r>
      <w:r w:rsidR="0013684A" w:rsidRPr="00317034">
        <w:rPr>
          <w:lang w:val="fr-FR"/>
        </w:rPr>
        <w:t xml:space="preserve"> (Penn et al., 2017).</w:t>
      </w:r>
    </w:p>
    <w:p w14:paraId="3FC11948" w14:textId="77777777" w:rsidR="000B2159" w:rsidRPr="00317034" w:rsidRDefault="0013684A" w:rsidP="004E4472">
      <w:pPr>
        <w:pStyle w:val="Heading2"/>
        <w:rPr>
          <w:lang w:val="fr-FR"/>
        </w:rPr>
      </w:pPr>
      <w:bookmarkStart w:id="3" w:name="_Toc222264651"/>
      <w:r w:rsidRPr="00317034">
        <w:rPr>
          <w:lang w:val="fr-FR"/>
        </w:rPr>
        <w:t>Initiation Stage</w:t>
      </w:r>
      <w:bookmarkEnd w:id="3"/>
    </w:p>
    <w:p w14:paraId="6DF3BF37" w14:textId="77777777" w:rsidR="000B2159" w:rsidRPr="00317034" w:rsidRDefault="0013684A" w:rsidP="00703797">
      <w:r w:rsidRPr="00317034">
        <w:t>This stage involves establishing the purpose, objectives, and viability of the event. In the case of the proposed event, this entailed defining the target audience, setting event objectives, and evaluating preliminary limitations, including budget and location, among others, and timing.</w:t>
      </w:r>
    </w:p>
    <w:p w14:paraId="3AFB8336" w14:textId="77777777" w:rsidR="000B2159" w:rsidRPr="00317034" w:rsidRDefault="0013684A" w:rsidP="004E4472">
      <w:pPr>
        <w:pStyle w:val="Heading2"/>
      </w:pPr>
      <w:bookmarkStart w:id="4" w:name="_Toc222264652"/>
      <w:r w:rsidRPr="00317034">
        <w:t>Planning Stage</w:t>
      </w:r>
      <w:bookmarkEnd w:id="4"/>
    </w:p>
    <w:p w14:paraId="5DE58D8D" w14:textId="77777777" w:rsidR="000B2159" w:rsidRPr="00317034" w:rsidRDefault="0013684A" w:rsidP="00703797">
      <w:r w:rsidRPr="00317034">
        <w:t>The planning stage will translate goals into strategies. This involved coming up with the event programme, marketing strategy, making a risk assessment, selecting suppliers, and budgeting. EMBOK integrates all the functional areas instead of planning them separately.</w:t>
      </w:r>
    </w:p>
    <w:p w14:paraId="4A743962" w14:textId="77777777" w:rsidR="000B2159" w:rsidRPr="00317034" w:rsidRDefault="0013684A" w:rsidP="004E4472">
      <w:pPr>
        <w:pStyle w:val="Heading2"/>
      </w:pPr>
      <w:bookmarkStart w:id="5" w:name="_Toc222264653"/>
      <w:r w:rsidRPr="00317034">
        <w:t>Implementation Stage</w:t>
      </w:r>
      <w:bookmarkEnd w:id="5"/>
    </w:p>
    <w:p w14:paraId="67CA324D" w14:textId="1E16653C" w:rsidR="000B2159" w:rsidRPr="00317034" w:rsidRDefault="0013684A" w:rsidP="00703797">
      <w:r w:rsidRPr="00317034">
        <w:t xml:space="preserve">Plans are put into operation during implementation. The execution of such tasks as staff </w:t>
      </w:r>
      <w:r w:rsidR="00DE0F41" w:rsidRPr="00317034">
        <w:t>briefing</w:t>
      </w:r>
      <w:r w:rsidRPr="00317034">
        <w:t xml:space="preserve"> venue setup, supplier coordination, and contingency planning is carried out based on the EMBOK operational domain.</w:t>
      </w:r>
    </w:p>
    <w:p w14:paraId="52F89BAC" w14:textId="77777777" w:rsidR="000B2159" w:rsidRPr="00317034" w:rsidRDefault="0013684A" w:rsidP="004E4472">
      <w:pPr>
        <w:pStyle w:val="Heading2"/>
      </w:pPr>
      <w:bookmarkStart w:id="6" w:name="_Toc222264654"/>
      <w:r w:rsidRPr="00317034">
        <w:t>Event Stage</w:t>
      </w:r>
      <w:bookmarkEnd w:id="6"/>
    </w:p>
    <w:p w14:paraId="2678FE50" w14:textId="160D1AAF" w:rsidR="000B2159" w:rsidRPr="00317034" w:rsidRDefault="0013684A" w:rsidP="00703797">
      <w:r w:rsidRPr="00317034">
        <w:lastRenderedPageBreak/>
        <w:t xml:space="preserve">This step is concerned with real-time delivery. </w:t>
      </w:r>
      <w:r w:rsidR="00401BEB" w:rsidRPr="00317034">
        <w:t xml:space="preserve">During the summit, international MICE delegates are managed through live session scheduling, on-site cultural programming, AV coordination, real-time risk monitoring, and stakeholder communication </w:t>
      </w:r>
      <w:r w:rsidRPr="00317034">
        <w:t>to facilitate the seamless event organisation.</w:t>
      </w:r>
    </w:p>
    <w:p w14:paraId="0AC0FAF6" w14:textId="77777777" w:rsidR="000B2159" w:rsidRPr="00317034" w:rsidRDefault="0013684A" w:rsidP="004E4472">
      <w:pPr>
        <w:pStyle w:val="Heading2"/>
      </w:pPr>
      <w:bookmarkStart w:id="7" w:name="_Toc222264655"/>
      <w:r w:rsidRPr="00317034">
        <w:t>Closure Stage</w:t>
      </w:r>
      <w:bookmarkEnd w:id="7"/>
    </w:p>
    <w:p w14:paraId="2868762D" w14:textId="3E7631FE" w:rsidR="000B2159" w:rsidRPr="00317034" w:rsidRDefault="0013684A" w:rsidP="00703797">
      <w:r w:rsidRPr="00317034">
        <w:t>Lastly, an event is also closed by evaluations, financial reconciliation, and stakeholder feedback. EMBOK emphasi</w:t>
      </w:r>
      <w:r w:rsidR="00213A1D">
        <w:t>s</w:t>
      </w:r>
      <w:r w:rsidRPr="00317034">
        <w:t>es the role of post-event review in learning and continual improvement. Accordingly, EMBOK is a systematic theoretical base, which enables coherence in planning, effective execution, and reflective assessment, as it shows good scholastic knowledge of event management principles.</w:t>
      </w:r>
    </w:p>
    <w:p w14:paraId="4A8A68C6" w14:textId="77777777" w:rsidR="005F0921" w:rsidRPr="00317034" w:rsidRDefault="0013684A" w:rsidP="008652FC">
      <w:pPr>
        <w:pStyle w:val="Heading1"/>
      </w:pPr>
      <w:bookmarkStart w:id="8" w:name="_Toc222264656"/>
      <w:r w:rsidRPr="00317034">
        <w:t>Event Concept &amp; Delegate Experience</w:t>
      </w:r>
      <w:bookmarkEnd w:id="8"/>
    </w:p>
    <w:p w14:paraId="3AE25842" w14:textId="67C432EE" w:rsidR="000B2159" w:rsidRPr="00317034" w:rsidRDefault="003B3D47" w:rsidP="00703797">
      <w:r w:rsidRPr="00317034">
        <w:t xml:space="preserve">The design of the Legends of Wales International Tourism Summit 2025 is based on the theory of the Experience Economy, according to which value is generated by the means of immersion and experience instead of consuming passively (Pine and Gilmore, 1999). In cultural tourism, </w:t>
      </w:r>
      <w:r w:rsidR="003058AE" w:rsidRPr="00317034">
        <w:t xml:space="preserve">This experiential strategy </w:t>
      </w:r>
      <w:r w:rsidRPr="00317034">
        <w:t xml:space="preserve">is beneficial to international delegates as it helps to create emotional and intellectual attachment by telling stories, conducting workshops and performance, but it can at the same time marginalise host communities when culture is repackaged as a product to be consumed by visitors. Researchers caution that </w:t>
      </w:r>
      <w:r w:rsidR="00DC1FAF" w:rsidRPr="00317034">
        <w:t>commodification of culture in event design, such as packaging Welsh legends for workshops, per</w:t>
      </w:r>
      <w:r w:rsidR="0006479F" w:rsidRPr="00317034">
        <w:t xml:space="preserve">formances, and tourism </w:t>
      </w:r>
      <w:r w:rsidR="00DE0F41" w:rsidRPr="00317034">
        <w:t>products threaten</w:t>
      </w:r>
      <w:r w:rsidRPr="00317034">
        <w:t xml:space="preserve"> to commodify cultural practices, reducing complex living traditions to marketable spectacles and promoting performativity, which problematises the claims of authenticity and cultural ownership (Smith and Robinson, 2006). </w:t>
      </w:r>
      <w:r w:rsidR="00490A91" w:rsidRPr="00317034">
        <w:t>This is a trade-off between experiential value and cultural integrity, and it is an Experience Economy that is applied critically and not uncritically.</w:t>
      </w:r>
    </w:p>
    <w:p w14:paraId="1860BE23" w14:textId="77777777" w:rsidR="00E95229" w:rsidRPr="00317034" w:rsidRDefault="0013684A" w:rsidP="00703797">
      <w:r w:rsidRPr="00317034">
        <w:t>Event design theory can direct the format of the summit in such a way that every aspect helps to make the experience coherent and memorable (Bowdin et al., 2023). As one example, the opening ceremony will include traditional Welsh music and folklore, which will feel like a place and a part of Welsh culture, which will help the strategic goal of the summit, which is to promote Wales internationally. Making sessions comprised of a combination of learning, interaction, and performance activities, delegates would be actively involved instead of passively watching, which goes in line with modern event management trends that put the experience of participants in the limelight (</w:t>
      </w:r>
      <w:r w:rsidR="00CB78C2" w:rsidRPr="00317034">
        <w:t>Getz and Page, 2019</w:t>
      </w:r>
      <w:r w:rsidRPr="00317034">
        <w:t>).</w:t>
      </w:r>
      <w:r w:rsidR="00E95229" w:rsidRPr="00317034">
        <w:t xml:space="preserve"> </w:t>
      </w:r>
      <w:r w:rsidR="00CA7A6A" w:rsidRPr="00317034">
        <w:t>Appendix</w:t>
      </w:r>
      <w:r w:rsidR="002F464F" w:rsidRPr="00317034">
        <w:t xml:space="preserve"> A highlights</w:t>
      </w:r>
      <w:r w:rsidRPr="00317034">
        <w:t xml:space="preserve"> </w:t>
      </w:r>
      <w:r w:rsidR="001D7E17" w:rsidRPr="00317034">
        <w:rPr>
          <w:i/>
        </w:rPr>
        <w:t>a proposed 3-day itinerary with timings</w:t>
      </w:r>
      <w:r w:rsidRPr="00317034">
        <w:t xml:space="preserve"> that</w:t>
      </w:r>
      <w:r w:rsidR="001D7E17" w:rsidRPr="00317034">
        <w:t xml:space="preserve"> show</w:t>
      </w:r>
      <w:r w:rsidRPr="00317034">
        <w:t xml:space="preserve"> operational thinking is in place and the combination of learning, networking, and cultural immersion is guaranteed. </w:t>
      </w:r>
    </w:p>
    <w:p w14:paraId="526AF63E" w14:textId="77777777" w:rsidR="000B2159" w:rsidRPr="00317034" w:rsidRDefault="0013684A" w:rsidP="008652FC">
      <w:pPr>
        <w:pStyle w:val="Heading1"/>
      </w:pPr>
      <w:bookmarkStart w:id="9" w:name="_Toc222264657"/>
      <w:r w:rsidRPr="00317034">
        <w:lastRenderedPageBreak/>
        <w:t>Aim and Objectives</w:t>
      </w:r>
      <w:bookmarkEnd w:id="9"/>
    </w:p>
    <w:p w14:paraId="3534A2D0" w14:textId="77777777" w:rsidR="00525DCA" w:rsidRDefault="0013684A" w:rsidP="00525DCA">
      <w:pPr>
        <w:pStyle w:val="Heading3"/>
      </w:pPr>
      <w:bookmarkStart w:id="10" w:name="_Toc222264658"/>
      <w:r w:rsidRPr="00317034">
        <w:t>Aim</w:t>
      </w:r>
      <w:bookmarkEnd w:id="10"/>
    </w:p>
    <w:p w14:paraId="7375D730" w14:textId="28665F12" w:rsidR="00AE49FF" w:rsidRPr="00317034" w:rsidRDefault="0013684A" w:rsidP="00525DCA">
      <w:r w:rsidRPr="00317034">
        <w:t xml:space="preserve">The primary aim of the Legends of Wales International Tourism Summit 2025 is to </w:t>
      </w:r>
      <w:r w:rsidRPr="00317034">
        <w:rPr>
          <w:bCs/>
        </w:rPr>
        <w:t>promote Welsh cultural heritage and attract international MICE delegates</w:t>
      </w:r>
      <w:r w:rsidRPr="00317034">
        <w:t>, enhancing Wales</w:t>
      </w:r>
      <w:r w:rsidR="00083CBC">
        <w:t xml:space="preserve"> </w:t>
      </w:r>
      <w:r w:rsidRPr="00317034">
        <w:t>profile as a premier destination for cultural tourism while generating business opportunities within the hospitality and tourism sector (</w:t>
      </w:r>
      <w:r w:rsidR="00CB78C2" w:rsidRPr="00317034">
        <w:t>Getz and Page, 2019</w:t>
      </w:r>
      <w:r w:rsidRPr="00317034">
        <w:t>; Goldblatt, 20</w:t>
      </w:r>
      <w:r w:rsidR="00363C96" w:rsidRPr="00317034">
        <w:t>14</w:t>
      </w:r>
      <w:r w:rsidRPr="00317034">
        <w:t>).</w:t>
      </w:r>
    </w:p>
    <w:p w14:paraId="0ACD375D" w14:textId="77777777" w:rsidR="00AE49FF" w:rsidRPr="00317034" w:rsidRDefault="0013684A" w:rsidP="00703797">
      <w:pPr>
        <w:pStyle w:val="Heading3"/>
      </w:pPr>
      <w:bookmarkStart w:id="11" w:name="_Toc222264659"/>
      <w:r w:rsidRPr="00317034">
        <w:t>SMART Objectives</w:t>
      </w:r>
      <w:bookmarkEnd w:id="11"/>
    </w:p>
    <w:p w14:paraId="7DD1A60D" w14:textId="6CF1B0FA" w:rsidR="00D0624A" w:rsidRPr="00317034" w:rsidRDefault="00D0624A" w:rsidP="00703797">
      <w:pPr>
        <w:pStyle w:val="ListParagraph"/>
        <w:numPr>
          <w:ilvl w:val="0"/>
          <w:numId w:val="6"/>
        </w:numPr>
      </w:pPr>
      <w:r w:rsidRPr="00317034">
        <w:t xml:space="preserve">To attract approximately </w:t>
      </w:r>
      <w:r w:rsidR="005252C0" w:rsidRPr="00317034">
        <w:t>4</w:t>
      </w:r>
      <w:r w:rsidRPr="00317034">
        <w:t>00 international MICE delegates from at least 15 countries to the three-day summit, adopting a conservative attendance target aligned with first</w:t>
      </w:r>
      <w:r w:rsidR="005252C0" w:rsidRPr="00317034">
        <w:t>-edition event risk management</w:t>
      </w:r>
    </w:p>
    <w:p w14:paraId="6EDC348F" w14:textId="77777777" w:rsidR="00D0624A" w:rsidRPr="00317034" w:rsidRDefault="00D0624A" w:rsidP="00703797">
      <w:pPr>
        <w:pStyle w:val="ListParagraph"/>
        <w:numPr>
          <w:ilvl w:val="0"/>
          <w:numId w:val="6"/>
        </w:numPr>
      </w:pPr>
      <w:r w:rsidRPr="00317034">
        <w:t>To generate measurable engagement outcomes, including delegate satisfaction, media reach and qualified business leads, within six months post-event, recognising the absence of baseline tourism demand data and the limits of direct attribution.</w:t>
      </w:r>
    </w:p>
    <w:p w14:paraId="10D94B1D" w14:textId="77777777" w:rsidR="00D0624A" w:rsidRPr="00317034" w:rsidRDefault="00D0624A" w:rsidP="00703797">
      <w:pPr>
        <w:pStyle w:val="ListParagraph"/>
        <w:numPr>
          <w:ilvl w:val="0"/>
          <w:numId w:val="6"/>
        </w:numPr>
      </w:pPr>
      <w:r w:rsidRPr="00317034">
        <w:t>To facilitate the formation of at least 30 new B2B partnerships between Welsh tourism providers and international stakeholders by the conclusion of the summit, supporting longer-term collaboration rather than short-term booking claims.</w:t>
      </w:r>
    </w:p>
    <w:p w14:paraId="7B234011" w14:textId="416C3D0C" w:rsidR="000B2159" w:rsidRPr="00317034" w:rsidRDefault="00317034" w:rsidP="00703797">
      <w:r w:rsidRPr="00317034">
        <w:t xml:space="preserve">The main target market would be international MICE purchasers and cultural tourism operators (25% in Europe, 40% in North America and 10% in the GCC), and UK-based destination managers (25%). Partnerships with the local Welsh heritage organisations and bilingual cultural practitioners are a means of community integration. </w:t>
      </w:r>
      <w:r w:rsidR="0013684A" w:rsidRPr="00317034">
        <w:t xml:space="preserve">The summit targets are pegged to the industry and similar events. ICCA (2024) lists the attendance of similar conferences at 400-600, whereas Visit Wales (2022) demonstrates that cultural campaigns grow tourism 10-25 percent, which makes the objectives realistic, measurable, and aligned with the goals of promoting the Welsh </w:t>
      </w:r>
      <w:r w:rsidR="00D61BC1" w:rsidRPr="00317034">
        <w:t>heritage. Engagement attribution will be operationalised with integrated delegate registration, session-based QR check-ins, hybrid platform analytics (views, dwell time and interactions), and post-event surveys at one week and three months to demonstrate behavioural contribution instead of asserting direct causal impact of tourism, and attribution lag is recognised (Getz and Page, 2019).</w:t>
      </w:r>
      <w:r w:rsidR="0013684A" w:rsidRPr="00317034">
        <w:t xml:space="preserve"> These goals are measurable, practical, specific, relevant, and time-bound, which offer a strategic sense and a practical outline on how to plan, deliver, and post-event analysis (Bowdin et al., 202</w:t>
      </w:r>
      <w:r w:rsidR="00363C96" w:rsidRPr="00317034">
        <w:t>3</w:t>
      </w:r>
      <w:r w:rsidR="0013684A" w:rsidRPr="00317034">
        <w:t>; Van Der Wagen et al., 2005).</w:t>
      </w:r>
    </w:p>
    <w:p w14:paraId="125DD6A5" w14:textId="77777777" w:rsidR="00CA7A6A" w:rsidRPr="00317034" w:rsidRDefault="0013684A" w:rsidP="008652FC">
      <w:pPr>
        <w:pStyle w:val="Heading1"/>
      </w:pPr>
      <w:bookmarkStart w:id="12" w:name="_Toc222264660"/>
      <w:r w:rsidRPr="00317034">
        <w:t>Event Management: Skills &amp; Resources</w:t>
      </w:r>
      <w:bookmarkEnd w:id="12"/>
    </w:p>
    <w:p w14:paraId="35004532" w14:textId="771950CF" w:rsidR="000B2159" w:rsidRPr="00317034" w:rsidRDefault="0013684A" w:rsidP="00703797">
      <w:pPr>
        <w:pStyle w:val="Heading2"/>
      </w:pPr>
      <w:bookmarkStart w:id="13" w:name="_Toc222264661"/>
      <w:r w:rsidRPr="00317034">
        <w:t>Operational Planning &amp; Human Resources</w:t>
      </w:r>
      <w:bookmarkEnd w:id="13"/>
    </w:p>
    <w:p w14:paraId="666B4D0E" w14:textId="044C8D97" w:rsidR="000B2159" w:rsidRPr="00317034" w:rsidRDefault="0013684A" w:rsidP="00703797">
      <w:r w:rsidRPr="00317034">
        <w:lastRenderedPageBreak/>
        <w:t>Sound operational planning is the only way to make the Legends of Wales International Tourism Summit 2025 a smooth and successful experience for the international visitors, as well as achieving its strategic goals. The core employees will consist of seasoned event managers, who will organi</w:t>
      </w:r>
      <w:r w:rsidR="00213A1D">
        <w:t>s</w:t>
      </w:r>
      <w:r w:rsidRPr="00317034">
        <w:t xml:space="preserve">e the logistics, schedule, and involvement of the stakeholders. The use of volunteers </w:t>
      </w:r>
      <w:r w:rsidR="00960EBC" w:rsidRPr="00317034">
        <w:t xml:space="preserve">(approximately 20–25), recruited from local universities and community agencies with prior event or customer service experience </w:t>
      </w:r>
      <w:r w:rsidRPr="00317034">
        <w:t xml:space="preserve">will contribute to the management of attendees and registration, as well as facilitation of the exhibition, thereby improving the quality of services without increasing the prices (Backman, 2018). Accountability and resource allocation can be enhanced </w:t>
      </w:r>
      <w:r w:rsidR="005C5E67" w:rsidRPr="00317034">
        <w:t>using</w:t>
      </w:r>
      <w:r w:rsidR="009A7446" w:rsidRPr="00317034">
        <w:t xml:space="preserve"> project management tools </w:t>
      </w:r>
      <w:r w:rsidRPr="00317034">
        <w:t>(Meredith et al., 2017).</w:t>
      </w:r>
    </w:p>
    <w:p w14:paraId="3D77ED46" w14:textId="77777777" w:rsidR="000B2159" w:rsidRPr="00317034" w:rsidRDefault="0013684A" w:rsidP="00703797">
      <w:pPr>
        <w:pStyle w:val="Heading2"/>
      </w:pPr>
      <w:bookmarkStart w:id="14" w:name="_Toc222264662"/>
      <w:r w:rsidRPr="00317034">
        <w:t>Marketing Activities</w:t>
      </w:r>
      <w:bookmarkEnd w:id="14"/>
    </w:p>
    <w:p w14:paraId="3CD67271" w14:textId="07561098" w:rsidR="000B2159" w:rsidRPr="00317034" w:rsidRDefault="0013684A" w:rsidP="00703797">
      <w:r w:rsidRPr="00317034">
        <w:t xml:space="preserve">Marketing activities are necessary and </w:t>
      </w:r>
      <w:r w:rsidR="005C5E67" w:rsidRPr="00317034">
        <w:t>must</w:t>
      </w:r>
      <w:r w:rsidRPr="00317034">
        <w:t xml:space="preserve"> be integrated </w:t>
      </w:r>
      <w:r w:rsidR="005C5E67" w:rsidRPr="00317034">
        <w:t>to</w:t>
      </w:r>
      <w:r w:rsidRPr="00317034">
        <w:t xml:space="preserve"> attract international delegates, exhibitors, and sponsors. </w:t>
      </w:r>
      <w:r w:rsidR="00960EBC" w:rsidRPr="00317034">
        <w:t xml:space="preserve">Applying the 4 Ps of Marketing, the summit’s ‘Product’ is the cultural and networking experience offered; ‘Price’ is set competitively for early-bird and standard delegate tickets; ‘Place’ considers both the ICC Wales venue and hybrid online access; </w:t>
      </w:r>
      <w:r w:rsidRPr="00317034">
        <w:t xml:space="preserve">Promotion through social media, email, and search engine optimisation will reach the maximum number of people and attract them the most, whereas PR will ensure enhancement of the cultural credibility of the summit. The marketing planning </w:t>
      </w:r>
      <w:r w:rsidR="005C5E67" w:rsidRPr="00317034">
        <w:t>considers</w:t>
      </w:r>
      <w:r w:rsidRPr="00317034">
        <w:t xml:space="preserve"> the timing, which can be segmented into various audiences, and the message consistency that can be used to achieve the attendance goals and revenues (Kotler et al., 2008).</w:t>
      </w:r>
    </w:p>
    <w:p w14:paraId="09F134FE" w14:textId="77777777" w:rsidR="000B2159" w:rsidRPr="00317034" w:rsidRDefault="0013684A" w:rsidP="00703797">
      <w:pPr>
        <w:pStyle w:val="Heading2"/>
      </w:pPr>
      <w:bookmarkStart w:id="15" w:name="_Toc222264663"/>
      <w:r w:rsidRPr="00317034">
        <w:t>Risk &amp; Contingency Planning</w:t>
      </w:r>
      <w:bookmarkEnd w:id="15"/>
    </w:p>
    <w:p w14:paraId="058AA2E2" w14:textId="02ED33D7" w:rsidR="000B2159" w:rsidRPr="00317034" w:rsidRDefault="0013684A" w:rsidP="00703797">
      <w:r w:rsidRPr="00317034">
        <w:t>Contingency strategies help in eliminating operational risks such as delays by suppliers during delivery, technology breakdowns, or unfavourable weather conditions that can hinder travel. These are alternative suppliers, an alternative venue, and flexible time, health, and safety compliance with re</w:t>
      </w:r>
      <w:r w:rsidR="0034415E" w:rsidRPr="00317034">
        <w:t>gulations at the national level</w:t>
      </w:r>
      <w:r w:rsidR="004E617B" w:rsidRPr="00317034">
        <w:t xml:space="preserve"> (</w:t>
      </w:r>
      <w:r w:rsidR="004E617B" w:rsidRPr="00317034">
        <w:rPr>
          <w:szCs w:val="24"/>
          <w:lang w:eastAsia="en-GB"/>
        </w:rPr>
        <w:t>Kouvelis and Li, 2012)</w:t>
      </w:r>
      <w:r w:rsidR="0034415E" w:rsidRPr="00317034">
        <w:t xml:space="preserve">. </w:t>
      </w:r>
      <w:r w:rsidRPr="00317034">
        <w:t>Through pre-emptive creation of the possible risks and investment in management, the event portrays credibility and provides a high-quality experience to the attendants.</w:t>
      </w:r>
    </w:p>
    <w:p w14:paraId="31D0252C" w14:textId="1A553E00" w:rsidR="000B2159" w:rsidRPr="00317034" w:rsidRDefault="0013684A" w:rsidP="008652FC">
      <w:pPr>
        <w:pStyle w:val="Heading1"/>
      </w:pPr>
      <w:bookmarkStart w:id="16" w:name="_Toc222264664"/>
      <w:r w:rsidRPr="00317034">
        <w:t>E</w:t>
      </w:r>
      <w:r w:rsidR="00CA7A6A" w:rsidRPr="00317034">
        <w:t>vent Budget</w:t>
      </w:r>
      <w:bookmarkEnd w:id="16"/>
    </w:p>
    <w:p w14:paraId="26978AD3" w14:textId="04E8502D" w:rsidR="004119A6" w:rsidRPr="00317034" w:rsidRDefault="004119A6" w:rsidP="00703797">
      <w:r w:rsidRPr="00317034">
        <w:t xml:space="preserve">Table </w:t>
      </w:r>
      <w:fldSimple w:instr=" SEQ Table \* ARABIC ">
        <w:r w:rsidR="00213A1D">
          <w:rPr>
            <w:noProof/>
          </w:rPr>
          <w:t>1</w:t>
        </w:r>
      </w:fldSimple>
      <w:r w:rsidRPr="00317034">
        <w:t>. Estimated Income and Expenditure</w:t>
      </w:r>
    </w:p>
    <w:tbl>
      <w:tblPr>
        <w:tblStyle w:val="PlainTable2"/>
        <w:tblW w:w="9059" w:type="dxa"/>
        <w:tblLook w:val="04A0" w:firstRow="1" w:lastRow="0" w:firstColumn="1" w:lastColumn="0" w:noHBand="0" w:noVBand="1"/>
      </w:tblPr>
      <w:tblGrid>
        <w:gridCol w:w="6299"/>
        <w:gridCol w:w="2760"/>
      </w:tblGrid>
      <w:tr w:rsidR="004119A6" w:rsidRPr="00317034" w14:paraId="49E19344" w14:textId="77777777" w:rsidTr="004119A6">
        <w:trPr>
          <w:cnfStyle w:val="100000000000" w:firstRow="1" w:lastRow="0" w:firstColumn="0" w:lastColumn="0" w:oddVBand="0" w:evenVBand="0" w:oddHBand="0"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64DE1732" w14:textId="77777777" w:rsidR="004119A6" w:rsidRPr="00317034" w:rsidRDefault="004119A6" w:rsidP="00703797">
            <w:pPr>
              <w:rPr>
                <w:lang w:eastAsia="en-GB"/>
              </w:rPr>
            </w:pPr>
            <w:r w:rsidRPr="00317034">
              <w:rPr>
                <w:lang w:eastAsia="en-GB"/>
              </w:rPr>
              <w:t>Item / Category</w:t>
            </w:r>
          </w:p>
        </w:tc>
        <w:tc>
          <w:tcPr>
            <w:tcW w:w="0" w:type="auto"/>
            <w:hideMark/>
          </w:tcPr>
          <w:p w14:paraId="372CB9D3" w14:textId="77777777" w:rsidR="004119A6" w:rsidRPr="00317034" w:rsidRDefault="004119A6" w:rsidP="00703797">
            <w:pPr>
              <w:cnfStyle w:val="100000000000" w:firstRow="1" w:lastRow="0" w:firstColumn="0" w:lastColumn="0" w:oddVBand="0" w:evenVBand="0" w:oddHBand="0" w:evenHBand="0" w:firstRowFirstColumn="0" w:firstRowLastColumn="0" w:lastRowFirstColumn="0" w:lastRowLastColumn="0"/>
              <w:rPr>
                <w:lang w:eastAsia="en-GB"/>
              </w:rPr>
            </w:pPr>
            <w:r w:rsidRPr="00317034">
              <w:rPr>
                <w:lang w:eastAsia="en-GB"/>
              </w:rPr>
              <w:t>Amount (£)</w:t>
            </w:r>
          </w:p>
        </w:tc>
      </w:tr>
      <w:tr w:rsidR="004119A6" w:rsidRPr="00317034" w14:paraId="7BA4682A" w14:textId="77777777" w:rsidTr="004119A6">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6DDB79B5" w14:textId="77777777" w:rsidR="004119A6" w:rsidRPr="00317034" w:rsidRDefault="004119A6" w:rsidP="00703797">
            <w:pPr>
              <w:rPr>
                <w:lang w:eastAsia="en-GB"/>
              </w:rPr>
            </w:pPr>
            <w:r w:rsidRPr="00317034">
              <w:rPr>
                <w:lang w:eastAsia="en-GB"/>
              </w:rPr>
              <w:t>Income</w:t>
            </w:r>
          </w:p>
        </w:tc>
        <w:tc>
          <w:tcPr>
            <w:tcW w:w="0" w:type="auto"/>
            <w:hideMark/>
          </w:tcPr>
          <w:p w14:paraId="17D90513" w14:textId="77777777" w:rsidR="004119A6" w:rsidRPr="00317034" w:rsidRDefault="004119A6" w:rsidP="00703797">
            <w:pPr>
              <w:cnfStyle w:val="000000100000" w:firstRow="0" w:lastRow="0" w:firstColumn="0" w:lastColumn="0" w:oddVBand="0" w:evenVBand="0" w:oddHBand="1" w:evenHBand="0" w:firstRowFirstColumn="0" w:firstRowLastColumn="0" w:lastRowFirstColumn="0" w:lastRowLastColumn="0"/>
              <w:rPr>
                <w:lang w:eastAsia="en-GB"/>
              </w:rPr>
            </w:pPr>
          </w:p>
        </w:tc>
      </w:tr>
      <w:tr w:rsidR="004119A6" w:rsidRPr="00317034" w14:paraId="073CB383" w14:textId="77777777" w:rsidTr="004119A6">
        <w:trPr>
          <w:trHeight w:val="294"/>
        </w:trPr>
        <w:tc>
          <w:tcPr>
            <w:cnfStyle w:val="001000000000" w:firstRow="0" w:lastRow="0" w:firstColumn="1" w:lastColumn="0" w:oddVBand="0" w:evenVBand="0" w:oddHBand="0" w:evenHBand="0" w:firstRowFirstColumn="0" w:firstRowLastColumn="0" w:lastRowFirstColumn="0" w:lastRowLastColumn="0"/>
            <w:tcW w:w="0" w:type="auto"/>
            <w:hideMark/>
          </w:tcPr>
          <w:p w14:paraId="6D3D1149" w14:textId="77777777" w:rsidR="004119A6" w:rsidRPr="00317034" w:rsidRDefault="004119A6" w:rsidP="00703797">
            <w:pPr>
              <w:rPr>
                <w:lang w:eastAsia="en-GB"/>
              </w:rPr>
            </w:pPr>
            <w:r w:rsidRPr="00317034">
              <w:rPr>
                <w:lang w:eastAsia="en-GB"/>
              </w:rPr>
              <w:t>Sponsorships</w:t>
            </w:r>
          </w:p>
        </w:tc>
        <w:tc>
          <w:tcPr>
            <w:tcW w:w="0" w:type="auto"/>
            <w:hideMark/>
          </w:tcPr>
          <w:p w14:paraId="5ACD0B70" w14:textId="77777777" w:rsidR="004119A6" w:rsidRPr="00317034" w:rsidRDefault="004119A6" w:rsidP="00703797">
            <w:pPr>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70,000</w:t>
            </w:r>
          </w:p>
        </w:tc>
      </w:tr>
      <w:tr w:rsidR="004119A6" w:rsidRPr="00317034" w14:paraId="665E0BE6" w14:textId="77777777" w:rsidTr="004119A6">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3EBF6AAD" w14:textId="77777777" w:rsidR="004119A6" w:rsidRPr="00317034" w:rsidRDefault="004119A6" w:rsidP="00703797">
            <w:pPr>
              <w:rPr>
                <w:lang w:eastAsia="en-GB"/>
              </w:rPr>
            </w:pPr>
            <w:r w:rsidRPr="00317034">
              <w:rPr>
                <w:lang w:eastAsia="en-GB"/>
              </w:rPr>
              <w:t>Delegate Ticket Sales</w:t>
            </w:r>
          </w:p>
        </w:tc>
        <w:tc>
          <w:tcPr>
            <w:tcW w:w="0" w:type="auto"/>
            <w:hideMark/>
          </w:tcPr>
          <w:p w14:paraId="506C50A1" w14:textId="77777777" w:rsidR="004119A6" w:rsidRPr="00317034" w:rsidRDefault="004119A6" w:rsidP="00703797">
            <w:pPr>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90,000</w:t>
            </w:r>
          </w:p>
        </w:tc>
      </w:tr>
      <w:tr w:rsidR="004119A6" w:rsidRPr="00317034" w14:paraId="0693A381" w14:textId="77777777" w:rsidTr="004119A6">
        <w:trPr>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40FB6779" w14:textId="77777777" w:rsidR="004119A6" w:rsidRPr="00317034" w:rsidRDefault="004119A6" w:rsidP="00703797">
            <w:pPr>
              <w:rPr>
                <w:lang w:eastAsia="en-GB"/>
              </w:rPr>
            </w:pPr>
            <w:r w:rsidRPr="00317034">
              <w:rPr>
                <w:lang w:eastAsia="en-GB"/>
              </w:rPr>
              <w:lastRenderedPageBreak/>
              <w:t>Grants / Public Funding</w:t>
            </w:r>
          </w:p>
        </w:tc>
        <w:tc>
          <w:tcPr>
            <w:tcW w:w="0" w:type="auto"/>
            <w:hideMark/>
          </w:tcPr>
          <w:p w14:paraId="07BD5C89" w14:textId="77777777" w:rsidR="004119A6" w:rsidRPr="00317034" w:rsidRDefault="004119A6" w:rsidP="00703797">
            <w:pPr>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45,000</w:t>
            </w:r>
          </w:p>
        </w:tc>
      </w:tr>
      <w:tr w:rsidR="004119A6" w:rsidRPr="00317034" w14:paraId="79BE0DB0" w14:textId="77777777" w:rsidTr="004119A6">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68F43406" w14:textId="77777777" w:rsidR="004119A6" w:rsidRPr="00317034" w:rsidRDefault="004119A6" w:rsidP="00703797">
            <w:pPr>
              <w:rPr>
                <w:lang w:eastAsia="en-GB"/>
              </w:rPr>
            </w:pPr>
            <w:r w:rsidRPr="00317034">
              <w:rPr>
                <w:lang w:eastAsia="en-GB"/>
              </w:rPr>
              <w:t>Total Income</w:t>
            </w:r>
          </w:p>
        </w:tc>
        <w:tc>
          <w:tcPr>
            <w:tcW w:w="0" w:type="auto"/>
            <w:hideMark/>
          </w:tcPr>
          <w:p w14:paraId="7B7CB1CD" w14:textId="77777777" w:rsidR="004119A6" w:rsidRPr="00317034" w:rsidRDefault="004119A6" w:rsidP="00703797">
            <w:pPr>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205,000</w:t>
            </w:r>
          </w:p>
        </w:tc>
      </w:tr>
      <w:tr w:rsidR="004119A6" w:rsidRPr="00317034" w14:paraId="325EB954" w14:textId="77777777" w:rsidTr="004119A6">
        <w:trPr>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0B2021D6" w14:textId="77777777" w:rsidR="004119A6" w:rsidRPr="00317034" w:rsidRDefault="004119A6" w:rsidP="00703797">
            <w:pPr>
              <w:rPr>
                <w:lang w:eastAsia="en-GB"/>
              </w:rPr>
            </w:pPr>
          </w:p>
        </w:tc>
        <w:tc>
          <w:tcPr>
            <w:tcW w:w="0" w:type="auto"/>
            <w:hideMark/>
          </w:tcPr>
          <w:p w14:paraId="6ABEBCD2" w14:textId="77777777" w:rsidR="004119A6" w:rsidRPr="00317034" w:rsidRDefault="004119A6" w:rsidP="00703797">
            <w:pPr>
              <w:cnfStyle w:val="000000000000" w:firstRow="0" w:lastRow="0" w:firstColumn="0" w:lastColumn="0" w:oddVBand="0" w:evenVBand="0" w:oddHBand="0" w:evenHBand="0" w:firstRowFirstColumn="0" w:firstRowLastColumn="0" w:lastRowFirstColumn="0" w:lastRowLastColumn="0"/>
              <w:rPr>
                <w:lang w:eastAsia="en-GB"/>
              </w:rPr>
            </w:pPr>
          </w:p>
        </w:tc>
      </w:tr>
      <w:tr w:rsidR="004119A6" w:rsidRPr="00317034" w14:paraId="4BF8D3D9" w14:textId="77777777" w:rsidTr="004119A6">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76F89AB6" w14:textId="77777777" w:rsidR="004119A6" w:rsidRPr="00317034" w:rsidRDefault="004119A6" w:rsidP="00703797">
            <w:pPr>
              <w:rPr>
                <w:lang w:eastAsia="en-GB"/>
              </w:rPr>
            </w:pPr>
            <w:r w:rsidRPr="00317034">
              <w:rPr>
                <w:lang w:eastAsia="en-GB"/>
              </w:rPr>
              <w:t>Expenditure</w:t>
            </w:r>
          </w:p>
        </w:tc>
        <w:tc>
          <w:tcPr>
            <w:tcW w:w="0" w:type="auto"/>
            <w:hideMark/>
          </w:tcPr>
          <w:p w14:paraId="3A543818" w14:textId="77777777" w:rsidR="004119A6" w:rsidRPr="00317034" w:rsidRDefault="004119A6" w:rsidP="00703797">
            <w:pPr>
              <w:cnfStyle w:val="000000100000" w:firstRow="0" w:lastRow="0" w:firstColumn="0" w:lastColumn="0" w:oddVBand="0" w:evenVBand="0" w:oddHBand="1" w:evenHBand="0" w:firstRowFirstColumn="0" w:firstRowLastColumn="0" w:lastRowFirstColumn="0" w:lastRowLastColumn="0"/>
              <w:rPr>
                <w:lang w:eastAsia="en-GB"/>
              </w:rPr>
            </w:pPr>
          </w:p>
        </w:tc>
      </w:tr>
      <w:tr w:rsidR="004119A6" w:rsidRPr="00317034" w14:paraId="711CC189" w14:textId="77777777" w:rsidTr="004119A6">
        <w:trPr>
          <w:trHeight w:val="294"/>
        </w:trPr>
        <w:tc>
          <w:tcPr>
            <w:cnfStyle w:val="001000000000" w:firstRow="0" w:lastRow="0" w:firstColumn="1" w:lastColumn="0" w:oddVBand="0" w:evenVBand="0" w:oddHBand="0" w:evenHBand="0" w:firstRowFirstColumn="0" w:firstRowLastColumn="0" w:lastRowFirstColumn="0" w:lastRowLastColumn="0"/>
            <w:tcW w:w="0" w:type="auto"/>
            <w:hideMark/>
          </w:tcPr>
          <w:p w14:paraId="23E41196" w14:textId="77777777" w:rsidR="004119A6" w:rsidRPr="00317034" w:rsidRDefault="004119A6" w:rsidP="00703797">
            <w:pPr>
              <w:rPr>
                <w:lang w:eastAsia="en-GB"/>
              </w:rPr>
            </w:pPr>
            <w:r w:rsidRPr="00317034">
              <w:rPr>
                <w:lang w:eastAsia="en-GB"/>
              </w:rPr>
              <w:t>Venue Hire (ICC Wales)</w:t>
            </w:r>
          </w:p>
        </w:tc>
        <w:tc>
          <w:tcPr>
            <w:tcW w:w="0" w:type="auto"/>
            <w:hideMark/>
          </w:tcPr>
          <w:p w14:paraId="7F837497" w14:textId="77777777" w:rsidR="004119A6" w:rsidRPr="00317034" w:rsidRDefault="004119A6" w:rsidP="00703797">
            <w:pPr>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50,000</w:t>
            </w:r>
          </w:p>
        </w:tc>
      </w:tr>
      <w:tr w:rsidR="004119A6" w:rsidRPr="00317034" w14:paraId="0A0DF350" w14:textId="77777777" w:rsidTr="004119A6">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77398832" w14:textId="77777777" w:rsidR="004119A6" w:rsidRPr="00317034" w:rsidRDefault="004119A6" w:rsidP="00703797">
            <w:pPr>
              <w:rPr>
                <w:lang w:eastAsia="en-GB"/>
              </w:rPr>
            </w:pPr>
            <w:r w:rsidRPr="00317034">
              <w:rPr>
                <w:lang w:eastAsia="en-GB"/>
              </w:rPr>
              <w:t>Staff &amp; Volunteers</w:t>
            </w:r>
          </w:p>
        </w:tc>
        <w:tc>
          <w:tcPr>
            <w:tcW w:w="0" w:type="auto"/>
            <w:hideMark/>
          </w:tcPr>
          <w:p w14:paraId="752AE7DD" w14:textId="77777777" w:rsidR="004119A6" w:rsidRPr="00317034" w:rsidRDefault="004119A6" w:rsidP="00703797">
            <w:pPr>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40,000</w:t>
            </w:r>
          </w:p>
        </w:tc>
      </w:tr>
      <w:tr w:rsidR="004119A6" w:rsidRPr="00317034" w14:paraId="4BEDC0EA" w14:textId="77777777" w:rsidTr="004119A6">
        <w:trPr>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543BF870" w14:textId="77777777" w:rsidR="004119A6" w:rsidRPr="00317034" w:rsidRDefault="004119A6" w:rsidP="00703797">
            <w:pPr>
              <w:rPr>
                <w:lang w:eastAsia="en-GB"/>
              </w:rPr>
            </w:pPr>
            <w:r w:rsidRPr="00317034">
              <w:rPr>
                <w:lang w:eastAsia="en-GB"/>
              </w:rPr>
              <w:t>Catering</w:t>
            </w:r>
          </w:p>
        </w:tc>
        <w:tc>
          <w:tcPr>
            <w:tcW w:w="0" w:type="auto"/>
            <w:hideMark/>
          </w:tcPr>
          <w:p w14:paraId="1BB6B941" w14:textId="77777777" w:rsidR="004119A6" w:rsidRPr="00317034" w:rsidRDefault="004119A6" w:rsidP="00703797">
            <w:pPr>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30,000</w:t>
            </w:r>
          </w:p>
        </w:tc>
      </w:tr>
      <w:tr w:rsidR="004119A6" w:rsidRPr="00317034" w14:paraId="11409AB8" w14:textId="77777777" w:rsidTr="004119A6">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7B0EA3BA" w14:textId="77777777" w:rsidR="004119A6" w:rsidRPr="00317034" w:rsidRDefault="004119A6" w:rsidP="00703797">
            <w:pPr>
              <w:rPr>
                <w:lang w:eastAsia="en-GB"/>
              </w:rPr>
            </w:pPr>
            <w:r w:rsidRPr="00317034">
              <w:rPr>
                <w:lang w:eastAsia="en-GB"/>
              </w:rPr>
              <w:t>Marketing &amp; PR</w:t>
            </w:r>
          </w:p>
        </w:tc>
        <w:tc>
          <w:tcPr>
            <w:tcW w:w="0" w:type="auto"/>
            <w:hideMark/>
          </w:tcPr>
          <w:p w14:paraId="7BAC04C9" w14:textId="77777777" w:rsidR="004119A6" w:rsidRPr="00317034" w:rsidRDefault="004119A6" w:rsidP="00703797">
            <w:pPr>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25,000</w:t>
            </w:r>
          </w:p>
        </w:tc>
      </w:tr>
      <w:tr w:rsidR="004119A6" w:rsidRPr="00317034" w14:paraId="5B856207" w14:textId="77777777" w:rsidTr="004119A6">
        <w:trPr>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767C3685" w14:textId="77777777" w:rsidR="004119A6" w:rsidRPr="00317034" w:rsidRDefault="004119A6" w:rsidP="00703797">
            <w:pPr>
              <w:rPr>
                <w:lang w:eastAsia="en-GB"/>
              </w:rPr>
            </w:pPr>
            <w:r w:rsidRPr="00317034">
              <w:rPr>
                <w:lang w:eastAsia="en-GB"/>
              </w:rPr>
              <w:t>Logistics &amp; AV (on-site)</w:t>
            </w:r>
          </w:p>
        </w:tc>
        <w:tc>
          <w:tcPr>
            <w:tcW w:w="0" w:type="auto"/>
            <w:hideMark/>
          </w:tcPr>
          <w:p w14:paraId="16447691" w14:textId="77777777" w:rsidR="004119A6" w:rsidRPr="00317034" w:rsidRDefault="004119A6" w:rsidP="00703797">
            <w:pPr>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20,000</w:t>
            </w:r>
          </w:p>
        </w:tc>
      </w:tr>
      <w:tr w:rsidR="004119A6" w:rsidRPr="00317034" w14:paraId="1E76AB92" w14:textId="77777777" w:rsidTr="004119A6">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270EA014" w14:textId="77777777" w:rsidR="004119A6" w:rsidRPr="00317034" w:rsidRDefault="004119A6" w:rsidP="00703797">
            <w:pPr>
              <w:rPr>
                <w:lang w:eastAsia="en-GB"/>
              </w:rPr>
            </w:pPr>
            <w:r w:rsidRPr="00317034">
              <w:rPr>
                <w:lang w:eastAsia="en-GB"/>
              </w:rPr>
              <w:t>Insurance &amp; Security</w:t>
            </w:r>
          </w:p>
        </w:tc>
        <w:tc>
          <w:tcPr>
            <w:tcW w:w="0" w:type="auto"/>
            <w:hideMark/>
          </w:tcPr>
          <w:p w14:paraId="771FEA91" w14:textId="77777777" w:rsidR="004119A6" w:rsidRPr="00317034" w:rsidRDefault="004119A6" w:rsidP="00703797">
            <w:pPr>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10,000</w:t>
            </w:r>
          </w:p>
        </w:tc>
      </w:tr>
      <w:tr w:rsidR="004119A6" w:rsidRPr="00317034" w14:paraId="71A55527" w14:textId="77777777" w:rsidTr="004119A6">
        <w:trPr>
          <w:trHeight w:val="294"/>
        </w:trPr>
        <w:tc>
          <w:tcPr>
            <w:cnfStyle w:val="001000000000" w:firstRow="0" w:lastRow="0" w:firstColumn="1" w:lastColumn="0" w:oddVBand="0" w:evenVBand="0" w:oddHBand="0" w:evenHBand="0" w:firstRowFirstColumn="0" w:firstRowLastColumn="0" w:lastRowFirstColumn="0" w:lastRowLastColumn="0"/>
            <w:tcW w:w="0" w:type="auto"/>
            <w:hideMark/>
          </w:tcPr>
          <w:p w14:paraId="49A0D349" w14:textId="77777777" w:rsidR="004119A6" w:rsidRPr="00317034" w:rsidRDefault="004119A6" w:rsidP="00703797">
            <w:pPr>
              <w:rPr>
                <w:lang w:eastAsia="en-GB"/>
              </w:rPr>
            </w:pPr>
            <w:r w:rsidRPr="00317034">
              <w:rPr>
                <w:lang w:eastAsia="en-GB"/>
              </w:rPr>
              <w:t>Speaker Fees &amp; Travel</w:t>
            </w:r>
          </w:p>
        </w:tc>
        <w:tc>
          <w:tcPr>
            <w:tcW w:w="0" w:type="auto"/>
            <w:hideMark/>
          </w:tcPr>
          <w:p w14:paraId="39D669CB" w14:textId="77777777" w:rsidR="004119A6" w:rsidRPr="00317034" w:rsidRDefault="004119A6" w:rsidP="00703797">
            <w:pPr>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12,000</w:t>
            </w:r>
          </w:p>
        </w:tc>
      </w:tr>
      <w:tr w:rsidR="004119A6" w:rsidRPr="00317034" w14:paraId="7C0DE69C" w14:textId="77777777" w:rsidTr="004119A6">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6EC0B326" w14:textId="77777777" w:rsidR="004119A6" w:rsidRPr="00317034" w:rsidRDefault="004119A6" w:rsidP="00703797">
            <w:pPr>
              <w:rPr>
                <w:lang w:eastAsia="en-GB"/>
              </w:rPr>
            </w:pPr>
            <w:r w:rsidRPr="00317034">
              <w:rPr>
                <w:lang w:eastAsia="en-GB"/>
              </w:rPr>
              <w:t>Hybrid Platform &amp; Technical Support</w:t>
            </w:r>
          </w:p>
        </w:tc>
        <w:tc>
          <w:tcPr>
            <w:tcW w:w="0" w:type="auto"/>
            <w:hideMark/>
          </w:tcPr>
          <w:p w14:paraId="71A5ADEA" w14:textId="77777777" w:rsidR="004119A6" w:rsidRPr="00317034" w:rsidRDefault="004119A6" w:rsidP="00703797">
            <w:pPr>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8,000</w:t>
            </w:r>
          </w:p>
        </w:tc>
      </w:tr>
      <w:tr w:rsidR="004119A6" w:rsidRPr="00317034" w14:paraId="03E93EB0" w14:textId="77777777" w:rsidTr="004119A6">
        <w:trPr>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3C54F192" w14:textId="77777777" w:rsidR="004119A6" w:rsidRPr="00317034" w:rsidRDefault="004119A6" w:rsidP="00703797">
            <w:pPr>
              <w:rPr>
                <w:lang w:eastAsia="en-GB"/>
              </w:rPr>
            </w:pPr>
            <w:r w:rsidRPr="00317034">
              <w:rPr>
                <w:lang w:eastAsia="en-GB"/>
              </w:rPr>
              <w:t>Contingency (10%)</w:t>
            </w:r>
          </w:p>
        </w:tc>
        <w:tc>
          <w:tcPr>
            <w:tcW w:w="0" w:type="auto"/>
            <w:hideMark/>
          </w:tcPr>
          <w:p w14:paraId="21C45478" w14:textId="77777777" w:rsidR="004119A6" w:rsidRPr="00317034" w:rsidRDefault="004119A6" w:rsidP="00703797">
            <w:pPr>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19,500</w:t>
            </w:r>
          </w:p>
        </w:tc>
      </w:tr>
      <w:tr w:rsidR="004119A6" w:rsidRPr="00317034" w14:paraId="08ABDA62" w14:textId="77777777" w:rsidTr="004119A6">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2616972B" w14:textId="77777777" w:rsidR="004119A6" w:rsidRPr="00317034" w:rsidRDefault="004119A6" w:rsidP="00703797">
            <w:pPr>
              <w:rPr>
                <w:lang w:eastAsia="en-GB"/>
              </w:rPr>
            </w:pPr>
            <w:r w:rsidRPr="00317034">
              <w:rPr>
                <w:lang w:eastAsia="en-GB"/>
              </w:rPr>
              <w:t>Total Expenditure</w:t>
            </w:r>
          </w:p>
        </w:tc>
        <w:tc>
          <w:tcPr>
            <w:tcW w:w="0" w:type="auto"/>
            <w:hideMark/>
          </w:tcPr>
          <w:p w14:paraId="4BB20D0F" w14:textId="77777777" w:rsidR="004119A6" w:rsidRPr="00317034" w:rsidRDefault="004119A6" w:rsidP="00703797">
            <w:pPr>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214,500</w:t>
            </w:r>
          </w:p>
        </w:tc>
      </w:tr>
      <w:tr w:rsidR="004119A6" w:rsidRPr="00317034" w14:paraId="6D01FCF1" w14:textId="77777777" w:rsidTr="004119A6">
        <w:trPr>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43E5A496" w14:textId="77777777" w:rsidR="004119A6" w:rsidRPr="00317034" w:rsidRDefault="004119A6" w:rsidP="00703797">
            <w:pPr>
              <w:rPr>
                <w:lang w:eastAsia="en-GB"/>
              </w:rPr>
            </w:pPr>
            <w:r w:rsidRPr="00317034">
              <w:rPr>
                <w:lang w:eastAsia="en-GB"/>
              </w:rPr>
              <w:t>Surplus / (Deficit)</w:t>
            </w:r>
          </w:p>
        </w:tc>
        <w:tc>
          <w:tcPr>
            <w:tcW w:w="0" w:type="auto"/>
            <w:hideMark/>
          </w:tcPr>
          <w:p w14:paraId="5BE7F72A" w14:textId="77777777" w:rsidR="004119A6" w:rsidRPr="00317034" w:rsidRDefault="004119A6" w:rsidP="00703797">
            <w:pPr>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-9,500*</w:t>
            </w:r>
          </w:p>
        </w:tc>
      </w:tr>
    </w:tbl>
    <w:p w14:paraId="00519EF8" w14:textId="77777777" w:rsidR="004119A6" w:rsidRPr="00317034" w:rsidRDefault="004119A6" w:rsidP="00703797">
      <w:pPr>
        <w:rPr>
          <w:lang w:eastAsia="en-GB"/>
        </w:rPr>
      </w:pPr>
      <w:r w:rsidRPr="00317034">
        <w:rPr>
          <w:lang w:eastAsia="en-GB"/>
        </w:rPr>
        <w:t>*Preliminary surplus is £40,000 before contingency; contingency reduces net surplus if fully used.</w:t>
      </w:r>
    </w:p>
    <w:p w14:paraId="347624B5" w14:textId="77777777" w:rsidR="00193EF3" w:rsidRPr="00317034" w:rsidRDefault="00193EF3" w:rsidP="00703797">
      <w:r w:rsidRPr="00317034">
        <w:t>According to the best practice of event management, a 10% contingency sum (£19,500) has been included as a risk buffer, not a committed cost, to take into consideration the possible cost variations related to supplier dependency, insurance, security requirements, speaker fees and hybrid delivery infrastructure like streaming platforms and technical support (Wilson, 2017; Pogue, 2004). With full contingency provisioned, the overall potential spending increases to £214,500, which would wipe out operating surplus should it be completely used.</w:t>
      </w:r>
    </w:p>
    <w:p w14:paraId="336B09D9" w14:textId="77777777" w:rsidR="00D61BC1" w:rsidRPr="00317034" w:rsidRDefault="00193EF3" w:rsidP="00703797">
      <w:r w:rsidRPr="00317034">
        <w:t xml:space="preserve">This difference embodies sound financial planning: the forecasted 40,000 surplus is pre-contingency operating ROI, whereas the contingency fund is a financial protection mechanism and not an assumed cost. </w:t>
      </w:r>
      <w:r w:rsidR="00324E4F" w:rsidRPr="00317034">
        <w:t>ROI is computed as projected operating surplus divided by total committed delivery costs with exclusion of contingency unless deployed</w:t>
      </w:r>
      <w:r w:rsidR="00D61BC1" w:rsidRPr="00317034">
        <w:t>. Financial monitoring, attendance tracking and sponsorship confirmation would thus be on-going to secure event viability and financial stability. In Appendix B is given a simplified income and expenditure statement</w:t>
      </w:r>
    </w:p>
    <w:p w14:paraId="2C65985C" w14:textId="77777777" w:rsidR="00D61BC1" w:rsidRPr="00317034" w:rsidRDefault="00D61BC1" w:rsidP="00703797">
      <w:r w:rsidRPr="00317034">
        <w:t>ROI (%) = (Operating Surplus / Total Committed Costs) × 100</w:t>
      </w:r>
    </w:p>
    <w:p w14:paraId="5092C2AF" w14:textId="77777777" w:rsidR="00D61BC1" w:rsidRPr="00317034" w:rsidRDefault="00D61BC1" w:rsidP="00703797">
      <w:r w:rsidRPr="00317034">
        <w:t xml:space="preserve">ROI (%) = (£40,000 / £195,000) × 100 </w:t>
      </w:r>
    </w:p>
    <w:p w14:paraId="2943956F" w14:textId="77777777" w:rsidR="00D61BC1" w:rsidRPr="00317034" w:rsidRDefault="00D61BC1" w:rsidP="00703797">
      <w:r w:rsidRPr="00317034">
        <w:t>ROI (%) = 20.5%</w:t>
      </w:r>
      <w:r w:rsidR="00324E4F" w:rsidRPr="00317034">
        <w:t xml:space="preserve">. </w:t>
      </w:r>
    </w:p>
    <w:p w14:paraId="20C87F58" w14:textId="77777777" w:rsidR="000B2159" w:rsidRPr="00317034" w:rsidRDefault="0013684A" w:rsidP="008652FC">
      <w:pPr>
        <w:pStyle w:val="Heading1"/>
      </w:pPr>
      <w:bookmarkStart w:id="17" w:name="_Toc222264665"/>
      <w:r w:rsidRPr="00317034">
        <w:lastRenderedPageBreak/>
        <w:t>Industry Trends, Issues, and Impacts</w:t>
      </w:r>
      <w:bookmarkEnd w:id="17"/>
    </w:p>
    <w:p w14:paraId="13835A76" w14:textId="012A9FD8" w:rsidR="00BF712C" w:rsidRDefault="0013684A" w:rsidP="00703797">
      <w:r w:rsidRPr="00317034">
        <w:t>The MICE (Meetings, Incentives, Conferences, and Exhibitions) sector is undergoing a conceptual trend, which will guide the execution and planning of the Legends of Wales Summit. The issue of sustainability has become a burning issue, and events are taking on greener initiatives like minimi</w:t>
      </w:r>
      <w:r w:rsidR="00213A1D">
        <w:t>s</w:t>
      </w:r>
      <w:r w:rsidRPr="00317034">
        <w:t xml:space="preserve">ing waste, digital ticket sales, and eco-friendly catering (Mair and Jago, 2010). Such measures can positively impact environmental responsibility as well as attract an international audience that values sustainable travelling. Quite the contrary, the model of digital and hybrid events is becoming common in the industry, which allows more people to participate in and access events worldwide (Sasatanun, 2024). </w:t>
      </w:r>
    </w:p>
    <w:p w14:paraId="523D545E" w14:textId="5427F963" w:rsidR="002F7060" w:rsidRPr="00317034" w:rsidRDefault="0013684A" w:rsidP="00703797">
      <w:r w:rsidRPr="00317034">
        <w:t xml:space="preserve">The summit will also include digital elements, such as </w:t>
      </w:r>
      <w:r w:rsidR="00DE0F41" w:rsidRPr="00317034">
        <w:t>live streaming</w:t>
      </w:r>
      <w:r w:rsidRPr="00317034">
        <w:t xml:space="preserve"> of keynote sessions and virtual exhibition booths, to involve overseas delegates who will not be able to visit physically. This is a hybrid strategy that guarantees a wider reach and makes Wales a culturally as well as an inclusive destination.</w:t>
      </w:r>
      <w:r w:rsidR="00BF712C">
        <w:t xml:space="preserve"> </w:t>
      </w:r>
      <w:r w:rsidRPr="00317034">
        <w:t xml:space="preserve">The trends in cultural tourism show that there is a growing attraction towards experiential traveling whereby international tourists are seeking immersive experiences about heritage, folklore, and local traditions (Suryani, 2024). These trends relate directly to the theme of the summit, Year of Legends, which offers curated workshops, performances, and networking prospects to demonstrate the Welsh legends and heritage. </w:t>
      </w:r>
    </w:p>
    <w:p w14:paraId="15DA6CB9" w14:textId="03ABFBF6" w:rsidR="000B2159" w:rsidRPr="00317034" w:rsidRDefault="002F7060" w:rsidP="00703797">
      <w:r w:rsidRPr="00317034">
        <w:t xml:space="preserve">Dual-sourcing critical services, such as AV, catering and transport, reduces supplier risk by pre-approving second-tier providers during the planning stage. To maintain schedule integrity, contracts have force majeure provisions, service-level agreements, and late-delivery penalties (Wilson, 2017). </w:t>
      </w:r>
      <w:r w:rsidR="0013684A" w:rsidRPr="00317034">
        <w:t>Nonetheless, combining digital, sustainable, and cultural trends will help the summit become more competitive, involve the audience, and have a long-term legacy. Modern consciousness will make the event conform to the best practices in the industry, as well as the expectations of the attendees, and make Wales a progressive destination in cultural tourism.</w:t>
      </w:r>
    </w:p>
    <w:p w14:paraId="7789AF20" w14:textId="77777777" w:rsidR="000B2159" w:rsidRPr="00317034" w:rsidRDefault="0013684A" w:rsidP="008652FC">
      <w:pPr>
        <w:pStyle w:val="Heading1"/>
      </w:pPr>
      <w:bookmarkStart w:id="18" w:name="_Toc222264666"/>
      <w:r w:rsidRPr="00317034">
        <w:t>Situat</w:t>
      </w:r>
      <w:r w:rsidR="004141BB" w:rsidRPr="00317034">
        <w:t>ional &amp; Cultural Considerations</w:t>
      </w:r>
      <w:bookmarkEnd w:id="18"/>
    </w:p>
    <w:p w14:paraId="23ABC3E0" w14:textId="319DDEDF" w:rsidR="00C3067C" w:rsidRPr="00317034" w:rsidRDefault="00E95229" w:rsidP="00703797">
      <w:r w:rsidRPr="00317034">
        <w:t>Despite the contribution of SWOT and PESTEL frameworks in organi</w:t>
      </w:r>
      <w:r w:rsidR="00213A1D">
        <w:t>s</w:t>
      </w:r>
      <w:r w:rsidRPr="00317034">
        <w:t>ing situational awareness, both models are static and prone to managerial bias, frequently endorsing already held assumptions instead of questioning strategic decisions (Leigh, 2009; Karadzhov and Patarchanova, 2025)</w:t>
      </w:r>
      <w:r w:rsidR="002707DF" w:rsidRPr="00317034">
        <w:t>.</w:t>
      </w:r>
      <w:r w:rsidRPr="00317034">
        <w:t xml:space="preserve"> As an example, political backing by Visit Wales offers an opportunity</w:t>
      </w:r>
      <w:r w:rsidR="002707DF" w:rsidRPr="00317034">
        <w:t>,</w:t>
      </w:r>
      <w:r w:rsidRPr="00317034">
        <w:t xml:space="preserve"> but at the same time, becomes more dependent on government funding and becomes vulnerable to changes in policy. Likewise, global coverage is provided by the incorporation of hybrid delivery at the cost of financial strain provided by platform licensing, cybersecurity risk </w:t>
      </w:r>
      <w:r w:rsidRPr="00317034">
        <w:lastRenderedPageBreak/>
        <w:t>and technical redundancy mitigation</w:t>
      </w:r>
      <w:r w:rsidR="00D46907" w:rsidRPr="00317034">
        <w:t xml:space="preserve"> </w:t>
      </w:r>
      <w:r w:rsidR="00B82260" w:rsidRPr="00317034">
        <w:t>(Appendices C and</w:t>
      </w:r>
      <w:r w:rsidR="00D46907" w:rsidRPr="00317034">
        <w:t xml:space="preserve"> D).</w:t>
      </w:r>
      <w:r w:rsidR="00E95CDC">
        <w:t xml:space="preserve"> </w:t>
      </w:r>
      <w:r w:rsidR="0013684A" w:rsidRPr="00317034">
        <w:t>The language, heritage, and identity are essential to pay attention to. Bilingual signage (English and Welsh) is part of all the communications, and all cultural performances are programmed in consultation with the local communities and therefore authenticated and respectful</w:t>
      </w:r>
      <w:r w:rsidR="00510B86" w:rsidRPr="00317034">
        <w:t xml:space="preserve">. </w:t>
      </w:r>
      <w:r w:rsidR="0013684A" w:rsidRPr="00317034">
        <w:t>Delegates visiting overseas are informed about the manners of local people, and this will increase cross-cultural communication. The knowledge of situational factors minimi</w:t>
      </w:r>
      <w:r w:rsidR="00213A1D">
        <w:t>s</w:t>
      </w:r>
      <w:r w:rsidR="0013684A" w:rsidRPr="00317034">
        <w:t xml:space="preserve">es risks, ensures that stakeholders are confident, and increases the satisfaction of </w:t>
      </w:r>
      <w:r w:rsidR="00DE0F41" w:rsidRPr="00317034">
        <w:t>attendees (</w:t>
      </w:r>
      <w:r w:rsidR="00510B86" w:rsidRPr="00317034">
        <w:t xml:space="preserve">Allen et al., 2022). </w:t>
      </w:r>
      <w:r w:rsidR="0013684A" w:rsidRPr="00317034">
        <w:t xml:space="preserve"> </w:t>
      </w:r>
    </w:p>
    <w:p w14:paraId="0F863089" w14:textId="77777777" w:rsidR="00C5654B" w:rsidRPr="00317034" w:rsidRDefault="00C5654B" w:rsidP="00703797">
      <w:pPr>
        <w:pStyle w:val="Heading3"/>
      </w:pPr>
      <w:bookmarkStart w:id="19" w:name="_Toc222264667"/>
      <w:r w:rsidRPr="00317034">
        <w:t>Policy Context/Legacy Branding</w:t>
      </w:r>
      <w:bookmarkEnd w:id="19"/>
    </w:p>
    <w:p w14:paraId="2FB3CC16" w14:textId="7624F05F" w:rsidR="00D4134C" w:rsidRPr="00317034" w:rsidRDefault="007262F7" w:rsidP="00703797">
      <w:pPr>
        <w:rPr>
          <w:b/>
        </w:rPr>
      </w:pPr>
      <w:r w:rsidRPr="00317034">
        <w:t xml:space="preserve">The strategic priorities of Visit Wales are pursuing both economic growth by international tourism and the cultural custodianship by heritage protection at the same time (Visit Wales, 2022). These objectives are usually sold as complementary to each other; however, </w:t>
      </w:r>
      <w:r w:rsidR="005C5E67" w:rsidRPr="00317034">
        <w:t>they</w:t>
      </w:r>
      <w:r w:rsidRPr="00317034">
        <w:t xml:space="preserve"> may be conflicting. Scaling international MICE events is more focused on visibility, quantity of delegates and sponsors matching, but cultural custodianship demands slower engagement, community governance, and restrictions on simplification of narratives. This summit thus works in a competitive policy environment, where success cannot be quantified only in terms of attendance or media coverage, but must also bear in mind whose voice is elevated and whose is sidelined by destination branding pressures.</w:t>
      </w:r>
    </w:p>
    <w:p w14:paraId="764086DC" w14:textId="77777777" w:rsidR="00C3067C" w:rsidRPr="00317034" w:rsidRDefault="0013684A" w:rsidP="008652FC">
      <w:pPr>
        <w:pStyle w:val="Heading1"/>
      </w:pPr>
      <w:bookmarkStart w:id="20" w:name="_Toc222264668"/>
      <w:r w:rsidRPr="00317034">
        <w:t>Conclusion</w:t>
      </w:r>
      <w:bookmarkEnd w:id="20"/>
    </w:p>
    <w:p w14:paraId="65ED69FB" w14:textId="77777777" w:rsidR="008652FC" w:rsidRDefault="008652FC" w:rsidP="00411571">
      <w:r w:rsidRPr="008652FC">
        <w:t>The Legends of Wales International Tourism Summit 2025 considers cultural promotion and professional development as strategic interventions to enhance the global tourism image of Wales. It aligns planning, operations, marketing, finance and risk management using the EMBOK framework. It encourages long-term, culturally sensitive, sustainable destination development informed by the Experience Economy theory and aided by SWOT and PESTEL analysis.</w:t>
      </w:r>
    </w:p>
    <w:p w14:paraId="20ED8D5A" w14:textId="77777777" w:rsidR="008652FC" w:rsidRDefault="008652FC">
      <w:pPr>
        <w:spacing w:line="259" w:lineRule="auto"/>
        <w:ind w:firstLine="0"/>
        <w:jc w:val="left"/>
      </w:pPr>
      <w:r>
        <w:rPr>
          <w:b/>
        </w:rPr>
        <w:br w:type="page"/>
      </w:r>
    </w:p>
    <w:p w14:paraId="5FF1BB9A" w14:textId="6007A90F" w:rsidR="009A7446" w:rsidRPr="00317034" w:rsidRDefault="009A7446" w:rsidP="008652FC">
      <w:pPr>
        <w:pStyle w:val="Heading1"/>
        <w:rPr>
          <w:lang w:eastAsia="en-GB"/>
        </w:rPr>
      </w:pPr>
      <w:bookmarkStart w:id="21" w:name="_Toc222264669"/>
      <w:r w:rsidRPr="00317034">
        <w:rPr>
          <w:lang w:eastAsia="en-GB"/>
        </w:rPr>
        <w:lastRenderedPageBreak/>
        <w:t>References</w:t>
      </w:r>
      <w:bookmarkEnd w:id="21"/>
    </w:p>
    <w:p w14:paraId="2E63EFEF" w14:textId="77777777" w:rsidR="00C53A22" w:rsidRPr="00317034" w:rsidRDefault="00C53A22" w:rsidP="00C53A22">
      <w:pPr>
        <w:ind w:left="720" w:hanging="720"/>
        <w:rPr>
          <w:szCs w:val="24"/>
          <w:lang w:eastAsia="en-GB"/>
        </w:rPr>
      </w:pPr>
      <w:r w:rsidRPr="00317034">
        <w:rPr>
          <w:bCs/>
          <w:szCs w:val="24"/>
          <w:lang w:eastAsia="en-GB"/>
        </w:rPr>
        <w:t>Allen, J., Harris, R., and Jago, L., 2022.</w:t>
      </w:r>
      <w:r w:rsidRPr="00317034">
        <w:rPr>
          <w:szCs w:val="24"/>
          <w:lang w:eastAsia="en-GB"/>
        </w:rPr>
        <w:t xml:space="preserve"> </w:t>
      </w:r>
      <w:r w:rsidRPr="00317034">
        <w:rPr>
          <w:i/>
          <w:iCs/>
          <w:szCs w:val="24"/>
          <w:lang w:eastAsia="en-GB"/>
        </w:rPr>
        <w:t>Festival &amp; special event management.</w:t>
      </w:r>
      <w:r w:rsidRPr="00317034">
        <w:rPr>
          <w:szCs w:val="24"/>
          <w:lang w:eastAsia="en-GB"/>
        </w:rPr>
        <w:t xml:space="preserve"> John Wiley &amp; Sons. Available at: </w:t>
      </w:r>
      <w:hyperlink r:id="rId10" w:history="1">
        <w:r w:rsidRPr="00317034">
          <w:rPr>
            <w:color w:val="0000FF"/>
            <w:szCs w:val="24"/>
            <w:u w:val="single"/>
            <w:lang w:eastAsia="en-GB"/>
          </w:rPr>
          <w:t>https://books.google.com/books?hl=en&amp;lr=&amp;id=fbIxEAAAQBAJ&amp;oi=fnd&amp;pg=PR3&amp;dq=event+budget++Event+Management&amp;ots=yUb0_-9i-u&amp;sig=nhj_K9hbd6ktG6Azoobba4Y9ttE</w:t>
        </w:r>
      </w:hyperlink>
      <w:r w:rsidRPr="00317034">
        <w:rPr>
          <w:szCs w:val="24"/>
          <w:lang w:eastAsia="en-GB"/>
        </w:rPr>
        <w:t xml:space="preserve"> [Accessed 23 January 2026].</w:t>
      </w:r>
    </w:p>
    <w:p w14:paraId="4AF87FFC" w14:textId="77777777" w:rsidR="00C53A22" w:rsidRPr="00317034" w:rsidRDefault="00C53A22" w:rsidP="00C53A22">
      <w:pPr>
        <w:ind w:left="720" w:hanging="720"/>
        <w:rPr>
          <w:lang w:eastAsia="en-GB"/>
        </w:rPr>
      </w:pPr>
      <w:r w:rsidRPr="00317034">
        <w:rPr>
          <w:bCs/>
          <w:lang w:eastAsia="en-GB"/>
        </w:rPr>
        <w:t>Backman, K.F., 2018.</w:t>
      </w:r>
      <w:r w:rsidRPr="00317034">
        <w:rPr>
          <w:lang w:eastAsia="en-GB"/>
        </w:rPr>
        <w:t xml:space="preserve"> Event management research: The focus today and in the future. </w:t>
      </w:r>
      <w:r w:rsidRPr="00317034">
        <w:rPr>
          <w:i/>
          <w:iCs/>
          <w:lang w:eastAsia="en-GB"/>
        </w:rPr>
        <w:t>Tourism Management Perspectives,</w:t>
      </w:r>
      <w:r w:rsidRPr="00317034">
        <w:rPr>
          <w:lang w:eastAsia="en-GB"/>
        </w:rPr>
        <w:t xml:space="preserve"> 25, pp.169-171. Available at: </w:t>
      </w:r>
      <w:hyperlink r:id="rId11" w:history="1">
        <w:r w:rsidRPr="00317034">
          <w:rPr>
            <w:color w:val="0000FF"/>
            <w:u w:val="single"/>
            <w:lang w:eastAsia="en-GB"/>
          </w:rPr>
          <w:t>https://www.sciencedirect.com/science/article/pii/S2211973617301447</w:t>
        </w:r>
      </w:hyperlink>
      <w:r w:rsidRPr="00317034">
        <w:rPr>
          <w:lang w:eastAsia="en-GB"/>
        </w:rPr>
        <w:t xml:space="preserve"> [Accessed 23 January 2026].</w:t>
      </w:r>
    </w:p>
    <w:p w14:paraId="3A52D06C" w14:textId="77777777" w:rsidR="00C53A22" w:rsidRPr="00317034" w:rsidRDefault="00C53A22" w:rsidP="00C53A22">
      <w:pPr>
        <w:ind w:left="720" w:hanging="720"/>
        <w:rPr>
          <w:lang w:eastAsia="en-GB"/>
        </w:rPr>
      </w:pPr>
      <w:r w:rsidRPr="00317034">
        <w:rPr>
          <w:bCs/>
          <w:lang w:eastAsia="en-GB"/>
        </w:rPr>
        <w:t>Bowdin, G.A., Allen, J., Harris, R., Jago, L., O'Toole, W. and McDonnell, I., 2023.</w:t>
      </w:r>
      <w:r w:rsidRPr="00317034">
        <w:rPr>
          <w:lang w:eastAsia="en-GB"/>
        </w:rPr>
        <w:t xml:space="preserve"> </w:t>
      </w:r>
      <w:r w:rsidRPr="00317034">
        <w:rPr>
          <w:i/>
          <w:iCs/>
          <w:lang w:eastAsia="en-GB"/>
        </w:rPr>
        <w:t>Events management.</w:t>
      </w:r>
      <w:r w:rsidRPr="00317034">
        <w:rPr>
          <w:lang w:eastAsia="en-GB"/>
        </w:rPr>
        <w:t xml:space="preserve"> Routledge. Available at: </w:t>
      </w:r>
      <w:hyperlink r:id="rId12" w:history="1">
        <w:r w:rsidRPr="00317034">
          <w:rPr>
            <w:color w:val="0000FF"/>
            <w:u w:val="single"/>
            <w:lang w:eastAsia="en-GB"/>
          </w:rPr>
          <w:t>https://www.taylorfrancis.com/books/mono/10.4324/9781003044963/events-management-glenn-bowdin-ian-mcdonnell-rob-harris-william-toole-johnny-allen-leo-jago</w:t>
        </w:r>
      </w:hyperlink>
      <w:r w:rsidRPr="00317034">
        <w:rPr>
          <w:lang w:eastAsia="en-GB"/>
        </w:rPr>
        <w:t xml:space="preserve"> [Accessed 23 January 2026].</w:t>
      </w:r>
    </w:p>
    <w:p w14:paraId="16128BF7" w14:textId="77777777" w:rsidR="00C53A22" w:rsidRPr="00317034" w:rsidRDefault="00C53A22" w:rsidP="00C53A22">
      <w:pPr>
        <w:ind w:left="720" w:hanging="720"/>
        <w:rPr>
          <w:lang w:eastAsia="en-GB"/>
        </w:rPr>
      </w:pPr>
      <w:r w:rsidRPr="00317034">
        <w:rPr>
          <w:bCs/>
          <w:lang w:eastAsia="en-GB"/>
        </w:rPr>
        <w:t>EMBOK, 2026.</w:t>
      </w:r>
      <w:r w:rsidRPr="00317034">
        <w:rPr>
          <w:lang w:eastAsia="en-GB"/>
        </w:rPr>
        <w:t xml:space="preserve"> Phases. </w:t>
      </w:r>
      <w:r w:rsidRPr="00317034">
        <w:rPr>
          <w:i/>
          <w:iCs/>
          <w:lang w:eastAsia="en-GB"/>
        </w:rPr>
        <w:t>Event Management Body of Knowledge.</w:t>
      </w:r>
      <w:r w:rsidRPr="00317034">
        <w:rPr>
          <w:lang w:eastAsia="en-GB"/>
        </w:rPr>
        <w:t xml:space="preserve"> Available at: </w:t>
      </w:r>
      <w:hyperlink r:id="rId13" w:history="1">
        <w:r w:rsidRPr="00317034">
          <w:rPr>
            <w:color w:val="0000FF"/>
            <w:u w:val="single"/>
            <w:lang w:eastAsia="en-GB"/>
          </w:rPr>
          <w:t>https://www.embok.org/index.php/phases-page</w:t>
        </w:r>
      </w:hyperlink>
      <w:r w:rsidRPr="00317034">
        <w:rPr>
          <w:lang w:eastAsia="en-GB"/>
        </w:rPr>
        <w:t xml:space="preserve"> [Accessed 22 January 2026].</w:t>
      </w:r>
    </w:p>
    <w:p w14:paraId="60903634" w14:textId="77777777" w:rsidR="00C53A22" w:rsidRPr="00317034" w:rsidRDefault="00C53A22" w:rsidP="00C53A22">
      <w:pPr>
        <w:ind w:left="720" w:hanging="720"/>
        <w:rPr>
          <w:lang w:eastAsia="en-GB"/>
        </w:rPr>
      </w:pPr>
      <w:r w:rsidRPr="00317034">
        <w:rPr>
          <w:color w:val="222222"/>
          <w:shd w:val="clear" w:color="auto" w:fill="FFFFFF"/>
        </w:rPr>
        <w:t>Getz, D. and Page, S.J., 2019. </w:t>
      </w:r>
      <w:r w:rsidRPr="00317034">
        <w:rPr>
          <w:i/>
          <w:iCs/>
          <w:color w:val="222222"/>
          <w:shd w:val="clear" w:color="auto" w:fill="FFFFFF"/>
        </w:rPr>
        <w:t>Event studies: Theory, research, and policy for planned events</w:t>
      </w:r>
      <w:r w:rsidRPr="00317034">
        <w:rPr>
          <w:color w:val="222222"/>
          <w:shd w:val="clear" w:color="auto" w:fill="FFFFFF"/>
        </w:rPr>
        <w:t xml:space="preserve">. Routledge. </w:t>
      </w:r>
      <w:hyperlink r:id="rId14" w:history="1">
        <w:r w:rsidRPr="00317034">
          <w:rPr>
            <w:rStyle w:val="Hyperlink"/>
            <w:szCs w:val="24"/>
            <w:shd w:val="clear" w:color="auto" w:fill="FFFFFF"/>
          </w:rPr>
          <w:t>https://www.taylorfrancis.com/books/mono/10.4324/9780429023002/event-studies-stephen-page-donald-getz</w:t>
        </w:r>
      </w:hyperlink>
      <w:r w:rsidRPr="00317034">
        <w:rPr>
          <w:color w:val="222222"/>
          <w:sz w:val="20"/>
          <w:szCs w:val="20"/>
          <w:shd w:val="clear" w:color="auto" w:fill="FFFFFF"/>
        </w:rPr>
        <w:t xml:space="preserve"> </w:t>
      </w:r>
    </w:p>
    <w:p w14:paraId="177C60EE" w14:textId="77777777" w:rsidR="00C53A22" w:rsidRPr="00317034" w:rsidRDefault="00C53A22" w:rsidP="00C53A22">
      <w:pPr>
        <w:ind w:left="720" w:hanging="720"/>
        <w:rPr>
          <w:lang w:eastAsia="en-GB"/>
        </w:rPr>
      </w:pPr>
      <w:r w:rsidRPr="00317034">
        <w:rPr>
          <w:shd w:val="clear" w:color="auto" w:fill="FFFFFF"/>
        </w:rPr>
        <w:t>Goldblatt, J.J., 2014. Special events: creating and sustaining a new world for celebration. </w:t>
      </w:r>
      <w:r w:rsidRPr="00317034">
        <w:rPr>
          <w:i/>
          <w:iCs/>
          <w:shd w:val="clear" w:color="auto" w:fill="FFFFFF"/>
        </w:rPr>
        <w:t>(No Title)</w:t>
      </w:r>
      <w:r w:rsidRPr="00317034">
        <w:rPr>
          <w:shd w:val="clear" w:color="auto" w:fill="FFFFFF"/>
        </w:rPr>
        <w:t xml:space="preserve">. </w:t>
      </w:r>
      <w:hyperlink r:id="rId15" w:history="1">
        <w:r w:rsidRPr="00317034">
          <w:rPr>
            <w:rStyle w:val="Hyperlink"/>
            <w:szCs w:val="24"/>
            <w:shd w:val="clear" w:color="auto" w:fill="FFFFFF"/>
          </w:rPr>
          <w:t>https://cir.nii.ac.jp/crid/1130000794053211392</w:t>
        </w:r>
      </w:hyperlink>
      <w:r w:rsidRPr="00317034">
        <w:rPr>
          <w:shd w:val="clear" w:color="auto" w:fill="FFFFFF"/>
        </w:rPr>
        <w:t xml:space="preserve"> </w:t>
      </w:r>
    </w:p>
    <w:p w14:paraId="199F3D7D" w14:textId="77777777" w:rsidR="00C53A22" w:rsidRPr="00317034" w:rsidRDefault="00C53A22" w:rsidP="00C53A22">
      <w:pPr>
        <w:ind w:left="720" w:hanging="720"/>
        <w:rPr>
          <w:lang w:eastAsia="en-GB"/>
        </w:rPr>
      </w:pPr>
      <w:r w:rsidRPr="00317034">
        <w:rPr>
          <w:bCs/>
          <w:lang w:eastAsia="en-GB"/>
        </w:rPr>
        <w:t>ICCA, 2024.</w:t>
      </w:r>
      <w:r w:rsidRPr="00317034">
        <w:rPr>
          <w:lang w:eastAsia="en-GB"/>
        </w:rPr>
        <w:t xml:space="preserve"> ICCA Country and City Rankings for 2023. 23 January. Available at: </w:t>
      </w:r>
      <w:hyperlink r:id="rId16" w:history="1">
        <w:r w:rsidRPr="00317034">
          <w:rPr>
            <w:color w:val="0000FF"/>
            <w:u w:val="single"/>
            <w:lang w:eastAsia="en-GB"/>
          </w:rPr>
          <w:t>https://www.iccaworld.org/news/post/icca-country-and-city-rankings-for-2023/</w:t>
        </w:r>
      </w:hyperlink>
      <w:r w:rsidRPr="00317034">
        <w:rPr>
          <w:lang w:eastAsia="en-GB"/>
        </w:rPr>
        <w:t xml:space="preserve"> [Accessed 22 January 2026].</w:t>
      </w:r>
    </w:p>
    <w:p w14:paraId="0D06B2A4" w14:textId="77777777" w:rsidR="00C53A22" w:rsidRPr="00317034" w:rsidRDefault="00C53A22" w:rsidP="00C53A22">
      <w:pPr>
        <w:ind w:left="720" w:hanging="720"/>
        <w:rPr>
          <w:lang w:eastAsia="en-GB"/>
        </w:rPr>
      </w:pPr>
      <w:r w:rsidRPr="00317034">
        <w:rPr>
          <w:bCs/>
          <w:lang w:val="sv-SE" w:eastAsia="en-GB"/>
        </w:rPr>
        <w:t>Karadzhov, V. and Patarchanova, E., 2025.</w:t>
      </w:r>
      <w:r w:rsidRPr="00317034">
        <w:rPr>
          <w:lang w:val="sv-SE" w:eastAsia="en-GB"/>
        </w:rPr>
        <w:t xml:space="preserve"> </w:t>
      </w:r>
      <w:r w:rsidRPr="00317034">
        <w:rPr>
          <w:lang w:eastAsia="en-GB"/>
        </w:rPr>
        <w:t xml:space="preserve">How to create the best PESTEL analysis. </w:t>
      </w:r>
      <w:r w:rsidRPr="00317034">
        <w:rPr>
          <w:i/>
          <w:iCs/>
          <w:lang w:eastAsia="en-GB"/>
        </w:rPr>
        <w:t>International Journal of Digital Research,</w:t>
      </w:r>
      <w:r w:rsidRPr="00317034">
        <w:rPr>
          <w:lang w:eastAsia="en-GB"/>
        </w:rPr>
        <w:t xml:space="preserve"> 1(3), pp.8-20. Available at: </w:t>
      </w:r>
      <w:hyperlink r:id="rId17" w:anchor="page=8" w:history="1">
        <w:r w:rsidRPr="00317034">
          <w:rPr>
            <w:color w:val="0000FF"/>
            <w:u w:val="single"/>
            <w:lang w:eastAsia="en-GB"/>
          </w:rPr>
          <w:t>https://ijdr.net/wp-content/uploads/2025/11/Vol-1-Issue-3-Whole-Issue.pdf#page=8</w:t>
        </w:r>
      </w:hyperlink>
      <w:r w:rsidRPr="00317034">
        <w:rPr>
          <w:lang w:eastAsia="en-GB"/>
        </w:rPr>
        <w:t xml:space="preserve"> [Accessed 23 January 2026].</w:t>
      </w:r>
    </w:p>
    <w:p w14:paraId="54FFE2F7" w14:textId="77777777" w:rsidR="00C53A22" w:rsidRPr="00317034" w:rsidRDefault="00C53A22" w:rsidP="00C53A22">
      <w:pPr>
        <w:ind w:left="720" w:hanging="720"/>
        <w:rPr>
          <w:lang w:eastAsia="en-GB"/>
        </w:rPr>
      </w:pPr>
      <w:r w:rsidRPr="00317034">
        <w:rPr>
          <w:bCs/>
          <w:lang w:eastAsia="en-GB"/>
        </w:rPr>
        <w:t>Kotler, N.G., Kotler, P., and Kotler, W.I., 2008.</w:t>
      </w:r>
      <w:r w:rsidRPr="00317034">
        <w:rPr>
          <w:lang w:eastAsia="en-GB"/>
        </w:rPr>
        <w:t xml:space="preserve"> </w:t>
      </w:r>
      <w:r w:rsidRPr="00317034">
        <w:rPr>
          <w:i/>
          <w:iCs/>
          <w:lang w:eastAsia="en-GB"/>
        </w:rPr>
        <w:t>Museum marketing and strategy: designing missions, building audiences, generating revenue and resources.</w:t>
      </w:r>
      <w:r w:rsidRPr="00317034">
        <w:rPr>
          <w:lang w:eastAsia="en-GB"/>
        </w:rPr>
        <w:t xml:space="preserve"> John Wiley &amp; Sons. Available at: </w:t>
      </w:r>
      <w:hyperlink r:id="rId18" w:history="1">
        <w:r w:rsidRPr="00317034">
          <w:rPr>
            <w:color w:val="0000FF"/>
            <w:u w:val="single"/>
            <w:lang w:eastAsia="en-GB"/>
          </w:rPr>
          <w:t>https://books.google.com/books?hl=en&amp;lr=&amp;id=DRUFCAAAQBAJ&amp;oi=fnd&amp;pg=PR13&amp;dq=Marketing+planning+considers+timing,+audience+segmentation,+and+message+consistency,+all+of+which+support+attendance+targets+and+revenue+generation&amp;ots=hST_leamC3&amp;sig=vXLDW0FnXoSmNengDkJN0eZiWio</w:t>
        </w:r>
      </w:hyperlink>
      <w:r w:rsidRPr="00317034">
        <w:rPr>
          <w:lang w:eastAsia="en-GB"/>
        </w:rPr>
        <w:t xml:space="preserve"> [Accessed 23 January 2026].</w:t>
      </w:r>
    </w:p>
    <w:p w14:paraId="77B31011" w14:textId="77777777" w:rsidR="00C53A22" w:rsidRPr="00317034" w:rsidRDefault="00C53A22" w:rsidP="00C53A22">
      <w:pPr>
        <w:ind w:left="720" w:hanging="720"/>
        <w:rPr>
          <w:lang w:eastAsia="en-GB"/>
        </w:rPr>
      </w:pPr>
      <w:r w:rsidRPr="00317034">
        <w:rPr>
          <w:lang w:eastAsia="en-GB"/>
        </w:rPr>
        <w:t>Kouvelis, P. and Li, J., 2012. Contingency strategies in managing supply systems with uncertain lead</w:t>
      </w:r>
      <w:r w:rsidRPr="00317034">
        <w:rPr>
          <w:rFonts w:ascii="Cambria Math" w:hAnsi="Cambria Math" w:cs="Cambria Math"/>
          <w:lang w:eastAsia="en-GB"/>
        </w:rPr>
        <w:t>‐</w:t>
      </w:r>
      <w:r w:rsidRPr="00317034">
        <w:rPr>
          <w:lang w:eastAsia="en-GB"/>
        </w:rPr>
        <w:t>times. </w:t>
      </w:r>
      <w:r w:rsidRPr="00317034">
        <w:rPr>
          <w:i/>
          <w:iCs/>
          <w:lang w:eastAsia="en-GB"/>
        </w:rPr>
        <w:t>Production and Operations Management</w:t>
      </w:r>
      <w:r w:rsidRPr="00317034">
        <w:rPr>
          <w:lang w:eastAsia="en-GB"/>
        </w:rPr>
        <w:t>, </w:t>
      </w:r>
      <w:r w:rsidRPr="00317034">
        <w:rPr>
          <w:i/>
          <w:iCs/>
          <w:lang w:eastAsia="en-GB"/>
        </w:rPr>
        <w:t>21</w:t>
      </w:r>
      <w:r w:rsidRPr="00317034">
        <w:rPr>
          <w:lang w:eastAsia="en-GB"/>
        </w:rPr>
        <w:t xml:space="preserve">(1), pp.161-176. </w:t>
      </w:r>
      <w:hyperlink r:id="rId19" w:history="1">
        <w:r w:rsidRPr="00317034">
          <w:rPr>
            <w:rStyle w:val="Hyperlink"/>
            <w:szCs w:val="24"/>
            <w:lang w:eastAsia="en-GB"/>
          </w:rPr>
          <w:t>https://journals.sagepub.com/doi/abs/10.1111/j.1937-5956.2011.01252.x</w:t>
        </w:r>
      </w:hyperlink>
      <w:r w:rsidRPr="00317034">
        <w:rPr>
          <w:lang w:eastAsia="en-GB"/>
        </w:rPr>
        <w:t xml:space="preserve"> </w:t>
      </w:r>
    </w:p>
    <w:p w14:paraId="2B7C636C" w14:textId="77777777" w:rsidR="00C53A22" w:rsidRPr="00317034" w:rsidRDefault="00C53A22" w:rsidP="00C53A22">
      <w:pPr>
        <w:ind w:left="720" w:hanging="720"/>
        <w:rPr>
          <w:lang w:eastAsia="en-GB"/>
        </w:rPr>
      </w:pPr>
      <w:r w:rsidRPr="00317034">
        <w:rPr>
          <w:bCs/>
          <w:lang w:eastAsia="en-GB"/>
        </w:rPr>
        <w:t>Leigh, D., 2009.</w:t>
      </w:r>
      <w:r w:rsidRPr="00317034">
        <w:rPr>
          <w:lang w:eastAsia="en-GB"/>
        </w:rPr>
        <w:t xml:space="preserve"> SWOT analysis. In: </w:t>
      </w:r>
      <w:r w:rsidRPr="00317034">
        <w:rPr>
          <w:i/>
          <w:iCs/>
          <w:lang w:eastAsia="en-GB"/>
        </w:rPr>
        <w:t>Handbook of Improving Performance in the Workplace: Volumes 1</w:t>
      </w:r>
      <w:r w:rsidRPr="00317034">
        <w:rPr>
          <w:rFonts w:ascii="Cambria Math" w:hAnsi="Cambria Math" w:cs="Cambria Math"/>
          <w:i/>
          <w:iCs/>
          <w:lang w:eastAsia="en-GB"/>
        </w:rPr>
        <w:t>‐</w:t>
      </w:r>
      <w:r w:rsidRPr="00317034">
        <w:rPr>
          <w:i/>
          <w:iCs/>
          <w:lang w:eastAsia="en-GB"/>
        </w:rPr>
        <w:t>3</w:t>
      </w:r>
      <w:r w:rsidRPr="00317034">
        <w:rPr>
          <w:lang w:eastAsia="en-GB"/>
        </w:rPr>
        <w:t xml:space="preserve">, pp.115-140. Available at: </w:t>
      </w:r>
      <w:hyperlink r:id="rId20" w:history="1">
        <w:r w:rsidRPr="00317034">
          <w:rPr>
            <w:color w:val="0000FF"/>
            <w:u w:val="single"/>
            <w:lang w:eastAsia="en-GB"/>
          </w:rPr>
          <w:t>https://onlinelibrary.wiley.com/doi/abs/10.1002/9780470592663.ch24</w:t>
        </w:r>
      </w:hyperlink>
      <w:r w:rsidRPr="00317034">
        <w:rPr>
          <w:lang w:eastAsia="en-GB"/>
        </w:rPr>
        <w:t xml:space="preserve"> [Accessed 23 January 2026].</w:t>
      </w:r>
    </w:p>
    <w:p w14:paraId="5DFEFAD4" w14:textId="77777777" w:rsidR="00C53A22" w:rsidRPr="00317034" w:rsidRDefault="00C53A22" w:rsidP="00C53A22">
      <w:pPr>
        <w:ind w:left="720" w:hanging="720"/>
        <w:rPr>
          <w:lang w:eastAsia="en-GB"/>
        </w:rPr>
      </w:pPr>
      <w:r w:rsidRPr="00317034">
        <w:rPr>
          <w:bCs/>
          <w:lang w:eastAsia="en-GB"/>
        </w:rPr>
        <w:t>Mair, J. and Jago, L., 2010.</w:t>
      </w:r>
      <w:r w:rsidRPr="00317034">
        <w:rPr>
          <w:lang w:eastAsia="en-GB"/>
        </w:rPr>
        <w:t xml:space="preserve"> The development of a conceptual model of greening in the business events tourism sector. </w:t>
      </w:r>
      <w:r w:rsidRPr="00317034">
        <w:rPr>
          <w:i/>
          <w:iCs/>
          <w:lang w:eastAsia="en-GB"/>
        </w:rPr>
        <w:t>Journal of Sustainable Tourism,</w:t>
      </w:r>
      <w:r w:rsidRPr="00317034">
        <w:rPr>
          <w:lang w:eastAsia="en-GB"/>
        </w:rPr>
        <w:t xml:space="preserve"> 18(1), pp.77-94. Available at: </w:t>
      </w:r>
      <w:hyperlink r:id="rId21" w:history="1">
        <w:r w:rsidRPr="00317034">
          <w:rPr>
            <w:color w:val="0000FF"/>
            <w:u w:val="single"/>
            <w:lang w:eastAsia="en-GB"/>
          </w:rPr>
          <w:t>https://www.tandfonline.com/doi/abs/10.1080/09669580903291007</w:t>
        </w:r>
      </w:hyperlink>
      <w:r w:rsidRPr="00317034">
        <w:rPr>
          <w:lang w:eastAsia="en-GB"/>
        </w:rPr>
        <w:t xml:space="preserve"> [Accessed 23 January 2026].</w:t>
      </w:r>
    </w:p>
    <w:p w14:paraId="19E973A1" w14:textId="77777777" w:rsidR="00C53A22" w:rsidRPr="00317034" w:rsidRDefault="00C53A22" w:rsidP="00C53A22">
      <w:pPr>
        <w:ind w:left="720" w:hanging="720"/>
        <w:rPr>
          <w:lang w:eastAsia="en-GB"/>
        </w:rPr>
      </w:pPr>
      <w:r w:rsidRPr="00317034">
        <w:rPr>
          <w:bCs/>
          <w:lang w:eastAsia="en-GB"/>
        </w:rPr>
        <w:t>Meredith, J.R., Shafer, S.M., and Mantel Jr, S.J., 2017.</w:t>
      </w:r>
      <w:r w:rsidRPr="00317034">
        <w:rPr>
          <w:lang w:eastAsia="en-GB"/>
        </w:rPr>
        <w:t xml:space="preserve"> </w:t>
      </w:r>
      <w:r w:rsidRPr="00317034">
        <w:rPr>
          <w:i/>
          <w:iCs/>
          <w:lang w:eastAsia="en-GB"/>
        </w:rPr>
        <w:t>Project management: a strategic managerial approach.</w:t>
      </w:r>
      <w:r w:rsidRPr="00317034">
        <w:rPr>
          <w:lang w:eastAsia="en-GB"/>
        </w:rPr>
        <w:t xml:space="preserve"> John Wiley &amp; Sons. Available at: </w:t>
      </w:r>
      <w:hyperlink r:id="rId22" w:history="1">
        <w:r w:rsidRPr="00317034">
          <w:rPr>
            <w:color w:val="0000FF"/>
            <w:u w:val="single"/>
            <w:lang w:eastAsia="en-GB"/>
          </w:rPr>
          <w:t>https://books.google.com/books?hl=en&amp;lr=&amp;id=ipZXDwAAQBAJ&amp;oi=fnd&amp;pg=PR6&amp;dq=Meredith,+J.R.,+2022.+Project+Management:+A+Managerial+Approach.+10th+ed.+Hoboken,+NJ:+Wiley.&amp;ots=Qyp8rMECiX&amp;sig=SrnxHQxow2H89iIpBOrpxWS4_ck</w:t>
        </w:r>
      </w:hyperlink>
      <w:r w:rsidRPr="00317034">
        <w:rPr>
          <w:lang w:eastAsia="en-GB"/>
        </w:rPr>
        <w:t xml:space="preserve"> [Accessed 23 January 2026].</w:t>
      </w:r>
    </w:p>
    <w:p w14:paraId="2C05AE72" w14:textId="77777777" w:rsidR="00C53A22" w:rsidRPr="00317034" w:rsidRDefault="00C53A22" w:rsidP="00C53A22">
      <w:pPr>
        <w:ind w:left="720" w:hanging="720"/>
        <w:rPr>
          <w:lang w:eastAsia="en-GB"/>
        </w:rPr>
      </w:pPr>
      <w:r w:rsidRPr="00317034">
        <w:rPr>
          <w:bCs/>
          <w:lang w:eastAsia="en-GB"/>
        </w:rPr>
        <w:t>Penn, C., Farnes, K. and Rahmani, F., 2017.</w:t>
      </w:r>
      <w:r w:rsidRPr="00317034">
        <w:rPr>
          <w:lang w:eastAsia="en-GB"/>
        </w:rPr>
        <w:t xml:space="preserve"> Early contractor involvement (ECI) in event planning and management. </w:t>
      </w:r>
      <w:r w:rsidRPr="00317034">
        <w:rPr>
          <w:i/>
          <w:iCs/>
          <w:lang w:eastAsia="en-GB"/>
        </w:rPr>
        <w:t>AUBEA 2017: Australasian Universities Building Education Association Conference 2017.</w:t>
      </w:r>
      <w:r w:rsidRPr="00317034">
        <w:rPr>
          <w:lang w:eastAsia="en-GB"/>
        </w:rPr>
        <w:t xml:space="preserve"> Available at: </w:t>
      </w:r>
      <w:hyperlink r:id="rId23" w:history="1">
        <w:r w:rsidRPr="00317034">
          <w:rPr>
            <w:color w:val="0000FF"/>
            <w:u w:val="single"/>
            <w:lang w:eastAsia="en-GB"/>
          </w:rPr>
          <w:t>https://www.researchgate.net/publication/323836255_Early_contractor_involvement_ECI_in_event_planning_and_management</w:t>
        </w:r>
      </w:hyperlink>
      <w:r w:rsidRPr="00317034">
        <w:rPr>
          <w:lang w:eastAsia="en-GB"/>
        </w:rPr>
        <w:t xml:space="preserve"> [Accessed 23 January 2026].</w:t>
      </w:r>
    </w:p>
    <w:p w14:paraId="710225C6" w14:textId="77777777" w:rsidR="00C53A22" w:rsidRPr="00317034" w:rsidRDefault="00C53A22" w:rsidP="00C53A22">
      <w:pPr>
        <w:ind w:left="720" w:hanging="720"/>
        <w:rPr>
          <w:lang w:eastAsia="en-GB"/>
        </w:rPr>
      </w:pPr>
      <w:r w:rsidRPr="00317034">
        <w:rPr>
          <w:bCs/>
          <w:lang w:eastAsia="en-GB"/>
        </w:rPr>
        <w:t>Pine, B.J. and Gilmore, J.H., 1999.</w:t>
      </w:r>
      <w:r w:rsidRPr="00317034">
        <w:rPr>
          <w:lang w:eastAsia="en-GB"/>
        </w:rPr>
        <w:t xml:space="preserve"> </w:t>
      </w:r>
      <w:r w:rsidRPr="00317034">
        <w:rPr>
          <w:i/>
          <w:iCs/>
          <w:lang w:eastAsia="en-GB"/>
        </w:rPr>
        <w:t>The experience economy: Work is theatre &amp; every business a stage.</w:t>
      </w:r>
      <w:r w:rsidRPr="00317034">
        <w:rPr>
          <w:lang w:eastAsia="en-GB"/>
        </w:rPr>
        <w:t xml:space="preserve"> Available at: </w:t>
      </w:r>
      <w:hyperlink r:id="rId24" w:history="1">
        <w:r w:rsidRPr="00317034">
          <w:rPr>
            <w:color w:val="0000FF"/>
            <w:u w:val="single"/>
            <w:lang w:eastAsia="en-GB"/>
          </w:rPr>
          <w:t>https://cir.nii.ac.jp/crid/1971993809685094468</w:t>
        </w:r>
      </w:hyperlink>
      <w:r w:rsidRPr="00317034">
        <w:rPr>
          <w:lang w:eastAsia="en-GB"/>
        </w:rPr>
        <w:t xml:space="preserve"> [Accessed 23 January 2026].</w:t>
      </w:r>
    </w:p>
    <w:p w14:paraId="7A701F60" w14:textId="77777777" w:rsidR="00C53A22" w:rsidRPr="00317034" w:rsidRDefault="00C53A22" w:rsidP="00C53A22">
      <w:pPr>
        <w:ind w:left="720" w:hanging="720"/>
        <w:rPr>
          <w:lang w:eastAsia="en-GB"/>
        </w:rPr>
      </w:pPr>
      <w:r w:rsidRPr="00317034">
        <w:rPr>
          <w:bCs/>
          <w:lang w:eastAsia="en-GB"/>
        </w:rPr>
        <w:t>Pogue, M., 2004.</w:t>
      </w:r>
      <w:r w:rsidRPr="00317034">
        <w:rPr>
          <w:lang w:eastAsia="en-GB"/>
        </w:rPr>
        <w:t xml:space="preserve"> Investment appraisal: a new approach. </w:t>
      </w:r>
      <w:r w:rsidRPr="00317034">
        <w:rPr>
          <w:i/>
          <w:iCs/>
          <w:lang w:eastAsia="en-GB"/>
        </w:rPr>
        <w:t>Managerial Auditing Journal,</w:t>
      </w:r>
      <w:r w:rsidRPr="00317034">
        <w:rPr>
          <w:lang w:eastAsia="en-GB"/>
        </w:rPr>
        <w:t xml:space="preserve"> 19(4), pp.565-569. Available at: </w:t>
      </w:r>
      <w:hyperlink r:id="rId25" w:history="1">
        <w:r w:rsidRPr="00317034">
          <w:rPr>
            <w:color w:val="0000FF"/>
            <w:u w:val="single"/>
            <w:lang w:eastAsia="en-GB"/>
          </w:rPr>
          <w:t>https://www.emerald.com/insight/content/doi/10.1108/02686900410530565/full/html</w:t>
        </w:r>
      </w:hyperlink>
      <w:r w:rsidRPr="00317034">
        <w:rPr>
          <w:lang w:eastAsia="en-GB"/>
        </w:rPr>
        <w:t xml:space="preserve"> [Accessed 23 January 2026].</w:t>
      </w:r>
    </w:p>
    <w:p w14:paraId="3A70AF38" w14:textId="77777777" w:rsidR="00C53A22" w:rsidRPr="00317034" w:rsidRDefault="00C53A22" w:rsidP="00C53A22">
      <w:pPr>
        <w:ind w:left="720" w:hanging="720"/>
        <w:rPr>
          <w:szCs w:val="24"/>
          <w:lang w:eastAsia="en-GB"/>
        </w:rPr>
      </w:pPr>
      <w:r w:rsidRPr="00317034">
        <w:rPr>
          <w:bCs/>
          <w:szCs w:val="24"/>
          <w:lang w:eastAsia="en-GB"/>
        </w:rPr>
        <w:lastRenderedPageBreak/>
        <w:t>Richards, G. and Wilson, J., eds., 2007.</w:t>
      </w:r>
      <w:r w:rsidRPr="00317034">
        <w:rPr>
          <w:szCs w:val="24"/>
          <w:lang w:eastAsia="en-GB"/>
        </w:rPr>
        <w:t xml:space="preserve"> </w:t>
      </w:r>
      <w:r w:rsidRPr="00317034">
        <w:rPr>
          <w:i/>
          <w:iCs/>
          <w:szCs w:val="24"/>
          <w:lang w:eastAsia="en-GB"/>
        </w:rPr>
        <w:t>Tourism, creativity, and development.</w:t>
      </w:r>
      <w:r w:rsidRPr="00317034">
        <w:rPr>
          <w:szCs w:val="24"/>
          <w:lang w:eastAsia="en-GB"/>
        </w:rPr>
        <w:t xml:space="preserve"> Vol. 10. London: Routledge. Available at: </w:t>
      </w:r>
      <w:hyperlink r:id="rId26" w:history="1">
        <w:r w:rsidRPr="00317034">
          <w:rPr>
            <w:color w:val="0000FF"/>
            <w:szCs w:val="24"/>
            <w:u w:val="single"/>
            <w:lang w:eastAsia="en-GB"/>
          </w:rPr>
          <w:t>https://api.taylorfrancis.com/content/books/mono/download?identifierName=doi&amp;identifierValue=10.4324/9780203933695&amp;type=googlepdf</w:t>
        </w:r>
      </w:hyperlink>
      <w:r w:rsidRPr="00317034">
        <w:rPr>
          <w:szCs w:val="24"/>
          <w:lang w:eastAsia="en-GB"/>
        </w:rPr>
        <w:t xml:space="preserve"> [Accessed 23 January 2026].</w:t>
      </w:r>
    </w:p>
    <w:p w14:paraId="0FFECF3D" w14:textId="77777777" w:rsidR="00C53A22" w:rsidRPr="00317034" w:rsidRDefault="00C53A22" w:rsidP="00C53A22">
      <w:pPr>
        <w:ind w:left="720" w:hanging="720"/>
        <w:rPr>
          <w:lang w:eastAsia="en-GB"/>
        </w:rPr>
      </w:pPr>
      <w:r w:rsidRPr="00317034">
        <w:rPr>
          <w:bCs/>
          <w:lang w:eastAsia="en-GB"/>
        </w:rPr>
        <w:t>Robson, L.M., 2008.</w:t>
      </w:r>
      <w:r w:rsidRPr="00317034">
        <w:rPr>
          <w:lang w:eastAsia="en-GB"/>
        </w:rPr>
        <w:t xml:space="preserve"> Event management body of knowledge (EMBOK): The future of event industry research. </w:t>
      </w:r>
      <w:r w:rsidRPr="00317034">
        <w:rPr>
          <w:i/>
          <w:iCs/>
          <w:lang w:eastAsia="en-GB"/>
        </w:rPr>
        <w:t>Event Management,</w:t>
      </w:r>
      <w:r w:rsidRPr="00317034">
        <w:rPr>
          <w:lang w:eastAsia="en-GB"/>
        </w:rPr>
        <w:t xml:space="preserve"> 12(1), pp.19-25. Available at: </w:t>
      </w:r>
      <w:hyperlink r:id="rId27" w:history="1">
        <w:r w:rsidRPr="00317034">
          <w:rPr>
            <w:color w:val="0000FF"/>
            <w:u w:val="single"/>
            <w:lang w:eastAsia="en-GB"/>
          </w:rPr>
          <w:t>https://www.ingentaconnect.com/content/cog/em/2008/00000012/00000001/art00002</w:t>
        </w:r>
      </w:hyperlink>
      <w:r w:rsidRPr="00317034">
        <w:rPr>
          <w:lang w:eastAsia="en-GB"/>
        </w:rPr>
        <w:t xml:space="preserve"> [Accessed 23 January 2026].</w:t>
      </w:r>
    </w:p>
    <w:p w14:paraId="3D610D1C" w14:textId="77777777" w:rsidR="00C53A22" w:rsidRPr="00317034" w:rsidRDefault="00C53A22" w:rsidP="00C53A22">
      <w:pPr>
        <w:ind w:left="720" w:hanging="720"/>
        <w:rPr>
          <w:lang w:eastAsia="en-GB"/>
        </w:rPr>
      </w:pPr>
      <w:r w:rsidRPr="00317034">
        <w:rPr>
          <w:bCs/>
          <w:lang w:eastAsia="en-GB"/>
        </w:rPr>
        <w:t>Sasatanun, P., 2024.</w:t>
      </w:r>
      <w:r w:rsidRPr="00317034">
        <w:rPr>
          <w:lang w:eastAsia="en-GB"/>
        </w:rPr>
        <w:t xml:space="preserve"> Strategic Integration of Innovative Technologies: Shaping the Future of Hybrid Events. </w:t>
      </w:r>
      <w:r w:rsidRPr="00317034">
        <w:rPr>
          <w:i/>
          <w:iCs/>
          <w:lang w:eastAsia="en-GB"/>
        </w:rPr>
        <w:t>Siam Communication Review,</w:t>
      </w:r>
      <w:r w:rsidRPr="00317034">
        <w:rPr>
          <w:lang w:eastAsia="en-GB"/>
        </w:rPr>
        <w:t xml:space="preserve"> 23(1), pp.141-160. Available at: </w:t>
      </w:r>
      <w:hyperlink r:id="rId28" w:history="1">
        <w:r w:rsidRPr="00317034">
          <w:rPr>
            <w:color w:val="0000FF"/>
            <w:u w:val="single"/>
            <w:lang w:eastAsia="en-GB"/>
          </w:rPr>
          <w:t>https://so05.tci-thaijo.org/index.php/commartsreviewsiamu/article/view/272772</w:t>
        </w:r>
      </w:hyperlink>
      <w:r w:rsidRPr="00317034">
        <w:rPr>
          <w:lang w:eastAsia="en-GB"/>
        </w:rPr>
        <w:t xml:space="preserve"> [Accessed 23 January 2026].</w:t>
      </w:r>
    </w:p>
    <w:p w14:paraId="4F40BC9E" w14:textId="77777777" w:rsidR="00C53A22" w:rsidRPr="00317034" w:rsidRDefault="00C53A22" w:rsidP="00C53A22">
      <w:pPr>
        <w:ind w:left="720" w:hanging="720"/>
        <w:rPr>
          <w:lang w:eastAsia="en-GB"/>
        </w:rPr>
      </w:pPr>
      <w:r w:rsidRPr="00317034">
        <w:rPr>
          <w:bCs/>
          <w:lang w:eastAsia="en-GB"/>
        </w:rPr>
        <w:t>Silvers, J.R., Bowdin, G.A., O'Toole, W.J. and Nelson, K.B., 2005.</w:t>
      </w:r>
      <w:r w:rsidRPr="00317034">
        <w:rPr>
          <w:lang w:eastAsia="en-GB"/>
        </w:rPr>
        <w:t xml:space="preserve"> Towards an international event management body of knowledge (EMBOK). </w:t>
      </w:r>
      <w:r w:rsidRPr="00317034">
        <w:rPr>
          <w:i/>
          <w:iCs/>
          <w:lang w:eastAsia="en-GB"/>
        </w:rPr>
        <w:t>Event Management,</w:t>
      </w:r>
      <w:r w:rsidRPr="00317034">
        <w:rPr>
          <w:lang w:eastAsia="en-GB"/>
        </w:rPr>
        <w:t xml:space="preserve"> 9(4), pp.185-198. Available at: </w:t>
      </w:r>
      <w:hyperlink r:id="rId29" w:history="1">
        <w:r w:rsidRPr="00317034">
          <w:rPr>
            <w:color w:val="0000FF"/>
            <w:u w:val="single"/>
            <w:lang w:eastAsia="en-GB"/>
          </w:rPr>
          <w:t>https://www.ingentaconnect.com/content/cog/em/2005/00000009/00000004/art00002</w:t>
        </w:r>
      </w:hyperlink>
      <w:r w:rsidRPr="00317034">
        <w:rPr>
          <w:lang w:eastAsia="en-GB"/>
        </w:rPr>
        <w:t xml:space="preserve"> [Accessed 23 January 2026].</w:t>
      </w:r>
    </w:p>
    <w:p w14:paraId="0190E440" w14:textId="77777777" w:rsidR="00C53A22" w:rsidRPr="00317034" w:rsidRDefault="00C53A22" w:rsidP="00C53A22">
      <w:pPr>
        <w:ind w:left="720" w:hanging="720"/>
        <w:rPr>
          <w:lang w:eastAsia="en-GB"/>
        </w:rPr>
      </w:pPr>
      <w:r w:rsidRPr="00317034">
        <w:rPr>
          <w:bCs/>
          <w:lang w:eastAsia="en-GB"/>
        </w:rPr>
        <w:t>Smith, M.K. and Robinson, M., eds., 2006.</w:t>
      </w:r>
      <w:r w:rsidRPr="00317034">
        <w:rPr>
          <w:lang w:eastAsia="en-GB"/>
        </w:rPr>
        <w:t xml:space="preserve"> </w:t>
      </w:r>
      <w:r w:rsidRPr="00317034">
        <w:rPr>
          <w:i/>
          <w:iCs/>
          <w:lang w:eastAsia="en-GB"/>
        </w:rPr>
        <w:t>Cultural tourism in a changing world: Politics, participation and (re) presentation.</w:t>
      </w:r>
      <w:r w:rsidRPr="00317034">
        <w:rPr>
          <w:lang w:eastAsia="en-GB"/>
        </w:rPr>
        <w:t xml:space="preserve"> Vol. 7. Channel View Publications. Available at: </w:t>
      </w:r>
      <w:hyperlink r:id="rId30" w:history="1">
        <w:r w:rsidRPr="00317034">
          <w:rPr>
            <w:color w:val="0000FF"/>
            <w:u w:val="single"/>
            <w:lang w:eastAsia="en-GB"/>
          </w:rPr>
          <w:t>https://books.google.com/books?hl=en&amp;lr=&amp;id=AS3XBQAAQBAJ&amp;oi=fnd&amp;pg=PR5&amp;dq=Smith,+M.K.+%26+Robinson,+M.,+2010.+Cultural+Tourism+in+a+Changing+World:+Politics,+Participation+and+(Re)presentation.+Bristol:+Channel+View+Publications.&amp;ots=yQFSAjvY9w&amp;sig=dHxtdffFvphNSVfwJeu6CTxT2JU</w:t>
        </w:r>
      </w:hyperlink>
      <w:r w:rsidRPr="00317034">
        <w:rPr>
          <w:lang w:eastAsia="en-GB"/>
        </w:rPr>
        <w:t xml:space="preserve"> [Accessed 23 January 2026].</w:t>
      </w:r>
    </w:p>
    <w:p w14:paraId="2E911F7A" w14:textId="77777777" w:rsidR="00C53A22" w:rsidRPr="00317034" w:rsidRDefault="00C53A22" w:rsidP="00C53A22">
      <w:pPr>
        <w:ind w:left="720" w:hanging="720"/>
        <w:rPr>
          <w:lang w:eastAsia="en-GB"/>
        </w:rPr>
      </w:pPr>
      <w:r w:rsidRPr="00317034">
        <w:rPr>
          <w:bCs/>
          <w:lang w:eastAsia="en-GB"/>
        </w:rPr>
        <w:t>Suryani, W., 2024.</w:t>
      </w:r>
      <w:r w:rsidRPr="00317034">
        <w:rPr>
          <w:lang w:eastAsia="en-GB"/>
        </w:rPr>
        <w:t xml:space="preserve"> Cultural and heritage tourism trends for sustainable tourism. In: </w:t>
      </w:r>
      <w:r w:rsidRPr="00317034">
        <w:rPr>
          <w:i/>
          <w:iCs/>
          <w:lang w:eastAsia="en-GB"/>
        </w:rPr>
        <w:t>Special Interest Trends for Sustainable Tourism</w:t>
      </w:r>
      <w:r w:rsidRPr="00317034">
        <w:rPr>
          <w:lang w:eastAsia="en-GB"/>
        </w:rPr>
        <w:t xml:space="preserve">, pp.1-15. Available at: </w:t>
      </w:r>
      <w:hyperlink r:id="rId31" w:history="1">
        <w:r w:rsidRPr="00317034">
          <w:rPr>
            <w:color w:val="0000FF"/>
            <w:u w:val="single"/>
            <w:lang w:eastAsia="en-GB"/>
          </w:rPr>
          <w:t>https://www.igi-global.com/chapter/cultural-and-heritage-tourism-trends-for-sustainable-tourism/352354</w:t>
        </w:r>
      </w:hyperlink>
      <w:r w:rsidRPr="00317034">
        <w:rPr>
          <w:lang w:eastAsia="en-GB"/>
        </w:rPr>
        <w:t xml:space="preserve"> [Accessed 23 January 2026].</w:t>
      </w:r>
    </w:p>
    <w:p w14:paraId="107155F4" w14:textId="77777777" w:rsidR="00C53A22" w:rsidRPr="00317034" w:rsidRDefault="00C53A22" w:rsidP="00C53A22">
      <w:pPr>
        <w:ind w:left="720" w:hanging="720"/>
        <w:rPr>
          <w:lang w:eastAsia="en-GB"/>
        </w:rPr>
      </w:pPr>
      <w:r w:rsidRPr="00317034">
        <w:rPr>
          <w:bCs/>
          <w:lang w:eastAsia="en-GB"/>
        </w:rPr>
        <w:t>Van der Wagen, L., 2005.</w:t>
      </w:r>
      <w:r w:rsidRPr="00317034">
        <w:rPr>
          <w:lang w:eastAsia="en-GB"/>
        </w:rPr>
        <w:t xml:space="preserve"> </w:t>
      </w:r>
      <w:r w:rsidRPr="00317034">
        <w:rPr>
          <w:i/>
          <w:iCs/>
          <w:lang w:eastAsia="en-GB"/>
        </w:rPr>
        <w:t>Event management for tourism, cultural, business, and sporting events.</w:t>
      </w:r>
      <w:r w:rsidRPr="00317034">
        <w:rPr>
          <w:lang w:eastAsia="en-GB"/>
        </w:rPr>
        <w:t xml:space="preserve"> Frenchs Forest, NSW, Australia: Pearson Education Australia.</w:t>
      </w:r>
    </w:p>
    <w:p w14:paraId="66FB2D52" w14:textId="77777777" w:rsidR="00C53A22" w:rsidRPr="00317034" w:rsidRDefault="00C53A22" w:rsidP="00C53A22">
      <w:pPr>
        <w:ind w:left="720" w:hanging="720"/>
        <w:rPr>
          <w:lang w:eastAsia="en-GB"/>
        </w:rPr>
      </w:pPr>
      <w:r w:rsidRPr="00317034">
        <w:rPr>
          <w:bCs/>
          <w:lang w:eastAsia="en-GB"/>
        </w:rPr>
        <w:t>Visit Wales, 2022.</w:t>
      </w:r>
      <w:r w:rsidRPr="00317034">
        <w:rPr>
          <w:lang w:eastAsia="en-GB"/>
        </w:rPr>
        <w:t xml:space="preserve"> Opportunities to meet and engage with the Business Events Industry. Available at: </w:t>
      </w:r>
      <w:hyperlink r:id="rId32" w:history="1">
        <w:r w:rsidRPr="00317034">
          <w:rPr>
            <w:color w:val="0000FF"/>
            <w:u w:val="single"/>
            <w:lang w:eastAsia="en-GB"/>
          </w:rPr>
          <w:t>https://industry.visitwales.com/get-involved/opportunities-meet-and-engage-business-events-industry</w:t>
        </w:r>
      </w:hyperlink>
      <w:r w:rsidRPr="00317034">
        <w:rPr>
          <w:lang w:eastAsia="en-GB"/>
        </w:rPr>
        <w:t xml:space="preserve"> [Accessed 22 January 2026].</w:t>
      </w:r>
    </w:p>
    <w:p w14:paraId="4D068369" w14:textId="7A1E92D3" w:rsidR="00C53A22" w:rsidRPr="00317034" w:rsidRDefault="00C53A22" w:rsidP="00C53A22">
      <w:pPr>
        <w:ind w:left="720" w:hanging="720"/>
        <w:rPr>
          <w:lang w:eastAsia="en-GB"/>
        </w:rPr>
      </w:pPr>
      <w:r w:rsidRPr="00317034">
        <w:rPr>
          <w:bCs/>
          <w:lang w:eastAsia="en-GB"/>
        </w:rPr>
        <w:lastRenderedPageBreak/>
        <w:t>Welsh Government, 2017.</w:t>
      </w:r>
      <w:r w:rsidRPr="00317034">
        <w:rPr>
          <w:lang w:eastAsia="en-GB"/>
        </w:rPr>
        <w:t xml:space="preserve"> Wales Year of Legends 2017 campaign goes live. 1 March. Available at: </w:t>
      </w:r>
      <w:hyperlink r:id="rId33" w:history="1">
        <w:r w:rsidRPr="00317034">
          <w:rPr>
            <w:color w:val="0000FF"/>
            <w:u w:val="single"/>
            <w:lang w:eastAsia="en-GB"/>
          </w:rPr>
          <w:t>https://www.gov.wales/wales-year-legends-2017-campaign-goes-live</w:t>
        </w:r>
      </w:hyperlink>
      <w:r w:rsidRPr="00317034">
        <w:rPr>
          <w:lang w:eastAsia="en-GB"/>
        </w:rPr>
        <w:t xml:space="preserve"> [Accessed 22 January 2026].</w:t>
      </w:r>
    </w:p>
    <w:p w14:paraId="0DEC226C" w14:textId="77777777" w:rsidR="00C53A22" w:rsidRPr="00317034" w:rsidRDefault="00C53A22" w:rsidP="00C53A22">
      <w:pPr>
        <w:ind w:left="720" w:hanging="720"/>
        <w:rPr>
          <w:lang w:eastAsia="en-GB"/>
        </w:rPr>
      </w:pPr>
      <w:r w:rsidRPr="00317034">
        <w:rPr>
          <w:bCs/>
          <w:lang w:eastAsia="en-GB"/>
        </w:rPr>
        <w:t>Wilson, R., 2017.</w:t>
      </w:r>
      <w:r w:rsidRPr="00317034">
        <w:rPr>
          <w:lang w:eastAsia="en-GB"/>
        </w:rPr>
        <w:t xml:space="preserve"> Event finance. In: </w:t>
      </w:r>
      <w:r w:rsidRPr="00317034">
        <w:rPr>
          <w:i/>
          <w:iCs/>
          <w:lang w:eastAsia="en-GB"/>
        </w:rPr>
        <w:t>Events Management,</w:t>
      </w:r>
      <w:r w:rsidRPr="00317034">
        <w:rPr>
          <w:lang w:eastAsia="en-GB"/>
        </w:rPr>
        <w:t xml:space="preserve"> pp.132-157. Routledge. Available at: </w:t>
      </w:r>
      <w:hyperlink r:id="rId34" w:history="1">
        <w:r w:rsidRPr="00317034">
          <w:rPr>
            <w:color w:val="0000FF"/>
            <w:u w:val="single"/>
            <w:lang w:eastAsia="en-GB"/>
          </w:rPr>
          <w:t>https://www.taylorfrancis.com/chapters/edit/10.4324/9781315695204-6/event-finance-robert-wilson</w:t>
        </w:r>
      </w:hyperlink>
      <w:r w:rsidRPr="00317034">
        <w:rPr>
          <w:lang w:eastAsia="en-GB"/>
        </w:rPr>
        <w:t xml:space="preserve"> [Accessed 23 January 2026].</w:t>
      </w:r>
    </w:p>
    <w:p w14:paraId="0E352A01" w14:textId="77777777" w:rsidR="009A7446" w:rsidRPr="00317034" w:rsidRDefault="009A7446" w:rsidP="00703797"/>
    <w:p w14:paraId="28992475" w14:textId="77777777" w:rsidR="009A7446" w:rsidRPr="00317034" w:rsidRDefault="009A7446" w:rsidP="00703797"/>
    <w:p w14:paraId="55ECECA6" w14:textId="0EDB1FF6" w:rsidR="00C21FEC" w:rsidRPr="00317034" w:rsidRDefault="0013684A" w:rsidP="00703797">
      <w:r w:rsidRPr="00317034">
        <w:br w:type="page"/>
      </w:r>
    </w:p>
    <w:p w14:paraId="7D3F70BF" w14:textId="77777777" w:rsidR="005D243F" w:rsidRPr="00317034" w:rsidRDefault="0013684A" w:rsidP="008652FC">
      <w:pPr>
        <w:pStyle w:val="Heading1"/>
      </w:pPr>
      <w:bookmarkStart w:id="22" w:name="_Toc222264670"/>
      <w:r w:rsidRPr="00317034">
        <w:lastRenderedPageBreak/>
        <w:t>Appendices</w:t>
      </w:r>
      <w:bookmarkEnd w:id="22"/>
    </w:p>
    <w:p w14:paraId="05D55B6E" w14:textId="77777777" w:rsidR="005526B0" w:rsidRPr="00317034" w:rsidRDefault="005526B0" w:rsidP="00703797">
      <w:pPr>
        <w:pStyle w:val="Heading2"/>
      </w:pPr>
      <w:bookmarkStart w:id="23" w:name="_Toc222264671"/>
      <w:r w:rsidRPr="00317034">
        <w:t>Appendix A: Proposed 3-day itinerary with timings</w:t>
      </w:r>
      <w:bookmarkEnd w:id="23"/>
    </w:p>
    <w:tbl>
      <w:tblPr>
        <w:tblStyle w:val="GridTable3-Accent6"/>
        <w:tblW w:w="9401" w:type="dxa"/>
        <w:tblLook w:val="04A0" w:firstRow="1" w:lastRow="0" w:firstColumn="1" w:lastColumn="0" w:noHBand="0" w:noVBand="1"/>
      </w:tblPr>
      <w:tblGrid>
        <w:gridCol w:w="900"/>
        <w:gridCol w:w="1571"/>
        <w:gridCol w:w="2712"/>
        <w:gridCol w:w="4218"/>
      </w:tblGrid>
      <w:tr w:rsidR="005526B0" w:rsidRPr="00213A1D" w14:paraId="0FA9AA63" w14:textId="77777777" w:rsidTr="004119A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0" w:type="dxa"/>
            <w:hideMark/>
          </w:tcPr>
          <w:p w14:paraId="6521512B" w14:textId="77777777" w:rsidR="005526B0" w:rsidRPr="00213A1D" w:rsidRDefault="005526B0" w:rsidP="00213A1D">
            <w:pPr>
              <w:ind w:firstLine="72"/>
              <w:jc w:val="center"/>
              <w:rPr>
                <w:i w:val="0"/>
              </w:rPr>
            </w:pPr>
            <w:r w:rsidRPr="00213A1D">
              <w:rPr>
                <w:i w:val="0"/>
              </w:rPr>
              <w:t>Day</w:t>
            </w:r>
          </w:p>
        </w:tc>
        <w:tc>
          <w:tcPr>
            <w:tcW w:w="1571" w:type="dxa"/>
            <w:hideMark/>
          </w:tcPr>
          <w:p w14:paraId="4A33C007" w14:textId="77777777" w:rsidR="005526B0" w:rsidRPr="00213A1D" w:rsidRDefault="005526B0" w:rsidP="00213A1D">
            <w:pPr>
              <w:ind w:firstLine="72"/>
              <w:jc w:val="center"/>
              <w:cnfStyle w:val="100000000000" w:firstRow="1" w:lastRow="0" w:firstColumn="0" w:lastColumn="0" w:oddVBand="0" w:evenVBand="0" w:oddHBand="0" w:evenHBand="0" w:firstRowFirstColumn="0" w:firstRowLastColumn="0" w:lastRowFirstColumn="0" w:lastRowLastColumn="0"/>
            </w:pPr>
            <w:r w:rsidRPr="00213A1D">
              <w:t>Time</w:t>
            </w:r>
          </w:p>
        </w:tc>
        <w:tc>
          <w:tcPr>
            <w:tcW w:w="0" w:type="auto"/>
            <w:hideMark/>
          </w:tcPr>
          <w:p w14:paraId="3E5AAB7A" w14:textId="77777777" w:rsidR="005526B0" w:rsidRPr="00213A1D" w:rsidRDefault="005526B0" w:rsidP="00213A1D">
            <w:pPr>
              <w:ind w:firstLine="72"/>
              <w:jc w:val="center"/>
              <w:cnfStyle w:val="100000000000" w:firstRow="1" w:lastRow="0" w:firstColumn="0" w:lastColumn="0" w:oddVBand="0" w:evenVBand="0" w:oddHBand="0" w:evenHBand="0" w:firstRowFirstColumn="0" w:firstRowLastColumn="0" w:lastRowFirstColumn="0" w:lastRowLastColumn="0"/>
            </w:pPr>
            <w:r w:rsidRPr="00213A1D">
              <w:t>Activity</w:t>
            </w:r>
          </w:p>
        </w:tc>
        <w:tc>
          <w:tcPr>
            <w:tcW w:w="4218" w:type="dxa"/>
            <w:hideMark/>
          </w:tcPr>
          <w:p w14:paraId="3771467B" w14:textId="77777777" w:rsidR="005526B0" w:rsidRPr="00213A1D" w:rsidRDefault="005526B0" w:rsidP="00213A1D">
            <w:pPr>
              <w:ind w:firstLine="72"/>
              <w:jc w:val="center"/>
              <w:cnfStyle w:val="100000000000" w:firstRow="1" w:lastRow="0" w:firstColumn="0" w:lastColumn="0" w:oddVBand="0" w:evenVBand="0" w:oddHBand="0" w:evenHBand="0" w:firstRowFirstColumn="0" w:firstRowLastColumn="0" w:lastRowFirstColumn="0" w:lastRowLastColumn="0"/>
            </w:pPr>
            <w:r w:rsidRPr="00213A1D">
              <w:t>Purpose / Delegate Experience</w:t>
            </w:r>
          </w:p>
        </w:tc>
      </w:tr>
      <w:tr w:rsidR="005526B0" w:rsidRPr="00213A1D" w14:paraId="322B49FA" w14:textId="77777777" w:rsidTr="00411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dxa"/>
            <w:hideMark/>
          </w:tcPr>
          <w:p w14:paraId="7AFA594D" w14:textId="77777777" w:rsidR="005526B0" w:rsidRPr="00213A1D" w:rsidRDefault="005526B0" w:rsidP="00213A1D">
            <w:pPr>
              <w:ind w:firstLine="0"/>
              <w:jc w:val="center"/>
              <w:rPr>
                <w:i w:val="0"/>
              </w:rPr>
            </w:pPr>
            <w:r w:rsidRPr="00213A1D">
              <w:rPr>
                <w:i w:val="0"/>
              </w:rPr>
              <w:t>Day 1</w:t>
            </w:r>
          </w:p>
        </w:tc>
        <w:tc>
          <w:tcPr>
            <w:tcW w:w="1571" w:type="dxa"/>
            <w:hideMark/>
          </w:tcPr>
          <w:p w14:paraId="7140C7CB"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09:00–10:00</w:t>
            </w:r>
          </w:p>
        </w:tc>
        <w:tc>
          <w:tcPr>
            <w:tcW w:w="0" w:type="auto"/>
            <w:hideMark/>
          </w:tcPr>
          <w:p w14:paraId="5D3DBB71"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Registration</w:t>
            </w:r>
          </w:p>
        </w:tc>
        <w:tc>
          <w:tcPr>
            <w:tcW w:w="4218" w:type="dxa"/>
            <w:hideMark/>
          </w:tcPr>
          <w:p w14:paraId="244CD244"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Welcome delegates, provide materials, and facilitate initial networking.</w:t>
            </w:r>
          </w:p>
        </w:tc>
      </w:tr>
      <w:tr w:rsidR="005526B0" w:rsidRPr="00213A1D" w14:paraId="02B673E2" w14:textId="77777777" w:rsidTr="004119A6">
        <w:tc>
          <w:tcPr>
            <w:cnfStyle w:val="001000000000" w:firstRow="0" w:lastRow="0" w:firstColumn="1" w:lastColumn="0" w:oddVBand="0" w:evenVBand="0" w:oddHBand="0" w:evenHBand="0" w:firstRowFirstColumn="0" w:firstRowLastColumn="0" w:lastRowFirstColumn="0" w:lastRowLastColumn="0"/>
            <w:tcW w:w="900" w:type="dxa"/>
            <w:hideMark/>
          </w:tcPr>
          <w:p w14:paraId="41C1DC67" w14:textId="77777777" w:rsidR="005526B0" w:rsidRPr="00213A1D" w:rsidRDefault="005526B0" w:rsidP="00213A1D">
            <w:pPr>
              <w:ind w:firstLine="0"/>
              <w:jc w:val="center"/>
              <w:rPr>
                <w:i w:val="0"/>
              </w:rPr>
            </w:pPr>
          </w:p>
        </w:tc>
        <w:tc>
          <w:tcPr>
            <w:tcW w:w="1571" w:type="dxa"/>
            <w:hideMark/>
          </w:tcPr>
          <w:p w14:paraId="45313A6D"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10:00–12:00</w:t>
            </w:r>
          </w:p>
        </w:tc>
        <w:tc>
          <w:tcPr>
            <w:tcW w:w="0" w:type="auto"/>
            <w:hideMark/>
          </w:tcPr>
          <w:p w14:paraId="0C9B4DBA"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Opening Ceremony &amp; Keynote</w:t>
            </w:r>
          </w:p>
        </w:tc>
        <w:tc>
          <w:tcPr>
            <w:tcW w:w="4218" w:type="dxa"/>
            <w:hideMark/>
          </w:tcPr>
          <w:p w14:paraId="3D01A227"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Introduce the summit theme, showcase Welsh culture through music and storytelling, and set strategic objectives.</w:t>
            </w:r>
          </w:p>
        </w:tc>
      </w:tr>
      <w:tr w:rsidR="005526B0" w:rsidRPr="00213A1D" w14:paraId="4859DF6A" w14:textId="77777777" w:rsidTr="00411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dxa"/>
            <w:hideMark/>
          </w:tcPr>
          <w:p w14:paraId="2C88640B" w14:textId="77777777" w:rsidR="005526B0" w:rsidRPr="00213A1D" w:rsidRDefault="005526B0" w:rsidP="00213A1D">
            <w:pPr>
              <w:ind w:firstLine="0"/>
              <w:jc w:val="center"/>
              <w:rPr>
                <w:i w:val="0"/>
              </w:rPr>
            </w:pPr>
          </w:p>
        </w:tc>
        <w:tc>
          <w:tcPr>
            <w:tcW w:w="1571" w:type="dxa"/>
            <w:hideMark/>
          </w:tcPr>
          <w:p w14:paraId="0772C3A8"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12:00–13:00</w:t>
            </w:r>
          </w:p>
        </w:tc>
        <w:tc>
          <w:tcPr>
            <w:tcW w:w="0" w:type="auto"/>
            <w:hideMark/>
          </w:tcPr>
          <w:p w14:paraId="58C8BD5A"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Networking Lunch</w:t>
            </w:r>
          </w:p>
        </w:tc>
        <w:tc>
          <w:tcPr>
            <w:tcW w:w="4218" w:type="dxa"/>
            <w:hideMark/>
          </w:tcPr>
          <w:p w14:paraId="2814FDD0"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Encourage professional connections and informal discussions in a culturally themed setting.</w:t>
            </w:r>
          </w:p>
        </w:tc>
      </w:tr>
      <w:tr w:rsidR="005526B0" w:rsidRPr="00213A1D" w14:paraId="04CF0913" w14:textId="77777777" w:rsidTr="004119A6">
        <w:tc>
          <w:tcPr>
            <w:cnfStyle w:val="001000000000" w:firstRow="0" w:lastRow="0" w:firstColumn="1" w:lastColumn="0" w:oddVBand="0" w:evenVBand="0" w:oddHBand="0" w:evenHBand="0" w:firstRowFirstColumn="0" w:firstRowLastColumn="0" w:lastRowFirstColumn="0" w:lastRowLastColumn="0"/>
            <w:tcW w:w="900" w:type="dxa"/>
            <w:hideMark/>
          </w:tcPr>
          <w:p w14:paraId="3ADCD0F5" w14:textId="77777777" w:rsidR="005526B0" w:rsidRPr="00213A1D" w:rsidRDefault="005526B0" w:rsidP="00213A1D">
            <w:pPr>
              <w:ind w:firstLine="0"/>
              <w:jc w:val="center"/>
              <w:rPr>
                <w:i w:val="0"/>
              </w:rPr>
            </w:pPr>
          </w:p>
        </w:tc>
        <w:tc>
          <w:tcPr>
            <w:tcW w:w="1571" w:type="dxa"/>
            <w:hideMark/>
          </w:tcPr>
          <w:p w14:paraId="44490C9D"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13:00–15:00</w:t>
            </w:r>
          </w:p>
        </w:tc>
        <w:tc>
          <w:tcPr>
            <w:tcW w:w="0" w:type="auto"/>
            <w:hideMark/>
          </w:tcPr>
          <w:p w14:paraId="4175B30F"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Panel on Cultural Tourism Trends</w:t>
            </w:r>
          </w:p>
        </w:tc>
        <w:tc>
          <w:tcPr>
            <w:tcW w:w="4218" w:type="dxa"/>
            <w:hideMark/>
          </w:tcPr>
          <w:p w14:paraId="5B631FFD"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Present industry insights, trends, and international perspectives on cultural tourism to inform delegates’ strategies.</w:t>
            </w:r>
          </w:p>
        </w:tc>
      </w:tr>
      <w:tr w:rsidR="005526B0" w:rsidRPr="00213A1D" w14:paraId="74DC4EDA" w14:textId="77777777" w:rsidTr="00411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dxa"/>
            <w:hideMark/>
          </w:tcPr>
          <w:p w14:paraId="159BE16A" w14:textId="77777777" w:rsidR="005526B0" w:rsidRPr="00213A1D" w:rsidRDefault="005526B0" w:rsidP="00213A1D">
            <w:pPr>
              <w:ind w:firstLine="0"/>
              <w:jc w:val="center"/>
              <w:rPr>
                <w:i w:val="0"/>
              </w:rPr>
            </w:pPr>
          </w:p>
        </w:tc>
        <w:tc>
          <w:tcPr>
            <w:tcW w:w="1571" w:type="dxa"/>
            <w:hideMark/>
          </w:tcPr>
          <w:p w14:paraId="18236C3D"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15:15–17:00</w:t>
            </w:r>
          </w:p>
        </w:tc>
        <w:tc>
          <w:tcPr>
            <w:tcW w:w="0" w:type="auto"/>
            <w:hideMark/>
          </w:tcPr>
          <w:p w14:paraId="21FC13A3"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Afternoon Legend Workshop</w:t>
            </w:r>
          </w:p>
        </w:tc>
        <w:tc>
          <w:tcPr>
            <w:tcW w:w="4218" w:type="dxa"/>
            <w:hideMark/>
          </w:tcPr>
          <w:p w14:paraId="5E8A25E3"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Interactive session exploring Welsh legends, applying cultural storytelling to tourism products (experience economy principles).</w:t>
            </w:r>
          </w:p>
        </w:tc>
      </w:tr>
      <w:tr w:rsidR="005526B0" w:rsidRPr="00213A1D" w14:paraId="5A2D16C7" w14:textId="77777777" w:rsidTr="004119A6">
        <w:tc>
          <w:tcPr>
            <w:cnfStyle w:val="001000000000" w:firstRow="0" w:lastRow="0" w:firstColumn="1" w:lastColumn="0" w:oddVBand="0" w:evenVBand="0" w:oddHBand="0" w:evenHBand="0" w:firstRowFirstColumn="0" w:firstRowLastColumn="0" w:lastRowFirstColumn="0" w:lastRowLastColumn="0"/>
            <w:tcW w:w="900" w:type="dxa"/>
            <w:hideMark/>
          </w:tcPr>
          <w:p w14:paraId="42C9F5C9" w14:textId="77777777" w:rsidR="005526B0" w:rsidRPr="00213A1D" w:rsidRDefault="005526B0" w:rsidP="00213A1D">
            <w:pPr>
              <w:ind w:firstLine="0"/>
              <w:jc w:val="center"/>
              <w:rPr>
                <w:i w:val="0"/>
              </w:rPr>
            </w:pPr>
          </w:p>
        </w:tc>
        <w:tc>
          <w:tcPr>
            <w:tcW w:w="1571" w:type="dxa"/>
            <w:hideMark/>
          </w:tcPr>
          <w:p w14:paraId="58E6EBC5"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17:00–18:00</w:t>
            </w:r>
          </w:p>
        </w:tc>
        <w:tc>
          <w:tcPr>
            <w:tcW w:w="0" w:type="auto"/>
            <w:hideMark/>
          </w:tcPr>
          <w:p w14:paraId="2DEFD6E9"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Welcome Reception with Local Cuisine</w:t>
            </w:r>
          </w:p>
        </w:tc>
        <w:tc>
          <w:tcPr>
            <w:tcW w:w="4218" w:type="dxa"/>
            <w:hideMark/>
          </w:tcPr>
          <w:p w14:paraId="65146329"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Immersive networking experience, sampling traditional Welsh food and music to reinforce cultural engagement.</w:t>
            </w:r>
          </w:p>
        </w:tc>
      </w:tr>
      <w:tr w:rsidR="005526B0" w:rsidRPr="00213A1D" w14:paraId="5762C5CA" w14:textId="77777777" w:rsidTr="00411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dxa"/>
            <w:hideMark/>
          </w:tcPr>
          <w:p w14:paraId="0ECFA5F0" w14:textId="77777777" w:rsidR="005526B0" w:rsidRPr="00213A1D" w:rsidRDefault="005526B0" w:rsidP="00213A1D">
            <w:pPr>
              <w:ind w:firstLine="0"/>
              <w:jc w:val="center"/>
              <w:rPr>
                <w:i w:val="0"/>
              </w:rPr>
            </w:pPr>
            <w:r w:rsidRPr="00213A1D">
              <w:rPr>
                <w:i w:val="0"/>
              </w:rPr>
              <w:t>Day 2</w:t>
            </w:r>
          </w:p>
        </w:tc>
        <w:tc>
          <w:tcPr>
            <w:tcW w:w="1571" w:type="dxa"/>
            <w:hideMark/>
          </w:tcPr>
          <w:p w14:paraId="4F1DB344"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09:00–12:00</w:t>
            </w:r>
          </w:p>
        </w:tc>
        <w:tc>
          <w:tcPr>
            <w:tcW w:w="0" w:type="auto"/>
            <w:hideMark/>
          </w:tcPr>
          <w:p w14:paraId="417311B1"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Morning Workshops on Legend-Inspired Tourism Products</w:t>
            </w:r>
          </w:p>
        </w:tc>
        <w:tc>
          <w:tcPr>
            <w:tcW w:w="4218" w:type="dxa"/>
            <w:hideMark/>
          </w:tcPr>
          <w:p w14:paraId="767A92E8"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Practical workshops where delegates design tourism experiences inspired by Welsh legends, fostering creativity and collaboration.</w:t>
            </w:r>
          </w:p>
        </w:tc>
      </w:tr>
      <w:tr w:rsidR="005526B0" w:rsidRPr="00213A1D" w14:paraId="637D2C52" w14:textId="77777777" w:rsidTr="004119A6">
        <w:tc>
          <w:tcPr>
            <w:cnfStyle w:val="001000000000" w:firstRow="0" w:lastRow="0" w:firstColumn="1" w:lastColumn="0" w:oddVBand="0" w:evenVBand="0" w:oddHBand="0" w:evenHBand="0" w:firstRowFirstColumn="0" w:firstRowLastColumn="0" w:lastRowFirstColumn="0" w:lastRowLastColumn="0"/>
            <w:tcW w:w="900" w:type="dxa"/>
            <w:hideMark/>
          </w:tcPr>
          <w:p w14:paraId="034ACBCD" w14:textId="77777777" w:rsidR="005526B0" w:rsidRPr="00213A1D" w:rsidRDefault="005526B0" w:rsidP="00213A1D">
            <w:pPr>
              <w:ind w:firstLine="0"/>
              <w:jc w:val="center"/>
              <w:rPr>
                <w:i w:val="0"/>
              </w:rPr>
            </w:pPr>
          </w:p>
        </w:tc>
        <w:tc>
          <w:tcPr>
            <w:tcW w:w="1571" w:type="dxa"/>
            <w:hideMark/>
          </w:tcPr>
          <w:p w14:paraId="67791CC9"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12:15–14:00</w:t>
            </w:r>
          </w:p>
        </w:tc>
        <w:tc>
          <w:tcPr>
            <w:tcW w:w="0" w:type="auto"/>
            <w:hideMark/>
          </w:tcPr>
          <w:p w14:paraId="2C523665"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Guided Historic Tour</w:t>
            </w:r>
          </w:p>
        </w:tc>
        <w:tc>
          <w:tcPr>
            <w:tcW w:w="4218" w:type="dxa"/>
            <w:hideMark/>
          </w:tcPr>
          <w:p w14:paraId="68FD9655"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On-site cultural immersion, allowing delegates to experience Welsh heritage landmarks firsthand.</w:t>
            </w:r>
          </w:p>
        </w:tc>
      </w:tr>
      <w:tr w:rsidR="005526B0" w:rsidRPr="00213A1D" w14:paraId="364396E1" w14:textId="77777777" w:rsidTr="00411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dxa"/>
            <w:hideMark/>
          </w:tcPr>
          <w:p w14:paraId="541A1FC7" w14:textId="77777777" w:rsidR="005526B0" w:rsidRPr="00213A1D" w:rsidRDefault="005526B0" w:rsidP="00213A1D">
            <w:pPr>
              <w:ind w:firstLine="0"/>
              <w:jc w:val="center"/>
              <w:rPr>
                <w:i w:val="0"/>
              </w:rPr>
            </w:pPr>
          </w:p>
        </w:tc>
        <w:tc>
          <w:tcPr>
            <w:tcW w:w="1571" w:type="dxa"/>
            <w:hideMark/>
          </w:tcPr>
          <w:p w14:paraId="0941F4E8"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14:00–14:45</w:t>
            </w:r>
          </w:p>
        </w:tc>
        <w:tc>
          <w:tcPr>
            <w:tcW w:w="0" w:type="auto"/>
            <w:hideMark/>
          </w:tcPr>
          <w:p w14:paraId="425D1311"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Lunch</w:t>
            </w:r>
          </w:p>
        </w:tc>
        <w:tc>
          <w:tcPr>
            <w:tcW w:w="4218" w:type="dxa"/>
            <w:hideMark/>
          </w:tcPr>
          <w:p w14:paraId="07B14227"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Networking and informal discussion, reflecting on morning sessions.</w:t>
            </w:r>
          </w:p>
        </w:tc>
      </w:tr>
      <w:tr w:rsidR="005526B0" w:rsidRPr="00213A1D" w14:paraId="7709F750" w14:textId="77777777" w:rsidTr="004119A6">
        <w:tc>
          <w:tcPr>
            <w:cnfStyle w:val="001000000000" w:firstRow="0" w:lastRow="0" w:firstColumn="1" w:lastColumn="0" w:oddVBand="0" w:evenVBand="0" w:oddHBand="0" w:evenHBand="0" w:firstRowFirstColumn="0" w:firstRowLastColumn="0" w:lastRowFirstColumn="0" w:lastRowLastColumn="0"/>
            <w:tcW w:w="900" w:type="dxa"/>
            <w:hideMark/>
          </w:tcPr>
          <w:p w14:paraId="59FFFEDE" w14:textId="77777777" w:rsidR="005526B0" w:rsidRPr="00213A1D" w:rsidRDefault="005526B0" w:rsidP="00213A1D">
            <w:pPr>
              <w:ind w:firstLine="0"/>
              <w:jc w:val="center"/>
              <w:rPr>
                <w:i w:val="0"/>
              </w:rPr>
            </w:pPr>
          </w:p>
        </w:tc>
        <w:tc>
          <w:tcPr>
            <w:tcW w:w="1571" w:type="dxa"/>
            <w:hideMark/>
          </w:tcPr>
          <w:p w14:paraId="4CE16F47"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14:45–16:30</w:t>
            </w:r>
          </w:p>
        </w:tc>
        <w:tc>
          <w:tcPr>
            <w:tcW w:w="0" w:type="auto"/>
            <w:hideMark/>
          </w:tcPr>
          <w:p w14:paraId="7F76CE75"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Case Study Presentations</w:t>
            </w:r>
          </w:p>
        </w:tc>
        <w:tc>
          <w:tcPr>
            <w:tcW w:w="4218" w:type="dxa"/>
            <w:hideMark/>
          </w:tcPr>
          <w:p w14:paraId="0BDB4C47"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Examine successful cultural tourism initiatives, enabling knowledge transfer and benchmarking for delegates.</w:t>
            </w:r>
          </w:p>
        </w:tc>
      </w:tr>
      <w:tr w:rsidR="005526B0" w:rsidRPr="00213A1D" w14:paraId="03B0F4D6" w14:textId="77777777" w:rsidTr="00411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dxa"/>
            <w:hideMark/>
          </w:tcPr>
          <w:p w14:paraId="5461A8C1" w14:textId="77777777" w:rsidR="005526B0" w:rsidRPr="00213A1D" w:rsidRDefault="005526B0" w:rsidP="00213A1D">
            <w:pPr>
              <w:ind w:firstLine="0"/>
              <w:jc w:val="center"/>
              <w:rPr>
                <w:i w:val="0"/>
              </w:rPr>
            </w:pPr>
          </w:p>
        </w:tc>
        <w:tc>
          <w:tcPr>
            <w:tcW w:w="1571" w:type="dxa"/>
            <w:hideMark/>
          </w:tcPr>
          <w:p w14:paraId="4193D525"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18:00–20:00</w:t>
            </w:r>
          </w:p>
        </w:tc>
        <w:tc>
          <w:tcPr>
            <w:tcW w:w="0" w:type="auto"/>
            <w:hideMark/>
          </w:tcPr>
          <w:p w14:paraId="5F64CEE5"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Interactive Storytelling Gala</w:t>
            </w:r>
          </w:p>
        </w:tc>
        <w:tc>
          <w:tcPr>
            <w:tcW w:w="4218" w:type="dxa"/>
            <w:hideMark/>
          </w:tcPr>
          <w:p w14:paraId="39621AF5"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 xml:space="preserve">Evening cultural showcase with live performances of Welsh legends, </w:t>
            </w:r>
            <w:r w:rsidRPr="00213A1D">
              <w:lastRenderedPageBreak/>
              <w:t>enhancing emotional and immersive experience.</w:t>
            </w:r>
          </w:p>
        </w:tc>
      </w:tr>
      <w:tr w:rsidR="005526B0" w:rsidRPr="00213A1D" w14:paraId="2A6F5778" w14:textId="77777777" w:rsidTr="004119A6">
        <w:tc>
          <w:tcPr>
            <w:cnfStyle w:val="001000000000" w:firstRow="0" w:lastRow="0" w:firstColumn="1" w:lastColumn="0" w:oddVBand="0" w:evenVBand="0" w:oddHBand="0" w:evenHBand="0" w:firstRowFirstColumn="0" w:firstRowLastColumn="0" w:lastRowFirstColumn="0" w:lastRowLastColumn="0"/>
            <w:tcW w:w="900" w:type="dxa"/>
            <w:hideMark/>
          </w:tcPr>
          <w:p w14:paraId="36AD6253" w14:textId="77777777" w:rsidR="005526B0" w:rsidRPr="00213A1D" w:rsidRDefault="005526B0" w:rsidP="00213A1D">
            <w:pPr>
              <w:ind w:firstLine="0"/>
              <w:jc w:val="center"/>
              <w:rPr>
                <w:i w:val="0"/>
              </w:rPr>
            </w:pPr>
            <w:r w:rsidRPr="00213A1D">
              <w:rPr>
                <w:i w:val="0"/>
              </w:rPr>
              <w:lastRenderedPageBreak/>
              <w:t>Day 3</w:t>
            </w:r>
          </w:p>
        </w:tc>
        <w:tc>
          <w:tcPr>
            <w:tcW w:w="1571" w:type="dxa"/>
            <w:hideMark/>
          </w:tcPr>
          <w:p w14:paraId="34A1E6EA"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09:00–11:00</w:t>
            </w:r>
          </w:p>
        </w:tc>
        <w:tc>
          <w:tcPr>
            <w:tcW w:w="0" w:type="auto"/>
            <w:hideMark/>
          </w:tcPr>
          <w:p w14:paraId="422473E7"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Collaborative Tourism Strategy Sessions</w:t>
            </w:r>
          </w:p>
        </w:tc>
        <w:tc>
          <w:tcPr>
            <w:tcW w:w="4218" w:type="dxa"/>
            <w:hideMark/>
          </w:tcPr>
          <w:p w14:paraId="0B7F370B"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Delegates work in groups to develop actionable tourism strategies using insights from previous sessions.</w:t>
            </w:r>
          </w:p>
        </w:tc>
      </w:tr>
      <w:tr w:rsidR="005526B0" w:rsidRPr="00213A1D" w14:paraId="5BAE795B" w14:textId="77777777" w:rsidTr="00411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0" w:type="dxa"/>
            <w:hideMark/>
          </w:tcPr>
          <w:p w14:paraId="0C7B7276" w14:textId="77777777" w:rsidR="005526B0" w:rsidRPr="00213A1D" w:rsidRDefault="005526B0" w:rsidP="00213A1D">
            <w:pPr>
              <w:ind w:firstLine="0"/>
              <w:jc w:val="center"/>
              <w:rPr>
                <w:i w:val="0"/>
              </w:rPr>
            </w:pPr>
          </w:p>
        </w:tc>
        <w:tc>
          <w:tcPr>
            <w:tcW w:w="1571" w:type="dxa"/>
            <w:hideMark/>
          </w:tcPr>
          <w:p w14:paraId="76E2C080"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11:15–12:30</w:t>
            </w:r>
          </w:p>
        </w:tc>
        <w:tc>
          <w:tcPr>
            <w:tcW w:w="0" w:type="auto"/>
            <w:hideMark/>
          </w:tcPr>
          <w:p w14:paraId="73FFF212"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Closing Plenary &amp; Q&amp;A</w:t>
            </w:r>
          </w:p>
        </w:tc>
        <w:tc>
          <w:tcPr>
            <w:tcW w:w="4218" w:type="dxa"/>
            <w:hideMark/>
          </w:tcPr>
          <w:p w14:paraId="3CF69B3E" w14:textId="77777777" w:rsidR="005526B0" w:rsidRPr="00213A1D" w:rsidRDefault="005526B0" w:rsidP="00213A1D">
            <w:pPr>
              <w:ind w:firstLine="0"/>
              <w:jc w:val="center"/>
              <w:cnfStyle w:val="000000100000" w:firstRow="0" w:lastRow="0" w:firstColumn="0" w:lastColumn="0" w:oddVBand="0" w:evenVBand="0" w:oddHBand="1" w:evenHBand="0" w:firstRowFirstColumn="0" w:firstRowLastColumn="0" w:lastRowFirstColumn="0" w:lastRowLastColumn="0"/>
            </w:pPr>
            <w:r w:rsidRPr="00213A1D">
              <w:t>Summarise key learnings, share outcomes, and provide expert feedback.</w:t>
            </w:r>
          </w:p>
        </w:tc>
      </w:tr>
      <w:tr w:rsidR="005526B0" w:rsidRPr="00213A1D" w14:paraId="00BFF69F" w14:textId="77777777" w:rsidTr="004119A6">
        <w:tc>
          <w:tcPr>
            <w:cnfStyle w:val="001000000000" w:firstRow="0" w:lastRow="0" w:firstColumn="1" w:lastColumn="0" w:oddVBand="0" w:evenVBand="0" w:oddHBand="0" w:evenHBand="0" w:firstRowFirstColumn="0" w:firstRowLastColumn="0" w:lastRowFirstColumn="0" w:lastRowLastColumn="0"/>
            <w:tcW w:w="900" w:type="dxa"/>
            <w:hideMark/>
          </w:tcPr>
          <w:p w14:paraId="4F727E1C" w14:textId="77777777" w:rsidR="005526B0" w:rsidRPr="00213A1D" w:rsidRDefault="005526B0" w:rsidP="00213A1D">
            <w:pPr>
              <w:ind w:firstLine="0"/>
              <w:jc w:val="center"/>
              <w:rPr>
                <w:i w:val="0"/>
              </w:rPr>
            </w:pPr>
          </w:p>
        </w:tc>
        <w:tc>
          <w:tcPr>
            <w:tcW w:w="1571" w:type="dxa"/>
            <w:hideMark/>
          </w:tcPr>
          <w:p w14:paraId="765CE125"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12:30–15:00</w:t>
            </w:r>
          </w:p>
        </w:tc>
        <w:tc>
          <w:tcPr>
            <w:tcW w:w="0" w:type="auto"/>
            <w:hideMark/>
          </w:tcPr>
          <w:p w14:paraId="643634A3"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Farewell Brunch &amp; Cultural Showcase</w:t>
            </w:r>
          </w:p>
        </w:tc>
        <w:tc>
          <w:tcPr>
            <w:tcW w:w="4218" w:type="dxa"/>
            <w:hideMark/>
          </w:tcPr>
          <w:p w14:paraId="0E8E3626" w14:textId="77777777" w:rsidR="005526B0" w:rsidRPr="00213A1D" w:rsidRDefault="005526B0" w:rsidP="00213A1D">
            <w:pPr>
              <w:ind w:firstLine="0"/>
              <w:jc w:val="center"/>
              <w:cnfStyle w:val="000000000000" w:firstRow="0" w:lastRow="0" w:firstColumn="0" w:lastColumn="0" w:oddVBand="0" w:evenVBand="0" w:oddHBand="0" w:evenHBand="0" w:firstRowFirstColumn="0" w:firstRowLastColumn="0" w:lastRowFirstColumn="0" w:lastRowLastColumn="0"/>
            </w:pPr>
            <w:r w:rsidRPr="00213A1D">
              <w:t>Concluding cultural experience with food and performances, reinforcing the summit theme, and ensuring a memorable farewell.</w:t>
            </w:r>
          </w:p>
        </w:tc>
      </w:tr>
    </w:tbl>
    <w:p w14:paraId="5F64E8AF" w14:textId="77777777" w:rsidR="005526B0" w:rsidRPr="00213A1D" w:rsidRDefault="005526B0" w:rsidP="00703797">
      <w:r w:rsidRPr="00213A1D">
        <w:t>Source: (Own Illustration)</w:t>
      </w:r>
    </w:p>
    <w:p w14:paraId="3D3F60E2" w14:textId="77777777" w:rsidR="005526B0" w:rsidRPr="00213A1D" w:rsidRDefault="005526B0" w:rsidP="00703797">
      <w:r w:rsidRPr="00213A1D">
        <w:br w:type="page"/>
      </w:r>
    </w:p>
    <w:p w14:paraId="4374A534" w14:textId="77777777" w:rsidR="00C21FEC" w:rsidRPr="00317034" w:rsidRDefault="0013684A" w:rsidP="00703797">
      <w:pPr>
        <w:pStyle w:val="Heading2"/>
      </w:pPr>
      <w:bookmarkStart w:id="24" w:name="_Toc222264672"/>
      <w:r w:rsidRPr="00317034">
        <w:lastRenderedPageBreak/>
        <w:t>Appendix B: Estimated proposed income and expenditure budget</w:t>
      </w:r>
      <w:bookmarkEnd w:id="24"/>
      <w:r w:rsidRPr="00317034">
        <w:t xml:space="preserve"> </w:t>
      </w:r>
    </w:p>
    <w:tbl>
      <w:tblPr>
        <w:tblStyle w:val="GridTable4-Accent6"/>
        <w:tblW w:w="8787" w:type="dxa"/>
        <w:tblLook w:val="04A0" w:firstRow="1" w:lastRow="0" w:firstColumn="1" w:lastColumn="0" w:noHBand="0" w:noVBand="1"/>
      </w:tblPr>
      <w:tblGrid>
        <w:gridCol w:w="4140"/>
        <w:gridCol w:w="2187"/>
        <w:gridCol w:w="2460"/>
      </w:tblGrid>
      <w:tr w:rsidR="005526B0" w:rsidRPr="00317034" w14:paraId="3F7B39C4" w14:textId="77777777" w:rsidTr="005526B0">
        <w:trPr>
          <w:cnfStyle w:val="100000000000" w:firstRow="1" w:lastRow="0" w:firstColumn="0" w:lastColumn="0" w:oddVBand="0" w:evenVBand="0" w:oddHBand="0"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6CF29354" w14:textId="77777777" w:rsidR="005526B0" w:rsidRPr="00317034" w:rsidRDefault="005526B0" w:rsidP="00C53A22">
            <w:pPr>
              <w:ind w:firstLine="0"/>
              <w:rPr>
                <w:lang w:eastAsia="en-GB"/>
              </w:rPr>
            </w:pPr>
            <w:r w:rsidRPr="00317034">
              <w:rPr>
                <w:lang w:eastAsia="en-GB"/>
              </w:rPr>
              <w:t>Item</w:t>
            </w:r>
          </w:p>
        </w:tc>
        <w:tc>
          <w:tcPr>
            <w:tcW w:w="0" w:type="auto"/>
            <w:hideMark/>
          </w:tcPr>
          <w:p w14:paraId="310AFCBF" w14:textId="77777777" w:rsidR="005526B0" w:rsidRPr="00317034" w:rsidRDefault="005526B0" w:rsidP="00C53A22">
            <w:pPr>
              <w:ind w:firstLine="0"/>
              <w:cnfStyle w:val="100000000000" w:firstRow="1" w:lastRow="0" w:firstColumn="0" w:lastColumn="0" w:oddVBand="0" w:evenVBand="0" w:oddHBand="0" w:evenHBand="0" w:firstRowFirstColumn="0" w:firstRowLastColumn="0" w:lastRowFirstColumn="0" w:lastRowLastColumn="0"/>
              <w:rPr>
                <w:lang w:eastAsia="en-GB"/>
              </w:rPr>
            </w:pPr>
            <w:r w:rsidRPr="00317034">
              <w:rPr>
                <w:lang w:eastAsia="en-GB"/>
              </w:rPr>
              <w:t>Estimated Cost (£)</w:t>
            </w:r>
          </w:p>
        </w:tc>
        <w:tc>
          <w:tcPr>
            <w:tcW w:w="0" w:type="auto"/>
            <w:hideMark/>
          </w:tcPr>
          <w:p w14:paraId="0D8EEF33" w14:textId="77777777" w:rsidR="005526B0" w:rsidRPr="00317034" w:rsidRDefault="005526B0" w:rsidP="00C53A22">
            <w:pPr>
              <w:ind w:firstLine="0"/>
              <w:cnfStyle w:val="100000000000" w:firstRow="1" w:lastRow="0" w:firstColumn="0" w:lastColumn="0" w:oddVBand="0" w:evenVBand="0" w:oddHBand="0" w:evenHBand="0" w:firstRowFirstColumn="0" w:firstRowLastColumn="0" w:lastRowFirstColumn="0" w:lastRowLastColumn="0"/>
              <w:rPr>
                <w:lang w:eastAsia="en-GB"/>
              </w:rPr>
            </w:pPr>
            <w:r w:rsidRPr="00317034">
              <w:rPr>
                <w:lang w:eastAsia="en-GB"/>
              </w:rPr>
              <w:t>Income / Revenue (£)</w:t>
            </w:r>
          </w:p>
        </w:tc>
      </w:tr>
      <w:tr w:rsidR="005526B0" w:rsidRPr="00317034" w14:paraId="14958D36" w14:textId="77777777" w:rsidTr="005526B0">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7563DD8E" w14:textId="77777777" w:rsidR="005526B0" w:rsidRPr="00317034" w:rsidRDefault="005526B0" w:rsidP="00C53A22">
            <w:pPr>
              <w:ind w:firstLine="0"/>
              <w:rPr>
                <w:lang w:eastAsia="en-GB"/>
              </w:rPr>
            </w:pPr>
            <w:r w:rsidRPr="00317034">
              <w:rPr>
                <w:lang w:eastAsia="en-GB"/>
              </w:rPr>
              <w:t>Venue Hire (ICC Wales)</w:t>
            </w:r>
          </w:p>
        </w:tc>
        <w:tc>
          <w:tcPr>
            <w:tcW w:w="0" w:type="auto"/>
            <w:hideMark/>
          </w:tcPr>
          <w:p w14:paraId="13378A1F"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50,000</w:t>
            </w:r>
          </w:p>
        </w:tc>
        <w:tc>
          <w:tcPr>
            <w:tcW w:w="0" w:type="auto"/>
            <w:hideMark/>
          </w:tcPr>
          <w:p w14:paraId="54BA9290"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w:t>
            </w:r>
          </w:p>
        </w:tc>
      </w:tr>
      <w:tr w:rsidR="005526B0" w:rsidRPr="00317034" w14:paraId="189F7E3A" w14:textId="77777777" w:rsidTr="005526B0">
        <w:trPr>
          <w:trHeight w:val="508"/>
        </w:trPr>
        <w:tc>
          <w:tcPr>
            <w:cnfStyle w:val="001000000000" w:firstRow="0" w:lastRow="0" w:firstColumn="1" w:lastColumn="0" w:oddVBand="0" w:evenVBand="0" w:oddHBand="0" w:evenHBand="0" w:firstRowFirstColumn="0" w:firstRowLastColumn="0" w:lastRowFirstColumn="0" w:lastRowLastColumn="0"/>
            <w:tcW w:w="0" w:type="auto"/>
            <w:hideMark/>
          </w:tcPr>
          <w:p w14:paraId="4856FD80" w14:textId="77777777" w:rsidR="005526B0" w:rsidRPr="00317034" w:rsidRDefault="005526B0" w:rsidP="00C53A22">
            <w:pPr>
              <w:ind w:firstLine="0"/>
              <w:rPr>
                <w:lang w:eastAsia="en-GB"/>
              </w:rPr>
            </w:pPr>
            <w:r w:rsidRPr="00317034">
              <w:rPr>
                <w:lang w:eastAsia="en-GB"/>
              </w:rPr>
              <w:t>Staff &amp; Volunteers</w:t>
            </w:r>
          </w:p>
        </w:tc>
        <w:tc>
          <w:tcPr>
            <w:tcW w:w="0" w:type="auto"/>
            <w:hideMark/>
          </w:tcPr>
          <w:p w14:paraId="4C47E9C5"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40,000</w:t>
            </w:r>
          </w:p>
        </w:tc>
        <w:tc>
          <w:tcPr>
            <w:tcW w:w="0" w:type="auto"/>
            <w:hideMark/>
          </w:tcPr>
          <w:p w14:paraId="7DE01556"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w:t>
            </w:r>
          </w:p>
        </w:tc>
      </w:tr>
      <w:tr w:rsidR="005526B0" w:rsidRPr="00317034" w14:paraId="39F37A24" w14:textId="77777777" w:rsidTr="005526B0">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39BA45D2" w14:textId="77777777" w:rsidR="005526B0" w:rsidRPr="00317034" w:rsidRDefault="005526B0" w:rsidP="00C53A22">
            <w:pPr>
              <w:ind w:firstLine="0"/>
              <w:rPr>
                <w:lang w:eastAsia="en-GB"/>
              </w:rPr>
            </w:pPr>
            <w:r w:rsidRPr="00317034">
              <w:rPr>
                <w:lang w:eastAsia="en-GB"/>
              </w:rPr>
              <w:t>Catering</w:t>
            </w:r>
          </w:p>
        </w:tc>
        <w:tc>
          <w:tcPr>
            <w:tcW w:w="0" w:type="auto"/>
            <w:hideMark/>
          </w:tcPr>
          <w:p w14:paraId="3A155F75"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30,000</w:t>
            </w:r>
          </w:p>
        </w:tc>
        <w:tc>
          <w:tcPr>
            <w:tcW w:w="0" w:type="auto"/>
            <w:hideMark/>
          </w:tcPr>
          <w:p w14:paraId="60FBE0FF"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w:t>
            </w:r>
          </w:p>
        </w:tc>
      </w:tr>
      <w:tr w:rsidR="005526B0" w:rsidRPr="00317034" w14:paraId="75A0BEF9" w14:textId="77777777" w:rsidTr="005526B0">
        <w:trPr>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4CA1994F" w14:textId="77777777" w:rsidR="005526B0" w:rsidRPr="00317034" w:rsidRDefault="005526B0" w:rsidP="00C53A22">
            <w:pPr>
              <w:ind w:firstLine="0"/>
              <w:rPr>
                <w:lang w:eastAsia="en-GB"/>
              </w:rPr>
            </w:pPr>
            <w:r w:rsidRPr="00317034">
              <w:rPr>
                <w:lang w:eastAsia="en-GB"/>
              </w:rPr>
              <w:t>Marketing &amp; PR</w:t>
            </w:r>
          </w:p>
        </w:tc>
        <w:tc>
          <w:tcPr>
            <w:tcW w:w="0" w:type="auto"/>
            <w:hideMark/>
          </w:tcPr>
          <w:p w14:paraId="6E834A8E"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25,000</w:t>
            </w:r>
          </w:p>
        </w:tc>
        <w:tc>
          <w:tcPr>
            <w:tcW w:w="0" w:type="auto"/>
            <w:hideMark/>
          </w:tcPr>
          <w:p w14:paraId="3DD02824"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w:t>
            </w:r>
          </w:p>
        </w:tc>
      </w:tr>
      <w:tr w:rsidR="005526B0" w:rsidRPr="00317034" w14:paraId="74E61470" w14:textId="77777777" w:rsidTr="005526B0">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32CB44C1" w14:textId="77777777" w:rsidR="005526B0" w:rsidRPr="00317034" w:rsidRDefault="005526B0" w:rsidP="00C53A22">
            <w:pPr>
              <w:ind w:firstLine="0"/>
              <w:rPr>
                <w:lang w:eastAsia="en-GB"/>
              </w:rPr>
            </w:pPr>
            <w:r w:rsidRPr="00317034">
              <w:rPr>
                <w:lang w:eastAsia="en-GB"/>
              </w:rPr>
              <w:t>Logistics &amp; AV (on-site)</w:t>
            </w:r>
          </w:p>
        </w:tc>
        <w:tc>
          <w:tcPr>
            <w:tcW w:w="0" w:type="auto"/>
            <w:hideMark/>
          </w:tcPr>
          <w:p w14:paraId="3B1961FA"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20,000</w:t>
            </w:r>
          </w:p>
        </w:tc>
        <w:tc>
          <w:tcPr>
            <w:tcW w:w="0" w:type="auto"/>
            <w:hideMark/>
          </w:tcPr>
          <w:p w14:paraId="57D080B2"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w:t>
            </w:r>
          </w:p>
        </w:tc>
      </w:tr>
      <w:tr w:rsidR="005526B0" w:rsidRPr="00317034" w14:paraId="1639FFA6" w14:textId="77777777" w:rsidTr="005526B0">
        <w:trPr>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39AAFC7B" w14:textId="77777777" w:rsidR="005526B0" w:rsidRPr="00317034" w:rsidRDefault="005526B0" w:rsidP="00C53A22">
            <w:pPr>
              <w:ind w:firstLine="0"/>
              <w:rPr>
                <w:lang w:eastAsia="en-GB"/>
              </w:rPr>
            </w:pPr>
            <w:r w:rsidRPr="00317034">
              <w:rPr>
                <w:lang w:eastAsia="en-GB"/>
              </w:rPr>
              <w:t>Insurance &amp; Security</w:t>
            </w:r>
          </w:p>
        </w:tc>
        <w:tc>
          <w:tcPr>
            <w:tcW w:w="0" w:type="auto"/>
            <w:hideMark/>
          </w:tcPr>
          <w:p w14:paraId="6FA4D4D2"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10,000</w:t>
            </w:r>
          </w:p>
        </w:tc>
        <w:tc>
          <w:tcPr>
            <w:tcW w:w="0" w:type="auto"/>
            <w:hideMark/>
          </w:tcPr>
          <w:p w14:paraId="218569D6"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w:t>
            </w:r>
          </w:p>
        </w:tc>
      </w:tr>
      <w:tr w:rsidR="005526B0" w:rsidRPr="00317034" w14:paraId="1D89A9F4" w14:textId="77777777" w:rsidTr="005526B0">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4A115307" w14:textId="77777777" w:rsidR="005526B0" w:rsidRPr="00317034" w:rsidRDefault="005526B0" w:rsidP="00C53A22">
            <w:pPr>
              <w:ind w:firstLine="0"/>
              <w:rPr>
                <w:lang w:eastAsia="en-GB"/>
              </w:rPr>
            </w:pPr>
            <w:r w:rsidRPr="00317034">
              <w:rPr>
                <w:lang w:eastAsia="en-GB"/>
              </w:rPr>
              <w:t>Speaker Fees &amp; Travel</w:t>
            </w:r>
          </w:p>
        </w:tc>
        <w:tc>
          <w:tcPr>
            <w:tcW w:w="0" w:type="auto"/>
            <w:hideMark/>
          </w:tcPr>
          <w:p w14:paraId="15AB1793"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12,000</w:t>
            </w:r>
          </w:p>
        </w:tc>
        <w:tc>
          <w:tcPr>
            <w:tcW w:w="0" w:type="auto"/>
            <w:hideMark/>
          </w:tcPr>
          <w:p w14:paraId="5FB428AF"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w:t>
            </w:r>
          </w:p>
        </w:tc>
      </w:tr>
      <w:tr w:rsidR="005526B0" w:rsidRPr="00317034" w14:paraId="33570BD3" w14:textId="77777777" w:rsidTr="005526B0">
        <w:trPr>
          <w:trHeight w:val="508"/>
        </w:trPr>
        <w:tc>
          <w:tcPr>
            <w:cnfStyle w:val="001000000000" w:firstRow="0" w:lastRow="0" w:firstColumn="1" w:lastColumn="0" w:oddVBand="0" w:evenVBand="0" w:oddHBand="0" w:evenHBand="0" w:firstRowFirstColumn="0" w:firstRowLastColumn="0" w:lastRowFirstColumn="0" w:lastRowLastColumn="0"/>
            <w:tcW w:w="0" w:type="auto"/>
            <w:hideMark/>
          </w:tcPr>
          <w:p w14:paraId="4549AA17" w14:textId="77777777" w:rsidR="005526B0" w:rsidRPr="00317034" w:rsidRDefault="005526B0" w:rsidP="00C53A22">
            <w:pPr>
              <w:ind w:firstLine="0"/>
              <w:rPr>
                <w:lang w:eastAsia="en-GB"/>
              </w:rPr>
            </w:pPr>
            <w:r w:rsidRPr="00317034">
              <w:rPr>
                <w:lang w:eastAsia="en-GB"/>
              </w:rPr>
              <w:t>Hybrid Platform &amp; Technical Support</w:t>
            </w:r>
          </w:p>
        </w:tc>
        <w:tc>
          <w:tcPr>
            <w:tcW w:w="0" w:type="auto"/>
            <w:hideMark/>
          </w:tcPr>
          <w:p w14:paraId="360F13E4"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8,000</w:t>
            </w:r>
          </w:p>
        </w:tc>
        <w:tc>
          <w:tcPr>
            <w:tcW w:w="0" w:type="auto"/>
            <w:hideMark/>
          </w:tcPr>
          <w:p w14:paraId="7B7ADC01"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w:t>
            </w:r>
          </w:p>
        </w:tc>
      </w:tr>
      <w:tr w:rsidR="005526B0" w:rsidRPr="00317034" w14:paraId="74436711" w14:textId="77777777" w:rsidTr="005526B0">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2D6D6210" w14:textId="77777777" w:rsidR="005526B0" w:rsidRPr="00317034" w:rsidRDefault="005526B0" w:rsidP="00C53A22">
            <w:pPr>
              <w:ind w:firstLine="0"/>
              <w:rPr>
                <w:lang w:eastAsia="en-GB"/>
              </w:rPr>
            </w:pPr>
            <w:r w:rsidRPr="00317034">
              <w:rPr>
                <w:lang w:eastAsia="en-GB"/>
              </w:rPr>
              <w:t>Contingency (10%)</w:t>
            </w:r>
          </w:p>
        </w:tc>
        <w:tc>
          <w:tcPr>
            <w:tcW w:w="0" w:type="auto"/>
            <w:hideMark/>
          </w:tcPr>
          <w:p w14:paraId="5857D36E"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19,500</w:t>
            </w:r>
          </w:p>
        </w:tc>
        <w:tc>
          <w:tcPr>
            <w:tcW w:w="0" w:type="auto"/>
            <w:hideMark/>
          </w:tcPr>
          <w:p w14:paraId="3C571813"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w:t>
            </w:r>
          </w:p>
        </w:tc>
      </w:tr>
      <w:tr w:rsidR="005526B0" w:rsidRPr="00317034" w14:paraId="5B8E16A0" w14:textId="77777777" w:rsidTr="005526B0">
        <w:trPr>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58D5F308" w14:textId="77777777" w:rsidR="005526B0" w:rsidRPr="00317034" w:rsidRDefault="005526B0" w:rsidP="00C53A22">
            <w:pPr>
              <w:ind w:firstLine="0"/>
              <w:rPr>
                <w:lang w:eastAsia="en-GB"/>
              </w:rPr>
            </w:pPr>
            <w:r w:rsidRPr="00317034">
              <w:rPr>
                <w:lang w:eastAsia="en-GB"/>
              </w:rPr>
              <w:t>Total Expenditure</w:t>
            </w:r>
          </w:p>
        </w:tc>
        <w:tc>
          <w:tcPr>
            <w:tcW w:w="0" w:type="auto"/>
            <w:hideMark/>
          </w:tcPr>
          <w:p w14:paraId="22D95D7D"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214,500</w:t>
            </w:r>
          </w:p>
        </w:tc>
        <w:tc>
          <w:tcPr>
            <w:tcW w:w="0" w:type="auto"/>
            <w:hideMark/>
          </w:tcPr>
          <w:p w14:paraId="07E44740"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w:t>
            </w:r>
          </w:p>
        </w:tc>
      </w:tr>
      <w:tr w:rsidR="005526B0" w:rsidRPr="00317034" w14:paraId="5DDED9D9" w14:textId="77777777" w:rsidTr="005526B0">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7506D0B0" w14:textId="77777777" w:rsidR="005526B0" w:rsidRPr="00317034" w:rsidRDefault="005526B0" w:rsidP="00C53A22">
            <w:pPr>
              <w:ind w:firstLine="0"/>
              <w:rPr>
                <w:lang w:eastAsia="en-GB"/>
              </w:rPr>
            </w:pPr>
          </w:p>
        </w:tc>
        <w:tc>
          <w:tcPr>
            <w:tcW w:w="0" w:type="auto"/>
            <w:hideMark/>
          </w:tcPr>
          <w:p w14:paraId="2180E49A"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68CEBABD"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p>
        </w:tc>
      </w:tr>
      <w:tr w:rsidR="005526B0" w:rsidRPr="00317034" w14:paraId="652666E1" w14:textId="77777777" w:rsidTr="005526B0">
        <w:trPr>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495836F8" w14:textId="77777777" w:rsidR="005526B0" w:rsidRPr="00317034" w:rsidRDefault="005526B0" w:rsidP="00C53A22">
            <w:pPr>
              <w:ind w:firstLine="0"/>
              <w:rPr>
                <w:lang w:eastAsia="en-GB"/>
              </w:rPr>
            </w:pPr>
            <w:r w:rsidRPr="00317034">
              <w:rPr>
                <w:lang w:eastAsia="en-GB"/>
              </w:rPr>
              <w:t>Sponsorships</w:t>
            </w:r>
          </w:p>
        </w:tc>
        <w:tc>
          <w:tcPr>
            <w:tcW w:w="0" w:type="auto"/>
            <w:hideMark/>
          </w:tcPr>
          <w:p w14:paraId="58419977"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w:t>
            </w:r>
          </w:p>
        </w:tc>
        <w:tc>
          <w:tcPr>
            <w:tcW w:w="0" w:type="auto"/>
            <w:hideMark/>
          </w:tcPr>
          <w:p w14:paraId="67A94E1C"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70,000</w:t>
            </w:r>
          </w:p>
        </w:tc>
      </w:tr>
      <w:tr w:rsidR="005526B0" w:rsidRPr="00317034" w14:paraId="5ED03721" w14:textId="77777777" w:rsidTr="005526B0">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0D45B65C" w14:textId="77777777" w:rsidR="005526B0" w:rsidRPr="00317034" w:rsidRDefault="005526B0" w:rsidP="00C53A22">
            <w:pPr>
              <w:ind w:firstLine="0"/>
              <w:rPr>
                <w:lang w:eastAsia="en-GB"/>
              </w:rPr>
            </w:pPr>
            <w:r w:rsidRPr="00317034">
              <w:rPr>
                <w:lang w:eastAsia="en-GB"/>
              </w:rPr>
              <w:t>Ticket Sales</w:t>
            </w:r>
          </w:p>
        </w:tc>
        <w:tc>
          <w:tcPr>
            <w:tcW w:w="0" w:type="auto"/>
            <w:hideMark/>
          </w:tcPr>
          <w:p w14:paraId="46719B1F"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w:t>
            </w:r>
          </w:p>
        </w:tc>
        <w:tc>
          <w:tcPr>
            <w:tcW w:w="0" w:type="auto"/>
            <w:hideMark/>
          </w:tcPr>
          <w:p w14:paraId="0F58DAD8"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90,000</w:t>
            </w:r>
          </w:p>
        </w:tc>
      </w:tr>
      <w:tr w:rsidR="005526B0" w:rsidRPr="00317034" w14:paraId="0D82492C" w14:textId="77777777" w:rsidTr="005526B0">
        <w:trPr>
          <w:trHeight w:val="508"/>
        </w:trPr>
        <w:tc>
          <w:tcPr>
            <w:cnfStyle w:val="001000000000" w:firstRow="0" w:lastRow="0" w:firstColumn="1" w:lastColumn="0" w:oddVBand="0" w:evenVBand="0" w:oddHBand="0" w:evenHBand="0" w:firstRowFirstColumn="0" w:firstRowLastColumn="0" w:lastRowFirstColumn="0" w:lastRowLastColumn="0"/>
            <w:tcW w:w="0" w:type="auto"/>
            <w:hideMark/>
          </w:tcPr>
          <w:p w14:paraId="74DFE2B3" w14:textId="77777777" w:rsidR="005526B0" w:rsidRPr="00317034" w:rsidRDefault="005526B0" w:rsidP="00C53A22">
            <w:pPr>
              <w:ind w:firstLine="0"/>
              <w:rPr>
                <w:lang w:eastAsia="en-GB"/>
              </w:rPr>
            </w:pPr>
            <w:r w:rsidRPr="00317034">
              <w:rPr>
                <w:lang w:eastAsia="en-GB"/>
              </w:rPr>
              <w:t>Grants &amp; Public Funding</w:t>
            </w:r>
          </w:p>
        </w:tc>
        <w:tc>
          <w:tcPr>
            <w:tcW w:w="0" w:type="auto"/>
            <w:hideMark/>
          </w:tcPr>
          <w:p w14:paraId="4C08D494"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w:t>
            </w:r>
          </w:p>
        </w:tc>
        <w:tc>
          <w:tcPr>
            <w:tcW w:w="0" w:type="auto"/>
            <w:hideMark/>
          </w:tcPr>
          <w:p w14:paraId="09D00CA8" w14:textId="77777777" w:rsidR="005526B0" w:rsidRPr="00317034" w:rsidRDefault="005526B0" w:rsidP="00C53A22">
            <w:pPr>
              <w:ind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45,000</w:t>
            </w:r>
          </w:p>
        </w:tc>
      </w:tr>
      <w:tr w:rsidR="005526B0" w:rsidRPr="00317034" w14:paraId="6F6E3030" w14:textId="77777777" w:rsidTr="005526B0">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0" w:type="auto"/>
            <w:hideMark/>
          </w:tcPr>
          <w:p w14:paraId="5A3DE30B" w14:textId="77777777" w:rsidR="005526B0" w:rsidRPr="00317034" w:rsidRDefault="005526B0" w:rsidP="00C53A22">
            <w:pPr>
              <w:ind w:firstLine="0"/>
              <w:rPr>
                <w:lang w:eastAsia="en-GB"/>
              </w:rPr>
            </w:pPr>
            <w:r w:rsidRPr="00317034">
              <w:rPr>
                <w:lang w:eastAsia="en-GB"/>
              </w:rPr>
              <w:t>Total Income</w:t>
            </w:r>
          </w:p>
        </w:tc>
        <w:tc>
          <w:tcPr>
            <w:tcW w:w="0" w:type="auto"/>
            <w:hideMark/>
          </w:tcPr>
          <w:p w14:paraId="133BF078"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7D84EC67" w14:textId="77777777" w:rsidR="005526B0" w:rsidRPr="00317034" w:rsidRDefault="005526B0" w:rsidP="00C53A22">
            <w:pPr>
              <w:ind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205,000</w:t>
            </w:r>
          </w:p>
        </w:tc>
      </w:tr>
    </w:tbl>
    <w:p w14:paraId="713B9C8B" w14:textId="77777777" w:rsidR="005526B0" w:rsidRPr="00317034" w:rsidRDefault="005526B0" w:rsidP="00703797"/>
    <w:p w14:paraId="16F16B1F" w14:textId="77777777" w:rsidR="005526B0" w:rsidRPr="00317034" w:rsidRDefault="005526B0" w:rsidP="00703797">
      <w:pPr>
        <w:rPr>
          <w:sz w:val="28"/>
        </w:rPr>
      </w:pPr>
      <w:r w:rsidRPr="00317034">
        <w:br w:type="page"/>
      </w:r>
    </w:p>
    <w:p w14:paraId="46A74A05" w14:textId="77777777" w:rsidR="003B0BA1" w:rsidRPr="00317034" w:rsidRDefault="0013684A" w:rsidP="00703797">
      <w:pPr>
        <w:pStyle w:val="Heading2"/>
      </w:pPr>
      <w:bookmarkStart w:id="25" w:name="_Toc222264673"/>
      <w:r w:rsidRPr="00317034">
        <w:lastRenderedPageBreak/>
        <w:t xml:space="preserve">Appendix C: </w:t>
      </w:r>
      <w:r w:rsidR="0026479E" w:rsidRPr="00317034">
        <w:t>PESTEL Analysis</w:t>
      </w:r>
      <w:bookmarkEnd w:id="25"/>
      <w:r w:rsidR="0026479E" w:rsidRPr="00317034">
        <w:t xml:space="preserve"> </w:t>
      </w:r>
    </w:p>
    <w:tbl>
      <w:tblPr>
        <w:tblStyle w:val="GridTable4-Accent6"/>
        <w:tblW w:w="0" w:type="auto"/>
        <w:tblLook w:val="04A0" w:firstRow="1" w:lastRow="0" w:firstColumn="1" w:lastColumn="0" w:noHBand="0" w:noVBand="1"/>
      </w:tblPr>
      <w:tblGrid>
        <w:gridCol w:w="1907"/>
        <w:gridCol w:w="7109"/>
      </w:tblGrid>
      <w:tr w:rsidR="00932F5F" w:rsidRPr="00317034" w14:paraId="4C806BC4" w14:textId="77777777" w:rsidTr="00932F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CF7FC7" w14:textId="77777777" w:rsidR="00932F5F" w:rsidRPr="00317034" w:rsidRDefault="00932F5F" w:rsidP="00C53A22">
            <w:pPr>
              <w:ind w:left="162" w:firstLine="0"/>
              <w:rPr>
                <w:lang w:eastAsia="en-GB"/>
              </w:rPr>
            </w:pPr>
            <w:r w:rsidRPr="00317034">
              <w:rPr>
                <w:lang w:eastAsia="en-GB"/>
              </w:rPr>
              <w:t>Factor</w:t>
            </w:r>
          </w:p>
        </w:tc>
        <w:tc>
          <w:tcPr>
            <w:tcW w:w="0" w:type="auto"/>
            <w:hideMark/>
          </w:tcPr>
          <w:p w14:paraId="2565C698" w14:textId="77777777" w:rsidR="00932F5F" w:rsidRPr="00317034" w:rsidRDefault="00932F5F" w:rsidP="00C53A22">
            <w:pPr>
              <w:ind w:left="162" w:firstLine="0"/>
              <w:cnfStyle w:val="100000000000" w:firstRow="1" w:lastRow="0" w:firstColumn="0" w:lastColumn="0" w:oddVBand="0" w:evenVBand="0" w:oddHBand="0" w:evenHBand="0" w:firstRowFirstColumn="0" w:firstRowLastColumn="0" w:lastRowFirstColumn="0" w:lastRowLastColumn="0"/>
              <w:rPr>
                <w:lang w:eastAsia="en-GB"/>
              </w:rPr>
            </w:pPr>
            <w:r w:rsidRPr="00317034">
              <w:rPr>
                <w:lang w:eastAsia="en-GB"/>
              </w:rPr>
              <w:t>Critical Consideration for the Summit</w:t>
            </w:r>
          </w:p>
        </w:tc>
      </w:tr>
      <w:tr w:rsidR="00932F5F" w:rsidRPr="00317034" w14:paraId="50692F64" w14:textId="77777777" w:rsidTr="00932F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B32108" w14:textId="77777777" w:rsidR="00932F5F" w:rsidRPr="00317034" w:rsidRDefault="00932F5F" w:rsidP="00C53A22">
            <w:pPr>
              <w:ind w:left="162" w:firstLine="0"/>
              <w:rPr>
                <w:lang w:eastAsia="en-GB"/>
              </w:rPr>
            </w:pPr>
            <w:r w:rsidRPr="00317034">
              <w:rPr>
                <w:lang w:eastAsia="en-GB"/>
              </w:rPr>
              <w:t>Political</w:t>
            </w:r>
          </w:p>
        </w:tc>
        <w:tc>
          <w:tcPr>
            <w:tcW w:w="0" w:type="auto"/>
            <w:hideMark/>
          </w:tcPr>
          <w:p w14:paraId="74072025" w14:textId="77777777" w:rsidR="00932F5F" w:rsidRPr="00317034" w:rsidRDefault="00932F5F" w:rsidP="00C53A22">
            <w:pPr>
              <w:ind w:left="162"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While support from Visit Wales and local authorities presents an enabling context, reliance on public-sector alignment also exposes the event to policy reprioritisation, funding volatility, and post-election shifts that could affect long-term viability.</w:t>
            </w:r>
          </w:p>
        </w:tc>
      </w:tr>
      <w:tr w:rsidR="00932F5F" w:rsidRPr="00317034" w14:paraId="5A8111DA" w14:textId="77777777" w:rsidTr="00932F5F">
        <w:tc>
          <w:tcPr>
            <w:cnfStyle w:val="001000000000" w:firstRow="0" w:lastRow="0" w:firstColumn="1" w:lastColumn="0" w:oddVBand="0" w:evenVBand="0" w:oddHBand="0" w:evenHBand="0" w:firstRowFirstColumn="0" w:firstRowLastColumn="0" w:lastRowFirstColumn="0" w:lastRowLastColumn="0"/>
            <w:tcW w:w="0" w:type="auto"/>
            <w:hideMark/>
          </w:tcPr>
          <w:p w14:paraId="6E4BE438" w14:textId="77777777" w:rsidR="00932F5F" w:rsidRPr="00317034" w:rsidRDefault="00932F5F" w:rsidP="00C53A22">
            <w:pPr>
              <w:ind w:left="162" w:firstLine="0"/>
              <w:rPr>
                <w:lang w:eastAsia="en-GB"/>
              </w:rPr>
            </w:pPr>
            <w:r w:rsidRPr="00317034">
              <w:rPr>
                <w:lang w:eastAsia="en-GB"/>
              </w:rPr>
              <w:t>Economic</w:t>
            </w:r>
          </w:p>
        </w:tc>
        <w:tc>
          <w:tcPr>
            <w:tcW w:w="0" w:type="auto"/>
            <w:hideMark/>
          </w:tcPr>
          <w:p w14:paraId="707F30D3" w14:textId="77777777" w:rsidR="00932F5F" w:rsidRPr="00317034" w:rsidRDefault="00932F5F" w:rsidP="00C53A22">
            <w:pPr>
              <w:ind w:left="162"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Although increased delegate spending is anticipated, the analysis underplays exposure to inflation, exchange-rate volatility, and cost escalation in accommodation and logistics, which may erode projected margins and suppress international demand.</w:t>
            </w:r>
          </w:p>
        </w:tc>
      </w:tr>
      <w:tr w:rsidR="00932F5F" w:rsidRPr="00317034" w14:paraId="63018FE1" w14:textId="77777777" w:rsidTr="00932F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96B422" w14:textId="77777777" w:rsidR="00932F5F" w:rsidRPr="00317034" w:rsidRDefault="00932F5F" w:rsidP="00C53A22">
            <w:pPr>
              <w:ind w:left="162" w:firstLine="0"/>
              <w:rPr>
                <w:lang w:eastAsia="en-GB"/>
              </w:rPr>
            </w:pPr>
            <w:r w:rsidRPr="00317034">
              <w:rPr>
                <w:lang w:eastAsia="en-GB"/>
              </w:rPr>
              <w:t>Social</w:t>
            </w:r>
          </w:p>
        </w:tc>
        <w:tc>
          <w:tcPr>
            <w:tcW w:w="0" w:type="auto"/>
            <w:hideMark/>
          </w:tcPr>
          <w:p w14:paraId="44895152" w14:textId="77777777" w:rsidR="00932F5F" w:rsidRPr="00317034" w:rsidRDefault="00932F5F" w:rsidP="00C53A22">
            <w:pPr>
              <w:ind w:left="162"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Emphasis on Welsh heritage and authenticity offers strong differentiation; however, there is a risk that cultural narratives become selectively curated for visitor consumption, potentially reducing cultural depth and community ownership if not carefully governed.</w:t>
            </w:r>
          </w:p>
        </w:tc>
      </w:tr>
      <w:tr w:rsidR="00932F5F" w:rsidRPr="00317034" w14:paraId="1DEAB4B8" w14:textId="77777777" w:rsidTr="00932F5F">
        <w:tc>
          <w:tcPr>
            <w:cnfStyle w:val="001000000000" w:firstRow="0" w:lastRow="0" w:firstColumn="1" w:lastColumn="0" w:oddVBand="0" w:evenVBand="0" w:oddHBand="0" w:evenHBand="0" w:firstRowFirstColumn="0" w:firstRowLastColumn="0" w:lastRowFirstColumn="0" w:lastRowLastColumn="0"/>
            <w:tcW w:w="0" w:type="auto"/>
            <w:hideMark/>
          </w:tcPr>
          <w:p w14:paraId="4DF98374" w14:textId="77777777" w:rsidR="00932F5F" w:rsidRPr="00317034" w:rsidRDefault="00932F5F" w:rsidP="00C53A22">
            <w:pPr>
              <w:ind w:left="162" w:firstLine="0"/>
              <w:rPr>
                <w:lang w:eastAsia="en-GB"/>
              </w:rPr>
            </w:pPr>
            <w:r w:rsidRPr="00317034">
              <w:rPr>
                <w:lang w:eastAsia="en-GB"/>
              </w:rPr>
              <w:t>Technological</w:t>
            </w:r>
          </w:p>
        </w:tc>
        <w:tc>
          <w:tcPr>
            <w:tcW w:w="0" w:type="auto"/>
            <w:hideMark/>
          </w:tcPr>
          <w:p w14:paraId="7834D560" w14:textId="77777777" w:rsidR="00932F5F" w:rsidRPr="00317034" w:rsidRDefault="00932F5F" w:rsidP="00C53A22">
            <w:pPr>
              <w:ind w:left="162"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Digital and hybrid platforms enhance reach and accessibility, yet introduce financial strain through licensing, cybersecurity risks, and technical redundancy requirements, challenging assumptions that technology adoption is inherently cost-efficient.</w:t>
            </w:r>
          </w:p>
        </w:tc>
      </w:tr>
      <w:tr w:rsidR="00932F5F" w:rsidRPr="00317034" w14:paraId="3D52766D" w14:textId="77777777" w:rsidTr="00932F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23BF73" w14:textId="77777777" w:rsidR="00932F5F" w:rsidRPr="00317034" w:rsidRDefault="00932F5F" w:rsidP="00C53A22">
            <w:pPr>
              <w:ind w:left="162" w:firstLine="0"/>
              <w:rPr>
                <w:lang w:eastAsia="en-GB"/>
              </w:rPr>
            </w:pPr>
            <w:r w:rsidRPr="00317034">
              <w:rPr>
                <w:lang w:eastAsia="en-GB"/>
              </w:rPr>
              <w:t>Environmental</w:t>
            </w:r>
          </w:p>
        </w:tc>
        <w:tc>
          <w:tcPr>
            <w:tcW w:w="0" w:type="auto"/>
            <w:hideMark/>
          </w:tcPr>
          <w:p w14:paraId="067478FF" w14:textId="77777777" w:rsidR="00932F5F" w:rsidRPr="00317034" w:rsidRDefault="00932F5F" w:rsidP="00C53A22">
            <w:pPr>
              <w:ind w:left="162" w:firstLine="0"/>
              <w:cnfStyle w:val="000000100000" w:firstRow="0" w:lastRow="0" w:firstColumn="0" w:lastColumn="0" w:oddVBand="0" w:evenVBand="0" w:oddHBand="1" w:evenHBand="0" w:firstRowFirstColumn="0" w:firstRowLastColumn="0" w:lastRowFirstColumn="0" w:lastRowLastColumn="0"/>
              <w:rPr>
                <w:lang w:eastAsia="en-GB"/>
              </w:rPr>
            </w:pPr>
            <w:r w:rsidRPr="00317034">
              <w:rPr>
                <w:lang w:eastAsia="en-GB"/>
              </w:rPr>
              <w:t>Sustainable practices support reputational positioning, but they also increase operational complexity and supplier costs, particularly where certified green services are limited or priced at a premium.</w:t>
            </w:r>
          </w:p>
        </w:tc>
      </w:tr>
      <w:tr w:rsidR="00932F5F" w:rsidRPr="00317034" w14:paraId="15D68E8A" w14:textId="77777777" w:rsidTr="00932F5F">
        <w:tc>
          <w:tcPr>
            <w:cnfStyle w:val="001000000000" w:firstRow="0" w:lastRow="0" w:firstColumn="1" w:lastColumn="0" w:oddVBand="0" w:evenVBand="0" w:oddHBand="0" w:evenHBand="0" w:firstRowFirstColumn="0" w:firstRowLastColumn="0" w:lastRowFirstColumn="0" w:lastRowLastColumn="0"/>
            <w:tcW w:w="0" w:type="auto"/>
            <w:hideMark/>
          </w:tcPr>
          <w:p w14:paraId="1F95F862" w14:textId="77777777" w:rsidR="00932F5F" w:rsidRPr="00317034" w:rsidRDefault="00932F5F" w:rsidP="00C53A22">
            <w:pPr>
              <w:ind w:left="162" w:firstLine="0"/>
              <w:rPr>
                <w:lang w:eastAsia="en-GB"/>
              </w:rPr>
            </w:pPr>
            <w:r w:rsidRPr="00317034">
              <w:rPr>
                <w:lang w:eastAsia="en-GB"/>
              </w:rPr>
              <w:t>Legal</w:t>
            </w:r>
          </w:p>
        </w:tc>
        <w:tc>
          <w:tcPr>
            <w:tcW w:w="0" w:type="auto"/>
            <w:hideMark/>
          </w:tcPr>
          <w:p w14:paraId="576697B3" w14:textId="77777777" w:rsidR="00932F5F" w:rsidRPr="00317034" w:rsidRDefault="00932F5F" w:rsidP="00C53A22">
            <w:pPr>
              <w:ind w:left="162" w:firstLine="0"/>
              <w:cnfStyle w:val="000000000000" w:firstRow="0" w:lastRow="0" w:firstColumn="0" w:lastColumn="0" w:oddVBand="0" w:evenVBand="0" w:oddHBand="0" w:evenHBand="0" w:firstRowFirstColumn="0" w:firstRowLastColumn="0" w:lastRowFirstColumn="0" w:lastRowLastColumn="0"/>
              <w:rPr>
                <w:lang w:eastAsia="en-GB"/>
              </w:rPr>
            </w:pPr>
            <w:r w:rsidRPr="00317034">
              <w:rPr>
                <w:lang w:eastAsia="en-GB"/>
              </w:rPr>
              <w:t>Compliance with health and safety, GDPR, and contractual obligations is essential; however, regulatory tightening may increase insurance, staffing, and compliance costs, constraining budget flexibility (Silvers et al., 2005).</w:t>
            </w:r>
          </w:p>
        </w:tc>
      </w:tr>
    </w:tbl>
    <w:p w14:paraId="6326F5CF" w14:textId="77777777" w:rsidR="00CF7D8E" w:rsidRPr="00317034" w:rsidRDefault="0013684A" w:rsidP="00703797">
      <w:r w:rsidRPr="00317034">
        <w:t>Source: (Own Illustration)</w:t>
      </w:r>
    </w:p>
    <w:p w14:paraId="68B0F072" w14:textId="77777777" w:rsidR="00CF7D8E" w:rsidRPr="00317034" w:rsidRDefault="0013684A" w:rsidP="00703797">
      <w:r w:rsidRPr="00317034">
        <w:br w:type="page"/>
      </w:r>
    </w:p>
    <w:p w14:paraId="670534FB" w14:textId="77777777" w:rsidR="00982021" w:rsidRPr="00317034" w:rsidRDefault="0013684A" w:rsidP="00703797">
      <w:pPr>
        <w:pStyle w:val="Heading2"/>
      </w:pPr>
      <w:bookmarkStart w:id="26" w:name="_Toc222264674"/>
      <w:r w:rsidRPr="00317034">
        <w:lastRenderedPageBreak/>
        <w:t>Appendix D: SWOT Analysis</w:t>
      </w:r>
      <w:bookmarkEnd w:id="26"/>
      <w:r w:rsidRPr="00317034">
        <w:t xml:space="preserve"> </w:t>
      </w:r>
    </w:p>
    <w:tbl>
      <w:tblPr>
        <w:tblStyle w:val="GridTable3-Accent6"/>
        <w:tblW w:w="9264" w:type="dxa"/>
        <w:tblInd w:w="5" w:type="dxa"/>
        <w:tblLook w:val="04A0" w:firstRow="1" w:lastRow="0" w:firstColumn="1" w:lastColumn="0" w:noHBand="0" w:noVBand="1"/>
      </w:tblPr>
      <w:tblGrid>
        <w:gridCol w:w="1591"/>
        <w:gridCol w:w="7673"/>
      </w:tblGrid>
      <w:tr w:rsidR="00305EB5" w:rsidRPr="00317034" w14:paraId="64B77AAC" w14:textId="77777777" w:rsidTr="00305EB5">
        <w:trPr>
          <w:cnfStyle w:val="100000000000" w:firstRow="1" w:lastRow="0" w:firstColumn="0" w:lastColumn="0" w:oddVBand="0" w:evenVBand="0" w:oddHBand="0" w:evenHBand="0" w:firstRowFirstColumn="0" w:firstRowLastColumn="0" w:lastRowFirstColumn="0" w:lastRowLastColumn="0"/>
          <w:trHeight w:val="831"/>
        </w:trPr>
        <w:tc>
          <w:tcPr>
            <w:cnfStyle w:val="001000000100" w:firstRow="0" w:lastRow="0" w:firstColumn="1" w:lastColumn="0" w:oddVBand="0" w:evenVBand="0" w:oddHBand="0" w:evenHBand="0" w:firstRowFirstColumn="1" w:firstRowLastColumn="0" w:lastRowFirstColumn="0" w:lastRowLastColumn="0"/>
            <w:tcW w:w="1591" w:type="dxa"/>
            <w:hideMark/>
          </w:tcPr>
          <w:p w14:paraId="4DCE6CC8" w14:textId="77777777" w:rsidR="00982021" w:rsidRPr="00213A1D" w:rsidRDefault="0013684A" w:rsidP="00C53A22">
            <w:pPr>
              <w:ind w:firstLine="0"/>
              <w:rPr>
                <w:i w:val="0"/>
              </w:rPr>
            </w:pPr>
            <w:r w:rsidRPr="00213A1D">
              <w:rPr>
                <w:i w:val="0"/>
              </w:rPr>
              <w:t>SWOT Category</w:t>
            </w:r>
          </w:p>
        </w:tc>
        <w:tc>
          <w:tcPr>
            <w:tcW w:w="0" w:type="auto"/>
            <w:hideMark/>
          </w:tcPr>
          <w:p w14:paraId="03300835" w14:textId="77777777" w:rsidR="00982021" w:rsidRPr="00213A1D" w:rsidRDefault="0013684A" w:rsidP="00C53A22">
            <w:pPr>
              <w:ind w:firstLine="0"/>
              <w:cnfStyle w:val="100000000000" w:firstRow="1" w:lastRow="0" w:firstColumn="0" w:lastColumn="0" w:oddVBand="0" w:evenVBand="0" w:oddHBand="0" w:evenHBand="0" w:firstRowFirstColumn="0" w:firstRowLastColumn="0" w:lastRowFirstColumn="0" w:lastRowLastColumn="0"/>
            </w:pPr>
            <w:r w:rsidRPr="00213A1D">
              <w:t>Description / Strategic Considerations</w:t>
            </w:r>
          </w:p>
        </w:tc>
      </w:tr>
      <w:tr w:rsidR="00305EB5" w:rsidRPr="00317034" w14:paraId="5CE467C4" w14:textId="77777777" w:rsidTr="00305EB5">
        <w:trPr>
          <w:cnfStyle w:val="000000100000" w:firstRow="0" w:lastRow="0" w:firstColumn="0" w:lastColumn="0" w:oddVBand="0" w:evenVBand="0" w:oddHBand="1" w:evenHBand="0" w:firstRowFirstColumn="0" w:firstRowLastColumn="0" w:lastRowFirstColumn="0" w:lastRowLastColumn="0"/>
          <w:trHeight w:val="2502"/>
        </w:trPr>
        <w:tc>
          <w:tcPr>
            <w:cnfStyle w:val="001000000000" w:firstRow="0" w:lastRow="0" w:firstColumn="1" w:lastColumn="0" w:oddVBand="0" w:evenVBand="0" w:oddHBand="0" w:evenHBand="0" w:firstRowFirstColumn="0" w:firstRowLastColumn="0" w:lastRowFirstColumn="0" w:lastRowLastColumn="0"/>
            <w:tcW w:w="1591" w:type="dxa"/>
            <w:hideMark/>
          </w:tcPr>
          <w:p w14:paraId="6DE9F2C6" w14:textId="77777777" w:rsidR="00982021" w:rsidRPr="00213A1D" w:rsidRDefault="0013684A" w:rsidP="00C53A22">
            <w:pPr>
              <w:ind w:firstLine="0"/>
              <w:rPr>
                <w:i w:val="0"/>
              </w:rPr>
            </w:pPr>
            <w:r w:rsidRPr="00213A1D">
              <w:rPr>
                <w:i w:val="0"/>
              </w:rPr>
              <w:t>Strengths (Internal)</w:t>
            </w:r>
          </w:p>
        </w:tc>
        <w:tc>
          <w:tcPr>
            <w:tcW w:w="0" w:type="auto"/>
            <w:hideMark/>
          </w:tcPr>
          <w:p w14:paraId="4313820D" w14:textId="107BD832" w:rsidR="00982021" w:rsidRPr="00213A1D" w:rsidRDefault="0013684A" w:rsidP="00C53A22">
            <w:pPr>
              <w:ind w:firstLine="0"/>
              <w:cnfStyle w:val="000000100000" w:firstRow="0" w:lastRow="0" w:firstColumn="0" w:lastColumn="0" w:oddVBand="0" w:evenVBand="0" w:oddHBand="1" w:evenHBand="0" w:firstRowFirstColumn="0" w:firstRowLastColumn="0" w:lastRowFirstColumn="0" w:lastRowLastColumn="0"/>
            </w:pPr>
            <w:r w:rsidRPr="00213A1D">
              <w:t>Leveraging Wales rich cultural heritage and the Year of Legends campaign to attract international delegates.</w:t>
            </w:r>
          </w:p>
          <w:p w14:paraId="5E710AC2" w14:textId="77777777" w:rsidR="00982021" w:rsidRPr="00213A1D" w:rsidRDefault="0013684A" w:rsidP="00C53A22">
            <w:pPr>
              <w:ind w:firstLine="0"/>
              <w:cnfStyle w:val="000000100000" w:firstRow="0" w:lastRow="0" w:firstColumn="0" w:lastColumn="0" w:oddVBand="0" w:evenVBand="0" w:oddHBand="1" w:evenHBand="0" w:firstRowFirstColumn="0" w:firstRowLastColumn="0" w:lastRowFirstColumn="0" w:lastRowLastColumn="0"/>
            </w:pPr>
            <w:r w:rsidRPr="00213A1D">
              <w:t>ICC Wales provides modern facilities, technical support, and accessibility.</w:t>
            </w:r>
          </w:p>
          <w:p w14:paraId="31B68CBE" w14:textId="77777777" w:rsidR="00982021" w:rsidRPr="00213A1D" w:rsidRDefault="0013684A" w:rsidP="00C53A22">
            <w:pPr>
              <w:ind w:firstLine="0"/>
              <w:cnfStyle w:val="000000100000" w:firstRow="0" w:lastRow="0" w:firstColumn="0" w:lastColumn="0" w:oddVBand="0" w:evenVBand="0" w:oddHBand="1" w:evenHBand="0" w:firstRowFirstColumn="0" w:firstRowLastColumn="0" w:lastRowFirstColumn="0" w:lastRowLastColumn="0"/>
            </w:pPr>
            <w:r w:rsidRPr="00213A1D">
              <w:t>Skilled event managers, volunteers, and suppliers ensure operational efficiency (Meredith et al., 20</w:t>
            </w:r>
            <w:r w:rsidR="00190B4A" w:rsidRPr="00213A1D">
              <w:t>17</w:t>
            </w:r>
            <w:r w:rsidRPr="00213A1D">
              <w:t>).</w:t>
            </w:r>
          </w:p>
          <w:p w14:paraId="43422DD0" w14:textId="77777777" w:rsidR="00982021" w:rsidRPr="00213A1D" w:rsidRDefault="0013684A" w:rsidP="00C53A22">
            <w:pPr>
              <w:ind w:firstLine="0"/>
              <w:cnfStyle w:val="000000100000" w:firstRow="0" w:lastRow="0" w:firstColumn="0" w:lastColumn="0" w:oddVBand="0" w:evenVBand="0" w:oddHBand="1" w:evenHBand="0" w:firstRowFirstColumn="0" w:firstRowLastColumn="0" w:lastRowFirstColumn="0" w:lastRowLastColumn="0"/>
            </w:pPr>
            <w:r w:rsidRPr="00213A1D">
              <w:t>Strong marketing plan targeting both domestic and international audiences.</w:t>
            </w:r>
          </w:p>
        </w:tc>
      </w:tr>
      <w:tr w:rsidR="00305EB5" w:rsidRPr="00317034" w14:paraId="3D0BA9AA" w14:textId="77777777" w:rsidTr="00305EB5">
        <w:trPr>
          <w:trHeight w:val="1250"/>
        </w:trPr>
        <w:tc>
          <w:tcPr>
            <w:cnfStyle w:val="001000000000" w:firstRow="0" w:lastRow="0" w:firstColumn="1" w:lastColumn="0" w:oddVBand="0" w:evenVBand="0" w:oddHBand="0" w:evenHBand="0" w:firstRowFirstColumn="0" w:firstRowLastColumn="0" w:lastRowFirstColumn="0" w:lastRowLastColumn="0"/>
            <w:tcW w:w="1591" w:type="dxa"/>
            <w:hideMark/>
          </w:tcPr>
          <w:p w14:paraId="416DB6ED" w14:textId="77777777" w:rsidR="00982021" w:rsidRPr="00213A1D" w:rsidRDefault="0013684A" w:rsidP="00C53A22">
            <w:pPr>
              <w:ind w:firstLine="0"/>
              <w:rPr>
                <w:i w:val="0"/>
              </w:rPr>
            </w:pPr>
            <w:r w:rsidRPr="00213A1D">
              <w:rPr>
                <w:i w:val="0"/>
              </w:rPr>
              <w:t>Weaknesses (Internal)</w:t>
            </w:r>
          </w:p>
        </w:tc>
        <w:tc>
          <w:tcPr>
            <w:tcW w:w="0" w:type="auto"/>
            <w:hideMark/>
          </w:tcPr>
          <w:p w14:paraId="290F6B14" w14:textId="77777777" w:rsidR="00982021" w:rsidRPr="00213A1D" w:rsidRDefault="0013684A" w:rsidP="00C53A22">
            <w:pPr>
              <w:ind w:firstLine="0"/>
              <w:cnfStyle w:val="000000000000" w:firstRow="0" w:lastRow="0" w:firstColumn="0" w:lastColumn="0" w:oddVBand="0" w:evenVBand="0" w:oddHBand="0" w:evenHBand="0" w:firstRowFirstColumn="0" w:firstRowLastColumn="0" w:lastRowFirstColumn="0" w:lastRowLastColumn="0"/>
            </w:pPr>
            <w:r w:rsidRPr="00213A1D">
              <w:t>A new event with limited brand recognition may affect initial ticket sales.</w:t>
            </w:r>
          </w:p>
          <w:p w14:paraId="4F8BB4F5" w14:textId="77777777" w:rsidR="00982021" w:rsidRPr="00213A1D" w:rsidRDefault="0013684A" w:rsidP="00C53A22">
            <w:pPr>
              <w:ind w:firstLine="0"/>
              <w:cnfStyle w:val="000000000000" w:firstRow="0" w:lastRow="0" w:firstColumn="0" w:lastColumn="0" w:oddVBand="0" w:evenVBand="0" w:oddHBand="0" w:evenHBand="0" w:firstRowFirstColumn="0" w:firstRowLastColumn="0" w:lastRowFirstColumn="0" w:lastRowLastColumn="0"/>
            </w:pPr>
            <w:r w:rsidRPr="00213A1D">
              <w:t>Limited local experience in hosting hybrid international cultural summits.</w:t>
            </w:r>
          </w:p>
          <w:p w14:paraId="3DA9FAEA" w14:textId="77777777" w:rsidR="00982021" w:rsidRPr="00213A1D" w:rsidRDefault="0013684A" w:rsidP="00C53A22">
            <w:pPr>
              <w:ind w:firstLine="0"/>
              <w:cnfStyle w:val="000000000000" w:firstRow="0" w:lastRow="0" w:firstColumn="0" w:lastColumn="0" w:oddVBand="0" w:evenVBand="0" w:oddHBand="0" w:evenHBand="0" w:firstRowFirstColumn="0" w:firstRowLastColumn="0" w:lastRowFirstColumn="0" w:lastRowLastColumn="0"/>
            </w:pPr>
            <w:r w:rsidRPr="00213A1D">
              <w:t>Reliance on external suppliers for specialised services increases risk.</w:t>
            </w:r>
          </w:p>
        </w:tc>
      </w:tr>
      <w:tr w:rsidR="00305EB5" w:rsidRPr="00317034" w14:paraId="0E243DDB" w14:textId="77777777" w:rsidTr="00305EB5">
        <w:trPr>
          <w:cnfStyle w:val="000000100000" w:firstRow="0" w:lastRow="0" w:firstColumn="0" w:lastColumn="0" w:oddVBand="0" w:evenVBand="0" w:oddHBand="1" w:evenHBand="0" w:firstRowFirstColumn="0" w:firstRowLastColumn="0" w:lastRowFirstColumn="0" w:lastRowLastColumn="0"/>
          <w:trHeight w:val="2913"/>
        </w:trPr>
        <w:tc>
          <w:tcPr>
            <w:cnfStyle w:val="001000000000" w:firstRow="0" w:lastRow="0" w:firstColumn="1" w:lastColumn="0" w:oddVBand="0" w:evenVBand="0" w:oddHBand="0" w:evenHBand="0" w:firstRowFirstColumn="0" w:firstRowLastColumn="0" w:lastRowFirstColumn="0" w:lastRowLastColumn="0"/>
            <w:tcW w:w="1591" w:type="dxa"/>
            <w:hideMark/>
          </w:tcPr>
          <w:p w14:paraId="0378C39E" w14:textId="77777777" w:rsidR="00982021" w:rsidRPr="00213A1D" w:rsidRDefault="0013684A" w:rsidP="00C53A22">
            <w:pPr>
              <w:ind w:firstLine="0"/>
              <w:rPr>
                <w:i w:val="0"/>
              </w:rPr>
            </w:pPr>
            <w:r w:rsidRPr="00213A1D">
              <w:rPr>
                <w:i w:val="0"/>
              </w:rPr>
              <w:t>Opportunities (External)</w:t>
            </w:r>
          </w:p>
        </w:tc>
        <w:tc>
          <w:tcPr>
            <w:tcW w:w="0" w:type="auto"/>
            <w:hideMark/>
          </w:tcPr>
          <w:p w14:paraId="4AF5243E" w14:textId="77777777" w:rsidR="00982021" w:rsidRPr="00213A1D" w:rsidRDefault="0013684A" w:rsidP="00C53A22">
            <w:pPr>
              <w:ind w:firstLine="0"/>
              <w:cnfStyle w:val="000000100000" w:firstRow="0" w:lastRow="0" w:firstColumn="0" w:lastColumn="0" w:oddVBand="0" w:evenVBand="0" w:oddHBand="1" w:evenHBand="0" w:firstRowFirstColumn="0" w:firstRowLastColumn="0" w:lastRowFirstColumn="0" w:lastRowLastColumn="0"/>
            </w:pPr>
            <w:r w:rsidRPr="00213A1D">
              <w:t>Growing cultural tourism and MICE industry trends support international engagement (Richards</w:t>
            </w:r>
            <w:r w:rsidR="00383184" w:rsidRPr="00213A1D">
              <w:t xml:space="preserve"> and</w:t>
            </w:r>
            <w:r w:rsidR="00383184" w:rsidRPr="00213A1D">
              <w:rPr>
                <w:bCs/>
                <w:lang w:eastAsia="en-GB"/>
              </w:rPr>
              <w:t xml:space="preserve"> Wilson</w:t>
            </w:r>
            <w:r w:rsidR="00383184" w:rsidRPr="00213A1D">
              <w:t>, 20</w:t>
            </w:r>
            <w:r w:rsidRPr="00213A1D">
              <w:t>0</w:t>
            </w:r>
            <w:r w:rsidR="00662244" w:rsidRPr="00213A1D">
              <w:t>7</w:t>
            </w:r>
            <w:r w:rsidRPr="00213A1D">
              <w:t>).</w:t>
            </w:r>
          </w:p>
          <w:p w14:paraId="397C3FEE" w14:textId="0C871F5F" w:rsidR="00982021" w:rsidRPr="00213A1D" w:rsidRDefault="0013684A" w:rsidP="00C53A22">
            <w:pPr>
              <w:ind w:firstLine="0"/>
              <w:cnfStyle w:val="000000100000" w:firstRow="0" w:lastRow="0" w:firstColumn="0" w:lastColumn="0" w:oddVBand="0" w:evenVBand="0" w:oddHBand="1" w:evenHBand="0" w:firstRowFirstColumn="0" w:firstRowLastColumn="0" w:lastRowFirstColumn="0" w:lastRowLastColumn="0"/>
            </w:pPr>
            <w:r w:rsidRPr="00213A1D">
              <w:t xml:space="preserve">Hybrid event formats and digital streaming extend reach to global </w:t>
            </w:r>
            <w:r w:rsidR="00DE0F41" w:rsidRPr="00213A1D">
              <w:t>delegates. -</w:t>
            </w:r>
            <w:r w:rsidRPr="00213A1D">
              <w:t xml:space="preserve"> Sustainability initiatives can enhance reputation and attr</w:t>
            </w:r>
            <w:r w:rsidR="00662244" w:rsidRPr="00213A1D">
              <w:t xml:space="preserve">act eco-conscious participants. </w:t>
            </w:r>
          </w:p>
          <w:p w14:paraId="6EAD6C64" w14:textId="77777777" w:rsidR="00982021" w:rsidRPr="00213A1D" w:rsidRDefault="0013684A" w:rsidP="00C53A22">
            <w:pPr>
              <w:ind w:firstLine="0"/>
              <w:cnfStyle w:val="000000100000" w:firstRow="0" w:lastRow="0" w:firstColumn="0" w:lastColumn="0" w:oddVBand="0" w:evenVBand="0" w:oddHBand="1" w:evenHBand="0" w:firstRowFirstColumn="0" w:firstRowLastColumn="0" w:lastRowFirstColumn="0" w:lastRowLastColumn="0"/>
            </w:pPr>
            <w:r w:rsidRPr="00213A1D">
              <w:t>Partnerships with local heritage and hospitality organisations create economic and community benefits.</w:t>
            </w:r>
          </w:p>
        </w:tc>
      </w:tr>
      <w:tr w:rsidR="00305EB5" w:rsidRPr="00317034" w14:paraId="5CB4587E" w14:textId="77777777" w:rsidTr="00305EB5">
        <w:trPr>
          <w:trHeight w:val="2493"/>
        </w:trPr>
        <w:tc>
          <w:tcPr>
            <w:cnfStyle w:val="001000000000" w:firstRow="0" w:lastRow="0" w:firstColumn="1" w:lastColumn="0" w:oddVBand="0" w:evenVBand="0" w:oddHBand="0" w:evenHBand="0" w:firstRowFirstColumn="0" w:firstRowLastColumn="0" w:lastRowFirstColumn="0" w:lastRowLastColumn="0"/>
            <w:tcW w:w="1591" w:type="dxa"/>
            <w:hideMark/>
          </w:tcPr>
          <w:p w14:paraId="1F65A1E6" w14:textId="77777777" w:rsidR="00982021" w:rsidRPr="00213A1D" w:rsidRDefault="0013684A" w:rsidP="00C53A22">
            <w:pPr>
              <w:ind w:firstLine="0"/>
              <w:rPr>
                <w:i w:val="0"/>
              </w:rPr>
            </w:pPr>
            <w:r w:rsidRPr="00213A1D">
              <w:rPr>
                <w:i w:val="0"/>
              </w:rPr>
              <w:t>Threats (External)</w:t>
            </w:r>
          </w:p>
        </w:tc>
        <w:tc>
          <w:tcPr>
            <w:tcW w:w="0" w:type="auto"/>
            <w:hideMark/>
          </w:tcPr>
          <w:p w14:paraId="1900B5E5" w14:textId="77777777" w:rsidR="00982021" w:rsidRPr="00213A1D" w:rsidRDefault="0013684A" w:rsidP="00C53A22">
            <w:pPr>
              <w:ind w:firstLine="0"/>
              <w:cnfStyle w:val="000000000000" w:firstRow="0" w:lastRow="0" w:firstColumn="0" w:lastColumn="0" w:oddVBand="0" w:evenVBand="0" w:oddHBand="0" w:evenHBand="0" w:firstRowFirstColumn="0" w:firstRowLastColumn="0" w:lastRowFirstColumn="0" w:lastRowLastColumn="0"/>
            </w:pPr>
            <w:r w:rsidRPr="00213A1D">
              <w:t>Economic fluctuations or travel restrictions may reduce attendance.</w:t>
            </w:r>
          </w:p>
          <w:p w14:paraId="4B4ED4A7" w14:textId="77777777" w:rsidR="00982021" w:rsidRPr="00213A1D" w:rsidRDefault="0013684A" w:rsidP="00C53A22">
            <w:pPr>
              <w:ind w:firstLine="0"/>
              <w:cnfStyle w:val="000000000000" w:firstRow="0" w:lastRow="0" w:firstColumn="0" w:lastColumn="0" w:oddVBand="0" w:evenVBand="0" w:oddHBand="0" w:evenHBand="0" w:firstRowFirstColumn="0" w:firstRowLastColumn="0" w:lastRowFirstColumn="0" w:lastRowLastColumn="0"/>
            </w:pPr>
            <w:r w:rsidRPr="00213A1D">
              <w:t>Competing global events could impact sponsorship and participation.</w:t>
            </w:r>
          </w:p>
          <w:p w14:paraId="2A40E8EE" w14:textId="77777777" w:rsidR="00982021" w:rsidRPr="00213A1D" w:rsidRDefault="0013684A" w:rsidP="00C53A22">
            <w:pPr>
              <w:ind w:firstLine="0"/>
              <w:cnfStyle w:val="000000000000" w:firstRow="0" w:lastRow="0" w:firstColumn="0" w:lastColumn="0" w:oddVBand="0" w:evenVBand="0" w:oddHBand="0" w:evenHBand="0" w:firstRowFirstColumn="0" w:firstRowLastColumn="0" w:lastRowFirstColumn="0" w:lastRowLastColumn="0"/>
            </w:pPr>
            <w:r w:rsidRPr="00213A1D">
              <w:t>Regulatory changes (health, safety, data protection) may increase operational costs.</w:t>
            </w:r>
          </w:p>
          <w:p w14:paraId="1734B945" w14:textId="77777777" w:rsidR="00982021" w:rsidRPr="00213A1D" w:rsidRDefault="0013684A" w:rsidP="00C53A22">
            <w:pPr>
              <w:ind w:firstLine="0"/>
              <w:cnfStyle w:val="000000000000" w:firstRow="0" w:lastRow="0" w:firstColumn="0" w:lastColumn="0" w:oddVBand="0" w:evenVBand="0" w:oddHBand="0" w:evenHBand="0" w:firstRowFirstColumn="0" w:firstRowLastColumn="0" w:lastRowFirstColumn="0" w:lastRowLastColumn="0"/>
            </w:pPr>
            <w:r w:rsidRPr="00213A1D">
              <w:t>Environmental or political uncertainties could affect event logistics (</w:t>
            </w:r>
            <w:r w:rsidR="00193AF3" w:rsidRPr="00213A1D">
              <w:t>Silvers et al., 2005</w:t>
            </w:r>
            <w:r w:rsidRPr="00213A1D">
              <w:t>).</w:t>
            </w:r>
          </w:p>
        </w:tc>
      </w:tr>
    </w:tbl>
    <w:p w14:paraId="3325420E" w14:textId="128D2E4B" w:rsidR="000B2159" w:rsidRPr="00445D2D" w:rsidRDefault="0013684A" w:rsidP="00445D2D">
      <w:r w:rsidRPr="00317034">
        <w:t>Source: (Own Illustration)</w:t>
      </w:r>
    </w:p>
    <w:sectPr w:rsidR="000B2159" w:rsidRPr="00445D2D" w:rsidSect="008B6F0C">
      <w:footerReference w:type="default" r:id="rId35"/>
      <w:pgSz w:w="11906" w:h="16838"/>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79B76" w14:textId="77777777" w:rsidR="00C803F9" w:rsidRDefault="00C803F9" w:rsidP="00703797">
      <w:r>
        <w:separator/>
      </w:r>
    </w:p>
  </w:endnote>
  <w:endnote w:type="continuationSeparator" w:id="0">
    <w:p w14:paraId="390F235B" w14:textId="77777777" w:rsidR="00C803F9" w:rsidRDefault="00C803F9" w:rsidP="007037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426911"/>
      <w:docPartObj>
        <w:docPartGallery w:val="Page Numbers (Bottom of Page)"/>
        <w:docPartUnique/>
      </w:docPartObj>
    </w:sdtPr>
    <w:sdtEndPr>
      <w:rPr>
        <w:noProof/>
      </w:rPr>
    </w:sdtEndPr>
    <w:sdtContent>
      <w:p w14:paraId="0F5DFD94" w14:textId="350C47C8" w:rsidR="000B4CF0" w:rsidRDefault="000B4CF0">
        <w:pPr>
          <w:pStyle w:val="Footer"/>
          <w:jc w:val="center"/>
        </w:pPr>
        <w:r>
          <w:fldChar w:fldCharType="begin"/>
        </w:r>
        <w:r>
          <w:instrText xml:space="preserve"> PAGE   \* MERGEFORMAT </w:instrText>
        </w:r>
        <w:r>
          <w:fldChar w:fldCharType="separate"/>
        </w:r>
        <w:r w:rsidR="00C45851">
          <w:rPr>
            <w:noProof/>
          </w:rPr>
          <w:t>3</w:t>
        </w:r>
        <w:r>
          <w:rPr>
            <w:noProof/>
          </w:rPr>
          <w:fldChar w:fldCharType="end"/>
        </w:r>
      </w:p>
    </w:sdtContent>
  </w:sdt>
  <w:p w14:paraId="2AC40C8E" w14:textId="77777777" w:rsidR="000B4CF0" w:rsidRDefault="000B4CF0" w:rsidP="00703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404043" w14:textId="77777777" w:rsidR="00C803F9" w:rsidRDefault="00C803F9" w:rsidP="00703797">
      <w:r>
        <w:separator/>
      </w:r>
    </w:p>
  </w:footnote>
  <w:footnote w:type="continuationSeparator" w:id="0">
    <w:p w14:paraId="67AE096F" w14:textId="77777777" w:rsidR="00C803F9" w:rsidRDefault="00C803F9" w:rsidP="007037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73A3D"/>
    <w:multiLevelType w:val="multilevel"/>
    <w:tmpl w:val="ED2C4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11560"/>
    <w:multiLevelType w:val="hybridMultilevel"/>
    <w:tmpl w:val="7C2C37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FD3FAC"/>
    <w:multiLevelType w:val="multilevel"/>
    <w:tmpl w:val="BA583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787E49"/>
    <w:multiLevelType w:val="multilevel"/>
    <w:tmpl w:val="23B66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F9550F"/>
    <w:multiLevelType w:val="hybridMultilevel"/>
    <w:tmpl w:val="B45A6080"/>
    <w:lvl w:ilvl="0" w:tplc="1D12AA04">
      <w:start w:val="1"/>
      <w:numFmt w:val="bullet"/>
      <w:lvlText w:val=""/>
      <w:lvlJc w:val="left"/>
      <w:pPr>
        <w:ind w:left="1440" w:hanging="360"/>
      </w:pPr>
      <w:rPr>
        <w:rFonts w:ascii="Symbol" w:hAnsi="Symbol" w:hint="default"/>
      </w:rPr>
    </w:lvl>
    <w:lvl w:ilvl="1" w:tplc="E6EA4AE6" w:tentative="1">
      <w:start w:val="1"/>
      <w:numFmt w:val="bullet"/>
      <w:lvlText w:val="o"/>
      <w:lvlJc w:val="left"/>
      <w:pPr>
        <w:ind w:left="2160" w:hanging="360"/>
      </w:pPr>
      <w:rPr>
        <w:rFonts w:ascii="Courier New" w:hAnsi="Courier New" w:cs="Courier New" w:hint="default"/>
      </w:rPr>
    </w:lvl>
    <w:lvl w:ilvl="2" w:tplc="B51C8E10" w:tentative="1">
      <w:start w:val="1"/>
      <w:numFmt w:val="bullet"/>
      <w:lvlText w:val=""/>
      <w:lvlJc w:val="left"/>
      <w:pPr>
        <w:ind w:left="2880" w:hanging="360"/>
      </w:pPr>
      <w:rPr>
        <w:rFonts w:ascii="Wingdings" w:hAnsi="Wingdings" w:hint="default"/>
      </w:rPr>
    </w:lvl>
    <w:lvl w:ilvl="3" w:tplc="9F26081C" w:tentative="1">
      <w:start w:val="1"/>
      <w:numFmt w:val="bullet"/>
      <w:lvlText w:val=""/>
      <w:lvlJc w:val="left"/>
      <w:pPr>
        <w:ind w:left="3600" w:hanging="360"/>
      </w:pPr>
      <w:rPr>
        <w:rFonts w:ascii="Symbol" w:hAnsi="Symbol" w:hint="default"/>
      </w:rPr>
    </w:lvl>
    <w:lvl w:ilvl="4" w:tplc="954AAC36" w:tentative="1">
      <w:start w:val="1"/>
      <w:numFmt w:val="bullet"/>
      <w:lvlText w:val="o"/>
      <w:lvlJc w:val="left"/>
      <w:pPr>
        <w:ind w:left="4320" w:hanging="360"/>
      </w:pPr>
      <w:rPr>
        <w:rFonts w:ascii="Courier New" w:hAnsi="Courier New" w:cs="Courier New" w:hint="default"/>
      </w:rPr>
    </w:lvl>
    <w:lvl w:ilvl="5" w:tplc="04D23DAC" w:tentative="1">
      <w:start w:val="1"/>
      <w:numFmt w:val="bullet"/>
      <w:lvlText w:val=""/>
      <w:lvlJc w:val="left"/>
      <w:pPr>
        <w:ind w:left="5040" w:hanging="360"/>
      </w:pPr>
      <w:rPr>
        <w:rFonts w:ascii="Wingdings" w:hAnsi="Wingdings" w:hint="default"/>
      </w:rPr>
    </w:lvl>
    <w:lvl w:ilvl="6" w:tplc="53321794" w:tentative="1">
      <w:start w:val="1"/>
      <w:numFmt w:val="bullet"/>
      <w:lvlText w:val=""/>
      <w:lvlJc w:val="left"/>
      <w:pPr>
        <w:ind w:left="5760" w:hanging="360"/>
      </w:pPr>
      <w:rPr>
        <w:rFonts w:ascii="Symbol" w:hAnsi="Symbol" w:hint="default"/>
      </w:rPr>
    </w:lvl>
    <w:lvl w:ilvl="7" w:tplc="E416E360" w:tentative="1">
      <w:start w:val="1"/>
      <w:numFmt w:val="bullet"/>
      <w:lvlText w:val="o"/>
      <w:lvlJc w:val="left"/>
      <w:pPr>
        <w:ind w:left="6480" w:hanging="360"/>
      </w:pPr>
      <w:rPr>
        <w:rFonts w:ascii="Courier New" w:hAnsi="Courier New" w:cs="Courier New" w:hint="default"/>
      </w:rPr>
    </w:lvl>
    <w:lvl w:ilvl="8" w:tplc="69929812" w:tentative="1">
      <w:start w:val="1"/>
      <w:numFmt w:val="bullet"/>
      <w:lvlText w:val=""/>
      <w:lvlJc w:val="left"/>
      <w:pPr>
        <w:ind w:left="7200" w:hanging="360"/>
      </w:pPr>
      <w:rPr>
        <w:rFonts w:ascii="Wingdings" w:hAnsi="Wingdings" w:hint="default"/>
      </w:rPr>
    </w:lvl>
  </w:abstractNum>
  <w:abstractNum w:abstractNumId="5" w15:restartNumberingAfterBreak="0">
    <w:nsid w:val="3CDC0B53"/>
    <w:multiLevelType w:val="hybridMultilevel"/>
    <w:tmpl w:val="3D2A004A"/>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0ED2A88"/>
    <w:multiLevelType w:val="hybridMultilevel"/>
    <w:tmpl w:val="36281D2C"/>
    <w:lvl w:ilvl="0" w:tplc="2DC8B49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3840530">
    <w:abstractNumId w:val="2"/>
  </w:num>
  <w:num w:numId="2" w16cid:durableId="1662923216">
    <w:abstractNumId w:val="3"/>
  </w:num>
  <w:num w:numId="3" w16cid:durableId="1492217441">
    <w:abstractNumId w:val="4"/>
  </w:num>
  <w:num w:numId="4" w16cid:durableId="66274254">
    <w:abstractNumId w:val="1"/>
  </w:num>
  <w:num w:numId="5" w16cid:durableId="824736607">
    <w:abstractNumId w:val="6"/>
  </w:num>
  <w:num w:numId="6" w16cid:durableId="456607110">
    <w:abstractNumId w:val="5"/>
  </w:num>
  <w:num w:numId="7" w16cid:durableId="453527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3500"/>
    <w:rsid w:val="000017F0"/>
    <w:rsid w:val="000077FD"/>
    <w:rsid w:val="000361E5"/>
    <w:rsid w:val="00043BBC"/>
    <w:rsid w:val="0006479F"/>
    <w:rsid w:val="00083CBC"/>
    <w:rsid w:val="00085F89"/>
    <w:rsid w:val="000A614E"/>
    <w:rsid w:val="000B2159"/>
    <w:rsid w:val="000B46C3"/>
    <w:rsid w:val="000B4CF0"/>
    <w:rsid w:val="00103BE1"/>
    <w:rsid w:val="0013684A"/>
    <w:rsid w:val="00162276"/>
    <w:rsid w:val="001641FA"/>
    <w:rsid w:val="00175A3F"/>
    <w:rsid w:val="00177143"/>
    <w:rsid w:val="00190B4A"/>
    <w:rsid w:val="00193AF3"/>
    <w:rsid w:val="00193EF3"/>
    <w:rsid w:val="001B0C57"/>
    <w:rsid w:val="001D2686"/>
    <w:rsid w:val="001D7E17"/>
    <w:rsid w:val="0020052A"/>
    <w:rsid w:val="002020EA"/>
    <w:rsid w:val="002050D6"/>
    <w:rsid w:val="00213A1D"/>
    <w:rsid w:val="00240BB5"/>
    <w:rsid w:val="0026479E"/>
    <w:rsid w:val="002707DF"/>
    <w:rsid w:val="00275DFE"/>
    <w:rsid w:val="002A6FC9"/>
    <w:rsid w:val="002A73B3"/>
    <w:rsid w:val="002B64E3"/>
    <w:rsid w:val="002C4BD4"/>
    <w:rsid w:val="002E4F56"/>
    <w:rsid w:val="002E63FC"/>
    <w:rsid w:val="002F464F"/>
    <w:rsid w:val="002F7060"/>
    <w:rsid w:val="003058AE"/>
    <w:rsid w:val="00305EB5"/>
    <w:rsid w:val="00314E44"/>
    <w:rsid w:val="00317034"/>
    <w:rsid w:val="003221EF"/>
    <w:rsid w:val="00324E4F"/>
    <w:rsid w:val="00336C3D"/>
    <w:rsid w:val="0034415E"/>
    <w:rsid w:val="00351A21"/>
    <w:rsid w:val="00353F23"/>
    <w:rsid w:val="00363C96"/>
    <w:rsid w:val="00381D18"/>
    <w:rsid w:val="00383184"/>
    <w:rsid w:val="003B0BA1"/>
    <w:rsid w:val="003B3D47"/>
    <w:rsid w:val="003C5CC7"/>
    <w:rsid w:val="00401BEB"/>
    <w:rsid w:val="00411571"/>
    <w:rsid w:val="004119A6"/>
    <w:rsid w:val="00412FBF"/>
    <w:rsid w:val="004141BB"/>
    <w:rsid w:val="00445D2D"/>
    <w:rsid w:val="00453524"/>
    <w:rsid w:val="00455D18"/>
    <w:rsid w:val="004853BC"/>
    <w:rsid w:val="00485923"/>
    <w:rsid w:val="004867DB"/>
    <w:rsid w:val="00490A91"/>
    <w:rsid w:val="00492B69"/>
    <w:rsid w:val="004D285B"/>
    <w:rsid w:val="004D5241"/>
    <w:rsid w:val="004D7259"/>
    <w:rsid w:val="004E20AD"/>
    <w:rsid w:val="004E4472"/>
    <w:rsid w:val="004E617B"/>
    <w:rsid w:val="004F0C1E"/>
    <w:rsid w:val="00501D49"/>
    <w:rsid w:val="00505901"/>
    <w:rsid w:val="00510B86"/>
    <w:rsid w:val="0052241F"/>
    <w:rsid w:val="005252C0"/>
    <w:rsid w:val="00525DCA"/>
    <w:rsid w:val="00551653"/>
    <w:rsid w:val="005526B0"/>
    <w:rsid w:val="0055759A"/>
    <w:rsid w:val="005870AA"/>
    <w:rsid w:val="0059394F"/>
    <w:rsid w:val="005A55B0"/>
    <w:rsid w:val="005C5E67"/>
    <w:rsid w:val="005D243F"/>
    <w:rsid w:val="005E0360"/>
    <w:rsid w:val="005E0AB6"/>
    <w:rsid w:val="005F0921"/>
    <w:rsid w:val="005F60C3"/>
    <w:rsid w:val="00600B40"/>
    <w:rsid w:val="00605B79"/>
    <w:rsid w:val="0062771A"/>
    <w:rsid w:val="00640624"/>
    <w:rsid w:val="00662244"/>
    <w:rsid w:val="00664B6C"/>
    <w:rsid w:val="00690FBA"/>
    <w:rsid w:val="006D08D1"/>
    <w:rsid w:val="006F5185"/>
    <w:rsid w:val="00703797"/>
    <w:rsid w:val="00724DA8"/>
    <w:rsid w:val="007262F7"/>
    <w:rsid w:val="00746616"/>
    <w:rsid w:val="00753948"/>
    <w:rsid w:val="0077334B"/>
    <w:rsid w:val="007737FD"/>
    <w:rsid w:val="00775029"/>
    <w:rsid w:val="007C113A"/>
    <w:rsid w:val="007D79ED"/>
    <w:rsid w:val="007E160A"/>
    <w:rsid w:val="0080643E"/>
    <w:rsid w:val="00807265"/>
    <w:rsid w:val="008146A4"/>
    <w:rsid w:val="0082767C"/>
    <w:rsid w:val="00852B7F"/>
    <w:rsid w:val="008652FC"/>
    <w:rsid w:val="008935A5"/>
    <w:rsid w:val="008A2958"/>
    <w:rsid w:val="008B6F0C"/>
    <w:rsid w:val="008D701F"/>
    <w:rsid w:val="008F4929"/>
    <w:rsid w:val="009051D2"/>
    <w:rsid w:val="00910A1F"/>
    <w:rsid w:val="00932F5F"/>
    <w:rsid w:val="00941546"/>
    <w:rsid w:val="0096051C"/>
    <w:rsid w:val="00960EBC"/>
    <w:rsid w:val="009677BC"/>
    <w:rsid w:val="00982021"/>
    <w:rsid w:val="00986DDA"/>
    <w:rsid w:val="00993F01"/>
    <w:rsid w:val="0099756F"/>
    <w:rsid w:val="009A7446"/>
    <w:rsid w:val="009B0D0E"/>
    <w:rsid w:val="009B2660"/>
    <w:rsid w:val="009C1D2C"/>
    <w:rsid w:val="009E2268"/>
    <w:rsid w:val="00A1130C"/>
    <w:rsid w:val="00A43500"/>
    <w:rsid w:val="00A451AC"/>
    <w:rsid w:val="00A75FF0"/>
    <w:rsid w:val="00AA14B5"/>
    <w:rsid w:val="00AE3816"/>
    <w:rsid w:val="00AE49FF"/>
    <w:rsid w:val="00AE4DC2"/>
    <w:rsid w:val="00B20648"/>
    <w:rsid w:val="00B2340A"/>
    <w:rsid w:val="00B30B88"/>
    <w:rsid w:val="00B33E73"/>
    <w:rsid w:val="00B4008A"/>
    <w:rsid w:val="00B5771E"/>
    <w:rsid w:val="00B644D2"/>
    <w:rsid w:val="00B649DA"/>
    <w:rsid w:val="00B7295C"/>
    <w:rsid w:val="00B82260"/>
    <w:rsid w:val="00B95E09"/>
    <w:rsid w:val="00BB0E7B"/>
    <w:rsid w:val="00BB3BD1"/>
    <w:rsid w:val="00BD77D0"/>
    <w:rsid w:val="00BF676B"/>
    <w:rsid w:val="00BF712C"/>
    <w:rsid w:val="00C06153"/>
    <w:rsid w:val="00C21FEC"/>
    <w:rsid w:val="00C3067C"/>
    <w:rsid w:val="00C400D1"/>
    <w:rsid w:val="00C45851"/>
    <w:rsid w:val="00C53A22"/>
    <w:rsid w:val="00C5654B"/>
    <w:rsid w:val="00C803F9"/>
    <w:rsid w:val="00C847FD"/>
    <w:rsid w:val="00C96968"/>
    <w:rsid w:val="00CA7A6A"/>
    <w:rsid w:val="00CB78C2"/>
    <w:rsid w:val="00CC4691"/>
    <w:rsid w:val="00CD5819"/>
    <w:rsid w:val="00CF7D8E"/>
    <w:rsid w:val="00D0624A"/>
    <w:rsid w:val="00D23B33"/>
    <w:rsid w:val="00D4134C"/>
    <w:rsid w:val="00D467DD"/>
    <w:rsid w:val="00D46907"/>
    <w:rsid w:val="00D50A08"/>
    <w:rsid w:val="00D51FBF"/>
    <w:rsid w:val="00D61BC1"/>
    <w:rsid w:val="00D97A1A"/>
    <w:rsid w:val="00DB2CEF"/>
    <w:rsid w:val="00DB689C"/>
    <w:rsid w:val="00DB709B"/>
    <w:rsid w:val="00DC1FAF"/>
    <w:rsid w:val="00DC502D"/>
    <w:rsid w:val="00DE0F41"/>
    <w:rsid w:val="00E15CCB"/>
    <w:rsid w:val="00E26B46"/>
    <w:rsid w:val="00E6210F"/>
    <w:rsid w:val="00E82B4D"/>
    <w:rsid w:val="00E87007"/>
    <w:rsid w:val="00E91313"/>
    <w:rsid w:val="00E95229"/>
    <w:rsid w:val="00E95CDC"/>
    <w:rsid w:val="00EC2F0E"/>
    <w:rsid w:val="00EF0189"/>
    <w:rsid w:val="00EF1B82"/>
    <w:rsid w:val="00F66EF1"/>
    <w:rsid w:val="00F7684C"/>
    <w:rsid w:val="00F80CA8"/>
    <w:rsid w:val="00F91715"/>
    <w:rsid w:val="00FC4E49"/>
    <w:rsid w:val="00FC679D"/>
    <w:rsid w:val="00FF6D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8A9AC0"/>
  <w15:chartTrackingRefBased/>
  <w15:docId w15:val="{ED153A54-86D8-4244-963D-663DF99F6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797"/>
    <w:pPr>
      <w:spacing w:line="360" w:lineRule="auto"/>
      <w:ind w:firstLine="720"/>
      <w:jc w:val="both"/>
    </w:pPr>
    <w:rPr>
      <w:rFonts w:ascii="Arial" w:hAnsi="Arial" w:cs="Arial"/>
    </w:rPr>
  </w:style>
  <w:style w:type="paragraph" w:styleId="Heading1">
    <w:name w:val="heading 1"/>
    <w:basedOn w:val="Normal"/>
    <w:next w:val="Normal"/>
    <w:link w:val="Heading1Char"/>
    <w:uiPriority w:val="9"/>
    <w:qFormat/>
    <w:rsid w:val="008652FC"/>
    <w:pPr>
      <w:keepNext/>
      <w:keepLines/>
      <w:spacing w:before="240" w:after="0"/>
      <w:ind w:firstLine="0"/>
      <w:outlineLvl w:val="0"/>
    </w:pPr>
    <w:rPr>
      <w:rFonts w:eastAsiaTheme="majorEastAsia"/>
      <w:b/>
      <w:color w:val="000000" w:themeColor="text1"/>
      <w:sz w:val="32"/>
      <w:szCs w:val="32"/>
    </w:rPr>
  </w:style>
  <w:style w:type="paragraph" w:styleId="Heading2">
    <w:name w:val="heading 2"/>
    <w:basedOn w:val="Normal"/>
    <w:next w:val="Normal"/>
    <w:link w:val="Heading2Char"/>
    <w:uiPriority w:val="9"/>
    <w:unhideWhenUsed/>
    <w:qFormat/>
    <w:rsid w:val="005E0360"/>
    <w:pPr>
      <w:ind w:firstLine="0"/>
      <w:outlineLvl w:val="1"/>
    </w:pPr>
    <w:rPr>
      <w:b/>
      <w:i/>
      <w:sz w:val="28"/>
    </w:rPr>
  </w:style>
  <w:style w:type="paragraph" w:styleId="Heading3">
    <w:name w:val="heading 3"/>
    <w:basedOn w:val="Normal"/>
    <w:next w:val="Normal"/>
    <w:link w:val="Heading3Char"/>
    <w:uiPriority w:val="9"/>
    <w:unhideWhenUsed/>
    <w:qFormat/>
    <w:rsid w:val="005E0360"/>
    <w:pPr>
      <w:ind w:firstLine="0"/>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2FC"/>
    <w:rPr>
      <w:rFonts w:ascii="Arial" w:eastAsiaTheme="majorEastAsia" w:hAnsi="Arial" w:cs="Arial"/>
      <w:b/>
      <w:color w:val="000000" w:themeColor="text1"/>
      <w:sz w:val="32"/>
      <w:szCs w:val="32"/>
    </w:rPr>
  </w:style>
  <w:style w:type="character" w:customStyle="1" w:styleId="Heading2Char">
    <w:name w:val="Heading 2 Char"/>
    <w:basedOn w:val="DefaultParagraphFont"/>
    <w:link w:val="Heading2"/>
    <w:uiPriority w:val="9"/>
    <w:rsid w:val="005E0360"/>
    <w:rPr>
      <w:rFonts w:ascii="Arial" w:hAnsi="Arial" w:cs="Arial"/>
      <w:b/>
      <w:i/>
      <w:sz w:val="28"/>
    </w:rPr>
  </w:style>
  <w:style w:type="character" w:customStyle="1" w:styleId="Heading3Char">
    <w:name w:val="Heading 3 Char"/>
    <w:basedOn w:val="DefaultParagraphFont"/>
    <w:link w:val="Heading3"/>
    <w:uiPriority w:val="9"/>
    <w:rsid w:val="005E0360"/>
    <w:rPr>
      <w:rFonts w:ascii="Arial" w:hAnsi="Arial" w:cs="Arial"/>
      <w:i/>
      <w:sz w:val="24"/>
    </w:rPr>
  </w:style>
  <w:style w:type="paragraph" w:styleId="NormalWeb">
    <w:name w:val="Normal (Web)"/>
    <w:basedOn w:val="Normal"/>
    <w:uiPriority w:val="99"/>
    <w:unhideWhenUsed/>
    <w:rsid w:val="00AE49FF"/>
    <w:pPr>
      <w:spacing w:before="100" w:beforeAutospacing="1" w:after="100" w:afterAutospacing="1" w:line="240" w:lineRule="auto"/>
    </w:pPr>
    <w:rPr>
      <w:rFonts w:ascii="Times New Roman" w:eastAsia="Times New Roman" w:hAnsi="Times New Roman" w:cs="Times New Roman"/>
      <w:szCs w:val="24"/>
      <w:lang w:eastAsia="en-GB"/>
    </w:rPr>
  </w:style>
  <w:style w:type="table" w:styleId="PlainTable2">
    <w:name w:val="Plain Table 2"/>
    <w:basedOn w:val="TableNormal"/>
    <w:uiPriority w:val="42"/>
    <w:rsid w:val="00C21FE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Strong">
    <w:name w:val="Strong"/>
    <w:basedOn w:val="DefaultParagraphFont"/>
    <w:uiPriority w:val="22"/>
    <w:qFormat/>
    <w:rsid w:val="00C21FEC"/>
    <w:rPr>
      <w:b/>
      <w:bCs/>
    </w:rPr>
  </w:style>
  <w:style w:type="character" w:styleId="Emphasis">
    <w:name w:val="Emphasis"/>
    <w:basedOn w:val="DefaultParagraphFont"/>
    <w:uiPriority w:val="20"/>
    <w:qFormat/>
    <w:rsid w:val="009B0D0E"/>
    <w:rPr>
      <w:i/>
      <w:iCs/>
    </w:rPr>
  </w:style>
  <w:style w:type="character" w:styleId="Hyperlink">
    <w:name w:val="Hyperlink"/>
    <w:basedOn w:val="DefaultParagraphFont"/>
    <w:uiPriority w:val="99"/>
    <w:unhideWhenUsed/>
    <w:rsid w:val="009B0D0E"/>
    <w:rPr>
      <w:color w:val="0000FF"/>
      <w:u w:val="single"/>
    </w:rPr>
  </w:style>
  <w:style w:type="paragraph" w:styleId="ListParagraph">
    <w:name w:val="List Paragraph"/>
    <w:basedOn w:val="Normal"/>
    <w:uiPriority w:val="34"/>
    <w:qFormat/>
    <w:rsid w:val="007D79ED"/>
    <w:pPr>
      <w:ind w:left="720"/>
      <w:contextualSpacing/>
    </w:pPr>
  </w:style>
  <w:style w:type="paragraph" w:styleId="Header">
    <w:name w:val="header"/>
    <w:basedOn w:val="Normal"/>
    <w:link w:val="HeaderChar"/>
    <w:uiPriority w:val="99"/>
    <w:unhideWhenUsed/>
    <w:rsid w:val="00492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B69"/>
    <w:rPr>
      <w:rFonts w:ascii="Arial" w:hAnsi="Arial" w:cs="Arial"/>
      <w:sz w:val="24"/>
    </w:rPr>
  </w:style>
  <w:style w:type="paragraph" w:styleId="Footer">
    <w:name w:val="footer"/>
    <w:basedOn w:val="Normal"/>
    <w:link w:val="FooterChar"/>
    <w:uiPriority w:val="99"/>
    <w:unhideWhenUsed/>
    <w:rsid w:val="00492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B69"/>
    <w:rPr>
      <w:rFonts w:ascii="Arial" w:hAnsi="Arial" w:cs="Arial"/>
      <w:sz w:val="24"/>
    </w:rPr>
  </w:style>
  <w:style w:type="paragraph" w:styleId="TOC1">
    <w:name w:val="toc 1"/>
    <w:basedOn w:val="Normal"/>
    <w:next w:val="Normal"/>
    <w:autoRedefine/>
    <w:uiPriority w:val="39"/>
    <w:unhideWhenUsed/>
    <w:rsid w:val="00492B69"/>
    <w:pPr>
      <w:spacing w:after="100"/>
    </w:pPr>
  </w:style>
  <w:style w:type="paragraph" w:styleId="TOC2">
    <w:name w:val="toc 2"/>
    <w:basedOn w:val="Normal"/>
    <w:next w:val="Normal"/>
    <w:autoRedefine/>
    <w:uiPriority w:val="39"/>
    <w:unhideWhenUsed/>
    <w:rsid w:val="00492B69"/>
    <w:pPr>
      <w:spacing w:after="100"/>
      <w:ind w:left="240"/>
    </w:pPr>
  </w:style>
  <w:style w:type="paragraph" w:styleId="TOC3">
    <w:name w:val="toc 3"/>
    <w:basedOn w:val="Normal"/>
    <w:next w:val="Normal"/>
    <w:autoRedefine/>
    <w:uiPriority w:val="39"/>
    <w:unhideWhenUsed/>
    <w:rsid w:val="00492B69"/>
    <w:pPr>
      <w:spacing w:after="100"/>
      <w:ind w:left="480"/>
    </w:pPr>
  </w:style>
  <w:style w:type="table" w:styleId="GridTable3-Accent6">
    <w:name w:val="Grid Table 3 Accent 6"/>
    <w:basedOn w:val="TableNormal"/>
    <w:uiPriority w:val="48"/>
    <w:rsid w:val="0055759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6">
    <w:name w:val="Grid Table 4 Accent 6"/>
    <w:basedOn w:val="TableNormal"/>
    <w:uiPriority w:val="49"/>
    <w:rsid w:val="005526B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CommentReference">
    <w:name w:val="annotation reference"/>
    <w:basedOn w:val="DefaultParagraphFont"/>
    <w:uiPriority w:val="99"/>
    <w:semiHidden/>
    <w:unhideWhenUsed/>
    <w:rsid w:val="002B64E3"/>
    <w:rPr>
      <w:sz w:val="16"/>
      <w:szCs w:val="16"/>
    </w:rPr>
  </w:style>
  <w:style w:type="paragraph" w:styleId="CommentText">
    <w:name w:val="annotation text"/>
    <w:basedOn w:val="Normal"/>
    <w:link w:val="CommentTextChar"/>
    <w:uiPriority w:val="99"/>
    <w:unhideWhenUsed/>
    <w:rsid w:val="002B64E3"/>
    <w:pPr>
      <w:spacing w:line="240" w:lineRule="auto"/>
    </w:pPr>
    <w:rPr>
      <w:sz w:val="20"/>
      <w:szCs w:val="20"/>
    </w:rPr>
  </w:style>
  <w:style w:type="character" w:customStyle="1" w:styleId="CommentTextChar">
    <w:name w:val="Comment Text Char"/>
    <w:basedOn w:val="DefaultParagraphFont"/>
    <w:link w:val="CommentText"/>
    <w:uiPriority w:val="99"/>
    <w:rsid w:val="002B64E3"/>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2B64E3"/>
    <w:rPr>
      <w:b/>
      <w:bCs/>
    </w:rPr>
  </w:style>
  <w:style w:type="character" w:customStyle="1" w:styleId="CommentSubjectChar">
    <w:name w:val="Comment Subject Char"/>
    <w:basedOn w:val="CommentTextChar"/>
    <w:link w:val="CommentSubject"/>
    <w:uiPriority w:val="99"/>
    <w:semiHidden/>
    <w:rsid w:val="002B64E3"/>
    <w:rPr>
      <w:rFonts w:ascii="Arial" w:hAnsi="Arial" w:cs="Arial"/>
      <w:b/>
      <w:bCs/>
      <w:sz w:val="20"/>
      <w:szCs w:val="20"/>
    </w:rPr>
  </w:style>
  <w:style w:type="paragraph" w:styleId="BalloonText">
    <w:name w:val="Balloon Text"/>
    <w:basedOn w:val="Normal"/>
    <w:link w:val="BalloonTextChar"/>
    <w:uiPriority w:val="99"/>
    <w:semiHidden/>
    <w:unhideWhenUsed/>
    <w:rsid w:val="006D08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08D1"/>
    <w:rPr>
      <w:rFonts w:ascii="Segoe UI" w:hAnsi="Segoe UI" w:cs="Segoe UI"/>
      <w:sz w:val="18"/>
      <w:szCs w:val="18"/>
    </w:rPr>
  </w:style>
  <w:style w:type="paragraph" w:styleId="Caption">
    <w:name w:val="caption"/>
    <w:basedOn w:val="Normal"/>
    <w:next w:val="Normal"/>
    <w:uiPriority w:val="35"/>
    <w:unhideWhenUsed/>
    <w:qFormat/>
    <w:rsid w:val="004119A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7611410">
      <w:bodyDiv w:val="1"/>
      <w:marLeft w:val="0"/>
      <w:marRight w:val="0"/>
      <w:marTop w:val="0"/>
      <w:marBottom w:val="0"/>
      <w:divBdr>
        <w:top w:val="none" w:sz="0" w:space="0" w:color="auto"/>
        <w:left w:val="none" w:sz="0" w:space="0" w:color="auto"/>
        <w:bottom w:val="none" w:sz="0" w:space="0" w:color="auto"/>
        <w:right w:val="none" w:sz="0" w:space="0" w:color="auto"/>
      </w:divBdr>
    </w:div>
    <w:div w:id="1195463305">
      <w:bodyDiv w:val="1"/>
      <w:marLeft w:val="0"/>
      <w:marRight w:val="0"/>
      <w:marTop w:val="0"/>
      <w:marBottom w:val="0"/>
      <w:divBdr>
        <w:top w:val="none" w:sz="0" w:space="0" w:color="auto"/>
        <w:left w:val="none" w:sz="0" w:space="0" w:color="auto"/>
        <w:bottom w:val="none" w:sz="0" w:space="0" w:color="auto"/>
        <w:right w:val="none" w:sz="0" w:space="0" w:color="auto"/>
      </w:divBdr>
    </w:div>
    <w:div w:id="1577856307">
      <w:bodyDiv w:val="1"/>
      <w:marLeft w:val="0"/>
      <w:marRight w:val="0"/>
      <w:marTop w:val="0"/>
      <w:marBottom w:val="0"/>
      <w:divBdr>
        <w:top w:val="none" w:sz="0" w:space="0" w:color="auto"/>
        <w:left w:val="none" w:sz="0" w:space="0" w:color="auto"/>
        <w:bottom w:val="none" w:sz="0" w:space="0" w:color="auto"/>
        <w:right w:val="none" w:sz="0" w:space="0" w:color="auto"/>
      </w:divBdr>
    </w:div>
    <w:div w:id="1829636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bok.org/index.php/phases-page" TargetMode="External"/><Relationship Id="rId18" Type="http://schemas.openxmlformats.org/officeDocument/2006/relationships/hyperlink" Target="https://books.google.com/books?hl=en&amp;lr=&amp;id=DRUFCAAAQBAJ&amp;oi=fnd&amp;pg=PR13&amp;dq=Marketing+planning+considers+timing,+audience+segmentation,+and+message+consistency,+all+of+which+support+attendance+targets+and+revenue+generation&amp;ots=hST_leamC3&amp;sig=vXLDW0FnXoSmNengDkJN0eZiWio" TargetMode="External"/><Relationship Id="rId26" Type="http://schemas.openxmlformats.org/officeDocument/2006/relationships/hyperlink" Target="https://api.taylorfrancis.com/content/books/mono/download?identifierName=doi&amp;identifierValue=10.4324/9780203933695&amp;type=googlepdf" TargetMode="External"/><Relationship Id="rId21" Type="http://schemas.openxmlformats.org/officeDocument/2006/relationships/hyperlink" Target="https://www.tandfonline.com/doi/abs/10.1080/09669580903291007" TargetMode="External"/><Relationship Id="rId34" Type="http://schemas.openxmlformats.org/officeDocument/2006/relationships/hyperlink" Target="https://www.taylorfrancis.com/chapters/edit/10.4324/9781315695204-6/event-finance-robert-wilson" TargetMode="External"/><Relationship Id="rId7" Type="http://schemas.openxmlformats.org/officeDocument/2006/relationships/endnotes" Target="endnotes.xml"/><Relationship Id="rId12" Type="http://schemas.openxmlformats.org/officeDocument/2006/relationships/hyperlink" Target="https://www.taylorfrancis.com/books/mono/10.4324/9781003044963/events-management-glenn-bowdin-ian-mcdonnell-rob-harris-william-toole-johnny-allen-leo-jago" TargetMode="External"/><Relationship Id="rId17" Type="http://schemas.openxmlformats.org/officeDocument/2006/relationships/hyperlink" Target="https://ijdr.net/wp-content/uploads/2025/11/Vol-1-Issue-3-Whole-Issue.pdf" TargetMode="External"/><Relationship Id="rId25" Type="http://schemas.openxmlformats.org/officeDocument/2006/relationships/hyperlink" Target="https://www.emerald.com/insight/content/doi/10.1108/02686900410530565/full/html" TargetMode="External"/><Relationship Id="rId33" Type="http://schemas.openxmlformats.org/officeDocument/2006/relationships/hyperlink" Target="https://www.gov.wales/wales-year-legends-2017-campaign-goes-live" TargetMode="External"/><Relationship Id="rId2" Type="http://schemas.openxmlformats.org/officeDocument/2006/relationships/numbering" Target="numbering.xml"/><Relationship Id="rId16" Type="http://schemas.openxmlformats.org/officeDocument/2006/relationships/hyperlink" Target="https://www.iccaworld.org/news/post/icca-country-and-city-rankings-for-2023/" TargetMode="External"/><Relationship Id="rId20" Type="http://schemas.openxmlformats.org/officeDocument/2006/relationships/hyperlink" Target="https://onlinelibrary.wiley.com/doi/abs/10.1002/9780470592663.ch24" TargetMode="External"/><Relationship Id="rId29" Type="http://schemas.openxmlformats.org/officeDocument/2006/relationships/hyperlink" Target="https://www.ingentaconnect.com/content/cog/em/2005/00000009/00000004/art000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211973617301447" TargetMode="External"/><Relationship Id="rId24" Type="http://schemas.openxmlformats.org/officeDocument/2006/relationships/hyperlink" Target="https://cir.nii.ac.jp/crid/1971993809685094468" TargetMode="External"/><Relationship Id="rId32" Type="http://schemas.openxmlformats.org/officeDocument/2006/relationships/hyperlink" Target="https://industry.visitwales.com/get-involved/opportunities-meet-and-engage-business-events-industry"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ir.nii.ac.jp/crid/1130000794053211392" TargetMode="External"/><Relationship Id="rId23" Type="http://schemas.openxmlformats.org/officeDocument/2006/relationships/hyperlink" Target="https://www.researchgate.net/publication/323836255_Early_contractor_involvement_ECI_in_event_planning_and_management" TargetMode="External"/><Relationship Id="rId28" Type="http://schemas.openxmlformats.org/officeDocument/2006/relationships/hyperlink" Target="https://so05.tci-thaijo.org/index.php/commartsreviewsiamu/article/view/272772" TargetMode="External"/><Relationship Id="rId36" Type="http://schemas.openxmlformats.org/officeDocument/2006/relationships/fontTable" Target="fontTable.xml"/><Relationship Id="rId10" Type="http://schemas.openxmlformats.org/officeDocument/2006/relationships/hyperlink" Target="https://books.google.com/books?hl=en&amp;lr=&amp;id=fbIxEAAAQBAJ&amp;oi=fnd&amp;pg=PR3&amp;dq=event+budget++Event+Management&amp;ots=yUb0_-9i-u&amp;sig=nhj_K9hbd6ktG6Azoobba4Y9ttE" TargetMode="External"/><Relationship Id="rId19" Type="http://schemas.openxmlformats.org/officeDocument/2006/relationships/hyperlink" Target="https://journals.sagepub.com/doi/abs/10.1111/j.1937-5956.2011.01252.x" TargetMode="External"/><Relationship Id="rId31" Type="http://schemas.openxmlformats.org/officeDocument/2006/relationships/hyperlink" Target="https://www.igi-global.com/chapter/cultural-and-heritage-tourism-trends-for-sustainable-tourism/35235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ylorfrancis.com/books/mono/10.4324/9780429023002/event-studies-stephen-page-donald-getz" TargetMode="External"/><Relationship Id="rId22" Type="http://schemas.openxmlformats.org/officeDocument/2006/relationships/hyperlink" Target="https://books.google.com/books?hl=en&amp;lr=&amp;id=ipZXDwAAQBAJ&amp;oi=fnd&amp;pg=PR6&amp;dq=Meredith,+J.R.,+2022.+Project+Management:+A+Managerial+Approach.+10th+ed.+Hoboken,+NJ:+Wiley.&amp;ots=Qyp8rMECiX&amp;sig=SrnxHQxow2H89iIpBOrpxWS4_ck" TargetMode="External"/><Relationship Id="rId27" Type="http://schemas.openxmlformats.org/officeDocument/2006/relationships/hyperlink" Target="https://www.ingentaconnect.com/content/cog/em/2008/00000012/00000001/art00002" TargetMode="External"/><Relationship Id="rId30" Type="http://schemas.openxmlformats.org/officeDocument/2006/relationships/hyperlink" Target="https://books.google.com/books?hl=en&amp;lr=&amp;id=AS3XBQAAQBAJ&amp;oi=fnd&amp;pg=PR5&amp;dq=Smith,+M.K.+%26+Robinson,+M.,+2010.+Cultural+Tourism+in+a+Changing+World:+Politics,+Participation+and+(Re)presentation.+Bristol:+Channel+View+Publications.&amp;ots=yQFSAjvY9w&amp;sig=dHxtdffFvphNSVfwJeu6CTxT2JU"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251FA-478F-4DF1-873F-00BA13986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19</Pages>
  <Words>4772</Words>
  <Characters>32308</Characters>
  <Application>Microsoft Office Word</Application>
  <DocSecurity>0</DocSecurity>
  <Lines>751</Lines>
  <Paragraphs>356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Sabbir Ansar Hussain (2233891)</cp:lastModifiedBy>
  <cp:revision>7</cp:revision>
  <cp:lastPrinted>2026-02-13T12:19:00Z</cp:lastPrinted>
  <dcterms:created xsi:type="dcterms:W3CDTF">2026-02-19T12:33:00Z</dcterms:created>
  <dcterms:modified xsi:type="dcterms:W3CDTF">2026-02-25T13:03:00Z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af24a843-e112-4ed7-abc1-479c1a10bbcb</vt:lpwstr>
  </property>
</Properties>
</file>