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E94333" w14:textId="77777777" w:rsidR="00B15D0A" w:rsidRDefault="009A366F">
      <w:pPr>
        <w:spacing w:line="42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Did Peter have free will? </w:t>
      </w:r>
    </w:p>
    <w:p w14:paraId="0EC3B5D3" w14:textId="77777777" w:rsidR="00B15D0A" w:rsidRDefault="009A366F">
      <w:pPr>
        <w:spacing w:line="42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An examination of how </w:t>
      </w:r>
      <w:r>
        <w:rPr>
          <w:rFonts w:ascii="Times New Roman" w:eastAsia="Times New Roman" w:hAnsi="Times New Roman" w:cs="Times New Roman"/>
          <w:b/>
          <w:sz w:val="28"/>
          <w:szCs w:val="28"/>
        </w:rPr>
        <w:t>Peter’s denial of Jesus coalesces with the notion of free will and the ideas of the omniscience of God and the foreknowledge that comes with it.</w:t>
      </w:r>
    </w:p>
    <w:p w14:paraId="05231F45" w14:textId="77777777" w:rsidR="00B15D0A" w:rsidRDefault="009A366F">
      <w:pPr>
        <w:spacing w:line="42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By James Barrow</w:t>
      </w:r>
    </w:p>
    <w:p w14:paraId="2F7355B6" w14:textId="77777777" w:rsidR="00B15D0A" w:rsidRDefault="009A366F">
      <w:pPr>
        <w:spacing w:line="42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1702562</w:t>
      </w:r>
    </w:p>
    <w:p w14:paraId="76ABF112" w14:textId="77777777" w:rsidR="00B15D0A" w:rsidRDefault="00B15D0A">
      <w:pPr>
        <w:spacing w:line="420" w:lineRule="auto"/>
        <w:rPr>
          <w:rFonts w:ascii="Times New Roman" w:eastAsia="Times New Roman" w:hAnsi="Times New Roman" w:cs="Times New Roman"/>
          <w:b/>
          <w:sz w:val="24"/>
          <w:szCs w:val="24"/>
        </w:rPr>
      </w:pPr>
    </w:p>
    <w:p w14:paraId="3D4C2418" w14:textId="77777777" w:rsidR="00B15D0A" w:rsidRDefault="009A366F">
      <w:pPr>
        <w:spacing w:line="42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 Dissertation </w:t>
      </w:r>
    </w:p>
    <w:p w14:paraId="2D117D91" w14:textId="77777777" w:rsidR="00B15D0A" w:rsidRDefault="009A366F">
      <w:pPr>
        <w:spacing w:line="42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Submitted to the Department of Religious Studies </w:t>
      </w:r>
    </w:p>
    <w:p w14:paraId="130AFD25" w14:textId="77777777" w:rsidR="00B15D0A" w:rsidRDefault="00B15D0A">
      <w:pPr>
        <w:spacing w:line="420" w:lineRule="auto"/>
        <w:jc w:val="center"/>
        <w:rPr>
          <w:rFonts w:ascii="Times New Roman" w:eastAsia="Times New Roman" w:hAnsi="Times New Roman" w:cs="Times New Roman"/>
          <w:b/>
          <w:sz w:val="24"/>
          <w:szCs w:val="24"/>
        </w:rPr>
      </w:pPr>
    </w:p>
    <w:p w14:paraId="279E2346" w14:textId="77777777" w:rsidR="00B15D0A" w:rsidRDefault="009A366F">
      <w:pPr>
        <w:spacing w:line="42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At the University o</w:t>
      </w:r>
      <w:r>
        <w:rPr>
          <w:rFonts w:ascii="Times New Roman" w:eastAsia="Times New Roman" w:hAnsi="Times New Roman" w:cs="Times New Roman"/>
          <w:b/>
          <w:sz w:val="24"/>
          <w:szCs w:val="24"/>
        </w:rPr>
        <w:t>f Wales, Trinity Saint David</w:t>
      </w:r>
    </w:p>
    <w:p w14:paraId="78BBFC0F" w14:textId="77777777" w:rsidR="00B15D0A" w:rsidRDefault="009A366F">
      <w:pPr>
        <w:spacing w:line="42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 Partial Fulfilment of the Requirements</w:t>
      </w:r>
    </w:p>
    <w:p w14:paraId="5EC1BE2A" w14:textId="00E913E1" w:rsidR="00B15D0A" w:rsidRDefault="009A366F">
      <w:pPr>
        <w:spacing w:line="42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for the Degree of </w:t>
      </w:r>
      <w:r w:rsidR="008B2C04">
        <w:rPr>
          <w:rFonts w:ascii="Times New Roman" w:eastAsia="Times New Roman" w:hAnsi="Times New Roman" w:cs="Times New Roman"/>
          <w:b/>
          <w:sz w:val="24"/>
          <w:szCs w:val="24"/>
        </w:rPr>
        <w:t>Bachelor of Arts</w:t>
      </w:r>
      <w:r>
        <w:rPr>
          <w:rFonts w:ascii="Times New Roman" w:eastAsia="Times New Roman" w:hAnsi="Times New Roman" w:cs="Times New Roman"/>
          <w:b/>
          <w:sz w:val="24"/>
          <w:szCs w:val="24"/>
        </w:rPr>
        <w:t xml:space="preserve"> in Religion, Theology and Philosophy</w:t>
      </w:r>
    </w:p>
    <w:p w14:paraId="49A92EB1" w14:textId="77777777" w:rsidR="00B15D0A" w:rsidRDefault="00B15D0A">
      <w:pPr>
        <w:spacing w:line="420" w:lineRule="auto"/>
        <w:jc w:val="center"/>
        <w:rPr>
          <w:rFonts w:ascii="Times New Roman" w:eastAsia="Times New Roman" w:hAnsi="Times New Roman" w:cs="Times New Roman"/>
          <w:b/>
          <w:sz w:val="24"/>
          <w:szCs w:val="24"/>
        </w:rPr>
      </w:pPr>
    </w:p>
    <w:p w14:paraId="7A71298B" w14:textId="77777777" w:rsidR="00B15D0A" w:rsidRDefault="009A366F">
      <w:pPr>
        <w:spacing w:line="42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 certify that this dissertation is my own work, and that any use of other people’s work is fully acknowledged </w:t>
      </w:r>
      <w:r>
        <w:rPr>
          <w:rFonts w:ascii="Times New Roman" w:eastAsia="Times New Roman" w:hAnsi="Times New Roman" w:cs="Times New Roman"/>
          <w:b/>
          <w:sz w:val="24"/>
          <w:szCs w:val="24"/>
        </w:rPr>
        <w:t>in the references</w:t>
      </w:r>
    </w:p>
    <w:p w14:paraId="6253B341" w14:textId="77777777" w:rsidR="00B15D0A" w:rsidRDefault="009A366F">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mc:AlternateContent>
          <mc:Choice Requires="wpg">
            <w:drawing>
              <wp:inline distT="114300" distB="114300" distL="114300" distR="114300" wp14:anchorId="05B9BDF4" wp14:editId="41B8DA29">
                <wp:extent cx="2157413" cy="1207818"/>
                <wp:effectExtent l="0" t="0" r="0" b="0"/>
                <wp:docPr id="1" name="Group 1"/>
                <wp:cNvGraphicFramePr/>
                <a:graphic xmlns:a="http://schemas.openxmlformats.org/drawingml/2006/main">
                  <a:graphicData uri="http://schemas.microsoft.com/office/word/2010/wordprocessingGroup">
                    <wpg:wgp>
                      <wpg:cNvGrpSpPr/>
                      <wpg:grpSpPr>
                        <a:xfrm>
                          <a:off x="0" y="0"/>
                          <a:ext cx="2157413" cy="1207818"/>
                          <a:chOff x="352900" y="19600"/>
                          <a:chExt cx="4917101" cy="2743133"/>
                        </a:xfrm>
                      </wpg:grpSpPr>
                      <wps:wsp>
                        <wps:cNvPr id="2" name="Freeform: Shape 2"/>
                        <wps:cNvSpPr/>
                        <wps:spPr>
                          <a:xfrm>
                            <a:off x="1229201" y="496683"/>
                            <a:ext cx="4040800" cy="2266050"/>
                          </a:xfrm>
                          <a:custGeom>
                            <a:avLst/>
                            <a:gdLst/>
                            <a:ahLst/>
                            <a:cxnLst/>
                            <a:rect l="l" t="t" r="r" b="b"/>
                            <a:pathLst>
                              <a:path w="161632" h="90642" extrusionOk="0">
                                <a:moveTo>
                                  <a:pt x="4159" y="6012"/>
                                </a:moveTo>
                                <a:cubicBezTo>
                                  <a:pt x="19577" y="19549"/>
                                  <a:pt x="38507" y="31185"/>
                                  <a:pt x="47683" y="49536"/>
                                </a:cubicBezTo>
                                <a:cubicBezTo>
                                  <a:pt x="51837" y="57844"/>
                                  <a:pt x="55576" y="67385"/>
                                  <a:pt x="54349" y="76592"/>
                                </a:cubicBezTo>
                                <a:cubicBezTo>
                                  <a:pt x="53702" y="81448"/>
                                  <a:pt x="48672" y="85284"/>
                                  <a:pt x="44154" y="87179"/>
                                </a:cubicBezTo>
                                <a:cubicBezTo>
                                  <a:pt x="35593" y="90769"/>
                                  <a:pt x="24577" y="92196"/>
                                  <a:pt x="16314" y="87963"/>
                                </a:cubicBezTo>
                                <a:cubicBezTo>
                                  <a:pt x="6637" y="83006"/>
                                  <a:pt x="-3703" y="68540"/>
                                  <a:pt x="1414" y="58947"/>
                                </a:cubicBezTo>
                                <a:cubicBezTo>
                                  <a:pt x="4831" y="52542"/>
                                  <a:pt x="14293" y="51745"/>
                                  <a:pt x="21412" y="50321"/>
                                </a:cubicBezTo>
                                <a:cubicBezTo>
                                  <a:pt x="31093" y="48385"/>
                                  <a:pt x="40954" y="47171"/>
                                  <a:pt x="50820" y="46792"/>
                                </a:cubicBezTo>
                                <a:cubicBezTo>
                                  <a:pt x="58956" y="46479"/>
                                  <a:pt x="68014" y="48393"/>
                                  <a:pt x="75131" y="44439"/>
                                </a:cubicBezTo>
                                <a:cubicBezTo>
                                  <a:pt x="80122" y="41666"/>
                                  <a:pt x="80544" y="33635"/>
                                  <a:pt x="79836" y="27970"/>
                                </a:cubicBezTo>
                                <a:cubicBezTo>
                                  <a:pt x="79616" y="26206"/>
                                  <a:pt x="76895" y="25424"/>
                                  <a:pt x="76699" y="23657"/>
                                </a:cubicBezTo>
                                <a:cubicBezTo>
                                  <a:pt x="75848" y="15992"/>
                                  <a:pt x="77091" y="8235"/>
                                  <a:pt x="77091" y="523"/>
                                </a:cubicBezTo>
                                <a:cubicBezTo>
                                  <a:pt x="77091" y="0"/>
                                  <a:pt x="77091" y="1568"/>
                                  <a:pt x="77091" y="2091"/>
                                </a:cubicBezTo>
                                <a:cubicBezTo>
                                  <a:pt x="77091" y="4199"/>
                                  <a:pt x="77463" y="6298"/>
                                  <a:pt x="77876" y="8365"/>
                                </a:cubicBezTo>
                                <a:cubicBezTo>
                                  <a:pt x="78853" y="13250"/>
                                  <a:pt x="78803" y="18289"/>
                                  <a:pt x="79052" y="23265"/>
                                </a:cubicBezTo>
                                <a:cubicBezTo>
                                  <a:pt x="79743" y="37093"/>
                                  <a:pt x="81182" y="51005"/>
                                  <a:pt x="84541" y="64437"/>
                                </a:cubicBezTo>
                                <a:cubicBezTo>
                                  <a:pt x="85735" y="69212"/>
                                  <a:pt x="86636" y="74066"/>
                                  <a:pt x="87286" y="78945"/>
                                </a:cubicBezTo>
                                <a:cubicBezTo>
                                  <a:pt x="87459" y="80241"/>
                                  <a:pt x="87870" y="84035"/>
                                  <a:pt x="87286" y="82866"/>
                                </a:cubicBezTo>
                                <a:cubicBezTo>
                                  <a:pt x="84627" y="77541"/>
                                  <a:pt x="86457" y="70857"/>
                                  <a:pt x="84541" y="65221"/>
                                </a:cubicBezTo>
                                <a:cubicBezTo>
                                  <a:pt x="82079" y="57979"/>
                                  <a:pt x="72455" y="50019"/>
                                  <a:pt x="76699" y="43655"/>
                                </a:cubicBezTo>
                                <a:cubicBezTo>
                                  <a:pt x="81860" y="35916"/>
                                  <a:pt x="95155" y="39798"/>
                                  <a:pt x="103363" y="35420"/>
                                </a:cubicBezTo>
                                <a:cubicBezTo>
                                  <a:pt x="112707" y="30436"/>
                                  <a:pt x="110421" y="15034"/>
                                  <a:pt x="110421" y="4444"/>
                                </a:cubicBezTo>
                                <a:cubicBezTo>
                                  <a:pt x="110421" y="3239"/>
                                  <a:pt x="110913" y="6804"/>
                                  <a:pt x="111205" y="7973"/>
                                </a:cubicBezTo>
                                <a:cubicBezTo>
                                  <a:pt x="112455" y="12976"/>
                                  <a:pt x="112988" y="18139"/>
                                  <a:pt x="113558" y="23265"/>
                                </a:cubicBezTo>
                                <a:cubicBezTo>
                                  <a:pt x="114908" y="35416"/>
                                  <a:pt x="114918" y="47777"/>
                                  <a:pt x="117479" y="59731"/>
                                </a:cubicBezTo>
                                <a:cubicBezTo>
                                  <a:pt x="118409" y="64071"/>
                                  <a:pt x="120616" y="68233"/>
                                  <a:pt x="120616" y="72671"/>
                                </a:cubicBezTo>
                                <a:cubicBezTo>
                                  <a:pt x="120616" y="73614"/>
                                  <a:pt x="119364" y="71206"/>
                                  <a:pt x="119047" y="70318"/>
                                </a:cubicBezTo>
                                <a:cubicBezTo>
                                  <a:pt x="118254" y="68099"/>
                                  <a:pt x="118655" y="65616"/>
                                  <a:pt x="118655" y="63260"/>
                                </a:cubicBezTo>
                                <a:cubicBezTo>
                                  <a:pt x="118655" y="57876"/>
                                  <a:pt x="118339" y="52420"/>
                                  <a:pt x="117087" y="47184"/>
                                </a:cubicBezTo>
                                <a:cubicBezTo>
                                  <a:pt x="114169" y="34980"/>
                                  <a:pt x="108067" y="23753"/>
                                  <a:pt x="102971" y="12286"/>
                                </a:cubicBezTo>
                                <a:cubicBezTo>
                                  <a:pt x="101695" y="9414"/>
                                  <a:pt x="98821" y="6078"/>
                                  <a:pt x="100226" y="3267"/>
                                </a:cubicBezTo>
                                <a:cubicBezTo>
                                  <a:pt x="102168" y="-619"/>
                                  <a:pt x="108864" y="4222"/>
                                  <a:pt x="113165" y="4836"/>
                                </a:cubicBezTo>
                                <a:cubicBezTo>
                                  <a:pt x="126022" y="6672"/>
                                  <a:pt x="144733" y="10922"/>
                                  <a:pt x="147279" y="23657"/>
                                </a:cubicBezTo>
                                <a:cubicBezTo>
                                  <a:pt x="148477" y="29650"/>
                                  <a:pt x="139619" y="35053"/>
                                  <a:pt x="133555" y="35813"/>
                                </a:cubicBezTo>
                                <a:cubicBezTo>
                                  <a:pt x="131206" y="36107"/>
                                  <a:pt x="124489" y="35343"/>
                                  <a:pt x="126497" y="36597"/>
                                </a:cubicBezTo>
                                <a:cubicBezTo>
                                  <a:pt x="132932" y="40617"/>
                                  <a:pt x="142133" y="37376"/>
                                  <a:pt x="148847" y="40910"/>
                                </a:cubicBezTo>
                                <a:cubicBezTo>
                                  <a:pt x="155616" y="44473"/>
                                  <a:pt x="159950" y="52612"/>
                                  <a:pt x="161395" y="60123"/>
                                </a:cubicBezTo>
                                <a:cubicBezTo>
                                  <a:pt x="164266" y="75050"/>
                                  <a:pt x="135861" y="78068"/>
                                  <a:pt x="121008" y="81297"/>
                                </a:cubicBezTo>
                                <a:cubicBezTo>
                                  <a:pt x="103559" y="85090"/>
                                  <a:pt x="85136" y="90160"/>
                                  <a:pt x="67681" y="86395"/>
                                </a:cubicBezTo>
                                <a:cubicBezTo>
                                  <a:pt x="64736" y="85760"/>
                                  <a:pt x="52855" y="80334"/>
                                  <a:pt x="46115" y="78160"/>
                                </a:cubicBezTo>
                                <a:cubicBezTo>
                                  <a:pt x="35947" y="74880"/>
                                  <a:pt x="25038" y="73847"/>
                                  <a:pt x="14354" y="73847"/>
                                </a:cubicBezTo>
                              </a:path>
                            </a:pathLst>
                          </a:custGeom>
                          <a:noFill/>
                          <a:ln w="38100" cap="flat" cmpd="sng">
                            <a:solidFill>
                              <a:srgbClr val="000000"/>
                            </a:solidFill>
                            <a:prstDash val="solid"/>
                            <a:round/>
                            <a:headEnd type="none" w="med" len="med"/>
                            <a:tailEnd type="none" w="med" len="med"/>
                          </a:ln>
                        </wps:spPr>
                        <wps:bodyPr spcFirstLastPara="1" wrap="square" lIns="91425" tIns="91425" rIns="91425" bIns="91425" anchor="ctr" anchorCtr="0">
                          <a:noAutofit/>
                        </wps:bodyPr>
                      </wps:wsp>
                      <wps:wsp>
                        <wps:cNvPr id="3" name="Freeform: Shape 3"/>
                        <wps:cNvSpPr/>
                        <wps:spPr>
                          <a:xfrm>
                            <a:off x="352900" y="19600"/>
                            <a:ext cx="3715250" cy="843050"/>
                          </a:xfrm>
                          <a:custGeom>
                            <a:avLst/>
                            <a:gdLst/>
                            <a:ahLst/>
                            <a:cxnLst/>
                            <a:rect l="l" t="t" r="r" b="b"/>
                            <a:pathLst>
                              <a:path w="148610" h="33722" extrusionOk="0">
                                <a:moveTo>
                                  <a:pt x="0" y="33722"/>
                                </a:moveTo>
                                <a:cubicBezTo>
                                  <a:pt x="49975" y="24626"/>
                                  <a:pt x="99459" y="12823"/>
                                  <a:pt x="148610" y="0"/>
                                </a:cubicBezTo>
                              </a:path>
                            </a:pathLst>
                          </a:custGeom>
                          <a:noFill/>
                          <a:ln w="38100" cap="flat" cmpd="sng">
                            <a:solidFill>
                              <a:srgbClr val="000000"/>
                            </a:solidFill>
                            <a:prstDash val="solid"/>
                            <a:round/>
                            <a:headEnd type="none" w="med" len="med"/>
                            <a:tailEnd type="none" w="med" len="med"/>
                          </a:ln>
                        </wps:spPr>
                        <wps:bodyPr spcFirstLastPara="1" wrap="square" lIns="91425" tIns="91425" rIns="91425" bIns="91425" anchor="ctr" anchorCtr="0">
                          <a:noAutofit/>
                        </wps:bodyPr>
                      </wps:wsp>
                    </wpg:wgp>
                  </a:graphicData>
                </a:graphic>
              </wp:inline>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114300" distT="114300" distL="114300" distR="114300">
                <wp:extent cx="2157413" cy="1207818"/>
                <wp:effectExtent b="0" l="0" r="0" t="0"/>
                <wp:docPr id="1" name="image1.png"/>
                <a:graphic>
                  <a:graphicData uri="http://schemas.openxmlformats.org/drawingml/2006/picture">
                    <pic:pic>
                      <pic:nvPicPr>
                        <pic:cNvPr id="0" name="image1.png"/>
                        <pic:cNvPicPr preferRelativeResize="0"/>
                      </pic:nvPicPr>
                      <pic:blipFill>
                        <a:blip r:embed="rId8"/>
                        <a:srcRect/>
                        <a:stretch>
                          <a:fillRect/>
                        </a:stretch>
                      </pic:blipFill>
                      <pic:spPr>
                        <a:xfrm>
                          <a:off x="0" y="0"/>
                          <a:ext cx="2157413" cy="1207818"/>
                        </a:xfrm>
                        <a:prstGeom prst="rect"/>
                        <a:ln/>
                      </pic:spPr>
                    </pic:pic>
                  </a:graphicData>
                </a:graphic>
              </wp:inline>
            </w:drawing>
          </mc:Fallback>
        </mc:AlternateContent>
      </w:r>
    </w:p>
    <w:p w14:paraId="4010A4E5" w14:textId="29129BE2" w:rsidR="00B15D0A" w:rsidRPr="008B2C04" w:rsidRDefault="009A366F">
      <w:pPr>
        <w:spacing w:line="480" w:lineRule="auto"/>
        <w:jc w:val="center"/>
        <w:rPr>
          <w:rFonts w:ascii="Times New Roman" w:eastAsia="Times New Roman" w:hAnsi="Times New Roman" w:cs="Times New Roman"/>
          <w:b/>
          <w:sz w:val="32"/>
          <w:szCs w:val="32"/>
        </w:rPr>
      </w:pPr>
      <w:r w:rsidRPr="008B2C04">
        <w:rPr>
          <w:rFonts w:ascii="Times New Roman" w:eastAsia="Times New Roman" w:hAnsi="Times New Roman" w:cs="Times New Roman"/>
          <w:b/>
          <w:sz w:val="24"/>
          <w:szCs w:val="24"/>
        </w:rPr>
        <w:t>Word Count - 10,0</w:t>
      </w:r>
      <w:r w:rsidR="008B2C04" w:rsidRPr="008B2C04">
        <w:rPr>
          <w:rFonts w:ascii="Times New Roman" w:eastAsia="Times New Roman" w:hAnsi="Times New Roman" w:cs="Times New Roman"/>
          <w:b/>
          <w:sz w:val="24"/>
          <w:szCs w:val="24"/>
        </w:rPr>
        <w:t>00</w:t>
      </w:r>
      <w:r w:rsidRPr="008B2C04">
        <w:rPr>
          <w:sz w:val="28"/>
          <w:szCs w:val="28"/>
        </w:rPr>
        <w:br w:type="page"/>
      </w:r>
    </w:p>
    <w:p w14:paraId="5992CEB0" w14:textId="77777777" w:rsidR="00B15D0A" w:rsidRDefault="009A366F">
      <w:pPr>
        <w:spacing w:line="48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Acknowledgements</w:t>
      </w:r>
    </w:p>
    <w:p w14:paraId="70102C8C" w14:textId="77777777" w:rsidR="00B15D0A" w:rsidRDefault="009A3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Throughout the construction and writing of this dissertation I have received help from a number of people that I believe need to be acknowledged:</w:t>
      </w:r>
    </w:p>
    <w:p w14:paraId="3789E54E" w14:textId="77777777" w:rsidR="00B15D0A" w:rsidRDefault="009A3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would like to offer my personal thanks to my suppo</w:t>
      </w:r>
      <w:r>
        <w:rPr>
          <w:rFonts w:ascii="Times New Roman" w:eastAsia="Times New Roman" w:hAnsi="Times New Roman" w:cs="Times New Roman"/>
          <w:sz w:val="24"/>
          <w:szCs w:val="24"/>
        </w:rPr>
        <w:t>rt mentors at UWTSD, Gareth Rees and Bronwen ‘Blue’ Powell, for their unending help in both the academic side of the dissertation and the mental aspect of writing it.</w:t>
      </w:r>
    </w:p>
    <w:p w14:paraId="402EB149" w14:textId="77777777" w:rsidR="00B15D0A" w:rsidRDefault="009A3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would also like to share my unending gratitude for the lecturers Tristan Nash, Angus Sl</w:t>
      </w:r>
      <w:r>
        <w:rPr>
          <w:rFonts w:ascii="Times New Roman" w:eastAsia="Times New Roman" w:hAnsi="Times New Roman" w:cs="Times New Roman"/>
          <w:sz w:val="24"/>
          <w:szCs w:val="24"/>
        </w:rPr>
        <w:t>ater and Rhodri Thomas for their assistance in helping me acquire certain ways of understanding theological and philosophical ideas for the dissertation that proved beyond useful to the overall piece.</w:t>
      </w:r>
    </w:p>
    <w:p w14:paraId="5A541017" w14:textId="0A78F428" w:rsidR="00B15D0A" w:rsidRDefault="0059407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would</w:t>
      </w:r>
      <w:r w:rsidR="009A366F">
        <w:rPr>
          <w:rFonts w:ascii="Times New Roman" w:eastAsia="Times New Roman" w:hAnsi="Times New Roman" w:cs="Times New Roman"/>
          <w:sz w:val="24"/>
          <w:szCs w:val="24"/>
        </w:rPr>
        <w:t xml:space="preserve"> like to </w:t>
      </w:r>
      <w:r>
        <w:rPr>
          <w:rFonts w:ascii="Times New Roman" w:eastAsia="Times New Roman" w:hAnsi="Times New Roman" w:cs="Times New Roman"/>
          <w:sz w:val="24"/>
          <w:szCs w:val="24"/>
        </w:rPr>
        <w:t xml:space="preserve">also </w:t>
      </w:r>
      <w:r w:rsidR="009A366F">
        <w:rPr>
          <w:rFonts w:ascii="Times New Roman" w:eastAsia="Times New Roman" w:hAnsi="Times New Roman" w:cs="Times New Roman"/>
          <w:sz w:val="24"/>
          <w:szCs w:val="24"/>
        </w:rPr>
        <w:t>personally thank Kerrie Heath for proofreading the dissertation, offering advice on how to format the dissertation that I took to heart.</w:t>
      </w:r>
      <w:r w:rsidR="009A366F">
        <w:br w:type="page"/>
      </w:r>
    </w:p>
    <w:p w14:paraId="65FA22A3" w14:textId="77777777" w:rsidR="00B15D0A" w:rsidRDefault="009A366F">
      <w:pPr>
        <w:spacing w:line="48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Abstract</w:t>
      </w:r>
    </w:p>
    <w:p w14:paraId="480FB0B7" w14:textId="77777777" w:rsidR="00B15D0A" w:rsidRDefault="009A3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dissertation will look into the Biblical narrative of Peter denying Jesus three times, with </w:t>
      </w:r>
      <w:r>
        <w:rPr>
          <w:rFonts w:ascii="Times New Roman" w:eastAsia="Times New Roman" w:hAnsi="Times New Roman" w:cs="Times New Roman"/>
          <w:sz w:val="24"/>
          <w:szCs w:val="24"/>
        </w:rPr>
        <w:t>Jesus having predicted this action happening and Peter denying that he would ever do such a thing beforehand. The study will look into multiple aspects of how the story could be metaphorical instead of a historical and literal account, which would render t</w:t>
      </w:r>
      <w:r>
        <w:rPr>
          <w:rFonts w:ascii="Times New Roman" w:eastAsia="Times New Roman" w:hAnsi="Times New Roman" w:cs="Times New Roman"/>
          <w:sz w:val="24"/>
          <w:szCs w:val="24"/>
        </w:rPr>
        <w:t>he question null and void, as well as it looking into the complexities of divine foreknowledge and the philosophical and theological implications that an all-powerful being could create in a world of free agents. The apparent paradox of the two co-existing</w:t>
      </w:r>
      <w:r>
        <w:rPr>
          <w:rFonts w:ascii="Times New Roman" w:eastAsia="Times New Roman" w:hAnsi="Times New Roman" w:cs="Times New Roman"/>
          <w:sz w:val="24"/>
          <w:szCs w:val="24"/>
        </w:rPr>
        <w:t xml:space="preserve"> is debated at length with a conclusion that they </w:t>
      </w:r>
      <w:r>
        <w:rPr>
          <w:rFonts w:ascii="Times New Roman" w:eastAsia="Times New Roman" w:hAnsi="Times New Roman" w:cs="Times New Roman"/>
          <w:i/>
          <w:sz w:val="24"/>
          <w:szCs w:val="24"/>
        </w:rPr>
        <w:t>can</w:t>
      </w:r>
      <w:r>
        <w:rPr>
          <w:rFonts w:ascii="Times New Roman" w:eastAsia="Times New Roman" w:hAnsi="Times New Roman" w:cs="Times New Roman"/>
          <w:sz w:val="24"/>
          <w:szCs w:val="24"/>
        </w:rPr>
        <w:t>, if one were to accept the notion that the concept of omnipotence and omniscience in a divine being is far beyond the comprehension of humanity. Then the dissertation will make a definition of two diffe</w:t>
      </w:r>
      <w:r>
        <w:rPr>
          <w:rFonts w:ascii="Times New Roman" w:eastAsia="Times New Roman" w:hAnsi="Times New Roman" w:cs="Times New Roman"/>
          <w:sz w:val="24"/>
          <w:szCs w:val="24"/>
        </w:rPr>
        <w:t xml:space="preserve">rent forms of omniscience, namely what I mean by the terms </w:t>
      </w:r>
      <w:r>
        <w:rPr>
          <w:rFonts w:ascii="Times New Roman" w:eastAsia="Times New Roman" w:hAnsi="Times New Roman" w:cs="Times New Roman"/>
          <w:i/>
          <w:sz w:val="24"/>
          <w:szCs w:val="24"/>
        </w:rPr>
        <w:t xml:space="preserve">linear omniscience </w:t>
      </w:r>
      <w:r>
        <w:rPr>
          <w:rFonts w:ascii="Times New Roman" w:eastAsia="Times New Roman" w:hAnsi="Times New Roman" w:cs="Times New Roman"/>
          <w:sz w:val="24"/>
          <w:szCs w:val="24"/>
        </w:rPr>
        <w:t xml:space="preserve">and </w:t>
      </w:r>
      <w:r>
        <w:rPr>
          <w:rFonts w:ascii="Times New Roman" w:eastAsia="Times New Roman" w:hAnsi="Times New Roman" w:cs="Times New Roman"/>
          <w:i/>
          <w:sz w:val="24"/>
          <w:szCs w:val="24"/>
        </w:rPr>
        <w:t>true omniscience</w:t>
      </w:r>
      <w:r>
        <w:rPr>
          <w:rFonts w:ascii="Times New Roman" w:eastAsia="Times New Roman" w:hAnsi="Times New Roman" w:cs="Times New Roman"/>
          <w:sz w:val="24"/>
          <w:szCs w:val="24"/>
        </w:rPr>
        <w:t xml:space="preserve"> and the differences between the two. The summary is that it </w:t>
      </w:r>
      <w:r>
        <w:rPr>
          <w:rFonts w:ascii="Times New Roman" w:eastAsia="Times New Roman" w:hAnsi="Times New Roman" w:cs="Times New Roman"/>
          <w:i/>
          <w:sz w:val="24"/>
          <w:szCs w:val="24"/>
        </w:rPr>
        <w:t xml:space="preserve">is </w:t>
      </w:r>
      <w:r>
        <w:rPr>
          <w:rFonts w:ascii="Times New Roman" w:eastAsia="Times New Roman" w:hAnsi="Times New Roman" w:cs="Times New Roman"/>
          <w:sz w:val="24"/>
          <w:szCs w:val="24"/>
        </w:rPr>
        <w:t xml:space="preserve">possible to believe in both an omnipotent/omniscient being </w:t>
      </w:r>
      <w:r>
        <w:rPr>
          <w:rFonts w:ascii="Times New Roman" w:eastAsia="Times New Roman" w:hAnsi="Times New Roman" w:cs="Times New Roman"/>
          <w:i/>
          <w:sz w:val="24"/>
          <w:szCs w:val="24"/>
        </w:rPr>
        <w:t xml:space="preserve">and </w:t>
      </w:r>
      <w:r>
        <w:rPr>
          <w:rFonts w:ascii="Times New Roman" w:eastAsia="Times New Roman" w:hAnsi="Times New Roman" w:cs="Times New Roman"/>
          <w:sz w:val="24"/>
          <w:szCs w:val="24"/>
        </w:rPr>
        <w:t>free will without it being self</w:t>
      </w:r>
      <w:r>
        <w:rPr>
          <w:rFonts w:ascii="Times New Roman" w:eastAsia="Times New Roman" w:hAnsi="Times New Roman" w:cs="Times New Roman"/>
          <w:sz w:val="24"/>
          <w:szCs w:val="24"/>
        </w:rPr>
        <w:t xml:space="preserve">-contradicting, but not that it is the definitive truth that all must follow. It is still possible to believe in omnipotence and omniscience in other ways, just that free will </w:t>
      </w:r>
      <w:r>
        <w:rPr>
          <w:rFonts w:ascii="Times New Roman" w:eastAsia="Times New Roman" w:hAnsi="Times New Roman" w:cs="Times New Roman"/>
          <w:i/>
          <w:sz w:val="24"/>
          <w:szCs w:val="24"/>
        </w:rPr>
        <w:t xml:space="preserve">can </w:t>
      </w:r>
      <w:r>
        <w:rPr>
          <w:rFonts w:ascii="Times New Roman" w:eastAsia="Times New Roman" w:hAnsi="Times New Roman" w:cs="Times New Roman"/>
          <w:sz w:val="24"/>
          <w:szCs w:val="24"/>
        </w:rPr>
        <w:t>logically exist alongside an all-powerful being.</w:t>
      </w:r>
    </w:p>
    <w:p w14:paraId="1CFB2CBB" w14:textId="77777777" w:rsidR="00B15D0A" w:rsidRDefault="009A366F">
      <w:pPr>
        <w:spacing w:line="480" w:lineRule="auto"/>
        <w:jc w:val="center"/>
        <w:rPr>
          <w:rFonts w:ascii="Times New Roman" w:eastAsia="Times New Roman" w:hAnsi="Times New Roman" w:cs="Times New Roman"/>
          <w:b/>
          <w:sz w:val="28"/>
          <w:szCs w:val="28"/>
        </w:rPr>
      </w:pPr>
      <w:r>
        <w:br w:type="page"/>
      </w:r>
    </w:p>
    <w:p w14:paraId="6AEFCA03" w14:textId="77777777" w:rsidR="00B15D0A" w:rsidRDefault="009A366F">
      <w:pPr>
        <w:spacing w:line="48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 xml:space="preserve">Chapter 0 – Introduction </w:t>
      </w:r>
      <w:r>
        <w:rPr>
          <w:rFonts w:ascii="Times New Roman" w:eastAsia="Times New Roman" w:hAnsi="Times New Roman" w:cs="Times New Roman"/>
          <w:b/>
          <w:sz w:val="28"/>
          <w:szCs w:val="28"/>
        </w:rPr>
        <w:t>to the Question</w:t>
      </w:r>
    </w:p>
    <w:p w14:paraId="0C25CB41" w14:textId="77777777" w:rsidR="00B15D0A" w:rsidRDefault="009A3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this dissertation will intended to look into is the biblical story that occurs in the Gospel of Matthew 26:33-35, the Gospel of Mark 14:29-31, the Gospel of Luke 22 33-34 and the Gospel of John 13:36-38 which tells of how Jesus Christ </w:t>
      </w:r>
      <w:r>
        <w:rPr>
          <w:rFonts w:ascii="Times New Roman" w:eastAsia="Times New Roman" w:hAnsi="Times New Roman" w:cs="Times New Roman"/>
          <w:sz w:val="24"/>
          <w:szCs w:val="24"/>
        </w:rPr>
        <w:t>was able to predict, or have clairvoyant knowledge of the fact that Peter would deny knowing or his alleged association with Jesus and his group no fewer than three times after his arrest and before a new day broke/dawned. Doing this will mean looking into</w:t>
      </w:r>
      <w:r>
        <w:rPr>
          <w:rFonts w:ascii="Times New Roman" w:eastAsia="Times New Roman" w:hAnsi="Times New Roman" w:cs="Times New Roman"/>
          <w:sz w:val="24"/>
          <w:szCs w:val="24"/>
        </w:rPr>
        <w:t xml:space="preserve"> the text of Peter’s denial itself and determining whether it is a literal account or if it is more of an abstract story and the implications that omnipotence may have on the concept of free will and tackling the potential paradoxical nature that this may </w:t>
      </w:r>
      <w:r>
        <w:rPr>
          <w:rFonts w:ascii="Times New Roman" w:eastAsia="Times New Roman" w:hAnsi="Times New Roman" w:cs="Times New Roman"/>
          <w:sz w:val="24"/>
          <w:szCs w:val="24"/>
        </w:rPr>
        <w:t>present.</w:t>
      </w:r>
    </w:p>
    <w:p w14:paraId="20F34153" w14:textId="77777777" w:rsidR="00B15D0A" w:rsidRDefault="009A3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must be noted that while there is a lot of commentary on this parable of the Bible as well as centuries worth of research into the aspects of free will and its associations with religious texts, there does not appear to be much in the way of an</w:t>
      </w:r>
      <w:r>
        <w:rPr>
          <w:rFonts w:ascii="Times New Roman" w:eastAsia="Times New Roman" w:hAnsi="Times New Roman" w:cs="Times New Roman"/>
          <w:sz w:val="24"/>
          <w:szCs w:val="24"/>
        </w:rPr>
        <w:t>swering the question of divine knowledge and the impacts that that may have by way of religious texts (if people were to take them as a literal retelling of historical events as some do). There are exceptions to this, however, as due to the nature of theol</w:t>
      </w:r>
      <w:r>
        <w:rPr>
          <w:rFonts w:ascii="Times New Roman" w:eastAsia="Times New Roman" w:hAnsi="Times New Roman" w:cs="Times New Roman"/>
          <w:sz w:val="24"/>
          <w:szCs w:val="24"/>
        </w:rPr>
        <w:t xml:space="preserve">ogy, the very idea of trying to answer the theological questions that have philosophical implications is near-impossible without coming across at least </w:t>
      </w:r>
      <w:r>
        <w:rPr>
          <w:rFonts w:ascii="Times New Roman" w:eastAsia="Times New Roman" w:hAnsi="Times New Roman" w:cs="Times New Roman"/>
          <w:i/>
          <w:sz w:val="24"/>
          <w:szCs w:val="24"/>
        </w:rPr>
        <w:t xml:space="preserve">one </w:t>
      </w:r>
      <w:r>
        <w:rPr>
          <w:rFonts w:ascii="Times New Roman" w:eastAsia="Times New Roman" w:hAnsi="Times New Roman" w:cs="Times New Roman"/>
          <w:sz w:val="24"/>
          <w:szCs w:val="24"/>
        </w:rPr>
        <w:t xml:space="preserve">text that attempts to do the same. With this, this dissertation </w:t>
      </w:r>
      <w:r>
        <w:rPr>
          <w:rFonts w:ascii="Times New Roman" w:eastAsia="Times New Roman" w:hAnsi="Times New Roman" w:cs="Times New Roman"/>
          <w:i/>
          <w:sz w:val="24"/>
          <w:szCs w:val="24"/>
        </w:rPr>
        <w:t xml:space="preserve">will </w:t>
      </w:r>
      <w:r>
        <w:rPr>
          <w:rFonts w:ascii="Times New Roman" w:eastAsia="Times New Roman" w:hAnsi="Times New Roman" w:cs="Times New Roman"/>
          <w:sz w:val="24"/>
          <w:szCs w:val="24"/>
        </w:rPr>
        <w:t>attempt to answer this question</w:t>
      </w:r>
      <w:r>
        <w:rPr>
          <w:rFonts w:ascii="Times New Roman" w:eastAsia="Times New Roman" w:hAnsi="Times New Roman" w:cs="Times New Roman"/>
          <w:sz w:val="24"/>
          <w:szCs w:val="24"/>
        </w:rPr>
        <w:t xml:space="preserve"> of whether or not Peter could be constituted to have had free will, whilst using the story of Peter’s denial of Jesus as a conduit for discussing the topic in hand. The story of Peter’s denial has four versions that reside in the Bible, each in one of the</w:t>
      </w:r>
      <w:r>
        <w:rPr>
          <w:rFonts w:ascii="Times New Roman" w:eastAsia="Times New Roman" w:hAnsi="Times New Roman" w:cs="Times New Roman"/>
          <w:sz w:val="24"/>
          <w:szCs w:val="24"/>
        </w:rPr>
        <w:t xml:space="preserve"> four Gospels. For this section, I will focus on the version that is regaled in the Book of Matthew, which reads thusly: </w:t>
      </w:r>
    </w:p>
    <w:p w14:paraId="2F1DD649" w14:textId="77777777" w:rsidR="00B15D0A" w:rsidRDefault="009A366F">
      <w:pPr>
        <w:spacing w:line="276"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Peter said to him, “Though all become deserters because of you, I will never desert you.” Jesus said to him, “Truly I tell you, this very night, before the cock crows, you will deny me three times.” Peter said to him, “Even though I must die with you, I wi</w:t>
      </w:r>
      <w:r>
        <w:rPr>
          <w:rFonts w:ascii="Times New Roman" w:eastAsia="Times New Roman" w:hAnsi="Times New Roman" w:cs="Times New Roman"/>
          <w:sz w:val="24"/>
          <w:szCs w:val="24"/>
        </w:rPr>
        <w:t>ll not deny you.” And so said all the disciples. [Matt. 26:33-35 (NRSV)]</w:t>
      </w:r>
    </w:p>
    <w:p w14:paraId="26B26CC9" w14:textId="77777777" w:rsidR="00B15D0A" w:rsidRDefault="009A3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There is then a gap in the Gospel, after which the same gospel then reads later in the same chapter:</w:t>
      </w:r>
    </w:p>
    <w:p w14:paraId="260432B0" w14:textId="77777777" w:rsidR="00B15D0A" w:rsidRDefault="009A366F">
      <w:pPr>
        <w:spacing w:line="276"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 Peter was sitting outside in the courtyard. A servant-girl came to him and sai</w:t>
      </w:r>
      <w:r>
        <w:rPr>
          <w:rFonts w:ascii="Times New Roman" w:eastAsia="Times New Roman" w:hAnsi="Times New Roman" w:cs="Times New Roman"/>
          <w:sz w:val="24"/>
          <w:szCs w:val="24"/>
        </w:rPr>
        <w:t>d, “You also were with Jesus the Galilean.” But he denied it before all of them, saying, “I do not know what you are talking about.” When he went out to the porch, another servant-girl saw him, and she said to the bystanders, “This man was with Jesus of Na</w:t>
      </w:r>
      <w:r>
        <w:rPr>
          <w:rFonts w:ascii="Times New Roman" w:eastAsia="Times New Roman" w:hAnsi="Times New Roman" w:cs="Times New Roman"/>
          <w:sz w:val="24"/>
          <w:szCs w:val="24"/>
        </w:rPr>
        <w:t>zareth.” Again, he denied it with an oath, “I do not know the man.” After a little while the bystanders came up and said to Peter, “Certainly you are also one of them, for your accent betrays you.” Then he began to curse, and he swore an oath, “I do not kn</w:t>
      </w:r>
      <w:r>
        <w:rPr>
          <w:rFonts w:ascii="Times New Roman" w:eastAsia="Times New Roman" w:hAnsi="Times New Roman" w:cs="Times New Roman"/>
          <w:sz w:val="24"/>
          <w:szCs w:val="24"/>
        </w:rPr>
        <w:t>ow the man!” At that moment, the cock crowed. Then Peter remembered what Jesus had said: “Before the cock crows, you will deny me three times.” And he went out and wept bitterly. [Matt. 26:69-75 (NRSV)]</w:t>
      </w:r>
    </w:p>
    <w:p w14:paraId="0A195159" w14:textId="77777777" w:rsidR="00B15D0A" w:rsidRDefault="009A366F">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From these extracts of the Bible, there are a multitu</w:t>
      </w:r>
      <w:r>
        <w:rPr>
          <w:rFonts w:ascii="Times New Roman" w:eastAsia="Times New Roman" w:hAnsi="Times New Roman" w:cs="Times New Roman"/>
          <w:sz w:val="24"/>
          <w:szCs w:val="24"/>
        </w:rPr>
        <w:t>de of questions that can arise from what is retold by each of the Gospel writers, such as pondering whether or not Jesus has a supernatural ability to predict the outcomes for the future, or whether Peter had/has the free will to necessitate his own action</w:t>
      </w:r>
      <w:r>
        <w:rPr>
          <w:rFonts w:ascii="Times New Roman" w:eastAsia="Times New Roman" w:hAnsi="Times New Roman" w:cs="Times New Roman"/>
          <w:sz w:val="24"/>
          <w:szCs w:val="24"/>
        </w:rPr>
        <w:t xml:space="preserve">s within this prediction. A third possibility could be that Peter performed his actions upon a presupposed thought process (that is - Jesus’ prediction that Peter </w:t>
      </w:r>
      <w:r>
        <w:rPr>
          <w:rFonts w:ascii="Times New Roman" w:eastAsia="Times New Roman" w:hAnsi="Times New Roman" w:cs="Times New Roman"/>
          <w:i/>
          <w:sz w:val="24"/>
          <w:szCs w:val="24"/>
        </w:rPr>
        <w:t xml:space="preserve">would do </w:t>
      </w:r>
      <w:r>
        <w:rPr>
          <w:rFonts w:ascii="Times New Roman" w:eastAsia="Times New Roman" w:hAnsi="Times New Roman" w:cs="Times New Roman"/>
          <w:sz w:val="24"/>
          <w:szCs w:val="24"/>
        </w:rPr>
        <w:t xml:space="preserve">a specific thing) that would in turn lead him to perform actions in which he wanted </w:t>
      </w:r>
      <w:r>
        <w:rPr>
          <w:rFonts w:ascii="Times New Roman" w:eastAsia="Times New Roman" w:hAnsi="Times New Roman" w:cs="Times New Roman"/>
          <w:sz w:val="24"/>
          <w:szCs w:val="24"/>
        </w:rPr>
        <w:t xml:space="preserve">no part of himself. From this, a further question stems from the notion of biblical omniscience, and what it means to have knowledge over everything, and what </w:t>
      </w:r>
      <w:r>
        <w:rPr>
          <w:rFonts w:ascii="Times New Roman" w:eastAsia="Times New Roman" w:hAnsi="Times New Roman" w:cs="Times New Roman"/>
          <w:i/>
          <w:sz w:val="24"/>
          <w:szCs w:val="24"/>
        </w:rPr>
        <w:t>everything</w:t>
      </w:r>
      <w:r>
        <w:rPr>
          <w:rFonts w:ascii="Times New Roman" w:eastAsia="Times New Roman" w:hAnsi="Times New Roman" w:cs="Times New Roman"/>
          <w:sz w:val="24"/>
          <w:szCs w:val="24"/>
        </w:rPr>
        <w:t xml:space="preserve"> actually constitutes. These questions are paramount to understanding the theological i</w:t>
      </w:r>
      <w:r>
        <w:rPr>
          <w:rFonts w:ascii="Times New Roman" w:eastAsia="Times New Roman" w:hAnsi="Times New Roman" w:cs="Times New Roman"/>
          <w:sz w:val="24"/>
          <w:szCs w:val="24"/>
        </w:rPr>
        <w:t>mpacts that the Gospels share with people, and what truths can be learned, whether they be an absolute truth and an honest account of what God can do and what God does with that power, or an allegorical look onto the human psyche, to which the underlying m</w:t>
      </w:r>
      <w:r>
        <w:rPr>
          <w:rFonts w:ascii="Times New Roman" w:eastAsia="Times New Roman" w:hAnsi="Times New Roman" w:cs="Times New Roman"/>
          <w:sz w:val="24"/>
          <w:szCs w:val="24"/>
        </w:rPr>
        <w:t>eanings can then be analysed in a deeper manner.</w:t>
      </w:r>
      <w:r>
        <w:br w:type="page"/>
      </w:r>
    </w:p>
    <w:p w14:paraId="08527AC8" w14:textId="77777777" w:rsidR="00B15D0A" w:rsidRDefault="009A366F">
      <w:pPr>
        <w:spacing w:line="48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Chapter I – Free Will and its Associations with Religion</w:t>
      </w:r>
    </w:p>
    <w:p w14:paraId="5F3D0E04" w14:textId="77777777" w:rsidR="00B15D0A" w:rsidRDefault="009A3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question as to whether or not Peter had free will in his decision to deny Jesus three times must first be qualified with a rudimentary definition</w:t>
      </w:r>
      <w:r>
        <w:rPr>
          <w:rFonts w:ascii="Times New Roman" w:eastAsia="Times New Roman" w:hAnsi="Times New Roman" w:cs="Times New Roman"/>
          <w:sz w:val="24"/>
          <w:szCs w:val="24"/>
        </w:rPr>
        <w:t xml:space="preserve"> of what free will actually entails. Whether it is a makeup of human brain chemistry or whether it is an outside ‘conscience’, such as a force that acts beyond the person that dictates what that person would do. With this, the counter to free will must als</w:t>
      </w:r>
      <w:r>
        <w:rPr>
          <w:rFonts w:ascii="Times New Roman" w:eastAsia="Times New Roman" w:hAnsi="Times New Roman" w:cs="Times New Roman"/>
          <w:sz w:val="24"/>
          <w:szCs w:val="24"/>
        </w:rPr>
        <w:t>o be considered, as that is also a valid way to perceive the actions of Peter. This alternative is called determinism, or the idea that every action that a person would perform has a predetermined outcome based on facts outside the purview of their respons</w:t>
      </w:r>
      <w:r>
        <w:rPr>
          <w:rFonts w:ascii="Times New Roman" w:eastAsia="Times New Roman" w:hAnsi="Times New Roman" w:cs="Times New Roman"/>
          <w:sz w:val="24"/>
          <w:szCs w:val="24"/>
        </w:rPr>
        <w:t>ibility, of which the facets that determine an outcome are themselves determined by a different outside force, ad infinitum. Robert Kane writes of the conflict between free will and determinism by saying:</w:t>
      </w:r>
    </w:p>
    <w:p w14:paraId="444F949B" w14:textId="77777777" w:rsidR="00B15D0A" w:rsidRDefault="009A366F">
      <w:pPr>
        <w:spacing w:line="276"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believe we have free will when we view ourselves</w:t>
      </w:r>
      <w:r>
        <w:rPr>
          <w:rFonts w:ascii="Times New Roman" w:eastAsia="Times New Roman" w:hAnsi="Times New Roman" w:cs="Times New Roman"/>
          <w:sz w:val="24"/>
          <w:szCs w:val="24"/>
        </w:rPr>
        <w:t xml:space="preserve"> as agents capable of influencing the world in various ways. Open alternatives seem to lie before us. […] For, as Aristotle said, ‘when acting is ‘up to us’, so is not acting.’ This ‘up-to-usness’ also suggests that the sources of our actions lie in us and</w:t>
      </w:r>
      <w:r>
        <w:rPr>
          <w:rFonts w:ascii="Times New Roman" w:eastAsia="Times New Roman" w:hAnsi="Times New Roman" w:cs="Times New Roman"/>
          <w:sz w:val="24"/>
          <w:szCs w:val="24"/>
        </w:rPr>
        <w:t xml:space="preserve"> not outside us in something beyond our control.</w:t>
      </w:r>
      <w:r>
        <w:rPr>
          <w:rFonts w:ascii="Times New Roman" w:eastAsia="Times New Roman" w:hAnsi="Times New Roman" w:cs="Times New Roman"/>
          <w:sz w:val="24"/>
          <w:szCs w:val="24"/>
          <w:vertAlign w:val="superscript"/>
        </w:rPr>
        <w:footnoteReference w:id="1"/>
      </w:r>
    </w:p>
    <w:p w14:paraId="3C04E064" w14:textId="77777777" w:rsidR="00B15D0A" w:rsidRDefault="009A3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Kane then goes on to suggest that Aristotle’s view on free will would mean that if any deterministic view were to be correct, then it would therefore show that there was only one action that people can tak</w:t>
      </w:r>
      <w:r>
        <w:rPr>
          <w:rFonts w:ascii="Times New Roman" w:eastAsia="Times New Roman" w:hAnsi="Times New Roman" w:cs="Times New Roman"/>
          <w:sz w:val="24"/>
          <w:szCs w:val="24"/>
        </w:rPr>
        <w:t xml:space="preserve">e in any given circumstance, showing that actions are not </w:t>
      </w:r>
      <w:r>
        <w:rPr>
          <w:rFonts w:ascii="Times New Roman" w:eastAsia="Times New Roman" w:hAnsi="Times New Roman" w:cs="Times New Roman"/>
          <w:i/>
          <w:sz w:val="24"/>
          <w:szCs w:val="24"/>
        </w:rPr>
        <w:t xml:space="preserve">truly </w:t>
      </w:r>
      <w:r>
        <w:rPr>
          <w:rFonts w:ascii="Times New Roman" w:eastAsia="Times New Roman" w:hAnsi="Times New Roman" w:cs="Times New Roman"/>
          <w:sz w:val="24"/>
          <w:szCs w:val="24"/>
        </w:rPr>
        <w:t>‘up to us’, and that potential sources of any actions that people may take derive from outside of their own will, and could be considered to be fate, or a divine being deciding for them.</w:t>
      </w:r>
      <w:r>
        <w:rPr>
          <w:rFonts w:ascii="Times New Roman" w:eastAsia="Times New Roman" w:hAnsi="Times New Roman" w:cs="Times New Roman"/>
          <w:sz w:val="24"/>
          <w:szCs w:val="24"/>
          <w:vertAlign w:val="superscript"/>
        </w:rPr>
        <w:footnoteReference w:id="2"/>
      </w:r>
    </w:p>
    <w:p w14:paraId="22212D41" w14:textId="77777777" w:rsidR="00B15D0A" w:rsidRDefault="009A3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Hilary Bok, in her journal article </w:t>
      </w:r>
      <w:r>
        <w:rPr>
          <w:rFonts w:ascii="Times New Roman" w:eastAsia="Times New Roman" w:hAnsi="Times New Roman" w:cs="Times New Roman"/>
          <w:i/>
          <w:sz w:val="24"/>
          <w:szCs w:val="24"/>
        </w:rPr>
        <w:t>Freedom and Practical Reason</w:t>
      </w:r>
      <w:r>
        <w:rPr>
          <w:rFonts w:ascii="Times New Roman" w:eastAsia="Times New Roman" w:hAnsi="Times New Roman" w:cs="Times New Roman"/>
          <w:sz w:val="24"/>
          <w:szCs w:val="24"/>
        </w:rPr>
        <w:t>, posits “We are free, we think, only when we can choose among courses of action that are truly open to us. And some course of action is truly open to us only if it is in fact possible for us t</w:t>
      </w:r>
      <w:r>
        <w:rPr>
          <w:rFonts w:ascii="Times New Roman" w:eastAsia="Times New Roman" w:hAnsi="Times New Roman" w:cs="Times New Roman"/>
          <w:sz w:val="24"/>
          <w:szCs w:val="24"/>
        </w:rPr>
        <w:t>o perform it.”</w:t>
      </w:r>
      <w:r>
        <w:rPr>
          <w:rFonts w:ascii="Times New Roman" w:eastAsia="Times New Roman" w:hAnsi="Times New Roman" w:cs="Times New Roman"/>
          <w:sz w:val="24"/>
          <w:szCs w:val="24"/>
          <w:vertAlign w:val="superscript"/>
        </w:rPr>
        <w:footnoteReference w:id="3"/>
      </w:r>
      <w:r>
        <w:rPr>
          <w:rFonts w:ascii="Times New Roman" w:eastAsia="Times New Roman" w:hAnsi="Times New Roman" w:cs="Times New Roman"/>
          <w:sz w:val="24"/>
          <w:szCs w:val="24"/>
        </w:rPr>
        <w:t xml:space="preserve"> This, alongside </w:t>
      </w:r>
      <w:r>
        <w:rPr>
          <w:rFonts w:ascii="Times New Roman" w:eastAsia="Times New Roman" w:hAnsi="Times New Roman" w:cs="Times New Roman"/>
          <w:sz w:val="24"/>
          <w:szCs w:val="24"/>
        </w:rPr>
        <w:lastRenderedPageBreak/>
        <w:t xml:space="preserve">Kane’s view, can open up the questions as to whether Peter truly had free will in his decision to deny Christ three times, even though Jesus told him that it would happen within a short timescale and Peter being opposed to </w:t>
      </w:r>
      <w:r>
        <w:rPr>
          <w:rFonts w:ascii="Times New Roman" w:eastAsia="Times New Roman" w:hAnsi="Times New Roman" w:cs="Times New Roman"/>
          <w:sz w:val="24"/>
          <w:szCs w:val="24"/>
        </w:rPr>
        <w:t>the idea that he would ever betray who he saw to be the Messiah. It is a deterministic view to say that Jesus held influence over this decision, and one that makes a cogent argument that tells how Peter had no free will in his denial. However, there is mor</w:t>
      </w:r>
      <w:r>
        <w:rPr>
          <w:rFonts w:ascii="Times New Roman" w:eastAsia="Times New Roman" w:hAnsi="Times New Roman" w:cs="Times New Roman"/>
          <w:sz w:val="24"/>
          <w:szCs w:val="24"/>
        </w:rPr>
        <w:t>e nuance in the argument of free will when it is put alongside religious viewpoints. For example, William Hasker, talking about the theological implications of people being willing to commit sin in the eyes of Christian doctrine, argues that it is always "</w:t>
      </w:r>
      <w:r>
        <w:rPr>
          <w:rFonts w:ascii="Times New Roman" w:eastAsia="Times New Roman" w:hAnsi="Times New Roman" w:cs="Times New Roman"/>
          <w:sz w:val="24"/>
          <w:szCs w:val="24"/>
        </w:rPr>
        <w:t>within the agent's power to perform the action and also in the agent's power to refrain from the action."</w:t>
      </w:r>
      <w:r>
        <w:rPr>
          <w:rFonts w:ascii="Times New Roman" w:eastAsia="Times New Roman" w:hAnsi="Times New Roman" w:cs="Times New Roman"/>
          <w:sz w:val="24"/>
          <w:szCs w:val="24"/>
          <w:vertAlign w:val="superscript"/>
        </w:rPr>
        <w:footnoteReference w:id="4"/>
      </w:r>
      <w:r>
        <w:rPr>
          <w:rFonts w:ascii="Times New Roman" w:eastAsia="Times New Roman" w:hAnsi="Times New Roman" w:cs="Times New Roman"/>
          <w:sz w:val="24"/>
          <w:szCs w:val="24"/>
        </w:rPr>
        <w:t xml:space="preserve"> This holds the strong connotation that regardless of what Jesus may have said, it was ultimately the decision of Peter to deny Christ three times be</w:t>
      </w:r>
      <w:r>
        <w:rPr>
          <w:rFonts w:ascii="Times New Roman" w:eastAsia="Times New Roman" w:hAnsi="Times New Roman" w:cs="Times New Roman"/>
          <w:sz w:val="24"/>
          <w:szCs w:val="24"/>
        </w:rPr>
        <w:t>fore the rooster crowed. Mortimer Jerome Adler cautions and argues about ‘circumstantial freedom’ and how the actions that God wills people to do gives those people freedom under certain circumstances, and that from there, people are not truly free as thei</w:t>
      </w:r>
      <w:r>
        <w:rPr>
          <w:rFonts w:ascii="Times New Roman" w:eastAsia="Times New Roman" w:hAnsi="Times New Roman" w:cs="Times New Roman"/>
          <w:sz w:val="24"/>
          <w:szCs w:val="24"/>
        </w:rPr>
        <w:t>r choices are hindered by a higher power. To summarise succinctly, they could never choose from the true array of options that they may potentially have had.</w:t>
      </w:r>
      <w:r>
        <w:rPr>
          <w:rFonts w:ascii="Times New Roman" w:eastAsia="Times New Roman" w:hAnsi="Times New Roman" w:cs="Times New Roman"/>
          <w:sz w:val="24"/>
          <w:szCs w:val="24"/>
          <w:vertAlign w:val="superscript"/>
        </w:rPr>
        <w:footnoteReference w:id="5"/>
      </w:r>
      <w:r>
        <w:rPr>
          <w:rFonts w:ascii="Times New Roman" w:eastAsia="Times New Roman" w:hAnsi="Times New Roman" w:cs="Times New Roman"/>
          <w:sz w:val="24"/>
          <w:szCs w:val="24"/>
        </w:rPr>
        <w:t xml:space="preserve"> </w:t>
      </w:r>
    </w:p>
    <w:p w14:paraId="6DD1D0AE" w14:textId="7D9A63D0" w:rsidR="00B15D0A" w:rsidRDefault="009A3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his book, </w:t>
      </w:r>
      <w:r>
        <w:rPr>
          <w:rFonts w:ascii="Times New Roman" w:eastAsia="Times New Roman" w:hAnsi="Times New Roman" w:cs="Times New Roman"/>
          <w:i/>
          <w:sz w:val="24"/>
          <w:szCs w:val="24"/>
        </w:rPr>
        <w:t>Luther: Right or Wrong</w:t>
      </w:r>
      <w:r>
        <w:rPr>
          <w:rFonts w:ascii="Times New Roman" w:eastAsia="Times New Roman" w:hAnsi="Times New Roman" w:cs="Times New Roman"/>
          <w:sz w:val="24"/>
          <w:szCs w:val="24"/>
        </w:rPr>
        <w:t>, Harry J. McSorley expands on Adler’s view of freedom by wr</w:t>
      </w:r>
      <w:r>
        <w:rPr>
          <w:rFonts w:ascii="Times New Roman" w:eastAsia="Times New Roman" w:hAnsi="Times New Roman" w:cs="Times New Roman"/>
          <w:sz w:val="24"/>
          <w:szCs w:val="24"/>
        </w:rPr>
        <w:t>iting, “A second type of freedom that has been distinguished by philosophers and theologians is that which Adler calls 'circumstantial freedom.' This is a freedom that 'consists in an individual's ability to realize his desires or to act as he wishes',”</w:t>
      </w:r>
      <w:r>
        <w:rPr>
          <w:rFonts w:ascii="Times New Roman" w:eastAsia="Times New Roman" w:hAnsi="Times New Roman" w:cs="Times New Roman"/>
          <w:sz w:val="24"/>
          <w:szCs w:val="24"/>
          <w:vertAlign w:val="superscript"/>
        </w:rPr>
        <w:footnoteReference w:id="6"/>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to which he then qualifies in his footnotes by clarifying that Adler “does not assert that the types of freedom he describes actually exist; he simply asserts that there are groups of authors who have upheld the existence </w:t>
      </w:r>
      <w:r>
        <w:rPr>
          <w:rFonts w:ascii="Times New Roman" w:eastAsia="Times New Roman" w:hAnsi="Times New Roman" w:cs="Times New Roman"/>
          <w:sz w:val="24"/>
          <w:szCs w:val="24"/>
        </w:rPr>
        <w:lastRenderedPageBreak/>
        <w:t>of these different kinds of freedo</w:t>
      </w:r>
      <w:r>
        <w:rPr>
          <w:rFonts w:ascii="Times New Roman" w:eastAsia="Times New Roman" w:hAnsi="Times New Roman" w:cs="Times New Roman"/>
          <w:sz w:val="24"/>
          <w:szCs w:val="24"/>
        </w:rPr>
        <w:t>m,”</w:t>
      </w:r>
      <w:r>
        <w:rPr>
          <w:rFonts w:ascii="Times New Roman" w:eastAsia="Times New Roman" w:hAnsi="Times New Roman" w:cs="Times New Roman"/>
          <w:sz w:val="24"/>
          <w:szCs w:val="24"/>
          <w:vertAlign w:val="superscript"/>
        </w:rPr>
        <w:footnoteReference w:id="7"/>
      </w:r>
      <w:r>
        <w:rPr>
          <w:rFonts w:ascii="Times New Roman" w:eastAsia="Times New Roman" w:hAnsi="Times New Roman" w:cs="Times New Roman"/>
          <w:sz w:val="24"/>
          <w:szCs w:val="24"/>
        </w:rPr>
        <w:t xml:space="preserve"> What this quote qualifies is this innate, primal freedom that Adler supposes </w:t>
      </w:r>
      <w:r>
        <w:rPr>
          <w:rFonts w:ascii="Times New Roman" w:eastAsia="Times New Roman" w:hAnsi="Times New Roman" w:cs="Times New Roman"/>
          <w:i/>
          <w:sz w:val="24"/>
          <w:szCs w:val="24"/>
        </w:rPr>
        <w:t xml:space="preserve">may </w:t>
      </w:r>
      <w:r>
        <w:rPr>
          <w:rFonts w:ascii="Times New Roman" w:eastAsia="Times New Roman" w:hAnsi="Times New Roman" w:cs="Times New Roman"/>
          <w:sz w:val="24"/>
          <w:szCs w:val="24"/>
        </w:rPr>
        <w:t>exist in all of humanity; the ability to think and act for their own benefits whilst ignoring any restrictions or influences from the outside world. The ideas that exist</w:t>
      </w:r>
      <w:r>
        <w:rPr>
          <w:rFonts w:ascii="Times New Roman" w:eastAsia="Times New Roman" w:hAnsi="Times New Roman" w:cs="Times New Roman"/>
          <w:sz w:val="24"/>
          <w:szCs w:val="24"/>
        </w:rPr>
        <w:t xml:space="preserve"> in a person’s brain </w:t>
      </w:r>
      <w:r>
        <w:rPr>
          <w:rFonts w:ascii="Times New Roman" w:eastAsia="Times New Roman" w:hAnsi="Times New Roman" w:cs="Times New Roman"/>
          <w:i/>
          <w:sz w:val="24"/>
          <w:szCs w:val="24"/>
        </w:rPr>
        <w:t xml:space="preserve">can </w:t>
      </w:r>
      <w:r>
        <w:rPr>
          <w:rFonts w:ascii="Times New Roman" w:eastAsia="Times New Roman" w:hAnsi="Times New Roman" w:cs="Times New Roman"/>
          <w:sz w:val="24"/>
          <w:szCs w:val="24"/>
        </w:rPr>
        <w:t>exist due to the simple circumstance that they in themselves exist without another force concocting or formulating them. This kind of freedom is given the name of ‘</w:t>
      </w:r>
      <w:r>
        <w:rPr>
          <w:rFonts w:ascii="Times New Roman" w:eastAsia="Times New Roman" w:hAnsi="Times New Roman" w:cs="Times New Roman"/>
          <w:i/>
          <w:sz w:val="24"/>
          <w:szCs w:val="24"/>
        </w:rPr>
        <w:t>natural freedom’</w:t>
      </w:r>
      <w:r>
        <w:rPr>
          <w:rFonts w:ascii="Times New Roman" w:eastAsia="Times New Roman" w:hAnsi="Times New Roman" w:cs="Times New Roman"/>
          <w:sz w:val="24"/>
          <w:szCs w:val="24"/>
        </w:rPr>
        <w:t>, and is inherent in the minds of all people that p</w:t>
      </w:r>
      <w:r>
        <w:rPr>
          <w:rFonts w:ascii="Times New Roman" w:eastAsia="Times New Roman" w:hAnsi="Times New Roman" w:cs="Times New Roman"/>
          <w:sz w:val="24"/>
          <w:szCs w:val="24"/>
        </w:rPr>
        <w:t>ossess the ability to come up with their own plans and delineations of how they want their life to process.</w:t>
      </w:r>
      <w:r>
        <w:rPr>
          <w:rFonts w:ascii="Times New Roman" w:eastAsia="Times New Roman" w:hAnsi="Times New Roman" w:cs="Times New Roman"/>
          <w:sz w:val="24"/>
          <w:szCs w:val="24"/>
          <w:vertAlign w:val="superscript"/>
        </w:rPr>
        <w:footnoteReference w:id="8"/>
      </w:r>
      <w:r>
        <w:rPr>
          <w:rFonts w:ascii="Times New Roman" w:eastAsia="Times New Roman" w:hAnsi="Times New Roman" w:cs="Times New Roman"/>
          <w:sz w:val="24"/>
          <w:szCs w:val="24"/>
        </w:rPr>
        <w:t xml:space="preserve"> Furthermore, an extension to this philosophical notion of freedom is Adler’s </w:t>
      </w:r>
      <w:r>
        <w:rPr>
          <w:rFonts w:ascii="Times New Roman" w:eastAsia="Times New Roman" w:hAnsi="Times New Roman" w:cs="Times New Roman"/>
          <w:i/>
          <w:sz w:val="24"/>
          <w:szCs w:val="24"/>
        </w:rPr>
        <w:t xml:space="preserve">third </w:t>
      </w:r>
      <w:r>
        <w:rPr>
          <w:rFonts w:ascii="Times New Roman" w:eastAsia="Times New Roman" w:hAnsi="Times New Roman" w:cs="Times New Roman"/>
          <w:sz w:val="24"/>
          <w:szCs w:val="24"/>
        </w:rPr>
        <w:t>form of freedom, which he dubs ‘The Acquired Freedom of Self-Pe</w:t>
      </w:r>
      <w:r>
        <w:rPr>
          <w:rFonts w:ascii="Times New Roman" w:eastAsia="Times New Roman" w:hAnsi="Times New Roman" w:cs="Times New Roman"/>
          <w:sz w:val="24"/>
          <w:szCs w:val="24"/>
        </w:rPr>
        <w:t>rfection’.</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This follows from a result of utilising this ‘circumstantial freedom’ to its fullest </w:t>
      </w:r>
      <w:r w:rsidR="008B2C04">
        <w:rPr>
          <w:rFonts w:ascii="Times New Roman" w:eastAsia="Times New Roman" w:hAnsi="Times New Roman" w:cs="Times New Roman"/>
          <w:sz w:val="24"/>
          <w:szCs w:val="24"/>
        </w:rPr>
        <w:t>potential and</w:t>
      </w:r>
      <w:r>
        <w:rPr>
          <w:rFonts w:ascii="Times New Roman" w:eastAsia="Times New Roman" w:hAnsi="Times New Roman" w:cs="Times New Roman"/>
          <w:sz w:val="24"/>
          <w:szCs w:val="24"/>
        </w:rPr>
        <w:t xml:space="preserve"> would be the kind of freedom that only the </w:t>
      </w:r>
      <w:r>
        <w:rPr>
          <w:rFonts w:ascii="Times New Roman" w:eastAsia="Times New Roman" w:hAnsi="Times New Roman" w:cs="Times New Roman"/>
          <w:i/>
          <w:sz w:val="24"/>
          <w:szCs w:val="24"/>
        </w:rPr>
        <w:t xml:space="preserve">truly </w:t>
      </w:r>
      <w:r>
        <w:rPr>
          <w:rFonts w:ascii="Times New Roman" w:eastAsia="Times New Roman" w:hAnsi="Times New Roman" w:cs="Times New Roman"/>
          <w:sz w:val="24"/>
          <w:szCs w:val="24"/>
        </w:rPr>
        <w:t xml:space="preserve">virtuous can acquire. An excerpt from Desmond J. Fitzgerald’s article entitled </w:t>
      </w:r>
      <w:r>
        <w:rPr>
          <w:rFonts w:ascii="Times New Roman" w:eastAsia="Times New Roman" w:hAnsi="Times New Roman" w:cs="Times New Roman"/>
          <w:i/>
          <w:sz w:val="24"/>
          <w:szCs w:val="24"/>
        </w:rPr>
        <w:t>Adler’s ‘The Idea</w:t>
      </w:r>
      <w:r>
        <w:rPr>
          <w:rFonts w:ascii="Times New Roman" w:eastAsia="Times New Roman" w:hAnsi="Times New Roman" w:cs="Times New Roman"/>
          <w:i/>
          <w:sz w:val="24"/>
          <w:szCs w:val="24"/>
        </w:rPr>
        <w:t xml:space="preserve"> of Freedom’ </w:t>
      </w:r>
      <w:r>
        <w:rPr>
          <w:rFonts w:ascii="Times New Roman" w:eastAsia="Times New Roman" w:hAnsi="Times New Roman" w:cs="Times New Roman"/>
          <w:sz w:val="24"/>
          <w:szCs w:val="24"/>
        </w:rPr>
        <w:t>reads:</w:t>
      </w:r>
    </w:p>
    <w:p w14:paraId="253F9AA6" w14:textId="77777777" w:rsidR="00B15D0A" w:rsidRDefault="009A366F">
      <w:pPr>
        <w:spacing w:line="276"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Not everyone enjoys this freedom, for it is the freedom of the virtuous person, whose higher self dominates his passions or lower self; it is acquired by the hard work of developing good habits, and one of the controversies of the secon</w:t>
      </w:r>
      <w:r>
        <w:rPr>
          <w:rFonts w:ascii="Times New Roman" w:eastAsia="Times New Roman" w:hAnsi="Times New Roman" w:cs="Times New Roman"/>
          <w:sz w:val="24"/>
          <w:szCs w:val="24"/>
        </w:rPr>
        <w:t>d volume relating to this freedom was whether or not it could be acquired independently of the help of divine grace.</w:t>
      </w:r>
      <w:r>
        <w:rPr>
          <w:rFonts w:ascii="Times New Roman" w:eastAsia="Times New Roman" w:hAnsi="Times New Roman" w:cs="Times New Roman"/>
          <w:sz w:val="24"/>
          <w:szCs w:val="24"/>
          <w:vertAlign w:val="superscript"/>
        </w:rPr>
        <w:footnoteReference w:id="9"/>
      </w:r>
    </w:p>
    <w:p w14:paraId="141C9A77" w14:textId="77777777" w:rsidR="00B15D0A" w:rsidRDefault="009A3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summary of what this long-winded explanation of what Adler defines as being freedom can be expressed in three parts:</w:t>
      </w:r>
    </w:p>
    <w:p w14:paraId="285E77A3" w14:textId="77777777" w:rsidR="00B15D0A" w:rsidRDefault="009A366F">
      <w:pPr>
        <w:numPr>
          <w:ilvl w:val="0"/>
          <w:numId w:val="1"/>
        </w:numPr>
        <w:pBdr>
          <w:top w:val="nil"/>
          <w:left w:val="nil"/>
          <w:bottom w:val="nil"/>
          <w:right w:val="nil"/>
          <w:between w:val="nil"/>
        </w:pBdr>
        <w:spacing w:line="276" w:lineRule="auto"/>
        <w:jc w:val="both"/>
        <w:rPr>
          <w:color w:val="000000"/>
          <w:sz w:val="24"/>
          <w:szCs w:val="24"/>
        </w:rPr>
      </w:pPr>
      <w:r>
        <w:rPr>
          <w:rFonts w:ascii="Times New Roman" w:eastAsia="Times New Roman" w:hAnsi="Times New Roman" w:cs="Times New Roman"/>
          <w:i/>
          <w:color w:val="000000"/>
          <w:sz w:val="24"/>
          <w:szCs w:val="24"/>
        </w:rPr>
        <w:t xml:space="preserve">Circumstantial freedom - </w:t>
      </w:r>
      <w:r>
        <w:rPr>
          <w:rFonts w:ascii="Times New Roman" w:eastAsia="Times New Roman" w:hAnsi="Times New Roman" w:cs="Times New Roman"/>
          <w:color w:val="000000"/>
          <w:sz w:val="24"/>
          <w:szCs w:val="24"/>
        </w:rPr>
        <w:t>The freedom that is given under the circumstances of your surroundings.</w:t>
      </w:r>
    </w:p>
    <w:p w14:paraId="4B2068BA" w14:textId="77777777" w:rsidR="00B15D0A" w:rsidRDefault="009A366F">
      <w:pPr>
        <w:numPr>
          <w:ilvl w:val="0"/>
          <w:numId w:val="1"/>
        </w:numPr>
        <w:pBdr>
          <w:top w:val="nil"/>
          <w:left w:val="nil"/>
          <w:bottom w:val="nil"/>
          <w:right w:val="nil"/>
          <w:between w:val="nil"/>
        </w:pBdr>
        <w:spacing w:line="276" w:lineRule="auto"/>
        <w:jc w:val="both"/>
        <w:rPr>
          <w:color w:val="000000"/>
          <w:sz w:val="24"/>
          <w:szCs w:val="24"/>
        </w:rPr>
      </w:pPr>
      <w:r>
        <w:rPr>
          <w:rFonts w:ascii="Times New Roman" w:eastAsia="Times New Roman" w:hAnsi="Times New Roman" w:cs="Times New Roman"/>
          <w:i/>
          <w:color w:val="000000"/>
          <w:sz w:val="24"/>
          <w:szCs w:val="24"/>
        </w:rPr>
        <w:t>Natural freedom –</w:t>
      </w:r>
      <w:r>
        <w:rPr>
          <w:rFonts w:ascii="Times New Roman" w:eastAsia="Times New Roman" w:hAnsi="Times New Roman" w:cs="Times New Roman"/>
          <w:color w:val="000000"/>
          <w:sz w:val="24"/>
          <w:szCs w:val="24"/>
        </w:rPr>
        <w:t xml:space="preserve"> The freedom that is inherent to the free mind of every person. Each idea is created in a pure sense that determines how people wish to act from their own desires.</w:t>
      </w:r>
    </w:p>
    <w:p w14:paraId="355E9079" w14:textId="77777777" w:rsidR="00B15D0A" w:rsidRDefault="009A366F">
      <w:pPr>
        <w:numPr>
          <w:ilvl w:val="0"/>
          <w:numId w:val="1"/>
        </w:numPr>
        <w:pBdr>
          <w:top w:val="nil"/>
          <w:left w:val="nil"/>
          <w:bottom w:val="nil"/>
          <w:right w:val="nil"/>
          <w:between w:val="nil"/>
        </w:pBdr>
        <w:spacing w:line="276" w:lineRule="auto"/>
        <w:jc w:val="both"/>
        <w:rPr>
          <w:color w:val="000000"/>
          <w:sz w:val="24"/>
          <w:szCs w:val="24"/>
        </w:rPr>
      </w:pPr>
      <w:r>
        <w:rPr>
          <w:rFonts w:ascii="Times New Roman" w:eastAsia="Times New Roman" w:hAnsi="Times New Roman" w:cs="Times New Roman"/>
          <w:i/>
          <w:color w:val="000000"/>
          <w:sz w:val="24"/>
          <w:szCs w:val="24"/>
        </w:rPr>
        <w:lastRenderedPageBreak/>
        <w:t>Acquired freedom –</w:t>
      </w:r>
      <w:r>
        <w:rPr>
          <w:rFonts w:ascii="Times New Roman" w:eastAsia="Times New Roman" w:hAnsi="Times New Roman" w:cs="Times New Roman"/>
          <w:color w:val="000000"/>
          <w:sz w:val="24"/>
          <w:szCs w:val="24"/>
        </w:rPr>
        <w:t xml:space="preserve"> The freedom that is, for lack of a better term, </w:t>
      </w:r>
      <w:r>
        <w:rPr>
          <w:rFonts w:ascii="Times New Roman" w:eastAsia="Times New Roman" w:hAnsi="Times New Roman" w:cs="Times New Roman"/>
          <w:i/>
          <w:color w:val="000000"/>
          <w:sz w:val="24"/>
          <w:szCs w:val="24"/>
        </w:rPr>
        <w:t>acquired</w:t>
      </w:r>
      <w:r>
        <w:rPr>
          <w:rFonts w:ascii="Times New Roman" w:eastAsia="Times New Roman" w:hAnsi="Times New Roman" w:cs="Times New Roman"/>
          <w:color w:val="000000"/>
          <w:sz w:val="24"/>
          <w:szCs w:val="24"/>
        </w:rPr>
        <w:t xml:space="preserve"> by the attempts </w:t>
      </w:r>
      <w:r>
        <w:rPr>
          <w:rFonts w:ascii="Times New Roman" w:eastAsia="Times New Roman" w:hAnsi="Times New Roman" w:cs="Times New Roman"/>
          <w:color w:val="000000"/>
          <w:sz w:val="24"/>
          <w:szCs w:val="24"/>
        </w:rPr>
        <w:t>of those who wish to act on it to become a better and more virtuous person.</w:t>
      </w:r>
    </w:p>
    <w:p w14:paraId="07D930D3" w14:textId="77777777" w:rsidR="00B15D0A" w:rsidRDefault="009A3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links for each of these three kinds of freedom can be attributed to an aspect of the Bible, and how free will is argued to be an essential part of believing in the Christian Sc</w:t>
      </w:r>
      <w:r>
        <w:rPr>
          <w:rFonts w:ascii="Times New Roman" w:eastAsia="Times New Roman" w:hAnsi="Times New Roman" w:cs="Times New Roman"/>
          <w:sz w:val="24"/>
          <w:szCs w:val="24"/>
        </w:rPr>
        <w:t>riptures (as well as many Jewish beliefs). Circumstantial freedom can be seen to have been given by a higher power, namely God, in the Book of Exodus, as Stephen J. Binz notes in the story of the freeing of the Israelites from the Pharaoh by suggesting:</w:t>
      </w:r>
    </w:p>
    <w:p w14:paraId="3232D157" w14:textId="77777777" w:rsidR="00B15D0A" w:rsidRDefault="009A366F">
      <w:pPr>
        <w:spacing w:line="276"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w:t>
      </w:r>
      <w:r>
        <w:rPr>
          <w:rFonts w:ascii="Times New Roman" w:eastAsia="Times New Roman" w:hAnsi="Times New Roman" w:cs="Times New Roman"/>
          <w:sz w:val="24"/>
          <w:szCs w:val="24"/>
        </w:rPr>
        <w:t>e revelation of God as the personal and mysterious divine presence acting in history to bring people to freedom and life is the very heart of Jewish and Christian faith. The Exodus was the crucial event. In that generation of forty years, Israel came to kn</w:t>
      </w:r>
      <w:r>
        <w:rPr>
          <w:rFonts w:ascii="Times New Roman" w:eastAsia="Times New Roman" w:hAnsi="Times New Roman" w:cs="Times New Roman"/>
          <w:sz w:val="24"/>
          <w:szCs w:val="24"/>
        </w:rPr>
        <w:t xml:space="preserve">ow Yahweh as the God of </w:t>
      </w:r>
      <w:r>
        <w:rPr>
          <w:rFonts w:ascii="Times New Roman" w:eastAsia="Times New Roman" w:hAnsi="Times New Roman" w:cs="Times New Roman"/>
          <w:i/>
          <w:sz w:val="24"/>
          <w:szCs w:val="24"/>
        </w:rPr>
        <w:t>freedom</w:t>
      </w:r>
      <w:r>
        <w:rPr>
          <w:rFonts w:ascii="Times New Roman" w:eastAsia="Times New Roman" w:hAnsi="Times New Roman" w:cs="Times New Roman"/>
          <w:sz w:val="24"/>
          <w:szCs w:val="24"/>
        </w:rPr>
        <w:t xml:space="preserve"> and life.</w:t>
      </w:r>
      <w:r>
        <w:rPr>
          <w:rFonts w:ascii="Times New Roman" w:eastAsia="Times New Roman" w:hAnsi="Times New Roman" w:cs="Times New Roman"/>
          <w:sz w:val="24"/>
          <w:szCs w:val="24"/>
          <w:vertAlign w:val="superscript"/>
        </w:rPr>
        <w:footnoteReference w:id="10"/>
      </w:r>
    </w:p>
    <w:p w14:paraId="6295C368" w14:textId="77777777" w:rsidR="00B15D0A" w:rsidRDefault="009A3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added the emphasis on the term ‘freedom’ because it is important to note that the Israelites </w:t>
      </w:r>
      <w:r>
        <w:rPr>
          <w:rFonts w:ascii="Times New Roman" w:eastAsia="Times New Roman" w:hAnsi="Times New Roman" w:cs="Times New Roman"/>
          <w:i/>
          <w:sz w:val="24"/>
          <w:szCs w:val="24"/>
        </w:rPr>
        <w:t xml:space="preserve">were </w:t>
      </w:r>
      <w:r>
        <w:rPr>
          <w:rFonts w:ascii="Times New Roman" w:eastAsia="Times New Roman" w:hAnsi="Times New Roman" w:cs="Times New Roman"/>
          <w:sz w:val="24"/>
          <w:szCs w:val="24"/>
        </w:rPr>
        <w:t xml:space="preserve">free to act as they desired (under the guidance of God) because of the circumstance of Moses freeing them. </w:t>
      </w:r>
      <w:r>
        <w:rPr>
          <w:rFonts w:ascii="Times New Roman" w:eastAsia="Times New Roman" w:hAnsi="Times New Roman" w:cs="Times New Roman"/>
          <w:sz w:val="24"/>
          <w:szCs w:val="24"/>
        </w:rPr>
        <w:t>The circumstance of their freedom is a direct result of God’s intervention through the medium of the prophet Moses. This is the basis of the freedom upon which religious people can find in the foundations of their beliefs, and from this, the actions that t</w:t>
      </w:r>
      <w:r>
        <w:rPr>
          <w:rFonts w:ascii="Times New Roman" w:eastAsia="Times New Roman" w:hAnsi="Times New Roman" w:cs="Times New Roman"/>
          <w:sz w:val="24"/>
          <w:szCs w:val="24"/>
        </w:rPr>
        <w:t xml:space="preserve">hey take for the sake of their faith. This circumstance gives the Israelites the </w:t>
      </w:r>
      <w:r>
        <w:rPr>
          <w:rFonts w:ascii="Times New Roman" w:eastAsia="Times New Roman" w:hAnsi="Times New Roman" w:cs="Times New Roman"/>
          <w:i/>
          <w:sz w:val="24"/>
          <w:szCs w:val="24"/>
        </w:rPr>
        <w:t xml:space="preserve">opportunity </w:t>
      </w:r>
      <w:r>
        <w:rPr>
          <w:rFonts w:ascii="Times New Roman" w:eastAsia="Times New Roman" w:hAnsi="Times New Roman" w:cs="Times New Roman"/>
          <w:sz w:val="24"/>
          <w:szCs w:val="24"/>
        </w:rPr>
        <w:t xml:space="preserve">to be free in their faith. </w:t>
      </w:r>
    </w:p>
    <w:p w14:paraId="26764D97" w14:textId="77777777" w:rsidR="00B15D0A" w:rsidRDefault="009A3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Natural freedom can be read in the Bible with the right contextual clues, especially in the Book of Deuteronomy, as it reads:</w:t>
      </w:r>
    </w:p>
    <w:p w14:paraId="238B6769" w14:textId="77777777" w:rsidR="00B15D0A" w:rsidRDefault="009A366F">
      <w:pPr>
        <w:spacing w:line="276"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call he</w:t>
      </w:r>
      <w:r>
        <w:rPr>
          <w:rFonts w:ascii="Times New Roman" w:eastAsia="Times New Roman" w:hAnsi="Times New Roman" w:cs="Times New Roman"/>
          <w:sz w:val="24"/>
          <w:szCs w:val="24"/>
        </w:rPr>
        <w:t>aven and earth to witness against you today that I have set before you life and death, blessings and curses. Choose life so that you and your descendants may live, loving the Lord your God, obeying him, and holding fast to him; for that means life to you a</w:t>
      </w:r>
      <w:r>
        <w:rPr>
          <w:rFonts w:ascii="Times New Roman" w:eastAsia="Times New Roman" w:hAnsi="Times New Roman" w:cs="Times New Roman"/>
          <w:sz w:val="24"/>
          <w:szCs w:val="24"/>
        </w:rPr>
        <w:t>nd length of days, so that you may live in the land that the Lord swore to give to your ancestors, to Abraham, to Isaac, and to Jacob.” [Deut. 30:19-20 (NRSV)]</w:t>
      </w:r>
    </w:p>
    <w:p w14:paraId="360ADA8C" w14:textId="77777777" w:rsidR="00B15D0A" w:rsidRDefault="009A3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‘Choose’ is the active word in this extract. It denotes that it is up to those who hear the word</w:t>
      </w:r>
      <w:r>
        <w:rPr>
          <w:rFonts w:ascii="Times New Roman" w:eastAsia="Times New Roman" w:hAnsi="Times New Roman" w:cs="Times New Roman"/>
          <w:sz w:val="24"/>
          <w:szCs w:val="24"/>
        </w:rPr>
        <w:t xml:space="preserve">s for them to </w:t>
      </w:r>
      <w:r>
        <w:rPr>
          <w:rFonts w:ascii="Times New Roman" w:eastAsia="Times New Roman" w:hAnsi="Times New Roman" w:cs="Times New Roman"/>
          <w:i/>
          <w:sz w:val="24"/>
          <w:szCs w:val="24"/>
        </w:rPr>
        <w:t xml:space="preserve">decide </w:t>
      </w:r>
      <w:r>
        <w:rPr>
          <w:rFonts w:ascii="Times New Roman" w:eastAsia="Times New Roman" w:hAnsi="Times New Roman" w:cs="Times New Roman"/>
          <w:sz w:val="24"/>
          <w:szCs w:val="24"/>
        </w:rPr>
        <w:t>whether or not they should act in the faith. This is similar to how Exodus provides absolute freedom to the Israelites, but it is Deuteronomy that asks for those who would listen to make the choice of their own volition, rather than be</w:t>
      </w:r>
      <w:r>
        <w:rPr>
          <w:rFonts w:ascii="Times New Roman" w:eastAsia="Times New Roman" w:hAnsi="Times New Roman" w:cs="Times New Roman"/>
          <w:sz w:val="24"/>
          <w:szCs w:val="24"/>
        </w:rPr>
        <w:t xml:space="preserve">cause of the occurrences of how they got to where they are. </w:t>
      </w:r>
    </w:p>
    <w:p w14:paraId="596EF790" w14:textId="77777777" w:rsidR="00B15D0A" w:rsidRDefault="009A3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acquired freedom that is asked to be acted upon is permeated throughout the entirety of the Judaeo-Christian Bible, as it is in the core teachings throughout the Old and the New Testament for</w:t>
      </w:r>
      <w:r>
        <w:rPr>
          <w:rFonts w:ascii="Times New Roman" w:eastAsia="Times New Roman" w:hAnsi="Times New Roman" w:cs="Times New Roman"/>
          <w:sz w:val="24"/>
          <w:szCs w:val="24"/>
        </w:rPr>
        <w:t xml:space="preserve"> people to act in a positive manner not only to themselves but also to their society around them; the Ten Commandments (Old Testament) and the Beatitudes (New Testament) can be seen as the primary examples of this.</w:t>
      </w:r>
    </w:p>
    <w:p w14:paraId="111C2CD4" w14:textId="77777777" w:rsidR="00B15D0A" w:rsidRDefault="009A366F">
      <w:pPr>
        <w:spacing w:line="480" w:lineRule="auto"/>
        <w:jc w:val="both"/>
        <w:rPr>
          <w:rFonts w:ascii="Times New Roman" w:eastAsia="Times New Roman" w:hAnsi="Times New Roman" w:cs="Times New Roman"/>
          <w:sz w:val="24"/>
          <w:szCs w:val="24"/>
        </w:rPr>
      </w:pPr>
      <w:bookmarkStart w:id="0" w:name="_heading=h.gjdgxs" w:colFirst="0" w:colLast="0"/>
      <w:bookmarkEnd w:id="0"/>
      <w:r>
        <w:rPr>
          <w:rFonts w:ascii="Times New Roman" w:eastAsia="Times New Roman" w:hAnsi="Times New Roman" w:cs="Times New Roman"/>
          <w:sz w:val="24"/>
          <w:szCs w:val="24"/>
        </w:rPr>
        <w:t>All of this shows how free will is instru</w:t>
      </w:r>
      <w:r>
        <w:rPr>
          <w:rFonts w:ascii="Times New Roman" w:eastAsia="Times New Roman" w:hAnsi="Times New Roman" w:cs="Times New Roman"/>
          <w:sz w:val="24"/>
          <w:szCs w:val="24"/>
        </w:rPr>
        <w:t>mental to the Judaeo-Christian faith, and that the two concepts are intertwined in such a way that such a faith cannot exist without co-existing with the very notion of free will. If we are to consider this in its entirety and accept it to be true in an in</w:t>
      </w:r>
      <w:r>
        <w:rPr>
          <w:rFonts w:ascii="Times New Roman" w:eastAsia="Times New Roman" w:hAnsi="Times New Roman" w:cs="Times New Roman"/>
          <w:sz w:val="24"/>
          <w:szCs w:val="24"/>
        </w:rPr>
        <w:t xml:space="preserve">trinsic sense, then one must assume that at least to </w:t>
      </w:r>
      <w:r>
        <w:rPr>
          <w:rFonts w:ascii="Times New Roman" w:eastAsia="Times New Roman" w:hAnsi="Times New Roman" w:cs="Times New Roman"/>
          <w:i/>
          <w:sz w:val="24"/>
          <w:szCs w:val="24"/>
        </w:rPr>
        <w:t>some degree</w:t>
      </w:r>
      <w:r>
        <w:rPr>
          <w:rFonts w:ascii="Times New Roman" w:eastAsia="Times New Roman" w:hAnsi="Times New Roman" w:cs="Times New Roman"/>
          <w:sz w:val="24"/>
          <w:szCs w:val="24"/>
        </w:rPr>
        <w:t>, from what we know of Biblical teachings and the philosophical implications of freedom that philosophers such as Adler bring up, Peter’s actions in the waning moments of Jesus’ life, have a c</w:t>
      </w:r>
      <w:r>
        <w:rPr>
          <w:rFonts w:ascii="Times New Roman" w:eastAsia="Times New Roman" w:hAnsi="Times New Roman" w:cs="Times New Roman"/>
          <w:sz w:val="24"/>
          <w:szCs w:val="24"/>
        </w:rPr>
        <w:t>rucial connection to free will that must be discussed. Indeed, the Judaeo-Christian religion seems to require this very freedom for the individual in order for them to meaningfully respond to God’s message and covenant…</w:t>
      </w:r>
    </w:p>
    <w:p w14:paraId="00F06882" w14:textId="77777777" w:rsidR="00B15D0A" w:rsidRDefault="009A366F">
      <w:pPr>
        <w:spacing w:line="276" w:lineRule="auto"/>
        <w:jc w:val="center"/>
        <w:rPr>
          <w:rFonts w:ascii="Times New Roman" w:eastAsia="Times New Roman" w:hAnsi="Times New Roman" w:cs="Times New Roman"/>
          <w:b/>
          <w:sz w:val="24"/>
          <w:szCs w:val="24"/>
        </w:rPr>
      </w:pPr>
      <w:bookmarkStart w:id="1" w:name="_heading=h.y941i2rj6xeg" w:colFirst="0" w:colLast="0"/>
      <w:bookmarkEnd w:id="1"/>
      <w:r>
        <w:br w:type="page"/>
      </w:r>
    </w:p>
    <w:p w14:paraId="21E5EC24" w14:textId="77777777" w:rsidR="00B15D0A" w:rsidRDefault="009A366F">
      <w:pPr>
        <w:spacing w:line="276" w:lineRule="auto"/>
        <w:jc w:val="center"/>
        <w:rPr>
          <w:rFonts w:ascii="Times New Roman" w:eastAsia="Times New Roman" w:hAnsi="Times New Roman" w:cs="Times New Roman"/>
          <w:b/>
          <w:sz w:val="28"/>
          <w:szCs w:val="28"/>
        </w:rPr>
      </w:pPr>
      <w:bookmarkStart w:id="2" w:name="_heading=h.ppf0zljkcnym" w:colFirst="0" w:colLast="0"/>
      <w:bookmarkEnd w:id="2"/>
      <w:r>
        <w:rPr>
          <w:rFonts w:ascii="Times New Roman" w:eastAsia="Times New Roman" w:hAnsi="Times New Roman" w:cs="Times New Roman"/>
          <w:b/>
          <w:sz w:val="28"/>
          <w:szCs w:val="28"/>
        </w:rPr>
        <w:lastRenderedPageBreak/>
        <w:t>Chapter II - Peter’s Denial and Whether or Not the Story is a Metaphorical Fable or a Literal Recounting</w:t>
      </w:r>
    </w:p>
    <w:p w14:paraId="0CA0DB4D" w14:textId="77777777" w:rsidR="00B15D0A" w:rsidRDefault="009A366F">
      <w:pPr>
        <w:spacing w:line="480" w:lineRule="auto"/>
        <w:jc w:val="both"/>
        <w:rPr>
          <w:rFonts w:ascii="Times New Roman" w:eastAsia="Times New Roman" w:hAnsi="Times New Roman" w:cs="Times New Roman"/>
          <w:sz w:val="24"/>
          <w:szCs w:val="24"/>
        </w:rPr>
      </w:pPr>
      <w:bookmarkStart w:id="3" w:name="_heading=h.qdimwtq8t4r7" w:colFirst="0" w:colLast="0"/>
      <w:bookmarkEnd w:id="3"/>
      <w:r>
        <w:rPr>
          <w:rFonts w:ascii="Times New Roman" w:eastAsia="Times New Roman" w:hAnsi="Times New Roman" w:cs="Times New Roman"/>
          <w:sz w:val="24"/>
          <w:szCs w:val="24"/>
        </w:rPr>
        <w:t>In order to ascertain whether or not Peter exercised his own free will with his actions in the Garden of Gethsemane, an analysis is required to underst</w:t>
      </w:r>
      <w:r>
        <w:rPr>
          <w:rFonts w:ascii="Times New Roman" w:eastAsia="Times New Roman" w:hAnsi="Times New Roman" w:cs="Times New Roman"/>
          <w:sz w:val="24"/>
          <w:szCs w:val="24"/>
        </w:rPr>
        <w:t>and the meanings behind the story, and whether or not the story is to be taken at a face-value as an event that actually happened (and presumably is presented to us by the evangelist as having literally happened or, whether it is a metaphor for others to m</w:t>
      </w:r>
      <w:r>
        <w:rPr>
          <w:rFonts w:ascii="Times New Roman" w:eastAsia="Times New Roman" w:hAnsi="Times New Roman" w:cs="Times New Roman"/>
          <w:sz w:val="24"/>
          <w:szCs w:val="24"/>
        </w:rPr>
        <w:t>aintain an unwavering faith in Jesus Christ. Jefferson Hunter is one such author to read into the story of Peter’s denial, writes:</w:t>
      </w:r>
    </w:p>
    <w:p w14:paraId="1209DD20" w14:textId="77777777" w:rsidR="00B15D0A" w:rsidRDefault="009A366F">
      <w:pPr>
        <w:spacing w:line="276" w:lineRule="auto"/>
        <w:ind w:left="720"/>
        <w:jc w:val="both"/>
        <w:rPr>
          <w:rFonts w:ascii="Times New Roman" w:eastAsia="Times New Roman" w:hAnsi="Times New Roman" w:cs="Times New Roman"/>
          <w:sz w:val="24"/>
          <w:szCs w:val="24"/>
        </w:rPr>
      </w:pPr>
      <w:bookmarkStart w:id="4" w:name="_heading=h.arvg0ioth2ph" w:colFirst="0" w:colLast="0"/>
      <w:bookmarkEnd w:id="4"/>
      <w:r>
        <w:rPr>
          <w:rFonts w:ascii="Times New Roman" w:eastAsia="Times New Roman" w:hAnsi="Times New Roman" w:cs="Times New Roman"/>
          <w:sz w:val="24"/>
          <w:szCs w:val="24"/>
        </w:rPr>
        <w:t>[The story of Peter’s denial is more of] a later and more representative failure [of humanity], Peter's denial, there is no s</w:t>
      </w:r>
      <w:r>
        <w:rPr>
          <w:rFonts w:ascii="Times New Roman" w:eastAsia="Times New Roman" w:hAnsi="Times New Roman" w:cs="Times New Roman"/>
          <w:sz w:val="24"/>
          <w:szCs w:val="24"/>
        </w:rPr>
        <w:t>imilar sense of final purpose and no mystery. It need not have happened and it is entirely understandable. Like other studies of weakness in the New Testament it allows us an escape from the austere realm of Jesus' teachings - the saintly hopes for human p</w:t>
      </w:r>
      <w:r>
        <w:rPr>
          <w:rFonts w:ascii="Times New Roman" w:eastAsia="Times New Roman" w:hAnsi="Times New Roman" w:cs="Times New Roman"/>
          <w:sz w:val="24"/>
          <w:szCs w:val="24"/>
        </w:rPr>
        <w:t>erfectibility, the apocalyptic certainties, the parables which in clarifying life radically simplify it [...]</w:t>
      </w:r>
      <w:r>
        <w:rPr>
          <w:rFonts w:ascii="Times New Roman" w:eastAsia="Times New Roman" w:hAnsi="Times New Roman" w:cs="Times New Roman"/>
          <w:sz w:val="24"/>
          <w:szCs w:val="24"/>
          <w:vertAlign w:val="superscript"/>
        </w:rPr>
        <w:footnoteReference w:id="11"/>
      </w:r>
    </w:p>
    <w:p w14:paraId="1F74BCAD" w14:textId="77777777" w:rsidR="00B15D0A" w:rsidRDefault="009A366F">
      <w:pPr>
        <w:spacing w:line="480" w:lineRule="auto"/>
        <w:jc w:val="both"/>
        <w:rPr>
          <w:rFonts w:ascii="Times New Roman" w:eastAsia="Times New Roman" w:hAnsi="Times New Roman" w:cs="Times New Roman"/>
          <w:sz w:val="24"/>
          <w:szCs w:val="24"/>
        </w:rPr>
      </w:pPr>
      <w:bookmarkStart w:id="5" w:name="_heading=h.rfpocyayvm5s" w:colFirst="0" w:colLast="0"/>
      <w:bookmarkEnd w:id="5"/>
      <w:r>
        <w:rPr>
          <w:rFonts w:ascii="Times New Roman" w:eastAsia="Times New Roman" w:hAnsi="Times New Roman" w:cs="Times New Roman"/>
          <w:sz w:val="24"/>
          <w:szCs w:val="24"/>
        </w:rPr>
        <w:t>Hunter therefore states how the teaching is more metaphorical, or ‘representative’ to use his own words, of how Peter’s denial is but a represen</w:t>
      </w:r>
      <w:r>
        <w:rPr>
          <w:rFonts w:ascii="Times New Roman" w:eastAsia="Times New Roman" w:hAnsi="Times New Roman" w:cs="Times New Roman"/>
          <w:sz w:val="24"/>
          <w:szCs w:val="24"/>
        </w:rPr>
        <w:t>tation of the fallibility of humanity as a whole, and how each person given their own agency is unable to compare to the glory of heavenly bodies. Hunter’s commentary determines that we as a populace require guidance that comes from a higher sovereignty fo</w:t>
      </w:r>
      <w:r>
        <w:rPr>
          <w:rFonts w:ascii="Times New Roman" w:eastAsia="Times New Roman" w:hAnsi="Times New Roman" w:cs="Times New Roman"/>
          <w:sz w:val="24"/>
          <w:szCs w:val="24"/>
        </w:rPr>
        <w:t>r us to become worthy of gaining access to heaven after we die, and that stories such as Peter’s denial are reasons for this. Hunter goes on to cite a prior chapter of Matthew to help bolster his point,</w:t>
      </w:r>
      <w:r>
        <w:rPr>
          <w:rFonts w:ascii="Times New Roman" w:eastAsia="Times New Roman" w:hAnsi="Times New Roman" w:cs="Times New Roman"/>
          <w:sz w:val="24"/>
          <w:szCs w:val="24"/>
          <w:vertAlign w:val="superscript"/>
        </w:rPr>
        <w:footnoteReference w:id="12"/>
      </w:r>
      <w:r>
        <w:rPr>
          <w:rFonts w:ascii="Times New Roman" w:eastAsia="Times New Roman" w:hAnsi="Times New Roman" w:cs="Times New Roman"/>
          <w:sz w:val="24"/>
          <w:szCs w:val="24"/>
        </w:rPr>
        <w:t xml:space="preserve"> specifically from Chapter 16 when Jesus foreshadowe</w:t>
      </w:r>
      <w:r>
        <w:rPr>
          <w:rFonts w:ascii="Times New Roman" w:eastAsia="Times New Roman" w:hAnsi="Times New Roman" w:cs="Times New Roman"/>
          <w:sz w:val="24"/>
          <w:szCs w:val="24"/>
        </w:rPr>
        <w:t>d his death at the hands of the leaders of the church at the time. The relevant section reads:</w:t>
      </w:r>
    </w:p>
    <w:p w14:paraId="5C7702D7" w14:textId="77777777" w:rsidR="00B15D0A" w:rsidRDefault="009A366F">
      <w:pPr>
        <w:spacing w:line="276" w:lineRule="auto"/>
        <w:ind w:left="720"/>
        <w:jc w:val="both"/>
        <w:rPr>
          <w:rFonts w:ascii="Times New Roman" w:eastAsia="Times New Roman" w:hAnsi="Times New Roman" w:cs="Times New Roman"/>
          <w:sz w:val="24"/>
          <w:szCs w:val="24"/>
        </w:rPr>
      </w:pPr>
      <w:bookmarkStart w:id="6" w:name="_heading=h.67qx32nqkw7a" w:colFirst="0" w:colLast="0"/>
      <w:bookmarkEnd w:id="6"/>
      <w:r>
        <w:rPr>
          <w:rFonts w:ascii="Times New Roman" w:eastAsia="Times New Roman" w:hAnsi="Times New Roman" w:cs="Times New Roman"/>
          <w:sz w:val="24"/>
          <w:szCs w:val="24"/>
        </w:rPr>
        <w:t>From that time on, Jesus began to show his disciples that he must go to Jerusalem and undergo great suffering at the hands of the elders and chief priests and scribes, and be killed, and on the third day be raised. And Peter took him aside and began to reb</w:t>
      </w:r>
      <w:r>
        <w:rPr>
          <w:rFonts w:ascii="Times New Roman" w:eastAsia="Times New Roman" w:hAnsi="Times New Roman" w:cs="Times New Roman"/>
          <w:sz w:val="24"/>
          <w:szCs w:val="24"/>
        </w:rPr>
        <w:t xml:space="preserve">uke him, saying, “God forbid it, Lord! This must never happen to you.” But he turned and </w:t>
      </w:r>
      <w:r>
        <w:rPr>
          <w:rFonts w:ascii="Times New Roman" w:eastAsia="Times New Roman" w:hAnsi="Times New Roman" w:cs="Times New Roman"/>
          <w:sz w:val="24"/>
          <w:szCs w:val="24"/>
        </w:rPr>
        <w:lastRenderedPageBreak/>
        <w:t>said to Peter, “Get behind me, Satan! You are a stumbling block to me; for you are setting your mind not on divine things but on human things.” [Matt. 16:21-23 (NRSV)]</w:t>
      </w:r>
    </w:p>
    <w:p w14:paraId="5CB4C6F6" w14:textId="77777777" w:rsidR="00B15D0A" w:rsidRDefault="009A366F">
      <w:pPr>
        <w:spacing w:line="480" w:lineRule="auto"/>
        <w:jc w:val="both"/>
        <w:rPr>
          <w:rFonts w:ascii="Times New Roman" w:eastAsia="Times New Roman" w:hAnsi="Times New Roman" w:cs="Times New Roman"/>
          <w:sz w:val="24"/>
          <w:szCs w:val="24"/>
        </w:rPr>
      </w:pPr>
      <w:bookmarkStart w:id="7" w:name="_heading=h.23y10tau3dut" w:colFirst="0" w:colLast="0"/>
      <w:bookmarkEnd w:id="7"/>
      <w:r>
        <w:rPr>
          <w:rFonts w:ascii="Times New Roman" w:eastAsia="Times New Roman" w:hAnsi="Times New Roman" w:cs="Times New Roman"/>
          <w:sz w:val="24"/>
          <w:szCs w:val="24"/>
        </w:rPr>
        <w:t xml:space="preserve">From these excerpts of the Book of Matthew (if we were to also include Chapter 26 that has was quoted in Chapter 0), the point that Hunter is making is abundantly clear, as a trend within the two chapters is Peter acting in ways that he would have </w:t>
      </w:r>
      <w:r>
        <w:rPr>
          <w:rFonts w:ascii="Times New Roman" w:eastAsia="Times New Roman" w:hAnsi="Times New Roman" w:cs="Times New Roman"/>
          <w:i/>
          <w:sz w:val="24"/>
          <w:szCs w:val="24"/>
        </w:rPr>
        <w:t>if he d</w:t>
      </w:r>
      <w:r>
        <w:rPr>
          <w:rFonts w:ascii="Times New Roman" w:eastAsia="Times New Roman" w:hAnsi="Times New Roman" w:cs="Times New Roman"/>
          <w:i/>
          <w:sz w:val="24"/>
          <w:szCs w:val="24"/>
        </w:rPr>
        <w:t>id not have the guidance of any sort of divine power</w:t>
      </w:r>
      <w:r>
        <w:rPr>
          <w:rFonts w:ascii="Times New Roman" w:eastAsia="Times New Roman" w:hAnsi="Times New Roman" w:cs="Times New Roman"/>
          <w:sz w:val="24"/>
          <w:szCs w:val="24"/>
        </w:rPr>
        <w:t>. Hunter himself writes in the same journal, “An interpretation more persistent than these holds that Peter fails so that the mercy of God may be extended even to those who fail, so that the gravest of si</w:t>
      </w:r>
      <w:r>
        <w:rPr>
          <w:rFonts w:ascii="Times New Roman" w:eastAsia="Times New Roman" w:hAnsi="Times New Roman" w:cs="Times New Roman"/>
          <w:sz w:val="24"/>
          <w:szCs w:val="24"/>
        </w:rPr>
        <w:t>ns may be shown to be forgivable.”</w:t>
      </w:r>
      <w:r>
        <w:rPr>
          <w:rFonts w:ascii="Times New Roman" w:eastAsia="Times New Roman" w:hAnsi="Times New Roman" w:cs="Times New Roman"/>
          <w:sz w:val="24"/>
          <w:szCs w:val="24"/>
          <w:vertAlign w:val="superscript"/>
        </w:rPr>
        <w:footnoteReference w:id="13"/>
      </w:r>
    </w:p>
    <w:p w14:paraId="1E41AD3A" w14:textId="77777777" w:rsidR="00B15D0A" w:rsidRDefault="009A366F">
      <w:pPr>
        <w:spacing w:line="480" w:lineRule="auto"/>
        <w:jc w:val="both"/>
        <w:rPr>
          <w:rFonts w:ascii="Times New Roman" w:eastAsia="Times New Roman" w:hAnsi="Times New Roman" w:cs="Times New Roman"/>
          <w:sz w:val="24"/>
          <w:szCs w:val="24"/>
        </w:rPr>
      </w:pPr>
      <w:bookmarkStart w:id="8" w:name="_heading=h.tevrvk5b50tv" w:colFirst="0" w:colLast="0"/>
      <w:bookmarkEnd w:id="8"/>
      <w:r>
        <w:rPr>
          <w:rFonts w:ascii="Times New Roman" w:eastAsia="Times New Roman" w:hAnsi="Times New Roman" w:cs="Times New Roman"/>
          <w:sz w:val="24"/>
          <w:szCs w:val="24"/>
        </w:rPr>
        <w:t xml:space="preserve">Using all of what has been used of Jefferson Hunter’s commentary, an argument about Peter’s denial that can be inferred is that Peter </w:t>
      </w:r>
      <w:r>
        <w:rPr>
          <w:rFonts w:ascii="Times New Roman" w:eastAsia="Times New Roman" w:hAnsi="Times New Roman" w:cs="Times New Roman"/>
          <w:i/>
          <w:sz w:val="24"/>
          <w:szCs w:val="24"/>
        </w:rPr>
        <w:t xml:space="preserve">did </w:t>
      </w:r>
      <w:r>
        <w:rPr>
          <w:rFonts w:ascii="Times New Roman" w:eastAsia="Times New Roman" w:hAnsi="Times New Roman" w:cs="Times New Roman"/>
          <w:sz w:val="24"/>
          <w:szCs w:val="24"/>
        </w:rPr>
        <w:t>have some aspect of free will. This is particularly possible if more of the Bible</w:t>
      </w:r>
      <w:r>
        <w:rPr>
          <w:rFonts w:ascii="Times New Roman" w:eastAsia="Times New Roman" w:hAnsi="Times New Roman" w:cs="Times New Roman"/>
          <w:sz w:val="24"/>
          <w:szCs w:val="24"/>
        </w:rPr>
        <w:t xml:space="preserve"> were to be contextualised with Hunter’s analysis, such as utilising parts of the Old Testament. To be more specific, the part that would be the most useful would be the story in the Book of Genesis that showcases the ‘freedom’ that Adam and Eve, the first</w:t>
      </w:r>
      <w:r>
        <w:rPr>
          <w:rFonts w:ascii="Times New Roman" w:eastAsia="Times New Roman" w:hAnsi="Times New Roman" w:cs="Times New Roman"/>
          <w:sz w:val="24"/>
          <w:szCs w:val="24"/>
        </w:rPr>
        <w:t xml:space="preserve"> humans according to Genesis,</w:t>
      </w:r>
      <w:r>
        <w:rPr>
          <w:rFonts w:ascii="Times New Roman" w:eastAsia="Times New Roman" w:hAnsi="Times New Roman" w:cs="Times New Roman"/>
          <w:sz w:val="24"/>
          <w:szCs w:val="24"/>
          <w:vertAlign w:val="superscript"/>
        </w:rPr>
        <w:footnoteReference w:id="14"/>
      </w:r>
      <w:r>
        <w:rPr>
          <w:rFonts w:ascii="Times New Roman" w:eastAsia="Times New Roman" w:hAnsi="Times New Roman" w:cs="Times New Roman"/>
          <w:sz w:val="24"/>
          <w:szCs w:val="24"/>
        </w:rPr>
        <w:t xml:space="preserve"> participated with their actions. This would ultimately be called the ‘original sin’ of humanity. The Bible tells the story by saying:</w:t>
      </w:r>
    </w:p>
    <w:p w14:paraId="589F4616" w14:textId="77777777" w:rsidR="00B15D0A" w:rsidRDefault="009A366F">
      <w:pPr>
        <w:spacing w:line="276" w:lineRule="auto"/>
        <w:ind w:left="720"/>
        <w:jc w:val="both"/>
        <w:rPr>
          <w:rFonts w:ascii="Times New Roman" w:eastAsia="Times New Roman" w:hAnsi="Times New Roman" w:cs="Times New Roman"/>
          <w:sz w:val="24"/>
          <w:szCs w:val="24"/>
        </w:rPr>
      </w:pPr>
      <w:bookmarkStart w:id="9" w:name="_heading=h.fgfpx2f2vuei" w:colFirst="0" w:colLast="0"/>
      <w:bookmarkEnd w:id="9"/>
      <w:r>
        <w:rPr>
          <w:rFonts w:ascii="Times New Roman" w:eastAsia="Times New Roman" w:hAnsi="Times New Roman" w:cs="Times New Roman"/>
          <w:sz w:val="24"/>
          <w:szCs w:val="24"/>
        </w:rPr>
        <w:t>The woman stared at the fruit. It looked beautiful and tasty. She wanted the wisdom that i</w:t>
      </w:r>
      <w:r>
        <w:rPr>
          <w:rFonts w:ascii="Times New Roman" w:eastAsia="Times New Roman" w:hAnsi="Times New Roman" w:cs="Times New Roman"/>
          <w:sz w:val="24"/>
          <w:szCs w:val="24"/>
        </w:rPr>
        <w:t>t would give her, and she ate some of the fruit. Her husband was there with her, so she gave some to him, and he ate it too. Right away they saw what they had done, and they realized they were naked. Then they sewed fig leaves together to make something to</w:t>
      </w:r>
      <w:r>
        <w:rPr>
          <w:rFonts w:ascii="Times New Roman" w:eastAsia="Times New Roman" w:hAnsi="Times New Roman" w:cs="Times New Roman"/>
          <w:sz w:val="24"/>
          <w:szCs w:val="24"/>
        </w:rPr>
        <w:t xml:space="preserve"> cover themselves. [Gen. 3:6-7 (NRSV)]</w:t>
      </w:r>
    </w:p>
    <w:p w14:paraId="7150A6C9" w14:textId="77777777" w:rsidR="00B15D0A" w:rsidRDefault="009A366F">
      <w:pPr>
        <w:spacing w:line="480" w:lineRule="auto"/>
        <w:jc w:val="both"/>
        <w:rPr>
          <w:rFonts w:ascii="Times New Roman" w:eastAsia="Times New Roman" w:hAnsi="Times New Roman" w:cs="Times New Roman"/>
          <w:sz w:val="24"/>
          <w:szCs w:val="24"/>
        </w:rPr>
      </w:pPr>
      <w:bookmarkStart w:id="10" w:name="_heading=h.kgd8032wdd0i" w:colFirst="0" w:colLast="0"/>
      <w:bookmarkEnd w:id="10"/>
      <w:r>
        <w:rPr>
          <w:rFonts w:ascii="Times New Roman" w:eastAsia="Times New Roman" w:hAnsi="Times New Roman" w:cs="Times New Roman"/>
          <w:sz w:val="24"/>
          <w:szCs w:val="24"/>
        </w:rPr>
        <w:t xml:space="preserve">A parallel to Hunter’s commentary that links with the concept of ‘original sin’ is Keith D. Wyma’s, where he says in his </w:t>
      </w:r>
      <w:r>
        <w:rPr>
          <w:rFonts w:ascii="Times New Roman" w:eastAsia="Times New Roman" w:hAnsi="Times New Roman" w:cs="Times New Roman"/>
          <w:i/>
          <w:sz w:val="24"/>
          <w:szCs w:val="24"/>
        </w:rPr>
        <w:t xml:space="preserve">own </w:t>
      </w:r>
      <w:r>
        <w:rPr>
          <w:rFonts w:ascii="Times New Roman" w:eastAsia="Times New Roman" w:hAnsi="Times New Roman" w:cs="Times New Roman"/>
          <w:sz w:val="24"/>
          <w:szCs w:val="24"/>
        </w:rPr>
        <w:t>commentary about the ideas of divine justice and the inherent sinfulness of humanity that "o</w:t>
      </w:r>
      <w:r>
        <w:rPr>
          <w:rFonts w:ascii="Times New Roman" w:eastAsia="Times New Roman" w:hAnsi="Times New Roman" w:cs="Times New Roman"/>
          <w:sz w:val="24"/>
          <w:szCs w:val="24"/>
        </w:rPr>
        <w:t xml:space="preserve">riginal sin should be understood more as a </w:t>
      </w:r>
      <w:r>
        <w:rPr>
          <w:rFonts w:ascii="Times New Roman" w:eastAsia="Times New Roman" w:hAnsi="Times New Roman" w:cs="Times New Roman"/>
          <w:i/>
          <w:sz w:val="24"/>
          <w:szCs w:val="24"/>
        </w:rPr>
        <w:t xml:space="preserve">shortfall </w:t>
      </w:r>
      <w:r>
        <w:rPr>
          <w:rFonts w:ascii="Times New Roman" w:eastAsia="Times New Roman" w:hAnsi="Times New Roman" w:cs="Times New Roman"/>
          <w:sz w:val="24"/>
          <w:szCs w:val="24"/>
        </w:rPr>
        <w:t xml:space="preserve">than as a </w:t>
      </w:r>
      <w:r>
        <w:rPr>
          <w:rFonts w:ascii="Times New Roman" w:eastAsia="Times New Roman" w:hAnsi="Times New Roman" w:cs="Times New Roman"/>
          <w:i/>
          <w:sz w:val="24"/>
          <w:szCs w:val="24"/>
        </w:rPr>
        <w:t>transgression</w:t>
      </w:r>
      <w:r>
        <w:rPr>
          <w:rFonts w:ascii="Times New Roman" w:eastAsia="Times New Roman" w:hAnsi="Times New Roman" w:cs="Times New Roman"/>
          <w:sz w:val="24"/>
          <w:szCs w:val="24"/>
        </w:rPr>
        <w:t xml:space="preserve">... Original sin is a sinful state in that its disorder disposes us to become actual </w:t>
      </w:r>
      <w:r>
        <w:rPr>
          <w:rFonts w:ascii="Times New Roman" w:eastAsia="Times New Roman" w:hAnsi="Times New Roman" w:cs="Times New Roman"/>
          <w:sz w:val="24"/>
          <w:szCs w:val="24"/>
        </w:rPr>
        <w:lastRenderedPageBreak/>
        <w:t>sinners, but is not in itself grounds for guilt."</w:t>
      </w:r>
      <w:r>
        <w:rPr>
          <w:rFonts w:ascii="Times New Roman" w:eastAsia="Times New Roman" w:hAnsi="Times New Roman" w:cs="Times New Roman"/>
          <w:sz w:val="24"/>
          <w:szCs w:val="24"/>
          <w:vertAlign w:val="superscript"/>
        </w:rPr>
        <w:footnoteReference w:id="15"/>
      </w:r>
      <w:r>
        <w:rPr>
          <w:rFonts w:ascii="Times New Roman" w:eastAsia="Times New Roman" w:hAnsi="Times New Roman" w:cs="Times New Roman"/>
          <w:sz w:val="24"/>
          <w:szCs w:val="24"/>
        </w:rPr>
        <w:t xml:space="preserve"> Both Hunter and Wyma talk of how their resp</w:t>
      </w:r>
      <w:r>
        <w:rPr>
          <w:rFonts w:ascii="Times New Roman" w:eastAsia="Times New Roman" w:hAnsi="Times New Roman" w:cs="Times New Roman"/>
          <w:sz w:val="24"/>
          <w:szCs w:val="24"/>
        </w:rPr>
        <w:t>ective people are products of a human failure that sparks from a lack of a divine presence in their lives. The hopes of attaining perfectibility when it comes to stories such as Peter and his denial of Jesus have roots that delve deep within the human soul</w:t>
      </w:r>
      <w:r>
        <w:rPr>
          <w:rFonts w:ascii="Times New Roman" w:eastAsia="Times New Roman" w:hAnsi="Times New Roman" w:cs="Times New Roman"/>
          <w:sz w:val="24"/>
          <w:szCs w:val="24"/>
        </w:rPr>
        <w:t>, as the story that is told is in itself in existence because of the concept of original sin. Adam and Eve strayed from the guidance of their Father (who is also seen to be the most divine body of the Judaeo-Christian faith). This, in turn, shows how Peter</w:t>
      </w:r>
      <w:r>
        <w:rPr>
          <w:rFonts w:ascii="Times New Roman" w:eastAsia="Times New Roman" w:hAnsi="Times New Roman" w:cs="Times New Roman"/>
          <w:sz w:val="24"/>
          <w:szCs w:val="24"/>
        </w:rPr>
        <w:t>’s denial of Jesus is a very important representation of the very reasons Jesus was preaching to him and the other disciples in the first place. Jesus Christ made excessive efforts in his life to include those who were deemed unfit to the society of the ti</w:t>
      </w:r>
      <w:r>
        <w:rPr>
          <w:rFonts w:ascii="Times New Roman" w:eastAsia="Times New Roman" w:hAnsi="Times New Roman" w:cs="Times New Roman"/>
          <w:sz w:val="24"/>
          <w:szCs w:val="24"/>
        </w:rPr>
        <w:t>mes, when such people as Levi the tax collector were welcomed in Jesus’ group of followers: “After this he went out and saw a tax collector named Levi, sitting at the tax booth; and he said to him, ‘Follow me.’” [Luke. 5:27-32 (NRSV)]</w:t>
      </w:r>
    </w:p>
    <w:p w14:paraId="3E1B6355" w14:textId="77777777" w:rsidR="00B15D0A" w:rsidRDefault="009A366F">
      <w:pPr>
        <w:spacing w:line="480" w:lineRule="auto"/>
        <w:jc w:val="both"/>
        <w:rPr>
          <w:rFonts w:ascii="Times New Roman" w:eastAsia="Times New Roman" w:hAnsi="Times New Roman" w:cs="Times New Roman"/>
          <w:sz w:val="24"/>
          <w:szCs w:val="24"/>
        </w:rPr>
      </w:pPr>
      <w:bookmarkStart w:id="11" w:name="_heading=h.vnq7h7upxo11" w:colFirst="0" w:colLast="0"/>
      <w:bookmarkEnd w:id="11"/>
      <w:r>
        <w:rPr>
          <w:rFonts w:ascii="Times New Roman" w:eastAsia="Times New Roman" w:hAnsi="Times New Roman" w:cs="Times New Roman"/>
          <w:sz w:val="24"/>
          <w:szCs w:val="24"/>
        </w:rPr>
        <w:t>Overall, this underst</w:t>
      </w:r>
      <w:r>
        <w:rPr>
          <w:rFonts w:ascii="Times New Roman" w:eastAsia="Times New Roman" w:hAnsi="Times New Roman" w:cs="Times New Roman"/>
          <w:sz w:val="24"/>
          <w:szCs w:val="24"/>
        </w:rPr>
        <w:t xml:space="preserve">anding of Peter’s denial can be considered to be a story that is meant to be taken in more of a metaphorical stance, and this in two different ways. The first stance being the aforementioned ‘folly of mankind’ that is a prominent theme in the Bible, which </w:t>
      </w:r>
      <w:r>
        <w:rPr>
          <w:rFonts w:ascii="Times New Roman" w:eastAsia="Times New Roman" w:hAnsi="Times New Roman" w:cs="Times New Roman"/>
          <w:sz w:val="24"/>
          <w:szCs w:val="24"/>
        </w:rPr>
        <w:t xml:space="preserve">stems back to the very beginning of humanity (at least according to the Bible). The second stance being the counterpart of Jesus being the saviour for those in such dire needs. Jesus is the one who is able to instinctively </w:t>
      </w:r>
      <w:r>
        <w:rPr>
          <w:rFonts w:ascii="Times New Roman" w:eastAsia="Times New Roman" w:hAnsi="Times New Roman" w:cs="Times New Roman"/>
          <w:i/>
          <w:sz w:val="24"/>
          <w:szCs w:val="24"/>
        </w:rPr>
        <w:t xml:space="preserve">know </w:t>
      </w:r>
      <w:r>
        <w:rPr>
          <w:rFonts w:ascii="Times New Roman" w:eastAsia="Times New Roman" w:hAnsi="Times New Roman" w:cs="Times New Roman"/>
          <w:sz w:val="24"/>
          <w:szCs w:val="24"/>
        </w:rPr>
        <w:t>the reasons behind the actio</w:t>
      </w:r>
      <w:r>
        <w:rPr>
          <w:rFonts w:ascii="Times New Roman" w:eastAsia="Times New Roman" w:hAnsi="Times New Roman" w:cs="Times New Roman"/>
          <w:sz w:val="24"/>
          <w:szCs w:val="24"/>
        </w:rPr>
        <w:t xml:space="preserve">ns of Peter, even if the actions themselves </w:t>
      </w:r>
      <w:r>
        <w:rPr>
          <w:rFonts w:ascii="Times New Roman" w:eastAsia="Times New Roman" w:hAnsi="Times New Roman" w:cs="Times New Roman"/>
          <w:i/>
          <w:sz w:val="24"/>
          <w:szCs w:val="24"/>
        </w:rPr>
        <w:t>have not happened yet.</w:t>
      </w:r>
      <w:r>
        <w:rPr>
          <w:rFonts w:ascii="Times New Roman" w:eastAsia="Times New Roman" w:hAnsi="Times New Roman" w:cs="Times New Roman"/>
          <w:sz w:val="24"/>
          <w:szCs w:val="24"/>
        </w:rPr>
        <w:t xml:space="preserve"> A personal conclusion that I derive from the his divine knowledge (a concept that will be looked into in much more depth further in Chapter 3 of this dissertation) shows how Jesus is presci</w:t>
      </w:r>
      <w:r>
        <w:rPr>
          <w:rFonts w:ascii="Times New Roman" w:eastAsia="Times New Roman" w:hAnsi="Times New Roman" w:cs="Times New Roman"/>
          <w:sz w:val="24"/>
          <w:szCs w:val="24"/>
        </w:rPr>
        <w:t xml:space="preserve">ent to the inherent sins of humanity before they are committed and how he is able to both tell of the sin to the person who is about to commit it (even if the person in question denies all possibilities that such an egregious sin </w:t>
      </w:r>
      <w:r>
        <w:rPr>
          <w:rFonts w:ascii="Times New Roman" w:eastAsia="Times New Roman" w:hAnsi="Times New Roman" w:cs="Times New Roman"/>
          <w:i/>
          <w:sz w:val="24"/>
          <w:szCs w:val="24"/>
        </w:rPr>
        <w:t xml:space="preserve">could </w:t>
      </w:r>
      <w:r>
        <w:rPr>
          <w:rFonts w:ascii="Times New Roman" w:eastAsia="Times New Roman" w:hAnsi="Times New Roman" w:cs="Times New Roman"/>
          <w:sz w:val="24"/>
          <w:szCs w:val="24"/>
        </w:rPr>
        <w:t xml:space="preserve">happen), as well as </w:t>
      </w:r>
      <w:r>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lastRenderedPageBreak/>
        <w:t xml:space="preserve">forgiveness that is fundamental to his teachings and the notion that he </w:t>
      </w:r>
      <w:r>
        <w:rPr>
          <w:rFonts w:ascii="Times New Roman" w:eastAsia="Times New Roman" w:hAnsi="Times New Roman" w:cs="Times New Roman"/>
          <w:i/>
          <w:sz w:val="24"/>
          <w:szCs w:val="24"/>
        </w:rPr>
        <w:t>knows</w:t>
      </w:r>
      <w:r>
        <w:rPr>
          <w:rFonts w:ascii="Times New Roman" w:eastAsia="Times New Roman" w:hAnsi="Times New Roman" w:cs="Times New Roman"/>
          <w:sz w:val="24"/>
          <w:szCs w:val="24"/>
        </w:rPr>
        <w:t>. If we were to take this story as more of a metaphorical fable for those to read and learn from, then the teaching that Jesus is a forgiving person who absolves all sin is se</w:t>
      </w:r>
      <w:r>
        <w:rPr>
          <w:rFonts w:ascii="Times New Roman" w:eastAsia="Times New Roman" w:hAnsi="Times New Roman" w:cs="Times New Roman"/>
          <w:sz w:val="24"/>
          <w:szCs w:val="24"/>
        </w:rPr>
        <w:t>en throughout this story in ways that are more subtle.</w:t>
      </w:r>
    </w:p>
    <w:p w14:paraId="3BBE8687" w14:textId="77777777" w:rsidR="00B15D0A" w:rsidRDefault="009A366F">
      <w:pPr>
        <w:spacing w:line="480" w:lineRule="auto"/>
        <w:jc w:val="both"/>
        <w:rPr>
          <w:rFonts w:ascii="Times New Roman" w:eastAsia="Times New Roman" w:hAnsi="Times New Roman" w:cs="Times New Roman"/>
          <w:sz w:val="24"/>
          <w:szCs w:val="24"/>
        </w:rPr>
      </w:pPr>
      <w:bookmarkStart w:id="12" w:name="_heading=h.qvitu4iux605" w:colFirst="0" w:colLast="0"/>
      <w:bookmarkEnd w:id="12"/>
      <w:r>
        <w:rPr>
          <w:rFonts w:ascii="Times New Roman" w:eastAsia="Times New Roman" w:hAnsi="Times New Roman" w:cs="Times New Roman"/>
          <w:sz w:val="24"/>
          <w:szCs w:val="24"/>
        </w:rPr>
        <w:t xml:space="preserve">Maurice Goguel is a different commentary writer from a more bygone era who also discussed this part of the Bible. His commentaries on Peter’s denial of Jesus are influential for gaining a well-rounded </w:t>
      </w:r>
      <w:r>
        <w:rPr>
          <w:rFonts w:ascii="Times New Roman" w:eastAsia="Times New Roman" w:hAnsi="Times New Roman" w:cs="Times New Roman"/>
          <w:sz w:val="24"/>
          <w:szCs w:val="24"/>
        </w:rPr>
        <w:t xml:space="preserve">opinion on whether the story is metaphorical or a story that should be taken in an absolute literal sense, if only in a consequential manner, as he writes “These three elements [of the Bible’s account of the predictions] appear clearly related, but it may </w:t>
      </w:r>
      <w:r>
        <w:rPr>
          <w:rFonts w:ascii="Times New Roman" w:eastAsia="Times New Roman" w:hAnsi="Times New Roman" w:cs="Times New Roman"/>
          <w:sz w:val="24"/>
          <w:szCs w:val="24"/>
        </w:rPr>
        <w:t>be asked whether this is not due to an editor's hand.”</w:t>
      </w:r>
      <w:r>
        <w:rPr>
          <w:rFonts w:ascii="Times New Roman" w:eastAsia="Times New Roman" w:hAnsi="Times New Roman" w:cs="Times New Roman"/>
          <w:sz w:val="24"/>
          <w:szCs w:val="24"/>
          <w:vertAlign w:val="superscript"/>
        </w:rPr>
        <w:footnoteReference w:id="16"/>
      </w:r>
      <w:r>
        <w:rPr>
          <w:rFonts w:ascii="Times New Roman" w:eastAsia="Times New Roman" w:hAnsi="Times New Roman" w:cs="Times New Roman"/>
          <w:sz w:val="24"/>
          <w:szCs w:val="24"/>
        </w:rPr>
        <w:t xml:space="preserve"> The most notable thing that can be recognised from this quote is the implication of an editor, or rather, the unknown factor of whether or not an editor could have been used for this part of the Bible, or any part of the Bible for that matter. Goguel’s of</w:t>
      </w:r>
      <w:r>
        <w:rPr>
          <w:rFonts w:ascii="Times New Roman" w:eastAsia="Times New Roman" w:hAnsi="Times New Roman" w:cs="Times New Roman"/>
          <w:sz w:val="24"/>
          <w:szCs w:val="24"/>
        </w:rPr>
        <w:t xml:space="preserve">fhand remark in this extract from his journal article actually opens up the suggestion that the Bible is </w:t>
      </w:r>
      <w:r>
        <w:rPr>
          <w:rFonts w:ascii="Times New Roman" w:eastAsia="Times New Roman" w:hAnsi="Times New Roman" w:cs="Times New Roman"/>
          <w:i/>
          <w:sz w:val="24"/>
          <w:szCs w:val="24"/>
        </w:rPr>
        <w:t xml:space="preserve">not </w:t>
      </w:r>
      <w:r>
        <w:rPr>
          <w:rFonts w:ascii="Times New Roman" w:eastAsia="Times New Roman" w:hAnsi="Times New Roman" w:cs="Times New Roman"/>
          <w:sz w:val="24"/>
          <w:szCs w:val="24"/>
        </w:rPr>
        <w:t>a complete and factual retelling of real life events as they happened, but rather a cherry-picked selection of happenings that themselves have been</w:t>
      </w:r>
      <w:r>
        <w:rPr>
          <w:rFonts w:ascii="Times New Roman" w:eastAsia="Times New Roman" w:hAnsi="Times New Roman" w:cs="Times New Roman"/>
          <w:sz w:val="24"/>
          <w:szCs w:val="24"/>
        </w:rPr>
        <w:t xml:space="preserve"> edited for a plethora of potential reasons, most notably in relation to certain teachings, such as the </w:t>
      </w:r>
      <w:r>
        <w:rPr>
          <w:rFonts w:ascii="Times New Roman" w:eastAsia="Times New Roman" w:hAnsi="Times New Roman" w:cs="Times New Roman"/>
          <w:i/>
          <w:sz w:val="24"/>
          <w:szCs w:val="24"/>
        </w:rPr>
        <w:t>Kerygma</w:t>
      </w:r>
      <w:r>
        <w:rPr>
          <w:rFonts w:ascii="Times New Roman" w:eastAsia="Times New Roman" w:hAnsi="Times New Roman" w:cs="Times New Roman"/>
          <w:sz w:val="24"/>
          <w:szCs w:val="24"/>
        </w:rPr>
        <w:t>, of the early Church that they were written for.</w:t>
      </w:r>
      <w:r>
        <w:rPr>
          <w:rFonts w:ascii="Times New Roman" w:eastAsia="Times New Roman" w:hAnsi="Times New Roman" w:cs="Times New Roman"/>
          <w:sz w:val="24"/>
          <w:szCs w:val="24"/>
          <w:vertAlign w:val="superscript"/>
        </w:rPr>
        <w:footnoteReference w:id="17"/>
      </w:r>
    </w:p>
    <w:p w14:paraId="173BA9EF" w14:textId="568FF181" w:rsidR="00B15D0A" w:rsidRDefault="009A366F">
      <w:pPr>
        <w:spacing w:line="480" w:lineRule="auto"/>
        <w:jc w:val="both"/>
        <w:rPr>
          <w:rFonts w:ascii="Times New Roman" w:eastAsia="Times New Roman" w:hAnsi="Times New Roman" w:cs="Times New Roman"/>
          <w:sz w:val="24"/>
          <w:szCs w:val="24"/>
        </w:rPr>
      </w:pPr>
      <w:bookmarkStart w:id="13" w:name="_heading=h.eteol1rl18km" w:colFirst="0" w:colLast="0"/>
      <w:bookmarkEnd w:id="13"/>
      <w:r>
        <w:rPr>
          <w:rFonts w:ascii="Times New Roman" w:eastAsia="Times New Roman" w:hAnsi="Times New Roman" w:cs="Times New Roman"/>
          <w:sz w:val="24"/>
          <w:szCs w:val="24"/>
        </w:rPr>
        <w:t xml:space="preserve">These reasons, of which </w:t>
      </w:r>
      <w:r>
        <w:rPr>
          <w:rFonts w:ascii="Times New Roman" w:eastAsia="Times New Roman" w:hAnsi="Times New Roman" w:cs="Times New Roman"/>
          <w:i/>
          <w:sz w:val="24"/>
          <w:szCs w:val="24"/>
        </w:rPr>
        <w:t xml:space="preserve">all of them </w:t>
      </w:r>
      <w:r>
        <w:rPr>
          <w:rFonts w:ascii="Times New Roman" w:eastAsia="Times New Roman" w:hAnsi="Times New Roman" w:cs="Times New Roman"/>
          <w:sz w:val="24"/>
          <w:szCs w:val="24"/>
        </w:rPr>
        <w:t>are but only a speculative gesture and not necessarily th</w:t>
      </w:r>
      <w:r>
        <w:rPr>
          <w:rFonts w:ascii="Times New Roman" w:eastAsia="Times New Roman" w:hAnsi="Times New Roman" w:cs="Times New Roman"/>
          <w:sz w:val="24"/>
          <w:szCs w:val="24"/>
        </w:rPr>
        <w:t xml:space="preserve">e personal beliefs of Goguel himself, could be the idea that the story needed an embellishment to help convert people to the </w:t>
      </w:r>
      <w:r w:rsidR="008B2C04">
        <w:rPr>
          <w:rFonts w:ascii="Times New Roman" w:eastAsia="Times New Roman" w:hAnsi="Times New Roman" w:cs="Times New Roman"/>
          <w:sz w:val="24"/>
          <w:szCs w:val="24"/>
        </w:rPr>
        <w:t>newly formed</w:t>
      </w:r>
      <w:r>
        <w:rPr>
          <w:rFonts w:ascii="Times New Roman" w:eastAsia="Times New Roman" w:hAnsi="Times New Roman" w:cs="Times New Roman"/>
          <w:sz w:val="24"/>
          <w:szCs w:val="24"/>
        </w:rPr>
        <w:t xml:space="preserve"> religion. Another potential reason could be that each story or parable in the Bible needed to be streamlined, in a sen</w:t>
      </w:r>
      <w:r>
        <w:rPr>
          <w:rFonts w:ascii="Times New Roman" w:eastAsia="Times New Roman" w:hAnsi="Times New Roman" w:cs="Times New Roman"/>
          <w:sz w:val="24"/>
          <w:szCs w:val="24"/>
        </w:rPr>
        <w:t xml:space="preserve">se, in order to make for an engaging narrative that people would read in the first place. John Kloppenborg and Judith </w:t>
      </w:r>
      <w:r>
        <w:rPr>
          <w:rFonts w:ascii="Times New Roman" w:eastAsia="Times New Roman" w:hAnsi="Times New Roman" w:cs="Times New Roman"/>
          <w:sz w:val="24"/>
          <w:szCs w:val="24"/>
        </w:rPr>
        <w:lastRenderedPageBreak/>
        <w:t xml:space="preserve">Newman discuss the implications of editing the Bible in a book that they contributed to, writing: </w:t>
      </w:r>
    </w:p>
    <w:p w14:paraId="66F2F4D6" w14:textId="77777777" w:rsidR="00B15D0A" w:rsidRDefault="009A366F">
      <w:pPr>
        <w:spacing w:line="276" w:lineRule="auto"/>
        <w:ind w:left="720"/>
        <w:jc w:val="both"/>
        <w:rPr>
          <w:rFonts w:ascii="Times New Roman" w:eastAsia="Times New Roman" w:hAnsi="Times New Roman" w:cs="Times New Roman"/>
          <w:sz w:val="24"/>
          <w:szCs w:val="24"/>
        </w:rPr>
      </w:pPr>
      <w:bookmarkStart w:id="14" w:name="_heading=h.psn6m0pdomiw" w:colFirst="0" w:colLast="0"/>
      <w:bookmarkEnd w:id="14"/>
      <w:r>
        <w:rPr>
          <w:rFonts w:ascii="Times New Roman" w:eastAsia="Times New Roman" w:hAnsi="Times New Roman" w:cs="Times New Roman"/>
          <w:sz w:val="24"/>
          <w:szCs w:val="24"/>
        </w:rPr>
        <w:t>Moreover, the Textus Receptus [a text b</w:t>
      </w:r>
      <w:r>
        <w:rPr>
          <w:rFonts w:ascii="Times New Roman" w:eastAsia="Times New Roman" w:hAnsi="Times New Roman" w:cs="Times New Roman"/>
          <w:sz w:val="24"/>
          <w:szCs w:val="24"/>
        </w:rPr>
        <w:t>y the philosopher Erasmus that served as the base for all Biblical translations to be written from] used as the basis for the first critical editions of the New Testament does not reflect a standard 'canonical' text from antiquity, but rather represents la</w:t>
      </w:r>
      <w:r>
        <w:rPr>
          <w:rFonts w:ascii="Times New Roman" w:eastAsia="Times New Roman" w:hAnsi="Times New Roman" w:cs="Times New Roman"/>
          <w:sz w:val="24"/>
          <w:szCs w:val="24"/>
        </w:rPr>
        <w:t>ter manuscripts adopted for expedience en route to publication.</w:t>
      </w:r>
      <w:r>
        <w:rPr>
          <w:rFonts w:ascii="Times New Roman" w:eastAsia="Times New Roman" w:hAnsi="Times New Roman" w:cs="Times New Roman"/>
          <w:sz w:val="24"/>
          <w:szCs w:val="24"/>
          <w:vertAlign w:val="superscript"/>
        </w:rPr>
        <w:footnoteReference w:id="18"/>
      </w:r>
    </w:p>
    <w:p w14:paraId="11A7ACBB" w14:textId="4A9BC78F" w:rsidR="00B15D0A" w:rsidRDefault="009A366F">
      <w:pPr>
        <w:spacing w:line="480" w:lineRule="auto"/>
        <w:jc w:val="both"/>
        <w:rPr>
          <w:rFonts w:ascii="Times New Roman" w:eastAsia="Times New Roman" w:hAnsi="Times New Roman" w:cs="Times New Roman"/>
          <w:sz w:val="24"/>
          <w:szCs w:val="24"/>
        </w:rPr>
      </w:pPr>
      <w:bookmarkStart w:id="15" w:name="_heading=h.3f1s81pyw8dn" w:colFirst="0" w:colLast="0"/>
      <w:bookmarkEnd w:id="15"/>
      <w:r>
        <w:rPr>
          <w:rFonts w:ascii="Times New Roman" w:eastAsia="Times New Roman" w:hAnsi="Times New Roman" w:cs="Times New Roman"/>
          <w:sz w:val="24"/>
          <w:szCs w:val="24"/>
        </w:rPr>
        <w:t>The Bible, noted here as just being the New Testament, is deemed to be completely irreconcilable with the original text due to both the amount of time that has occurred since the absolute or</w:t>
      </w:r>
      <w:r>
        <w:rPr>
          <w:rFonts w:ascii="Times New Roman" w:eastAsia="Times New Roman" w:hAnsi="Times New Roman" w:cs="Times New Roman"/>
          <w:sz w:val="24"/>
          <w:szCs w:val="24"/>
        </w:rPr>
        <w:t xml:space="preserve">iginal text was written, as well as the fact that a secondary text that came </w:t>
      </w:r>
      <w:r>
        <w:rPr>
          <w:rFonts w:ascii="Times New Roman" w:eastAsia="Times New Roman" w:hAnsi="Times New Roman" w:cs="Times New Roman"/>
          <w:i/>
          <w:sz w:val="24"/>
          <w:szCs w:val="24"/>
        </w:rPr>
        <w:t xml:space="preserve">after </w:t>
      </w:r>
      <w:r>
        <w:rPr>
          <w:rFonts w:ascii="Times New Roman" w:eastAsia="Times New Roman" w:hAnsi="Times New Roman" w:cs="Times New Roman"/>
          <w:sz w:val="24"/>
          <w:szCs w:val="24"/>
        </w:rPr>
        <w:t xml:space="preserve">the Bible was used for many centuries to define what </w:t>
      </w:r>
      <w:r>
        <w:rPr>
          <w:rFonts w:ascii="Times New Roman" w:eastAsia="Times New Roman" w:hAnsi="Times New Roman" w:cs="Times New Roman"/>
          <w:i/>
          <w:sz w:val="24"/>
          <w:szCs w:val="24"/>
        </w:rPr>
        <w:t xml:space="preserve">newer </w:t>
      </w:r>
      <w:r>
        <w:rPr>
          <w:rFonts w:ascii="Times New Roman" w:eastAsia="Times New Roman" w:hAnsi="Times New Roman" w:cs="Times New Roman"/>
          <w:sz w:val="24"/>
          <w:szCs w:val="24"/>
        </w:rPr>
        <w:t xml:space="preserve">Bibles were based from. Many editions of the Bible are based on this </w:t>
      </w:r>
      <w:r>
        <w:rPr>
          <w:rFonts w:ascii="Times New Roman" w:eastAsia="Times New Roman" w:hAnsi="Times New Roman" w:cs="Times New Roman"/>
          <w:i/>
          <w:sz w:val="24"/>
          <w:szCs w:val="24"/>
        </w:rPr>
        <w:t xml:space="preserve">Textus Receptus, </w:t>
      </w:r>
      <w:r>
        <w:rPr>
          <w:rFonts w:ascii="Times New Roman" w:eastAsia="Times New Roman" w:hAnsi="Times New Roman" w:cs="Times New Roman"/>
          <w:sz w:val="24"/>
          <w:szCs w:val="24"/>
        </w:rPr>
        <w:t>which is in itself a derivat</w:t>
      </w:r>
      <w:r>
        <w:rPr>
          <w:rFonts w:ascii="Times New Roman" w:eastAsia="Times New Roman" w:hAnsi="Times New Roman" w:cs="Times New Roman"/>
          <w:sz w:val="24"/>
          <w:szCs w:val="24"/>
        </w:rPr>
        <w:t xml:space="preserve">ive of a prior text, meaning that each version of the Bible since at least the fourteenth century </w:t>
      </w:r>
      <w:r w:rsidR="008B2C04">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be considered to be a perfect recreation or translation of the original texts of the Bible. Another quote by Kloppenborg and Newman helps confirm this</w:t>
      </w:r>
      <w:r>
        <w:rPr>
          <w:rFonts w:ascii="Times New Roman" w:eastAsia="Times New Roman" w:hAnsi="Times New Roman" w:cs="Times New Roman"/>
          <w:sz w:val="24"/>
          <w:szCs w:val="24"/>
        </w:rPr>
        <w:t xml:space="preserve"> idea as they write about how “In the case of both the Hebrew Bible and the New Testament, the concept of the Bible cannot be fully disentangled from early modern practices of print and production and indeed, the idea of a critical edition of a Bible itsel</w:t>
      </w:r>
      <w:r>
        <w:rPr>
          <w:rFonts w:ascii="Times New Roman" w:eastAsia="Times New Roman" w:hAnsi="Times New Roman" w:cs="Times New Roman"/>
          <w:sz w:val="24"/>
          <w:szCs w:val="24"/>
        </w:rPr>
        <w:t>f.”</w:t>
      </w:r>
      <w:r>
        <w:rPr>
          <w:rFonts w:ascii="Times New Roman" w:eastAsia="Times New Roman" w:hAnsi="Times New Roman" w:cs="Times New Roman"/>
          <w:sz w:val="24"/>
          <w:szCs w:val="24"/>
          <w:vertAlign w:val="superscript"/>
        </w:rPr>
        <w:footnoteReference w:id="19"/>
      </w:r>
    </w:p>
    <w:p w14:paraId="689A467E" w14:textId="77777777" w:rsidR="00B15D0A" w:rsidRDefault="009A366F">
      <w:pPr>
        <w:spacing w:line="480" w:lineRule="auto"/>
        <w:jc w:val="both"/>
        <w:rPr>
          <w:rFonts w:ascii="Times New Roman" w:eastAsia="Times New Roman" w:hAnsi="Times New Roman" w:cs="Times New Roman"/>
          <w:sz w:val="24"/>
          <w:szCs w:val="24"/>
        </w:rPr>
      </w:pPr>
      <w:bookmarkStart w:id="16" w:name="_heading=h.1dcf8rw7jyhe" w:colFirst="0" w:colLast="0"/>
      <w:bookmarkEnd w:id="16"/>
      <w:r>
        <w:rPr>
          <w:rFonts w:ascii="Times New Roman" w:eastAsia="Times New Roman" w:hAnsi="Times New Roman" w:cs="Times New Roman"/>
          <w:sz w:val="24"/>
          <w:szCs w:val="24"/>
        </w:rPr>
        <w:t xml:space="preserve">Using what Kloppenborg and Newman say about the inevitability of how </w:t>
      </w:r>
      <w:r>
        <w:rPr>
          <w:rFonts w:ascii="Times New Roman" w:eastAsia="Times New Roman" w:hAnsi="Times New Roman" w:cs="Times New Roman"/>
          <w:i/>
          <w:sz w:val="24"/>
          <w:szCs w:val="24"/>
        </w:rPr>
        <w:t xml:space="preserve">parts </w:t>
      </w:r>
      <w:r>
        <w:rPr>
          <w:rFonts w:ascii="Times New Roman" w:eastAsia="Times New Roman" w:hAnsi="Times New Roman" w:cs="Times New Roman"/>
          <w:sz w:val="24"/>
          <w:szCs w:val="24"/>
        </w:rPr>
        <w:t xml:space="preserve">of the Bible potentially having been edited, and using that to justify what Goguel suggests by the Bible using a potential editor, what can be decided about the story affirms </w:t>
      </w:r>
      <w:r>
        <w:rPr>
          <w:rFonts w:ascii="Times New Roman" w:eastAsia="Times New Roman" w:hAnsi="Times New Roman" w:cs="Times New Roman"/>
          <w:sz w:val="24"/>
          <w:szCs w:val="24"/>
        </w:rPr>
        <w:t>that there is no justification for confirming to an absolute degree that what is written in the Bible is a factual retelling of something that definitively occurred.</w:t>
      </w:r>
    </w:p>
    <w:p w14:paraId="018F3156" w14:textId="77777777" w:rsidR="00B15D0A" w:rsidRDefault="009A366F">
      <w:pPr>
        <w:spacing w:line="480" w:lineRule="auto"/>
        <w:jc w:val="both"/>
        <w:rPr>
          <w:rFonts w:ascii="Times New Roman" w:eastAsia="Times New Roman" w:hAnsi="Times New Roman" w:cs="Times New Roman"/>
          <w:sz w:val="24"/>
          <w:szCs w:val="24"/>
        </w:rPr>
      </w:pPr>
      <w:bookmarkStart w:id="17" w:name="_heading=h.js5ycz2c102h" w:colFirst="0" w:colLast="0"/>
      <w:bookmarkEnd w:id="17"/>
      <w:r>
        <w:rPr>
          <w:rFonts w:ascii="Times New Roman" w:eastAsia="Times New Roman" w:hAnsi="Times New Roman" w:cs="Times New Roman"/>
          <w:sz w:val="24"/>
          <w:szCs w:val="24"/>
        </w:rPr>
        <w:lastRenderedPageBreak/>
        <w:t>As an aside, another perspective that can be discussed into the sense of editing the Bible</w:t>
      </w:r>
      <w:r>
        <w:rPr>
          <w:rFonts w:ascii="Times New Roman" w:eastAsia="Times New Roman" w:hAnsi="Times New Roman" w:cs="Times New Roman"/>
          <w:sz w:val="24"/>
          <w:szCs w:val="24"/>
        </w:rPr>
        <w:t xml:space="preserve"> that may distort the way that the story may be warped is represented in an article by René Girard, who states: “Careful and sensitive as he is as a reader, Auerbach did not perceive something that is highly visible and which should immediately strike ever</w:t>
      </w:r>
      <w:r>
        <w:rPr>
          <w:rFonts w:ascii="Times New Roman" w:eastAsia="Times New Roman" w:hAnsi="Times New Roman" w:cs="Times New Roman"/>
          <w:sz w:val="24"/>
          <w:szCs w:val="24"/>
        </w:rPr>
        <w:t>y observer: it is the role of mimesis in the text itself, the presence of mimesis as content.”</w:t>
      </w:r>
      <w:r>
        <w:rPr>
          <w:rFonts w:ascii="Times New Roman" w:eastAsia="Times New Roman" w:hAnsi="Times New Roman" w:cs="Times New Roman"/>
          <w:sz w:val="24"/>
          <w:szCs w:val="24"/>
          <w:vertAlign w:val="superscript"/>
        </w:rPr>
        <w:footnoteReference w:id="20"/>
      </w:r>
      <w:r>
        <w:rPr>
          <w:rFonts w:ascii="Times New Roman" w:eastAsia="Times New Roman" w:hAnsi="Times New Roman" w:cs="Times New Roman"/>
          <w:sz w:val="24"/>
          <w:szCs w:val="24"/>
        </w:rPr>
        <w:t xml:space="preserve"> Mimesis, which is defined as the showcase of an imitation for the sake of an artistic process, is a strong word to use in terms of a Biblical story, as it can </w:t>
      </w:r>
      <w:r>
        <w:rPr>
          <w:rFonts w:ascii="Times New Roman" w:eastAsia="Times New Roman" w:hAnsi="Times New Roman" w:cs="Times New Roman"/>
          <w:sz w:val="24"/>
          <w:szCs w:val="24"/>
        </w:rPr>
        <w:t>hold the implication of the sake of the Bible being edited for the sake of artistic merit. This artistic merit that is brought up by Girard could be the writers (or editors if we were to go by the lexicography of Goguel’s article), then the idea that the s</w:t>
      </w:r>
      <w:r>
        <w:rPr>
          <w:rFonts w:ascii="Times New Roman" w:eastAsia="Times New Roman" w:hAnsi="Times New Roman" w:cs="Times New Roman"/>
          <w:sz w:val="24"/>
          <w:szCs w:val="24"/>
        </w:rPr>
        <w:t>tory of Peter’s denial being one that is a literal account that is meant to be seen as a historical retelling of factual events is put into further question. Girard and Auerbach see the Gospels account as ones that follow structures of fictional art, or at</w:t>
      </w:r>
      <w:r>
        <w:rPr>
          <w:rFonts w:ascii="Times New Roman" w:eastAsia="Times New Roman" w:hAnsi="Times New Roman" w:cs="Times New Roman"/>
          <w:sz w:val="24"/>
          <w:szCs w:val="24"/>
        </w:rPr>
        <w:t xml:space="preserve"> the very least edited for that artistic benefit. Indeed, it is with this literary type of approach or scrutiny that the </w:t>
      </w:r>
      <w:r>
        <w:rPr>
          <w:rFonts w:ascii="Times New Roman" w:eastAsia="Times New Roman" w:hAnsi="Times New Roman" w:cs="Times New Roman"/>
          <w:i/>
          <w:sz w:val="24"/>
          <w:szCs w:val="24"/>
        </w:rPr>
        <w:t>Form Critics</w:t>
      </w:r>
      <w:r>
        <w:rPr>
          <w:rFonts w:ascii="Times New Roman" w:eastAsia="Times New Roman" w:hAnsi="Times New Roman" w:cs="Times New Roman"/>
          <w:sz w:val="24"/>
          <w:szCs w:val="24"/>
        </w:rPr>
        <w:t>, such as Stephen E. Donlon</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attempted to look at the Biblical material and judge what was authentic and what might be the w</w:t>
      </w:r>
      <w:r>
        <w:rPr>
          <w:rFonts w:ascii="Times New Roman" w:eastAsia="Times New Roman" w:hAnsi="Times New Roman" w:cs="Times New Roman"/>
          <w:sz w:val="24"/>
          <w:szCs w:val="24"/>
        </w:rPr>
        <w:t>ork of an editor (for the sake of brevity of this dissertation though, commentary on this subject will be limited).</w:t>
      </w:r>
      <w:r>
        <w:rPr>
          <w:rFonts w:ascii="Times New Roman" w:eastAsia="Times New Roman" w:hAnsi="Times New Roman" w:cs="Times New Roman"/>
          <w:sz w:val="24"/>
          <w:szCs w:val="24"/>
          <w:vertAlign w:val="superscript"/>
        </w:rPr>
        <w:footnoteReference w:id="21"/>
      </w:r>
      <w:r>
        <w:rPr>
          <w:rFonts w:ascii="Times New Roman" w:eastAsia="Times New Roman" w:hAnsi="Times New Roman" w:cs="Times New Roman"/>
          <w:sz w:val="24"/>
          <w:szCs w:val="24"/>
        </w:rPr>
        <w:t xml:space="preserve"> This would work nicely into Goguel’s comment of potential editors and is a point that should be brought up if this dissertation were to co</w:t>
      </w:r>
      <w:r>
        <w:rPr>
          <w:rFonts w:ascii="Times New Roman" w:eastAsia="Times New Roman" w:hAnsi="Times New Roman" w:cs="Times New Roman"/>
          <w:sz w:val="24"/>
          <w:szCs w:val="24"/>
        </w:rPr>
        <w:t>nsider the possibility that Peter’s denial is a metaphorical account that serves to teach morals more than it does teach of a truly historical event.</w:t>
      </w:r>
    </w:p>
    <w:p w14:paraId="6D645062" w14:textId="77777777" w:rsidR="00B15D0A" w:rsidRDefault="009A366F">
      <w:pPr>
        <w:spacing w:line="480" w:lineRule="auto"/>
        <w:jc w:val="both"/>
        <w:rPr>
          <w:rFonts w:ascii="Times New Roman" w:eastAsia="Times New Roman" w:hAnsi="Times New Roman" w:cs="Times New Roman"/>
          <w:sz w:val="24"/>
          <w:szCs w:val="24"/>
        </w:rPr>
      </w:pPr>
      <w:bookmarkStart w:id="18" w:name="_heading=h.imfeu66oaqrn" w:colFirst="0" w:colLast="0"/>
      <w:bookmarkEnd w:id="18"/>
      <w:r>
        <w:rPr>
          <w:rFonts w:ascii="Times New Roman" w:eastAsia="Times New Roman" w:hAnsi="Times New Roman" w:cs="Times New Roman"/>
          <w:sz w:val="24"/>
          <w:szCs w:val="24"/>
        </w:rPr>
        <w:t xml:space="preserve">If we were to go deeper into the idea of differences that the </w:t>
      </w:r>
      <w:r>
        <w:rPr>
          <w:rFonts w:ascii="Times New Roman" w:eastAsia="Times New Roman" w:hAnsi="Times New Roman" w:cs="Times New Roman"/>
          <w:i/>
          <w:sz w:val="24"/>
          <w:szCs w:val="24"/>
        </w:rPr>
        <w:t xml:space="preserve">Textus Receptus </w:t>
      </w:r>
      <w:r>
        <w:rPr>
          <w:rFonts w:ascii="Times New Roman" w:eastAsia="Times New Roman" w:hAnsi="Times New Roman" w:cs="Times New Roman"/>
          <w:sz w:val="24"/>
          <w:szCs w:val="24"/>
        </w:rPr>
        <w:t xml:space="preserve">presents, Goguel also notes </w:t>
      </w:r>
      <w:r>
        <w:rPr>
          <w:rFonts w:ascii="Times New Roman" w:eastAsia="Times New Roman" w:hAnsi="Times New Roman" w:cs="Times New Roman"/>
          <w:sz w:val="24"/>
          <w:szCs w:val="24"/>
        </w:rPr>
        <w:t xml:space="preserve">that each of the Four Gospels in the New Testaments tell the same story, and with that, each is different in their own ways. “The account in Matthew shows only minor variations </w:t>
      </w:r>
      <w:r>
        <w:rPr>
          <w:rFonts w:ascii="Times New Roman" w:eastAsia="Times New Roman" w:hAnsi="Times New Roman" w:cs="Times New Roman"/>
          <w:sz w:val="24"/>
          <w:szCs w:val="24"/>
        </w:rPr>
        <w:lastRenderedPageBreak/>
        <w:t>from Mark. The only departure that deserves mention is that Matthew speaks of b</w:t>
      </w:r>
      <w:r>
        <w:rPr>
          <w:rFonts w:ascii="Times New Roman" w:eastAsia="Times New Roman" w:hAnsi="Times New Roman" w:cs="Times New Roman"/>
          <w:sz w:val="24"/>
          <w:szCs w:val="24"/>
        </w:rPr>
        <w:t>ut one crowing of the cock,”</w:t>
      </w:r>
      <w:r>
        <w:rPr>
          <w:rFonts w:ascii="Times New Roman" w:eastAsia="Times New Roman" w:hAnsi="Times New Roman" w:cs="Times New Roman"/>
          <w:sz w:val="24"/>
          <w:szCs w:val="24"/>
          <w:vertAlign w:val="superscript"/>
        </w:rPr>
        <w:footnoteReference w:id="22"/>
      </w:r>
      <w:r>
        <w:rPr>
          <w:rFonts w:ascii="Times New Roman" w:eastAsia="Times New Roman" w:hAnsi="Times New Roman" w:cs="Times New Roman"/>
          <w:sz w:val="24"/>
          <w:szCs w:val="24"/>
        </w:rPr>
        <w:t xml:space="preserve"> is one of the differences that are specifically noted by Goguel, which is important to distinguish because it raises yet another discussion point for the validity of the stories in the sense of it being literal or metaphorica</w:t>
      </w:r>
      <w:r>
        <w:rPr>
          <w:rFonts w:ascii="Times New Roman" w:eastAsia="Times New Roman" w:hAnsi="Times New Roman" w:cs="Times New Roman"/>
          <w:sz w:val="24"/>
          <w:szCs w:val="24"/>
        </w:rPr>
        <w:t>l. According to Randel Helms, each of the Gospels are written by different authors, each with their own different agendas as to how they want to present Jesus’s chronicled life.</w:t>
      </w:r>
      <w:r>
        <w:rPr>
          <w:rFonts w:ascii="Times New Roman" w:eastAsia="Times New Roman" w:hAnsi="Times New Roman" w:cs="Times New Roman"/>
          <w:sz w:val="24"/>
          <w:szCs w:val="24"/>
          <w:vertAlign w:val="superscript"/>
        </w:rPr>
        <w:footnoteReference w:id="23"/>
      </w:r>
      <w:r>
        <w:rPr>
          <w:rFonts w:ascii="Times New Roman" w:eastAsia="Times New Roman" w:hAnsi="Times New Roman" w:cs="Times New Roman"/>
          <w:sz w:val="24"/>
          <w:szCs w:val="24"/>
        </w:rPr>
        <w:t xml:space="preserve"> To add to this, a quote from Helms about the authors opens up a further issu</w:t>
      </w:r>
      <w:r>
        <w:rPr>
          <w:rFonts w:ascii="Times New Roman" w:eastAsia="Times New Roman" w:hAnsi="Times New Roman" w:cs="Times New Roman"/>
          <w:sz w:val="24"/>
          <w:szCs w:val="24"/>
        </w:rPr>
        <w:t xml:space="preserve">e of the validity of the Gospels for the sake of differentiating whether or not they are </w:t>
      </w:r>
      <w:r>
        <w:rPr>
          <w:rFonts w:ascii="Times New Roman" w:eastAsia="Times New Roman" w:hAnsi="Times New Roman" w:cs="Times New Roman"/>
          <w:i/>
          <w:sz w:val="24"/>
          <w:szCs w:val="24"/>
        </w:rPr>
        <w:t xml:space="preserve">literal </w:t>
      </w:r>
      <w:r>
        <w:rPr>
          <w:rFonts w:ascii="Times New Roman" w:eastAsia="Times New Roman" w:hAnsi="Times New Roman" w:cs="Times New Roman"/>
          <w:sz w:val="24"/>
          <w:szCs w:val="24"/>
        </w:rPr>
        <w:t>interpretations says, “By the second century it was thought that though the author of the Gospel of Mark was not an eyewitness of Jesus, he was the personal as</w:t>
      </w:r>
      <w:r>
        <w:rPr>
          <w:rFonts w:ascii="Times New Roman" w:eastAsia="Times New Roman" w:hAnsi="Times New Roman" w:cs="Times New Roman"/>
          <w:sz w:val="24"/>
          <w:szCs w:val="24"/>
        </w:rPr>
        <w:t>sociate of someone who was.”</w:t>
      </w:r>
      <w:r>
        <w:rPr>
          <w:rFonts w:ascii="Times New Roman" w:eastAsia="Times New Roman" w:hAnsi="Times New Roman" w:cs="Times New Roman"/>
          <w:sz w:val="24"/>
          <w:szCs w:val="24"/>
          <w:vertAlign w:val="superscript"/>
        </w:rPr>
        <w:footnoteReference w:id="24"/>
      </w:r>
      <w:r>
        <w:rPr>
          <w:rFonts w:ascii="Times New Roman" w:eastAsia="Times New Roman" w:hAnsi="Times New Roman" w:cs="Times New Roman"/>
          <w:sz w:val="24"/>
          <w:szCs w:val="24"/>
        </w:rPr>
        <w:t xml:space="preserve"> In a later chapter, the Gospel of Matthew is shown to be </w:t>
      </w:r>
      <w:r>
        <w:rPr>
          <w:rFonts w:ascii="Times New Roman" w:eastAsia="Times New Roman" w:hAnsi="Times New Roman" w:cs="Times New Roman"/>
          <w:i/>
          <w:sz w:val="24"/>
          <w:szCs w:val="24"/>
        </w:rPr>
        <w:t xml:space="preserve">more </w:t>
      </w:r>
      <w:r>
        <w:rPr>
          <w:rFonts w:ascii="Times New Roman" w:eastAsia="Times New Roman" w:hAnsi="Times New Roman" w:cs="Times New Roman"/>
          <w:sz w:val="24"/>
          <w:szCs w:val="24"/>
        </w:rPr>
        <w:t>dissociated, as “Matthew uses Mark; if Mark stands at the fourth remove from Jesus, then Matthew stands at the fifth [...]”</w:t>
      </w:r>
      <w:r>
        <w:rPr>
          <w:rFonts w:ascii="Times New Roman" w:eastAsia="Times New Roman" w:hAnsi="Times New Roman" w:cs="Times New Roman"/>
          <w:sz w:val="24"/>
          <w:szCs w:val="24"/>
          <w:vertAlign w:val="superscript"/>
        </w:rPr>
        <w:footnoteReference w:id="25"/>
      </w:r>
      <w:r>
        <w:rPr>
          <w:rFonts w:ascii="Times New Roman" w:eastAsia="Times New Roman" w:hAnsi="Times New Roman" w:cs="Times New Roman"/>
          <w:sz w:val="24"/>
          <w:szCs w:val="24"/>
        </w:rPr>
        <w:t xml:space="preserve"> The implication being that the author</w:t>
      </w:r>
      <w:r>
        <w:rPr>
          <w:rFonts w:ascii="Times New Roman" w:eastAsia="Times New Roman" w:hAnsi="Times New Roman" w:cs="Times New Roman"/>
          <w:sz w:val="24"/>
          <w:szCs w:val="24"/>
        </w:rPr>
        <w:t xml:space="preserve"> of Matthew’s Gospel has an even looser connection to Jesus on a personal level than even Mark is alleged to have had.</w:t>
      </w:r>
    </w:p>
    <w:p w14:paraId="3C6CBCE2" w14:textId="7079D82A" w:rsidR="00B15D0A" w:rsidRDefault="009A366F">
      <w:pPr>
        <w:spacing w:line="480" w:lineRule="auto"/>
        <w:jc w:val="both"/>
        <w:rPr>
          <w:rFonts w:ascii="Times New Roman" w:eastAsia="Times New Roman" w:hAnsi="Times New Roman" w:cs="Times New Roman"/>
          <w:sz w:val="24"/>
          <w:szCs w:val="24"/>
        </w:rPr>
      </w:pPr>
      <w:bookmarkStart w:id="19" w:name="_heading=h.m1b717219vzp" w:colFirst="0" w:colLast="0"/>
      <w:bookmarkEnd w:id="19"/>
      <w:r>
        <w:rPr>
          <w:rFonts w:ascii="Times New Roman" w:eastAsia="Times New Roman" w:hAnsi="Times New Roman" w:cs="Times New Roman"/>
          <w:sz w:val="24"/>
          <w:szCs w:val="24"/>
        </w:rPr>
        <w:t xml:space="preserve">The author of </w:t>
      </w:r>
      <w:r>
        <w:rPr>
          <w:rFonts w:ascii="Times New Roman" w:eastAsia="Times New Roman" w:hAnsi="Times New Roman" w:cs="Times New Roman"/>
          <w:i/>
          <w:sz w:val="24"/>
          <w:szCs w:val="24"/>
        </w:rPr>
        <w:t>at least one of the Gospels</w:t>
      </w:r>
      <w:r>
        <w:rPr>
          <w:rFonts w:ascii="Times New Roman" w:eastAsia="Times New Roman" w:hAnsi="Times New Roman" w:cs="Times New Roman"/>
          <w:sz w:val="24"/>
          <w:szCs w:val="24"/>
        </w:rPr>
        <w:t xml:space="preserve"> is somebody who was not present for the events being retold. At best, the author was a third-ha</w:t>
      </w:r>
      <w:r>
        <w:rPr>
          <w:rFonts w:ascii="Times New Roman" w:eastAsia="Times New Roman" w:hAnsi="Times New Roman" w:cs="Times New Roman"/>
          <w:sz w:val="24"/>
          <w:szCs w:val="24"/>
        </w:rPr>
        <w:t xml:space="preserve">nd scribe writing down what </w:t>
      </w:r>
      <w:r>
        <w:rPr>
          <w:rFonts w:ascii="Times New Roman" w:eastAsia="Times New Roman" w:hAnsi="Times New Roman" w:cs="Times New Roman"/>
          <w:i/>
          <w:sz w:val="24"/>
          <w:szCs w:val="24"/>
        </w:rPr>
        <w:t xml:space="preserve">somebody else </w:t>
      </w:r>
      <w:r>
        <w:rPr>
          <w:rFonts w:ascii="Times New Roman" w:eastAsia="Times New Roman" w:hAnsi="Times New Roman" w:cs="Times New Roman"/>
          <w:sz w:val="24"/>
          <w:szCs w:val="24"/>
        </w:rPr>
        <w:t xml:space="preserve">said happened. Collating what has been discussed in this chapter of the dissertation, a possible conclusion that can be reached is that </w:t>
      </w:r>
      <w:r>
        <w:rPr>
          <w:rFonts w:ascii="Times New Roman" w:eastAsia="Times New Roman" w:hAnsi="Times New Roman" w:cs="Times New Roman"/>
          <w:i/>
          <w:sz w:val="24"/>
          <w:szCs w:val="24"/>
        </w:rPr>
        <w:t xml:space="preserve">some </w:t>
      </w:r>
      <w:r>
        <w:rPr>
          <w:rFonts w:ascii="Times New Roman" w:eastAsia="Times New Roman" w:hAnsi="Times New Roman" w:cs="Times New Roman"/>
          <w:sz w:val="24"/>
          <w:szCs w:val="24"/>
        </w:rPr>
        <w:t>Bible stories (but not necessarily all), including the story of Peter’s d</w:t>
      </w:r>
      <w:r>
        <w:rPr>
          <w:rFonts w:ascii="Times New Roman" w:eastAsia="Times New Roman" w:hAnsi="Times New Roman" w:cs="Times New Roman"/>
          <w:sz w:val="24"/>
          <w:szCs w:val="24"/>
        </w:rPr>
        <w:t xml:space="preserve">enial of Jesus, simply cannot be validated to be a literal account. From this, what is certain is that Peter’s denial, as written, cannot be seen to be an exact retelling of the events to the extremes of the term, and therefore must be taken in at least </w:t>
      </w:r>
      <w:r>
        <w:rPr>
          <w:rFonts w:ascii="Times New Roman" w:eastAsia="Times New Roman" w:hAnsi="Times New Roman" w:cs="Times New Roman"/>
          <w:i/>
          <w:sz w:val="24"/>
          <w:szCs w:val="24"/>
        </w:rPr>
        <w:t>so</w:t>
      </w:r>
      <w:r>
        <w:rPr>
          <w:rFonts w:ascii="Times New Roman" w:eastAsia="Times New Roman" w:hAnsi="Times New Roman" w:cs="Times New Roman"/>
          <w:i/>
          <w:sz w:val="24"/>
          <w:szCs w:val="24"/>
        </w:rPr>
        <w:t xml:space="preserve">me </w:t>
      </w:r>
      <w:r>
        <w:rPr>
          <w:rFonts w:ascii="Times New Roman" w:eastAsia="Times New Roman" w:hAnsi="Times New Roman" w:cs="Times New Roman"/>
          <w:sz w:val="24"/>
          <w:szCs w:val="24"/>
        </w:rPr>
        <w:t xml:space="preserve">form of metaphor as the lessons are still clear, with the true events being obfuscated to the throes of </w:t>
      </w:r>
      <w:r>
        <w:rPr>
          <w:rFonts w:ascii="Times New Roman" w:eastAsia="Times New Roman" w:hAnsi="Times New Roman" w:cs="Times New Roman"/>
          <w:sz w:val="24"/>
          <w:szCs w:val="24"/>
        </w:rPr>
        <w:lastRenderedPageBreak/>
        <w:t xml:space="preserve">time. Thus, the question of whether or not Peter </w:t>
      </w:r>
      <w:r>
        <w:rPr>
          <w:rFonts w:ascii="Times New Roman" w:eastAsia="Times New Roman" w:hAnsi="Times New Roman" w:cs="Times New Roman"/>
          <w:i/>
          <w:sz w:val="24"/>
          <w:szCs w:val="24"/>
        </w:rPr>
        <w:t xml:space="preserve">did </w:t>
      </w:r>
      <w:r>
        <w:rPr>
          <w:rFonts w:ascii="Times New Roman" w:eastAsia="Times New Roman" w:hAnsi="Times New Roman" w:cs="Times New Roman"/>
          <w:sz w:val="24"/>
          <w:szCs w:val="24"/>
        </w:rPr>
        <w:t xml:space="preserve">deny Jesus or not is, at this point, categorically impossible to answer. </w:t>
      </w:r>
      <w:r w:rsidR="008B2C04">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any answers h</w:t>
      </w:r>
      <w:r>
        <w:rPr>
          <w:rFonts w:ascii="Times New Roman" w:eastAsia="Times New Roman" w:hAnsi="Times New Roman" w:cs="Times New Roman"/>
          <w:sz w:val="24"/>
          <w:szCs w:val="24"/>
        </w:rPr>
        <w:t xml:space="preserve">ither to explaining this are potentially just a collection of hypotheses and conjecture based on the information that </w:t>
      </w:r>
      <w:r>
        <w:rPr>
          <w:rFonts w:ascii="Times New Roman" w:eastAsia="Times New Roman" w:hAnsi="Times New Roman" w:cs="Times New Roman"/>
          <w:i/>
          <w:sz w:val="24"/>
          <w:szCs w:val="24"/>
        </w:rPr>
        <w:t xml:space="preserve">can </w:t>
      </w:r>
      <w:r>
        <w:rPr>
          <w:rFonts w:ascii="Times New Roman" w:eastAsia="Times New Roman" w:hAnsi="Times New Roman" w:cs="Times New Roman"/>
          <w:sz w:val="24"/>
          <w:szCs w:val="24"/>
        </w:rPr>
        <w:t>be gathered.</w:t>
      </w:r>
    </w:p>
    <w:p w14:paraId="32970417" w14:textId="27EEC80F" w:rsidR="00B15D0A" w:rsidRDefault="009A366F">
      <w:pPr>
        <w:spacing w:line="480" w:lineRule="auto"/>
        <w:jc w:val="both"/>
        <w:rPr>
          <w:rFonts w:ascii="Times New Roman" w:eastAsia="Times New Roman" w:hAnsi="Times New Roman" w:cs="Times New Roman"/>
          <w:sz w:val="24"/>
          <w:szCs w:val="24"/>
        </w:rPr>
      </w:pPr>
      <w:bookmarkStart w:id="20" w:name="_heading=h.6cu4g7c5bgc" w:colFirst="0" w:colLast="0"/>
      <w:bookmarkEnd w:id="20"/>
      <w:r>
        <w:rPr>
          <w:rFonts w:ascii="Times New Roman" w:eastAsia="Times New Roman" w:hAnsi="Times New Roman" w:cs="Times New Roman"/>
          <w:i/>
          <w:sz w:val="24"/>
          <w:szCs w:val="24"/>
        </w:rPr>
        <w:t>However,</w:t>
      </w:r>
      <w:r>
        <w:rPr>
          <w:rFonts w:ascii="Times New Roman" w:eastAsia="Times New Roman" w:hAnsi="Times New Roman" w:cs="Times New Roman"/>
          <w:sz w:val="24"/>
          <w:szCs w:val="24"/>
        </w:rPr>
        <w:t xml:space="preserve"> Helm’s book also gives way to another discussion pertaining to the validity of biblical accounts (and therefore the relevant story of Peter’s denial). Perhaps it does not necessarily </w:t>
      </w:r>
      <w:r>
        <w:rPr>
          <w:rFonts w:ascii="Times New Roman" w:eastAsia="Times New Roman" w:hAnsi="Times New Roman" w:cs="Times New Roman"/>
          <w:i/>
          <w:sz w:val="24"/>
          <w:szCs w:val="24"/>
        </w:rPr>
        <w:t xml:space="preserve">matter </w:t>
      </w:r>
      <w:r>
        <w:rPr>
          <w:rFonts w:ascii="Times New Roman" w:eastAsia="Times New Roman" w:hAnsi="Times New Roman" w:cs="Times New Roman"/>
          <w:sz w:val="24"/>
          <w:szCs w:val="24"/>
        </w:rPr>
        <w:t>who wrote the Gospels, because according to Helm, there are multi</w:t>
      </w:r>
      <w:r>
        <w:rPr>
          <w:rFonts w:ascii="Times New Roman" w:eastAsia="Times New Roman" w:hAnsi="Times New Roman" w:cs="Times New Roman"/>
          <w:sz w:val="24"/>
          <w:szCs w:val="24"/>
        </w:rPr>
        <w:t xml:space="preserve">ple authors that each write about the life and works of Jesus in their own words and terms. (Although if we were to completely adhere to Helm’s view, the Gospel of Matthew and Luke are </w:t>
      </w:r>
      <w:r w:rsidR="008B2C04">
        <w:rPr>
          <w:rFonts w:ascii="Times New Roman" w:eastAsia="Times New Roman" w:hAnsi="Times New Roman" w:cs="Times New Roman"/>
          <w:sz w:val="24"/>
          <w:szCs w:val="24"/>
        </w:rPr>
        <w:t xml:space="preserve">simply </w:t>
      </w:r>
      <w:r>
        <w:rPr>
          <w:rFonts w:ascii="Times New Roman" w:eastAsia="Times New Roman" w:hAnsi="Times New Roman" w:cs="Times New Roman"/>
          <w:sz w:val="24"/>
          <w:szCs w:val="24"/>
        </w:rPr>
        <w:t>only</w:t>
      </w:r>
      <w:r>
        <w:rPr>
          <w:rFonts w:ascii="Times New Roman" w:eastAsia="Times New Roman" w:hAnsi="Times New Roman" w:cs="Times New Roman"/>
          <w:sz w:val="24"/>
          <w:szCs w:val="24"/>
        </w:rPr>
        <w:t xml:space="preserve"> rewritings of the Gospel of Mark, as he writes of</w:t>
      </w:r>
      <w:r>
        <w:rPr>
          <w:rFonts w:ascii="Times New Roman" w:eastAsia="Times New Roman" w:hAnsi="Times New Roman" w:cs="Times New Roman"/>
          <w:sz w:val="24"/>
          <w:szCs w:val="24"/>
        </w:rPr>
        <w:t xml:space="preserve"> Matthew that “Of the 666 verses in Mark, some 600 appear in Matthew, most of them rewritten but containing, in hundreds of instances, the same words in the same order.”)</w:t>
      </w:r>
      <w:r>
        <w:rPr>
          <w:rFonts w:ascii="Times New Roman" w:eastAsia="Times New Roman" w:hAnsi="Times New Roman" w:cs="Times New Roman"/>
          <w:sz w:val="24"/>
          <w:szCs w:val="24"/>
          <w:vertAlign w:val="superscript"/>
        </w:rPr>
        <w:footnoteReference w:id="26"/>
      </w:r>
      <w:r>
        <w:rPr>
          <w:rFonts w:ascii="Times New Roman" w:eastAsia="Times New Roman" w:hAnsi="Times New Roman" w:cs="Times New Roman"/>
          <w:sz w:val="24"/>
          <w:szCs w:val="24"/>
        </w:rPr>
        <w:t xml:space="preserve"> Regardless, the idea remains, even when considering which Gospels are derivatives o</w:t>
      </w:r>
      <w:r>
        <w:rPr>
          <w:rFonts w:ascii="Times New Roman" w:eastAsia="Times New Roman" w:hAnsi="Times New Roman" w:cs="Times New Roman"/>
          <w:sz w:val="24"/>
          <w:szCs w:val="24"/>
        </w:rPr>
        <w:t xml:space="preserve">f one singular source or not, that the Gospel of John has a different source. Helms himself writes “Similarly, the Gospel of John is a revised and expanded version of an </w:t>
      </w:r>
      <w:r>
        <w:rPr>
          <w:rFonts w:ascii="Times New Roman" w:eastAsia="Times New Roman" w:hAnsi="Times New Roman" w:cs="Times New Roman"/>
          <w:i/>
          <w:sz w:val="24"/>
          <w:szCs w:val="24"/>
        </w:rPr>
        <w:t>earlier gospel</w:t>
      </w:r>
      <w:r>
        <w:rPr>
          <w:rFonts w:ascii="Times New Roman" w:eastAsia="Times New Roman" w:hAnsi="Times New Roman" w:cs="Times New Roman"/>
          <w:sz w:val="24"/>
          <w:szCs w:val="24"/>
        </w:rPr>
        <w:t>, to which John has added, among other things, sayings of Jesus and resu</w:t>
      </w:r>
      <w:r>
        <w:rPr>
          <w:rFonts w:ascii="Times New Roman" w:eastAsia="Times New Roman" w:hAnsi="Times New Roman" w:cs="Times New Roman"/>
          <w:sz w:val="24"/>
          <w:szCs w:val="24"/>
        </w:rPr>
        <w:t>rrection appearances.”</w:t>
      </w:r>
      <w:r>
        <w:rPr>
          <w:rFonts w:ascii="Times New Roman" w:eastAsia="Times New Roman" w:hAnsi="Times New Roman" w:cs="Times New Roman"/>
          <w:sz w:val="24"/>
          <w:szCs w:val="24"/>
          <w:vertAlign w:val="superscript"/>
        </w:rPr>
        <w:footnoteReference w:id="27"/>
      </w:r>
      <w:r>
        <w:rPr>
          <w:rFonts w:ascii="Times New Roman" w:eastAsia="Times New Roman" w:hAnsi="Times New Roman" w:cs="Times New Roman"/>
          <w:sz w:val="24"/>
          <w:szCs w:val="24"/>
        </w:rPr>
        <w:t xml:space="preserve"> The emphasis that I have added to the quote highlights that John is </w:t>
      </w:r>
      <w:r>
        <w:rPr>
          <w:rFonts w:ascii="Times New Roman" w:eastAsia="Times New Roman" w:hAnsi="Times New Roman" w:cs="Times New Roman"/>
          <w:i/>
          <w:sz w:val="24"/>
          <w:szCs w:val="24"/>
        </w:rPr>
        <w:t xml:space="preserve">not </w:t>
      </w:r>
      <w:r>
        <w:rPr>
          <w:rFonts w:ascii="Times New Roman" w:eastAsia="Times New Roman" w:hAnsi="Times New Roman" w:cs="Times New Roman"/>
          <w:sz w:val="24"/>
          <w:szCs w:val="24"/>
        </w:rPr>
        <w:t>of the same source material, meaning that there is more than one account of Jesus’s life, which in turns can connote that there was more than one witness to Je</w:t>
      </w:r>
      <w:r>
        <w:rPr>
          <w:rFonts w:ascii="Times New Roman" w:eastAsia="Times New Roman" w:hAnsi="Times New Roman" w:cs="Times New Roman"/>
          <w:sz w:val="24"/>
          <w:szCs w:val="24"/>
        </w:rPr>
        <w:t xml:space="preserve">sus’s life, adding validity to the stories of the gospel having </w:t>
      </w:r>
      <w:r>
        <w:rPr>
          <w:rFonts w:ascii="Times New Roman" w:eastAsia="Times New Roman" w:hAnsi="Times New Roman" w:cs="Times New Roman"/>
          <w:i/>
          <w:sz w:val="24"/>
          <w:szCs w:val="24"/>
        </w:rPr>
        <w:t xml:space="preserve">potentially </w:t>
      </w:r>
      <w:r>
        <w:rPr>
          <w:rFonts w:ascii="Times New Roman" w:eastAsia="Times New Roman" w:hAnsi="Times New Roman" w:cs="Times New Roman"/>
          <w:sz w:val="24"/>
          <w:szCs w:val="24"/>
        </w:rPr>
        <w:t>happened.</w:t>
      </w:r>
    </w:p>
    <w:p w14:paraId="6684C5F6" w14:textId="77777777" w:rsidR="00B15D0A" w:rsidRDefault="009A366F">
      <w:pPr>
        <w:spacing w:line="480" w:lineRule="auto"/>
        <w:jc w:val="both"/>
        <w:rPr>
          <w:rFonts w:ascii="Times New Roman" w:eastAsia="Times New Roman" w:hAnsi="Times New Roman" w:cs="Times New Roman"/>
          <w:sz w:val="24"/>
          <w:szCs w:val="24"/>
        </w:rPr>
      </w:pPr>
      <w:bookmarkStart w:id="21" w:name="_heading=h.qqk3f3vmb2yy" w:colFirst="0" w:colLast="0"/>
      <w:bookmarkEnd w:id="21"/>
      <w:r>
        <w:rPr>
          <w:rFonts w:ascii="Times New Roman" w:eastAsia="Times New Roman" w:hAnsi="Times New Roman" w:cs="Times New Roman"/>
          <w:sz w:val="24"/>
          <w:szCs w:val="24"/>
        </w:rPr>
        <w:t>A simpler way to explain that there is a difference in the first three gospels and the Gospel of John is to put the same story that was shown at the very start of this di</w:t>
      </w:r>
      <w:r>
        <w:rPr>
          <w:rFonts w:ascii="Times New Roman" w:eastAsia="Times New Roman" w:hAnsi="Times New Roman" w:cs="Times New Roman"/>
          <w:sz w:val="24"/>
          <w:szCs w:val="24"/>
        </w:rPr>
        <w:t>ssertation, but instead from the perspective of John’s Gospel. An excerpt of this denial reads as such:</w:t>
      </w:r>
    </w:p>
    <w:p w14:paraId="0EAB65E2" w14:textId="77777777" w:rsidR="00B15D0A" w:rsidRDefault="009A366F">
      <w:pPr>
        <w:spacing w:line="276" w:lineRule="auto"/>
        <w:ind w:left="720"/>
        <w:jc w:val="both"/>
        <w:rPr>
          <w:rFonts w:ascii="Times New Roman" w:eastAsia="Times New Roman" w:hAnsi="Times New Roman" w:cs="Times New Roman"/>
          <w:sz w:val="24"/>
          <w:szCs w:val="24"/>
        </w:rPr>
      </w:pPr>
      <w:bookmarkStart w:id="22" w:name="_heading=h.s58am9s2t3pt" w:colFirst="0" w:colLast="0"/>
      <w:bookmarkEnd w:id="22"/>
      <w:r>
        <w:rPr>
          <w:rFonts w:ascii="Times New Roman" w:eastAsia="Times New Roman" w:hAnsi="Times New Roman" w:cs="Times New Roman"/>
          <w:sz w:val="24"/>
          <w:szCs w:val="24"/>
        </w:rPr>
        <w:lastRenderedPageBreak/>
        <w:t>Simon Peter and another disciple followed Jesus. Since that disciple was known to the high priest, he went with Jesus into the courtyard of the high pri</w:t>
      </w:r>
      <w:r>
        <w:rPr>
          <w:rFonts w:ascii="Times New Roman" w:eastAsia="Times New Roman" w:hAnsi="Times New Roman" w:cs="Times New Roman"/>
          <w:sz w:val="24"/>
          <w:szCs w:val="24"/>
        </w:rPr>
        <w:t>est, but Peter was standing outside at the gate. So the other disciple, who was known to the high priest, went out, spoke to the woman who guarded the gate, and brought Peter in. The woman said to Peter, “You are not also one of this man’s disciples, are y</w:t>
      </w:r>
      <w:r>
        <w:rPr>
          <w:rFonts w:ascii="Times New Roman" w:eastAsia="Times New Roman" w:hAnsi="Times New Roman" w:cs="Times New Roman"/>
          <w:sz w:val="24"/>
          <w:szCs w:val="24"/>
        </w:rPr>
        <w:t>ou?” He said, “I am not.” Now the slaves and the police had made a charcoal fire because it was cold, and they were standing around it and warming themselves. Peter also was standing with them and warming himself. [John. 18:15-18 (NRSV)]</w:t>
      </w:r>
    </w:p>
    <w:p w14:paraId="607037B6" w14:textId="090B49F5" w:rsidR="00B15D0A" w:rsidRDefault="009A366F">
      <w:pPr>
        <w:spacing w:line="480" w:lineRule="auto"/>
        <w:jc w:val="both"/>
        <w:rPr>
          <w:rFonts w:ascii="Times New Roman" w:eastAsia="Times New Roman" w:hAnsi="Times New Roman" w:cs="Times New Roman"/>
          <w:sz w:val="24"/>
          <w:szCs w:val="24"/>
        </w:rPr>
      </w:pPr>
      <w:bookmarkStart w:id="23" w:name="_heading=h.l3k0rwa86tub" w:colFirst="0" w:colLast="0"/>
      <w:bookmarkEnd w:id="23"/>
      <w:r>
        <w:rPr>
          <w:rFonts w:ascii="Times New Roman" w:eastAsia="Times New Roman" w:hAnsi="Times New Roman" w:cs="Times New Roman"/>
          <w:sz w:val="24"/>
          <w:szCs w:val="24"/>
        </w:rPr>
        <w:t>The linguistic dif</w:t>
      </w:r>
      <w:r>
        <w:rPr>
          <w:rFonts w:ascii="Times New Roman" w:eastAsia="Times New Roman" w:hAnsi="Times New Roman" w:cs="Times New Roman"/>
          <w:sz w:val="24"/>
          <w:szCs w:val="24"/>
        </w:rPr>
        <w:t xml:space="preserve">ferences between the two different books are clear, as the first denial even claims that Peter said different things; Matthew says that Peter rebuffed the accusers by saying ‘I do not know what you are talking about,’ whilst John uses the simpler sentence </w:t>
      </w:r>
      <w:r>
        <w:rPr>
          <w:rFonts w:ascii="Times New Roman" w:eastAsia="Times New Roman" w:hAnsi="Times New Roman" w:cs="Times New Roman"/>
          <w:sz w:val="24"/>
          <w:szCs w:val="24"/>
        </w:rPr>
        <w:t xml:space="preserve">of ‘I am not,’ in regards to who he is. These differences can help with the validity of what is being described, and with that, can potentially help people </w:t>
      </w:r>
      <w:r w:rsidR="008B2C04">
        <w:rPr>
          <w:rFonts w:ascii="Times New Roman" w:eastAsia="Times New Roman" w:hAnsi="Times New Roman" w:cs="Times New Roman"/>
          <w:sz w:val="24"/>
          <w:szCs w:val="24"/>
        </w:rPr>
        <w:t>conclude</w:t>
      </w:r>
      <w:r>
        <w:rPr>
          <w:rFonts w:ascii="Times New Roman" w:eastAsia="Times New Roman" w:hAnsi="Times New Roman" w:cs="Times New Roman"/>
          <w:sz w:val="24"/>
          <w:szCs w:val="24"/>
        </w:rPr>
        <w:t xml:space="preserve"> that these events </w:t>
      </w:r>
      <w:r>
        <w:rPr>
          <w:rFonts w:ascii="Times New Roman" w:eastAsia="Times New Roman" w:hAnsi="Times New Roman" w:cs="Times New Roman"/>
          <w:i/>
          <w:sz w:val="24"/>
          <w:szCs w:val="24"/>
        </w:rPr>
        <w:t>did occur</w:t>
      </w:r>
      <w:r>
        <w:rPr>
          <w:rFonts w:ascii="Times New Roman" w:eastAsia="Times New Roman" w:hAnsi="Times New Roman" w:cs="Times New Roman"/>
          <w:sz w:val="24"/>
          <w:szCs w:val="24"/>
        </w:rPr>
        <w:t>, at least in some respect</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Therefore an answer as</w:t>
      </w:r>
      <w:r>
        <w:rPr>
          <w:rFonts w:ascii="Times New Roman" w:eastAsia="Times New Roman" w:hAnsi="Times New Roman" w:cs="Times New Roman"/>
          <w:sz w:val="24"/>
          <w:szCs w:val="24"/>
        </w:rPr>
        <w:t xml:space="preserve"> to whether or not Jesus was denied by Peter, it is not completely devoid of logic to assume that the events did happen, and if the argument can be made that Peter </w:t>
      </w:r>
      <w:r>
        <w:rPr>
          <w:rFonts w:ascii="Times New Roman" w:eastAsia="Times New Roman" w:hAnsi="Times New Roman" w:cs="Times New Roman"/>
          <w:i/>
          <w:sz w:val="24"/>
          <w:szCs w:val="24"/>
        </w:rPr>
        <w:t xml:space="preserve">did </w:t>
      </w:r>
      <w:r>
        <w:rPr>
          <w:rFonts w:ascii="Times New Roman" w:eastAsia="Times New Roman" w:hAnsi="Times New Roman" w:cs="Times New Roman"/>
          <w:sz w:val="24"/>
          <w:szCs w:val="24"/>
        </w:rPr>
        <w:t xml:space="preserve">deny Jesus, at least according to </w:t>
      </w:r>
      <w:r>
        <w:rPr>
          <w:rFonts w:ascii="Times New Roman" w:eastAsia="Times New Roman" w:hAnsi="Times New Roman" w:cs="Times New Roman"/>
          <w:i/>
          <w:sz w:val="24"/>
          <w:szCs w:val="24"/>
        </w:rPr>
        <w:t>multiple different accounts</w:t>
      </w:r>
      <w:r>
        <w:rPr>
          <w:rFonts w:ascii="Times New Roman" w:eastAsia="Times New Roman" w:hAnsi="Times New Roman" w:cs="Times New Roman"/>
          <w:sz w:val="24"/>
          <w:szCs w:val="24"/>
        </w:rPr>
        <w:t>, then one must ask the que</w:t>
      </w:r>
      <w:r>
        <w:rPr>
          <w:rFonts w:ascii="Times New Roman" w:eastAsia="Times New Roman" w:hAnsi="Times New Roman" w:cs="Times New Roman"/>
          <w:sz w:val="24"/>
          <w:szCs w:val="24"/>
        </w:rPr>
        <w:t xml:space="preserve">stion if Jesus </w:t>
      </w:r>
      <w:r>
        <w:rPr>
          <w:rFonts w:ascii="Times New Roman" w:eastAsia="Times New Roman" w:hAnsi="Times New Roman" w:cs="Times New Roman"/>
          <w:i/>
          <w:sz w:val="24"/>
          <w:szCs w:val="24"/>
        </w:rPr>
        <w:t xml:space="preserve">predicted </w:t>
      </w:r>
      <w:r>
        <w:rPr>
          <w:rFonts w:ascii="Times New Roman" w:eastAsia="Times New Roman" w:hAnsi="Times New Roman" w:cs="Times New Roman"/>
          <w:sz w:val="24"/>
          <w:szCs w:val="24"/>
        </w:rPr>
        <w:t>this outcome. If these gospels are therefore to be seen as non-fictitious under these conditions, then the need arises for this dissertation to discuss whether or not Jesus had a divine power or essence. If he did, were these ‘powe</w:t>
      </w:r>
      <w:r>
        <w:rPr>
          <w:rFonts w:ascii="Times New Roman" w:eastAsia="Times New Roman" w:hAnsi="Times New Roman" w:cs="Times New Roman"/>
          <w:sz w:val="24"/>
          <w:szCs w:val="24"/>
        </w:rPr>
        <w:t>rs’ in effect when this potential ‘prediction’ occurred?</w:t>
      </w:r>
      <w:r>
        <w:br w:type="page"/>
      </w:r>
    </w:p>
    <w:p w14:paraId="4C162C30" w14:textId="77777777" w:rsidR="00B15D0A" w:rsidRDefault="009A366F">
      <w:pPr>
        <w:spacing w:line="276" w:lineRule="auto"/>
        <w:jc w:val="center"/>
        <w:rPr>
          <w:rFonts w:ascii="Times New Roman" w:eastAsia="Times New Roman" w:hAnsi="Times New Roman" w:cs="Times New Roman"/>
          <w:b/>
          <w:sz w:val="28"/>
          <w:szCs w:val="28"/>
        </w:rPr>
      </w:pPr>
      <w:bookmarkStart w:id="24" w:name="_heading=h.5gp7d2ml5sy3" w:colFirst="0" w:colLast="0"/>
      <w:bookmarkEnd w:id="24"/>
      <w:r>
        <w:rPr>
          <w:rFonts w:ascii="Times New Roman" w:eastAsia="Times New Roman" w:hAnsi="Times New Roman" w:cs="Times New Roman"/>
          <w:b/>
          <w:sz w:val="28"/>
          <w:szCs w:val="28"/>
        </w:rPr>
        <w:lastRenderedPageBreak/>
        <w:t>Chapter III - Defining the Links Between Divine Essence and Jesus’s Prediction of Peter’s Denial Using Open Theism</w:t>
      </w:r>
    </w:p>
    <w:p w14:paraId="09AA1CEF" w14:textId="77777777" w:rsidR="00B15D0A" w:rsidRDefault="009A366F">
      <w:pPr>
        <w:spacing w:line="276" w:lineRule="auto"/>
        <w:ind w:left="720"/>
        <w:jc w:val="both"/>
        <w:rPr>
          <w:rFonts w:ascii="Times New Roman" w:eastAsia="Times New Roman" w:hAnsi="Times New Roman" w:cs="Times New Roman"/>
          <w:sz w:val="24"/>
          <w:szCs w:val="24"/>
        </w:rPr>
      </w:pPr>
      <w:bookmarkStart w:id="25" w:name="_heading=h.t2tvblhrqufl" w:colFirst="0" w:colLast="0"/>
      <w:bookmarkEnd w:id="25"/>
      <w:r>
        <w:rPr>
          <w:rFonts w:ascii="Times New Roman" w:eastAsia="Times New Roman" w:hAnsi="Times New Roman" w:cs="Times New Roman"/>
          <w:sz w:val="24"/>
          <w:szCs w:val="24"/>
        </w:rPr>
        <w:t>The God of classical theism, we are told, possesses and exercises coercive power. T</w:t>
      </w:r>
      <w:r>
        <w:rPr>
          <w:rFonts w:ascii="Times New Roman" w:eastAsia="Times New Roman" w:hAnsi="Times New Roman" w:cs="Times New Roman"/>
          <w:sz w:val="24"/>
          <w:szCs w:val="24"/>
        </w:rPr>
        <w:t xml:space="preserve">hat is, God can and does at times force us to act in accordance with the divine will. But to conceive of God in this manner, it is argued, gives us no adequate explanation for moral evil and does not allow us to assume that anyone other than God possesses </w:t>
      </w:r>
      <w:r>
        <w:rPr>
          <w:rFonts w:ascii="Times New Roman" w:eastAsia="Times New Roman" w:hAnsi="Times New Roman" w:cs="Times New Roman"/>
          <w:sz w:val="24"/>
          <w:szCs w:val="24"/>
        </w:rPr>
        <w:t>meaningful freedom or self-determination.</w:t>
      </w:r>
      <w:r>
        <w:rPr>
          <w:rFonts w:ascii="Times New Roman" w:eastAsia="Times New Roman" w:hAnsi="Times New Roman" w:cs="Times New Roman"/>
          <w:sz w:val="24"/>
          <w:szCs w:val="24"/>
          <w:vertAlign w:val="superscript"/>
        </w:rPr>
        <w:footnoteReference w:id="28"/>
      </w:r>
    </w:p>
    <w:p w14:paraId="5E24BB17" w14:textId="357F2B27" w:rsidR="00B15D0A" w:rsidRDefault="009A366F">
      <w:pPr>
        <w:spacing w:line="480" w:lineRule="auto"/>
        <w:jc w:val="both"/>
        <w:rPr>
          <w:rFonts w:ascii="Times New Roman" w:eastAsia="Times New Roman" w:hAnsi="Times New Roman" w:cs="Times New Roman"/>
          <w:sz w:val="24"/>
          <w:szCs w:val="24"/>
        </w:rPr>
      </w:pPr>
      <w:bookmarkStart w:id="26" w:name="_heading=h.smc1ggme97an" w:colFirst="0" w:colLast="0"/>
      <w:bookmarkEnd w:id="26"/>
      <w:r>
        <w:rPr>
          <w:rFonts w:ascii="Times New Roman" w:eastAsia="Times New Roman" w:hAnsi="Times New Roman" w:cs="Times New Roman"/>
          <w:sz w:val="24"/>
          <w:szCs w:val="24"/>
        </w:rPr>
        <w:t>These words by David Basinger, a philosophical academic who subscribes to the idea of open theism (something that will be discussed in more depth shortly), highlight an issue that pertains to a lot of theological</w:t>
      </w:r>
      <w:r>
        <w:rPr>
          <w:rFonts w:ascii="Times New Roman" w:eastAsia="Times New Roman" w:hAnsi="Times New Roman" w:cs="Times New Roman"/>
          <w:sz w:val="24"/>
          <w:szCs w:val="24"/>
        </w:rPr>
        <w:t xml:space="preserve"> discussion. To tie this to the titular story of the dissertation, God, as according to classical theism, </w:t>
      </w:r>
      <w:r>
        <w:rPr>
          <w:rFonts w:ascii="Times New Roman" w:eastAsia="Times New Roman" w:hAnsi="Times New Roman" w:cs="Times New Roman"/>
          <w:i/>
          <w:sz w:val="24"/>
          <w:szCs w:val="24"/>
        </w:rPr>
        <w:t xml:space="preserve">knew </w:t>
      </w:r>
      <w:r>
        <w:rPr>
          <w:rFonts w:ascii="Times New Roman" w:eastAsia="Times New Roman" w:hAnsi="Times New Roman" w:cs="Times New Roman"/>
          <w:sz w:val="24"/>
          <w:szCs w:val="24"/>
        </w:rPr>
        <w:t>about the actions that Peter was about to undertake and was willing for it to happen via His own divine powers and foreknowledge. To put that ano</w:t>
      </w:r>
      <w:r>
        <w:rPr>
          <w:rFonts w:ascii="Times New Roman" w:eastAsia="Times New Roman" w:hAnsi="Times New Roman" w:cs="Times New Roman"/>
          <w:sz w:val="24"/>
          <w:szCs w:val="24"/>
        </w:rPr>
        <w:t xml:space="preserve">ther way, classical theism would mean that Peter’s denial was part of God’s divine plan and was the result of God’s action. If we consider that, then Peter’s actions were not his own, and we must </w:t>
      </w:r>
      <w:r w:rsidR="008B2C04">
        <w:rPr>
          <w:rFonts w:ascii="Times New Roman" w:eastAsia="Times New Roman" w:hAnsi="Times New Roman" w:cs="Times New Roman"/>
          <w:sz w:val="24"/>
          <w:szCs w:val="24"/>
        </w:rPr>
        <w:t>conclude</w:t>
      </w:r>
      <w:r>
        <w:rPr>
          <w:rFonts w:ascii="Times New Roman" w:eastAsia="Times New Roman" w:hAnsi="Times New Roman" w:cs="Times New Roman"/>
          <w:sz w:val="24"/>
          <w:szCs w:val="24"/>
        </w:rPr>
        <w:t xml:space="preserve"> that he did not have free will. Peter</w:t>
      </w:r>
      <w:r>
        <w:rPr>
          <w:rFonts w:ascii="Times New Roman" w:eastAsia="Times New Roman" w:hAnsi="Times New Roman" w:cs="Times New Roman"/>
          <w:sz w:val="24"/>
          <w:szCs w:val="24"/>
        </w:rPr>
        <w:t xml:space="preserve"> was instead an agent for a higher power and acted according to his superior, whether it was known to him or whether it was subliminal. Whether or not Jesus predicted his actions, as he was part of the Heavenly Body and therefore imbued with whatever divin</w:t>
      </w:r>
      <w:r>
        <w:rPr>
          <w:rFonts w:ascii="Times New Roman" w:eastAsia="Times New Roman" w:hAnsi="Times New Roman" w:cs="Times New Roman"/>
          <w:sz w:val="24"/>
          <w:szCs w:val="24"/>
        </w:rPr>
        <w:t xml:space="preserve">e powers that may involve, becomes irrelevant. Jesus could tell Peter any part of the future that is part of this divine plan, and Peter may deny it however much he desired, it would not matter. Whatever God dictates will happen </w:t>
      </w:r>
      <w:r>
        <w:rPr>
          <w:rFonts w:ascii="Times New Roman" w:eastAsia="Times New Roman" w:hAnsi="Times New Roman" w:cs="Times New Roman"/>
          <w:i/>
          <w:sz w:val="24"/>
          <w:szCs w:val="24"/>
        </w:rPr>
        <w:t>will happen</w:t>
      </w:r>
      <w:r>
        <w:rPr>
          <w:rFonts w:ascii="Times New Roman" w:eastAsia="Times New Roman" w:hAnsi="Times New Roman" w:cs="Times New Roman"/>
          <w:sz w:val="24"/>
          <w:szCs w:val="24"/>
        </w:rPr>
        <w:t xml:space="preserve">. </w:t>
      </w:r>
    </w:p>
    <w:p w14:paraId="422A3906" w14:textId="3AC43346" w:rsidR="00B15D0A" w:rsidRDefault="009A366F">
      <w:pPr>
        <w:spacing w:line="480" w:lineRule="auto"/>
        <w:jc w:val="both"/>
        <w:rPr>
          <w:rFonts w:ascii="Times New Roman" w:eastAsia="Times New Roman" w:hAnsi="Times New Roman" w:cs="Times New Roman"/>
          <w:sz w:val="24"/>
          <w:szCs w:val="24"/>
        </w:rPr>
      </w:pPr>
      <w:bookmarkStart w:id="27" w:name="_heading=h.7c9w9s6kfob0" w:colFirst="0" w:colLast="0"/>
      <w:bookmarkEnd w:id="27"/>
      <w:r>
        <w:rPr>
          <w:rFonts w:ascii="Times New Roman" w:eastAsia="Times New Roman" w:hAnsi="Times New Roman" w:cs="Times New Roman"/>
          <w:sz w:val="24"/>
          <w:szCs w:val="24"/>
        </w:rPr>
        <w:t>John H. Wrigh</w:t>
      </w:r>
      <w:r>
        <w:rPr>
          <w:rFonts w:ascii="Times New Roman" w:eastAsia="Times New Roman" w:hAnsi="Times New Roman" w:cs="Times New Roman"/>
          <w:sz w:val="24"/>
          <w:szCs w:val="24"/>
        </w:rPr>
        <w:t>t describes God as a being that is either ‘active’ in His role or ‘passive’. In choosing the actions of every denizen of Earth and to which the idea of freedom is therefore restricted, or that God is passive in His role, which would help with the idea of h</w:t>
      </w:r>
      <w:r>
        <w:rPr>
          <w:rFonts w:ascii="Times New Roman" w:eastAsia="Times New Roman" w:hAnsi="Times New Roman" w:cs="Times New Roman"/>
          <w:sz w:val="24"/>
          <w:szCs w:val="24"/>
        </w:rPr>
        <w:t xml:space="preserve">aving free will in a religious setting, but </w:t>
      </w:r>
      <w:r>
        <w:rPr>
          <w:rFonts w:ascii="Times New Roman" w:eastAsia="Times New Roman" w:hAnsi="Times New Roman" w:cs="Times New Roman"/>
          <w:i/>
          <w:sz w:val="24"/>
          <w:szCs w:val="24"/>
        </w:rPr>
        <w:t>simultaneously</w:t>
      </w:r>
      <w:r>
        <w:rPr>
          <w:rFonts w:ascii="Times New Roman" w:eastAsia="Times New Roman" w:hAnsi="Times New Roman" w:cs="Times New Roman"/>
          <w:sz w:val="24"/>
          <w:szCs w:val="24"/>
        </w:rPr>
        <w:t xml:space="preserve"> restricts the presupposed power of God. In Wright’s own words he says, “‘Supremely active’ seems to mean either ‘unrelated absolute’ and to deprive us of freedom, or ‘growing, creative process’ and</w:t>
      </w:r>
      <w:r>
        <w:rPr>
          <w:rFonts w:ascii="Times New Roman" w:eastAsia="Times New Roman" w:hAnsi="Times New Roman" w:cs="Times New Roman"/>
          <w:sz w:val="24"/>
          <w:szCs w:val="24"/>
        </w:rPr>
        <w:t xml:space="preserve"> to require some real passivity in God. </w:t>
      </w:r>
      <w:r>
        <w:rPr>
          <w:rFonts w:ascii="Times New Roman" w:eastAsia="Times New Roman" w:hAnsi="Times New Roman" w:cs="Times New Roman"/>
          <w:sz w:val="24"/>
          <w:szCs w:val="24"/>
        </w:rPr>
        <w:lastRenderedPageBreak/>
        <w:t>The initial dilemma appears unresolved.”</w:t>
      </w:r>
      <w:r>
        <w:rPr>
          <w:rFonts w:ascii="Times New Roman" w:eastAsia="Times New Roman" w:hAnsi="Times New Roman" w:cs="Times New Roman"/>
          <w:sz w:val="24"/>
          <w:szCs w:val="24"/>
          <w:vertAlign w:val="superscript"/>
        </w:rPr>
        <w:footnoteReference w:id="29"/>
      </w:r>
      <w:r>
        <w:rPr>
          <w:rFonts w:ascii="Times New Roman" w:eastAsia="Times New Roman" w:hAnsi="Times New Roman" w:cs="Times New Roman"/>
          <w:sz w:val="24"/>
          <w:szCs w:val="24"/>
        </w:rPr>
        <w:t xml:space="preserve"> Correlating this to the parable at hand, it seems that there is an impasse according to Wright in regards to whether Jesus was able to predict Peter’s future actions, becaus</w:t>
      </w:r>
      <w:r>
        <w:rPr>
          <w:rFonts w:ascii="Times New Roman" w:eastAsia="Times New Roman" w:hAnsi="Times New Roman" w:cs="Times New Roman"/>
          <w:sz w:val="24"/>
          <w:szCs w:val="24"/>
        </w:rPr>
        <w:t xml:space="preserve">e choosing one option eliminates an aspect of the other. If Jesus were to predict Peter’s action to such a degree that it would happen despite the wilful intention from Peter to make sure it would </w:t>
      </w:r>
      <w:r>
        <w:rPr>
          <w:rFonts w:ascii="Times New Roman" w:eastAsia="Times New Roman" w:hAnsi="Times New Roman" w:cs="Times New Roman"/>
          <w:i/>
          <w:sz w:val="24"/>
          <w:szCs w:val="24"/>
        </w:rPr>
        <w:t xml:space="preserve">not </w:t>
      </w:r>
      <w:r>
        <w:rPr>
          <w:rFonts w:ascii="Times New Roman" w:eastAsia="Times New Roman" w:hAnsi="Times New Roman" w:cs="Times New Roman"/>
          <w:sz w:val="24"/>
          <w:szCs w:val="24"/>
        </w:rPr>
        <w:t>happen, then this is a form of God acting with some act</w:t>
      </w:r>
      <w:r>
        <w:rPr>
          <w:rFonts w:ascii="Times New Roman" w:eastAsia="Times New Roman" w:hAnsi="Times New Roman" w:cs="Times New Roman"/>
          <w:sz w:val="24"/>
          <w:szCs w:val="24"/>
        </w:rPr>
        <w:t>ive agency to help perpetuate the ‘absolute power’ that such a divine being must be able to wield. With this, there is no free will. If Jesus were to predict that Peter would perform the noted actions, but Peter still had the free choice to willingly decid</w:t>
      </w:r>
      <w:r>
        <w:rPr>
          <w:rFonts w:ascii="Times New Roman" w:eastAsia="Times New Roman" w:hAnsi="Times New Roman" w:cs="Times New Roman"/>
          <w:sz w:val="24"/>
          <w:szCs w:val="24"/>
        </w:rPr>
        <w:t xml:space="preserve">e whether or not he </w:t>
      </w:r>
      <w:r>
        <w:rPr>
          <w:rFonts w:ascii="Times New Roman" w:eastAsia="Times New Roman" w:hAnsi="Times New Roman" w:cs="Times New Roman"/>
          <w:i/>
          <w:sz w:val="24"/>
          <w:szCs w:val="24"/>
        </w:rPr>
        <w:t xml:space="preserve">would </w:t>
      </w:r>
      <w:r>
        <w:rPr>
          <w:rFonts w:ascii="Times New Roman" w:eastAsia="Times New Roman" w:hAnsi="Times New Roman" w:cs="Times New Roman"/>
          <w:sz w:val="24"/>
          <w:szCs w:val="24"/>
        </w:rPr>
        <w:t xml:space="preserve">deny Jesus, and just so </w:t>
      </w:r>
      <w:r>
        <w:rPr>
          <w:rFonts w:ascii="Times New Roman" w:eastAsia="Times New Roman" w:hAnsi="Times New Roman" w:cs="Times New Roman"/>
          <w:i/>
          <w:sz w:val="24"/>
          <w:szCs w:val="24"/>
        </w:rPr>
        <w:t xml:space="preserve">happened </w:t>
      </w:r>
      <w:r>
        <w:rPr>
          <w:rFonts w:ascii="Times New Roman" w:eastAsia="Times New Roman" w:hAnsi="Times New Roman" w:cs="Times New Roman"/>
          <w:sz w:val="24"/>
          <w:szCs w:val="24"/>
        </w:rPr>
        <w:t>to deny Jesus when the opportunity arose (which is not to insinuate that Peter did this in a malicious manner, but rather it is a way to understand that he may have performed this action for his ow</w:t>
      </w:r>
      <w:r>
        <w:rPr>
          <w:rFonts w:ascii="Times New Roman" w:eastAsia="Times New Roman" w:hAnsi="Times New Roman" w:cs="Times New Roman"/>
          <w:sz w:val="24"/>
          <w:szCs w:val="24"/>
        </w:rPr>
        <w:t xml:space="preserve">n </w:t>
      </w:r>
      <w:r w:rsidR="008B2C04">
        <w:rPr>
          <w:rFonts w:ascii="Times New Roman" w:eastAsia="Times New Roman" w:hAnsi="Times New Roman" w:cs="Times New Roman"/>
          <w:sz w:val="24"/>
          <w:szCs w:val="24"/>
        </w:rPr>
        <w:t>wellbeing</w:t>
      </w:r>
      <w:r>
        <w:rPr>
          <w:rFonts w:ascii="Times New Roman" w:eastAsia="Times New Roman" w:hAnsi="Times New Roman" w:cs="Times New Roman"/>
          <w:sz w:val="24"/>
          <w:szCs w:val="24"/>
        </w:rPr>
        <w:t xml:space="preserve"> under a stressful situation which Jesus </w:t>
      </w:r>
      <w:r>
        <w:rPr>
          <w:rFonts w:ascii="Times New Roman" w:eastAsia="Times New Roman" w:hAnsi="Times New Roman" w:cs="Times New Roman"/>
          <w:i/>
          <w:sz w:val="24"/>
          <w:szCs w:val="24"/>
        </w:rPr>
        <w:t xml:space="preserve">happened </w:t>
      </w:r>
      <w:r>
        <w:rPr>
          <w:rFonts w:ascii="Times New Roman" w:eastAsia="Times New Roman" w:hAnsi="Times New Roman" w:cs="Times New Roman"/>
          <w:sz w:val="24"/>
          <w:szCs w:val="24"/>
        </w:rPr>
        <w:t>to say would occur), then Jesus, with the powers of the Trinity, would be passive with his powers and the predictive powers that were supposedly demonstrated would be put into question. With tha</w:t>
      </w:r>
      <w:r>
        <w:rPr>
          <w:rFonts w:ascii="Times New Roman" w:eastAsia="Times New Roman" w:hAnsi="Times New Roman" w:cs="Times New Roman"/>
          <w:sz w:val="24"/>
          <w:szCs w:val="24"/>
        </w:rPr>
        <w:t>t, the whole idea of an omnipotent God would be compromised if that ‘free’ choice were to not go the way Jesus said it would.</w:t>
      </w:r>
    </w:p>
    <w:p w14:paraId="68DA6296" w14:textId="77777777" w:rsidR="00B15D0A" w:rsidRDefault="009A366F">
      <w:pPr>
        <w:spacing w:line="480" w:lineRule="auto"/>
        <w:jc w:val="both"/>
        <w:rPr>
          <w:rFonts w:ascii="Times New Roman" w:eastAsia="Times New Roman" w:hAnsi="Times New Roman" w:cs="Times New Roman"/>
          <w:sz w:val="24"/>
          <w:szCs w:val="24"/>
        </w:rPr>
      </w:pPr>
      <w:bookmarkStart w:id="28" w:name="_heading=h.b1sdv7ylqf8" w:colFirst="0" w:colLast="0"/>
      <w:bookmarkEnd w:id="28"/>
      <w:r>
        <w:rPr>
          <w:rFonts w:ascii="Times New Roman" w:eastAsia="Times New Roman" w:hAnsi="Times New Roman" w:cs="Times New Roman"/>
          <w:sz w:val="24"/>
          <w:szCs w:val="24"/>
        </w:rPr>
        <w:t xml:space="preserve">Wright himself attempts to answer this problem by suggesting that: </w:t>
      </w:r>
    </w:p>
    <w:p w14:paraId="1D04F24E" w14:textId="77777777" w:rsidR="00B15D0A" w:rsidRDefault="009A366F">
      <w:pPr>
        <w:spacing w:line="276" w:lineRule="auto"/>
        <w:ind w:left="720"/>
        <w:jc w:val="both"/>
        <w:rPr>
          <w:rFonts w:ascii="Times New Roman" w:eastAsia="Times New Roman" w:hAnsi="Times New Roman" w:cs="Times New Roman"/>
          <w:sz w:val="24"/>
          <w:szCs w:val="24"/>
        </w:rPr>
      </w:pPr>
      <w:bookmarkStart w:id="29" w:name="_heading=h.ww2m13usogvs" w:colFirst="0" w:colLast="0"/>
      <w:bookmarkEnd w:id="29"/>
      <w:r>
        <w:rPr>
          <w:rFonts w:ascii="Times New Roman" w:eastAsia="Times New Roman" w:hAnsi="Times New Roman" w:cs="Times New Roman"/>
          <w:sz w:val="24"/>
          <w:szCs w:val="24"/>
        </w:rPr>
        <w:t xml:space="preserve">[God’s] action so transcends all the limitations of finite being that it penetrates the most intimate and personal of our acts, our free response to the divine invitation, causing all its perfection and actuality, yet leaving it truly our response, an act </w:t>
      </w:r>
      <w:r>
        <w:rPr>
          <w:rFonts w:ascii="Times New Roman" w:eastAsia="Times New Roman" w:hAnsi="Times New Roman" w:cs="Times New Roman"/>
          <w:sz w:val="24"/>
          <w:szCs w:val="24"/>
        </w:rPr>
        <w:t>whose determination is ultimately our own responsibility.</w:t>
      </w:r>
      <w:r>
        <w:rPr>
          <w:rFonts w:ascii="Times New Roman" w:eastAsia="Times New Roman" w:hAnsi="Times New Roman" w:cs="Times New Roman"/>
          <w:sz w:val="24"/>
          <w:szCs w:val="24"/>
          <w:vertAlign w:val="superscript"/>
        </w:rPr>
        <w:footnoteReference w:id="30"/>
      </w:r>
    </w:p>
    <w:p w14:paraId="61D05DB2" w14:textId="77777777" w:rsidR="00B15D0A" w:rsidRDefault="009A366F">
      <w:pPr>
        <w:spacing w:line="480" w:lineRule="auto"/>
        <w:jc w:val="both"/>
        <w:rPr>
          <w:rFonts w:ascii="Times New Roman" w:eastAsia="Times New Roman" w:hAnsi="Times New Roman" w:cs="Times New Roman"/>
          <w:sz w:val="24"/>
          <w:szCs w:val="24"/>
        </w:rPr>
      </w:pPr>
      <w:bookmarkStart w:id="30" w:name="_heading=h.c1n4ig5esry" w:colFirst="0" w:colLast="0"/>
      <w:bookmarkEnd w:id="30"/>
      <w:r>
        <w:rPr>
          <w:rFonts w:ascii="Times New Roman" w:eastAsia="Times New Roman" w:hAnsi="Times New Roman" w:cs="Times New Roman"/>
          <w:sz w:val="24"/>
          <w:szCs w:val="24"/>
        </w:rPr>
        <w:t xml:space="preserve">The ‘activeness’ of God is necessary. In order to actuate the power that God is supposed to possess, God must be involved in every single aspect of our lives, which by definition must include our </w:t>
      </w:r>
      <w:r>
        <w:rPr>
          <w:rFonts w:ascii="Times New Roman" w:eastAsia="Times New Roman" w:hAnsi="Times New Roman" w:cs="Times New Roman"/>
          <w:sz w:val="24"/>
          <w:szCs w:val="24"/>
        </w:rPr>
        <w:t xml:space="preserve">decision-making, but the idea that God is limited to a finite world that God Himself created is naïve, as placing a limit on the power of God denigrates what God is supposed to </w:t>
      </w:r>
      <w:r>
        <w:rPr>
          <w:rFonts w:ascii="Times New Roman" w:eastAsia="Times New Roman" w:hAnsi="Times New Roman" w:cs="Times New Roman"/>
          <w:sz w:val="24"/>
          <w:szCs w:val="24"/>
        </w:rPr>
        <w:lastRenderedPageBreak/>
        <w:t>represent. According to Wright, if we were to accept that God operates His divi</w:t>
      </w:r>
      <w:r>
        <w:rPr>
          <w:rFonts w:ascii="Times New Roman" w:eastAsia="Times New Roman" w:hAnsi="Times New Roman" w:cs="Times New Roman"/>
          <w:sz w:val="24"/>
          <w:szCs w:val="24"/>
        </w:rPr>
        <w:t xml:space="preserve">ne power on a level </w:t>
      </w:r>
      <w:r>
        <w:rPr>
          <w:rFonts w:ascii="Times New Roman" w:eastAsia="Times New Roman" w:hAnsi="Times New Roman" w:cs="Times New Roman"/>
          <w:i/>
          <w:sz w:val="24"/>
          <w:szCs w:val="24"/>
        </w:rPr>
        <w:t>beyond</w:t>
      </w:r>
      <w:r>
        <w:rPr>
          <w:rFonts w:ascii="Times New Roman" w:eastAsia="Times New Roman" w:hAnsi="Times New Roman" w:cs="Times New Roman"/>
          <w:sz w:val="24"/>
          <w:szCs w:val="24"/>
        </w:rPr>
        <w:t xml:space="preserve"> the finiteness of our mortality, then we must also accept that our actions, despite already being decided under the ethereal and incorporeal powers of God, are our </w:t>
      </w:r>
      <w:r>
        <w:rPr>
          <w:rFonts w:ascii="Times New Roman" w:eastAsia="Times New Roman" w:hAnsi="Times New Roman" w:cs="Times New Roman"/>
          <w:i/>
          <w:sz w:val="24"/>
          <w:szCs w:val="24"/>
        </w:rPr>
        <w:t xml:space="preserve">own </w:t>
      </w:r>
      <w:r>
        <w:rPr>
          <w:rFonts w:ascii="Times New Roman" w:eastAsia="Times New Roman" w:hAnsi="Times New Roman" w:cs="Times New Roman"/>
          <w:sz w:val="24"/>
          <w:szCs w:val="24"/>
        </w:rPr>
        <w:t>responsibility. If this is accepted, then people have free wi</w:t>
      </w:r>
      <w:r>
        <w:rPr>
          <w:rFonts w:ascii="Times New Roman" w:eastAsia="Times New Roman" w:hAnsi="Times New Roman" w:cs="Times New Roman"/>
          <w:sz w:val="24"/>
          <w:szCs w:val="24"/>
        </w:rPr>
        <w:t xml:space="preserve">ll in their actions, even if a being beyond those people were to talk of the future in an authoritative tone like Jesus did to Peter. Peter therefore had the free will to decide to deny Jesus thrice, and this </w:t>
      </w:r>
      <w:r>
        <w:rPr>
          <w:rFonts w:ascii="Times New Roman" w:eastAsia="Times New Roman" w:hAnsi="Times New Roman" w:cs="Times New Roman"/>
          <w:i/>
          <w:sz w:val="24"/>
          <w:szCs w:val="24"/>
        </w:rPr>
        <w:t>co-exists</w:t>
      </w:r>
      <w:r>
        <w:rPr>
          <w:rFonts w:ascii="Times New Roman" w:eastAsia="Times New Roman" w:hAnsi="Times New Roman" w:cs="Times New Roman"/>
          <w:sz w:val="24"/>
          <w:szCs w:val="24"/>
        </w:rPr>
        <w:t xml:space="preserve"> with the idea that Jesus knew about t</w:t>
      </w:r>
      <w:r>
        <w:rPr>
          <w:rFonts w:ascii="Times New Roman" w:eastAsia="Times New Roman" w:hAnsi="Times New Roman" w:cs="Times New Roman"/>
          <w:sz w:val="24"/>
          <w:szCs w:val="24"/>
        </w:rPr>
        <w:t>hese events prior to them happening to an absolute level.</w:t>
      </w:r>
    </w:p>
    <w:p w14:paraId="11A75AD2" w14:textId="77777777" w:rsidR="00B15D0A" w:rsidRDefault="009A366F">
      <w:pPr>
        <w:spacing w:line="480" w:lineRule="auto"/>
        <w:jc w:val="both"/>
        <w:rPr>
          <w:rFonts w:ascii="Times New Roman" w:eastAsia="Times New Roman" w:hAnsi="Times New Roman" w:cs="Times New Roman"/>
          <w:sz w:val="24"/>
          <w:szCs w:val="24"/>
        </w:rPr>
      </w:pPr>
      <w:bookmarkStart w:id="31" w:name="_heading=h.ggfv9ssnj2nf" w:colFirst="0" w:colLast="0"/>
      <w:bookmarkEnd w:id="31"/>
      <w:r>
        <w:rPr>
          <w:rFonts w:ascii="Times New Roman" w:eastAsia="Times New Roman" w:hAnsi="Times New Roman" w:cs="Times New Roman"/>
          <w:sz w:val="24"/>
          <w:szCs w:val="24"/>
        </w:rPr>
        <w:t>There is another counterpoint to this supposition that Wright initially presented, however, with the theological concept of ‘open theism’. In short, this is the belief that the omniscience and the o</w:t>
      </w:r>
      <w:r>
        <w:rPr>
          <w:rFonts w:ascii="Times New Roman" w:eastAsia="Times New Roman" w:hAnsi="Times New Roman" w:cs="Times New Roman"/>
          <w:sz w:val="24"/>
          <w:szCs w:val="24"/>
        </w:rPr>
        <w:t xml:space="preserve">mnipotence of God need not limit the freedom of humanity, and is therefore the key to understanding how freedom </w:t>
      </w:r>
      <w:r>
        <w:rPr>
          <w:rFonts w:ascii="Times New Roman" w:eastAsia="Times New Roman" w:hAnsi="Times New Roman" w:cs="Times New Roman"/>
          <w:i/>
          <w:sz w:val="24"/>
          <w:szCs w:val="24"/>
        </w:rPr>
        <w:t xml:space="preserve">can </w:t>
      </w:r>
      <w:r>
        <w:rPr>
          <w:rFonts w:ascii="Times New Roman" w:eastAsia="Times New Roman" w:hAnsi="Times New Roman" w:cs="Times New Roman"/>
          <w:sz w:val="24"/>
          <w:szCs w:val="24"/>
        </w:rPr>
        <w:t>co-exist with the ideas of an all-powerful God that by all definitions knows all things that happen in the world that God created. Alan R. R</w:t>
      </w:r>
      <w:r>
        <w:rPr>
          <w:rFonts w:ascii="Times New Roman" w:eastAsia="Times New Roman" w:hAnsi="Times New Roman" w:cs="Times New Roman"/>
          <w:sz w:val="24"/>
          <w:szCs w:val="24"/>
        </w:rPr>
        <w:t xml:space="preserve">hoda et al explain it further in their journal article, saying how it is a way of events being </w:t>
      </w:r>
      <w:r>
        <w:rPr>
          <w:rFonts w:ascii="Times New Roman" w:eastAsia="Times New Roman" w:hAnsi="Times New Roman" w:cs="Times New Roman"/>
          <w:i/>
          <w:sz w:val="24"/>
          <w:szCs w:val="24"/>
        </w:rPr>
        <w:t>possibilities</w:t>
      </w:r>
      <w:r>
        <w:rPr>
          <w:rFonts w:ascii="Times New Roman" w:eastAsia="Times New Roman" w:hAnsi="Times New Roman" w:cs="Times New Roman"/>
          <w:sz w:val="24"/>
          <w:szCs w:val="24"/>
        </w:rPr>
        <w:t xml:space="preserve"> rather than events set in stone. They write, “Open theists, on the other hand, hold that God knows the future partly as settled and partly as a fie</w:t>
      </w:r>
      <w:r>
        <w:rPr>
          <w:rFonts w:ascii="Times New Roman" w:eastAsia="Times New Roman" w:hAnsi="Times New Roman" w:cs="Times New Roman"/>
          <w:sz w:val="24"/>
          <w:szCs w:val="24"/>
        </w:rPr>
        <w:t>ld of open possibilities. This implies that the future is partly open and can therefore change as matters which are open become settled.”</w:t>
      </w:r>
      <w:r>
        <w:rPr>
          <w:rFonts w:ascii="Times New Roman" w:eastAsia="Times New Roman" w:hAnsi="Times New Roman" w:cs="Times New Roman"/>
          <w:sz w:val="24"/>
          <w:szCs w:val="24"/>
          <w:vertAlign w:val="superscript"/>
        </w:rPr>
        <w:footnoteReference w:id="31"/>
      </w:r>
      <w:r>
        <w:rPr>
          <w:rFonts w:ascii="Times New Roman" w:eastAsia="Times New Roman" w:hAnsi="Times New Roman" w:cs="Times New Roman"/>
          <w:sz w:val="24"/>
          <w:szCs w:val="24"/>
        </w:rPr>
        <w:t xml:space="preserve"> Further down in the article, they extend on this method of thinking by propounding that “[...] the future cannot be </w:t>
      </w:r>
      <w:r>
        <w:rPr>
          <w:rFonts w:ascii="Times New Roman" w:eastAsia="Times New Roman" w:hAnsi="Times New Roman" w:cs="Times New Roman"/>
          <w:sz w:val="24"/>
          <w:szCs w:val="24"/>
        </w:rPr>
        <w:t xml:space="preserve">completely and truly described in terms of what either </w:t>
      </w:r>
      <w:r>
        <w:rPr>
          <w:rFonts w:ascii="Times New Roman" w:eastAsia="Times New Roman" w:hAnsi="Times New Roman" w:cs="Times New Roman"/>
          <w:i/>
          <w:sz w:val="24"/>
          <w:szCs w:val="24"/>
        </w:rPr>
        <w:t xml:space="preserve">will or will not </w:t>
      </w:r>
      <w:r>
        <w:rPr>
          <w:rFonts w:ascii="Times New Roman" w:eastAsia="Times New Roman" w:hAnsi="Times New Roman" w:cs="Times New Roman"/>
          <w:sz w:val="24"/>
          <w:szCs w:val="24"/>
        </w:rPr>
        <w:t xml:space="preserve">happen, but must also include reference to what </w:t>
      </w:r>
      <w:r>
        <w:rPr>
          <w:rFonts w:ascii="Times New Roman" w:eastAsia="Times New Roman" w:hAnsi="Times New Roman" w:cs="Times New Roman"/>
          <w:i/>
          <w:sz w:val="24"/>
          <w:szCs w:val="24"/>
        </w:rPr>
        <w:t xml:space="preserve">might and might not </w:t>
      </w:r>
      <w:r>
        <w:rPr>
          <w:rFonts w:ascii="Times New Roman" w:eastAsia="Times New Roman" w:hAnsi="Times New Roman" w:cs="Times New Roman"/>
          <w:sz w:val="24"/>
          <w:szCs w:val="24"/>
        </w:rPr>
        <w:t>happen.”</w:t>
      </w:r>
      <w:r>
        <w:rPr>
          <w:rFonts w:ascii="Times New Roman" w:eastAsia="Times New Roman" w:hAnsi="Times New Roman" w:cs="Times New Roman"/>
          <w:sz w:val="24"/>
          <w:szCs w:val="24"/>
          <w:vertAlign w:val="superscript"/>
        </w:rPr>
        <w:footnoteReference w:id="32"/>
      </w:r>
      <w:r>
        <w:rPr>
          <w:rFonts w:ascii="Times New Roman" w:eastAsia="Times New Roman" w:hAnsi="Times New Roman" w:cs="Times New Roman"/>
          <w:sz w:val="24"/>
          <w:szCs w:val="24"/>
        </w:rPr>
        <w:t xml:space="preserve"> What this necessitates is an argument that asks that each </w:t>
      </w:r>
      <w:r>
        <w:rPr>
          <w:rFonts w:ascii="Times New Roman" w:eastAsia="Times New Roman" w:hAnsi="Times New Roman" w:cs="Times New Roman"/>
          <w:i/>
          <w:sz w:val="24"/>
          <w:szCs w:val="24"/>
        </w:rPr>
        <w:t xml:space="preserve">potential </w:t>
      </w:r>
      <w:r>
        <w:rPr>
          <w:rFonts w:ascii="Times New Roman" w:eastAsia="Times New Roman" w:hAnsi="Times New Roman" w:cs="Times New Roman"/>
          <w:sz w:val="24"/>
          <w:szCs w:val="24"/>
        </w:rPr>
        <w:t>action of every prior action be consi</w:t>
      </w:r>
      <w:r>
        <w:rPr>
          <w:rFonts w:ascii="Times New Roman" w:eastAsia="Times New Roman" w:hAnsi="Times New Roman" w:cs="Times New Roman"/>
          <w:sz w:val="24"/>
          <w:szCs w:val="24"/>
        </w:rPr>
        <w:t xml:space="preserve">dered rather than a linear progression of events that must happen as according to a plan. </w:t>
      </w:r>
      <w:r>
        <w:rPr>
          <w:rFonts w:ascii="Times New Roman" w:eastAsia="Times New Roman" w:hAnsi="Times New Roman" w:cs="Times New Roman"/>
          <w:sz w:val="24"/>
          <w:szCs w:val="24"/>
        </w:rPr>
        <w:lastRenderedPageBreak/>
        <w:t xml:space="preserve">Every action that could happen cannot be suggested to </w:t>
      </w:r>
      <w:r>
        <w:rPr>
          <w:rFonts w:ascii="Times New Roman" w:eastAsia="Times New Roman" w:hAnsi="Times New Roman" w:cs="Times New Roman"/>
          <w:i/>
          <w:sz w:val="24"/>
          <w:szCs w:val="24"/>
        </w:rPr>
        <w:t xml:space="preserve">never </w:t>
      </w:r>
      <w:r>
        <w:rPr>
          <w:rFonts w:ascii="Times New Roman" w:eastAsia="Times New Roman" w:hAnsi="Times New Roman" w:cs="Times New Roman"/>
          <w:sz w:val="24"/>
          <w:szCs w:val="24"/>
        </w:rPr>
        <w:t>happen based on parameters to which we as people are not privy. William Hasker explains this in his own wo</w:t>
      </w:r>
      <w:r>
        <w:rPr>
          <w:rFonts w:ascii="Times New Roman" w:eastAsia="Times New Roman" w:hAnsi="Times New Roman" w:cs="Times New Roman"/>
          <w:sz w:val="24"/>
          <w:szCs w:val="24"/>
        </w:rPr>
        <w:t>rds by saying:</w:t>
      </w:r>
    </w:p>
    <w:p w14:paraId="5C53E601" w14:textId="77777777" w:rsidR="00B15D0A" w:rsidRDefault="009A366F">
      <w:pPr>
        <w:spacing w:line="276" w:lineRule="auto"/>
        <w:ind w:left="720"/>
        <w:jc w:val="both"/>
        <w:rPr>
          <w:rFonts w:ascii="Times New Roman" w:eastAsia="Times New Roman" w:hAnsi="Times New Roman" w:cs="Times New Roman"/>
          <w:sz w:val="24"/>
          <w:szCs w:val="24"/>
        </w:rPr>
      </w:pPr>
      <w:bookmarkStart w:id="32" w:name="_heading=h.8vut54nub1rk" w:colFirst="0" w:colLast="0"/>
      <w:bookmarkEnd w:id="32"/>
      <w:r>
        <w:rPr>
          <w:rFonts w:ascii="Times New Roman" w:eastAsia="Times New Roman" w:hAnsi="Times New Roman" w:cs="Times New Roman"/>
          <w:sz w:val="24"/>
          <w:szCs w:val="24"/>
        </w:rPr>
        <w:t>In cases where a particular course of action is necessitated by an agent's character, the agent must have been partly responsible for forming that character, through earlier choices for which alternative possibilities were available. This em</w:t>
      </w:r>
      <w:r>
        <w:rPr>
          <w:rFonts w:ascii="Times New Roman" w:eastAsia="Times New Roman" w:hAnsi="Times New Roman" w:cs="Times New Roman"/>
          <w:sz w:val="24"/>
          <w:szCs w:val="24"/>
        </w:rPr>
        <w:t>phasis on an agent's role in forming her own character is highly congenial to many religious viewpoints.</w:t>
      </w:r>
      <w:r>
        <w:rPr>
          <w:rFonts w:ascii="Times New Roman" w:eastAsia="Times New Roman" w:hAnsi="Times New Roman" w:cs="Times New Roman"/>
          <w:sz w:val="24"/>
          <w:szCs w:val="24"/>
          <w:vertAlign w:val="superscript"/>
        </w:rPr>
        <w:footnoteReference w:id="33"/>
      </w:r>
    </w:p>
    <w:p w14:paraId="19ABABA7" w14:textId="77777777" w:rsidR="00B15D0A" w:rsidRDefault="009A366F">
      <w:pPr>
        <w:spacing w:line="480" w:lineRule="auto"/>
        <w:jc w:val="both"/>
        <w:rPr>
          <w:rFonts w:ascii="Times New Roman" w:eastAsia="Times New Roman" w:hAnsi="Times New Roman" w:cs="Times New Roman"/>
          <w:sz w:val="24"/>
          <w:szCs w:val="24"/>
        </w:rPr>
      </w:pPr>
      <w:bookmarkStart w:id="33" w:name="_heading=h.qhrhmqbxkk61" w:colFirst="0" w:colLast="0"/>
      <w:bookmarkEnd w:id="33"/>
      <w:r>
        <w:rPr>
          <w:rFonts w:ascii="Times New Roman" w:eastAsia="Times New Roman" w:hAnsi="Times New Roman" w:cs="Times New Roman"/>
          <w:sz w:val="24"/>
          <w:szCs w:val="24"/>
        </w:rPr>
        <w:t xml:space="preserve">Having an approach such as open theism or to be openly theistic itself in the same way that Hasker is, allows us to propose that Peter had free will </w:t>
      </w:r>
      <w:r>
        <w:rPr>
          <w:rFonts w:ascii="Times New Roman" w:eastAsia="Times New Roman" w:hAnsi="Times New Roman" w:cs="Times New Roman"/>
          <w:sz w:val="24"/>
          <w:szCs w:val="24"/>
        </w:rPr>
        <w:t>whilst also maintaining the glory of God and the power that such a being would wield. What this does not answer though, is the question of whether or not Jesus was able to predict the action, because surely if the action was predicted, and then happened wh</w:t>
      </w:r>
      <w:r>
        <w:rPr>
          <w:rFonts w:ascii="Times New Roman" w:eastAsia="Times New Roman" w:hAnsi="Times New Roman" w:cs="Times New Roman"/>
          <w:sz w:val="24"/>
          <w:szCs w:val="24"/>
        </w:rPr>
        <w:t xml:space="preserve">ilst the active party of said predicted action insisted it would not, then the argument of free will in a religious setting would seem to fail. </w:t>
      </w:r>
    </w:p>
    <w:p w14:paraId="69E4DFBC" w14:textId="77777777" w:rsidR="00B15D0A" w:rsidRDefault="009A366F">
      <w:pPr>
        <w:spacing w:line="480" w:lineRule="auto"/>
        <w:jc w:val="both"/>
        <w:rPr>
          <w:rFonts w:ascii="Times New Roman" w:eastAsia="Times New Roman" w:hAnsi="Times New Roman" w:cs="Times New Roman"/>
          <w:sz w:val="24"/>
          <w:szCs w:val="24"/>
        </w:rPr>
      </w:pPr>
      <w:bookmarkStart w:id="34" w:name="_heading=h.5aucny757wji" w:colFirst="0" w:colLast="0"/>
      <w:bookmarkEnd w:id="34"/>
      <w:r>
        <w:rPr>
          <w:rFonts w:ascii="Times New Roman" w:eastAsia="Times New Roman" w:hAnsi="Times New Roman" w:cs="Times New Roman"/>
          <w:sz w:val="24"/>
          <w:szCs w:val="24"/>
        </w:rPr>
        <w:t>A definition of what a divine essence could constitute is demonstrated by William P. Alston, as he writes, “[..</w:t>
      </w:r>
      <w:r>
        <w:rPr>
          <w:rFonts w:ascii="Times New Roman" w:eastAsia="Times New Roman" w:hAnsi="Times New Roman" w:cs="Times New Roman"/>
          <w:sz w:val="24"/>
          <w:szCs w:val="24"/>
        </w:rPr>
        <w:t>.] God is pure act and absolutely simple. Hence there is no real distinction in God between his knowledge and its object. Thus what God knows is simply His knowledge, which itself is not really distinct from Himself.”</w:t>
      </w:r>
      <w:r>
        <w:rPr>
          <w:rFonts w:ascii="Times New Roman" w:eastAsia="Times New Roman" w:hAnsi="Times New Roman" w:cs="Times New Roman"/>
          <w:sz w:val="24"/>
          <w:szCs w:val="24"/>
          <w:vertAlign w:val="superscript"/>
        </w:rPr>
        <w:footnoteReference w:id="34"/>
      </w:r>
      <w:r>
        <w:rPr>
          <w:rFonts w:ascii="Times New Roman" w:eastAsia="Times New Roman" w:hAnsi="Times New Roman" w:cs="Times New Roman"/>
          <w:sz w:val="24"/>
          <w:szCs w:val="24"/>
        </w:rPr>
        <w:t xml:space="preserve"> This philosophy on God’s knowledge a</w:t>
      </w:r>
      <w:r>
        <w:rPr>
          <w:rFonts w:ascii="Times New Roman" w:eastAsia="Times New Roman" w:hAnsi="Times New Roman" w:cs="Times New Roman"/>
          <w:sz w:val="24"/>
          <w:szCs w:val="24"/>
        </w:rPr>
        <w:t xml:space="preserve">nd essence is not too dissimilar to an Aristotelian view on the </w:t>
      </w:r>
      <w:r>
        <w:rPr>
          <w:rFonts w:ascii="Times New Roman" w:eastAsia="Times New Roman" w:hAnsi="Times New Roman" w:cs="Times New Roman"/>
          <w:i/>
          <w:sz w:val="24"/>
          <w:szCs w:val="24"/>
        </w:rPr>
        <w:t>unmoved mover</w:t>
      </w:r>
      <w:r>
        <w:rPr>
          <w:rFonts w:ascii="Times New Roman" w:eastAsia="Times New Roman" w:hAnsi="Times New Roman" w:cs="Times New Roman"/>
          <w:sz w:val="24"/>
          <w:szCs w:val="24"/>
        </w:rPr>
        <w:t>, in which Aristotle posits there being an entity beyond the universe that constitutionally must exist in some form in order for the universe to fundamentally exist.</w:t>
      </w:r>
      <w:r>
        <w:rPr>
          <w:rFonts w:ascii="Times New Roman" w:eastAsia="Times New Roman" w:hAnsi="Times New Roman" w:cs="Times New Roman"/>
          <w:sz w:val="24"/>
          <w:szCs w:val="24"/>
          <w:vertAlign w:val="superscript"/>
        </w:rPr>
        <w:footnoteReference w:id="35"/>
      </w:r>
      <w:r>
        <w:rPr>
          <w:rFonts w:ascii="Times New Roman" w:eastAsia="Times New Roman" w:hAnsi="Times New Roman" w:cs="Times New Roman"/>
          <w:sz w:val="24"/>
          <w:szCs w:val="24"/>
        </w:rPr>
        <w:t xml:space="preserve"> I bring thi</w:t>
      </w:r>
      <w:r>
        <w:rPr>
          <w:rFonts w:ascii="Times New Roman" w:eastAsia="Times New Roman" w:hAnsi="Times New Roman" w:cs="Times New Roman"/>
          <w:sz w:val="24"/>
          <w:szCs w:val="24"/>
        </w:rPr>
        <w:t xml:space="preserve">s up now in this dissertation because I think it is important to cover all areas of what a fully divine being </w:t>
      </w:r>
      <w:r>
        <w:rPr>
          <w:rFonts w:ascii="Times New Roman" w:eastAsia="Times New Roman" w:hAnsi="Times New Roman" w:cs="Times New Roman"/>
          <w:i/>
          <w:sz w:val="24"/>
          <w:szCs w:val="24"/>
        </w:rPr>
        <w:t xml:space="preserve">could </w:t>
      </w:r>
      <w:r>
        <w:rPr>
          <w:rFonts w:ascii="Times New Roman" w:eastAsia="Times New Roman" w:hAnsi="Times New Roman" w:cs="Times New Roman"/>
          <w:sz w:val="24"/>
          <w:szCs w:val="24"/>
        </w:rPr>
        <w:t>be, as understanding as many different aspects and beliefs of this as possible could prove vital to understanding what God’s omnipotence cou</w:t>
      </w:r>
      <w:r>
        <w:rPr>
          <w:rFonts w:ascii="Times New Roman" w:eastAsia="Times New Roman" w:hAnsi="Times New Roman" w:cs="Times New Roman"/>
          <w:sz w:val="24"/>
          <w:szCs w:val="24"/>
        </w:rPr>
        <w:t xml:space="preserve">ld mean. If, by any means, we </w:t>
      </w:r>
      <w:r>
        <w:rPr>
          <w:rFonts w:ascii="Times New Roman" w:eastAsia="Times New Roman" w:hAnsi="Times New Roman" w:cs="Times New Roman"/>
          <w:i/>
          <w:sz w:val="24"/>
          <w:szCs w:val="24"/>
        </w:rPr>
        <w:t xml:space="preserve">are </w:t>
      </w:r>
      <w:r>
        <w:rPr>
          <w:rFonts w:ascii="Times New Roman" w:eastAsia="Times New Roman" w:hAnsi="Times New Roman" w:cs="Times New Roman"/>
          <w:sz w:val="24"/>
          <w:szCs w:val="24"/>
        </w:rPr>
        <w:t xml:space="preserve">able to </w:t>
      </w:r>
      <w:r>
        <w:rPr>
          <w:rFonts w:ascii="Times New Roman" w:eastAsia="Times New Roman" w:hAnsi="Times New Roman" w:cs="Times New Roman"/>
          <w:sz w:val="24"/>
          <w:szCs w:val="24"/>
        </w:rPr>
        <w:lastRenderedPageBreak/>
        <w:t>understand the extent of God’s, and thus, by extension, Jesus’s, divine power, foreknowledge and all other heavenly words to even a miniscule degree. With this, we are all closer to understanding the implications t</w:t>
      </w:r>
      <w:r>
        <w:rPr>
          <w:rFonts w:ascii="Times New Roman" w:eastAsia="Times New Roman" w:hAnsi="Times New Roman" w:cs="Times New Roman"/>
          <w:sz w:val="24"/>
          <w:szCs w:val="24"/>
        </w:rPr>
        <w:t xml:space="preserve">hat happen within the Bible, and thus are able to </w:t>
      </w:r>
      <w:r>
        <w:rPr>
          <w:rFonts w:ascii="Times New Roman" w:eastAsia="Times New Roman" w:hAnsi="Times New Roman" w:cs="Times New Roman"/>
          <w:i/>
          <w:sz w:val="24"/>
          <w:szCs w:val="24"/>
        </w:rPr>
        <w:t xml:space="preserve">potentially </w:t>
      </w:r>
      <w:r>
        <w:rPr>
          <w:rFonts w:ascii="Times New Roman" w:eastAsia="Times New Roman" w:hAnsi="Times New Roman" w:cs="Times New Roman"/>
          <w:sz w:val="24"/>
          <w:szCs w:val="24"/>
        </w:rPr>
        <w:t xml:space="preserve">grasp whether or not Peter had the freedom to make his own decisions in regards to denying Jesus, </w:t>
      </w:r>
      <w:r>
        <w:rPr>
          <w:rFonts w:ascii="Times New Roman" w:eastAsia="Times New Roman" w:hAnsi="Times New Roman" w:cs="Times New Roman"/>
          <w:i/>
          <w:sz w:val="24"/>
          <w:szCs w:val="24"/>
        </w:rPr>
        <w:t xml:space="preserve">even if </w:t>
      </w:r>
      <w:r>
        <w:rPr>
          <w:rFonts w:ascii="Times New Roman" w:eastAsia="Times New Roman" w:hAnsi="Times New Roman" w:cs="Times New Roman"/>
          <w:sz w:val="24"/>
          <w:szCs w:val="24"/>
        </w:rPr>
        <w:t xml:space="preserve">a divine and heavenly body, Jesus, was able to preordain. </w:t>
      </w:r>
    </w:p>
    <w:p w14:paraId="0C6826BC" w14:textId="70FB9398" w:rsidR="00B15D0A" w:rsidRDefault="009A366F">
      <w:pPr>
        <w:spacing w:line="480" w:lineRule="auto"/>
        <w:jc w:val="both"/>
        <w:rPr>
          <w:rFonts w:ascii="Times New Roman" w:eastAsia="Times New Roman" w:hAnsi="Times New Roman" w:cs="Times New Roman"/>
          <w:b/>
          <w:sz w:val="24"/>
          <w:szCs w:val="24"/>
        </w:rPr>
      </w:pPr>
      <w:bookmarkStart w:id="35" w:name="_heading=h.qf3a4bdbkdjy" w:colFirst="0" w:colLast="0"/>
      <w:bookmarkEnd w:id="35"/>
      <w:r>
        <w:rPr>
          <w:rFonts w:ascii="Times New Roman" w:eastAsia="Times New Roman" w:hAnsi="Times New Roman" w:cs="Times New Roman"/>
          <w:sz w:val="24"/>
          <w:szCs w:val="24"/>
        </w:rPr>
        <w:t>I, personally, believe that i</w:t>
      </w:r>
      <w:r>
        <w:rPr>
          <w:rFonts w:ascii="Times New Roman" w:eastAsia="Times New Roman" w:hAnsi="Times New Roman" w:cs="Times New Roman"/>
          <w:sz w:val="24"/>
          <w:szCs w:val="24"/>
        </w:rPr>
        <w:t xml:space="preserve">n order to </w:t>
      </w:r>
      <w:r>
        <w:rPr>
          <w:rFonts w:ascii="Times New Roman" w:eastAsia="Times New Roman" w:hAnsi="Times New Roman" w:cs="Times New Roman"/>
          <w:i/>
          <w:sz w:val="24"/>
          <w:szCs w:val="24"/>
        </w:rPr>
        <w:t>truly</w:t>
      </w:r>
      <w:r>
        <w:rPr>
          <w:rFonts w:ascii="Times New Roman" w:eastAsia="Times New Roman" w:hAnsi="Times New Roman" w:cs="Times New Roman"/>
          <w:sz w:val="24"/>
          <w:szCs w:val="24"/>
        </w:rPr>
        <w:t xml:space="preserve"> grasp the implications of divine powers and the effects that that can have on concepts such as free will, a discussion must be had </w:t>
      </w:r>
      <w:r w:rsidR="008B2C04">
        <w:rPr>
          <w:rFonts w:ascii="Times New Roman" w:eastAsia="Times New Roman" w:hAnsi="Times New Roman" w:cs="Times New Roman"/>
          <w:sz w:val="24"/>
          <w:szCs w:val="24"/>
        </w:rPr>
        <w:t>in regard to</w:t>
      </w:r>
      <w:r>
        <w:rPr>
          <w:rFonts w:ascii="Times New Roman" w:eastAsia="Times New Roman" w:hAnsi="Times New Roman" w:cs="Times New Roman"/>
          <w:sz w:val="24"/>
          <w:szCs w:val="24"/>
        </w:rPr>
        <w:t xml:space="preserve"> omnipotence. To extend on that, what is omnipotence? Can God, in any form, be omnipotent in a </w:t>
      </w:r>
      <w:r>
        <w:rPr>
          <w:rFonts w:ascii="Times New Roman" w:eastAsia="Times New Roman" w:hAnsi="Times New Roman" w:cs="Times New Roman"/>
          <w:sz w:val="24"/>
          <w:szCs w:val="24"/>
        </w:rPr>
        <w:t xml:space="preserve">world where free will exists? </w:t>
      </w:r>
      <w:r>
        <w:br w:type="page"/>
      </w:r>
    </w:p>
    <w:p w14:paraId="12A2C24E" w14:textId="77777777" w:rsidR="00B15D0A" w:rsidRDefault="009A366F">
      <w:pPr>
        <w:spacing w:line="480" w:lineRule="auto"/>
        <w:jc w:val="center"/>
        <w:rPr>
          <w:rFonts w:ascii="Times New Roman" w:eastAsia="Times New Roman" w:hAnsi="Times New Roman" w:cs="Times New Roman"/>
          <w:b/>
          <w:sz w:val="28"/>
          <w:szCs w:val="28"/>
        </w:rPr>
      </w:pPr>
      <w:bookmarkStart w:id="36" w:name="_heading=h.nee72x2wual9" w:colFirst="0" w:colLast="0"/>
      <w:bookmarkEnd w:id="36"/>
      <w:r>
        <w:rPr>
          <w:rFonts w:ascii="Times New Roman" w:eastAsia="Times New Roman" w:hAnsi="Times New Roman" w:cs="Times New Roman"/>
          <w:b/>
          <w:sz w:val="28"/>
          <w:szCs w:val="28"/>
        </w:rPr>
        <w:lastRenderedPageBreak/>
        <w:t>Chapter IV - Linear Omniscience and True Omniscience</w:t>
      </w:r>
    </w:p>
    <w:p w14:paraId="0904F32B" w14:textId="77777777" w:rsidR="00B15D0A" w:rsidRDefault="009A366F">
      <w:pPr>
        <w:spacing w:line="480" w:lineRule="auto"/>
        <w:jc w:val="both"/>
        <w:rPr>
          <w:rFonts w:ascii="Times New Roman" w:eastAsia="Times New Roman" w:hAnsi="Times New Roman" w:cs="Times New Roman"/>
          <w:sz w:val="24"/>
          <w:szCs w:val="24"/>
        </w:rPr>
      </w:pPr>
      <w:bookmarkStart w:id="37" w:name="_heading=h.flk3kls1smji" w:colFirst="0" w:colLast="0"/>
      <w:bookmarkEnd w:id="37"/>
      <w:r>
        <w:rPr>
          <w:rFonts w:ascii="Times New Roman" w:eastAsia="Times New Roman" w:hAnsi="Times New Roman" w:cs="Times New Roman"/>
          <w:sz w:val="24"/>
          <w:szCs w:val="24"/>
        </w:rPr>
        <w:t>According to Judaeo-Christian doctrine, God is omnipotent</w:t>
      </w:r>
      <w:r>
        <w:rPr>
          <w:rFonts w:ascii="Times New Roman" w:eastAsia="Times New Roman" w:hAnsi="Times New Roman" w:cs="Times New Roman"/>
          <w:sz w:val="24"/>
          <w:szCs w:val="24"/>
          <w:vertAlign w:val="superscript"/>
        </w:rPr>
        <w:footnoteReference w:id="36"/>
      </w:r>
      <w:r>
        <w:rPr>
          <w:rFonts w:ascii="Times New Roman" w:eastAsia="Times New Roman" w:hAnsi="Times New Roman" w:cs="Times New Roman"/>
          <w:sz w:val="24"/>
          <w:szCs w:val="24"/>
        </w:rPr>
        <w:t xml:space="preserve"> as well as omniscient.</w:t>
      </w:r>
      <w:r>
        <w:rPr>
          <w:rFonts w:ascii="Times New Roman" w:eastAsia="Times New Roman" w:hAnsi="Times New Roman" w:cs="Times New Roman"/>
          <w:sz w:val="24"/>
          <w:szCs w:val="24"/>
          <w:vertAlign w:val="superscript"/>
        </w:rPr>
        <w:footnoteReference w:id="37"/>
      </w:r>
      <w:r>
        <w:rPr>
          <w:rFonts w:ascii="Times New Roman" w:eastAsia="Times New Roman" w:hAnsi="Times New Roman" w:cs="Times New Roman"/>
          <w:sz w:val="24"/>
          <w:szCs w:val="24"/>
        </w:rPr>
        <w:t xml:space="preserve"> Omnipotence is a concept that goes beyond any sort of comprehension that we as humans could ever hope to possibly understand. One way to understand the complexities that an omnipotent being presents on a philosophical level is what is known as </w:t>
      </w:r>
      <w:r>
        <w:rPr>
          <w:rFonts w:ascii="Times New Roman" w:eastAsia="Times New Roman" w:hAnsi="Times New Roman" w:cs="Times New Roman"/>
          <w:i/>
          <w:sz w:val="24"/>
          <w:szCs w:val="24"/>
        </w:rPr>
        <w:t>The Paradox</w:t>
      </w:r>
      <w:r>
        <w:rPr>
          <w:rFonts w:ascii="Times New Roman" w:eastAsia="Times New Roman" w:hAnsi="Times New Roman" w:cs="Times New Roman"/>
          <w:i/>
          <w:sz w:val="24"/>
          <w:szCs w:val="24"/>
        </w:rPr>
        <w:t xml:space="preserve"> of Omnipotence</w:t>
      </w:r>
      <w:r>
        <w:rPr>
          <w:rFonts w:ascii="Times New Roman" w:eastAsia="Times New Roman" w:hAnsi="Times New Roman" w:cs="Times New Roman"/>
          <w:sz w:val="24"/>
          <w:szCs w:val="24"/>
        </w:rPr>
        <w:t xml:space="preserve">. This paradox asserts that the concept of an all-powerful being falls under its own weight, due to the possibility that an all-powerful and omnipotent being could create logical impossibilities. C. Wade Savage presents this dilemma in four </w:t>
      </w:r>
      <w:r>
        <w:rPr>
          <w:rFonts w:ascii="Times New Roman" w:eastAsia="Times New Roman" w:hAnsi="Times New Roman" w:cs="Times New Roman"/>
          <w:sz w:val="24"/>
          <w:szCs w:val="24"/>
        </w:rPr>
        <w:t>steps:</w:t>
      </w:r>
    </w:p>
    <w:p w14:paraId="1DF18161" w14:textId="77777777" w:rsidR="00B15D0A" w:rsidRDefault="009A366F">
      <w:pPr>
        <w:spacing w:line="276" w:lineRule="auto"/>
        <w:ind w:left="720"/>
        <w:jc w:val="both"/>
        <w:rPr>
          <w:rFonts w:ascii="Times New Roman" w:eastAsia="Times New Roman" w:hAnsi="Times New Roman" w:cs="Times New Roman"/>
          <w:sz w:val="24"/>
          <w:szCs w:val="24"/>
        </w:rPr>
      </w:pPr>
      <w:bookmarkStart w:id="38" w:name="_heading=h.m4lhczwzo6fj" w:colFirst="0" w:colLast="0"/>
      <w:bookmarkEnd w:id="38"/>
      <w:r>
        <w:rPr>
          <w:rFonts w:ascii="Times New Roman" w:eastAsia="Times New Roman" w:hAnsi="Times New Roman" w:cs="Times New Roman"/>
          <w:sz w:val="24"/>
          <w:szCs w:val="24"/>
        </w:rPr>
        <w:t xml:space="preserve">(1) Either God can create a stone which He cannot lift, or He cannot create a stone which He cannot lift. </w:t>
      </w:r>
    </w:p>
    <w:p w14:paraId="54FD2806" w14:textId="77777777" w:rsidR="00B15D0A" w:rsidRDefault="009A366F">
      <w:pPr>
        <w:spacing w:line="276" w:lineRule="auto"/>
        <w:ind w:left="720"/>
        <w:jc w:val="both"/>
        <w:rPr>
          <w:rFonts w:ascii="Times New Roman" w:eastAsia="Times New Roman" w:hAnsi="Times New Roman" w:cs="Times New Roman"/>
          <w:sz w:val="24"/>
          <w:szCs w:val="24"/>
        </w:rPr>
      </w:pPr>
      <w:bookmarkStart w:id="39" w:name="_heading=h.1n14xjrjlajm" w:colFirst="0" w:colLast="0"/>
      <w:bookmarkEnd w:id="39"/>
      <w:r>
        <w:rPr>
          <w:rFonts w:ascii="Times New Roman" w:eastAsia="Times New Roman" w:hAnsi="Times New Roman" w:cs="Times New Roman"/>
          <w:sz w:val="24"/>
          <w:szCs w:val="24"/>
        </w:rPr>
        <w:t xml:space="preserve">(2) If God can create a stone which He cannot lift, then He is not omnipotent (since He cannot lift the stone in question). </w:t>
      </w:r>
    </w:p>
    <w:p w14:paraId="0EF55A74" w14:textId="77777777" w:rsidR="00B15D0A" w:rsidRDefault="009A366F">
      <w:pPr>
        <w:spacing w:line="276" w:lineRule="auto"/>
        <w:ind w:left="720"/>
        <w:jc w:val="both"/>
        <w:rPr>
          <w:rFonts w:ascii="Times New Roman" w:eastAsia="Times New Roman" w:hAnsi="Times New Roman" w:cs="Times New Roman"/>
          <w:sz w:val="24"/>
          <w:szCs w:val="24"/>
        </w:rPr>
      </w:pPr>
      <w:bookmarkStart w:id="40" w:name="_heading=h.gjwhajlo4yei" w:colFirst="0" w:colLast="0"/>
      <w:bookmarkEnd w:id="40"/>
      <w:r>
        <w:rPr>
          <w:rFonts w:ascii="Times New Roman" w:eastAsia="Times New Roman" w:hAnsi="Times New Roman" w:cs="Times New Roman"/>
          <w:sz w:val="24"/>
          <w:szCs w:val="24"/>
        </w:rPr>
        <w:t>(3) If God cannot</w:t>
      </w:r>
      <w:r>
        <w:rPr>
          <w:rFonts w:ascii="Times New Roman" w:eastAsia="Times New Roman" w:hAnsi="Times New Roman" w:cs="Times New Roman"/>
          <w:sz w:val="24"/>
          <w:szCs w:val="24"/>
        </w:rPr>
        <w:t xml:space="preserve"> create a stone which He cannot lift, then He is not omnipotent (since He cannot create the stone in question). </w:t>
      </w:r>
    </w:p>
    <w:p w14:paraId="759BD9AC" w14:textId="77777777" w:rsidR="00B15D0A" w:rsidRDefault="009A366F">
      <w:pPr>
        <w:spacing w:line="276" w:lineRule="auto"/>
        <w:ind w:left="720"/>
        <w:jc w:val="both"/>
        <w:rPr>
          <w:rFonts w:ascii="Times New Roman" w:eastAsia="Times New Roman" w:hAnsi="Times New Roman" w:cs="Times New Roman"/>
          <w:sz w:val="24"/>
          <w:szCs w:val="24"/>
        </w:rPr>
      </w:pPr>
      <w:bookmarkStart w:id="41" w:name="_heading=h.rihatig7fl3n" w:colFirst="0" w:colLast="0"/>
      <w:bookmarkEnd w:id="41"/>
      <w:r>
        <w:rPr>
          <w:rFonts w:ascii="Times New Roman" w:eastAsia="Times New Roman" w:hAnsi="Times New Roman" w:cs="Times New Roman"/>
          <w:sz w:val="24"/>
          <w:szCs w:val="24"/>
        </w:rPr>
        <w:t>(4) Therefore, God is not omnipotent.</w:t>
      </w:r>
      <w:r>
        <w:rPr>
          <w:rFonts w:ascii="Times New Roman" w:eastAsia="Times New Roman" w:hAnsi="Times New Roman" w:cs="Times New Roman"/>
          <w:sz w:val="24"/>
          <w:szCs w:val="24"/>
          <w:vertAlign w:val="superscript"/>
        </w:rPr>
        <w:footnoteReference w:id="38"/>
      </w:r>
    </w:p>
    <w:p w14:paraId="76FA8AE6" w14:textId="77B7CA6A" w:rsidR="00B15D0A" w:rsidRDefault="009A366F">
      <w:pPr>
        <w:spacing w:line="480" w:lineRule="auto"/>
        <w:jc w:val="both"/>
      </w:pPr>
      <w:bookmarkStart w:id="42" w:name="_heading=h.y4vkdj1a7hus" w:colFirst="0" w:colLast="0"/>
      <w:bookmarkEnd w:id="42"/>
      <w:r>
        <w:rPr>
          <w:rFonts w:ascii="Times New Roman" w:eastAsia="Times New Roman" w:hAnsi="Times New Roman" w:cs="Times New Roman"/>
          <w:sz w:val="24"/>
          <w:szCs w:val="24"/>
        </w:rPr>
        <w:t xml:space="preserve">If God were to be deemed as not omnipotent, as Savage’s example would suggest, then God could not have </w:t>
      </w:r>
      <w:r>
        <w:rPr>
          <w:rFonts w:ascii="Times New Roman" w:eastAsia="Times New Roman" w:hAnsi="Times New Roman" w:cs="Times New Roman"/>
          <w:sz w:val="24"/>
          <w:szCs w:val="24"/>
        </w:rPr>
        <w:t xml:space="preserve">the power to be considered the creator of the universe </w:t>
      </w:r>
      <w:r>
        <w:rPr>
          <w:rFonts w:ascii="Times New Roman" w:eastAsia="Times New Roman" w:hAnsi="Times New Roman" w:cs="Times New Roman"/>
          <w:i/>
          <w:sz w:val="24"/>
          <w:szCs w:val="24"/>
        </w:rPr>
        <w:t xml:space="preserve">nor </w:t>
      </w:r>
      <w:r>
        <w:rPr>
          <w:rFonts w:ascii="Times New Roman" w:eastAsia="Times New Roman" w:hAnsi="Times New Roman" w:cs="Times New Roman"/>
          <w:sz w:val="24"/>
          <w:szCs w:val="24"/>
        </w:rPr>
        <w:t xml:space="preserve">can God be considered to be the ultimate power for His creation. If God is not all-powerful, the logical implication is that there is a possibility that there </w:t>
      </w:r>
      <w:r>
        <w:rPr>
          <w:rFonts w:ascii="Times New Roman" w:eastAsia="Times New Roman" w:hAnsi="Times New Roman" w:cs="Times New Roman"/>
          <w:i/>
          <w:sz w:val="24"/>
          <w:szCs w:val="24"/>
        </w:rPr>
        <w:t xml:space="preserve">could </w:t>
      </w:r>
      <w:r>
        <w:rPr>
          <w:rFonts w:ascii="Times New Roman" w:eastAsia="Times New Roman" w:hAnsi="Times New Roman" w:cs="Times New Roman"/>
          <w:sz w:val="24"/>
          <w:szCs w:val="24"/>
        </w:rPr>
        <w:t xml:space="preserve">be another being that is even </w:t>
      </w:r>
      <w:r>
        <w:rPr>
          <w:rFonts w:ascii="Times New Roman" w:eastAsia="Times New Roman" w:hAnsi="Times New Roman" w:cs="Times New Roman"/>
          <w:i/>
          <w:sz w:val="24"/>
          <w:szCs w:val="24"/>
        </w:rPr>
        <w:t>mo</w:t>
      </w:r>
      <w:r>
        <w:rPr>
          <w:rFonts w:ascii="Times New Roman" w:eastAsia="Times New Roman" w:hAnsi="Times New Roman" w:cs="Times New Roman"/>
          <w:i/>
          <w:sz w:val="24"/>
          <w:szCs w:val="24"/>
        </w:rPr>
        <w:t xml:space="preserve">re </w:t>
      </w:r>
      <w:r>
        <w:rPr>
          <w:rFonts w:ascii="Times New Roman" w:eastAsia="Times New Roman" w:hAnsi="Times New Roman" w:cs="Times New Roman"/>
          <w:sz w:val="24"/>
          <w:szCs w:val="24"/>
        </w:rPr>
        <w:t>powerful, and thus the paradox continues, as this potential being that is more powerful than God because of this inconsistency in this logic can itself not be omnipotent for the very same reasons. Savage also adds that “we can conclude that God is not o</w:t>
      </w:r>
      <w:r>
        <w:rPr>
          <w:rFonts w:ascii="Times New Roman" w:eastAsia="Times New Roman" w:hAnsi="Times New Roman" w:cs="Times New Roman"/>
          <w:sz w:val="24"/>
          <w:szCs w:val="24"/>
        </w:rPr>
        <w:t xml:space="preserve">mnipotent on the grounds that both His ability and </w:t>
      </w:r>
      <w:r>
        <w:rPr>
          <w:rFonts w:ascii="Times New Roman" w:eastAsia="Times New Roman" w:hAnsi="Times New Roman" w:cs="Times New Roman"/>
          <w:sz w:val="24"/>
          <w:szCs w:val="24"/>
        </w:rPr>
        <w:lastRenderedPageBreak/>
        <w:t>His inability to perform this task imply that He is not omnipotent.”</w:t>
      </w:r>
      <w:r>
        <w:rPr>
          <w:rFonts w:ascii="Times New Roman" w:eastAsia="Times New Roman" w:hAnsi="Times New Roman" w:cs="Times New Roman"/>
          <w:sz w:val="24"/>
          <w:szCs w:val="24"/>
          <w:vertAlign w:val="superscript"/>
        </w:rPr>
        <w:footnoteReference w:id="39"/>
      </w:r>
      <w:r>
        <w:rPr>
          <w:rFonts w:ascii="Times New Roman" w:eastAsia="Times New Roman" w:hAnsi="Times New Roman" w:cs="Times New Roman"/>
          <w:sz w:val="24"/>
          <w:szCs w:val="24"/>
        </w:rPr>
        <w:t xml:space="preserve"> The usage of the terms ‘ability’ and ‘inability’ are the pieces that make the paradox work (according to those who believe in it), bec</w:t>
      </w:r>
      <w:r>
        <w:rPr>
          <w:rFonts w:ascii="Times New Roman" w:eastAsia="Times New Roman" w:hAnsi="Times New Roman" w:cs="Times New Roman"/>
          <w:sz w:val="24"/>
          <w:szCs w:val="24"/>
        </w:rPr>
        <w:t xml:space="preserve">ause it implies an active God, and an active God that is not able to create the stone so heavy that God could not lift </w:t>
      </w:r>
      <w:r w:rsidR="008B2C04">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be fully autonomous and active, because there are actions that </w:t>
      </w:r>
      <w:r w:rsidR="008B2C04">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be completed.</w:t>
      </w:r>
    </w:p>
    <w:p w14:paraId="04AF9DA8" w14:textId="77777777" w:rsidR="00B15D0A" w:rsidRDefault="009A366F">
      <w:pPr>
        <w:spacing w:line="480" w:lineRule="auto"/>
        <w:jc w:val="both"/>
        <w:rPr>
          <w:rFonts w:ascii="Times New Roman" w:eastAsia="Times New Roman" w:hAnsi="Times New Roman" w:cs="Times New Roman"/>
          <w:sz w:val="24"/>
          <w:szCs w:val="24"/>
        </w:rPr>
      </w:pPr>
      <w:bookmarkStart w:id="43" w:name="_heading=h.az6d6ysqvqr4" w:colFirst="0" w:colLast="0"/>
      <w:bookmarkEnd w:id="43"/>
      <w:r>
        <w:rPr>
          <w:rFonts w:ascii="Times New Roman" w:eastAsia="Times New Roman" w:hAnsi="Times New Roman" w:cs="Times New Roman"/>
          <w:sz w:val="24"/>
          <w:szCs w:val="24"/>
        </w:rPr>
        <w:t>This paradox has the capacity to put this wh</w:t>
      </w:r>
      <w:r>
        <w:rPr>
          <w:rFonts w:ascii="Times New Roman" w:eastAsia="Times New Roman" w:hAnsi="Times New Roman" w:cs="Times New Roman"/>
          <w:sz w:val="24"/>
          <w:szCs w:val="24"/>
        </w:rPr>
        <w:t>ole dissertation into question, because it may show that an omnipotent God is illogical and by extension, impossible. What can be further discerned from this potential revelation is that Jesus (if he were to be acting under the Holy Trinity with all the po</w:t>
      </w:r>
      <w:r>
        <w:rPr>
          <w:rFonts w:ascii="Times New Roman" w:eastAsia="Times New Roman" w:hAnsi="Times New Roman" w:cs="Times New Roman"/>
          <w:sz w:val="24"/>
          <w:szCs w:val="24"/>
        </w:rPr>
        <w:t>wers of the Heavenly Body that he is alleged to have) could not have the powers to predict Peter’s actions. The idea that he has such powers becomes illogical and can be discarded on a fundamental level, as the idea of omnipotence, the idea that one is all</w:t>
      </w:r>
      <w:r>
        <w:rPr>
          <w:rFonts w:ascii="Times New Roman" w:eastAsia="Times New Roman" w:hAnsi="Times New Roman" w:cs="Times New Roman"/>
          <w:sz w:val="24"/>
          <w:szCs w:val="24"/>
        </w:rPr>
        <w:t xml:space="preserve"> powerful, means that by definition they </w:t>
      </w:r>
      <w:r>
        <w:rPr>
          <w:rFonts w:ascii="Times New Roman" w:eastAsia="Times New Roman" w:hAnsi="Times New Roman" w:cs="Times New Roman"/>
          <w:i/>
          <w:sz w:val="24"/>
          <w:szCs w:val="24"/>
        </w:rPr>
        <w:t xml:space="preserve">must </w:t>
      </w:r>
      <w:r>
        <w:rPr>
          <w:rFonts w:ascii="Times New Roman" w:eastAsia="Times New Roman" w:hAnsi="Times New Roman" w:cs="Times New Roman"/>
          <w:sz w:val="24"/>
          <w:szCs w:val="24"/>
        </w:rPr>
        <w:t xml:space="preserve">also be omniscient, or to have all </w:t>
      </w:r>
      <w:r>
        <w:rPr>
          <w:rFonts w:ascii="Times New Roman" w:eastAsia="Times New Roman" w:hAnsi="Times New Roman" w:cs="Times New Roman"/>
          <w:i/>
          <w:sz w:val="24"/>
          <w:szCs w:val="24"/>
        </w:rPr>
        <w:t>knowledge</w:t>
      </w:r>
      <w:r>
        <w:rPr>
          <w:rFonts w:ascii="Times New Roman" w:eastAsia="Times New Roman" w:hAnsi="Times New Roman" w:cs="Times New Roman"/>
          <w:sz w:val="24"/>
          <w:szCs w:val="24"/>
        </w:rPr>
        <w:t xml:space="preserve">. The question of whether Peter had free will in these stories becomes </w:t>
      </w:r>
      <w:r>
        <w:rPr>
          <w:rFonts w:ascii="Times New Roman" w:eastAsia="Times New Roman" w:hAnsi="Times New Roman" w:cs="Times New Roman"/>
          <w:i/>
          <w:sz w:val="24"/>
          <w:szCs w:val="24"/>
        </w:rPr>
        <w:t>irrelevant</w:t>
      </w:r>
      <w:r>
        <w:rPr>
          <w:rFonts w:ascii="Times New Roman" w:eastAsia="Times New Roman" w:hAnsi="Times New Roman" w:cs="Times New Roman"/>
          <w:sz w:val="24"/>
          <w:szCs w:val="24"/>
        </w:rPr>
        <w:t>. The two pieces that are key to asking the question, which would be the free will of</w:t>
      </w:r>
      <w:r>
        <w:rPr>
          <w:rFonts w:ascii="Times New Roman" w:eastAsia="Times New Roman" w:hAnsi="Times New Roman" w:cs="Times New Roman"/>
          <w:sz w:val="24"/>
          <w:szCs w:val="24"/>
        </w:rPr>
        <w:t xml:space="preserve"> action under the influence of premonition and precognition, as well as the divine knowledge that Jesus possesses, which is now potentially made to be null and void under this paradox. They no longer coalesce due to the idea that Jesus </w:t>
      </w:r>
      <w:r>
        <w:rPr>
          <w:rFonts w:ascii="Times New Roman" w:eastAsia="Times New Roman" w:hAnsi="Times New Roman" w:cs="Times New Roman"/>
          <w:i/>
          <w:sz w:val="24"/>
          <w:szCs w:val="24"/>
        </w:rPr>
        <w:t>may not have such ab</w:t>
      </w:r>
      <w:r>
        <w:rPr>
          <w:rFonts w:ascii="Times New Roman" w:eastAsia="Times New Roman" w:hAnsi="Times New Roman" w:cs="Times New Roman"/>
          <w:i/>
          <w:sz w:val="24"/>
          <w:szCs w:val="24"/>
        </w:rPr>
        <w:t>ilities</w:t>
      </w:r>
      <w:r>
        <w:rPr>
          <w:rFonts w:ascii="Times New Roman" w:eastAsia="Times New Roman" w:hAnsi="Times New Roman" w:cs="Times New Roman"/>
          <w:sz w:val="24"/>
          <w:szCs w:val="24"/>
        </w:rPr>
        <w:t>.</w:t>
      </w:r>
    </w:p>
    <w:p w14:paraId="603FF27F" w14:textId="6D719C7B" w:rsidR="00B15D0A" w:rsidRDefault="009A366F">
      <w:pPr>
        <w:spacing w:line="480" w:lineRule="auto"/>
        <w:jc w:val="both"/>
        <w:rPr>
          <w:rFonts w:ascii="Times New Roman" w:eastAsia="Times New Roman" w:hAnsi="Times New Roman" w:cs="Times New Roman"/>
          <w:sz w:val="24"/>
          <w:szCs w:val="24"/>
        </w:rPr>
      </w:pPr>
      <w:bookmarkStart w:id="44" w:name="_heading=h.9r71gari0swf" w:colFirst="0" w:colLast="0"/>
      <w:bookmarkEnd w:id="44"/>
      <w:r>
        <w:rPr>
          <w:rFonts w:ascii="Times New Roman" w:eastAsia="Times New Roman" w:hAnsi="Times New Roman" w:cs="Times New Roman"/>
          <w:sz w:val="24"/>
          <w:szCs w:val="24"/>
        </w:rPr>
        <w:t xml:space="preserve">There </w:t>
      </w:r>
      <w:r>
        <w:rPr>
          <w:rFonts w:ascii="Times New Roman" w:eastAsia="Times New Roman" w:hAnsi="Times New Roman" w:cs="Times New Roman"/>
          <w:i/>
          <w:sz w:val="24"/>
          <w:szCs w:val="24"/>
        </w:rPr>
        <w:t xml:space="preserve">are </w:t>
      </w:r>
      <w:r>
        <w:rPr>
          <w:rFonts w:ascii="Times New Roman" w:eastAsia="Times New Roman" w:hAnsi="Times New Roman" w:cs="Times New Roman"/>
          <w:sz w:val="24"/>
          <w:szCs w:val="24"/>
        </w:rPr>
        <w:t xml:space="preserve">proposed answers to this paradox, however. The main argument </w:t>
      </w:r>
      <w:r>
        <w:rPr>
          <w:rFonts w:ascii="Times New Roman" w:eastAsia="Times New Roman" w:hAnsi="Times New Roman" w:cs="Times New Roman"/>
          <w:i/>
          <w:sz w:val="24"/>
          <w:szCs w:val="24"/>
        </w:rPr>
        <w:t>against</w:t>
      </w:r>
      <w:r>
        <w:rPr>
          <w:rFonts w:ascii="Times New Roman" w:eastAsia="Times New Roman" w:hAnsi="Times New Roman" w:cs="Times New Roman"/>
          <w:sz w:val="24"/>
          <w:szCs w:val="24"/>
        </w:rPr>
        <w:t xml:space="preserve"> the Paradox of Omnipotence could reside within the sentence “colorless green ideas sleep furiously,”</w:t>
      </w:r>
      <w:r>
        <w:rPr>
          <w:rFonts w:ascii="Times New Roman" w:eastAsia="Times New Roman" w:hAnsi="Times New Roman" w:cs="Times New Roman"/>
          <w:sz w:val="24"/>
          <w:szCs w:val="24"/>
          <w:vertAlign w:val="superscript"/>
        </w:rPr>
        <w:footnoteReference w:id="40"/>
      </w:r>
      <w:r>
        <w:rPr>
          <w:rFonts w:ascii="Times New Roman" w:eastAsia="Times New Roman" w:hAnsi="Times New Roman" w:cs="Times New Roman"/>
          <w:sz w:val="24"/>
          <w:szCs w:val="24"/>
        </w:rPr>
        <w:t xml:space="preserve"> which was devised by Noam Chomsky to be an illustration of a sent</w:t>
      </w:r>
      <w:r>
        <w:rPr>
          <w:rFonts w:ascii="Times New Roman" w:eastAsia="Times New Roman" w:hAnsi="Times New Roman" w:cs="Times New Roman"/>
          <w:sz w:val="24"/>
          <w:szCs w:val="24"/>
        </w:rPr>
        <w:t xml:space="preserve">ence that makes complete sense </w:t>
      </w:r>
      <w:r w:rsidR="008B2C04">
        <w:rPr>
          <w:rFonts w:ascii="Times New Roman" w:eastAsia="Times New Roman" w:hAnsi="Times New Roman" w:cs="Times New Roman"/>
          <w:sz w:val="24"/>
          <w:szCs w:val="24"/>
        </w:rPr>
        <w:t>grammatically but</w:t>
      </w:r>
      <w:r>
        <w:rPr>
          <w:rFonts w:ascii="Times New Roman" w:eastAsia="Times New Roman" w:hAnsi="Times New Roman" w:cs="Times New Roman"/>
          <w:sz w:val="24"/>
          <w:szCs w:val="24"/>
        </w:rPr>
        <w:t xml:space="preserve"> fails on a semantic level. Another way to explain this would be to say that the sentence is structured in such a way that a person with only a fundamental </w:t>
      </w:r>
      <w:r>
        <w:rPr>
          <w:rFonts w:ascii="Times New Roman" w:eastAsia="Times New Roman" w:hAnsi="Times New Roman" w:cs="Times New Roman"/>
          <w:sz w:val="24"/>
          <w:szCs w:val="24"/>
        </w:rPr>
        <w:lastRenderedPageBreak/>
        <w:t>understanding of the linguistics of language who al</w:t>
      </w:r>
      <w:r>
        <w:rPr>
          <w:rFonts w:ascii="Times New Roman" w:eastAsia="Times New Roman" w:hAnsi="Times New Roman" w:cs="Times New Roman"/>
          <w:sz w:val="24"/>
          <w:szCs w:val="24"/>
        </w:rPr>
        <w:t xml:space="preserve">so does not </w:t>
      </w:r>
      <w:r>
        <w:rPr>
          <w:rFonts w:ascii="Times New Roman" w:eastAsia="Times New Roman" w:hAnsi="Times New Roman" w:cs="Times New Roman"/>
          <w:i/>
          <w:sz w:val="24"/>
          <w:szCs w:val="24"/>
        </w:rPr>
        <w:t xml:space="preserve">speak </w:t>
      </w:r>
      <w:r>
        <w:rPr>
          <w:rFonts w:ascii="Times New Roman" w:eastAsia="Times New Roman" w:hAnsi="Times New Roman" w:cs="Times New Roman"/>
          <w:sz w:val="24"/>
          <w:szCs w:val="24"/>
        </w:rPr>
        <w:t xml:space="preserve">the language would find no flaws with the sentence, but someone who understands the language would say that the sentence is nonsensical. The same can be said for the question of ‘Can God create a stone so heavy that even God Himself </w:t>
      </w:r>
      <w:r w:rsidR="008B2C04">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lift?’ Theologians as far back the thirteenth century postulated this theory, with Thomas Aquinas writing in </w:t>
      </w:r>
      <w:r>
        <w:rPr>
          <w:rFonts w:ascii="Times New Roman" w:eastAsia="Times New Roman" w:hAnsi="Times New Roman" w:cs="Times New Roman"/>
          <w:i/>
          <w:sz w:val="24"/>
          <w:szCs w:val="24"/>
        </w:rPr>
        <w:t>Summa Contra Gentiles</w:t>
      </w:r>
      <w:r>
        <w:rPr>
          <w:rFonts w:ascii="Times New Roman" w:eastAsia="Times New Roman" w:hAnsi="Times New Roman" w:cs="Times New Roman"/>
          <w:sz w:val="24"/>
          <w:szCs w:val="24"/>
        </w:rPr>
        <w:t>:</w:t>
      </w:r>
    </w:p>
    <w:p w14:paraId="1046E262" w14:textId="77777777" w:rsidR="00B15D0A" w:rsidRDefault="009A366F">
      <w:pPr>
        <w:spacing w:line="276" w:lineRule="auto"/>
        <w:ind w:left="720"/>
        <w:jc w:val="both"/>
        <w:rPr>
          <w:rFonts w:ascii="Times New Roman" w:eastAsia="Times New Roman" w:hAnsi="Times New Roman" w:cs="Times New Roman"/>
          <w:sz w:val="24"/>
          <w:szCs w:val="24"/>
        </w:rPr>
      </w:pPr>
      <w:bookmarkStart w:id="45" w:name="_heading=h.q55xe9r8cqw8" w:colFirst="0" w:colLast="0"/>
      <w:bookmarkEnd w:id="45"/>
      <w:r>
        <w:rPr>
          <w:rFonts w:ascii="Times New Roman" w:eastAsia="Times New Roman" w:hAnsi="Times New Roman" w:cs="Times New Roman"/>
          <w:sz w:val="24"/>
          <w:szCs w:val="24"/>
        </w:rPr>
        <w:t xml:space="preserve">Since the principles of some sciences, as logic, geometry, and arithmetic, rest on the formal, or abstract, constituents </w:t>
      </w:r>
      <w:r>
        <w:rPr>
          <w:rFonts w:ascii="Times New Roman" w:eastAsia="Times New Roman" w:hAnsi="Times New Roman" w:cs="Times New Roman"/>
          <w:sz w:val="24"/>
          <w:szCs w:val="24"/>
        </w:rPr>
        <w:t>on which the essence of a thing depends, it follows that God cannot effect anything contrary to these principles, as that genus should not be predicable of species, or that lines drawn from the centre of a circle to the circumference should not be equal.</w:t>
      </w:r>
      <w:r>
        <w:rPr>
          <w:rFonts w:ascii="Times New Roman" w:eastAsia="Times New Roman" w:hAnsi="Times New Roman" w:cs="Times New Roman"/>
          <w:sz w:val="24"/>
          <w:szCs w:val="24"/>
          <w:vertAlign w:val="superscript"/>
        </w:rPr>
        <w:footnoteReference w:id="41"/>
      </w:r>
    </w:p>
    <w:p w14:paraId="0A6780D4" w14:textId="77777777" w:rsidR="00B15D0A" w:rsidRDefault="009A366F">
      <w:pPr>
        <w:spacing w:line="480" w:lineRule="auto"/>
        <w:jc w:val="both"/>
        <w:rPr>
          <w:rFonts w:ascii="Times New Roman" w:eastAsia="Times New Roman" w:hAnsi="Times New Roman" w:cs="Times New Roman"/>
          <w:sz w:val="24"/>
          <w:szCs w:val="24"/>
        </w:rPr>
      </w:pPr>
      <w:bookmarkStart w:id="46" w:name="_heading=h.9033k99zp5mx" w:colFirst="0" w:colLast="0"/>
      <w:bookmarkEnd w:id="46"/>
      <w:r>
        <w:rPr>
          <w:rFonts w:ascii="Times New Roman" w:eastAsia="Times New Roman" w:hAnsi="Times New Roman" w:cs="Times New Roman"/>
          <w:sz w:val="24"/>
          <w:szCs w:val="24"/>
        </w:rPr>
        <w:t>It is redundant to ask of a person to create a triangle with more than three sides. The construct of mathematics simply forbids that from ever happening, as any shape that does not have three sides is not a triangle. Even if the language changes to define</w:t>
      </w:r>
      <w:r>
        <w:rPr>
          <w:rFonts w:ascii="Times New Roman" w:eastAsia="Times New Roman" w:hAnsi="Times New Roman" w:cs="Times New Roman"/>
          <w:sz w:val="24"/>
          <w:szCs w:val="24"/>
        </w:rPr>
        <w:t xml:space="preserve"> a triangle to mean a shape that does not have three sides, the new term that defines a three-sided shape is the replacement, and the constant is continued. The same is for the Paradox of Omnipotence. Suggesting that a being that is omnipotent and omniscie</w:t>
      </w:r>
      <w:r>
        <w:rPr>
          <w:rFonts w:ascii="Times New Roman" w:eastAsia="Times New Roman" w:hAnsi="Times New Roman" w:cs="Times New Roman"/>
          <w:sz w:val="24"/>
          <w:szCs w:val="24"/>
        </w:rPr>
        <w:t>nt to create a logical inconsistency breaks down on a semantic level. Much like the way that Chomsky’s nonsense question makes sense theoretically and breaks down on a linguistic basis, the omnipotence paradox falls apart as soon as it is applied logically</w:t>
      </w:r>
      <w:r>
        <w:rPr>
          <w:rFonts w:ascii="Times New Roman" w:eastAsia="Times New Roman" w:hAnsi="Times New Roman" w:cs="Times New Roman"/>
          <w:sz w:val="24"/>
          <w:szCs w:val="24"/>
        </w:rPr>
        <w:t>. God cannot create something that would be an inconsistency in the very logic that God Himself created.</w:t>
      </w:r>
    </w:p>
    <w:p w14:paraId="3FC5F379" w14:textId="4F05EDF9" w:rsidR="00B15D0A" w:rsidRDefault="009A366F">
      <w:pPr>
        <w:spacing w:line="480" w:lineRule="auto"/>
        <w:jc w:val="both"/>
        <w:rPr>
          <w:rFonts w:ascii="Times New Roman" w:eastAsia="Times New Roman" w:hAnsi="Times New Roman" w:cs="Times New Roman"/>
          <w:sz w:val="24"/>
          <w:szCs w:val="24"/>
        </w:rPr>
      </w:pPr>
      <w:bookmarkStart w:id="47" w:name="_heading=h.g9lymtyitoov" w:colFirst="0" w:colLast="0"/>
      <w:bookmarkEnd w:id="47"/>
      <w:r>
        <w:rPr>
          <w:rFonts w:ascii="Times New Roman" w:eastAsia="Times New Roman" w:hAnsi="Times New Roman" w:cs="Times New Roman"/>
          <w:sz w:val="24"/>
          <w:szCs w:val="24"/>
        </w:rPr>
        <w:t xml:space="preserve">A personal conclusion that I draw from all of these complexities around ideas of infinite power in infinite beings is that it is simply </w:t>
      </w:r>
      <w:r>
        <w:rPr>
          <w:rFonts w:ascii="Times New Roman" w:eastAsia="Times New Roman" w:hAnsi="Times New Roman" w:cs="Times New Roman"/>
          <w:i/>
          <w:sz w:val="24"/>
          <w:szCs w:val="24"/>
        </w:rPr>
        <w:t>absurd</w:t>
      </w:r>
      <w:r>
        <w:rPr>
          <w:rFonts w:ascii="Times New Roman" w:eastAsia="Times New Roman" w:hAnsi="Times New Roman" w:cs="Times New Roman"/>
          <w:sz w:val="24"/>
          <w:szCs w:val="24"/>
        </w:rPr>
        <w:t xml:space="preserve"> to even </w:t>
      </w:r>
      <w:r>
        <w:rPr>
          <w:rFonts w:ascii="Times New Roman" w:eastAsia="Times New Roman" w:hAnsi="Times New Roman" w:cs="Times New Roman"/>
          <w:i/>
          <w:sz w:val="24"/>
          <w:szCs w:val="24"/>
        </w:rPr>
        <w:t xml:space="preserve">attempt </w:t>
      </w:r>
      <w:r>
        <w:rPr>
          <w:rFonts w:ascii="Times New Roman" w:eastAsia="Times New Roman" w:hAnsi="Times New Roman" w:cs="Times New Roman"/>
          <w:sz w:val="24"/>
          <w:szCs w:val="24"/>
        </w:rPr>
        <w:t xml:space="preserve">to quantify </w:t>
      </w:r>
      <w:r>
        <w:rPr>
          <w:rFonts w:ascii="Times New Roman" w:eastAsia="Times New Roman" w:hAnsi="Times New Roman" w:cs="Times New Roman"/>
          <w:i/>
          <w:sz w:val="24"/>
          <w:szCs w:val="24"/>
        </w:rPr>
        <w:t xml:space="preserve">any </w:t>
      </w:r>
      <w:r>
        <w:rPr>
          <w:rFonts w:ascii="Times New Roman" w:eastAsia="Times New Roman" w:hAnsi="Times New Roman" w:cs="Times New Roman"/>
          <w:sz w:val="24"/>
          <w:szCs w:val="24"/>
        </w:rPr>
        <w:t xml:space="preserve">being that is perceived to be both omnipotent and omniscient because we as people do not and </w:t>
      </w:r>
      <w:r w:rsidR="008B2C04">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operate in the same space by every definition. You could not explain to a person who lives in two dimensions the way in which the t</w:t>
      </w:r>
      <w:r>
        <w:rPr>
          <w:rFonts w:ascii="Times New Roman" w:eastAsia="Times New Roman" w:hAnsi="Times New Roman" w:cs="Times New Roman"/>
          <w:sz w:val="24"/>
          <w:szCs w:val="24"/>
        </w:rPr>
        <w:t xml:space="preserve">hird dimension works in ways that they would </w:t>
      </w:r>
      <w:r>
        <w:rPr>
          <w:rFonts w:ascii="Times New Roman" w:eastAsia="Times New Roman" w:hAnsi="Times New Roman" w:cs="Times New Roman"/>
          <w:sz w:val="24"/>
          <w:szCs w:val="24"/>
        </w:rPr>
        <w:lastRenderedPageBreak/>
        <w:t>understand, because it is beyond them. This is not to suggest that God is a being on another ‘dimension’ per se, but the same logic is applicable for trying to understand something that by the definitions that w</w:t>
      </w:r>
      <w:r>
        <w:rPr>
          <w:rFonts w:ascii="Times New Roman" w:eastAsia="Times New Roman" w:hAnsi="Times New Roman" w:cs="Times New Roman"/>
          <w:sz w:val="24"/>
          <w:szCs w:val="24"/>
        </w:rPr>
        <w:t xml:space="preserve">e attempt to provide for it would mean that we cannot grasp the full scope of it. </w:t>
      </w:r>
    </w:p>
    <w:p w14:paraId="281A341D" w14:textId="77777777" w:rsidR="00B15D0A" w:rsidRDefault="009A366F">
      <w:pPr>
        <w:spacing w:line="480" w:lineRule="auto"/>
        <w:jc w:val="both"/>
        <w:rPr>
          <w:rFonts w:ascii="Times New Roman" w:eastAsia="Times New Roman" w:hAnsi="Times New Roman" w:cs="Times New Roman"/>
          <w:sz w:val="24"/>
          <w:szCs w:val="24"/>
        </w:rPr>
      </w:pPr>
      <w:bookmarkStart w:id="48" w:name="_heading=h.vs4mk7nu7117" w:colFirst="0" w:colLast="0"/>
      <w:bookmarkEnd w:id="48"/>
      <w:r>
        <w:rPr>
          <w:rFonts w:ascii="Times New Roman" w:eastAsia="Times New Roman" w:hAnsi="Times New Roman" w:cs="Times New Roman"/>
          <w:sz w:val="24"/>
          <w:szCs w:val="24"/>
        </w:rPr>
        <w:t>An illustration that I have designed is that there are two possible ways to define omniscience that can help answer the question that is raised by Peter’s denial, one of which would be logical and give a set answer for Peter’s actions, whilst the other ope</w:t>
      </w:r>
      <w:r>
        <w:rPr>
          <w:rFonts w:ascii="Times New Roman" w:eastAsia="Times New Roman" w:hAnsi="Times New Roman" w:cs="Times New Roman"/>
          <w:sz w:val="24"/>
          <w:szCs w:val="24"/>
        </w:rPr>
        <w:t xml:space="preserve">ns the way for a clearer (but not total by definition) view on the concept of omniscience. For the sake of parlance, I will call these </w:t>
      </w:r>
      <w:r>
        <w:rPr>
          <w:rFonts w:ascii="Times New Roman" w:eastAsia="Times New Roman" w:hAnsi="Times New Roman" w:cs="Times New Roman"/>
          <w:i/>
          <w:sz w:val="24"/>
          <w:szCs w:val="24"/>
        </w:rPr>
        <w:t xml:space="preserve">linear omniscience </w:t>
      </w:r>
      <w:r>
        <w:rPr>
          <w:rFonts w:ascii="Times New Roman" w:eastAsia="Times New Roman" w:hAnsi="Times New Roman" w:cs="Times New Roman"/>
          <w:sz w:val="24"/>
          <w:szCs w:val="24"/>
        </w:rPr>
        <w:t xml:space="preserve">and </w:t>
      </w:r>
      <w:r>
        <w:rPr>
          <w:rFonts w:ascii="Times New Roman" w:eastAsia="Times New Roman" w:hAnsi="Times New Roman" w:cs="Times New Roman"/>
          <w:i/>
          <w:sz w:val="24"/>
          <w:szCs w:val="24"/>
        </w:rPr>
        <w:t xml:space="preserve">true omniscience </w:t>
      </w:r>
      <w:r>
        <w:rPr>
          <w:rFonts w:ascii="Times New Roman" w:eastAsia="Times New Roman" w:hAnsi="Times New Roman" w:cs="Times New Roman"/>
          <w:sz w:val="24"/>
          <w:szCs w:val="24"/>
        </w:rPr>
        <w:t>for the sake of the dissertation.</w:t>
      </w:r>
    </w:p>
    <w:p w14:paraId="104DF722" w14:textId="77777777" w:rsidR="00B15D0A" w:rsidRDefault="009A366F">
      <w:pPr>
        <w:spacing w:line="480" w:lineRule="auto"/>
        <w:jc w:val="both"/>
        <w:rPr>
          <w:rFonts w:ascii="Times New Roman" w:eastAsia="Times New Roman" w:hAnsi="Times New Roman" w:cs="Times New Roman"/>
          <w:sz w:val="24"/>
          <w:szCs w:val="24"/>
        </w:rPr>
      </w:pPr>
      <w:bookmarkStart w:id="49" w:name="_heading=h.pup3ruk7lugj" w:colFirst="0" w:colLast="0"/>
      <w:bookmarkEnd w:id="49"/>
      <w:r>
        <w:rPr>
          <w:rFonts w:ascii="Times New Roman" w:eastAsia="Times New Roman" w:hAnsi="Times New Roman" w:cs="Times New Roman"/>
          <w:sz w:val="24"/>
          <w:szCs w:val="24"/>
        </w:rPr>
        <w:t>Linear omniscience would be a way of thinking o</w:t>
      </w:r>
      <w:r>
        <w:rPr>
          <w:rFonts w:ascii="Times New Roman" w:eastAsia="Times New Roman" w:hAnsi="Times New Roman" w:cs="Times New Roman"/>
          <w:sz w:val="24"/>
          <w:szCs w:val="24"/>
        </w:rPr>
        <w:t>f precognition as God understanding that each action would lead to a certain reaction. Every event leads to the next in a linear progression that cannot be deviated from for it is part of a design that is known by a higher being, in this case God. For exam</w:t>
      </w:r>
      <w:r>
        <w:rPr>
          <w:rFonts w:ascii="Times New Roman" w:eastAsia="Times New Roman" w:hAnsi="Times New Roman" w:cs="Times New Roman"/>
          <w:sz w:val="24"/>
          <w:szCs w:val="24"/>
        </w:rPr>
        <w:t xml:space="preserve">ple, an agent was to pick from two options for a randomly assigned task. They are assigned Option A (oA) and Option B (oB). If this agent were part of a world designed by God that was under </w:t>
      </w:r>
      <w:r>
        <w:rPr>
          <w:rFonts w:ascii="Times New Roman" w:eastAsia="Times New Roman" w:hAnsi="Times New Roman" w:cs="Times New Roman"/>
          <w:i/>
          <w:sz w:val="24"/>
          <w:szCs w:val="24"/>
        </w:rPr>
        <w:t>linear omniscience</w:t>
      </w:r>
      <w:r>
        <w:rPr>
          <w:rFonts w:ascii="Times New Roman" w:eastAsia="Times New Roman" w:hAnsi="Times New Roman" w:cs="Times New Roman"/>
          <w:sz w:val="24"/>
          <w:szCs w:val="24"/>
        </w:rPr>
        <w:t>, then the choice is irrelevant, as God would al</w:t>
      </w:r>
      <w:r>
        <w:rPr>
          <w:rFonts w:ascii="Times New Roman" w:eastAsia="Times New Roman" w:hAnsi="Times New Roman" w:cs="Times New Roman"/>
          <w:sz w:val="24"/>
          <w:szCs w:val="24"/>
        </w:rPr>
        <w:t>ready know which of the options the agent would choose. The agent may spend a remarkably long time sure that they would choose oB, but invariably and inevitably, when the time comes, the agent would choose oA. This can be applied to the choice that Peter w</w:t>
      </w:r>
      <w:r>
        <w:rPr>
          <w:rFonts w:ascii="Times New Roman" w:eastAsia="Times New Roman" w:hAnsi="Times New Roman" w:cs="Times New Roman"/>
          <w:sz w:val="24"/>
          <w:szCs w:val="24"/>
        </w:rPr>
        <w:t>as faced with in the Gospels. Peter was presented with the choice of either denying his Lord, as was told would happen by Jesus himself, or to not deny his Lord, as he was adamant would happen when presented with the precognition of Christ. The denial bein</w:t>
      </w:r>
      <w:r>
        <w:rPr>
          <w:rFonts w:ascii="Times New Roman" w:eastAsia="Times New Roman" w:hAnsi="Times New Roman" w:cs="Times New Roman"/>
          <w:sz w:val="24"/>
          <w:szCs w:val="24"/>
        </w:rPr>
        <w:t>g oA and the refusal being oB. The story ends with Peter choosing to perform oA, against his own wishes which he outlined himself. He acted in a linear way which was predetermined by a higher power despite his protests. Each action he took was always going</w:t>
      </w:r>
      <w:r>
        <w:rPr>
          <w:rFonts w:ascii="Times New Roman" w:eastAsia="Times New Roman" w:hAnsi="Times New Roman" w:cs="Times New Roman"/>
          <w:sz w:val="24"/>
          <w:szCs w:val="24"/>
        </w:rPr>
        <w:t xml:space="preserve"> to happen in the way that it would. Free will does not exist under these parameters. Existence continues on a series of events that go from </w:t>
      </w:r>
      <w:r>
        <w:rPr>
          <w:rFonts w:ascii="Times New Roman" w:eastAsia="Times New Roman" w:hAnsi="Times New Roman" w:cs="Times New Roman"/>
          <w:sz w:val="24"/>
          <w:szCs w:val="24"/>
        </w:rPr>
        <w:lastRenderedPageBreak/>
        <w:t>one to another without deviation or change. They were always going to happen, will inevitably happen, and will alwa</w:t>
      </w:r>
      <w:r>
        <w:rPr>
          <w:rFonts w:ascii="Times New Roman" w:eastAsia="Times New Roman" w:hAnsi="Times New Roman" w:cs="Times New Roman"/>
          <w:sz w:val="24"/>
          <w:szCs w:val="24"/>
        </w:rPr>
        <w:t>ys have happened.</w:t>
      </w:r>
    </w:p>
    <w:p w14:paraId="1A0E887A" w14:textId="77777777" w:rsidR="00B15D0A" w:rsidRDefault="009A366F">
      <w:pPr>
        <w:spacing w:line="480" w:lineRule="auto"/>
        <w:jc w:val="both"/>
        <w:rPr>
          <w:rFonts w:ascii="Times New Roman" w:eastAsia="Times New Roman" w:hAnsi="Times New Roman" w:cs="Times New Roman"/>
          <w:sz w:val="24"/>
          <w:szCs w:val="24"/>
        </w:rPr>
      </w:pPr>
      <w:bookmarkStart w:id="50" w:name="_heading=h.bsuyl2udjkd9" w:colFirst="0" w:colLast="0"/>
      <w:bookmarkEnd w:id="50"/>
      <w:r>
        <w:rPr>
          <w:rFonts w:ascii="Times New Roman" w:eastAsia="Times New Roman" w:hAnsi="Times New Roman" w:cs="Times New Roman"/>
          <w:sz w:val="24"/>
          <w:szCs w:val="24"/>
        </w:rPr>
        <w:t xml:space="preserve">I propose that there is an alternative, however, that would both suggest that God has an unlimited power </w:t>
      </w:r>
      <w:r>
        <w:rPr>
          <w:rFonts w:ascii="Times New Roman" w:eastAsia="Times New Roman" w:hAnsi="Times New Roman" w:cs="Times New Roman"/>
          <w:i/>
          <w:sz w:val="24"/>
          <w:szCs w:val="24"/>
        </w:rPr>
        <w:t xml:space="preserve">and </w:t>
      </w:r>
      <w:r>
        <w:rPr>
          <w:rFonts w:ascii="Times New Roman" w:eastAsia="Times New Roman" w:hAnsi="Times New Roman" w:cs="Times New Roman"/>
          <w:sz w:val="24"/>
          <w:szCs w:val="24"/>
        </w:rPr>
        <w:t xml:space="preserve">maintain this notion of free will. This is </w:t>
      </w:r>
      <w:r>
        <w:rPr>
          <w:rFonts w:ascii="Times New Roman" w:eastAsia="Times New Roman" w:hAnsi="Times New Roman" w:cs="Times New Roman"/>
          <w:i/>
          <w:sz w:val="24"/>
          <w:szCs w:val="24"/>
        </w:rPr>
        <w:t xml:space="preserve">true </w:t>
      </w:r>
      <w:r>
        <w:rPr>
          <w:rFonts w:ascii="Times New Roman" w:eastAsia="Times New Roman" w:hAnsi="Times New Roman" w:cs="Times New Roman"/>
          <w:sz w:val="24"/>
          <w:szCs w:val="24"/>
        </w:rPr>
        <w:t xml:space="preserve">omniscience, which is not to say that it is true in the sense that it is </w:t>
      </w:r>
      <w:r>
        <w:rPr>
          <w:rFonts w:ascii="Times New Roman" w:eastAsia="Times New Roman" w:hAnsi="Times New Roman" w:cs="Times New Roman"/>
          <w:i/>
          <w:sz w:val="24"/>
          <w:szCs w:val="24"/>
        </w:rPr>
        <w:t>correct</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mind, but rather that it is true by way of it being all-encompassing to all possible events. Taking the previous breakdown of the agent and their options, God would know which of the options the agent will make, and it is invariable and immovable. This is</w:t>
      </w:r>
      <w:r>
        <w:rPr>
          <w:rFonts w:ascii="Times New Roman" w:eastAsia="Times New Roman" w:hAnsi="Times New Roman" w:cs="Times New Roman"/>
          <w:sz w:val="24"/>
          <w:szCs w:val="24"/>
        </w:rPr>
        <w:t xml:space="preserve"> knowledge that God would have if God were to be omniscient (as well as being omnipotent). Even so, would it not be pertinent to suggest that </w:t>
      </w:r>
      <w:r>
        <w:rPr>
          <w:rFonts w:ascii="Times New Roman" w:eastAsia="Times New Roman" w:hAnsi="Times New Roman" w:cs="Times New Roman"/>
          <w:i/>
          <w:sz w:val="24"/>
          <w:szCs w:val="24"/>
        </w:rPr>
        <w:t xml:space="preserve">if </w:t>
      </w:r>
      <w:r>
        <w:rPr>
          <w:rFonts w:ascii="Times New Roman" w:eastAsia="Times New Roman" w:hAnsi="Times New Roman" w:cs="Times New Roman"/>
          <w:sz w:val="24"/>
          <w:szCs w:val="24"/>
        </w:rPr>
        <w:t xml:space="preserve">God were to be omniscient and to have all knowledge that could ever exist, that God would </w:t>
      </w:r>
      <w:r>
        <w:rPr>
          <w:rFonts w:ascii="Times New Roman" w:eastAsia="Times New Roman" w:hAnsi="Times New Roman" w:cs="Times New Roman"/>
          <w:i/>
          <w:sz w:val="24"/>
          <w:szCs w:val="24"/>
        </w:rPr>
        <w:t>also have the knowled</w:t>
      </w:r>
      <w:r>
        <w:rPr>
          <w:rFonts w:ascii="Times New Roman" w:eastAsia="Times New Roman" w:hAnsi="Times New Roman" w:cs="Times New Roman"/>
          <w:i/>
          <w:sz w:val="24"/>
          <w:szCs w:val="24"/>
        </w:rPr>
        <w:t>ge of what would happen if the agent were to choose the other option (oB)</w:t>
      </w:r>
      <w:r>
        <w:rPr>
          <w:rFonts w:ascii="Times New Roman" w:eastAsia="Times New Roman" w:hAnsi="Times New Roman" w:cs="Times New Roman"/>
          <w:sz w:val="24"/>
          <w:szCs w:val="24"/>
        </w:rPr>
        <w:t>? If the answer to this question is yes, then somewhere there exists knowledge of the events that occur should the agent choose oB. If the answer were to be no, then would God be trul</w:t>
      </w:r>
      <w:r>
        <w:rPr>
          <w:rFonts w:ascii="Times New Roman" w:eastAsia="Times New Roman" w:hAnsi="Times New Roman" w:cs="Times New Roman"/>
          <w:sz w:val="24"/>
          <w:szCs w:val="24"/>
        </w:rPr>
        <w:t xml:space="preserve">y omniscient? My answer is that God </w:t>
      </w:r>
      <w:r>
        <w:rPr>
          <w:rFonts w:ascii="Times New Roman" w:eastAsia="Times New Roman" w:hAnsi="Times New Roman" w:cs="Times New Roman"/>
          <w:i/>
          <w:sz w:val="24"/>
          <w:szCs w:val="24"/>
        </w:rPr>
        <w:t>must</w:t>
      </w:r>
      <w:r>
        <w:rPr>
          <w:rFonts w:ascii="Times New Roman" w:eastAsia="Times New Roman" w:hAnsi="Times New Roman" w:cs="Times New Roman"/>
          <w:sz w:val="24"/>
          <w:szCs w:val="24"/>
        </w:rPr>
        <w:t xml:space="preserve"> have knowledge of the could-be events that are not chosen if God were to be considered to be an omnipotent, omniscient being. From this, a conclusion can be reached that God </w:t>
      </w:r>
      <w:r>
        <w:rPr>
          <w:rFonts w:ascii="Times New Roman" w:eastAsia="Times New Roman" w:hAnsi="Times New Roman" w:cs="Times New Roman"/>
          <w:i/>
          <w:sz w:val="24"/>
          <w:szCs w:val="24"/>
        </w:rPr>
        <w:t xml:space="preserve">can </w:t>
      </w:r>
      <w:r>
        <w:rPr>
          <w:rFonts w:ascii="Times New Roman" w:eastAsia="Times New Roman" w:hAnsi="Times New Roman" w:cs="Times New Roman"/>
          <w:sz w:val="24"/>
          <w:szCs w:val="24"/>
        </w:rPr>
        <w:t>be omniscient in a world wherein peop</w:t>
      </w:r>
      <w:r>
        <w:rPr>
          <w:rFonts w:ascii="Times New Roman" w:eastAsia="Times New Roman" w:hAnsi="Times New Roman" w:cs="Times New Roman"/>
          <w:sz w:val="24"/>
          <w:szCs w:val="24"/>
        </w:rPr>
        <w:t>le have free will.</w:t>
      </w:r>
    </w:p>
    <w:p w14:paraId="3A9681D8" w14:textId="77777777" w:rsidR="00B15D0A" w:rsidRDefault="009A366F">
      <w:pPr>
        <w:spacing w:line="480" w:lineRule="auto"/>
        <w:jc w:val="both"/>
        <w:rPr>
          <w:rFonts w:ascii="Times New Roman" w:eastAsia="Times New Roman" w:hAnsi="Times New Roman" w:cs="Times New Roman"/>
          <w:sz w:val="24"/>
          <w:szCs w:val="24"/>
        </w:rPr>
      </w:pPr>
      <w:bookmarkStart w:id="51" w:name="_heading=h.a1bikyr0bgnh" w:colFirst="0" w:colLast="0"/>
      <w:bookmarkEnd w:id="51"/>
      <w:r>
        <w:rPr>
          <w:rFonts w:ascii="Times New Roman" w:eastAsia="Times New Roman" w:hAnsi="Times New Roman" w:cs="Times New Roman"/>
          <w:sz w:val="24"/>
          <w:szCs w:val="24"/>
        </w:rPr>
        <w:t xml:space="preserve">There is an issue with this though, with the idea that God knows which option the agent will take, as it is necessary for God to know to actuate God’s omniscience and omnipotence, alongside the idea that God could know what </w:t>
      </w:r>
      <w:r>
        <w:rPr>
          <w:rFonts w:ascii="Times New Roman" w:eastAsia="Times New Roman" w:hAnsi="Times New Roman" w:cs="Times New Roman"/>
          <w:i/>
          <w:sz w:val="24"/>
          <w:szCs w:val="24"/>
        </w:rPr>
        <w:t xml:space="preserve">would </w:t>
      </w:r>
      <w:r>
        <w:rPr>
          <w:rFonts w:ascii="Times New Roman" w:eastAsia="Times New Roman" w:hAnsi="Times New Roman" w:cs="Times New Roman"/>
          <w:sz w:val="24"/>
          <w:szCs w:val="24"/>
        </w:rPr>
        <w:t xml:space="preserve">happen </w:t>
      </w:r>
      <w:r>
        <w:rPr>
          <w:rFonts w:ascii="Times New Roman" w:eastAsia="Times New Roman" w:hAnsi="Times New Roman" w:cs="Times New Roman"/>
          <w:sz w:val="24"/>
          <w:szCs w:val="24"/>
        </w:rPr>
        <w:t>if any other option were to be chosen. How can foreknowledge exist if the knowledge of the other option is also there? If God were to know all possible outcomes in an equal manner, how can God equate which would happen? To answer this, I defer back to a pr</w:t>
      </w:r>
      <w:r>
        <w:rPr>
          <w:rFonts w:ascii="Times New Roman" w:eastAsia="Times New Roman" w:hAnsi="Times New Roman" w:cs="Times New Roman"/>
          <w:sz w:val="24"/>
          <w:szCs w:val="24"/>
        </w:rPr>
        <w:t>evious point</w:t>
      </w:r>
      <w:r>
        <w:rPr>
          <w:rFonts w:ascii="Times New Roman" w:eastAsia="Times New Roman" w:hAnsi="Times New Roman" w:cs="Times New Roman"/>
          <w:sz w:val="24"/>
          <w:szCs w:val="24"/>
          <w:vertAlign w:val="superscript"/>
        </w:rPr>
        <w:footnoteReference w:id="42"/>
      </w:r>
      <w:r>
        <w:rPr>
          <w:rFonts w:ascii="Times New Roman" w:eastAsia="Times New Roman" w:hAnsi="Times New Roman" w:cs="Times New Roman"/>
          <w:sz w:val="24"/>
          <w:szCs w:val="24"/>
        </w:rPr>
        <w:t xml:space="preserve"> about how equating a being (that being God) that is all-powerful being is nothing short of pointless, as we cannot possess the </w:t>
      </w:r>
      <w:r>
        <w:rPr>
          <w:rFonts w:ascii="Times New Roman" w:eastAsia="Times New Roman" w:hAnsi="Times New Roman" w:cs="Times New Roman"/>
          <w:sz w:val="24"/>
          <w:szCs w:val="24"/>
        </w:rPr>
        <w:lastRenderedPageBreak/>
        <w:t>knowledge that would be the case. The idea of true omniscience may seem to be self-contradictory by its own nature</w:t>
      </w:r>
      <w:r>
        <w:rPr>
          <w:rFonts w:ascii="Times New Roman" w:eastAsia="Times New Roman" w:hAnsi="Times New Roman" w:cs="Times New Roman"/>
          <w:sz w:val="24"/>
          <w:szCs w:val="24"/>
        </w:rPr>
        <w:t xml:space="preserve">, but I argue that it is the most that could ever hope to understand the machinations of an omniscient being. I posit that it is entirely possible for God to know the results of all outcomes for all events whilst simultaneously knowing </w:t>
      </w:r>
      <w:r>
        <w:rPr>
          <w:rFonts w:ascii="Times New Roman" w:eastAsia="Times New Roman" w:hAnsi="Times New Roman" w:cs="Times New Roman"/>
          <w:i/>
          <w:sz w:val="24"/>
          <w:szCs w:val="24"/>
        </w:rPr>
        <w:t xml:space="preserve">which </w:t>
      </w:r>
      <w:r>
        <w:rPr>
          <w:rFonts w:ascii="Times New Roman" w:eastAsia="Times New Roman" w:hAnsi="Times New Roman" w:cs="Times New Roman"/>
          <w:sz w:val="24"/>
          <w:szCs w:val="24"/>
        </w:rPr>
        <w:t>outcome will h</w:t>
      </w:r>
      <w:r>
        <w:rPr>
          <w:rFonts w:ascii="Times New Roman" w:eastAsia="Times New Roman" w:hAnsi="Times New Roman" w:cs="Times New Roman"/>
          <w:sz w:val="24"/>
          <w:szCs w:val="24"/>
        </w:rPr>
        <w:t xml:space="preserve">appen, but I concede the notion that we can understand </w:t>
      </w:r>
      <w:r>
        <w:rPr>
          <w:rFonts w:ascii="Times New Roman" w:eastAsia="Times New Roman" w:hAnsi="Times New Roman" w:cs="Times New Roman"/>
          <w:i/>
          <w:sz w:val="24"/>
          <w:szCs w:val="24"/>
        </w:rPr>
        <w:t xml:space="preserve">how </w:t>
      </w:r>
      <w:r>
        <w:rPr>
          <w:rFonts w:ascii="Times New Roman" w:eastAsia="Times New Roman" w:hAnsi="Times New Roman" w:cs="Times New Roman"/>
          <w:sz w:val="24"/>
          <w:szCs w:val="24"/>
        </w:rPr>
        <w:t xml:space="preserve">that may be possible, but I submit that </w:t>
      </w:r>
      <w:r>
        <w:rPr>
          <w:rFonts w:ascii="Times New Roman" w:eastAsia="Times New Roman" w:hAnsi="Times New Roman" w:cs="Times New Roman"/>
          <w:i/>
          <w:sz w:val="24"/>
          <w:szCs w:val="24"/>
        </w:rPr>
        <w:t>that</w:t>
      </w:r>
      <w:r>
        <w:rPr>
          <w:rFonts w:ascii="Times New Roman" w:eastAsia="Times New Roman" w:hAnsi="Times New Roman" w:cs="Times New Roman"/>
          <w:sz w:val="24"/>
          <w:szCs w:val="24"/>
        </w:rPr>
        <w:t xml:space="preserve"> is impossible instead. As Gregory Ganssle states in his own journal about the complications of divine knowledge and omniscience, “If it is possible for </w:t>
      </w:r>
      <w:r>
        <w:rPr>
          <w:rFonts w:ascii="Times New Roman" w:eastAsia="Times New Roman" w:hAnsi="Times New Roman" w:cs="Times New Roman"/>
          <w:sz w:val="24"/>
          <w:szCs w:val="24"/>
        </w:rPr>
        <w:t>human beings to know anything at all in this way, at most we will have intuitive knowledge of very few things at a time.”</w:t>
      </w:r>
      <w:r>
        <w:rPr>
          <w:rFonts w:ascii="Times New Roman" w:eastAsia="Times New Roman" w:hAnsi="Times New Roman" w:cs="Times New Roman"/>
          <w:sz w:val="24"/>
          <w:szCs w:val="24"/>
          <w:vertAlign w:val="superscript"/>
        </w:rPr>
        <w:footnoteReference w:id="43"/>
      </w:r>
    </w:p>
    <w:p w14:paraId="3B0006EC" w14:textId="77777777" w:rsidR="00B15D0A" w:rsidRDefault="009A366F">
      <w:pPr>
        <w:spacing w:line="480" w:lineRule="auto"/>
        <w:jc w:val="both"/>
        <w:rPr>
          <w:rFonts w:ascii="Times New Roman" w:eastAsia="Times New Roman" w:hAnsi="Times New Roman" w:cs="Times New Roman"/>
          <w:sz w:val="24"/>
          <w:szCs w:val="24"/>
        </w:rPr>
      </w:pPr>
      <w:bookmarkStart w:id="52" w:name="_heading=h.bsbqjfvaftto" w:colFirst="0" w:colLast="0"/>
      <w:bookmarkEnd w:id="52"/>
      <w:r>
        <w:rPr>
          <w:rFonts w:ascii="Times New Roman" w:eastAsia="Times New Roman" w:hAnsi="Times New Roman" w:cs="Times New Roman"/>
          <w:sz w:val="24"/>
          <w:szCs w:val="24"/>
        </w:rPr>
        <w:t xml:space="preserve">There </w:t>
      </w:r>
      <w:r>
        <w:rPr>
          <w:rFonts w:ascii="Times New Roman" w:eastAsia="Times New Roman" w:hAnsi="Times New Roman" w:cs="Times New Roman"/>
          <w:i/>
          <w:sz w:val="24"/>
          <w:szCs w:val="24"/>
        </w:rPr>
        <w:t xml:space="preserve">is </w:t>
      </w:r>
      <w:r>
        <w:rPr>
          <w:rFonts w:ascii="Times New Roman" w:eastAsia="Times New Roman" w:hAnsi="Times New Roman" w:cs="Times New Roman"/>
          <w:sz w:val="24"/>
          <w:szCs w:val="24"/>
        </w:rPr>
        <w:t>academic research on this matter that uses Peter’s denial as its example. William Lane Craig uses it when he writes about w</w:t>
      </w:r>
      <w:r>
        <w:rPr>
          <w:rFonts w:ascii="Times New Roman" w:eastAsia="Times New Roman" w:hAnsi="Times New Roman" w:cs="Times New Roman"/>
          <w:sz w:val="24"/>
          <w:szCs w:val="24"/>
        </w:rPr>
        <w:t>hat he calls ‘</w:t>
      </w:r>
      <w:r>
        <w:rPr>
          <w:rFonts w:ascii="Times New Roman" w:eastAsia="Times New Roman" w:hAnsi="Times New Roman" w:cs="Times New Roman"/>
          <w:i/>
          <w:sz w:val="24"/>
          <w:szCs w:val="24"/>
        </w:rPr>
        <w:t>middle knowledge’</w:t>
      </w:r>
      <w:r>
        <w:rPr>
          <w:rFonts w:ascii="Times New Roman" w:eastAsia="Times New Roman" w:hAnsi="Times New Roman" w:cs="Times New Roman"/>
          <w:sz w:val="24"/>
          <w:szCs w:val="24"/>
        </w:rPr>
        <w:t xml:space="preserve">. Middle knowledge (which could be seen as being very similar to the priorly described ‘true omniscience’) is something that is defined by Kenneth Keathley by him writing, “So God's middle knowledge contains the knowledge of </w:t>
      </w:r>
      <w:r>
        <w:rPr>
          <w:rFonts w:ascii="Times New Roman" w:eastAsia="Times New Roman" w:hAnsi="Times New Roman" w:cs="Times New Roman"/>
          <w:sz w:val="24"/>
          <w:szCs w:val="24"/>
        </w:rPr>
        <w:t>the choices and decisions made by free creatures, but the source of that knowledge is not the creature. Rather the source is God Himself.”</w:t>
      </w:r>
      <w:r>
        <w:rPr>
          <w:rFonts w:ascii="Times New Roman" w:eastAsia="Times New Roman" w:hAnsi="Times New Roman" w:cs="Times New Roman"/>
          <w:sz w:val="24"/>
          <w:szCs w:val="24"/>
          <w:vertAlign w:val="superscript"/>
        </w:rPr>
        <w:footnoteReference w:id="44"/>
      </w:r>
    </w:p>
    <w:p w14:paraId="0B166235" w14:textId="77777777" w:rsidR="00B15D0A" w:rsidRDefault="009A366F">
      <w:pPr>
        <w:spacing w:line="480" w:lineRule="auto"/>
        <w:jc w:val="both"/>
        <w:rPr>
          <w:rFonts w:ascii="Times New Roman" w:eastAsia="Times New Roman" w:hAnsi="Times New Roman" w:cs="Times New Roman"/>
          <w:sz w:val="24"/>
          <w:szCs w:val="24"/>
        </w:rPr>
      </w:pPr>
      <w:bookmarkStart w:id="53" w:name="_heading=h.yxt7rkxgy0uv" w:colFirst="0" w:colLast="0"/>
      <w:bookmarkEnd w:id="53"/>
      <w:r>
        <w:rPr>
          <w:rFonts w:ascii="Times New Roman" w:eastAsia="Times New Roman" w:hAnsi="Times New Roman" w:cs="Times New Roman"/>
          <w:sz w:val="24"/>
          <w:szCs w:val="24"/>
        </w:rPr>
        <w:t>Craig uses the story of Peter’s denial of Jesus by writing:</w:t>
      </w:r>
    </w:p>
    <w:p w14:paraId="74C22FE4" w14:textId="77777777" w:rsidR="00B15D0A" w:rsidRDefault="009A366F">
      <w:pPr>
        <w:spacing w:line="276" w:lineRule="auto"/>
        <w:ind w:left="720"/>
        <w:jc w:val="both"/>
        <w:rPr>
          <w:rFonts w:ascii="Times New Roman" w:eastAsia="Times New Roman" w:hAnsi="Times New Roman" w:cs="Times New Roman"/>
          <w:sz w:val="24"/>
          <w:szCs w:val="24"/>
        </w:rPr>
      </w:pPr>
      <w:bookmarkStart w:id="54" w:name="_heading=h.3gdr8klt86c" w:colFirst="0" w:colLast="0"/>
      <w:bookmarkEnd w:id="54"/>
      <w:r>
        <w:rPr>
          <w:rFonts w:ascii="Times New Roman" w:eastAsia="Times New Roman" w:hAnsi="Times New Roman" w:cs="Times New Roman"/>
          <w:sz w:val="24"/>
          <w:szCs w:val="24"/>
        </w:rPr>
        <w:t xml:space="preserve">But now in this second moment he knows what Peter would in fact freely choose to do under such circumstances. This is not because Peter would be causally determined by the circumstances to act in </w:t>
      </w:r>
      <w:r>
        <w:rPr>
          <w:rFonts w:ascii="Times New Roman" w:eastAsia="Times New Roman" w:hAnsi="Times New Roman" w:cs="Times New Roman"/>
          <w:sz w:val="24"/>
          <w:szCs w:val="24"/>
        </w:rPr>
        <w:t>this way. No, Peter is entirely free, and under the same circumstances he could choose to act in another way. But God knows which way Peter would freely choose.</w:t>
      </w:r>
      <w:r>
        <w:rPr>
          <w:rFonts w:ascii="Times New Roman" w:eastAsia="Times New Roman" w:hAnsi="Times New Roman" w:cs="Times New Roman"/>
          <w:sz w:val="24"/>
          <w:szCs w:val="24"/>
          <w:vertAlign w:val="superscript"/>
        </w:rPr>
        <w:footnoteReference w:id="45"/>
      </w:r>
    </w:p>
    <w:p w14:paraId="58B43736" w14:textId="3D0F3F7B" w:rsidR="00B15D0A" w:rsidRDefault="009A366F">
      <w:pPr>
        <w:spacing w:line="480" w:lineRule="auto"/>
        <w:jc w:val="both"/>
        <w:rPr>
          <w:rFonts w:ascii="Times New Roman" w:eastAsia="Times New Roman" w:hAnsi="Times New Roman" w:cs="Times New Roman"/>
          <w:sz w:val="24"/>
          <w:szCs w:val="24"/>
        </w:rPr>
      </w:pPr>
      <w:bookmarkStart w:id="55" w:name="_heading=h.ironoai04m5r" w:colFirst="0" w:colLast="0"/>
      <w:bookmarkEnd w:id="55"/>
      <w:r>
        <w:rPr>
          <w:rFonts w:ascii="Times New Roman" w:eastAsia="Times New Roman" w:hAnsi="Times New Roman" w:cs="Times New Roman"/>
          <w:sz w:val="24"/>
          <w:szCs w:val="24"/>
        </w:rPr>
        <w:t>Craig and Keathley here are modern Molinists, or to put it more simply, people who believe in</w:t>
      </w:r>
      <w:r>
        <w:rPr>
          <w:rFonts w:ascii="Times New Roman" w:eastAsia="Times New Roman" w:hAnsi="Times New Roman" w:cs="Times New Roman"/>
          <w:sz w:val="24"/>
          <w:szCs w:val="24"/>
        </w:rPr>
        <w:t xml:space="preserve"> the theological concept of free will coexisting with an all-powerful God, with their movement </w:t>
      </w:r>
      <w:r>
        <w:rPr>
          <w:rFonts w:ascii="Times New Roman" w:eastAsia="Times New Roman" w:hAnsi="Times New Roman" w:cs="Times New Roman"/>
          <w:sz w:val="24"/>
          <w:szCs w:val="24"/>
        </w:rPr>
        <w:lastRenderedPageBreak/>
        <w:t>being named after the sixteenth century theologian Luis de Molina. The beliefs that they have match the ones that I posited earlier, which shows that it is evide</w:t>
      </w:r>
      <w:r>
        <w:rPr>
          <w:rFonts w:ascii="Times New Roman" w:eastAsia="Times New Roman" w:hAnsi="Times New Roman" w:cs="Times New Roman"/>
          <w:sz w:val="24"/>
          <w:szCs w:val="24"/>
        </w:rPr>
        <w:t>nce to suggest that the ideas of linear and true omniscience are viable ways in which a person can think about the consequences of an omnipotent and omniscient God in a world that is free to those who live in it. It is entirely possible (but admittedly unp</w:t>
      </w:r>
      <w:r>
        <w:rPr>
          <w:rFonts w:ascii="Times New Roman" w:eastAsia="Times New Roman" w:hAnsi="Times New Roman" w:cs="Times New Roman"/>
          <w:sz w:val="24"/>
          <w:szCs w:val="24"/>
        </w:rPr>
        <w:t xml:space="preserve">roven and </w:t>
      </w:r>
      <w:r>
        <w:rPr>
          <w:rFonts w:ascii="Times New Roman" w:eastAsia="Times New Roman" w:hAnsi="Times New Roman" w:cs="Times New Roman"/>
          <w:i/>
          <w:sz w:val="24"/>
          <w:szCs w:val="24"/>
        </w:rPr>
        <w:t xml:space="preserve">unable </w:t>
      </w:r>
      <w:r>
        <w:rPr>
          <w:rFonts w:ascii="Times New Roman" w:eastAsia="Times New Roman" w:hAnsi="Times New Roman" w:cs="Times New Roman"/>
          <w:sz w:val="24"/>
          <w:szCs w:val="24"/>
        </w:rPr>
        <w:t xml:space="preserve">to be proven) that God can be </w:t>
      </w:r>
      <w:r w:rsidR="008B2C04">
        <w:rPr>
          <w:rFonts w:ascii="Times New Roman" w:eastAsia="Times New Roman" w:hAnsi="Times New Roman" w:cs="Times New Roman"/>
          <w:sz w:val="24"/>
          <w:szCs w:val="24"/>
        </w:rPr>
        <w:t>omniscient,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and </w:t>
      </w:r>
      <w:r>
        <w:rPr>
          <w:rFonts w:ascii="Times New Roman" w:eastAsia="Times New Roman" w:hAnsi="Times New Roman" w:cs="Times New Roman"/>
          <w:sz w:val="24"/>
          <w:szCs w:val="24"/>
        </w:rPr>
        <w:t>everybody be free simultaneously, if one were to subscribe to these beliefs. Under Molinist views, Peter had free will in his actions. God knew which action he would take, but that does not detr</w:t>
      </w:r>
      <w:r>
        <w:rPr>
          <w:rFonts w:ascii="Times New Roman" w:eastAsia="Times New Roman" w:hAnsi="Times New Roman" w:cs="Times New Roman"/>
          <w:sz w:val="24"/>
          <w:szCs w:val="24"/>
        </w:rPr>
        <w:t>act from the freedom that Peter displayed, if the story is to be taken as a literal account.</w:t>
      </w:r>
    </w:p>
    <w:p w14:paraId="14B6F65A" w14:textId="77777777" w:rsidR="00B15D0A" w:rsidRDefault="009A366F">
      <w:pPr>
        <w:spacing w:line="455" w:lineRule="auto"/>
        <w:jc w:val="center"/>
        <w:rPr>
          <w:rFonts w:ascii="Times New Roman" w:eastAsia="Times New Roman" w:hAnsi="Times New Roman" w:cs="Times New Roman"/>
          <w:b/>
          <w:sz w:val="24"/>
          <w:szCs w:val="24"/>
        </w:rPr>
      </w:pPr>
      <w:bookmarkStart w:id="56" w:name="_heading=h.7pk8qd2mg9e4" w:colFirst="0" w:colLast="0"/>
      <w:bookmarkEnd w:id="56"/>
      <w:r>
        <w:br w:type="page"/>
      </w:r>
    </w:p>
    <w:p w14:paraId="4A15851B" w14:textId="77777777" w:rsidR="00B15D0A" w:rsidRDefault="009A366F">
      <w:pPr>
        <w:spacing w:line="455" w:lineRule="auto"/>
        <w:jc w:val="center"/>
        <w:rPr>
          <w:rFonts w:ascii="Times New Roman" w:eastAsia="Times New Roman" w:hAnsi="Times New Roman" w:cs="Times New Roman"/>
          <w:b/>
          <w:sz w:val="28"/>
          <w:szCs w:val="28"/>
        </w:rPr>
      </w:pPr>
      <w:bookmarkStart w:id="57" w:name="_heading=h.mmbfzff9n2rn" w:colFirst="0" w:colLast="0"/>
      <w:bookmarkEnd w:id="57"/>
      <w:r>
        <w:rPr>
          <w:rFonts w:ascii="Times New Roman" w:eastAsia="Times New Roman" w:hAnsi="Times New Roman" w:cs="Times New Roman"/>
          <w:b/>
          <w:sz w:val="28"/>
          <w:szCs w:val="28"/>
        </w:rPr>
        <w:lastRenderedPageBreak/>
        <w:t>Conclusion</w:t>
      </w:r>
    </w:p>
    <w:p w14:paraId="36A02F4E" w14:textId="21CEFDFB" w:rsidR="00B15D0A" w:rsidRDefault="009A366F">
      <w:pPr>
        <w:spacing w:line="455" w:lineRule="auto"/>
        <w:jc w:val="both"/>
        <w:rPr>
          <w:rFonts w:ascii="Times New Roman" w:eastAsia="Times New Roman" w:hAnsi="Times New Roman" w:cs="Times New Roman"/>
          <w:sz w:val="24"/>
          <w:szCs w:val="24"/>
        </w:rPr>
      </w:pPr>
      <w:bookmarkStart w:id="58" w:name="_heading=h.tbregiargtbb" w:colFirst="0" w:colLast="0"/>
      <w:bookmarkEnd w:id="58"/>
      <w:r>
        <w:rPr>
          <w:rFonts w:ascii="Times New Roman" w:eastAsia="Times New Roman" w:hAnsi="Times New Roman" w:cs="Times New Roman"/>
          <w:sz w:val="24"/>
          <w:szCs w:val="24"/>
        </w:rPr>
        <w:t>There are</w:t>
      </w:r>
      <w:r w:rsidR="008B2C04">
        <w:rPr>
          <w:rFonts w:ascii="Times New Roman" w:eastAsia="Times New Roman" w:hAnsi="Times New Roman" w:cs="Times New Roman"/>
          <w:sz w:val="24"/>
          <w:szCs w:val="24"/>
        </w:rPr>
        <w:t xml:space="preserve"> many </w:t>
      </w:r>
      <w:r>
        <w:rPr>
          <w:rFonts w:ascii="Times New Roman" w:eastAsia="Times New Roman" w:hAnsi="Times New Roman" w:cs="Times New Roman"/>
          <w:sz w:val="24"/>
          <w:szCs w:val="24"/>
        </w:rPr>
        <w:t xml:space="preserve">diverse considerations that arise when discussing the possibility of Peter displaying free will. The story as written may not have happened in the way that is transcribed, and to be clear, may not have happened </w:t>
      </w:r>
      <w:r>
        <w:rPr>
          <w:rFonts w:ascii="Times New Roman" w:eastAsia="Times New Roman" w:hAnsi="Times New Roman" w:cs="Times New Roman"/>
          <w:i/>
          <w:sz w:val="24"/>
          <w:szCs w:val="24"/>
        </w:rPr>
        <w:t>at all.</w:t>
      </w:r>
      <w:r>
        <w:rPr>
          <w:rFonts w:ascii="Times New Roman" w:eastAsia="Times New Roman" w:hAnsi="Times New Roman" w:cs="Times New Roman"/>
          <w:sz w:val="24"/>
          <w:szCs w:val="24"/>
        </w:rPr>
        <w:t xml:space="preserve"> The Gospels that a</w:t>
      </w:r>
      <w:r>
        <w:rPr>
          <w:rFonts w:ascii="Times New Roman" w:eastAsia="Times New Roman" w:hAnsi="Times New Roman" w:cs="Times New Roman"/>
          <w:sz w:val="24"/>
          <w:szCs w:val="24"/>
        </w:rPr>
        <w:t>re in mass circulation today are but translations of books that are in themselves translations of earlier editions of the Bible, creating a link that could muddy the intended meaning of the original text. There are implications that even then, the accounts</w:t>
      </w:r>
      <w:r>
        <w:rPr>
          <w:rFonts w:ascii="Times New Roman" w:eastAsia="Times New Roman" w:hAnsi="Times New Roman" w:cs="Times New Roman"/>
          <w:sz w:val="24"/>
          <w:szCs w:val="24"/>
        </w:rPr>
        <w:t xml:space="preserve"> are edited and written down from as far down as a fifth-hand account. This means that they were probably written by people who </w:t>
      </w:r>
      <w:r>
        <w:rPr>
          <w:rFonts w:ascii="Times New Roman" w:eastAsia="Times New Roman" w:hAnsi="Times New Roman" w:cs="Times New Roman"/>
          <w:i/>
          <w:sz w:val="24"/>
          <w:szCs w:val="24"/>
        </w:rPr>
        <w:t xml:space="preserve">were not present </w:t>
      </w:r>
      <w:r>
        <w:rPr>
          <w:rFonts w:ascii="Times New Roman" w:eastAsia="Times New Roman" w:hAnsi="Times New Roman" w:cs="Times New Roman"/>
          <w:sz w:val="24"/>
          <w:szCs w:val="24"/>
        </w:rPr>
        <w:t>at the events that they are supposed to be writing about. Accuracy is impossible to ascertain in the Gospels ab</w:t>
      </w:r>
      <w:r>
        <w:rPr>
          <w:rFonts w:ascii="Times New Roman" w:eastAsia="Times New Roman" w:hAnsi="Times New Roman" w:cs="Times New Roman"/>
          <w:sz w:val="24"/>
          <w:szCs w:val="24"/>
        </w:rPr>
        <w:t>out what happened and what was added or removed or changed for the sake of the narrative. René Girard notes that the story follows an artistic structure, which shows that the whole idea could be completely fictional or warped to the benefits of what the wr</w:t>
      </w:r>
      <w:r>
        <w:rPr>
          <w:rFonts w:ascii="Times New Roman" w:eastAsia="Times New Roman" w:hAnsi="Times New Roman" w:cs="Times New Roman"/>
          <w:sz w:val="24"/>
          <w:szCs w:val="24"/>
        </w:rPr>
        <w:t>iters wanted to be understood, which leads to the idea that the story is metaphorical and there is no real point to working out if Peter had free will. A story in reality does not correlate to the tropes that a fictional story may use for the sake of drama</w:t>
      </w:r>
      <w:r>
        <w:rPr>
          <w:rFonts w:ascii="Times New Roman" w:eastAsia="Times New Roman" w:hAnsi="Times New Roman" w:cs="Times New Roman"/>
          <w:sz w:val="24"/>
          <w:szCs w:val="24"/>
        </w:rPr>
        <w:t xml:space="preserve"> and tension. The embellishments that Goguel and Girard suggest can only open up the possibility that the Bible is at the very least, edited for the benefit of the story. Even if these accounts are based on events that actually happened, it </w:t>
      </w:r>
      <w:r w:rsidR="008B2C04">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be conf</w:t>
      </w:r>
      <w:r>
        <w:rPr>
          <w:rFonts w:ascii="Times New Roman" w:eastAsia="Times New Roman" w:hAnsi="Times New Roman" w:cs="Times New Roman"/>
          <w:sz w:val="24"/>
          <w:szCs w:val="24"/>
        </w:rPr>
        <w:t xml:space="preserve">irmed as to </w:t>
      </w:r>
      <w:r>
        <w:rPr>
          <w:rFonts w:ascii="Times New Roman" w:eastAsia="Times New Roman" w:hAnsi="Times New Roman" w:cs="Times New Roman"/>
          <w:i/>
          <w:sz w:val="24"/>
          <w:szCs w:val="24"/>
        </w:rPr>
        <w:t xml:space="preserve">which </w:t>
      </w:r>
      <w:r>
        <w:rPr>
          <w:rFonts w:ascii="Times New Roman" w:eastAsia="Times New Roman" w:hAnsi="Times New Roman" w:cs="Times New Roman"/>
          <w:sz w:val="24"/>
          <w:szCs w:val="24"/>
        </w:rPr>
        <w:t xml:space="preserve">parts of these stories were edited or changed, meaning that the key parts of this dissertation, namely the titular story of Peter’s denial, are </w:t>
      </w:r>
      <w:r>
        <w:rPr>
          <w:rFonts w:ascii="Times New Roman" w:eastAsia="Times New Roman" w:hAnsi="Times New Roman" w:cs="Times New Roman"/>
          <w:i/>
          <w:sz w:val="24"/>
          <w:szCs w:val="24"/>
        </w:rPr>
        <w:t>potentially</w:t>
      </w:r>
      <w:r>
        <w:rPr>
          <w:rFonts w:ascii="Times New Roman" w:eastAsia="Times New Roman" w:hAnsi="Times New Roman" w:cs="Times New Roman"/>
          <w:sz w:val="24"/>
          <w:szCs w:val="24"/>
        </w:rPr>
        <w:t xml:space="preserve"> untrue.</w:t>
      </w:r>
    </w:p>
    <w:p w14:paraId="3A439CA7" w14:textId="77777777" w:rsidR="00B15D0A" w:rsidRDefault="009A366F">
      <w:pPr>
        <w:spacing w:line="455" w:lineRule="auto"/>
        <w:jc w:val="both"/>
        <w:rPr>
          <w:rFonts w:ascii="Times New Roman" w:eastAsia="Times New Roman" w:hAnsi="Times New Roman" w:cs="Times New Roman"/>
          <w:sz w:val="24"/>
          <w:szCs w:val="24"/>
        </w:rPr>
      </w:pPr>
      <w:bookmarkStart w:id="59" w:name="_heading=h.ze69pyj9hwyi" w:colFirst="0" w:colLast="0"/>
      <w:bookmarkEnd w:id="59"/>
      <w:r>
        <w:rPr>
          <w:rFonts w:ascii="Times New Roman" w:eastAsia="Times New Roman" w:hAnsi="Times New Roman" w:cs="Times New Roman"/>
          <w:i/>
          <w:sz w:val="24"/>
          <w:szCs w:val="24"/>
        </w:rPr>
        <w:t>However</w:t>
      </w:r>
      <w:r>
        <w:rPr>
          <w:rFonts w:ascii="Times New Roman" w:eastAsia="Times New Roman" w:hAnsi="Times New Roman" w:cs="Times New Roman"/>
          <w:sz w:val="24"/>
          <w:szCs w:val="24"/>
        </w:rPr>
        <w:t xml:space="preserve">, if we </w:t>
      </w:r>
      <w:r>
        <w:rPr>
          <w:rFonts w:ascii="Times New Roman" w:eastAsia="Times New Roman" w:hAnsi="Times New Roman" w:cs="Times New Roman"/>
          <w:i/>
          <w:sz w:val="24"/>
          <w:szCs w:val="24"/>
        </w:rPr>
        <w:t xml:space="preserve">were </w:t>
      </w:r>
      <w:r>
        <w:rPr>
          <w:rFonts w:ascii="Times New Roman" w:eastAsia="Times New Roman" w:hAnsi="Times New Roman" w:cs="Times New Roman"/>
          <w:sz w:val="24"/>
          <w:szCs w:val="24"/>
        </w:rPr>
        <w:t>to take the story at face-value, and accept it to be w</w:t>
      </w:r>
      <w:r>
        <w:rPr>
          <w:rFonts w:ascii="Times New Roman" w:eastAsia="Times New Roman" w:hAnsi="Times New Roman" w:cs="Times New Roman"/>
          <w:sz w:val="24"/>
          <w:szCs w:val="24"/>
        </w:rPr>
        <w:t xml:space="preserve">hat actually occurred, even if it was a thought experiment to decide if free will </w:t>
      </w:r>
      <w:r>
        <w:rPr>
          <w:rFonts w:ascii="Times New Roman" w:eastAsia="Times New Roman" w:hAnsi="Times New Roman" w:cs="Times New Roman"/>
          <w:i/>
          <w:sz w:val="24"/>
          <w:szCs w:val="24"/>
        </w:rPr>
        <w:t>could</w:t>
      </w:r>
      <w:r>
        <w:rPr>
          <w:rFonts w:ascii="Times New Roman" w:eastAsia="Times New Roman" w:hAnsi="Times New Roman" w:cs="Times New Roman"/>
          <w:sz w:val="24"/>
          <w:szCs w:val="24"/>
        </w:rPr>
        <w:t xml:space="preserve"> co-exist in a world with an all-powerful God, then yes, it </w:t>
      </w:r>
      <w:r>
        <w:rPr>
          <w:rFonts w:ascii="Times New Roman" w:eastAsia="Times New Roman" w:hAnsi="Times New Roman" w:cs="Times New Roman"/>
          <w:i/>
          <w:sz w:val="24"/>
          <w:szCs w:val="24"/>
        </w:rPr>
        <w:t>is</w:t>
      </w:r>
      <w:r>
        <w:rPr>
          <w:rFonts w:ascii="Times New Roman" w:eastAsia="Times New Roman" w:hAnsi="Times New Roman" w:cs="Times New Roman"/>
          <w:sz w:val="24"/>
          <w:szCs w:val="24"/>
        </w:rPr>
        <w:t xml:space="preserve"> possible to suggest that Peter enacted his own free will and it make a cohesive and logical sense. Not tha</w:t>
      </w:r>
      <w:r>
        <w:rPr>
          <w:rFonts w:ascii="Times New Roman" w:eastAsia="Times New Roman" w:hAnsi="Times New Roman" w:cs="Times New Roman"/>
          <w:sz w:val="24"/>
          <w:szCs w:val="24"/>
        </w:rPr>
        <w:t xml:space="preserve">t it is the definitive truth, but that there is cause to suggest it without contradicting yourself. Peter </w:t>
      </w:r>
      <w:r>
        <w:rPr>
          <w:rFonts w:ascii="Times New Roman" w:eastAsia="Times New Roman" w:hAnsi="Times New Roman" w:cs="Times New Roman"/>
          <w:i/>
          <w:sz w:val="24"/>
          <w:szCs w:val="24"/>
        </w:rPr>
        <w:t>could</w:t>
      </w:r>
      <w:r>
        <w:rPr>
          <w:rFonts w:ascii="Times New Roman" w:eastAsia="Times New Roman" w:hAnsi="Times New Roman" w:cs="Times New Roman"/>
          <w:sz w:val="24"/>
          <w:szCs w:val="24"/>
        </w:rPr>
        <w:t xml:space="preserve"> have free will whilst God is also both omniscient </w:t>
      </w:r>
      <w:r>
        <w:rPr>
          <w:rFonts w:ascii="Times New Roman" w:eastAsia="Times New Roman" w:hAnsi="Times New Roman" w:cs="Times New Roman"/>
          <w:i/>
          <w:sz w:val="24"/>
          <w:szCs w:val="24"/>
        </w:rPr>
        <w:t>and</w:t>
      </w:r>
      <w:r>
        <w:rPr>
          <w:rFonts w:ascii="Times New Roman" w:eastAsia="Times New Roman" w:hAnsi="Times New Roman" w:cs="Times New Roman"/>
          <w:sz w:val="24"/>
          <w:szCs w:val="24"/>
        </w:rPr>
        <w:t xml:space="preserve"> omnipotent. It is possible for Jesus to predict an action so that Peter can still freely c</w:t>
      </w:r>
      <w:r>
        <w:rPr>
          <w:rFonts w:ascii="Times New Roman" w:eastAsia="Times New Roman" w:hAnsi="Times New Roman" w:cs="Times New Roman"/>
          <w:sz w:val="24"/>
          <w:szCs w:val="24"/>
        </w:rPr>
        <w:t xml:space="preserve">hoose </w:t>
      </w:r>
      <w:r>
        <w:rPr>
          <w:rFonts w:ascii="Times New Roman" w:eastAsia="Times New Roman" w:hAnsi="Times New Roman" w:cs="Times New Roman"/>
          <w:sz w:val="24"/>
          <w:szCs w:val="24"/>
        </w:rPr>
        <w:lastRenderedPageBreak/>
        <w:t xml:space="preserve">it. What this shows is that foreknowledge of Peter’s denial from a higher power does </w:t>
      </w:r>
      <w:r>
        <w:rPr>
          <w:rFonts w:ascii="Times New Roman" w:eastAsia="Times New Roman" w:hAnsi="Times New Roman" w:cs="Times New Roman"/>
          <w:i/>
          <w:sz w:val="24"/>
          <w:szCs w:val="24"/>
        </w:rPr>
        <w:t xml:space="preserve">not </w:t>
      </w:r>
      <w:r>
        <w:rPr>
          <w:rFonts w:ascii="Times New Roman" w:eastAsia="Times New Roman" w:hAnsi="Times New Roman" w:cs="Times New Roman"/>
          <w:sz w:val="24"/>
          <w:szCs w:val="24"/>
        </w:rPr>
        <w:t>mean that Peter had no autonomy in the decision making. His choice could have been his with it being predicted and there would be no logical anomaly or paradox.</w:t>
      </w:r>
    </w:p>
    <w:p w14:paraId="4EDD79ED" w14:textId="77777777" w:rsidR="00B15D0A" w:rsidRDefault="009A366F">
      <w:pPr>
        <w:spacing w:line="455" w:lineRule="auto"/>
        <w:jc w:val="both"/>
      </w:pPr>
      <w:bookmarkStart w:id="60" w:name="_heading=h.mp4ge4kfgzw2" w:colFirst="0" w:colLast="0"/>
      <w:bookmarkEnd w:id="60"/>
      <w:r>
        <w:rPr>
          <w:rFonts w:ascii="Times New Roman" w:eastAsia="Times New Roman" w:hAnsi="Times New Roman" w:cs="Times New Roman"/>
          <w:sz w:val="24"/>
          <w:szCs w:val="24"/>
        </w:rPr>
        <w:t>To conclude overall and to answer the primary question, did Peter have free will? After going through the quagmire of metaphors and literal interpretations, as well as defining omniscience and omnipotence and the paradoxes that such powers could create, th</w:t>
      </w:r>
      <w:r>
        <w:rPr>
          <w:rFonts w:ascii="Times New Roman" w:eastAsia="Times New Roman" w:hAnsi="Times New Roman" w:cs="Times New Roman"/>
          <w:sz w:val="24"/>
          <w:szCs w:val="24"/>
        </w:rPr>
        <w:t xml:space="preserve">e answer is that it is not clear to say whether Peter had free will or not, but rather that the answer </w:t>
      </w:r>
      <w:r>
        <w:rPr>
          <w:rFonts w:ascii="Times New Roman" w:eastAsia="Times New Roman" w:hAnsi="Times New Roman" w:cs="Times New Roman"/>
          <w:i/>
          <w:sz w:val="24"/>
          <w:szCs w:val="24"/>
        </w:rPr>
        <w:t xml:space="preserve">could potentially </w:t>
      </w:r>
      <w:r>
        <w:rPr>
          <w:rFonts w:ascii="Times New Roman" w:eastAsia="Times New Roman" w:hAnsi="Times New Roman" w:cs="Times New Roman"/>
          <w:sz w:val="24"/>
          <w:szCs w:val="24"/>
        </w:rPr>
        <w:t xml:space="preserve">be that Peter had free will </w:t>
      </w:r>
      <w:r>
        <w:rPr>
          <w:rFonts w:ascii="Times New Roman" w:eastAsia="Times New Roman" w:hAnsi="Times New Roman" w:cs="Times New Roman"/>
          <w:i/>
          <w:sz w:val="24"/>
          <w:szCs w:val="24"/>
        </w:rPr>
        <w:t xml:space="preserve">and </w:t>
      </w:r>
      <w:r>
        <w:rPr>
          <w:rFonts w:ascii="Times New Roman" w:eastAsia="Times New Roman" w:hAnsi="Times New Roman" w:cs="Times New Roman"/>
          <w:sz w:val="24"/>
          <w:szCs w:val="24"/>
        </w:rPr>
        <w:t xml:space="preserve">that God had the omniscience and foreknowledge to know how that free will would be adapted. The two do </w:t>
      </w:r>
      <w:r>
        <w:rPr>
          <w:rFonts w:ascii="Times New Roman" w:eastAsia="Times New Roman" w:hAnsi="Times New Roman" w:cs="Times New Roman"/>
          <w:sz w:val="24"/>
          <w:szCs w:val="24"/>
        </w:rPr>
        <w:t xml:space="preserve">not necessarily create a paradox as some assume, and therefore it is just as valid an answer to suggest that omniscience and free will </w:t>
      </w:r>
      <w:r>
        <w:rPr>
          <w:rFonts w:ascii="Times New Roman" w:eastAsia="Times New Roman" w:hAnsi="Times New Roman" w:cs="Times New Roman"/>
          <w:i/>
          <w:sz w:val="24"/>
          <w:szCs w:val="24"/>
        </w:rPr>
        <w:t xml:space="preserve">can </w:t>
      </w:r>
      <w:r>
        <w:rPr>
          <w:rFonts w:ascii="Times New Roman" w:eastAsia="Times New Roman" w:hAnsi="Times New Roman" w:cs="Times New Roman"/>
          <w:sz w:val="24"/>
          <w:szCs w:val="24"/>
        </w:rPr>
        <w:t xml:space="preserve">coexist. Peter </w:t>
      </w:r>
      <w:r>
        <w:rPr>
          <w:rFonts w:ascii="Times New Roman" w:eastAsia="Times New Roman" w:hAnsi="Times New Roman" w:cs="Times New Roman"/>
          <w:i/>
          <w:sz w:val="24"/>
          <w:szCs w:val="24"/>
        </w:rPr>
        <w:t xml:space="preserve">could </w:t>
      </w:r>
      <w:r>
        <w:rPr>
          <w:rFonts w:ascii="Times New Roman" w:eastAsia="Times New Roman" w:hAnsi="Times New Roman" w:cs="Times New Roman"/>
          <w:sz w:val="24"/>
          <w:szCs w:val="24"/>
        </w:rPr>
        <w:t>have denied Jesus of his own free will.</w:t>
      </w:r>
    </w:p>
    <w:p w14:paraId="219B48F9" w14:textId="77777777" w:rsidR="00B15D0A" w:rsidRDefault="009A366F">
      <w:pPr>
        <w:spacing w:after="80" w:line="276" w:lineRule="auto"/>
        <w:jc w:val="center"/>
        <w:rPr>
          <w:rFonts w:ascii="Times New Roman" w:eastAsia="Times New Roman" w:hAnsi="Times New Roman" w:cs="Times New Roman"/>
          <w:b/>
          <w:sz w:val="32"/>
          <w:szCs w:val="32"/>
        </w:rPr>
      </w:pPr>
      <w:r>
        <w:br w:type="page"/>
      </w:r>
    </w:p>
    <w:p w14:paraId="5D4B440F" w14:textId="77777777" w:rsidR="00B15D0A" w:rsidRDefault="009A366F">
      <w:pPr>
        <w:spacing w:after="80" w:line="276"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lastRenderedPageBreak/>
        <w:t>References</w:t>
      </w:r>
    </w:p>
    <w:p w14:paraId="2B7ED7DB" w14:textId="2C2D7AF8" w:rsidR="00B15D0A" w:rsidRDefault="009A366F">
      <w:pPr>
        <w:spacing w:after="180" w:line="240" w:lineRule="auto"/>
        <w:ind w:left="900" w:hanging="4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Adler, Mortimer Jerome, </w:t>
      </w:r>
      <w:r>
        <w:rPr>
          <w:rFonts w:ascii="Times New Roman" w:eastAsia="Times New Roman" w:hAnsi="Times New Roman" w:cs="Times New Roman"/>
          <w:i/>
          <w:sz w:val="24"/>
          <w:szCs w:val="24"/>
        </w:rPr>
        <w:t xml:space="preserve">The Idea </w:t>
      </w:r>
      <w:r w:rsidR="008B2C04">
        <w:rPr>
          <w:rFonts w:ascii="Times New Roman" w:eastAsia="Times New Roman" w:hAnsi="Times New Roman" w:cs="Times New Roman"/>
          <w:i/>
          <w:sz w:val="24"/>
          <w:szCs w:val="24"/>
        </w:rPr>
        <w:t>of</w:t>
      </w:r>
      <w:r>
        <w:rPr>
          <w:rFonts w:ascii="Times New Roman" w:eastAsia="Times New Roman" w:hAnsi="Times New Roman" w:cs="Times New Roman"/>
          <w:i/>
          <w:sz w:val="24"/>
          <w:szCs w:val="24"/>
        </w:rPr>
        <w:t xml:space="preserve"> Freedom</w:t>
      </w:r>
      <w:r>
        <w:rPr>
          <w:rFonts w:ascii="Times New Roman" w:eastAsia="Times New Roman" w:hAnsi="Times New Roman" w:cs="Times New Roman"/>
          <w:i/>
          <w:sz w:val="24"/>
          <w:szCs w:val="24"/>
        </w:rPr>
        <w:t xml:space="preserve">: A Dialectical Examination </w:t>
      </w:r>
      <w:r w:rsidR="008B2C04">
        <w:rPr>
          <w:rFonts w:ascii="Times New Roman" w:eastAsia="Times New Roman" w:hAnsi="Times New Roman" w:cs="Times New Roman"/>
          <w:i/>
          <w:sz w:val="24"/>
          <w:szCs w:val="24"/>
        </w:rPr>
        <w:t>of</w:t>
      </w:r>
      <w:r>
        <w:rPr>
          <w:rFonts w:ascii="Times New Roman" w:eastAsia="Times New Roman" w:hAnsi="Times New Roman" w:cs="Times New Roman"/>
          <w:i/>
          <w:sz w:val="24"/>
          <w:szCs w:val="24"/>
        </w:rPr>
        <w:t xml:space="preserve"> The Idea </w:t>
      </w:r>
      <w:r w:rsidR="008B2C04">
        <w:rPr>
          <w:rFonts w:ascii="Times New Roman" w:eastAsia="Times New Roman" w:hAnsi="Times New Roman" w:cs="Times New Roman"/>
          <w:i/>
          <w:sz w:val="24"/>
          <w:szCs w:val="24"/>
        </w:rPr>
        <w:t>of</w:t>
      </w:r>
      <w:r>
        <w:rPr>
          <w:rFonts w:ascii="Times New Roman" w:eastAsia="Times New Roman" w:hAnsi="Times New Roman" w:cs="Times New Roman"/>
          <w:i/>
          <w:sz w:val="24"/>
          <w:szCs w:val="24"/>
        </w:rPr>
        <w:t xml:space="preserve"> Freedom</w:t>
      </w:r>
      <w:r>
        <w:rPr>
          <w:rFonts w:ascii="Times New Roman" w:eastAsia="Times New Roman" w:hAnsi="Times New Roman" w:cs="Times New Roman"/>
          <w:sz w:val="24"/>
          <w:szCs w:val="24"/>
        </w:rPr>
        <w:t xml:space="preserve"> (Westport, Conn.: Doubleday, 1958), p. 127</w:t>
      </w:r>
    </w:p>
    <w:p w14:paraId="3C2BAF52" w14:textId="77777777" w:rsidR="00B15D0A" w:rsidRDefault="009A366F">
      <w:pPr>
        <w:spacing w:after="180" w:line="240" w:lineRule="auto"/>
        <w:ind w:left="900" w:hanging="4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Alston, William P., "Does God Have Beliefs?", </w:t>
      </w:r>
      <w:r>
        <w:rPr>
          <w:rFonts w:ascii="Times New Roman" w:eastAsia="Times New Roman" w:hAnsi="Times New Roman" w:cs="Times New Roman"/>
          <w:i/>
          <w:sz w:val="24"/>
          <w:szCs w:val="24"/>
        </w:rPr>
        <w:t>Religious Studies</w:t>
      </w:r>
      <w:r>
        <w:rPr>
          <w:rFonts w:ascii="Times New Roman" w:eastAsia="Times New Roman" w:hAnsi="Times New Roman" w:cs="Times New Roman"/>
          <w:sz w:val="24"/>
          <w:szCs w:val="24"/>
        </w:rPr>
        <w:t>, 22 (1986), 287-306 &lt;https://doi.org/10.1017/s0034412500018333&gt;</w:t>
      </w:r>
    </w:p>
    <w:p w14:paraId="72F1B08E" w14:textId="7A1B119F" w:rsidR="00B15D0A" w:rsidRDefault="009A366F">
      <w:pPr>
        <w:spacing w:after="180" w:line="240" w:lineRule="auto"/>
        <w:ind w:left="900" w:hanging="440"/>
        <w:rPr>
          <w:rFonts w:ascii="Times New Roman" w:eastAsia="Times New Roman" w:hAnsi="Times New Roman" w:cs="Times New Roman"/>
          <w:sz w:val="24"/>
          <w:szCs w:val="24"/>
        </w:rPr>
      </w:pPr>
      <w:r>
        <w:rPr>
          <w:rFonts w:ascii="Times New Roman" w:eastAsia="Times New Roman" w:hAnsi="Times New Roman" w:cs="Times New Roman"/>
          <w:sz w:val="24"/>
          <w:szCs w:val="24"/>
        </w:rPr>
        <w:t>Aquinas, Thomas, trans. Joseph Ric</w:t>
      </w:r>
      <w:r>
        <w:rPr>
          <w:rFonts w:ascii="Times New Roman" w:eastAsia="Times New Roman" w:hAnsi="Times New Roman" w:cs="Times New Roman"/>
          <w:sz w:val="24"/>
          <w:szCs w:val="24"/>
        </w:rPr>
        <w:t xml:space="preserve">kaby, </w:t>
      </w:r>
      <w:r>
        <w:rPr>
          <w:rFonts w:ascii="Times New Roman" w:eastAsia="Times New Roman" w:hAnsi="Times New Roman" w:cs="Times New Roman"/>
          <w:i/>
          <w:sz w:val="24"/>
          <w:szCs w:val="24"/>
        </w:rPr>
        <w:t xml:space="preserve">Of God </w:t>
      </w:r>
      <w:r w:rsidR="008B2C04">
        <w:rPr>
          <w:rFonts w:ascii="Times New Roman" w:eastAsia="Times New Roman" w:hAnsi="Times New Roman" w:cs="Times New Roman"/>
          <w:i/>
          <w:sz w:val="24"/>
          <w:szCs w:val="24"/>
        </w:rPr>
        <w:t>and</w:t>
      </w:r>
      <w:r>
        <w:rPr>
          <w:rFonts w:ascii="Times New Roman" w:eastAsia="Times New Roman" w:hAnsi="Times New Roman" w:cs="Times New Roman"/>
          <w:i/>
          <w:sz w:val="24"/>
          <w:szCs w:val="24"/>
        </w:rPr>
        <w:t xml:space="preserve"> His Creatures </w:t>
      </w:r>
      <w:r>
        <w:rPr>
          <w:rFonts w:ascii="Times New Roman" w:eastAsia="Times New Roman" w:hAnsi="Times New Roman" w:cs="Times New Roman"/>
          <w:sz w:val="24"/>
          <w:szCs w:val="24"/>
        </w:rPr>
        <w:t>(Aeterna Press, 2015), pp. 119-121</w:t>
      </w:r>
    </w:p>
    <w:p w14:paraId="3D0F3AA3" w14:textId="7747A5C5" w:rsidR="00B15D0A" w:rsidRDefault="009A366F">
      <w:pPr>
        <w:spacing w:after="180" w:line="240" w:lineRule="auto"/>
        <w:ind w:left="900" w:hanging="4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Basinger, David, </w:t>
      </w:r>
      <w:r>
        <w:rPr>
          <w:rFonts w:ascii="Times New Roman" w:eastAsia="Times New Roman" w:hAnsi="Times New Roman" w:cs="Times New Roman"/>
          <w:i/>
          <w:sz w:val="24"/>
          <w:szCs w:val="24"/>
        </w:rPr>
        <w:t xml:space="preserve">Divine Power </w:t>
      </w:r>
      <w:r w:rsidR="008B2C04">
        <w:rPr>
          <w:rFonts w:ascii="Times New Roman" w:eastAsia="Times New Roman" w:hAnsi="Times New Roman" w:cs="Times New Roman"/>
          <w:i/>
          <w:sz w:val="24"/>
          <w:szCs w:val="24"/>
        </w:rPr>
        <w:t>in</w:t>
      </w:r>
      <w:r>
        <w:rPr>
          <w:rFonts w:ascii="Times New Roman" w:eastAsia="Times New Roman" w:hAnsi="Times New Roman" w:cs="Times New Roman"/>
          <w:i/>
          <w:sz w:val="24"/>
          <w:szCs w:val="24"/>
        </w:rPr>
        <w:t xml:space="preserve"> Process Theism</w:t>
      </w:r>
      <w:r>
        <w:rPr>
          <w:rFonts w:ascii="Times New Roman" w:eastAsia="Times New Roman" w:hAnsi="Times New Roman" w:cs="Times New Roman"/>
          <w:sz w:val="24"/>
          <w:szCs w:val="24"/>
        </w:rPr>
        <w:t xml:space="preserve"> (Albany: State University of New York Press, 1988), pp. 27-41</w:t>
      </w:r>
    </w:p>
    <w:p w14:paraId="0C494D38" w14:textId="6ABA22C4" w:rsidR="00B15D0A" w:rsidRDefault="009A366F">
      <w:pPr>
        <w:spacing w:after="180" w:line="240" w:lineRule="auto"/>
        <w:ind w:left="900" w:hanging="4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Binz, Stephen J., </w:t>
      </w:r>
      <w:r>
        <w:rPr>
          <w:rFonts w:ascii="Times New Roman" w:eastAsia="Times New Roman" w:hAnsi="Times New Roman" w:cs="Times New Roman"/>
          <w:i/>
          <w:sz w:val="24"/>
          <w:szCs w:val="24"/>
        </w:rPr>
        <w:t xml:space="preserve">The God </w:t>
      </w:r>
      <w:r w:rsidR="008B2C04">
        <w:rPr>
          <w:rFonts w:ascii="Times New Roman" w:eastAsia="Times New Roman" w:hAnsi="Times New Roman" w:cs="Times New Roman"/>
          <w:i/>
          <w:sz w:val="24"/>
          <w:szCs w:val="24"/>
        </w:rPr>
        <w:t>of</w:t>
      </w:r>
      <w:r>
        <w:rPr>
          <w:rFonts w:ascii="Times New Roman" w:eastAsia="Times New Roman" w:hAnsi="Times New Roman" w:cs="Times New Roman"/>
          <w:i/>
          <w:sz w:val="24"/>
          <w:szCs w:val="24"/>
        </w:rPr>
        <w:t xml:space="preserve"> Freedom </w:t>
      </w:r>
      <w:r w:rsidR="008B2C04">
        <w:rPr>
          <w:rFonts w:ascii="Times New Roman" w:eastAsia="Times New Roman" w:hAnsi="Times New Roman" w:cs="Times New Roman"/>
          <w:i/>
          <w:sz w:val="24"/>
          <w:szCs w:val="24"/>
        </w:rPr>
        <w:t>and</w:t>
      </w:r>
      <w:r>
        <w:rPr>
          <w:rFonts w:ascii="Times New Roman" w:eastAsia="Times New Roman" w:hAnsi="Times New Roman" w:cs="Times New Roman"/>
          <w:i/>
          <w:sz w:val="24"/>
          <w:szCs w:val="24"/>
        </w:rPr>
        <w:t xml:space="preserve"> Life: A Commentary </w:t>
      </w:r>
      <w:r w:rsidR="008B2C04">
        <w:rPr>
          <w:rFonts w:ascii="Times New Roman" w:eastAsia="Times New Roman" w:hAnsi="Times New Roman" w:cs="Times New Roman"/>
          <w:i/>
          <w:sz w:val="24"/>
          <w:szCs w:val="24"/>
        </w:rPr>
        <w:t>on</w:t>
      </w:r>
      <w:r>
        <w:rPr>
          <w:rFonts w:ascii="Times New Roman" w:eastAsia="Times New Roman" w:hAnsi="Times New Roman" w:cs="Times New Roman"/>
          <w:i/>
          <w:sz w:val="24"/>
          <w:szCs w:val="24"/>
        </w:rPr>
        <w:t xml:space="preserve"> The Book </w:t>
      </w:r>
      <w:r w:rsidR="008B2C04">
        <w:rPr>
          <w:rFonts w:ascii="Times New Roman" w:eastAsia="Times New Roman" w:hAnsi="Times New Roman" w:cs="Times New Roman"/>
          <w:i/>
          <w:sz w:val="24"/>
          <w:szCs w:val="24"/>
        </w:rPr>
        <w:t>of</w:t>
      </w:r>
      <w:r>
        <w:rPr>
          <w:rFonts w:ascii="Times New Roman" w:eastAsia="Times New Roman" w:hAnsi="Times New Roman" w:cs="Times New Roman"/>
          <w:i/>
          <w:sz w:val="24"/>
          <w:szCs w:val="24"/>
        </w:rPr>
        <w:t xml:space="preserve"> Exodus </w:t>
      </w:r>
      <w:r>
        <w:rPr>
          <w:rFonts w:ascii="Times New Roman" w:eastAsia="Times New Roman" w:hAnsi="Times New Roman" w:cs="Times New Roman"/>
          <w:sz w:val="24"/>
          <w:szCs w:val="24"/>
        </w:rPr>
        <w:t>(Collegeville, MN: Liturgical Press, 1993), p. 7</w:t>
      </w:r>
    </w:p>
    <w:p w14:paraId="73241430" w14:textId="77777777" w:rsidR="00B15D0A" w:rsidRDefault="009A366F">
      <w:pPr>
        <w:spacing w:after="180" w:line="240" w:lineRule="auto"/>
        <w:ind w:left="900" w:hanging="4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Bok, Hilary, </w:t>
      </w:r>
      <w:r>
        <w:rPr>
          <w:rFonts w:ascii="Times New Roman" w:eastAsia="Times New Roman" w:hAnsi="Times New Roman" w:cs="Times New Roman"/>
          <w:i/>
          <w:sz w:val="24"/>
          <w:szCs w:val="24"/>
        </w:rPr>
        <w:t>Free Will</w:t>
      </w:r>
      <w:r>
        <w:rPr>
          <w:rFonts w:ascii="Times New Roman" w:eastAsia="Times New Roman" w:hAnsi="Times New Roman" w:cs="Times New Roman"/>
          <w:sz w:val="24"/>
          <w:szCs w:val="24"/>
        </w:rPr>
        <w:t xml:space="preserve"> (Oxford: Oxford University Press, 2011), pp. 130-166</w:t>
      </w:r>
    </w:p>
    <w:p w14:paraId="4A277424" w14:textId="04B09AB6" w:rsidR="00B15D0A" w:rsidRDefault="009A366F">
      <w:pPr>
        <w:spacing w:after="180" w:line="240" w:lineRule="auto"/>
        <w:ind w:left="900" w:hanging="4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Chomsky, Noam, "Three Models </w:t>
      </w:r>
      <w:r w:rsidR="008B2C04">
        <w:rPr>
          <w:rFonts w:ascii="Times New Roman" w:eastAsia="Times New Roman" w:hAnsi="Times New Roman" w:cs="Times New Roman"/>
          <w:sz w:val="24"/>
          <w:szCs w:val="24"/>
        </w:rPr>
        <w:t>for</w:t>
      </w:r>
      <w:r>
        <w:rPr>
          <w:rFonts w:ascii="Times New Roman" w:eastAsia="Times New Roman" w:hAnsi="Times New Roman" w:cs="Times New Roman"/>
          <w:sz w:val="24"/>
          <w:szCs w:val="24"/>
        </w:rPr>
        <w:t xml:space="preserve"> The Description </w:t>
      </w:r>
      <w:r w:rsidR="008B2C04">
        <w:rPr>
          <w:rFonts w:ascii="Times New Roman" w:eastAsia="Times New Roman" w:hAnsi="Times New Roman" w:cs="Times New Roman"/>
          <w:sz w:val="24"/>
          <w:szCs w:val="24"/>
        </w:rPr>
        <w:t>of</w:t>
      </w:r>
      <w:r>
        <w:rPr>
          <w:rFonts w:ascii="Times New Roman" w:eastAsia="Times New Roman" w:hAnsi="Times New Roman" w:cs="Times New Roman"/>
          <w:sz w:val="24"/>
          <w:szCs w:val="24"/>
        </w:rPr>
        <w:t xml:space="preserve"> Language", </w:t>
      </w:r>
      <w:r>
        <w:rPr>
          <w:rFonts w:ascii="Times New Roman" w:eastAsia="Times New Roman" w:hAnsi="Times New Roman" w:cs="Times New Roman"/>
          <w:i/>
          <w:sz w:val="24"/>
          <w:szCs w:val="24"/>
        </w:rPr>
        <w:t>IEEE</w:t>
      </w:r>
      <w:r>
        <w:rPr>
          <w:rFonts w:ascii="Times New Roman" w:eastAsia="Times New Roman" w:hAnsi="Times New Roman" w:cs="Times New Roman"/>
          <w:i/>
          <w:sz w:val="24"/>
          <w:szCs w:val="24"/>
        </w:rPr>
        <w:t xml:space="preserve"> Transactions </w:t>
      </w:r>
      <w:r w:rsidR="008B2C04">
        <w:rPr>
          <w:rFonts w:ascii="Times New Roman" w:eastAsia="Times New Roman" w:hAnsi="Times New Roman" w:cs="Times New Roman"/>
          <w:i/>
          <w:sz w:val="24"/>
          <w:szCs w:val="24"/>
        </w:rPr>
        <w:t>on</w:t>
      </w:r>
      <w:r>
        <w:rPr>
          <w:rFonts w:ascii="Times New Roman" w:eastAsia="Times New Roman" w:hAnsi="Times New Roman" w:cs="Times New Roman"/>
          <w:i/>
          <w:sz w:val="24"/>
          <w:szCs w:val="24"/>
        </w:rPr>
        <w:t xml:space="preserve"> Information Theory</w:t>
      </w:r>
      <w:r>
        <w:rPr>
          <w:rFonts w:ascii="Times New Roman" w:eastAsia="Times New Roman" w:hAnsi="Times New Roman" w:cs="Times New Roman"/>
          <w:sz w:val="24"/>
          <w:szCs w:val="24"/>
        </w:rPr>
        <w:t>, 2 (1956), 113-124 &lt;https://doi.org/10.1109/tit.1956.1056813&gt;</w:t>
      </w:r>
    </w:p>
    <w:p w14:paraId="669F68E9" w14:textId="330DA053" w:rsidR="00B15D0A" w:rsidRDefault="009A366F">
      <w:pPr>
        <w:spacing w:after="180" w:line="240" w:lineRule="auto"/>
        <w:ind w:left="900" w:hanging="4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Craig, William Lane, </w:t>
      </w:r>
      <w:r>
        <w:rPr>
          <w:rFonts w:ascii="Times New Roman" w:eastAsia="Times New Roman" w:hAnsi="Times New Roman" w:cs="Times New Roman"/>
          <w:i/>
          <w:sz w:val="24"/>
          <w:szCs w:val="24"/>
        </w:rPr>
        <w:t xml:space="preserve">The Only Wise God: The Compatibility </w:t>
      </w:r>
      <w:r w:rsidR="008B2C04">
        <w:rPr>
          <w:rFonts w:ascii="Times New Roman" w:eastAsia="Times New Roman" w:hAnsi="Times New Roman" w:cs="Times New Roman"/>
          <w:i/>
          <w:sz w:val="24"/>
          <w:szCs w:val="24"/>
        </w:rPr>
        <w:t>of</w:t>
      </w:r>
      <w:r>
        <w:rPr>
          <w:rFonts w:ascii="Times New Roman" w:eastAsia="Times New Roman" w:hAnsi="Times New Roman" w:cs="Times New Roman"/>
          <w:i/>
          <w:sz w:val="24"/>
          <w:szCs w:val="24"/>
        </w:rPr>
        <w:t xml:space="preserve"> Divine Foreknowledge </w:t>
      </w:r>
      <w:r w:rsidR="008B2C04">
        <w:rPr>
          <w:rFonts w:ascii="Times New Roman" w:eastAsia="Times New Roman" w:hAnsi="Times New Roman" w:cs="Times New Roman"/>
          <w:i/>
          <w:sz w:val="24"/>
          <w:szCs w:val="24"/>
        </w:rPr>
        <w:t>and</w:t>
      </w:r>
      <w:r>
        <w:rPr>
          <w:rFonts w:ascii="Times New Roman" w:eastAsia="Times New Roman" w:hAnsi="Times New Roman" w:cs="Times New Roman"/>
          <w:i/>
          <w:sz w:val="24"/>
          <w:szCs w:val="24"/>
        </w:rPr>
        <w:t xml:space="preserve"> Human Freedom </w:t>
      </w:r>
      <w:r>
        <w:rPr>
          <w:rFonts w:ascii="Times New Roman" w:eastAsia="Times New Roman" w:hAnsi="Times New Roman" w:cs="Times New Roman"/>
          <w:sz w:val="24"/>
          <w:szCs w:val="24"/>
        </w:rPr>
        <w:t>(Eugene, OR: Wipf and Stock Publishers, 2000), p. 140</w:t>
      </w:r>
    </w:p>
    <w:p w14:paraId="0C8898B3" w14:textId="35F76A62" w:rsidR="00B15D0A" w:rsidRDefault="009A366F">
      <w:pPr>
        <w:spacing w:after="180" w:line="240" w:lineRule="auto"/>
        <w:ind w:left="900" w:hanging="440"/>
        <w:rPr>
          <w:rFonts w:ascii="Times New Roman" w:eastAsia="Times New Roman" w:hAnsi="Times New Roman" w:cs="Times New Roman"/>
          <w:sz w:val="24"/>
          <w:szCs w:val="24"/>
        </w:rPr>
      </w:pPr>
      <w:r>
        <w:rPr>
          <w:rFonts w:ascii="Times New Roman" w:eastAsia="Times New Roman" w:hAnsi="Times New Roman" w:cs="Times New Roman"/>
          <w:sz w:val="24"/>
          <w:szCs w:val="24"/>
        </w:rPr>
        <w:t>Davi</w:t>
      </w:r>
      <w:r>
        <w:rPr>
          <w:rFonts w:ascii="Times New Roman" w:eastAsia="Times New Roman" w:hAnsi="Times New Roman" w:cs="Times New Roman"/>
          <w:sz w:val="24"/>
          <w:szCs w:val="24"/>
        </w:rPr>
        <w:t xml:space="preserve">es, Brian, </w:t>
      </w:r>
      <w:r>
        <w:rPr>
          <w:rFonts w:ascii="Times New Roman" w:eastAsia="Times New Roman" w:hAnsi="Times New Roman" w:cs="Times New Roman"/>
          <w:i/>
          <w:sz w:val="24"/>
          <w:szCs w:val="24"/>
        </w:rPr>
        <w:t xml:space="preserve">An Introduction </w:t>
      </w:r>
      <w:r w:rsidR="008B2C04">
        <w:rPr>
          <w:rFonts w:ascii="Times New Roman" w:eastAsia="Times New Roman" w:hAnsi="Times New Roman" w:cs="Times New Roman"/>
          <w:i/>
          <w:sz w:val="24"/>
          <w:szCs w:val="24"/>
        </w:rPr>
        <w:t>to</w:t>
      </w:r>
      <w:r>
        <w:rPr>
          <w:rFonts w:ascii="Times New Roman" w:eastAsia="Times New Roman" w:hAnsi="Times New Roman" w:cs="Times New Roman"/>
          <w:i/>
          <w:sz w:val="24"/>
          <w:szCs w:val="24"/>
        </w:rPr>
        <w:t xml:space="preserve"> The Philosophy </w:t>
      </w:r>
      <w:r w:rsidR="008B2C04">
        <w:rPr>
          <w:rFonts w:ascii="Times New Roman" w:eastAsia="Times New Roman" w:hAnsi="Times New Roman" w:cs="Times New Roman"/>
          <w:i/>
          <w:sz w:val="24"/>
          <w:szCs w:val="24"/>
        </w:rPr>
        <w:t>of</w:t>
      </w:r>
      <w:r>
        <w:rPr>
          <w:rFonts w:ascii="Times New Roman" w:eastAsia="Times New Roman" w:hAnsi="Times New Roman" w:cs="Times New Roman"/>
          <w:i/>
          <w:sz w:val="24"/>
          <w:szCs w:val="24"/>
        </w:rPr>
        <w:t xml:space="preserve"> Religion </w:t>
      </w:r>
      <w:r>
        <w:rPr>
          <w:rFonts w:ascii="Times New Roman" w:eastAsia="Times New Roman" w:hAnsi="Times New Roman" w:cs="Times New Roman"/>
          <w:sz w:val="24"/>
          <w:szCs w:val="24"/>
        </w:rPr>
        <w:t>(Oxford: Oxford University Press, 2004) Ch. 9. pp. 181-207</w:t>
      </w:r>
    </w:p>
    <w:p w14:paraId="6F56CDA3" w14:textId="77777777" w:rsidR="00B15D0A" w:rsidRDefault="009A366F">
      <w:pPr>
        <w:spacing w:after="180" w:line="240" w:lineRule="auto"/>
        <w:ind w:left="900" w:hanging="4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Donlon, Stephen E., "The Form-Critics, The Gospel, And St. Paul", </w:t>
      </w:r>
      <w:r>
        <w:rPr>
          <w:rFonts w:ascii="Times New Roman" w:eastAsia="Times New Roman" w:hAnsi="Times New Roman" w:cs="Times New Roman"/>
          <w:i/>
          <w:sz w:val="24"/>
          <w:szCs w:val="24"/>
        </w:rPr>
        <w:t>The Catholic Biblical Quarterly</w:t>
      </w:r>
      <w:r>
        <w:rPr>
          <w:rFonts w:ascii="Times New Roman" w:eastAsia="Times New Roman" w:hAnsi="Times New Roman" w:cs="Times New Roman"/>
          <w:sz w:val="24"/>
          <w:szCs w:val="24"/>
        </w:rPr>
        <w:t>, 6 (1944), 159-179</w:t>
      </w:r>
    </w:p>
    <w:p w14:paraId="701BD269" w14:textId="1D1A6181" w:rsidR="00B15D0A" w:rsidRDefault="009A366F">
      <w:pPr>
        <w:spacing w:after="180" w:line="240" w:lineRule="auto"/>
        <w:ind w:left="900" w:hanging="4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Fitzgerald, Desmond J. </w:t>
      </w:r>
      <w:r>
        <w:rPr>
          <w:rFonts w:ascii="Times New Roman" w:eastAsia="Times New Roman" w:hAnsi="Times New Roman" w:cs="Times New Roman"/>
          <w:sz w:val="24"/>
          <w:szCs w:val="24"/>
        </w:rPr>
        <w:t>“Adler’s The Idea of Freedom” in</w:t>
      </w:r>
      <w:r>
        <w:rPr>
          <w:rFonts w:ascii="Times New Roman" w:eastAsia="Times New Roman" w:hAnsi="Times New Roman" w:cs="Times New Roman"/>
          <w:i/>
          <w:sz w:val="24"/>
          <w:szCs w:val="24"/>
        </w:rPr>
        <w:t xml:space="preserve"> Freedom </w:t>
      </w:r>
      <w:r w:rsidR="008B2C04">
        <w:rPr>
          <w:rFonts w:ascii="Times New Roman" w:eastAsia="Times New Roman" w:hAnsi="Times New Roman" w:cs="Times New Roman"/>
          <w:i/>
          <w:sz w:val="24"/>
          <w:szCs w:val="24"/>
        </w:rPr>
        <w:t>in</w:t>
      </w:r>
      <w:r>
        <w:rPr>
          <w:rFonts w:ascii="Times New Roman" w:eastAsia="Times New Roman" w:hAnsi="Times New Roman" w:cs="Times New Roman"/>
          <w:i/>
          <w:sz w:val="24"/>
          <w:szCs w:val="24"/>
        </w:rPr>
        <w:t xml:space="preserve"> The Modern World</w:t>
      </w:r>
      <w:r>
        <w:rPr>
          <w:rFonts w:ascii="Times New Roman" w:eastAsia="Times New Roman" w:hAnsi="Times New Roman" w:cs="Times New Roman"/>
          <w:sz w:val="24"/>
          <w:szCs w:val="24"/>
        </w:rPr>
        <w:t>, ed. by Jacques Maritain, Yves R. Simon, and Mortimer J. Adler. (Notre Dame, Ind.: Univ. of Notre Dame Press, 1990), pp. 47-56.</w:t>
      </w:r>
    </w:p>
    <w:p w14:paraId="7663EB12" w14:textId="592738F6" w:rsidR="00B15D0A" w:rsidRDefault="009A366F">
      <w:pPr>
        <w:spacing w:after="180" w:line="240" w:lineRule="auto"/>
        <w:ind w:left="900" w:hanging="4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Ganssle, Gregory, "Atemporality And </w:t>
      </w:r>
      <w:r w:rsidR="008B2C04">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Mode </w:t>
      </w:r>
      <w:r w:rsidR="008B2C04">
        <w:rPr>
          <w:rFonts w:ascii="Times New Roman" w:eastAsia="Times New Roman" w:hAnsi="Times New Roman" w:cs="Times New Roman"/>
          <w:sz w:val="24"/>
          <w:szCs w:val="24"/>
        </w:rPr>
        <w:t>of</w:t>
      </w:r>
      <w:r>
        <w:rPr>
          <w:rFonts w:ascii="Times New Roman" w:eastAsia="Times New Roman" w:hAnsi="Times New Roman" w:cs="Times New Roman"/>
          <w:sz w:val="24"/>
          <w:szCs w:val="24"/>
        </w:rPr>
        <w:t xml:space="preserve"> Divine Knowledge", </w:t>
      </w:r>
      <w:r>
        <w:rPr>
          <w:rFonts w:ascii="Times New Roman" w:eastAsia="Times New Roman" w:hAnsi="Times New Roman" w:cs="Times New Roman"/>
          <w:i/>
          <w:sz w:val="24"/>
          <w:szCs w:val="24"/>
        </w:rPr>
        <w:t xml:space="preserve">International Journal </w:t>
      </w:r>
      <w:r w:rsidR="008B2C04">
        <w:rPr>
          <w:rFonts w:ascii="Times New Roman" w:eastAsia="Times New Roman" w:hAnsi="Times New Roman" w:cs="Times New Roman"/>
          <w:i/>
          <w:sz w:val="24"/>
          <w:szCs w:val="24"/>
        </w:rPr>
        <w:t>for</w:t>
      </w:r>
      <w:r>
        <w:rPr>
          <w:rFonts w:ascii="Times New Roman" w:eastAsia="Times New Roman" w:hAnsi="Times New Roman" w:cs="Times New Roman"/>
          <w:i/>
          <w:sz w:val="24"/>
          <w:szCs w:val="24"/>
        </w:rPr>
        <w:t xml:space="preserve"> Philosophy </w:t>
      </w:r>
      <w:r w:rsidR="008B2C04">
        <w:rPr>
          <w:rFonts w:ascii="Times New Roman" w:eastAsia="Times New Roman" w:hAnsi="Times New Roman" w:cs="Times New Roman"/>
          <w:i/>
          <w:sz w:val="24"/>
          <w:szCs w:val="24"/>
        </w:rPr>
        <w:t>of</w:t>
      </w:r>
      <w:r>
        <w:rPr>
          <w:rFonts w:ascii="Times New Roman" w:eastAsia="Times New Roman" w:hAnsi="Times New Roman" w:cs="Times New Roman"/>
          <w:i/>
          <w:sz w:val="24"/>
          <w:szCs w:val="24"/>
        </w:rPr>
        <w:t xml:space="preserve"> Religion</w:t>
      </w:r>
      <w:r>
        <w:rPr>
          <w:rFonts w:ascii="Times New Roman" w:eastAsia="Times New Roman" w:hAnsi="Times New Roman" w:cs="Times New Roman"/>
          <w:sz w:val="24"/>
          <w:szCs w:val="24"/>
        </w:rPr>
        <w:t>, 34 (1993), 171-180</w:t>
      </w:r>
    </w:p>
    <w:p w14:paraId="723E0527" w14:textId="77777777" w:rsidR="00B15D0A" w:rsidRDefault="009A366F">
      <w:pPr>
        <w:spacing w:after="180" w:line="240" w:lineRule="auto"/>
        <w:ind w:left="900" w:hanging="4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Gill, Mary Louise, “Aristotle on Self-Motion” in </w:t>
      </w:r>
      <w:r>
        <w:rPr>
          <w:rFonts w:ascii="Times New Roman" w:eastAsia="Times New Roman" w:hAnsi="Times New Roman" w:cs="Times New Roman"/>
          <w:i/>
          <w:sz w:val="24"/>
          <w:szCs w:val="24"/>
        </w:rPr>
        <w:t>Self-Motion: From Aristotle To Newton</w:t>
      </w:r>
      <w:r>
        <w:rPr>
          <w:rFonts w:ascii="Times New Roman" w:eastAsia="Times New Roman" w:hAnsi="Times New Roman" w:cs="Times New Roman"/>
          <w:sz w:val="24"/>
          <w:szCs w:val="24"/>
        </w:rPr>
        <w:t>, ed. Mary Louise Gill and James G</w:t>
      </w:r>
      <w:r>
        <w:rPr>
          <w:rFonts w:ascii="Times New Roman" w:eastAsia="Times New Roman" w:hAnsi="Times New Roman" w:cs="Times New Roman"/>
          <w:sz w:val="24"/>
          <w:szCs w:val="24"/>
        </w:rPr>
        <w:t>. Lennox</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(Princeton University Press, 1994), pp. 16-17</w:t>
      </w:r>
    </w:p>
    <w:p w14:paraId="50588D7F" w14:textId="7FA6C087" w:rsidR="00B15D0A" w:rsidRDefault="009A366F">
      <w:pPr>
        <w:spacing w:after="180" w:line="240" w:lineRule="auto"/>
        <w:ind w:left="900" w:hanging="4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Girard, René, "Peter's Denial </w:t>
      </w:r>
      <w:r w:rsidR="008B2C04">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The Question </w:t>
      </w:r>
      <w:r w:rsidR="008B2C04">
        <w:rPr>
          <w:rFonts w:ascii="Times New Roman" w:eastAsia="Times New Roman" w:hAnsi="Times New Roman" w:cs="Times New Roman"/>
          <w:sz w:val="24"/>
          <w:szCs w:val="24"/>
        </w:rPr>
        <w:t>of</w:t>
      </w:r>
      <w:r>
        <w:rPr>
          <w:rFonts w:ascii="Times New Roman" w:eastAsia="Times New Roman" w:hAnsi="Times New Roman" w:cs="Times New Roman"/>
          <w:sz w:val="24"/>
          <w:szCs w:val="24"/>
        </w:rPr>
        <w:t xml:space="preserve"> Mimesis", </w:t>
      </w:r>
      <w:r>
        <w:rPr>
          <w:rFonts w:ascii="Times New Roman" w:eastAsia="Times New Roman" w:hAnsi="Times New Roman" w:cs="Times New Roman"/>
          <w:i/>
          <w:sz w:val="24"/>
          <w:szCs w:val="24"/>
        </w:rPr>
        <w:t>Notre Dame English Journal</w:t>
      </w:r>
      <w:r>
        <w:rPr>
          <w:rFonts w:ascii="Times New Roman" w:eastAsia="Times New Roman" w:hAnsi="Times New Roman" w:cs="Times New Roman"/>
          <w:sz w:val="24"/>
          <w:szCs w:val="24"/>
        </w:rPr>
        <w:t>, 14 (1982), 177-189</w:t>
      </w:r>
    </w:p>
    <w:p w14:paraId="7039235D" w14:textId="77777777" w:rsidR="00B15D0A" w:rsidRDefault="009A366F">
      <w:pPr>
        <w:spacing w:after="180" w:line="240" w:lineRule="auto"/>
        <w:ind w:left="900" w:hanging="4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Goguel, Maurice, "Did Peter Deny His Lord? A Conjecture", </w:t>
      </w:r>
      <w:r>
        <w:rPr>
          <w:rFonts w:ascii="Times New Roman" w:eastAsia="Times New Roman" w:hAnsi="Times New Roman" w:cs="Times New Roman"/>
          <w:i/>
          <w:sz w:val="24"/>
          <w:szCs w:val="24"/>
        </w:rPr>
        <w:t>The Harvard Theological Review</w:t>
      </w:r>
      <w:r>
        <w:rPr>
          <w:rFonts w:ascii="Times New Roman" w:eastAsia="Times New Roman" w:hAnsi="Times New Roman" w:cs="Times New Roman"/>
          <w:sz w:val="24"/>
          <w:szCs w:val="24"/>
        </w:rPr>
        <w:t>, 25 (</w:t>
      </w:r>
      <w:r>
        <w:rPr>
          <w:rFonts w:ascii="Times New Roman" w:eastAsia="Times New Roman" w:hAnsi="Times New Roman" w:cs="Times New Roman"/>
          <w:sz w:val="24"/>
          <w:szCs w:val="24"/>
        </w:rPr>
        <w:t>1932), 1-27</w:t>
      </w:r>
    </w:p>
    <w:p w14:paraId="5B0EAC02" w14:textId="736CBAFF" w:rsidR="00B15D0A" w:rsidRDefault="009A366F">
      <w:pPr>
        <w:spacing w:after="180" w:line="240" w:lineRule="auto"/>
        <w:ind w:left="900" w:hanging="4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Hasker, William, "Divine Knowledge </w:t>
      </w:r>
      <w:r w:rsidR="008B2C04">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Human Freedom", </w:t>
      </w:r>
      <w:r>
        <w:rPr>
          <w:rFonts w:ascii="Times New Roman" w:eastAsia="Times New Roman" w:hAnsi="Times New Roman" w:cs="Times New Roman"/>
          <w:i/>
          <w:sz w:val="24"/>
          <w:szCs w:val="24"/>
        </w:rPr>
        <w:t>Oxford Handbooks Online</w:t>
      </w:r>
      <w:r>
        <w:rPr>
          <w:rFonts w:ascii="Times New Roman" w:eastAsia="Times New Roman" w:hAnsi="Times New Roman" w:cs="Times New Roman"/>
          <w:sz w:val="24"/>
          <w:szCs w:val="24"/>
        </w:rPr>
        <w:t>, 2011, 1-17 &lt;https://doi.org/10.1093/oxfordhb/9780195399691.003.0002&gt;</w:t>
      </w:r>
    </w:p>
    <w:p w14:paraId="5CE9A111" w14:textId="41426006" w:rsidR="00B15D0A" w:rsidRDefault="009A366F">
      <w:pPr>
        <w:spacing w:after="180" w:line="240" w:lineRule="auto"/>
        <w:ind w:left="900" w:hanging="4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Hasker, William, </w:t>
      </w:r>
      <w:r>
        <w:rPr>
          <w:rFonts w:ascii="Times New Roman" w:eastAsia="Times New Roman" w:hAnsi="Times New Roman" w:cs="Times New Roman"/>
          <w:i/>
          <w:sz w:val="24"/>
          <w:szCs w:val="24"/>
        </w:rPr>
        <w:t xml:space="preserve">The Openness </w:t>
      </w:r>
      <w:r w:rsidR="008B2C04">
        <w:rPr>
          <w:rFonts w:ascii="Times New Roman" w:eastAsia="Times New Roman" w:hAnsi="Times New Roman" w:cs="Times New Roman"/>
          <w:i/>
          <w:sz w:val="24"/>
          <w:szCs w:val="24"/>
        </w:rPr>
        <w:t>of</w:t>
      </w:r>
      <w:r>
        <w:rPr>
          <w:rFonts w:ascii="Times New Roman" w:eastAsia="Times New Roman" w:hAnsi="Times New Roman" w:cs="Times New Roman"/>
          <w:i/>
          <w:sz w:val="24"/>
          <w:szCs w:val="24"/>
        </w:rPr>
        <w:t xml:space="preserve"> God</w:t>
      </w:r>
      <w:r>
        <w:rPr>
          <w:rFonts w:ascii="Times New Roman" w:eastAsia="Times New Roman" w:hAnsi="Times New Roman" w:cs="Times New Roman"/>
          <w:sz w:val="24"/>
          <w:szCs w:val="24"/>
        </w:rPr>
        <w:t xml:space="preserve"> (Downers Grove: InterVarsity Press, 1994), pp. 136-137</w:t>
      </w:r>
    </w:p>
    <w:p w14:paraId="09D4E8F0" w14:textId="57E2CD7A" w:rsidR="00B15D0A" w:rsidRDefault="009A366F">
      <w:pPr>
        <w:spacing w:after="180" w:line="240" w:lineRule="auto"/>
        <w:ind w:left="900" w:hanging="44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Hel</w:t>
      </w:r>
      <w:r>
        <w:rPr>
          <w:rFonts w:ascii="Times New Roman" w:eastAsia="Times New Roman" w:hAnsi="Times New Roman" w:cs="Times New Roman"/>
          <w:sz w:val="24"/>
          <w:szCs w:val="24"/>
        </w:rPr>
        <w:t xml:space="preserve">ms, Randel, </w:t>
      </w:r>
      <w:r>
        <w:rPr>
          <w:rFonts w:ascii="Times New Roman" w:eastAsia="Times New Roman" w:hAnsi="Times New Roman" w:cs="Times New Roman"/>
          <w:i/>
          <w:sz w:val="24"/>
          <w:szCs w:val="24"/>
        </w:rPr>
        <w:t xml:space="preserve">Who Wrote </w:t>
      </w:r>
      <w:r w:rsidR="008B2C04">
        <w:rPr>
          <w:rFonts w:ascii="Times New Roman" w:eastAsia="Times New Roman" w:hAnsi="Times New Roman" w:cs="Times New Roman"/>
          <w:i/>
          <w:sz w:val="24"/>
          <w:szCs w:val="24"/>
        </w:rPr>
        <w:t>the</w:t>
      </w:r>
      <w:r>
        <w:rPr>
          <w:rFonts w:ascii="Times New Roman" w:eastAsia="Times New Roman" w:hAnsi="Times New Roman" w:cs="Times New Roman"/>
          <w:i/>
          <w:sz w:val="24"/>
          <w:szCs w:val="24"/>
        </w:rPr>
        <w:t xml:space="preserve"> Gospels?</w:t>
      </w:r>
      <w:r>
        <w:rPr>
          <w:rFonts w:ascii="Times New Roman" w:eastAsia="Times New Roman" w:hAnsi="Times New Roman" w:cs="Times New Roman"/>
          <w:sz w:val="24"/>
          <w:szCs w:val="24"/>
        </w:rPr>
        <w:t xml:space="preserve"> (Altadena, CA: Millenian Press, 1997), pp. 1-19, 41-79, 113-131</w:t>
      </w:r>
    </w:p>
    <w:p w14:paraId="47F8F7E8" w14:textId="7DA2F9FB" w:rsidR="00B15D0A" w:rsidRDefault="009A366F">
      <w:pPr>
        <w:spacing w:after="180" w:line="240" w:lineRule="auto"/>
        <w:ind w:left="900" w:hanging="4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Hunter, Jefferson, "Three Versions </w:t>
      </w:r>
      <w:r w:rsidR="008B2C04">
        <w:rPr>
          <w:rFonts w:ascii="Times New Roman" w:eastAsia="Times New Roman" w:hAnsi="Times New Roman" w:cs="Times New Roman"/>
          <w:sz w:val="24"/>
          <w:szCs w:val="24"/>
        </w:rPr>
        <w:t>of</w:t>
      </w:r>
      <w:r>
        <w:rPr>
          <w:rFonts w:ascii="Times New Roman" w:eastAsia="Times New Roman" w:hAnsi="Times New Roman" w:cs="Times New Roman"/>
          <w:sz w:val="24"/>
          <w:szCs w:val="24"/>
        </w:rPr>
        <w:t xml:space="preserve"> Peter's Denial", The Hudson Review, 33 (1980), 39 &lt;https://doi.org/10.2307/3850713&gt;</w:t>
      </w:r>
    </w:p>
    <w:p w14:paraId="354B6C61" w14:textId="77777777" w:rsidR="00B15D0A" w:rsidRDefault="009A366F">
      <w:pPr>
        <w:spacing w:after="180" w:line="240" w:lineRule="auto"/>
        <w:ind w:left="900" w:hanging="4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Kane, Robert, </w:t>
      </w:r>
      <w:r>
        <w:rPr>
          <w:rFonts w:ascii="Times New Roman" w:eastAsia="Times New Roman" w:hAnsi="Times New Roman" w:cs="Times New Roman"/>
          <w:i/>
          <w:sz w:val="24"/>
          <w:szCs w:val="24"/>
        </w:rPr>
        <w:t>Free Will</w:t>
      </w:r>
      <w:r>
        <w:rPr>
          <w:rFonts w:ascii="Times New Roman" w:eastAsia="Times New Roman" w:hAnsi="Times New Roman" w:cs="Times New Roman"/>
          <w:sz w:val="24"/>
          <w:szCs w:val="24"/>
        </w:rPr>
        <w:t xml:space="preserve"> (Malden, MA</w:t>
      </w:r>
      <w:r>
        <w:rPr>
          <w:rFonts w:ascii="Times New Roman" w:eastAsia="Times New Roman" w:hAnsi="Times New Roman" w:cs="Times New Roman"/>
          <w:sz w:val="24"/>
          <w:szCs w:val="24"/>
        </w:rPr>
        <w:t>: Blackwell Publishers, 2009), pp. 4-9, 47-58</w:t>
      </w:r>
    </w:p>
    <w:p w14:paraId="29898AB3" w14:textId="3C5DDFE2" w:rsidR="00B15D0A" w:rsidRDefault="009A366F">
      <w:pPr>
        <w:spacing w:after="180" w:line="240" w:lineRule="auto"/>
        <w:ind w:left="900" w:hanging="4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Keathley, Kenneth, </w:t>
      </w:r>
      <w:r>
        <w:rPr>
          <w:rFonts w:ascii="Times New Roman" w:eastAsia="Times New Roman" w:hAnsi="Times New Roman" w:cs="Times New Roman"/>
          <w:i/>
          <w:sz w:val="24"/>
          <w:szCs w:val="24"/>
        </w:rPr>
        <w:t xml:space="preserve">Salvation </w:t>
      </w:r>
      <w:r w:rsidR="008B2C04">
        <w:rPr>
          <w:rFonts w:ascii="Times New Roman" w:eastAsia="Times New Roman" w:hAnsi="Times New Roman" w:cs="Times New Roman"/>
          <w:i/>
          <w:sz w:val="24"/>
          <w:szCs w:val="24"/>
        </w:rPr>
        <w:t>and</w:t>
      </w:r>
      <w:r>
        <w:rPr>
          <w:rFonts w:ascii="Times New Roman" w:eastAsia="Times New Roman" w:hAnsi="Times New Roman" w:cs="Times New Roman"/>
          <w:i/>
          <w:sz w:val="24"/>
          <w:szCs w:val="24"/>
        </w:rPr>
        <w:t xml:space="preserve"> Sovereignty</w:t>
      </w:r>
      <w:r>
        <w:rPr>
          <w:rFonts w:ascii="Times New Roman" w:eastAsia="Times New Roman" w:hAnsi="Times New Roman" w:cs="Times New Roman"/>
          <w:sz w:val="24"/>
          <w:szCs w:val="24"/>
        </w:rPr>
        <w:t xml:space="preserve"> (Nashville: B&amp;H Publishing Group, 2010), pp. 18-41</w:t>
      </w:r>
    </w:p>
    <w:p w14:paraId="1C9AB71E" w14:textId="4AFBE9C5" w:rsidR="00B15D0A" w:rsidRDefault="009A366F">
      <w:pPr>
        <w:spacing w:after="180" w:line="240" w:lineRule="auto"/>
        <w:ind w:left="900" w:hanging="4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Kloppenborg, John S, and Judith H Newman, </w:t>
      </w:r>
      <w:r>
        <w:rPr>
          <w:rFonts w:ascii="Times New Roman" w:eastAsia="Times New Roman" w:hAnsi="Times New Roman" w:cs="Times New Roman"/>
          <w:i/>
          <w:sz w:val="24"/>
          <w:szCs w:val="24"/>
        </w:rPr>
        <w:t xml:space="preserve">Editing </w:t>
      </w:r>
      <w:r w:rsidR="008B2C04">
        <w:rPr>
          <w:rFonts w:ascii="Times New Roman" w:eastAsia="Times New Roman" w:hAnsi="Times New Roman" w:cs="Times New Roman"/>
          <w:i/>
          <w:sz w:val="24"/>
          <w:szCs w:val="24"/>
        </w:rPr>
        <w:t>the</w:t>
      </w:r>
      <w:r>
        <w:rPr>
          <w:rFonts w:ascii="Times New Roman" w:eastAsia="Times New Roman" w:hAnsi="Times New Roman" w:cs="Times New Roman"/>
          <w:i/>
          <w:sz w:val="24"/>
          <w:szCs w:val="24"/>
        </w:rPr>
        <w:t xml:space="preserve"> Bible: Assessing </w:t>
      </w:r>
      <w:r w:rsidR="008B2C04">
        <w:rPr>
          <w:rFonts w:ascii="Times New Roman" w:eastAsia="Times New Roman" w:hAnsi="Times New Roman" w:cs="Times New Roman"/>
          <w:i/>
          <w:sz w:val="24"/>
          <w:szCs w:val="24"/>
        </w:rPr>
        <w:t>the</w:t>
      </w:r>
      <w:r>
        <w:rPr>
          <w:rFonts w:ascii="Times New Roman" w:eastAsia="Times New Roman" w:hAnsi="Times New Roman" w:cs="Times New Roman"/>
          <w:i/>
          <w:sz w:val="24"/>
          <w:szCs w:val="24"/>
        </w:rPr>
        <w:t xml:space="preserve"> Task Past </w:t>
      </w:r>
      <w:r w:rsidR="008B2C04">
        <w:rPr>
          <w:rFonts w:ascii="Times New Roman" w:eastAsia="Times New Roman" w:hAnsi="Times New Roman" w:cs="Times New Roman"/>
          <w:i/>
          <w:sz w:val="24"/>
          <w:szCs w:val="24"/>
        </w:rPr>
        <w:t>and</w:t>
      </w:r>
      <w:r>
        <w:rPr>
          <w:rFonts w:ascii="Times New Roman" w:eastAsia="Times New Roman" w:hAnsi="Times New Roman" w:cs="Times New Roman"/>
          <w:i/>
          <w:sz w:val="24"/>
          <w:szCs w:val="24"/>
        </w:rPr>
        <w:t xml:space="preserve"> Present </w:t>
      </w:r>
      <w:r>
        <w:rPr>
          <w:rFonts w:ascii="Times New Roman" w:eastAsia="Times New Roman" w:hAnsi="Times New Roman" w:cs="Times New Roman"/>
          <w:sz w:val="24"/>
          <w:szCs w:val="24"/>
        </w:rPr>
        <w:t>(Atlanta: Society</w:t>
      </w:r>
      <w:r>
        <w:rPr>
          <w:rFonts w:ascii="Times New Roman" w:eastAsia="Times New Roman" w:hAnsi="Times New Roman" w:cs="Times New Roman"/>
          <w:sz w:val="24"/>
          <w:szCs w:val="24"/>
        </w:rPr>
        <w:t xml:space="preserve"> of Biblical Literature, 2012), pp. 1-9</w:t>
      </w:r>
    </w:p>
    <w:p w14:paraId="766FB550" w14:textId="1C59F09D" w:rsidR="00B15D0A" w:rsidRDefault="009A366F">
      <w:pPr>
        <w:spacing w:after="180" w:line="240" w:lineRule="auto"/>
        <w:ind w:left="900" w:hanging="4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Libet, Benjamin, "Do We Have Free Will?", </w:t>
      </w:r>
      <w:r>
        <w:rPr>
          <w:rFonts w:ascii="Times New Roman" w:eastAsia="Times New Roman" w:hAnsi="Times New Roman" w:cs="Times New Roman"/>
          <w:i/>
          <w:sz w:val="24"/>
          <w:szCs w:val="24"/>
        </w:rPr>
        <w:t xml:space="preserve">Journal </w:t>
      </w:r>
      <w:r w:rsidR="008B2C04">
        <w:rPr>
          <w:rFonts w:ascii="Times New Roman" w:eastAsia="Times New Roman" w:hAnsi="Times New Roman" w:cs="Times New Roman"/>
          <w:i/>
          <w:sz w:val="24"/>
          <w:szCs w:val="24"/>
        </w:rPr>
        <w:t>of</w:t>
      </w:r>
      <w:r>
        <w:rPr>
          <w:rFonts w:ascii="Times New Roman" w:eastAsia="Times New Roman" w:hAnsi="Times New Roman" w:cs="Times New Roman"/>
          <w:i/>
          <w:sz w:val="24"/>
          <w:szCs w:val="24"/>
        </w:rPr>
        <w:t xml:space="preserve"> Consciousness Studies</w:t>
      </w:r>
      <w:r>
        <w:rPr>
          <w:rFonts w:ascii="Times New Roman" w:eastAsia="Times New Roman" w:hAnsi="Times New Roman" w:cs="Times New Roman"/>
          <w:sz w:val="24"/>
          <w:szCs w:val="24"/>
        </w:rPr>
        <w:t>, 6 (1999), 47-57</w:t>
      </w:r>
    </w:p>
    <w:p w14:paraId="368BBFD7" w14:textId="78103CEE" w:rsidR="00B15D0A" w:rsidRDefault="009A366F">
      <w:pPr>
        <w:spacing w:after="180" w:line="240" w:lineRule="auto"/>
        <w:ind w:left="900" w:hanging="4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McDonald, James I. H, </w:t>
      </w:r>
      <w:r>
        <w:rPr>
          <w:rFonts w:ascii="Times New Roman" w:eastAsia="Times New Roman" w:hAnsi="Times New Roman" w:cs="Times New Roman"/>
          <w:i/>
          <w:sz w:val="24"/>
          <w:szCs w:val="24"/>
        </w:rPr>
        <w:t xml:space="preserve">Kerygma </w:t>
      </w:r>
      <w:r w:rsidR="008B2C04">
        <w:rPr>
          <w:rFonts w:ascii="Times New Roman" w:eastAsia="Times New Roman" w:hAnsi="Times New Roman" w:cs="Times New Roman"/>
          <w:i/>
          <w:sz w:val="24"/>
          <w:szCs w:val="24"/>
        </w:rPr>
        <w:t>and</w:t>
      </w:r>
      <w:r>
        <w:rPr>
          <w:rFonts w:ascii="Times New Roman" w:eastAsia="Times New Roman" w:hAnsi="Times New Roman" w:cs="Times New Roman"/>
          <w:i/>
          <w:sz w:val="24"/>
          <w:szCs w:val="24"/>
        </w:rPr>
        <w:t xml:space="preserve"> Didache: The Articulation </w:t>
      </w:r>
      <w:r w:rsidR="008B2C04">
        <w:rPr>
          <w:rFonts w:ascii="Times New Roman" w:eastAsia="Times New Roman" w:hAnsi="Times New Roman" w:cs="Times New Roman"/>
          <w:i/>
          <w:sz w:val="24"/>
          <w:szCs w:val="24"/>
        </w:rPr>
        <w:t>and</w:t>
      </w:r>
      <w:r>
        <w:rPr>
          <w:rFonts w:ascii="Times New Roman" w:eastAsia="Times New Roman" w:hAnsi="Times New Roman" w:cs="Times New Roman"/>
          <w:i/>
          <w:sz w:val="24"/>
          <w:szCs w:val="24"/>
        </w:rPr>
        <w:t xml:space="preserve"> Structure </w:t>
      </w:r>
      <w:r w:rsidR="008B2C04">
        <w:rPr>
          <w:rFonts w:ascii="Times New Roman" w:eastAsia="Times New Roman" w:hAnsi="Times New Roman" w:cs="Times New Roman"/>
          <w:i/>
          <w:sz w:val="24"/>
          <w:szCs w:val="24"/>
        </w:rPr>
        <w:t>of</w:t>
      </w:r>
      <w:r>
        <w:rPr>
          <w:rFonts w:ascii="Times New Roman" w:eastAsia="Times New Roman" w:hAnsi="Times New Roman" w:cs="Times New Roman"/>
          <w:i/>
          <w:sz w:val="24"/>
          <w:szCs w:val="24"/>
        </w:rPr>
        <w:t xml:space="preserve"> The Earliest Christian Message </w:t>
      </w:r>
      <w:r>
        <w:rPr>
          <w:rFonts w:ascii="Times New Roman" w:eastAsia="Times New Roman" w:hAnsi="Times New Roman" w:cs="Times New Roman"/>
          <w:sz w:val="24"/>
          <w:szCs w:val="24"/>
        </w:rPr>
        <w:t>(Cambridge: Camb</w:t>
      </w:r>
      <w:r>
        <w:rPr>
          <w:rFonts w:ascii="Times New Roman" w:eastAsia="Times New Roman" w:hAnsi="Times New Roman" w:cs="Times New Roman"/>
          <w:sz w:val="24"/>
          <w:szCs w:val="24"/>
        </w:rPr>
        <w:t>ridge University Press, 2004)</w:t>
      </w:r>
    </w:p>
    <w:p w14:paraId="2A4B65A9" w14:textId="19F2A71D" w:rsidR="00B15D0A" w:rsidRDefault="009A366F">
      <w:pPr>
        <w:spacing w:after="180" w:line="240" w:lineRule="auto"/>
        <w:ind w:left="900" w:hanging="4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McSorley, Harry J., </w:t>
      </w:r>
      <w:r>
        <w:rPr>
          <w:rFonts w:ascii="Times New Roman" w:eastAsia="Times New Roman" w:hAnsi="Times New Roman" w:cs="Times New Roman"/>
          <w:i/>
          <w:sz w:val="24"/>
          <w:szCs w:val="24"/>
        </w:rPr>
        <w:t xml:space="preserve">Luther: Right </w:t>
      </w:r>
      <w:r w:rsidR="008B2C04">
        <w:rPr>
          <w:rFonts w:ascii="Times New Roman" w:eastAsia="Times New Roman" w:hAnsi="Times New Roman" w:cs="Times New Roman"/>
          <w:i/>
          <w:sz w:val="24"/>
          <w:szCs w:val="24"/>
        </w:rPr>
        <w:t>or</w:t>
      </w:r>
      <w:r>
        <w:rPr>
          <w:rFonts w:ascii="Times New Roman" w:eastAsia="Times New Roman" w:hAnsi="Times New Roman" w:cs="Times New Roman"/>
          <w:i/>
          <w:sz w:val="24"/>
          <w:szCs w:val="24"/>
        </w:rPr>
        <w:t xml:space="preserve"> </w:t>
      </w:r>
      <w:r w:rsidR="008B2C04">
        <w:rPr>
          <w:rFonts w:ascii="Times New Roman" w:eastAsia="Times New Roman" w:hAnsi="Times New Roman" w:cs="Times New Roman"/>
          <w:i/>
          <w:sz w:val="24"/>
          <w:szCs w:val="24"/>
        </w:rPr>
        <w:t>Wrong?:</w:t>
      </w:r>
      <w:r>
        <w:rPr>
          <w:rFonts w:ascii="Times New Roman" w:eastAsia="Times New Roman" w:hAnsi="Times New Roman" w:cs="Times New Roman"/>
          <w:i/>
          <w:sz w:val="24"/>
          <w:szCs w:val="24"/>
        </w:rPr>
        <w:t xml:space="preserve"> An Ecumenical-Theological Study </w:t>
      </w:r>
      <w:r w:rsidR="008B2C04">
        <w:rPr>
          <w:rFonts w:ascii="Times New Roman" w:eastAsia="Times New Roman" w:hAnsi="Times New Roman" w:cs="Times New Roman"/>
          <w:i/>
          <w:sz w:val="24"/>
          <w:szCs w:val="24"/>
        </w:rPr>
        <w:t>of</w:t>
      </w:r>
      <w:r>
        <w:rPr>
          <w:rFonts w:ascii="Times New Roman" w:eastAsia="Times New Roman" w:hAnsi="Times New Roman" w:cs="Times New Roman"/>
          <w:i/>
          <w:sz w:val="24"/>
          <w:szCs w:val="24"/>
        </w:rPr>
        <w:t xml:space="preserve"> Luther's Major Work, The Bondage </w:t>
      </w:r>
      <w:r w:rsidR="008B2C04">
        <w:rPr>
          <w:rFonts w:ascii="Times New Roman" w:eastAsia="Times New Roman" w:hAnsi="Times New Roman" w:cs="Times New Roman"/>
          <w:i/>
          <w:sz w:val="24"/>
          <w:szCs w:val="24"/>
        </w:rPr>
        <w:t>of</w:t>
      </w:r>
      <w:r>
        <w:rPr>
          <w:rFonts w:ascii="Times New Roman" w:eastAsia="Times New Roman" w:hAnsi="Times New Roman" w:cs="Times New Roman"/>
          <w:i/>
          <w:sz w:val="24"/>
          <w:szCs w:val="24"/>
        </w:rPr>
        <w:t xml:space="preserve"> The Will</w:t>
      </w:r>
      <w:r>
        <w:rPr>
          <w:rFonts w:ascii="Times New Roman" w:eastAsia="Times New Roman" w:hAnsi="Times New Roman" w:cs="Times New Roman"/>
          <w:sz w:val="24"/>
          <w:szCs w:val="24"/>
        </w:rPr>
        <w:t xml:space="preserve"> (New York: Newman Press, 1967), pp. 25-28</w:t>
      </w:r>
    </w:p>
    <w:p w14:paraId="2987D3F8" w14:textId="1BCC8119" w:rsidR="00B15D0A" w:rsidRDefault="009A366F">
      <w:pPr>
        <w:spacing w:after="180" w:line="240" w:lineRule="auto"/>
        <w:ind w:left="900" w:hanging="4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Rhoda, Alan R., Gregory A. Boyd, and Thomas G. Belt, "Open Theism, Omniscience, And </w:t>
      </w:r>
      <w:r w:rsidR="008B2C04">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Nature </w:t>
      </w:r>
      <w:r w:rsidR="008B2C04">
        <w:rPr>
          <w:rFonts w:ascii="Times New Roman" w:eastAsia="Times New Roman" w:hAnsi="Times New Roman" w:cs="Times New Roman"/>
          <w:sz w:val="24"/>
          <w:szCs w:val="24"/>
        </w:rPr>
        <w:t>of</w:t>
      </w:r>
      <w:r>
        <w:rPr>
          <w:rFonts w:ascii="Times New Roman" w:eastAsia="Times New Roman" w:hAnsi="Times New Roman" w:cs="Times New Roman"/>
          <w:sz w:val="24"/>
          <w:szCs w:val="24"/>
        </w:rPr>
        <w:t xml:space="preserve"> The Future"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Faith </w:t>
      </w:r>
      <w:r w:rsidR="008B2C04">
        <w:rPr>
          <w:rFonts w:ascii="Times New Roman" w:eastAsia="Times New Roman" w:hAnsi="Times New Roman" w:cs="Times New Roman"/>
          <w:i/>
          <w:sz w:val="24"/>
          <w:szCs w:val="24"/>
        </w:rPr>
        <w:t>and</w:t>
      </w:r>
      <w:r>
        <w:rPr>
          <w:rFonts w:ascii="Times New Roman" w:eastAsia="Times New Roman" w:hAnsi="Times New Roman" w:cs="Times New Roman"/>
          <w:i/>
          <w:sz w:val="24"/>
          <w:szCs w:val="24"/>
        </w:rPr>
        <w:t xml:space="preserve"> Philosophy</w:t>
      </w:r>
      <w:r>
        <w:rPr>
          <w:rFonts w:ascii="Times New Roman" w:eastAsia="Times New Roman" w:hAnsi="Times New Roman" w:cs="Times New Roman"/>
          <w:sz w:val="24"/>
          <w:szCs w:val="24"/>
        </w:rPr>
        <w:t>, 23 (2006), 432-459 &lt;https://doi.org/10.5840/faithphil200623436&gt;</w:t>
      </w:r>
    </w:p>
    <w:p w14:paraId="5ADBA72F" w14:textId="34A030A6" w:rsidR="00B15D0A" w:rsidRDefault="009A366F">
      <w:pPr>
        <w:spacing w:after="180" w:line="240" w:lineRule="auto"/>
        <w:ind w:left="900" w:hanging="4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Savage, C. Wade, "The Paradox </w:t>
      </w:r>
      <w:r w:rsidR="008B2C04">
        <w:rPr>
          <w:rFonts w:ascii="Times New Roman" w:eastAsia="Times New Roman" w:hAnsi="Times New Roman" w:cs="Times New Roman"/>
          <w:sz w:val="24"/>
          <w:szCs w:val="24"/>
        </w:rPr>
        <w:t>of</w:t>
      </w:r>
      <w:r>
        <w:rPr>
          <w:rFonts w:ascii="Times New Roman" w:eastAsia="Times New Roman" w:hAnsi="Times New Roman" w:cs="Times New Roman"/>
          <w:sz w:val="24"/>
          <w:szCs w:val="24"/>
        </w:rPr>
        <w:t xml:space="preserve"> The Stone", </w:t>
      </w:r>
      <w:r>
        <w:rPr>
          <w:rFonts w:ascii="Times New Roman" w:eastAsia="Times New Roman" w:hAnsi="Times New Roman" w:cs="Times New Roman"/>
          <w:i/>
          <w:sz w:val="24"/>
          <w:szCs w:val="24"/>
        </w:rPr>
        <w:t>The Philosophical Review</w:t>
      </w:r>
      <w:r>
        <w:rPr>
          <w:rFonts w:ascii="Times New Roman" w:eastAsia="Times New Roman" w:hAnsi="Times New Roman" w:cs="Times New Roman"/>
          <w:sz w:val="24"/>
          <w:szCs w:val="24"/>
        </w:rPr>
        <w:t>, 76 (1967), 74-79 &lt;https://doi.org/10.2307/2182966&gt;</w:t>
      </w:r>
    </w:p>
    <w:p w14:paraId="37A9AAF7" w14:textId="77731548" w:rsidR="00B15D0A" w:rsidRDefault="009A366F">
      <w:pPr>
        <w:spacing w:after="180" w:line="240" w:lineRule="auto"/>
        <w:ind w:left="900" w:hanging="4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Wright, John H., "Divine Knowledge </w:t>
      </w:r>
      <w:r w:rsidR="008B2C04">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Human F</w:t>
      </w:r>
      <w:r>
        <w:rPr>
          <w:rFonts w:ascii="Times New Roman" w:eastAsia="Times New Roman" w:hAnsi="Times New Roman" w:cs="Times New Roman"/>
          <w:sz w:val="24"/>
          <w:szCs w:val="24"/>
        </w:rPr>
        <w:t xml:space="preserve">reedom: The God Who Dialogues", </w:t>
      </w:r>
      <w:r>
        <w:rPr>
          <w:rFonts w:ascii="Times New Roman" w:eastAsia="Times New Roman" w:hAnsi="Times New Roman" w:cs="Times New Roman"/>
          <w:i/>
          <w:sz w:val="24"/>
          <w:szCs w:val="24"/>
        </w:rPr>
        <w:t>Theological Studies</w:t>
      </w:r>
      <w:r>
        <w:rPr>
          <w:rFonts w:ascii="Times New Roman" w:eastAsia="Times New Roman" w:hAnsi="Times New Roman" w:cs="Times New Roman"/>
          <w:sz w:val="24"/>
          <w:szCs w:val="24"/>
        </w:rPr>
        <w:t>, 38 (1977), 450-477 &lt;https://doi.org/10.1177/004056397703800301&gt;</w:t>
      </w:r>
    </w:p>
    <w:p w14:paraId="031086FF" w14:textId="7C2E9465" w:rsidR="00B15D0A" w:rsidRDefault="009A366F">
      <w:pPr>
        <w:spacing w:after="180" w:line="240" w:lineRule="auto"/>
        <w:ind w:left="900" w:hanging="4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Wyma, Keith D., “Innocent Sinfulness, Guilty Sin: Original Sin and Divine Justice” in </w:t>
      </w:r>
      <w:r>
        <w:rPr>
          <w:rFonts w:ascii="Times New Roman" w:eastAsia="Times New Roman" w:hAnsi="Times New Roman" w:cs="Times New Roman"/>
          <w:i/>
          <w:sz w:val="24"/>
          <w:szCs w:val="24"/>
        </w:rPr>
        <w:t xml:space="preserve">Christian Faith </w:t>
      </w:r>
      <w:r w:rsidR="008B2C04">
        <w:rPr>
          <w:rFonts w:ascii="Times New Roman" w:eastAsia="Times New Roman" w:hAnsi="Times New Roman" w:cs="Times New Roman"/>
          <w:i/>
          <w:sz w:val="24"/>
          <w:szCs w:val="24"/>
        </w:rPr>
        <w:t>and</w:t>
      </w:r>
      <w:r>
        <w:rPr>
          <w:rFonts w:ascii="Times New Roman" w:eastAsia="Times New Roman" w:hAnsi="Times New Roman" w:cs="Times New Roman"/>
          <w:i/>
          <w:sz w:val="24"/>
          <w:szCs w:val="24"/>
        </w:rPr>
        <w:t xml:space="preserve"> The Problem </w:t>
      </w:r>
      <w:r w:rsidR="008B2C04">
        <w:rPr>
          <w:rFonts w:ascii="Times New Roman" w:eastAsia="Times New Roman" w:hAnsi="Times New Roman" w:cs="Times New Roman"/>
          <w:i/>
          <w:sz w:val="24"/>
          <w:szCs w:val="24"/>
        </w:rPr>
        <w:t>of</w:t>
      </w:r>
      <w:r>
        <w:rPr>
          <w:rFonts w:ascii="Times New Roman" w:eastAsia="Times New Roman" w:hAnsi="Times New Roman" w:cs="Times New Roman"/>
          <w:i/>
          <w:sz w:val="24"/>
          <w:szCs w:val="24"/>
        </w:rPr>
        <w:t xml:space="preserve"> Evil, </w:t>
      </w:r>
      <w:r>
        <w:rPr>
          <w:rFonts w:ascii="Times New Roman" w:eastAsia="Times New Roman" w:hAnsi="Times New Roman" w:cs="Times New Roman"/>
          <w:sz w:val="24"/>
          <w:szCs w:val="24"/>
        </w:rPr>
        <w:t>ed. Peter Va</w:t>
      </w:r>
      <w:r>
        <w:rPr>
          <w:rFonts w:ascii="Times New Roman" w:eastAsia="Times New Roman" w:hAnsi="Times New Roman" w:cs="Times New Roman"/>
          <w:sz w:val="24"/>
          <w:szCs w:val="24"/>
        </w:rPr>
        <w:t>n Inwagen, (Grand Rapids (Mich.): W.B. Eerdmans Pub., 2004), pp. 263-276</w:t>
      </w:r>
    </w:p>
    <w:p w14:paraId="2C17A022" w14:textId="77777777" w:rsidR="00B15D0A" w:rsidRDefault="00B15D0A">
      <w:pPr>
        <w:spacing w:after="0" w:line="276" w:lineRule="auto"/>
        <w:rPr>
          <w:rFonts w:ascii="Times New Roman" w:eastAsia="Times New Roman" w:hAnsi="Times New Roman" w:cs="Times New Roman"/>
          <w:sz w:val="24"/>
          <w:szCs w:val="24"/>
        </w:rPr>
      </w:pPr>
    </w:p>
    <w:p w14:paraId="2166F460" w14:textId="77777777" w:rsidR="00B15D0A" w:rsidRDefault="00B15D0A">
      <w:pPr>
        <w:spacing w:line="276" w:lineRule="auto"/>
        <w:jc w:val="both"/>
        <w:rPr>
          <w:rFonts w:ascii="Times New Roman" w:eastAsia="Times New Roman" w:hAnsi="Times New Roman" w:cs="Times New Roman"/>
          <w:sz w:val="24"/>
          <w:szCs w:val="24"/>
        </w:rPr>
      </w:pPr>
      <w:bookmarkStart w:id="61" w:name="_heading=h.d697qzouq2fw" w:colFirst="0" w:colLast="0"/>
      <w:bookmarkEnd w:id="61"/>
    </w:p>
    <w:sectPr w:rsidR="00B15D0A">
      <w:headerReference w:type="default" r:id="rId9"/>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696BA3" w14:textId="77777777" w:rsidR="009A366F" w:rsidRDefault="009A366F">
      <w:pPr>
        <w:spacing w:after="0" w:line="240" w:lineRule="auto"/>
      </w:pPr>
      <w:r>
        <w:separator/>
      </w:r>
    </w:p>
  </w:endnote>
  <w:endnote w:type="continuationSeparator" w:id="0">
    <w:p w14:paraId="03435D9A" w14:textId="77777777" w:rsidR="009A366F" w:rsidRDefault="009A36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4A8914" w14:textId="77777777" w:rsidR="009A366F" w:rsidRDefault="009A366F">
      <w:pPr>
        <w:spacing w:after="0" w:line="240" w:lineRule="auto"/>
      </w:pPr>
      <w:r>
        <w:separator/>
      </w:r>
    </w:p>
  </w:footnote>
  <w:footnote w:type="continuationSeparator" w:id="0">
    <w:p w14:paraId="4D77BFBF" w14:textId="77777777" w:rsidR="009A366F" w:rsidRDefault="009A366F">
      <w:pPr>
        <w:spacing w:after="0" w:line="240" w:lineRule="auto"/>
      </w:pPr>
      <w:r>
        <w:continuationSeparator/>
      </w:r>
    </w:p>
  </w:footnote>
  <w:footnote w:id="1">
    <w:p w14:paraId="677D704E" w14:textId="77777777" w:rsidR="00B15D0A" w:rsidRDefault="009A366F">
      <w:pPr>
        <w:pBdr>
          <w:top w:val="nil"/>
          <w:left w:val="nil"/>
          <w:bottom w:val="nil"/>
          <w:right w:val="nil"/>
          <w:between w:val="nil"/>
        </w:pBdr>
        <w:spacing w:after="0" w:line="240" w:lineRule="auto"/>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Robert Kane, </w:t>
      </w:r>
      <w:r>
        <w:rPr>
          <w:rFonts w:ascii="Times New Roman" w:eastAsia="Times New Roman" w:hAnsi="Times New Roman" w:cs="Times New Roman"/>
          <w:i/>
          <w:color w:val="000000"/>
          <w:sz w:val="20"/>
          <w:szCs w:val="20"/>
        </w:rPr>
        <w:t>Free Will</w:t>
      </w:r>
      <w:r>
        <w:rPr>
          <w:rFonts w:ascii="Times New Roman" w:eastAsia="Times New Roman" w:hAnsi="Times New Roman" w:cs="Times New Roman"/>
          <w:color w:val="000000"/>
          <w:sz w:val="20"/>
          <w:szCs w:val="20"/>
        </w:rPr>
        <w:t xml:space="preserve"> (Malden, MA: Blackwell Publishers, 2009), p. 5</w:t>
      </w:r>
    </w:p>
  </w:footnote>
  <w:footnote w:id="2">
    <w:p w14:paraId="524A4E8F" w14:textId="77777777" w:rsidR="00B15D0A" w:rsidRDefault="009A366F">
      <w:pPr>
        <w:pBdr>
          <w:top w:val="nil"/>
          <w:left w:val="nil"/>
          <w:bottom w:val="nil"/>
          <w:right w:val="nil"/>
          <w:between w:val="nil"/>
        </w:pBdr>
        <w:spacing w:after="0" w:line="240" w:lineRule="auto"/>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w:t>
      </w:r>
      <w:r>
        <w:rPr>
          <w:rFonts w:ascii="Times New Roman" w:eastAsia="Times New Roman" w:hAnsi="Times New Roman" w:cs="Times New Roman"/>
          <w:i/>
          <w:color w:val="000000"/>
          <w:sz w:val="20"/>
          <w:szCs w:val="20"/>
        </w:rPr>
        <w:t>ibid.</w:t>
      </w:r>
    </w:p>
  </w:footnote>
  <w:footnote w:id="3">
    <w:p w14:paraId="07B495D9" w14:textId="77777777" w:rsidR="00B15D0A" w:rsidRDefault="009A366F">
      <w:pPr>
        <w:pBdr>
          <w:top w:val="nil"/>
          <w:left w:val="nil"/>
          <w:bottom w:val="nil"/>
          <w:right w:val="nil"/>
          <w:between w:val="nil"/>
        </w:pBdr>
        <w:spacing w:after="0" w:line="240" w:lineRule="auto"/>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Hilary Bok, ed. Gary Watson, </w:t>
      </w:r>
      <w:r>
        <w:rPr>
          <w:rFonts w:ascii="Times New Roman" w:eastAsia="Times New Roman" w:hAnsi="Times New Roman" w:cs="Times New Roman"/>
          <w:i/>
          <w:color w:val="000000"/>
          <w:sz w:val="20"/>
          <w:szCs w:val="20"/>
        </w:rPr>
        <w:t>Free Will</w:t>
      </w:r>
      <w:r>
        <w:rPr>
          <w:rFonts w:ascii="Times New Roman" w:eastAsia="Times New Roman" w:hAnsi="Times New Roman" w:cs="Times New Roman"/>
          <w:color w:val="000000"/>
          <w:sz w:val="20"/>
          <w:szCs w:val="20"/>
        </w:rPr>
        <w:t xml:space="preserve"> (Oxford: Oxford University Press, 2011), pp. 130-166.</w:t>
      </w:r>
    </w:p>
  </w:footnote>
  <w:footnote w:id="4">
    <w:p w14:paraId="35E56DC4" w14:textId="77777777" w:rsidR="00B15D0A" w:rsidRDefault="009A366F">
      <w:pPr>
        <w:pBdr>
          <w:top w:val="nil"/>
          <w:left w:val="nil"/>
          <w:bottom w:val="nil"/>
          <w:right w:val="nil"/>
          <w:between w:val="nil"/>
        </w:pBdr>
        <w:spacing w:after="0" w:line="240" w:lineRule="auto"/>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William Hasker, </w:t>
      </w:r>
      <w:r>
        <w:rPr>
          <w:rFonts w:ascii="Times New Roman" w:eastAsia="Times New Roman" w:hAnsi="Times New Roman" w:cs="Times New Roman"/>
          <w:i/>
          <w:color w:val="000000"/>
          <w:sz w:val="20"/>
          <w:szCs w:val="20"/>
        </w:rPr>
        <w:t>The Openness of God</w:t>
      </w:r>
      <w:r>
        <w:rPr>
          <w:rFonts w:ascii="Times New Roman" w:eastAsia="Times New Roman" w:hAnsi="Times New Roman" w:cs="Times New Roman"/>
          <w:color w:val="000000"/>
          <w:sz w:val="20"/>
          <w:szCs w:val="20"/>
        </w:rPr>
        <w:t xml:space="preserve"> (Downers Grove: InterVarsity Press, 1994), pp. 136-137.</w:t>
      </w:r>
    </w:p>
  </w:footnote>
  <w:footnote w:id="5">
    <w:p w14:paraId="3DB0BA11" w14:textId="77777777" w:rsidR="00B15D0A" w:rsidRDefault="009A366F">
      <w:pPr>
        <w:pBdr>
          <w:top w:val="nil"/>
          <w:left w:val="nil"/>
          <w:bottom w:val="nil"/>
          <w:right w:val="nil"/>
          <w:between w:val="nil"/>
        </w:pBdr>
        <w:spacing w:after="0" w:line="240" w:lineRule="auto"/>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Mortimer Jerome Adler, </w:t>
      </w:r>
      <w:r>
        <w:rPr>
          <w:rFonts w:ascii="Times New Roman" w:eastAsia="Times New Roman" w:hAnsi="Times New Roman" w:cs="Times New Roman"/>
          <w:i/>
          <w:color w:val="000000"/>
          <w:sz w:val="20"/>
          <w:szCs w:val="20"/>
        </w:rPr>
        <w:t>The Idea of Freedom: A Dialectical Examination of The Idea of Freedom</w:t>
      </w:r>
      <w:r>
        <w:rPr>
          <w:rFonts w:ascii="Times New Roman" w:eastAsia="Times New Roman" w:hAnsi="Times New Roman" w:cs="Times New Roman"/>
          <w:color w:val="000000"/>
          <w:sz w:val="20"/>
          <w:szCs w:val="20"/>
        </w:rPr>
        <w:t xml:space="preserve"> (Westport, C</w:t>
      </w:r>
      <w:r>
        <w:rPr>
          <w:rFonts w:ascii="Times New Roman" w:eastAsia="Times New Roman" w:hAnsi="Times New Roman" w:cs="Times New Roman"/>
          <w:color w:val="000000"/>
          <w:sz w:val="20"/>
          <w:szCs w:val="20"/>
        </w:rPr>
        <w:t>onn.: Doubleday, 1958), p. 127.</w:t>
      </w:r>
    </w:p>
  </w:footnote>
  <w:footnote w:id="6">
    <w:p w14:paraId="3FDEEB0D" w14:textId="77777777" w:rsidR="00B15D0A" w:rsidRDefault="009A366F">
      <w:pPr>
        <w:pBdr>
          <w:top w:val="nil"/>
          <w:left w:val="nil"/>
          <w:bottom w:val="nil"/>
          <w:right w:val="nil"/>
          <w:between w:val="nil"/>
        </w:pBdr>
        <w:spacing w:after="0" w:line="240" w:lineRule="auto"/>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Harry J. McSorley, </w:t>
      </w:r>
      <w:r>
        <w:rPr>
          <w:rFonts w:ascii="Times New Roman" w:eastAsia="Times New Roman" w:hAnsi="Times New Roman" w:cs="Times New Roman"/>
          <w:i/>
          <w:color w:val="000000"/>
          <w:sz w:val="20"/>
          <w:szCs w:val="20"/>
        </w:rPr>
        <w:t>Luther: Right or Wrong?: An Ecumenical-Theological Study of Luther's Major Work, The Bondage of The Will</w:t>
      </w:r>
      <w:r>
        <w:rPr>
          <w:rFonts w:ascii="Times New Roman" w:eastAsia="Times New Roman" w:hAnsi="Times New Roman" w:cs="Times New Roman"/>
          <w:color w:val="000000"/>
          <w:sz w:val="20"/>
          <w:szCs w:val="20"/>
        </w:rPr>
        <w:t xml:space="preserve"> (New York: Newman Press, 1967), p. 26</w:t>
      </w:r>
    </w:p>
  </w:footnote>
  <w:footnote w:id="7">
    <w:p w14:paraId="65EC397F" w14:textId="77777777" w:rsidR="00B15D0A" w:rsidRDefault="009A366F">
      <w:pPr>
        <w:pBdr>
          <w:top w:val="nil"/>
          <w:left w:val="nil"/>
          <w:bottom w:val="nil"/>
          <w:right w:val="nil"/>
          <w:between w:val="nil"/>
        </w:pBdr>
        <w:spacing w:after="0" w:line="240" w:lineRule="auto"/>
        <w:rPr>
          <w:rFonts w:ascii="Times New Roman" w:eastAsia="Times New Roman" w:hAnsi="Times New Roman" w:cs="Times New Roman"/>
          <w:i/>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w:t>
      </w:r>
      <w:r>
        <w:rPr>
          <w:rFonts w:ascii="Times New Roman" w:eastAsia="Times New Roman" w:hAnsi="Times New Roman" w:cs="Times New Roman"/>
          <w:i/>
          <w:color w:val="000000"/>
          <w:sz w:val="20"/>
          <w:szCs w:val="20"/>
        </w:rPr>
        <w:t>ibid.</w:t>
      </w:r>
    </w:p>
  </w:footnote>
  <w:footnote w:id="8">
    <w:p w14:paraId="3266ACEE" w14:textId="77777777" w:rsidR="00B15D0A" w:rsidRDefault="009A366F">
      <w:pPr>
        <w:pBdr>
          <w:top w:val="nil"/>
          <w:left w:val="nil"/>
          <w:bottom w:val="nil"/>
          <w:right w:val="nil"/>
          <w:between w:val="nil"/>
        </w:pBdr>
        <w:spacing w:after="0" w:line="240" w:lineRule="auto"/>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McSorley, p. 27</w:t>
      </w:r>
    </w:p>
  </w:footnote>
  <w:footnote w:id="9">
    <w:p w14:paraId="2805009A" w14:textId="77777777" w:rsidR="00B15D0A" w:rsidRDefault="009A366F">
      <w:pPr>
        <w:pBdr>
          <w:top w:val="nil"/>
          <w:left w:val="nil"/>
          <w:bottom w:val="nil"/>
          <w:right w:val="nil"/>
          <w:between w:val="nil"/>
        </w:pBdr>
        <w:spacing w:after="0" w:line="240" w:lineRule="auto"/>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Desmond J Fitzgerald. “Adler’s T</w:t>
      </w:r>
      <w:r>
        <w:rPr>
          <w:rFonts w:ascii="Times New Roman" w:eastAsia="Times New Roman" w:hAnsi="Times New Roman" w:cs="Times New Roman"/>
          <w:color w:val="000000"/>
          <w:sz w:val="20"/>
          <w:szCs w:val="20"/>
        </w:rPr>
        <w:t xml:space="preserve">he Idea of Freedom” in </w:t>
      </w:r>
      <w:r>
        <w:rPr>
          <w:rFonts w:ascii="Times New Roman" w:eastAsia="Times New Roman" w:hAnsi="Times New Roman" w:cs="Times New Roman"/>
          <w:i/>
          <w:color w:val="000000"/>
          <w:sz w:val="20"/>
          <w:szCs w:val="20"/>
        </w:rPr>
        <w:t xml:space="preserve">Freedom in The Modern World, </w:t>
      </w:r>
      <w:r>
        <w:rPr>
          <w:rFonts w:ascii="Times New Roman" w:eastAsia="Times New Roman" w:hAnsi="Times New Roman" w:cs="Times New Roman"/>
          <w:color w:val="000000"/>
          <w:sz w:val="20"/>
          <w:szCs w:val="20"/>
        </w:rPr>
        <w:t>ed. by Jacques Maritain, Yves R. Simon, and Mortimer J. Adler. (Notre Dame, Ind.: Univ. of Notre Dame Press, 1990), pp. 47-56.</w:t>
      </w:r>
    </w:p>
  </w:footnote>
  <w:footnote w:id="10">
    <w:p w14:paraId="62F4DB20" w14:textId="77777777" w:rsidR="00B15D0A" w:rsidRDefault="009A366F">
      <w:pPr>
        <w:pBdr>
          <w:top w:val="nil"/>
          <w:left w:val="nil"/>
          <w:bottom w:val="nil"/>
          <w:right w:val="nil"/>
          <w:between w:val="nil"/>
        </w:pBdr>
        <w:spacing w:after="0" w:line="240" w:lineRule="auto"/>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Stephen J. Binz, </w:t>
      </w:r>
      <w:r>
        <w:rPr>
          <w:rFonts w:ascii="Times New Roman" w:eastAsia="Times New Roman" w:hAnsi="Times New Roman" w:cs="Times New Roman"/>
          <w:i/>
          <w:color w:val="000000"/>
          <w:sz w:val="20"/>
          <w:szCs w:val="20"/>
        </w:rPr>
        <w:t>The God of Freedom and Life: A Commentary on The Book of E</w:t>
      </w:r>
      <w:r>
        <w:rPr>
          <w:rFonts w:ascii="Times New Roman" w:eastAsia="Times New Roman" w:hAnsi="Times New Roman" w:cs="Times New Roman"/>
          <w:i/>
          <w:color w:val="000000"/>
          <w:sz w:val="20"/>
          <w:szCs w:val="20"/>
        </w:rPr>
        <w:t>xodus</w:t>
      </w:r>
      <w:r>
        <w:rPr>
          <w:rFonts w:ascii="Times New Roman" w:eastAsia="Times New Roman" w:hAnsi="Times New Roman" w:cs="Times New Roman"/>
          <w:color w:val="000000"/>
          <w:sz w:val="20"/>
          <w:szCs w:val="20"/>
        </w:rPr>
        <w:t xml:space="preserve"> (Collegeville, MN: Liturgical Press, 1993), p. 7 </w:t>
      </w:r>
      <w:r>
        <w:rPr>
          <w:rFonts w:ascii="Times New Roman" w:eastAsia="Times New Roman" w:hAnsi="Times New Roman" w:cs="Times New Roman"/>
          <w:sz w:val="20"/>
          <w:szCs w:val="20"/>
        </w:rPr>
        <w:t>[</w:t>
      </w:r>
      <w:r>
        <w:rPr>
          <w:rFonts w:ascii="Times New Roman" w:eastAsia="Times New Roman" w:hAnsi="Times New Roman" w:cs="Times New Roman"/>
          <w:color w:val="000000"/>
          <w:sz w:val="20"/>
          <w:szCs w:val="20"/>
        </w:rPr>
        <w:t>emphasis added</w:t>
      </w:r>
      <w:r>
        <w:rPr>
          <w:rFonts w:ascii="Times New Roman" w:eastAsia="Times New Roman" w:hAnsi="Times New Roman" w:cs="Times New Roman"/>
          <w:sz w:val="20"/>
          <w:szCs w:val="20"/>
        </w:rPr>
        <w:t>]</w:t>
      </w:r>
    </w:p>
  </w:footnote>
  <w:footnote w:id="11">
    <w:p w14:paraId="668749E4" w14:textId="1BC51F34" w:rsidR="00B15D0A" w:rsidRDefault="009A366F">
      <w:pPr>
        <w:spacing w:after="0" w:line="240" w:lineRule="auto"/>
        <w:rPr>
          <w:rFonts w:ascii="Times New Roman" w:eastAsia="Times New Roman" w:hAnsi="Times New Roman" w:cs="Times New Roman"/>
          <w:sz w:val="20"/>
          <w:szCs w:val="20"/>
        </w:rPr>
      </w:pPr>
      <w:r>
        <w:rPr>
          <w:rStyle w:val="FootnoteReference"/>
        </w:rPr>
        <w:footnoteRef/>
      </w:r>
      <w:r>
        <w:rPr>
          <w:rFonts w:ascii="Times New Roman" w:eastAsia="Times New Roman" w:hAnsi="Times New Roman" w:cs="Times New Roman"/>
          <w:sz w:val="20"/>
          <w:szCs w:val="20"/>
        </w:rPr>
        <w:t xml:space="preserve"> Jefferson Hunter, "Three Versions </w:t>
      </w:r>
      <w:r w:rsidR="008B2C04">
        <w:rPr>
          <w:rFonts w:ascii="Times New Roman" w:eastAsia="Times New Roman" w:hAnsi="Times New Roman" w:cs="Times New Roman"/>
          <w:sz w:val="20"/>
          <w:szCs w:val="20"/>
        </w:rPr>
        <w:t>of</w:t>
      </w:r>
      <w:r>
        <w:rPr>
          <w:rFonts w:ascii="Times New Roman" w:eastAsia="Times New Roman" w:hAnsi="Times New Roman" w:cs="Times New Roman"/>
          <w:sz w:val="20"/>
          <w:szCs w:val="20"/>
        </w:rPr>
        <w:t xml:space="preserve"> Peter's Denial", </w:t>
      </w:r>
      <w:r>
        <w:rPr>
          <w:rFonts w:ascii="Times New Roman" w:eastAsia="Times New Roman" w:hAnsi="Times New Roman" w:cs="Times New Roman"/>
          <w:i/>
          <w:sz w:val="20"/>
          <w:szCs w:val="20"/>
        </w:rPr>
        <w:t>The Hudson Review,</w:t>
      </w:r>
      <w:r>
        <w:rPr>
          <w:rFonts w:ascii="Times New Roman" w:eastAsia="Times New Roman" w:hAnsi="Times New Roman" w:cs="Times New Roman"/>
          <w:sz w:val="20"/>
          <w:szCs w:val="20"/>
        </w:rPr>
        <w:t xml:space="preserve"> 33.1 (1980), 39 &lt;https://doi.org/10.2307/3850713&gt;.</w:t>
      </w:r>
    </w:p>
  </w:footnote>
  <w:footnote w:id="12">
    <w:p w14:paraId="6F2AA5EA" w14:textId="77777777" w:rsidR="00B15D0A" w:rsidRDefault="009A366F">
      <w:pPr>
        <w:spacing w:after="0" w:line="240" w:lineRule="auto"/>
        <w:rPr>
          <w:rFonts w:ascii="Times New Roman" w:eastAsia="Times New Roman" w:hAnsi="Times New Roman" w:cs="Times New Roman"/>
          <w:i/>
          <w:sz w:val="20"/>
          <w:szCs w:val="20"/>
        </w:rPr>
      </w:pPr>
      <w:r>
        <w:rPr>
          <w:rStyle w:val="FootnoteReference"/>
        </w:rPr>
        <w:footnoteRef/>
      </w:r>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ibid.</w:t>
      </w:r>
    </w:p>
  </w:footnote>
  <w:footnote w:id="13">
    <w:p w14:paraId="522BE609" w14:textId="77777777" w:rsidR="00B15D0A" w:rsidRDefault="009A366F">
      <w:pPr>
        <w:spacing w:after="0" w:line="240" w:lineRule="auto"/>
        <w:rPr>
          <w:rFonts w:ascii="Times New Roman" w:eastAsia="Times New Roman" w:hAnsi="Times New Roman" w:cs="Times New Roman"/>
          <w:i/>
          <w:sz w:val="20"/>
          <w:szCs w:val="20"/>
        </w:rPr>
      </w:pPr>
      <w:r>
        <w:rPr>
          <w:rStyle w:val="FootnoteReference"/>
        </w:rPr>
        <w:footnoteRef/>
      </w:r>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ibid.</w:t>
      </w:r>
    </w:p>
  </w:footnote>
  <w:footnote w:id="14">
    <w:p w14:paraId="7924D3FD" w14:textId="77777777" w:rsidR="00B15D0A" w:rsidRDefault="009A366F">
      <w:pPr>
        <w:spacing w:after="0" w:line="240" w:lineRule="auto"/>
        <w:rPr>
          <w:rFonts w:ascii="Times New Roman" w:eastAsia="Times New Roman" w:hAnsi="Times New Roman" w:cs="Times New Roman"/>
          <w:i/>
          <w:sz w:val="20"/>
          <w:szCs w:val="20"/>
        </w:rPr>
      </w:pPr>
      <w:r>
        <w:rPr>
          <w:rStyle w:val="FootnoteReference"/>
        </w:rPr>
        <w:footnoteRef/>
      </w:r>
      <w:r>
        <w:rPr>
          <w:rFonts w:ascii="Times New Roman" w:eastAsia="Times New Roman" w:hAnsi="Times New Roman" w:cs="Times New Roman"/>
          <w:i/>
          <w:sz w:val="20"/>
          <w:szCs w:val="20"/>
        </w:rPr>
        <w:t xml:space="preserve"> Read Genesis 2:4-3:24 (NRSV) for more information about the creation of humanity according to the Bible.</w:t>
      </w:r>
    </w:p>
  </w:footnote>
  <w:footnote w:id="15">
    <w:p w14:paraId="14E58042" w14:textId="72F4E328" w:rsidR="00B15D0A" w:rsidRDefault="009A366F">
      <w:pPr>
        <w:spacing w:after="0" w:line="240" w:lineRule="auto"/>
        <w:rPr>
          <w:sz w:val="20"/>
          <w:szCs w:val="20"/>
        </w:rPr>
      </w:pPr>
      <w:r>
        <w:rPr>
          <w:rStyle w:val="FootnoteReference"/>
        </w:rPr>
        <w:footnoteRef/>
      </w:r>
      <w:r>
        <w:rPr>
          <w:sz w:val="20"/>
          <w:szCs w:val="20"/>
        </w:rPr>
        <w:t xml:space="preserve"> </w:t>
      </w:r>
      <w:r>
        <w:rPr>
          <w:rFonts w:ascii="Times New Roman" w:eastAsia="Times New Roman" w:hAnsi="Times New Roman" w:cs="Times New Roman"/>
          <w:sz w:val="20"/>
          <w:szCs w:val="20"/>
        </w:rPr>
        <w:t xml:space="preserve">Keith D. Wyma, “Innocent Sinfulness, Guilty Sin: Original Sin and Divine Justice” in </w:t>
      </w:r>
      <w:r>
        <w:rPr>
          <w:rFonts w:ascii="Times New Roman" w:eastAsia="Times New Roman" w:hAnsi="Times New Roman" w:cs="Times New Roman"/>
          <w:i/>
          <w:sz w:val="20"/>
          <w:szCs w:val="20"/>
        </w:rPr>
        <w:t xml:space="preserve">Christian Faith </w:t>
      </w:r>
      <w:r w:rsidR="008B2C04">
        <w:rPr>
          <w:rFonts w:ascii="Times New Roman" w:eastAsia="Times New Roman" w:hAnsi="Times New Roman" w:cs="Times New Roman"/>
          <w:i/>
          <w:sz w:val="20"/>
          <w:szCs w:val="20"/>
        </w:rPr>
        <w:t>and</w:t>
      </w:r>
      <w:r>
        <w:rPr>
          <w:rFonts w:ascii="Times New Roman" w:eastAsia="Times New Roman" w:hAnsi="Times New Roman" w:cs="Times New Roman"/>
          <w:i/>
          <w:sz w:val="20"/>
          <w:szCs w:val="20"/>
        </w:rPr>
        <w:t xml:space="preserve"> The Problem </w:t>
      </w:r>
      <w:r w:rsidR="008B2C04">
        <w:rPr>
          <w:rFonts w:ascii="Times New Roman" w:eastAsia="Times New Roman" w:hAnsi="Times New Roman" w:cs="Times New Roman"/>
          <w:i/>
          <w:sz w:val="20"/>
          <w:szCs w:val="20"/>
        </w:rPr>
        <w:t>of</w:t>
      </w:r>
      <w:r>
        <w:rPr>
          <w:rFonts w:ascii="Times New Roman" w:eastAsia="Times New Roman" w:hAnsi="Times New Roman" w:cs="Times New Roman"/>
          <w:i/>
          <w:sz w:val="20"/>
          <w:szCs w:val="20"/>
        </w:rPr>
        <w:t xml:space="preserve"> Evil, </w:t>
      </w:r>
      <w:r>
        <w:rPr>
          <w:rFonts w:ascii="Times New Roman" w:eastAsia="Times New Roman" w:hAnsi="Times New Roman" w:cs="Times New Roman"/>
          <w:sz w:val="20"/>
          <w:szCs w:val="20"/>
        </w:rPr>
        <w:t xml:space="preserve">ed. Peter Van </w:t>
      </w:r>
      <w:r>
        <w:rPr>
          <w:rFonts w:ascii="Times New Roman" w:eastAsia="Times New Roman" w:hAnsi="Times New Roman" w:cs="Times New Roman"/>
          <w:sz w:val="20"/>
          <w:szCs w:val="20"/>
        </w:rPr>
        <w:t>Inwagen,</w:t>
      </w:r>
      <w:r>
        <w:rPr>
          <w:rFonts w:ascii="Times New Roman" w:eastAsia="Times New Roman" w:hAnsi="Times New Roman" w:cs="Times New Roman"/>
          <w:sz w:val="20"/>
          <w:szCs w:val="20"/>
        </w:rPr>
        <w:t xml:space="preserve"> (</w:t>
      </w:r>
      <w:r>
        <w:rPr>
          <w:rFonts w:ascii="Times New Roman" w:eastAsia="Times New Roman" w:hAnsi="Times New Roman" w:cs="Times New Roman"/>
          <w:sz w:val="20"/>
          <w:szCs w:val="20"/>
        </w:rPr>
        <w:t>Grand Rapids (Mich.): W.B. Eerdmans Pub., 2004), pp. 263-276</w:t>
      </w:r>
    </w:p>
  </w:footnote>
  <w:footnote w:id="16">
    <w:p w14:paraId="43761475" w14:textId="77777777" w:rsidR="00B15D0A" w:rsidRDefault="009A366F">
      <w:pPr>
        <w:spacing w:after="0" w:line="240" w:lineRule="auto"/>
        <w:rPr>
          <w:rFonts w:ascii="Times New Roman" w:eastAsia="Times New Roman" w:hAnsi="Times New Roman" w:cs="Times New Roman"/>
          <w:sz w:val="20"/>
          <w:szCs w:val="20"/>
        </w:rPr>
      </w:pPr>
      <w:r>
        <w:rPr>
          <w:rStyle w:val="FootnoteReference"/>
        </w:rPr>
        <w:footnoteRef/>
      </w:r>
      <w:r>
        <w:rPr>
          <w:rFonts w:ascii="Times New Roman" w:eastAsia="Times New Roman" w:hAnsi="Times New Roman" w:cs="Times New Roman"/>
          <w:sz w:val="20"/>
          <w:szCs w:val="20"/>
        </w:rPr>
        <w:t xml:space="preserve"> Maurice Goguel, "Did Peter Deny His Lord? A Conjecture", </w:t>
      </w:r>
      <w:r>
        <w:rPr>
          <w:rFonts w:ascii="Times New Roman" w:eastAsia="Times New Roman" w:hAnsi="Times New Roman" w:cs="Times New Roman"/>
          <w:i/>
          <w:sz w:val="20"/>
          <w:szCs w:val="20"/>
        </w:rPr>
        <w:t>The Harvard Theological Review</w:t>
      </w:r>
      <w:r>
        <w:rPr>
          <w:rFonts w:ascii="Times New Roman" w:eastAsia="Times New Roman" w:hAnsi="Times New Roman" w:cs="Times New Roman"/>
          <w:sz w:val="20"/>
          <w:szCs w:val="20"/>
        </w:rPr>
        <w:t>, 25.1 (1932), 1-27.</w:t>
      </w:r>
    </w:p>
  </w:footnote>
  <w:footnote w:id="17">
    <w:p w14:paraId="23FB93FD" w14:textId="2B1F7BCF" w:rsidR="00B15D0A" w:rsidRDefault="009A366F">
      <w:pPr>
        <w:spacing w:after="0" w:line="240" w:lineRule="auto"/>
        <w:rPr>
          <w:rFonts w:ascii="Times New Roman" w:eastAsia="Times New Roman" w:hAnsi="Times New Roman" w:cs="Times New Roman"/>
          <w:sz w:val="20"/>
          <w:szCs w:val="20"/>
        </w:rPr>
      </w:pPr>
      <w:r>
        <w:rPr>
          <w:rStyle w:val="FootnoteReference"/>
        </w:rPr>
        <w:footnoteRef/>
      </w:r>
      <w:r>
        <w:rPr>
          <w:rFonts w:ascii="Times New Roman" w:eastAsia="Times New Roman" w:hAnsi="Times New Roman" w:cs="Times New Roman"/>
          <w:sz w:val="20"/>
          <w:szCs w:val="20"/>
        </w:rPr>
        <w:t xml:space="preserve"> James I. H McDonald, </w:t>
      </w:r>
      <w:r>
        <w:rPr>
          <w:rFonts w:ascii="Times New Roman" w:eastAsia="Times New Roman" w:hAnsi="Times New Roman" w:cs="Times New Roman"/>
          <w:i/>
          <w:sz w:val="20"/>
          <w:szCs w:val="20"/>
        </w:rPr>
        <w:t xml:space="preserve">Kerygma </w:t>
      </w:r>
      <w:r w:rsidR="008B2C04">
        <w:rPr>
          <w:rFonts w:ascii="Times New Roman" w:eastAsia="Times New Roman" w:hAnsi="Times New Roman" w:cs="Times New Roman"/>
          <w:i/>
          <w:sz w:val="20"/>
          <w:szCs w:val="20"/>
        </w:rPr>
        <w:t>and</w:t>
      </w:r>
      <w:r>
        <w:rPr>
          <w:rFonts w:ascii="Times New Roman" w:eastAsia="Times New Roman" w:hAnsi="Times New Roman" w:cs="Times New Roman"/>
          <w:i/>
          <w:sz w:val="20"/>
          <w:szCs w:val="20"/>
        </w:rPr>
        <w:t xml:space="preserve"> Didache: The Articulation </w:t>
      </w:r>
      <w:r w:rsidR="008B2C04">
        <w:rPr>
          <w:rFonts w:ascii="Times New Roman" w:eastAsia="Times New Roman" w:hAnsi="Times New Roman" w:cs="Times New Roman"/>
          <w:i/>
          <w:sz w:val="20"/>
          <w:szCs w:val="20"/>
        </w:rPr>
        <w:t>and</w:t>
      </w:r>
      <w:r>
        <w:rPr>
          <w:rFonts w:ascii="Times New Roman" w:eastAsia="Times New Roman" w:hAnsi="Times New Roman" w:cs="Times New Roman"/>
          <w:i/>
          <w:sz w:val="20"/>
          <w:szCs w:val="20"/>
        </w:rPr>
        <w:t xml:space="preserve"> Structure </w:t>
      </w:r>
      <w:r w:rsidR="008B2C04">
        <w:rPr>
          <w:rFonts w:ascii="Times New Roman" w:eastAsia="Times New Roman" w:hAnsi="Times New Roman" w:cs="Times New Roman"/>
          <w:i/>
          <w:sz w:val="20"/>
          <w:szCs w:val="20"/>
        </w:rPr>
        <w:t>of</w:t>
      </w:r>
      <w:r>
        <w:rPr>
          <w:rFonts w:ascii="Times New Roman" w:eastAsia="Times New Roman" w:hAnsi="Times New Roman" w:cs="Times New Roman"/>
          <w:i/>
          <w:sz w:val="20"/>
          <w:szCs w:val="20"/>
        </w:rPr>
        <w:t xml:space="preserve"> The Earliest Christian Message</w:t>
      </w:r>
      <w:r>
        <w:rPr>
          <w:rFonts w:ascii="Times New Roman" w:eastAsia="Times New Roman" w:hAnsi="Times New Roman" w:cs="Times New Roman"/>
          <w:sz w:val="20"/>
          <w:szCs w:val="20"/>
        </w:rPr>
        <w:t xml:space="preserve"> (Cambridge: Cambridge University Press, 2004).</w:t>
      </w:r>
    </w:p>
  </w:footnote>
  <w:footnote w:id="18">
    <w:p w14:paraId="05690F54" w14:textId="5B4B8B0E" w:rsidR="00B15D0A" w:rsidRDefault="009A366F">
      <w:pPr>
        <w:spacing w:after="0" w:line="240" w:lineRule="auto"/>
        <w:rPr>
          <w:rFonts w:ascii="Times New Roman" w:eastAsia="Times New Roman" w:hAnsi="Times New Roman" w:cs="Times New Roman"/>
          <w:sz w:val="20"/>
          <w:szCs w:val="20"/>
        </w:rPr>
      </w:pPr>
      <w:r>
        <w:rPr>
          <w:rStyle w:val="FootnoteReference"/>
        </w:rPr>
        <w:footnoteRef/>
      </w:r>
      <w:r>
        <w:rPr>
          <w:rFonts w:ascii="Times New Roman" w:eastAsia="Times New Roman" w:hAnsi="Times New Roman" w:cs="Times New Roman"/>
          <w:sz w:val="20"/>
          <w:szCs w:val="20"/>
        </w:rPr>
        <w:t xml:space="preserve"> John S Kloppenborg and Judith H Newman, </w:t>
      </w:r>
      <w:r>
        <w:rPr>
          <w:rFonts w:ascii="Times New Roman" w:eastAsia="Times New Roman" w:hAnsi="Times New Roman" w:cs="Times New Roman"/>
          <w:i/>
          <w:sz w:val="20"/>
          <w:szCs w:val="20"/>
        </w:rPr>
        <w:t xml:space="preserve">Editing </w:t>
      </w:r>
      <w:r w:rsidR="008B2C04">
        <w:rPr>
          <w:rFonts w:ascii="Times New Roman" w:eastAsia="Times New Roman" w:hAnsi="Times New Roman" w:cs="Times New Roman"/>
          <w:i/>
          <w:sz w:val="20"/>
          <w:szCs w:val="20"/>
        </w:rPr>
        <w:t>the</w:t>
      </w:r>
      <w:r>
        <w:rPr>
          <w:rFonts w:ascii="Times New Roman" w:eastAsia="Times New Roman" w:hAnsi="Times New Roman" w:cs="Times New Roman"/>
          <w:i/>
          <w:sz w:val="20"/>
          <w:szCs w:val="20"/>
        </w:rPr>
        <w:t xml:space="preserve"> Bible: Assessing </w:t>
      </w:r>
      <w:r w:rsidR="008B2C04">
        <w:rPr>
          <w:rFonts w:ascii="Times New Roman" w:eastAsia="Times New Roman" w:hAnsi="Times New Roman" w:cs="Times New Roman"/>
          <w:i/>
          <w:sz w:val="20"/>
          <w:szCs w:val="20"/>
        </w:rPr>
        <w:t>the</w:t>
      </w:r>
      <w:r>
        <w:rPr>
          <w:rFonts w:ascii="Times New Roman" w:eastAsia="Times New Roman" w:hAnsi="Times New Roman" w:cs="Times New Roman"/>
          <w:i/>
          <w:sz w:val="20"/>
          <w:szCs w:val="20"/>
        </w:rPr>
        <w:t xml:space="preserve"> Task Pa</w:t>
      </w:r>
      <w:r>
        <w:rPr>
          <w:rFonts w:ascii="Times New Roman" w:eastAsia="Times New Roman" w:hAnsi="Times New Roman" w:cs="Times New Roman"/>
          <w:i/>
          <w:sz w:val="20"/>
          <w:szCs w:val="20"/>
        </w:rPr>
        <w:t xml:space="preserve">st </w:t>
      </w:r>
      <w:r w:rsidR="008B2C04">
        <w:rPr>
          <w:rFonts w:ascii="Times New Roman" w:eastAsia="Times New Roman" w:hAnsi="Times New Roman" w:cs="Times New Roman"/>
          <w:i/>
          <w:sz w:val="20"/>
          <w:szCs w:val="20"/>
        </w:rPr>
        <w:t>and</w:t>
      </w:r>
      <w:r>
        <w:rPr>
          <w:rFonts w:ascii="Times New Roman" w:eastAsia="Times New Roman" w:hAnsi="Times New Roman" w:cs="Times New Roman"/>
          <w:i/>
          <w:sz w:val="20"/>
          <w:szCs w:val="20"/>
        </w:rPr>
        <w:t xml:space="preserve"> Present </w:t>
      </w:r>
      <w:r>
        <w:rPr>
          <w:rFonts w:ascii="Times New Roman" w:eastAsia="Times New Roman" w:hAnsi="Times New Roman" w:cs="Times New Roman"/>
          <w:sz w:val="20"/>
          <w:szCs w:val="20"/>
        </w:rPr>
        <w:t>(Atlanta: Society of Biblical Literature, 2012), p. 2.</w:t>
      </w:r>
    </w:p>
  </w:footnote>
  <w:footnote w:id="19">
    <w:p w14:paraId="2A7DC8C2" w14:textId="77777777" w:rsidR="00B15D0A" w:rsidRDefault="009A366F">
      <w:pPr>
        <w:spacing w:after="0" w:line="240" w:lineRule="auto"/>
        <w:rPr>
          <w:rFonts w:ascii="Times New Roman" w:eastAsia="Times New Roman" w:hAnsi="Times New Roman" w:cs="Times New Roman"/>
          <w:i/>
          <w:sz w:val="20"/>
          <w:szCs w:val="20"/>
        </w:rPr>
      </w:pPr>
      <w:r>
        <w:rPr>
          <w:rStyle w:val="FootnoteReference"/>
        </w:rPr>
        <w:footnoteRef/>
      </w:r>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ibid.</w:t>
      </w:r>
    </w:p>
  </w:footnote>
  <w:footnote w:id="20">
    <w:p w14:paraId="368B79A4" w14:textId="0DA249C9" w:rsidR="00B15D0A" w:rsidRDefault="009A366F">
      <w:pPr>
        <w:spacing w:after="0" w:line="240" w:lineRule="auto"/>
        <w:rPr>
          <w:rFonts w:ascii="Times New Roman" w:eastAsia="Times New Roman" w:hAnsi="Times New Roman" w:cs="Times New Roman"/>
          <w:sz w:val="20"/>
          <w:szCs w:val="20"/>
        </w:rPr>
      </w:pPr>
      <w:r>
        <w:rPr>
          <w:rStyle w:val="FootnoteReference"/>
        </w:rPr>
        <w:footnoteRef/>
      </w:r>
      <w:r>
        <w:rPr>
          <w:rFonts w:ascii="Times New Roman" w:eastAsia="Times New Roman" w:hAnsi="Times New Roman" w:cs="Times New Roman"/>
          <w:sz w:val="20"/>
          <w:szCs w:val="20"/>
        </w:rPr>
        <w:t xml:space="preserve"> René Girard, "Peter's Denial </w:t>
      </w:r>
      <w:r w:rsidR="008B2C04">
        <w:rPr>
          <w:rFonts w:ascii="Times New Roman" w:eastAsia="Times New Roman" w:hAnsi="Times New Roman" w:cs="Times New Roman"/>
          <w:sz w:val="20"/>
          <w:szCs w:val="20"/>
        </w:rPr>
        <w:t>and</w:t>
      </w:r>
      <w:r>
        <w:rPr>
          <w:rFonts w:ascii="Times New Roman" w:eastAsia="Times New Roman" w:hAnsi="Times New Roman" w:cs="Times New Roman"/>
          <w:sz w:val="20"/>
          <w:szCs w:val="20"/>
        </w:rPr>
        <w:t xml:space="preserve"> The Question </w:t>
      </w:r>
      <w:r w:rsidR="008B2C04">
        <w:rPr>
          <w:rFonts w:ascii="Times New Roman" w:eastAsia="Times New Roman" w:hAnsi="Times New Roman" w:cs="Times New Roman"/>
          <w:sz w:val="20"/>
          <w:szCs w:val="20"/>
        </w:rPr>
        <w:t>of</w:t>
      </w:r>
      <w:r>
        <w:rPr>
          <w:rFonts w:ascii="Times New Roman" w:eastAsia="Times New Roman" w:hAnsi="Times New Roman" w:cs="Times New Roman"/>
          <w:sz w:val="20"/>
          <w:szCs w:val="20"/>
        </w:rPr>
        <w:t xml:space="preserve"> Mimesis", </w:t>
      </w:r>
      <w:r>
        <w:rPr>
          <w:rFonts w:ascii="Times New Roman" w:eastAsia="Times New Roman" w:hAnsi="Times New Roman" w:cs="Times New Roman"/>
          <w:i/>
          <w:sz w:val="20"/>
          <w:szCs w:val="20"/>
        </w:rPr>
        <w:t>Notre Dame English Journal</w:t>
      </w:r>
      <w:r>
        <w:rPr>
          <w:rFonts w:ascii="Times New Roman" w:eastAsia="Times New Roman" w:hAnsi="Times New Roman" w:cs="Times New Roman"/>
          <w:sz w:val="20"/>
          <w:szCs w:val="20"/>
        </w:rPr>
        <w:t>, 14.3 (1982), 177-189.</w:t>
      </w:r>
    </w:p>
  </w:footnote>
  <w:footnote w:id="21">
    <w:p w14:paraId="1FC66724" w14:textId="77777777" w:rsidR="00B15D0A" w:rsidRDefault="009A366F">
      <w:pPr>
        <w:spacing w:after="0" w:line="240" w:lineRule="auto"/>
        <w:rPr>
          <w:rFonts w:ascii="Times New Roman" w:eastAsia="Times New Roman" w:hAnsi="Times New Roman" w:cs="Times New Roman"/>
          <w:sz w:val="20"/>
          <w:szCs w:val="20"/>
        </w:rPr>
      </w:pPr>
      <w:r>
        <w:rPr>
          <w:rStyle w:val="FootnoteReference"/>
        </w:rPr>
        <w:footnoteRef/>
      </w:r>
      <w:r>
        <w:rPr>
          <w:rFonts w:ascii="Times New Roman" w:eastAsia="Times New Roman" w:hAnsi="Times New Roman" w:cs="Times New Roman"/>
          <w:sz w:val="20"/>
          <w:szCs w:val="20"/>
        </w:rPr>
        <w:t xml:space="preserve"> Stephen E. Donlon, "The Form-Critics, The Gospel, And St. Paul", </w:t>
      </w:r>
      <w:r>
        <w:rPr>
          <w:rFonts w:ascii="Times New Roman" w:eastAsia="Times New Roman" w:hAnsi="Times New Roman" w:cs="Times New Roman"/>
          <w:i/>
          <w:sz w:val="20"/>
          <w:szCs w:val="20"/>
        </w:rPr>
        <w:t>The Catholic Biblical Quarterly</w:t>
      </w:r>
      <w:r>
        <w:rPr>
          <w:rFonts w:ascii="Times New Roman" w:eastAsia="Times New Roman" w:hAnsi="Times New Roman" w:cs="Times New Roman"/>
          <w:sz w:val="20"/>
          <w:szCs w:val="20"/>
        </w:rPr>
        <w:t>, 6.2 (1944), 159-179.</w:t>
      </w:r>
    </w:p>
  </w:footnote>
  <w:footnote w:id="22">
    <w:p w14:paraId="196F8C66" w14:textId="77777777" w:rsidR="00B15D0A" w:rsidRDefault="009A366F">
      <w:pPr>
        <w:spacing w:after="0" w:line="240" w:lineRule="auto"/>
        <w:rPr>
          <w:rFonts w:ascii="Times New Roman" w:eastAsia="Times New Roman" w:hAnsi="Times New Roman" w:cs="Times New Roman"/>
          <w:sz w:val="20"/>
          <w:szCs w:val="20"/>
        </w:rPr>
      </w:pPr>
      <w:r>
        <w:rPr>
          <w:rStyle w:val="FootnoteReference"/>
        </w:rPr>
        <w:footnoteRef/>
      </w:r>
      <w:r>
        <w:rPr>
          <w:rFonts w:ascii="Times New Roman" w:eastAsia="Times New Roman" w:hAnsi="Times New Roman" w:cs="Times New Roman"/>
          <w:sz w:val="20"/>
          <w:szCs w:val="20"/>
        </w:rPr>
        <w:t xml:space="preserve"> Goguel, Did Peter Deny His Lord? </w:t>
      </w:r>
    </w:p>
  </w:footnote>
  <w:footnote w:id="23">
    <w:p w14:paraId="6769E0FF" w14:textId="44ABF01A" w:rsidR="00B15D0A" w:rsidRDefault="009A366F">
      <w:pPr>
        <w:spacing w:after="0" w:line="240" w:lineRule="auto"/>
        <w:rPr>
          <w:rFonts w:ascii="Times New Roman" w:eastAsia="Times New Roman" w:hAnsi="Times New Roman" w:cs="Times New Roman"/>
          <w:sz w:val="20"/>
          <w:szCs w:val="20"/>
        </w:rPr>
      </w:pPr>
      <w:r>
        <w:rPr>
          <w:rStyle w:val="FootnoteReference"/>
        </w:rPr>
        <w:footnoteRef/>
      </w:r>
      <w:r>
        <w:rPr>
          <w:rFonts w:ascii="Times New Roman" w:eastAsia="Times New Roman" w:hAnsi="Times New Roman" w:cs="Times New Roman"/>
          <w:sz w:val="20"/>
          <w:szCs w:val="20"/>
        </w:rPr>
        <w:t xml:space="preserve"> Randel Helms, </w:t>
      </w:r>
      <w:r>
        <w:rPr>
          <w:rFonts w:ascii="Times New Roman" w:eastAsia="Times New Roman" w:hAnsi="Times New Roman" w:cs="Times New Roman"/>
          <w:i/>
          <w:sz w:val="20"/>
          <w:szCs w:val="20"/>
        </w:rPr>
        <w:t xml:space="preserve">Who Wrote </w:t>
      </w:r>
      <w:r w:rsidR="008B2C04">
        <w:rPr>
          <w:rFonts w:ascii="Times New Roman" w:eastAsia="Times New Roman" w:hAnsi="Times New Roman" w:cs="Times New Roman"/>
          <w:i/>
          <w:sz w:val="20"/>
          <w:szCs w:val="20"/>
        </w:rPr>
        <w:t>the</w:t>
      </w:r>
      <w:r>
        <w:rPr>
          <w:rFonts w:ascii="Times New Roman" w:eastAsia="Times New Roman" w:hAnsi="Times New Roman" w:cs="Times New Roman"/>
          <w:i/>
          <w:sz w:val="20"/>
          <w:szCs w:val="20"/>
        </w:rPr>
        <w:t xml:space="preserve"> Gospels?</w:t>
      </w:r>
      <w:r>
        <w:rPr>
          <w:rFonts w:ascii="Times New Roman" w:eastAsia="Times New Roman" w:hAnsi="Times New Roman" w:cs="Times New Roman"/>
          <w:sz w:val="20"/>
          <w:szCs w:val="20"/>
        </w:rPr>
        <w:t xml:space="preserve"> (Altadena, CA: Millenian Press, 1997), pp. 1-19, 41-79, 113-131.</w:t>
      </w:r>
    </w:p>
  </w:footnote>
  <w:footnote w:id="24">
    <w:p w14:paraId="63E97C76" w14:textId="59B07E6E" w:rsidR="00B15D0A" w:rsidRDefault="009A366F">
      <w:pPr>
        <w:spacing w:after="0" w:line="240" w:lineRule="auto"/>
        <w:rPr>
          <w:rFonts w:ascii="Times New Roman" w:eastAsia="Times New Roman" w:hAnsi="Times New Roman" w:cs="Times New Roman"/>
          <w:sz w:val="20"/>
          <w:szCs w:val="20"/>
        </w:rPr>
      </w:pPr>
      <w:r>
        <w:rPr>
          <w:rStyle w:val="FootnoteReference"/>
        </w:rPr>
        <w:footnoteRef/>
      </w:r>
      <w:r>
        <w:rPr>
          <w:rFonts w:ascii="Times New Roman" w:eastAsia="Times New Roman" w:hAnsi="Times New Roman" w:cs="Times New Roman"/>
          <w:sz w:val="20"/>
          <w:szCs w:val="20"/>
        </w:rPr>
        <w:t xml:space="preserve"> Helms, </w:t>
      </w:r>
      <w:r>
        <w:rPr>
          <w:rFonts w:ascii="Times New Roman" w:eastAsia="Times New Roman" w:hAnsi="Times New Roman" w:cs="Times New Roman"/>
          <w:i/>
          <w:sz w:val="20"/>
          <w:szCs w:val="20"/>
        </w:rPr>
        <w:t xml:space="preserve">Who Wrote </w:t>
      </w:r>
      <w:r w:rsidR="008B2C04">
        <w:rPr>
          <w:rFonts w:ascii="Times New Roman" w:eastAsia="Times New Roman" w:hAnsi="Times New Roman" w:cs="Times New Roman"/>
          <w:i/>
          <w:sz w:val="20"/>
          <w:szCs w:val="20"/>
        </w:rPr>
        <w:t>the</w:t>
      </w:r>
      <w:r>
        <w:rPr>
          <w:rFonts w:ascii="Times New Roman" w:eastAsia="Times New Roman" w:hAnsi="Times New Roman" w:cs="Times New Roman"/>
          <w:i/>
          <w:sz w:val="20"/>
          <w:szCs w:val="20"/>
        </w:rPr>
        <w:t xml:space="preserve"> Gospels?</w:t>
      </w:r>
      <w:r>
        <w:rPr>
          <w:rFonts w:ascii="Times New Roman" w:eastAsia="Times New Roman" w:hAnsi="Times New Roman" w:cs="Times New Roman"/>
          <w:sz w:val="20"/>
          <w:szCs w:val="20"/>
        </w:rPr>
        <w:t xml:space="preserve"> p. 2</w:t>
      </w:r>
    </w:p>
  </w:footnote>
  <w:footnote w:id="25">
    <w:p w14:paraId="0F58B54E" w14:textId="0A8313B7" w:rsidR="00B15D0A" w:rsidRDefault="009A366F">
      <w:pPr>
        <w:spacing w:after="0" w:line="240" w:lineRule="auto"/>
        <w:rPr>
          <w:sz w:val="20"/>
          <w:szCs w:val="20"/>
        </w:rPr>
      </w:pPr>
      <w:r>
        <w:rPr>
          <w:rStyle w:val="FootnoteReference"/>
        </w:rPr>
        <w:footnoteRef/>
      </w:r>
      <w:r>
        <w:rPr>
          <w:sz w:val="20"/>
          <w:szCs w:val="20"/>
        </w:rPr>
        <w:t xml:space="preserve"> </w:t>
      </w:r>
      <w:r>
        <w:rPr>
          <w:rFonts w:ascii="Times New Roman" w:eastAsia="Times New Roman" w:hAnsi="Times New Roman" w:cs="Times New Roman"/>
          <w:sz w:val="20"/>
          <w:szCs w:val="20"/>
        </w:rPr>
        <w:t xml:space="preserve">Helms, </w:t>
      </w:r>
      <w:r>
        <w:rPr>
          <w:rFonts w:ascii="Times New Roman" w:eastAsia="Times New Roman" w:hAnsi="Times New Roman" w:cs="Times New Roman"/>
          <w:i/>
          <w:sz w:val="20"/>
          <w:szCs w:val="20"/>
        </w:rPr>
        <w:t xml:space="preserve">Who Wrote </w:t>
      </w:r>
      <w:r w:rsidR="008B2C04">
        <w:rPr>
          <w:rFonts w:ascii="Times New Roman" w:eastAsia="Times New Roman" w:hAnsi="Times New Roman" w:cs="Times New Roman"/>
          <w:i/>
          <w:sz w:val="20"/>
          <w:szCs w:val="20"/>
        </w:rPr>
        <w:t>the</w:t>
      </w:r>
      <w:r>
        <w:rPr>
          <w:rFonts w:ascii="Times New Roman" w:eastAsia="Times New Roman" w:hAnsi="Times New Roman" w:cs="Times New Roman"/>
          <w:i/>
          <w:sz w:val="20"/>
          <w:szCs w:val="20"/>
        </w:rPr>
        <w:t xml:space="preserve"> Gospels?</w:t>
      </w:r>
      <w:r>
        <w:rPr>
          <w:rFonts w:ascii="Times New Roman" w:eastAsia="Times New Roman" w:hAnsi="Times New Roman" w:cs="Times New Roman"/>
          <w:sz w:val="20"/>
          <w:szCs w:val="20"/>
        </w:rPr>
        <w:t xml:space="preserve"> p. 42</w:t>
      </w:r>
    </w:p>
  </w:footnote>
  <w:footnote w:id="26">
    <w:p w14:paraId="59301D2B" w14:textId="77777777" w:rsidR="00B15D0A" w:rsidRDefault="009A366F">
      <w:pPr>
        <w:spacing w:after="0" w:line="240" w:lineRule="auto"/>
        <w:rPr>
          <w:rFonts w:ascii="Times New Roman" w:eastAsia="Times New Roman" w:hAnsi="Times New Roman" w:cs="Times New Roman"/>
          <w:sz w:val="20"/>
          <w:szCs w:val="20"/>
        </w:rPr>
      </w:pPr>
      <w:r>
        <w:rPr>
          <w:rStyle w:val="FootnoteReference"/>
        </w:rPr>
        <w:footnoteRef/>
      </w:r>
      <w:r>
        <w:rPr>
          <w:rFonts w:ascii="Times New Roman" w:eastAsia="Times New Roman" w:hAnsi="Times New Roman" w:cs="Times New Roman"/>
          <w:sz w:val="20"/>
          <w:szCs w:val="20"/>
        </w:rPr>
        <w:t xml:space="preserve"> Helms, </w:t>
      </w:r>
      <w:r>
        <w:rPr>
          <w:rFonts w:ascii="Times New Roman" w:eastAsia="Times New Roman" w:hAnsi="Times New Roman" w:cs="Times New Roman"/>
          <w:i/>
          <w:sz w:val="20"/>
          <w:szCs w:val="20"/>
        </w:rPr>
        <w:t xml:space="preserve">Who Wrote the Gospels? </w:t>
      </w:r>
      <w:r>
        <w:rPr>
          <w:rFonts w:ascii="Times New Roman" w:eastAsia="Times New Roman" w:hAnsi="Times New Roman" w:cs="Times New Roman"/>
          <w:sz w:val="20"/>
          <w:szCs w:val="20"/>
        </w:rPr>
        <w:t>p. 41</w:t>
      </w:r>
    </w:p>
  </w:footnote>
  <w:footnote w:id="27">
    <w:p w14:paraId="25DBDE6D" w14:textId="77777777" w:rsidR="00B15D0A" w:rsidRDefault="009A366F">
      <w:pPr>
        <w:spacing w:after="0" w:line="240" w:lineRule="auto"/>
        <w:rPr>
          <w:sz w:val="20"/>
          <w:szCs w:val="20"/>
        </w:rPr>
      </w:pPr>
      <w:r>
        <w:rPr>
          <w:rStyle w:val="FootnoteReference"/>
        </w:rPr>
        <w:footnoteRef/>
      </w:r>
      <w:r>
        <w:rPr>
          <w:sz w:val="20"/>
          <w:szCs w:val="20"/>
        </w:rPr>
        <w:t xml:space="preserve"> </w:t>
      </w:r>
      <w:r>
        <w:rPr>
          <w:rFonts w:ascii="Times New Roman" w:eastAsia="Times New Roman" w:hAnsi="Times New Roman" w:cs="Times New Roman"/>
          <w:sz w:val="20"/>
          <w:szCs w:val="20"/>
        </w:rPr>
        <w:t xml:space="preserve">Helms, </w:t>
      </w:r>
      <w:r>
        <w:rPr>
          <w:rFonts w:ascii="Times New Roman" w:eastAsia="Times New Roman" w:hAnsi="Times New Roman" w:cs="Times New Roman"/>
          <w:i/>
          <w:sz w:val="20"/>
          <w:szCs w:val="20"/>
        </w:rPr>
        <w:t xml:space="preserve">Who Wrote the Gospels? </w:t>
      </w:r>
      <w:r>
        <w:rPr>
          <w:rFonts w:ascii="Times New Roman" w:eastAsia="Times New Roman" w:hAnsi="Times New Roman" w:cs="Times New Roman"/>
          <w:sz w:val="20"/>
          <w:szCs w:val="20"/>
        </w:rPr>
        <w:t>p. 113 [emphasis added]</w:t>
      </w:r>
    </w:p>
  </w:footnote>
  <w:footnote w:id="28">
    <w:p w14:paraId="7EF0D356" w14:textId="230D171F" w:rsidR="00B15D0A" w:rsidRDefault="009A366F">
      <w:pPr>
        <w:spacing w:after="0" w:line="240" w:lineRule="auto"/>
        <w:rPr>
          <w:rFonts w:ascii="Times New Roman" w:eastAsia="Times New Roman" w:hAnsi="Times New Roman" w:cs="Times New Roman"/>
          <w:sz w:val="20"/>
          <w:szCs w:val="20"/>
        </w:rPr>
      </w:pPr>
      <w:r>
        <w:rPr>
          <w:rStyle w:val="FootnoteReference"/>
        </w:rPr>
        <w:footnoteRef/>
      </w:r>
      <w:r>
        <w:rPr>
          <w:rFonts w:ascii="Times New Roman" w:eastAsia="Times New Roman" w:hAnsi="Times New Roman" w:cs="Times New Roman"/>
          <w:sz w:val="20"/>
          <w:szCs w:val="20"/>
        </w:rPr>
        <w:t xml:space="preserve"> David Basinger,</w:t>
      </w:r>
      <w:r>
        <w:rPr>
          <w:rFonts w:ascii="Times New Roman" w:eastAsia="Times New Roman" w:hAnsi="Times New Roman" w:cs="Times New Roman"/>
          <w:i/>
          <w:sz w:val="20"/>
          <w:szCs w:val="20"/>
        </w:rPr>
        <w:t xml:space="preserve"> Divine Power </w:t>
      </w:r>
      <w:r w:rsidR="008B2C04">
        <w:rPr>
          <w:rFonts w:ascii="Times New Roman" w:eastAsia="Times New Roman" w:hAnsi="Times New Roman" w:cs="Times New Roman"/>
          <w:i/>
          <w:sz w:val="20"/>
          <w:szCs w:val="20"/>
        </w:rPr>
        <w:t>in</w:t>
      </w:r>
      <w:r>
        <w:rPr>
          <w:rFonts w:ascii="Times New Roman" w:eastAsia="Times New Roman" w:hAnsi="Times New Roman" w:cs="Times New Roman"/>
          <w:i/>
          <w:sz w:val="20"/>
          <w:szCs w:val="20"/>
        </w:rPr>
        <w:t xml:space="preserve"> Process Theism </w:t>
      </w:r>
      <w:r>
        <w:rPr>
          <w:rFonts w:ascii="Times New Roman" w:eastAsia="Times New Roman" w:hAnsi="Times New Roman" w:cs="Times New Roman"/>
          <w:sz w:val="20"/>
          <w:szCs w:val="20"/>
        </w:rPr>
        <w:t>(Albany: State University of New York Press, 1988), p. 27</w:t>
      </w:r>
    </w:p>
  </w:footnote>
  <w:footnote w:id="29">
    <w:p w14:paraId="77E87EFA" w14:textId="604037DC" w:rsidR="00B15D0A" w:rsidRDefault="009A366F">
      <w:pPr>
        <w:spacing w:after="0" w:line="240" w:lineRule="auto"/>
        <w:rPr>
          <w:rFonts w:ascii="Times New Roman" w:eastAsia="Times New Roman" w:hAnsi="Times New Roman" w:cs="Times New Roman"/>
          <w:sz w:val="20"/>
          <w:szCs w:val="20"/>
        </w:rPr>
      </w:pPr>
      <w:r>
        <w:rPr>
          <w:rStyle w:val="FootnoteReference"/>
        </w:rPr>
        <w:footnoteRef/>
      </w:r>
      <w:r>
        <w:rPr>
          <w:rFonts w:ascii="Times New Roman" w:eastAsia="Times New Roman" w:hAnsi="Times New Roman" w:cs="Times New Roman"/>
          <w:sz w:val="20"/>
          <w:szCs w:val="20"/>
        </w:rPr>
        <w:t xml:space="preserve"> John H. Wright, "Divine Knowledge </w:t>
      </w:r>
      <w:r w:rsidR="008B2C04">
        <w:rPr>
          <w:rFonts w:ascii="Times New Roman" w:eastAsia="Times New Roman" w:hAnsi="Times New Roman" w:cs="Times New Roman"/>
          <w:sz w:val="20"/>
          <w:szCs w:val="20"/>
        </w:rPr>
        <w:t>and</w:t>
      </w:r>
      <w:r>
        <w:rPr>
          <w:rFonts w:ascii="Times New Roman" w:eastAsia="Times New Roman" w:hAnsi="Times New Roman" w:cs="Times New Roman"/>
          <w:sz w:val="20"/>
          <w:szCs w:val="20"/>
        </w:rPr>
        <w:t xml:space="preserve"> Human Freedom: The God Who Dialogues", </w:t>
      </w:r>
      <w:r>
        <w:rPr>
          <w:rFonts w:ascii="Times New Roman" w:eastAsia="Times New Roman" w:hAnsi="Times New Roman" w:cs="Times New Roman"/>
          <w:i/>
          <w:sz w:val="20"/>
          <w:szCs w:val="20"/>
        </w:rPr>
        <w:t>Theological Studies</w:t>
      </w:r>
      <w:r>
        <w:rPr>
          <w:rFonts w:ascii="Times New Roman" w:eastAsia="Times New Roman" w:hAnsi="Times New Roman" w:cs="Times New Roman"/>
          <w:sz w:val="20"/>
          <w:szCs w:val="20"/>
        </w:rPr>
        <w:t>, 38.3 (1977), 450-477 &lt;https://doi.org/10.1177/00405639</w:t>
      </w:r>
      <w:r>
        <w:rPr>
          <w:rFonts w:ascii="Times New Roman" w:eastAsia="Times New Roman" w:hAnsi="Times New Roman" w:cs="Times New Roman"/>
          <w:sz w:val="20"/>
          <w:szCs w:val="20"/>
        </w:rPr>
        <w:t>7703800301&gt;.</w:t>
      </w:r>
    </w:p>
  </w:footnote>
  <w:footnote w:id="30">
    <w:p w14:paraId="2D5C3D06" w14:textId="77777777" w:rsidR="00B15D0A" w:rsidRDefault="009A366F">
      <w:pPr>
        <w:spacing w:after="0" w:line="240" w:lineRule="auto"/>
        <w:rPr>
          <w:rFonts w:ascii="Times New Roman" w:eastAsia="Times New Roman" w:hAnsi="Times New Roman" w:cs="Times New Roman"/>
          <w:i/>
          <w:sz w:val="20"/>
          <w:szCs w:val="20"/>
        </w:rPr>
      </w:pPr>
      <w:r>
        <w:rPr>
          <w:rStyle w:val="FootnoteReference"/>
        </w:rPr>
        <w:footnoteRef/>
      </w:r>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ibid.</w:t>
      </w:r>
    </w:p>
  </w:footnote>
  <w:footnote w:id="31">
    <w:p w14:paraId="469DE0ED" w14:textId="51149BC9" w:rsidR="00B15D0A" w:rsidRDefault="009A366F">
      <w:pPr>
        <w:spacing w:after="0" w:line="240" w:lineRule="auto"/>
        <w:rPr>
          <w:rFonts w:ascii="Times New Roman" w:eastAsia="Times New Roman" w:hAnsi="Times New Roman" w:cs="Times New Roman"/>
          <w:sz w:val="20"/>
          <w:szCs w:val="20"/>
        </w:rPr>
      </w:pPr>
      <w:r>
        <w:rPr>
          <w:rStyle w:val="FootnoteReference"/>
        </w:rPr>
        <w:footnoteRef/>
      </w:r>
      <w:r>
        <w:rPr>
          <w:rFonts w:ascii="Times New Roman" w:eastAsia="Times New Roman" w:hAnsi="Times New Roman" w:cs="Times New Roman"/>
          <w:sz w:val="20"/>
          <w:szCs w:val="20"/>
        </w:rPr>
        <w:t xml:space="preserve"> Alan R. Rhoda, Gregory A. Boyd and Thomas G. Belt, "Open Theism, Omniscience, And </w:t>
      </w:r>
      <w:r w:rsidR="008B2C04">
        <w:rPr>
          <w:rFonts w:ascii="Times New Roman" w:eastAsia="Times New Roman" w:hAnsi="Times New Roman" w:cs="Times New Roman"/>
          <w:sz w:val="20"/>
          <w:szCs w:val="20"/>
        </w:rPr>
        <w:t>the</w:t>
      </w:r>
      <w:r>
        <w:rPr>
          <w:rFonts w:ascii="Times New Roman" w:eastAsia="Times New Roman" w:hAnsi="Times New Roman" w:cs="Times New Roman"/>
          <w:sz w:val="20"/>
          <w:szCs w:val="20"/>
        </w:rPr>
        <w:t xml:space="preserve"> Nature </w:t>
      </w:r>
      <w:r w:rsidR="008B2C04">
        <w:rPr>
          <w:rFonts w:ascii="Times New Roman" w:eastAsia="Times New Roman" w:hAnsi="Times New Roman" w:cs="Times New Roman"/>
          <w:sz w:val="20"/>
          <w:szCs w:val="20"/>
        </w:rPr>
        <w:t>of</w:t>
      </w:r>
      <w:r>
        <w:rPr>
          <w:rFonts w:ascii="Times New Roman" w:eastAsia="Times New Roman" w:hAnsi="Times New Roman" w:cs="Times New Roman"/>
          <w:sz w:val="20"/>
          <w:szCs w:val="20"/>
        </w:rPr>
        <w:t xml:space="preserve"> The Future", </w:t>
      </w:r>
      <w:r>
        <w:rPr>
          <w:rFonts w:ascii="Times New Roman" w:eastAsia="Times New Roman" w:hAnsi="Times New Roman" w:cs="Times New Roman"/>
          <w:i/>
          <w:sz w:val="20"/>
          <w:szCs w:val="20"/>
        </w:rPr>
        <w:t xml:space="preserve">Faith </w:t>
      </w:r>
      <w:r w:rsidR="008B2C04">
        <w:rPr>
          <w:rFonts w:ascii="Times New Roman" w:eastAsia="Times New Roman" w:hAnsi="Times New Roman" w:cs="Times New Roman"/>
          <w:i/>
          <w:sz w:val="20"/>
          <w:szCs w:val="20"/>
        </w:rPr>
        <w:t>and</w:t>
      </w:r>
      <w:r>
        <w:rPr>
          <w:rFonts w:ascii="Times New Roman" w:eastAsia="Times New Roman" w:hAnsi="Times New Roman" w:cs="Times New Roman"/>
          <w:i/>
          <w:sz w:val="20"/>
          <w:szCs w:val="20"/>
        </w:rPr>
        <w:t xml:space="preserve"> Philosophy</w:t>
      </w:r>
      <w:r>
        <w:rPr>
          <w:rFonts w:ascii="Times New Roman" w:eastAsia="Times New Roman" w:hAnsi="Times New Roman" w:cs="Times New Roman"/>
          <w:sz w:val="20"/>
          <w:szCs w:val="20"/>
        </w:rPr>
        <w:t>, 23.4 (2006), 432-459 &lt;https://doi.org/10.5840/faithphil200623436&gt;.</w:t>
      </w:r>
    </w:p>
  </w:footnote>
  <w:footnote w:id="32">
    <w:p w14:paraId="31CAC475" w14:textId="77777777" w:rsidR="00B15D0A" w:rsidRDefault="009A366F">
      <w:pPr>
        <w:spacing w:after="0" w:line="240" w:lineRule="auto"/>
        <w:rPr>
          <w:rFonts w:ascii="Times New Roman" w:eastAsia="Times New Roman" w:hAnsi="Times New Roman" w:cs="Times New Roman"/>
          <w:i/>
          <w:sz w:val="20"/>
          <w:szCs w:val="20"/>
        </w:rPr>
      </w:pPr>
      <w:r>
        <w:rPr>
          <w:rStyle w:val="FootnoteReference"/>
        </w:rPr>
        <w:footnoteRef/>
      </w:r>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ibid.</w:t>
      </w:r>
    </w:p>
  </w:footnote>
  <w:footnote w:id="33">
    <w:p w14:paraId="4ADF869C" w14:textId="07FF2BBF" w:rsidR="00B15D0A" w:rsidRDefault="009A366F">
      <w:pPr>
        <w:spacing w:after="0" w:line="240" w:lineRule="auto"/>
        <w:rPr>
          <w:rFonts w:ascii="Times New Roman" w:eastAsia="Times New Roman" w:hAnsi="Times New Roman" w:cs="Times New Roman"/>
          <w:sz w:val="20"/>
          <w:szCs w:val="20"/>
        </w:rPr>
      </w:pPr>
      <w:r>
        <w:rPr>
          <w:rStyle w:val="FootnoteReference"/>
        </w:rPr>
        <w:footnoteRef/>
      </w:r>
      <w:r>
        <w:rPr>
          <w:rFonts w:ascii="Times New Roman" w:eastAsia="Times New Roman" w:hAnsi="Times New Roman" w:cs="Times New Roman"/>
          <w:sz w:val="20"/>
          <w:szCs w:val="20"/>
        </w:rPr>
        <w:t xml:space="preserve"> William Hasker, "Divine Knowledge </w:t>
      </w:r>
      <w:r w:rsidR="008B2C04">
        <w:rPr>
          <w:rFonts w:ascii="Times New Roman" w:eastAsia="Times New Roman" w:hAnsi="Times New Roman" w:cs="Times New Roman"/>
          <w:sz w:val="20"/>
          <w:szCs w:val="20"/>
        </w:rPr>
        <w:t>and</w:t>
      </w:r>
      <w:r>
        <w:rPr>
          <w:rFonts w:ascii="Times New Roman" w:eastAsia="Times New Roman" w:hAnsi="Times New Roman" w:cs="Times New Roman"/>
          <w:sz w:val="20"/>
          <w:szCs w:val="20"/>
        </w:rPr>
        <w:t xml:space="preserve"> Human Fre</w:t>
      </w:r>
      <w:r>
        <w:rPr>
          <w:rFonts w:ascii="Times New Roman" w:eastAsia="Times New Roman" w:hAnsi="Times New Roman" w:cs="Times New Roman"/>
          <w:sz w:val="20"/>
          <w:szCs w:val="20"/>
        </w:rPr>
        <w:t xml:space="preserve">edom", </w:t>
      </w:r>
      <w:r>
        <w:rPr>
          <w:rFonts w:ascii="Times New Roman" w:eastAsia="Times New Roman" w:hAnsi="Times New Roman" w:cs="Times New Roman"/>
          <w:i/>
          <w:sz w:val="20"/>
          <w:szCs w:val="20"/>
        </w:rPr>
        <w:t>Oxford Handbooks Online</w:t>
      </w:r>
      <w:r>
        <w:rPr>
          <w:rFonts w:ascii="Times New Roman" w:eastAsia="Times New Roman" w:hAnsi="Times New Roman" w:cs="Times New Roman"/>
          <w:sz w:val="20"/>
          <w:szCs w:val="20"/>
        </w:rPr>
        <w:t>, 2011, 1-17 &lt;https://doi.org/10.1093/oxfordhb/9780195399691.003.0002&gt;.</w:t>
      </w:r>
    </w:p>
  </w:footnote>
  <w:footnote w:id="34">
    <w:p w14:paraId="7C3BDACC" w14:textId="77777777" w:rsidR="00B15D0A" w:rsidRDefault="009A366F">
      <w:pPr>
        <w:spacing w:after="0" w:line="240" w:lineRule="auto"/>
        <w:rPr>
          <w:rFonts w:ascii="Times New Roman" w:eastAsia="Times New Roman" w:hAnsi="Times New Roman" w:cs="Times New Roman"/>
          <w:sz w:val="20"/>
          <w:szCs w:val="20"/>
        </w:rPr>
      </w:pPr>
      <w:r>
        <w:rPr>
          <w:rStyle w:val="FootnoteReference"/>
        </w:rPr>
        <w:footnoteRef/>
      </w:r>
      <w:r>
        <w:rPr>
          <w:rFonts w:ascii="Times New Roman" w:eastAsia="Times New Roman" w:hAnsi="Times New Roman" w:cs="Times New Roman"/>
          <w:sz w:val="20"/>
          <w:szCs w:val="20"/>
        </w:rPr>
        <w:t xml:space="preserve"> William P. Alston, "Does God Have Beliefs?", </w:t>
      </w:r>
      <w:r>
        <w:rPr>
          <w:rFonts w:ascii="Times New Roman" w:eastAsia="Times New Roman" w:hAnsi="Times New Roman" w:cs="Times New Roman"/>
          <w:i/>
          <w:sz w:val="20"/>
          <w:szCs w:val="20"/>
        </w:rPr>
        <w:t>Religious Studies</w:t>
      </w:r>
      <w:r>
        <w:rPr>
          <w:rFonts w:ascii="Times New Roman" w:eastAsia="Times New Roman" w:hAnsi="Times New Roman" w:cs="Times New Roman"/>
          <w:sz w:val="20"/>
          <w:szCs w:val="20"/>
        </w:rPr>
        <w:t>, 22.3-4 (1986), 287-306 &lt;https://doi.org/10.1017/s003441250</w:t>
      </w:r>
      <w:r>
        <w:rPr>
          <w:rFonts w:ascii="Times New Roman" w:eastAsia="Times New Roman" w:hAnsi="Times New Roman" w:cs="Times New Roman"/>
          <w:sz w:val="20"/>
          <w:szCs w:val="20"/>
        </w:rPr>
        <w:t>0018333&gt;.</w:t>
      </w:r>
    </w:p>
  </w:footnote>
  <w:footnote w:id="35">
    <w:p w14:paraId="1F45B2EE" w14:textId="77777777" w:rsidR="00B15D0A" w:rsidRDefault="009A366F">
      <w:pPr>
        <w:spacing w:after="0" w:line="240" w:lineRule="auto"/>
        <w:rPr>
          <w:rFonts w:ascii="Times New Roman" w:eastAsia="Times New Roman" w:hAnsi="Times New Roman" w:cs="Times New Roman"/>
          <w:sz w:val="20"/>
          <w:szCs w:val="20"/>
        </w:rPr>
      </w:pPr>
      <w:r>
        <w:rPr>
          <w:rStyle w:val="FootnoteReference"/>
        </w:rPr>
        <w:footnoteRef/>
      </w:r>
      <w:r>
        <w:rPr>
          <w:rFonts w:ascii="Times New Roman" w:eastAsia="Times New Roman" w:hAnsi="Times New Roman" w:cs="Times New Roman"/>
          <w:sz w:val="20"/>
          <w:szCs w:val="20"/>
        </w:rPr>
        <w:t xml:space="preserve"> Mary Louise Gill, “Aristotle on Self-Motion” in </w:t>
      </w:r>
      <w:r>
        <w:rPr>
          <w:rFonts w:ascii="Times New Roman" w:eastAsia="Times New Roman" w:hAnsi="Times New Roman" w:cs="Times New Roman"/>
          <w:i/>
          <w:sz w:val="20"/>
          <w:szCs w:val="20"/>
        </w:rPr>
        <w:t xml:space="preserve">Self-Motion: From Aristotle to Newton </w:t>
      </w:r>
      <w:r>
        <w:rPr>
          <w:rFonts w:ascii="Times New Roman" w:eastAsia="Times New Roman" w:hAnsi="Times New Roman" w:cs="Times New Roman"/>
          <w:sz w:val="20"/>
          <w:szCs w:val="20"/>
        </w:rPr>
        <w:t>ed. Mary Louise Gill and James G. Lennox.</w:t>
      </w:r>
      <w:r>
        <w:rPr>
          <w:rFonts w:ascii="Times New Roman" w:eastAsia="Times New Roman" w:hAnsi="Times New Roman" w:cs="Times New Roman"/>
          <w:i/>
          <w:sz w:val="20"/>
          <w:szCs w:val="20"/>
        </w:rPr>
        <w:t xml:space="preserve"> </w:t>
      </w:r>
      <w:r>
        <w:rPr>
          <w:rFonts w:ascii="Times New Roman" w:eastAsia="Times New Roman" w:hAnsi="Times New Roman" w:cs="Times New Roman"/>
          <w:sz w:val="20"/>
          <w:szCs w:val="20"/>
        </w:rPr>
        <w:t>(Princeton University Press, 1994), pp. 16-17.</w:t>
      </w:r>
    </w:p>
  </w:footnote>
  <w:footnote w:id="36">
    <w:p w14:paraId="4FEE20D0" w14:textId="77777777" w:rsidR="00B15D0A" w:rsidRDefault="009A366F">
      <w:pPr>
        <w:spacing w:after="0" w:line="240" w:lineRule="auto"/>
        <w:rPr>
          <w:rFonts w:ascii="Times New Roman" w:eastAsia="Times New Roman" w:hAnsi="Times New Roman" w:cs="Times New Roman"/>
          <w:sz w:val="20"/>
          <w:szCs w:val="20"/>
        </w:rPr>
      </w:pPr>
      <w:r>
        <w:rPr>
          <w:rStyle w:val="FootnoteReference"/>
        </w:rPr>
        <w:footnoteRef/>
      </w:r>
      <w:r>
        <w:rPr>
          <w:sz w:val="20"/>
          <w:szCs w:val="20"/>
        </w:rPr>
        <w:t xml:space="preserve"> </w:t>
      </w:r>
      <w:r>
        <w:rPr>
          <w:rFonts w:ascii="Times New Roman" w:eastAsia="Times New Roman" w:hAnsi="Times New Roman" w:cs="Times New Roman"/>
          <w:i/>
          <w:sz w:val="20"/>
          <w:szCs w:val="20"/>
        </w:rPr>
        <w:t xml:space="preserve">Matt. 19.26 (NRSV) </w:t>
      </w:r>
      <w:r>
        <w:rPr>
          <w:rFonts w:ascii="Times New Roman" w:eastAsia="Times New Roman" w:hAnsi="Times New Roman" w:cs="Times New Roman"/>
          <w:sz w:val="20"/>
          <w:szCs w:val="20"/>
        </w:rPr>
        <w:t>reads, “But Jesus looked at them and said, ‘For mor</w:t>
      </w:r>
      <w:r>
        <w:rPr>
          <w:rFonts w:ascii="Times New Roman" w:eastAsia="Times New Roman" w:hAnsi="Times New Roman" w:cs="Times New Roman"/>
          <w:sz w:val="20"/>
          <w:szCs w:val="20"/>
        </w:rPr>
        <w:t>tals it is impossible, but for God all things are possible.’”</w:t>
      </w:r>
    </w:p>
  </w:footnote>
  <w:footnote w:id="37">
    <w:p w14:paraId="7D6DA8EB" w14:textId="77777777" w:rsidR="00B15D0A" w:rsidRDefault="009A366F">
      <w:pPr>
        <w:spacing w:after="0" w:line="240" w:lineRule="auto"/>
        <w:rPr>
          <w:rFonts w:ascii="Times New Roman" w:eastAsia="Times New Roman" w:hAnsi="Times New Roman" w:cs="Times New Roman"/>
          <w:sz w:val="20"/>
          <w:szCs w:val="20"/>
        </w:rPr>
      </w:pPr>
      <w:r>
        <w:rPr>
          <w:rStyle w:val="FootnoteReference"/>
        </w:rPr>
        <w:footnoteRef/>
      </w:r>
      <w:r>
        <w:rPr>
          <w:rFonts w:ascii="Times New Roman" w:eastAsia="Times New Roman" w:hAnsi="Times New Roman" w:cs="Times New Roman"/>
          <w:i/>
          <w:sz w:val="20"/>
          <w:szCs w:val="20"/>
        </w:rPr>
        <w:t xml:space="preserve"> Psalm. 147:5 (NRSV)</w:t>
      </w:r>
      <w:r>
        <w:rPr>
          <w:rFonts w:ascii="Times New Roman" w:eastAsia="Times New Roman" w:hAnsi="Times New Roman" w:cs="Times New Roman"/>
          <w:sz w:val="20"/>
          <w:szCs w:val="20"/>
        </w:rPr>
        <w:t xml:space="preserve"> reads “Great is our Lord, and abundant in power; his understanding is beyond measure.”</w:t>
      </w:r>
    </w:p>
  </w:footnote>
  <w:footnote w:id="38">
    <w:p w14:paraId="72F64C02" w14:textId="5841164E" w:rsidR="00B15D0A" w:rsidRDefault="009A366F">
      <w:pPr>
        <w:spacing w:after="0" w:line="240" w:lineRule="auto"/>
        <w:rPr>
          <w:rFonts w:ascii="Times New Roman" w:eastAsia="Times New Roman" w:hAnsi="Times New Roman" w:cs="Times New Roman"/>
          <w:sz w:val="20"/>
          <w:szCs w:val="20"/>
        </w:rPr>
      </w:pPr>
      <w:r>
        <w:rPr>
          <w:rStyle w:val="FootnoteReference"/>
        </w:rPr>
        <w:footnoteRef/>
      </w:r>
      <w:r>
        <w:rPr>
          <w:rFonts w:ascii="Times New Roman" w:eastAsia="Times New Roman" w:hAnsi="Times New Roman" w:cs="Times New Roman"/>
          <w:sz w:val="20"/>
          <w:szCs w:val="20"/>
        </w:rPr>
        <w:t xml:space="preserve"> C. Wade Savage, "The Paradox </w:t>
      </w:r>
      <w:r w:rsidR="008B2C04">
        <w:rPr>
          <w:rFonts w:ascii="Times New Roman" w:eastAsia="Times New Roman" w:hAnsi="Times New Roman" w:cs="Times New Roman"/>
          <w:sz w:val="20"/>
          <w:szCs w:val="20"/>
        </w:rPr>
        <w:t>of</w:t>
      </w:r>
      <w:r>
        <w:rPr>
          <w:rFonts w:ascii="Times New Roman" w:eastAsia="Times New Roman" w:hAnsi="Times New Roman" w:cs="Times New Roman"/>
          <w:sz w:val="20"/>
          <w:szCs w:val="20"/>
        </w:rPr>
        <w:t xml:space="preserve"> The Stone", </w:t>
      </w:r>
      <w:r>
        <w:rPr>
          <w:rFonts w:ascii="Times New Roman" w:eastAsia="Times New Roman" w:hAnsi="Times New Roman" w:cs="Times New Roman"/>
          <w:i/>
          <w:sz w:val="20"/>
          <w:szCs w:val="20"/>
        </w:rPr>
        <w:t>The Philosophical Revie</w:t>
      </w:r>
      <w:r>
        <w:rPr>
          <w:rFonts w:ascii="Times New Roman" w:eastAsia="Times New Roman" w:hAnsi="Times New Roman" w:cs="Times New Roman"/>
          <w:i/>
          <w:sz w:val="20"/>
          <w:szCs w:val="20"/>
        </w:rPr>
        <w:t>w</w:t>
      </w:r>
      <w:r>
        <w:rPr>
          <w:rFonts w:ascii="Times New Roman" w:eastAsia="Times New Roman" w:hAnsi="Times New Roman" w:cs="Times New Roman"/>
          <w:sz w:val="20"/>
          <w:szCs w:val="20"/>
        </w:rPr>
        <w:t>, 76.1 (1967), 74-79 &lt;https://doi.org/10.2307/2182966&gt;.</w:t>
      </w:r>
    </w:p>
  </w:footnote>
  <w:footnote w:id="39">
    <w:p w14:paraId="6DCEE6AE" w14:textId="77777777" w:rsidR="00B15D0A" w:rsidRDefault="009A366F">
      <w:pPr>
        <w:spacing w:after="0" w:line="240" w:lineRule="auto"/>
        <w:rPr>
          <w:rFonts w:ascii="Times New Roman" w:eastAsia="Times New Roman" w:hAnsi="Times New Roman" w:cs="Times New Roman"/>
          <w:i/>
          <w:sz w:val="20"/>
          <w:szCs w:val="20"/>
        </w:rPr>
      </w:pPr>
      <w:r>
        <w:rPr>
          <w:rStyle w:val="FootnoteReference"/>
        </w:rPr>
        <w:footnoteRef/>
      </w:r>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ibid.</w:t>
      </w:r>
    </w:p>
  </w:footnote>
  <w:footnote w:id="40">
    <w:p w14:paraId="35748817" w14:textId="604A882D" w:rsidR="00B15D0A" w:rsidRDefault="009A366F">
      <w:pPr>
        <w:spacing w:after="0" w:line="240" w:lineRule="auto"/>
        <w:rPr>
          <w:rFonts w:ascii="Times New Roman" w:eastAsia="Times New Roman" w:hAnsi="Times New Roman" w:cs="Times New Roman"/>
          <w:sz w:val="20"/>
          <w:szCs w:val="20"/>
        </w:rPr>
      </w:pPr>
      <w:r>
        <w:rPr>
          <w:rStyle w:val="FootnoteReference"/>
        </w:rPr>
        <w:footnoteRef/>
      </w:r>
      <w:r>
        <w:rPr>
          <w:rFonts w:ascii="Times New Roman" w:eastAsia="Times New Roman" w:hAnsi="Times New Roman" w:cs="Times New Roman"/>
          <w:sz w:val="20"/>
          <w:szCs w:val="20"/>
        </w:rPr>
        <w:t xml:space="preserve"> Noam Chomsky, "Three Models </w:t>
      </w:r>
      <w:r w:rsidR="008B2C04">
        <w:rPr>
          <w:rFonts w:ascii="Times New Roman" w:eastAsia="Times New Roman" w:hAnsi="Times New Roman" w:cs="Times New Roman"/>
          <w:sz w:val="20"/>
          <w:szCs w:val="20"/>
        </w:rPr>
        <w:t>for</w:t>
      </w:r>
      <w:r>
        <w:rPr>
          <w:rFonts w:ascii="Times New Roman" w:eastAsia="Times New Roman" w:hAnsi="Times New Roman" w:cs="Times New Roman"/>
          <w:sz w:val="20"/>
          <w:szCs w:val="20"/>
        </w:rPr>
        <w:t xml:space="preserve"> The Description </w:t>
      </w:r>
      <w:r w:rsidR="008B2C04">
        <w:rPr>
          <w:rFonts w:ascii="Times New Roman" w:eastAsia="Times New Roman" w:hAnsi="Times New Roman" w:cs="Times New Roman"/>
          <w:sz w:val="20"/>
          <w:szCs w:val="20"/>
        </w:rPr>
        <w:t>of</w:t>
      </w:r>
      <w:r>
        <w:rPr>
          <w:rFonts w:ascii="Times New Roman" w:eastAsia="Times New Roman" w:hAnsi="Times New Roman" w:cs="Times New Roman"/>
          <w:sz w:val="20"/>
          <w:szCs w:val="20"/>
        </w:rPr>
        <w:t xml:space="preserve"> Language", </w:t>
      </w:r>
      <w:r>
        <w:rPr>
          <w:rFonts w:ascii="Times New Roman" w:eastAsia="Times New Roman" w:hAnsi="Times New Roman" w:cs="Times New Roman"/>
          <w:i/>
          <w:sz w:val="20"/>
          <w:szCs w:val="20"/>
        </w:rPr>
        <w:t xml:space="preserve">IEEE Transactions </w:t>
      </w:r>
      <w:r w:rsidR="008B2C04">
        <w:rPr>
          <w:rFonts w:ascii="Times New Roman" w:eastAsia="Times New Roman" w:hAnsi="Times New Roman" w:cs="Times New Roman"/>
          <w:i/>
          <w:sz w:val="20"/>
          <w:szCs w:val="20"/>
        </w:rPr>
        <w:t>on</w:t>
      </w:r>
      <w:r>
        <w:rPr>
          <w:rFonts w:ascii="Times New Roman" w:eastAsia="Times New Roman" w:hAnsi="Times New Roman" w:cs="Times New Roman"/>
          <w:i/>
          <w:sz w:val="20"/>
          <w:szCs w:val="20"/>
        </w:rPr>
        <w:t xml:space="preserve"> Information Theory</w:t>
      </w:r>
      <w:r>
        <w:rPr>
          <w:rFonts w:ascii="Times New Roman" w:eastAsia="Times New Roman" w:hAnsi="Times New Roman" w:cs="Times New Roman"/>
          <w:sz w:val="20"/>
          <w:szCs w:val="20"/>
        </w:rPr>
        <w:t>, 2.3 (1956), 113-124 &lt;https://doi.org/10.1109/tit.1956.1056813&gt;.</w:t>
      </w:r>
    </w:p>
  </w:footnote>
  <w:footnote w:id="41">
    <w:p w14:paraId="52959CF7" w14:textId="4E3DF0F0" w:rsidR="00B15D0A" w:rsidRDefault="009A366F">
      <w:pPr>
        <w:spacing w:after="0" w:line="240" w:lineRule="auto"/>
        <w:rPr>
          <w:rFonts w:ascii="Times New Roman" w:eastAsia="Times New Roman" w:hAnsi="Times New Roman" w:cs="Times New Roman"/>
          <w:sz w:val="20"/>
          <w:szCs w:val="20"/>
        </w:rPr>
      </w:pPr>
      <w:r>
        <w:rPr>
          <w:rStyle w:val="FootnoteReference"/>
        </w:rPr>
        <w:footnoteRef/>
      </w:r>
      <w:r>
        <w:rPr>
          <w:rFonts w:ascii="Times New Roman" w:eastAsia="Times New Roman" w:hAnsi="Times New Roman" w:cs="Times New Roman"/>
          <w:sz w:val="20"/>
          <w:szCs w:val="20"/>
        </w:rPr>
        <w:t xml:space="preserve"> Thomas Aquinas, tran</w:t>
      </w:r>
      <w:r>
        <w:rPr>
          <w:rFonts w:ascii="Times New Roman" w:eastAsia="Times New Roman" w:hAnsi="Times New Roman" w:cs="Times New Roman"/>
          <w:sz w:val="20"/>
          <w:szCs w:val="20"/>
        </w:rPr>
        <w:t xml:space="preserve">s. Joseph Rickaby, </w:t>
      </w:r>
      <w:r>
        <w:rPr>
          <w:rFonts w:ascii="Times New Roman" w:eastAsia="Times New Roman" w:hAnsi="Times New Roman" w:cs="Times New Roman"/>
          <w:i/>
          <w:sz w:val="20"/>
          <w:szCs w:val="20"/>
        </w:rPr>
        <w:t xml:space="preserve">Of God </w:t>
      </w:r>
      <w:r w:rsidR="008B2C04">
        <w:rPr>
          <w:rFonts w:ascii="Times New Roman" w:eastAsia="Times New Roman" w:hAnsi="Times New Roman" w:cs="Times New Roman"/>
          <w:i/>
          <w:sz w:val="20"/>
          <w:szCs w:val="20"/>
        </w:rPr>
        <w:t>and</w:t>
      </w:r>
      <w:r>
        <w:rPr>
          <w:rFonts w:ascii="Times New Roman" w:eastAsia="Times New Roman" w:hAnsi="Times New Roman" w:cs="Times New Roman"/>
          <w:i/>
          <w:sz w:val="20"/>
          <w:szCs w:val="20"/>
        </w:rPr>
        <w:t xml:space="preserve"> His Creatures </w:t>
      </w:r>
      <w:r>
        <w:rPr>
          <w:rFonts w:ascii="Times New Roman" w:eastAsia="Times New Roman" w:hAnsi="Times New Roman" w:cs="Times New Roman"/>
          <w:sz w:val="20"/>
          <w:szCs w:val="20"/>
        </w:rPr>
        <w:t>(Aeterna Press, 2015), pp. 119-121.</w:t>
      </w:r>
    </w:p>
  </w:footnote>
  <w:footnote w:id="42">
    <w:p w14:paraId="50B39BED" w14:textId="77777777" w:rsidR="00B15D0A" w:rsidRDefault="009A366F">
      <w:pPr>
        <w:spacing w:after="0" w:line="240" w:lineRule="auto"/>
        <w:rPr>
          <w:rFonts w:ascii="Times New Roman" w:eastAsia="Times New Roman" w:hAnsi="Times New Roman" w:cs="Times New Roman"/>
          <w:i/>
          <w:sz w:val="20"/>
          <w:szCs w:val="20"/>
        </w:rPr>
      </w:pPr>
      <w:r>
        <w:rPr>
          <w:rStyle w:val="FootnoteReference"/>
        </w:rPr>
        <w:footnoteRef/>
      </w:r>
      <w:r>
        <w:rPr>
          <w:rFonts w:ascii="Times New Roman" w:eastAsia="Times New Roman" w:hAnsi="Times New Roman" w:cs="Times New Roman"/>
          <w:i/>
          <w:sz w:val="20"/>
          <w:szCs w:val="20"/>
        </w:rPr>
        <w:t xml:space="preserve"> Refer to Page 25 of the dissertation for this previous point.</w:t>
      </w:r>
    </w:p>
  </w:footnote>
  <w:footnote w:id="43">
    <w:p w14:paraId="1571B807" w14:textId="155E0532" w:rsidR="00B15D0A" w:rsidRDefault="009A366F">
      <w:pPr>
        <w:spacing w:after="0" w:line="240" w:lineRule="auto"/>
        <w:rPr>
          <w:rFonts w:ascii="Times New Roman" w:eastAsia="Times New Roman" w:hAnsi="Times New Roman" w:cs="Times New Roman"/>
          <w:sz w:val="20"/>
          <w:szCs w:val="20"/>
        </w:rPr>
      </w:pPr>
      <w:r>
        <w:rPr>
          <w:rStyle w:val="FootnoteReference"/>
        </w:rPr>
        <w:footnoteRef/>
      </w:r>
      <w:r>
        <w:rPr>
          <w:rFonts w:ascii="Times New Roman" w:eastAsia="Times New Roman" w:hAnsi="Times New Roman" w:cs="Times New Roman"/>
          <w:sz w:val="20"/>
          <w:szCs w:val="20"/>
        </w:rPr>
        <w:t xml:space="preserve"> Gregory Ganssle, "Atemporality And </w:t>
      </w:r>
      <w:r w:rsidR="008B2C04">
        <w:rPr>
          <w:rFonts w:ascii="Times New Roman" w:eastAsia="Times New Roman" w:hAnsi="Times New Roman" w:cs="Times New Roman"/>
          <w:sz w:val="20"/>
          <w:szCs w:val="20"/>
        </w:rPr>
        <w:t>the</w:t>
      </w:r>
      <w:r>
        <w:rPr>
          <w:rFonts w:ascii="Times New Roman" w:eastAsia="Times New Roman" w:hAnsi="Times New Roman" w:cs="Times New Roman"/>
          <w:sz w:val="20"/>
          <w:szCs w:val="20"/>
        </w:rPr>
        <w:t xml:space="preserve"> Mode </w:t>
      </w:r>
      <w:r w:rsidR="008B2C04">
        <w:rPr>
          <w:rFonts w:ascii="Times New Roman" w:eastAsia="Times New Roman" w:hAnsi="Times New Roman" w:cs="Times New Roman"/>
          <w:sz w:val="20"/>
          <w:szCs w:val="20"/>
        </w:rPr>
        <w:t>of</w:t>
      </w:r>
      <w:r>
        <w:rPr>
          <w:rFonts w:ascii="Times New Roman" w:eastAsia="Times New Roman" w:hAnsi="Times New Roman" w:cs="Times New Roman"/>
          <w:sz w:val="20"/>
          <w:szCs w:val="20"/>
        </w:rPr>
        <w:t xml:space="preserve"> Divine Knowledge", </w:t>
      </w:r>
      <w:r>
        <w:rPr>
          <w:rFonts w:ascii="Times New Roman" w:eastAsia="Times New Roman" w:hAnsi="Times New Roman" w:cs="Times New Roman"/>
          <w:i/>
          <w:sz w:val="20"/>
          <w:szCs w:val="20"/>
        </w:rPr>
        <w:t xml:space="preserve">International Journal </w:t>
      </w:r>
      <w:r w:rsidR="008B2C04">
        <w:rPr>
          <w:rFonts w:ascii="Times New Roman" w:eastAsia="Times New Roman" w:hAnsi="Times New Roman" w:cs="Times New Roman"/>
          <w:i/>
          <w:sz w:val="20"/>
          <w:szCs w:val="20"/>
        </w:rPr>
        <w:t>for</w:t>
      </w:r>
      <w:r>
        <w:rPr>
          <w:rFonts w:ascii="Times New Roman" w:eastAsia="Times New Roman" w:hAnsi="Times New Roman" w:cs="Times New Roman"/>
          <w:i/>
          <w:sz w:val="20"/>
          <w:szCs w:val="20"/>
        </w:rPr>
        <w:t xml:space="preserve"> Philosophy </w:t>
      </w:r>
      <w:r w:rsidR="008B2C04">
        <w:rPr>
          <w:rFonts w:ascii="Times New Roman" w:eastAsia="Times New Roman" w:hAnsi="Times New Roman" w:cs="Times New Roman"/>
          <w:i/>
          <w:sz w:val="20"/>
          <w:szCs w:val="20"/>
        </w:rPr>
        <w:t>of</w:t>
      </w:r>
      <w:r>
        <w:rPr>
          <w:rFonts w:ascii="Times New Roman" w:eastAsia="Times New Roman" w:hAnsi="Times New Roman" w:cs="Times New Roman"/>
          <w:i/>
          <w:sz w:val="20"/>
          <w:szCs w:val="20"/>
        </w:rPr>
        <w:t xml:space="preserve"> Religion</w:t>
      </w:r>
      <w:r>
        <w:rPr>
          <w:rFonts w:ascii="Times New Roman" w:eastAsia="Times New Roman" w:hAnsi="Times New Roman" w:cs="Times New Roman"/>
          <w:sz w:val="20"/>
          <w:szCs w:val="20"/>
        </w:rPr>
        <w:t>, 34.3 (1993), 171-180.</w:t>
      </w:r>
    </w:p>
  </w:footnote>
  <w:footnote w:id="44">
    <w:p w14:paraId="46ADB1B8" w14:textId="75EF187A" w:rsidR="00B15D0A" w:rsidRDefault="009A366F">
      <w:pPr>
        <w:spacing w:after="0" w:line="240" w:lineRule="auto"/>
        <w:rPr>
          <w:rFonts w:ascii="Times New Roman" w:eastAsia="Times New Roman" w:hAnsi="Times New Roman" w:cs="Times New Roman"/>
          <w:sz w:val="20"/>
          <w:szCs w:val="20"/>
        </w:rPr>
      </w:pPr>
      <w:r>
        <w:rPr>
          <w:rStyle w:val="FootnoteReference"/>
        </w:rPr>
        <w:footnoteRef/>
      </w:r>
      <w:r>
        <w:rPr>
          <w:rFonts w:ascii="Times New Roman" w:eastAsia="Times New Roman" w:hAnsi="Times New Roman" w:cs="Times New Roman"/>
          <w:sz w:val="20"/>
          <w:szCs w:val="20"/>
        </w:rPr>
        <w:t xml:space="preserve"> Kenneth Keathley, </w:t>
      </w:r>
      <w:r>
        <w:rPr>
          <w:rFonts w:ascii="Times New Roman" w:eastAsia="Times New Roman" w:hAnsi="Times New Roman" w:cs="Times New Roman"/>
          <w:i/>
          <w:sz w:val="20"/>
          <w:szCs w:val="20"/>
        </w:rPr>
        <w:t xml:space="preserve">Salvation </w:t>
      </w:r>
      <w:r w:rsidR="008B2C04">
        <w:rPr>
          <w:rFonts w:ascii="Times New Roman" w:eastAsia="Times New Roman" w:hAnsi="Times New Roman" w:cs="Times New Roman"/>
          <w:i/>
          <w:sz w:val="20"/>
          <w:szCs w:val="20"/>
        </w:rPr>
        <w:t>and</w:t>
      </w:r>
      <w:r>
        <w:rPr>
          <w:rFonts w:ascii="Times New Roman" w:eastAsia="Times New Roman" w:hAnsi="Times New Roman" w:cs="Times New Roman"/>
          <w:i/>
          <w:sz w:val="20"/>
          <w:szCs w:val="20"/>
        </w:rPr>
        <w:t xml:space="preserve"> So</w:t>
      </w:r>
      <w:r>
        <w:rPr>
          <w:rFonts w:ascii="Times New Roman" w:eastAsia="Times New Roman" w:hAnsi="Times New Roman" w:cs="Times New Roman"/>
          <w:i/>
          <w:sz w:val="20"/>
          <w:szCs w:val="20"/>
        </w:rPr>
        <w:t xml:space="preserve">vereignty </w:t>
      </w:r>
      <w:r>
        <w:rPr>
          <w:rFonts w:ascii="Times New Roman" w:eastAsia="Times New Roman" w:hAnsi="Times New Roman" w:cs="Times New Roman"/>
          <w:sz w:val="20"/>
          <w:szCs w:val="20"/>
        </w:rPr>
        <w:t>(Nashville: B&amp;H Publishing Group, 2010), pp. 18-41.</w:t>
      </w:r>
    </w:p>
  </w:footnote>
  <w:footnote w:id="45">
    <w:p w14:paraId="1087BD22" w14:textId="3EE90334" w:rsidR="00B15D0A" w:rsidRDefault="009A366F">
      <w:pPr>
        <w:spacing w:after="0" w:line="240" w:lineRule="auto"/>
        <w:rPr>
          <w:rFonts w:ascii="Times New Roman" w:eastAsia="Times New Roman" w:hAnsi="Times New Roman" w:cs="Times New Roman"/>
          <w:sz w:val="20"/>
          <w:szCs w:val="20"/>
        </w:rPr>
      </w:pPr>
      <w:r>
        <w:rPr>
          <w:rStyle w:val="FootnoteReference"/>
        </w:rPr>
        <w:footnoteRef/>
      </w:r>
      <w:r>
        <w:rPr>
          <w:rFonts w:ascii="Times New Roman" w:eastAsia="Times New Roman" w:hAnsi="Times New Roman" w:cs="Times New Roman"/>
          <w:sz w:val="20"/>
          <w:szCs w:val="20"/>
        </w:rPr>
        <w:t xml:space="preserve"> William Lane Craig, </w:t>
      </w:r>
      <w:r>
        <w:rPr>
          <w:rFonts w:ascii="Times New Roman" w:eastAsia="Times New Roman" w:hAnsi="Times New Roman" w:cs="Times New Roman"/>
          <w:i/>
          <w:sz w:val="20"/>
          <w:szCs w:val="20"/>
        </w:rPr>
        <w:t xml:space="preserve">The Only Wise God: The Compatibility </w:t>
      </w:r>
      <w:r w:rsidR="008B2C04">
        <w:rPr>
          <w:rFonts w:ascii="Times New Roman" w:eastAsia="Times New Roman" w:hAnsi="Times New Roman" w:cs="Times New Roman"/>
          <w:i/>
          <w:sz w:val="20"/>
          <w:szCs w:val="20"/>
        </w:rPr>
        <w:t>of</w:t>
      </w:r>
      <w:r>
        <w:rPr>
          <w:rFonts w:ascii="Times New Roman" w:eastAsia="Times New Roman" w:hAnsi="Times New Roman" w:cs="Times New Roman"/>
          <w:i/>
          <w:sz w:val="20"/>
          <w:szCs w:val="20"/>
        </w:rPr>
        <w:t xml:space="preserve"> Divine Foreknowledge </w:t>
      </w:r>
      <w:r w:rsidR="008B2C04">
        <w:rPr>
          <w:rFonts w:ascii="Times New Roman" w:eastAsia="Times New Roman" w:hAnsi="Times New Roman" w:cs="Times New Roman"/>
          <w:i/>
          <w:sz w:val="20"/>
          <w:szCs w:val="20"/>
        </w:rPr>
        <w:t>and</w:t>
      </w:r>
      <w:r>
        <w:rPr>
          <w:rFonts w:ascii="Times New Roman" w:eastAsia="Times New Roman" w:hAnsi="Times New Roman" w:cs="Times New Roman"/>
          <w:i/>
          <w:sz w:val="20"/>
          <w:szCs w:val="20"/>
        </w:rPr>
        <w:t xml:space="preserve"> Human Freedom </w:t>
      </w:r>
      <w:r>
        <w:rPr>
          <w:rFonts w:ascii="Times New Roman" w:eastAsia="Times New Roman" w:hAnsi="Times New Roman" w:cs="Times New Roman"/>
          <w:sz w:val="20"/>
          <w:szCs w:val="20"/>
        </w:rPr>
        <w:t>(Eugene, OR: Wipf and Stock Publishers, 2000), p. 140.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2B1AF5" w14:textId="77777777" w:rsidR="00B15D0A" w:rsidRDefault="00B15D0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9B2183"/>
    <w:multiLevelType w:val="multilevel"/>
    <w:tmpl w:val="BAA03CD2"/>
    <w:lvl w:ilvl="0">
      <w:start w:val="1"/>
      <w:numFmt w:val="decimal"/>
      <w:lvlText w:val="%1."/>
      <w:lvlJc w:val="left"/>
      <w:pPr>
        <w:ind w:left="720" w:hanging="360"/>
      </w:pPr>
      <w:rPr>
        <w:rFonts w:ascii="Times New Roman" w:eastAsia="Times New Roman" w:hAnsi="Times New Roman" w:cs="Times New Roman"/>
        <w:b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5D0A"/>
    <w:rsid w:val="0059407F"/>
    <w:rsid w:val="008B2C04"/>
    <w:rsid w:val="009A366F"/>
    <w:rsid w:val="00B15D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D7FD59"/>
  <w15:docId w15:val="{8681DDFF-7DAE-48AE-A510-23639E971E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FootnoteText">
    <w:name w:val="footnote text"/>
    <w:basedOn w:val="Normal"/>
    <w:link w:val="FootnoteTextChar"/>
    <w:uiPriority w:val="99"/>
    <w:semiHidden/>
    <w:unhideWhenUsed/>
    <w:rsid w:val="00B406E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406E7"/>
    <w:rPr>
      <w:sz w:val="20"/>
      <w:szCs w:val="20"/>
    </w:rPr>
  </w:style>
  <w:style w:type="character" w:styleId="FootnoteReference">
    <w:name w:val="footnote reference"/>
    <w:basedOn w:val="DefaultParagraphFont"/>
    <w:uiPriority w:val="99"/>
    <w:semiHidden/>
    <w:unhideWhenUsed/>
    <w:rsid w:val="00B406E7"/>
    <w:rPr>
      <w:vertAlign w:val="superscript"/>
    </w:rPr>
  </w:style>
  <w:style w:type="paragraph" w:styleId="ListParagraph">
    <w:name w:val="List Paragraph"/>
    <w:basedOn w:val="Normal"/>
    <w:uiPriority w:val="34"/>
    <w:qFormat/>
    <w:rsid w:val="006F1A1A"/>
    <w:pPr>
      <w:ind w:left="720"/>
      <w:contextualSpacing/>
    </w:pPr>
  </w:style>
  <w:style w:type="paragraph" w:styleId="NoSpacing">
    <w:name w:val="No Spacing"/>
    <w:link w:val="NoSpacingChar"/>
    <w:uiPriority w:val="1"/>
    <w:qFormat/>
    <w:rsid w:val="007E731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7313"/>
    <w:rPr>
      <w:rFonts w:eastAsiaTheme="minorEastAsia"/>
      <w:lang w:val="en-U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CHEWlltj7zpV8R9neeKiULk2DvA==">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35</Pages>
  <Words>9482</Words>
  <Characters>54053</Characters>
  <Application>Microsoft Office Word</Application>
  <DocSecurity>0</DocSecurity>
  <Lines>450</Lines>
  <Paragraphs>126</Paragraphs>
  <ScaleCrop>false</ScaleCrop>
  <Company/>
  <LinksUpToDate>false</LinksUpToDate>
  <CharactersWithSpaces>63409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Barrow</dc:creator>
  <cp:lastModifiedBy>James Barrow (1702562)</cp:lastModifiedBy>
  <cp:revision>3</cp:revision>
  <dcterms:created xsi:type="dcterms:W3CDTF">2020-04-18T01:12:00Z</dcterms:created>
  <dcterms:modified xsi:type="dcterms:W3CDTF">2020-05-06T21:35:00Z</dcterms:modified>
</cp:coreProperties>
</file>