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D81464" w14:textId="77777777" w:rsidR="008A59E7" w:rsidRPr="00772742" w:rsidRDefault="008A59E7" w:rsidP="008B551B">
      <w:pPr>
        <w:jc w:val="center"/>
        <w:rPr>
          <w:b/>
          <w:bCs/>
          <w:sz w:val="40"/>
          <w:szCs w:val="40"/>
          <w:lang w:bidi="bn-IN"/>
        </w:rPr>
      </w:pPr>
      <w:r w:rsidRPr="00772742">
        <w:rPr>
          <w:b/>
          <w:bCs/>
          <w:sz w:val="40"/>
          <w:szCs w:val="40"/>
          <w:lang w:bidi="bn-IN"/>
        </w:rPr>
        <w:t>BA (Hons) Leadership and Management Skills in the Workplace</w:t>
      </w:r>
    </w:p>
    <w:p w14:paraId="50C921CD" w14:textId="77777777" w:rsidR="008A59E7" w:rsidRDefault="008A59E7" w:rsidP="008B551B">
      <w:pPr>
        <w:jc w:val="center"/>
        <w:rPr>
          <w:rFonts w:ascii="TimesNewRomanPS-BoldMT" w:hAnsi="TimesNewRomanPS-BoldMT"/>
          <w:szCs w:val="24"/>
          <w:lang w:bidi="bn-IN"/>
        </w:rPr>
      </w:pPr>
    </w:p>
    <w:p w14:paraId="54D9E381" w14:textId="48B487C3" w:rsidR="00BD21C0" w:rsidRPr="00772742" w:rsidRDefault="00BD21C0" w:rsidP="008B551B">
      <w:pPr>
        <w:jc w:val="center"/>
        <w:rPr>
          <w:sz w:val="28"/>
          <w:szCs w:val="28"/>
          <w:lang w:bidi="bn-IN"/>
        </w:rPr>
      </w:pPr>
      <w:r w:rsidRPr="00772742">
        <w:rPr>
          <w:rFonts w:ascii="TimesNewRomanPS-BoldMT" w:hAnsi="TimesNewRomanPS-BoldMT"/>
          <w:sz w:val="26"/>
          <w:szCs w:val="28"/>
          <w:lang w:bidi="bn-IN"/>
        </w:rPr>
        <w:t>LCLM5003</w:t>
      </w:r>
    </w:p>
    <w:p w14:paraId="65D97C15" w14:textId="77777777" w:rsidR="008A59E7" w:rsidRDefault="008A59E7" w:rsidP="008B551B">
      <w:pPr>
        <w:jc w:val="center"/>
        <w:rPr>
          <w:sz w:val="28"/>
          <w:szCs w:val="24"/>
          <w:lang w:bidi="bn-IN"/>
        </w:rPr>
      </w:pPr>
      <w:r w:rsidRPr="00772742">
        <w:rPr>
          <w:sz w:val="28"/>
          <w:szCs w:val="24"/>
          <w:lang w:bidi="bn-IN"/>
        </w:rPr>
        <w:t>Project Management</w:t>
      </w:r>
    </w:p>
    <w:p w14:paraId="2F66E85F" w14:textId="77777777" w:rsidR="005B1072" w:rsidRDefault="005B1072" w:rsidP="008B551B">
      <w:pPr>
        <w:jc w:val="center"/>
        <w:rPr>
          <w:sz w:val="28"/>
          <w:szCs w:val="24"/>
          <w:lang w:bidi="bn-IN"/>
        </w:rPr>
      </w:pPr>
    </w:p>
    <w:p w14:paraId="3E52C205" w14:textId="77777777" w:rsidR="005B1072" w:rsidRDefault="005B1072" w:rsidP="008B551B">
      <w:pPr>
        <w:jc w:val="center"/>
        <w:rPr>
          <w:sz w:val="28"/>
          <w:szCs w:val="24"/>
          <w:lang w:bidi="bn-IN"/>
        </w:rPr>
      </w:pPr>
    </w:p>
    <w:p w14:paraId="3979CBC8" w14:textId="77777777" w:rsidR="005B1072" w:rsidRDefault="005B1072" w:rsidP="008B551B">
      <w:pPr>
        <w:jc w:val="center"/>
        <w:rPr>
          <w:sz w:val="28"/>
          <w:szCs w:val="24"/>
          <w:lang w:bidi="bn-IN"/>
        </w:rPr>
      </w:pPr>
    </w:p>
    <w:p w14:paraId="5590245A" w14:textId="77777777" w:rsidR="005B1072" w:rsidRPr="00772742" w:rsidRDefault="005B1072" w:rsidP="008B551B">
      <w:pPr>
        <w:jc w:val="center"/>
        <w:rPr>
          <w:sz w:val="28"/>
          <w:szCs w:val="24"/>
          <w:lang w:bidi="bn-IN"/>
        </w:rPr>
      </w:pPr>
    </w:p>
    <w:p w14:paraId="71F93B8E" w14:textId="69E8EDBE" w:rsidR="00772742" w:rsidRDefault="005B1072" w:rsidP="008B551B">
      <w:pPr>
        <w:jc w:val="center"/>
        <w:rPr>
          <w:b/>
          <w:bCs/>
          <w:sz w:val="32"/>
          <w:szCs w:val="28"/>
        </w:rPr>
      </w:pPr>
      <w:r>
        <w:rPr>
          <w:b/>
          <w:bCs/>
          <w:sz w:val="32"/>
          <w:szCs w:val="28"/>
        </w:rPr>
        <w:t>Report on</w:t>
      </w:r>
    </w:p>
    <w:p w14:paraId="1153DFA0" w14:textId="6A7C8D96" w:rsidR="005B1072" w:rsidRPr="00772742" w:rsidRDefault="005B1072" w:rsidP="008B551B">
      <w:pPr>
        <w:jc w:val="center"/>
        <w:rPr>
          <w:b/>
          <w:bCs/>
          <w:lang w:bidi="bn-IN"/>
        </w:rPr>
      </w:pPr>
      <w:r>
        <w:t>Project Management Plan for the Manchester Piccadilly Integrated Transport Hub Regeneration</w:t>
      </w:r>
    </w:p>
    <w:p w14:paraId="78EAB145" w14:textId="77777777" w:rsidR="008A59E7" w:rsidRDefault="008A59E7" w:rsidP="008B551B">
      <w:pPr>
        <w:jc w:val="center"/>
        <w:rPr>
          <w:lang w:bidi="bn-IN"/>
        </w:rPr>
      </w:pPr>
    </w:p>
    <w:p w14:paraId="2B235732" w14:textId="77777777" w:rsidR="008A59E7" w:rsidRDefault="008A59E7" w:rsidP="008B551B">
      <w:pPr>
        <w:jc w:val="center"/>
        <w:rPr>
          <w:lang w:bidi="bn-IN"/>
        </w:rPr>
      </w:pPr>
    </w:p>
    <w:p w14:paraId="55F6D979" w14:textId="77777777" w:rsidR="008A59E7" w:rsidRDefault="008A59E7" w:rsidP="008B551B">
      <w:pPr>
        <w:jc w:val="center"/>
        <w:rPr>
          <w:lang w:bidi="bn-IN"/>
        </w:rPr>
      </w:pPr>
    </w:p>
    <w:p w14:paraId="34D33B57" w14:textId="77777777" w:rsidR="008A59E7" w:rsidRDefault="008A59E7" w:rsidP="008B551B">
      <w:pPr>
        <w:jc w:val="center"/>
        <w:rPr>
          <w:lang w:bidi="bn-IN"/>
        </w:rPr>
      </w:pPr>
    </w:p>
    <w:p w14:paraId="5716DA6C" w14:textId="77777777" w:rsidR="008A59E7" w:rsidRDefault="008A59E7" w:rsidP="008B551B">
      <w:pPr>
        <w:jc w:val="center"/>
        <w:rPr>
          <w:lang w:bidi="bn-IN"/>
        </w:rPr>
      </w:pPr>
    </w:p>
    <w:p w14:paraId="28A46749" w14:textId="77777777" w:rsidR="008A59E7" w:rsidRDefault="008A59E7" w:rsidP="008B551B">
      <w:pPr>
        <w:jc w:val="center"/>
        <w:rPr>
          <w:lang w:bidi="bn-IN"/>
        </w:rPr>
      </w:pPr>
    </w:p>
    <w:p w14:paraId="1943057B" w14:textId="77777777" w:rsidR="008A59E7" w:rsidRDefault="008A59E7" w:rsidP="008B551B">
      <w:pPr>
        <w:jc w:val="center"/>
        <w:rPr>
          <w:lang w:bidi="bn-IN"/>
        </w:rPr>
      </w:pPr>
    </w:p>
    <w:p w14:paraId="5FF20389" w14:textId="77777777" w:rsidR="00EB1108" w:rsidRDefault="00EB1108" w:rsidP="00EB1108">
      <w:pPr>
        <w:jc w:val="center"/>
        <w:rPr>
          <w:sz w:val="28"/>
          <w:szCs w:val="24"/>
          <w:lang w:bidi="bn-IN"/>
        </w:rPr>
      </w:pPr>
      <w:r w:rsidRPr="00772742">
        <w:rPr>
          <w:b/>
          <w:bCs/>
          <w:lang w:bidi="bn-IN"/>
        </w:rPr>
        <w:t>Student Name:</w:t>
      </w:r>
      <w:r w:rsidRPr="005C19CC">
        <w:rPr>
          <w:sz w:val="28"/>
          <w:szCs w:val="24"/>
          <w:lang w:bidi="bn-IN"/>
        </w:rPr>
        <w:t xml:space="preserve"> </w:t>
      </w:r>
      <w:r>
        <w:rPr>
          <w:sz w:val="28"/>
          <w:szCs w:val="24"/>
          <w:lang w:bidi="bn-IN"/>
        </w:rPr>
        <w:t>Christine Hope Castro</w:t>
      </w:r>
    </w:p>
    <w:p w14:paraId="627E8E7C" w14:textId="77777777" w:rsidR="00EB1108" w:rsidRPr="00772742" w:rsidRDefault="00EB1108" w:rsidP="00EB1108">
      <w:pPr>
        <w:jc w:val="center"/>
        <w:rPr>
          <w:b/>
          <w:bCs/>
          <w:lang w:bidi="bn-IN"/>
        </w:rPr>
      </w:pPr>
    </w:p>
    <w:p w14:paraId="2C2D2495" w14:textId="77777777" w:rsidR="00EB1108" w:rsidRDefault="00EB1108" w:rsidP="00EB1108">
      <w:pPr>
        <w:jc w:val="center"/>
        <w:rPr>
          <w:sz w:val="28"/>
          <w:szCs w:val="24"/>
          <w:lang w:bidi="bn-IN"/>
        </w:rPr>
      </w:pPr>
      <w:r w:rsidRPr="00772742">
        <w:rPr>
          <w:b/>
          <w:bCs/>
          <w:lang w:bidi="bn-IN"/>
        </w:rPr>
        <w:t>Student ID:</w:t>
      </w:r>
      <w:r w:rsidRPr="005C19CC">
        <w:rPr>
          <w:sz w:val="28"/>
          <w:szCs w:val="24"/>
          <w:lang w:bidi="bn-IN"/>
        </w:rPr>
        <w:t xml:space="preserve"> </w:t>
      </w:r>
      <w:r>
        <w:rPr>
          <w:sz w:val="28"/>
          <w:szCs w:val="24"/>
          <w:lang w:bidi="bn-IN"/>
        </w:rPr>
        <w:t>2426721</w:t>
      </w:r>
    </w:p>
    <w:p w14:paraId="5AE1336E" w14:textId="77777777" w:rsidR="00EB1108" w:rsidRDefault="00EB1108" w:rsidP="00EB1108">
      <w:pPr>
        <w:jc w:val="center"/>
        <w:rPr>
          <w:b/>
          <w:bCs/>
          <w:lang w:bidi="bn-IN"/>
        </w:rPr>
      </w:pPr>
    </w:p>
    <w:p w14:paraId="0C7EF1DC" w14:textId="77777777" w:rsidR="00EB1108" w:rsidRDefault="00EB1108" w:rsidP="00EB1108">
      <w:pPr>
        <w:jc w:val="center"/>
        <w:rPr>
          <w:b/>
          <w:bCs/>
          <w:lang w:bidi="bn-IN"/>
        </w:rPr>
      </w:pPr>
    </w:p>
    <w:p w14:paraId="7D1131CD" w14:textId="77777777" w:rsidR="00EB1108" w:rsidRDefault="00EB1108" w:rsidP="00EB1108">
      <w:pPr>
        <w:jc w:val="center"/>
        <w:rPr>
          <w:b/>
          <w:bCs/>
          <w:lang w:bidi="bn-IN"/>
        </w:rPr>
      </w:pPr>
    </w:p>
    <w:p w14:paraId="17B07E1C" w14:textId="77777777" w:rsidR="00EB1108" w:rsidRDefault="00EB1108" w:rsidP="00EB1108">
      <w:pPr>
        <w:jc w:val="center"/>
        <w:rPr>
          <w:b/>
          <w:bCs/>
          <w:lang w:bidi="bn-IN"/>
        </w:rPr>
      </w:pPr>
    </w:p>
    <w:p w14:paraId="68E2BCBB" w14:textId="77777777" w:rsidR="00EB1108" w:rsidRDefault="00EB1108" w:rsidP="00EB1108">
      <w:pPr>
        <w:jc w:val="center"/>
        <w:rPr>
          <w:b/>
          <w:bCs/>
          <w:lang w:bidi="bn-IN"/>
        </w:rPr>
      </w:pPr>
    </w:p>
    <w:p w14:paraId="5D6F337D" w14:textId="77777777" w:rsidR="00EB1108" w:rsidRPr="00772742" w:rsidRDefault="00EB1108" w:rsidP="00EB1108">
      <w:pPr>
        <w:jc w:val="center"/>
        <w:rPr>
          <w:b/>
          <w:bCs/>
          <w:lang w:bidi="bn-IN"/>
        </w:rPr>
      </w:pPr>
    </w:p>
    <w:p w14:paraId="0E172F49" w14:textId="77777777" w:rsidR="00EB1108" w:rsidRDefault="00EB1108" w:rsidP="00EB1108">
      <w:pPr>
        <w:jc w:val="center"/>
        <w:rPr>
          <w:lang w:bidi="bn-IN"/>
        </w:rPr>
      </w:pPr>
    </w:p>
    <w:p w14:paraId="409D23A5" w14:textId="2DF01CA9" w:rsidR="008B551B" w:rsidRPr="00EB1108" w:rsidRDefault="00EB1108" w:rsidP="00EB1108">
      <w:pPr>
        <w:jc w:val="center"/>
        <w:rPr>
          <w:lang w:bidi="bn-IN"/>
        </w:rPr>
      </w:pPr>
      <w:r>
        <w:rPr>
          <w:lang w:bidi="bn-IN"/>
        </w:rPr>
        <w:t>Date of Submission: 18/08/26</w:t>
      </w:r>
      <w:r w:rsidR="00772742">
        <w:rPr>
          <w:lang w:bidi="bn-IN"/>
        </w:rPr>
        <w:br w:type="page"/>
      </w:r>
    </w:p>
    <w:sdt>
      <w:sdtPr>
        <w:rPr>
          <w:rFonts w:ascii="Times New Roman" w:eastAsia="Times New Roman" w:hAnsi="Times New Roman" w:cs="Times New Roman"/>
          <w:color w:val="auto"/>
          <w:sz w:val="24"/>
          <w:szCs w:val="22"/>
        </w:rPr>
        <w:id w:val="-764612014"/>
        <w:docPartObj>
          <w:docPartGallery w:val="Table of Contents"/>
          <w:docPartUnique/>
        </w:docPartObj>
      </w:sdtPr>
      <w:sdtEndPr>
        <w:rPr>
          <w:b/>
          <w:bCs/>
          <w:noProof/>
        </w:rPr>
      </w:sdtEndPr>
      <w:sdtContent>
        <w:p w14:paraId="676D3905" w14:textId="5FAC1F3A" w:rsidR="008B551B" w:rsidRPr="008B551B" w:rsidRDefault="008B551B" w:rsidP="00391C27">
          <w:pPr>
            <w:pStyle w:val="TOCHeading"/>
            <w:spacing w:after="120"/>
            <w:rPr>
              <w:rFonts w:ascii="Times New Roman" w:hAnsi="Times New Roman" w:cs="Times New Roman"/>
              <w:b/>
              <w:bCs/>
            </w:rPr>
          </w:pPr>
          <w:r w:rsidRPr="008B551B">
            <w:rPr>
              <w:rFonts w:ascii="Times New Roman" w:hAnsi="Times New Roman" w:cs="Times New Roman"/>
              <w:b/>
              <w:bCs/>
            </w:rPr>
            <w:t>Contents</w:t>
          </w:r>
        </w:p>
        <w:p w14:paraId="17773A61" w14:textId="35858FB5" w:rsidR="008B551B" w:rsidRPr="008B551B" w:rsidRDefault="008B551B" w:rsidP="00391C27">
          <w:pPr>
            <w:pStyle w:val="TOC1"/>
            <w:spacing w:after="120"/>
            <w:rPr>
              <w:rFonts w:asciiTheme="minorHAnsi" w:eastAsiaTheme="minorEastAsia" w:hAnsiTheme="minorHAnsi" w:cstheme="minorBidi"/>
              <w:b w:val="0"/>
              <w:bCs w:val="0"/>
              <w:kern w:val="2"/>
              <w:szCs w:val="30"/>
              <w:lang w:bidi="bn-IN"/>
              <w14:ligatures w14:val="standardContextual"/>
            </w:rPr>
          </w:pPr>
          <w:r>
            <w:fldChar w:fldCharType="begin"/>
          </w:r>
          <w:r>
            <w:instrText xml:space="preserve"> TOC \o "1-3" \h \z \u </w:instrText>
          </w:r>
          <w:r>
            <w:fldChar w:fldCharType="separate"/>
          </w:r>
          <w:hyperlink w:anchor="_Toc237634522" w:history="1">
            <w:r w:rsidRPr="008B551B">
              <w:rPr>
                <w:rStyle w:val="Hyperlink"/>
                <w:b w:val="0"/>
                <w:bCs w:val="0"/>
              </w:rPr>
              <w:t>Introduction</w:t>
            </w:r>
            <w:r w:rsidRPr="008B551B">
              <w:rPr>
                <w:b w:val="0"/>
                <w:bCs w:val="0"/>
                <w:webHidden/>
              </w:rPr>
              <w:tab/>
            </w:r>
            <w:r w:rsidRPr="008B551B">
              <w:rPr>
                <w:b w:val="0"/>
                <w:bCs w:val="0"/>
                <w:webHidden/>
              </w:rPr>
              <w:fldChar w:fldCharType="begin"/>
            </w:r>
            <w:r w:rsidRPr="008B551B">
              <w:rPr>
                <w:b w:val="0"/>
                <w:bCs w:val="0"/>
                <w:webHidden/>
              </w:rPr>
              <w:instrText xml:space="preserve"> PAGEREF _Toc237634522 \h </w:instrText>
            </w:r>
            <w:r w:rsidRPr="008B551B">
              <w:rPr>
                <w:b w:val="0"/>
                <w:bCs w:val="0"/>
                <w:webHidden/>
              </w:rPr>
            </w:r>
            <w:r w:rsidRPr="008B551B">
              <w:rPr>
                <w:b w:val="0"/>
                <w:bCs w:val="0"/>
                <w:webHidden/>
              </w:rPr>
              <w:fldChar w:fldCharType="separate"/>
            </w:r>
            <w:r w:rsidR="00EB1108">
              <w:rPr>
                <w:b w:val="0"/>
                <w:bCs w:val="0"/>
                <w:webHidden/>
              </w:rPr>
              <w:t>3</w:t>
            </w:r>
            <w:r w:rsidRPr="008B551B">
              <w:rPr>
                <w:b w:val="0"/>
                <w:bCs w:val="0"/>
                <w:webHidden/>
              </w:rPr>
              <w:fldChar w:fldCharType="end"/>
            </w:r>
          </w:hyperlink>
        </w:p>
        <w:p w14:paraId="540755E8" w14:textId="242BA922" w:rsidR="008B551B" w:rsidRPr="008B551B" w:rsidRDefault="008B551B" w:rsidP="00391C27">
          <w:pPr>
            <w:pStyle w:val="TOC1"/>
            <w:spacing w:after="120"/>
            <w:rPr>
              <w:rFonts w:asciiTheme="minorHAnsi" w:eastAsiaTheme="minorEastAsia" w:hAnsiTheme="minorHAnsi" w:cstheme="minorBidi"/>
              <w:b w:val="0"/>
              <w:bCs w:val="0"/>
              <w:kern w:val="2"/>
              <w:szCs w:val="30"/>
              <w:lang w:bidi="bn-IN"/>
              <w14:ligatures w14:val="standardContextual"/>
            </w:rPr>
          </w:pPr>
          <w:hyperlink w:anchor="_Toc237634523" w:history="1">
            <w:r w:rsidRPr="008B551B">
              <w:rPr>
                <w:rStyle w:val="Hyperlink"/>
                <w:b w:val="0"/>
                <w:bCs w:val="0"/>
              </w:rPr>
              <w:t>Project Description</w:t>
            </w:r>
            <w:r w:rsidRPr="008B551B">
              <w:rPr>
                <w:b w:val="0"/>
                <w:bCs w:val="0"/>
                <w:webHidden/>
              </w:rPr>
              <w:tab/>
            </w:r>
            <w:r w:rsidRPr="008B551B">
              <w:rPr>
                <w:b w:val="0"/>
                <w:bCs w:val="0"/>
                <w:webHidden/>
              </w:rPr>
              <w:fldChar w:fldCharType="begin"/>
            </w:r>
            <w:r w:rsidRPr="008B551B">
              <w:rPr>
                <w:b w:val="0"/>
                <w:bCs w:val="0"/>
                <w:webHidden/>
              </w:rPr>
              <w:instrText xml:space="preserve"> PAGEREF _Toc237634523 \h </w:instrText>
            </w:r>
            <w:r w:rsidRPr="008B551B">
              <w:rPr>
                <w:b w:val="0"/>
                <w:bCs w:val="0"/>
                <w:webHidden/>
              </w:rPr>
            </w:r>
            <w:r w:rsidRPr="008B551B">
              <w:rPr>
                <w:b w:val="0"/>
                <w:bCs w:val="0"/>
                <w:webHidden/>
              </w:rPr>
              <w:fldChar w:fldCharType="separate"/>
            </w:r>
            <w:r w:rsidR="00EB1108">
              <w:rPr>
                <w:b w:val="0"/>
                <w:bCs w:val="0"/>
                <w:webHidden/>
              </w:rPr>
              <w:t>4</w:t>
            </w:r>
            <w:r w:rsidRPr="008B551B">
              <w:rPr>
                <w:b w:val="0"/>
                <w:bCs w:val="0"/>
                <w:webHidden/>
              </w:rPr>
              <w:fldChar w:fldCharType="end"/>
            </w:r>
          </w:hyperlink>
        </w:p>
        <w:p w14:paraId="387787BD" w14:textId="67A0667C" w:rsidR="008B551B" w:rsidRPr="008B551B" w:rsidRDefault="008B551B" w:rsidP="00391C27">
          <w:pPr>
            <w:pStyle w:val="TOC1"/>
            <w:spacing w:after="120"/>
            <w:rPr>
              <w:rFonts w:asciiTheme="minorHAnsi" w:eastAsiaTheme="minorEastAsia" w:hAnsiTheme="minorHAnsi" w:cstheme="minorBidi"/>
              <w:b w:val="0"/>
              <w:bCs w:val="0"/>
              <w:kern w:val="2"/>
              <w:szCs w:val="30"/>
              <w:lang w:bidi="bn-IN"/>
              <w14:ligatures w14:val="standardContextual"/>
            </w:rPr>
          </w:pPr>
          <w:hyperlink w:anchor="_Toc237634524" w:history="1">
            <w:r w:rsidRPr="008B551B">
              <w:rPr>
                <w:rStyle w:val="Hyperlink"/>
                <w:b w:val="0"/>
                <w:bCs w:val="0"/>
              </w:rPr>
              <w:t>Project Scope</w:t>
            </w:r>
            <w:r w:rsidRPr="008B551B">
              <w:rPr>
                <w:b w:val="0"/>
                <w:bCs w:val="0"/>
                <w:webHidden/>
              </w:rPr>
              <w:tab/>
            </w:r>
            <w:r w:rsidRPr="008B551B">
              <w:rPr>
                <w:b w:val="0"/>
                <w:bCs w:val="0"/>
                <w:webHidden/>
              </w:rPr>
              <w:fldChar w:fldCharType="begin"/>
            </w:r>
            <w:r w:rsidRPr="008B551B">
              <w:rPr>
                <w:b w:val="0"/>
                <w:bCs w:val="0"/>
                <w:webHidden/>
              </w:rPr>
              <w:instrText xml:space="preserve"> PAGEREF _Toc237634524 \h </w:instrText>
            </w:r>
            <w:r w:rsidRPr="008B551B">
              <w:rPr>
                <w:b w:val="0"/>
                <w:bCs w:val="0"/>
                <w:webHidden/>
              </w:rPr>
            </w:r>
            <w:r w:rsidRPr="008B551B">
              <w:rPr>
                <w:b w:val="0"/>
                <w:bCs w:val="0"/>
                <w:webHidden/>
              </w:rPr>
              <w:fldChar w:fldCharType="separate"/>
            </w:r>
            <w:r w:rsidR="00EB1108">
              <w:rPr>
                <w:b w:val="0"/>
                <w:bCs w:val="0"/>
                <w:webHidden/>
              </w:rPr>
              <w:t>5</w:t>
            </w:r>
            <w:r w:rsidRPr="008B551B">
              <w:rPr>
                <w:b w:val="0"/>
                <w:bCs w:val="0"/>
                <w:webHidden/>
              </w:rPr>
              <w:fldChar w:fldCharType="end"/>
            </w:r>
          </w:hyperlink>
        </w:p>
        <w:p w14:paraId="5C9F2B0F" w14:textId="6FE1FC08" w:rsidR="008B551B" w:rsidRPr="008B551B" w:rsidRDefault="008B551B" w:rsidP="00391C27">
          <w:pPr>
            <w:pStyle w:val="TOC1"/>
            <w:spacing w:after="120"/>
            <w:rPr>
              <w:rFonts w:asciiTheme="minorHAnsi" w:eastAsiaTheme="minorEastAsia" w:hAnsiTheme="minorHAnsi" w:cstheme="minorBidi"/>
              <w:b w:val="0"/>
              <w:bCs w:val="0"/>
              <w:kern w:val="2"/>
              <w:szCs w:val="30"/>
              <w:lang w:bidi="bn-IN"/>
              <w14:ligatures w14:val="standardContextual"/>
            </w:rPr>
          </w:pPr>
          <w:hyperlink w:anchor="_Toc237634525" w:history="1">
            <w:r w:rsidRPr="008B551B">
              <w:rPr>
                <w:rStyle w:val="Hyperlink"/>
                <w:b w:val="0"/>
                <w:bCs w:val="0"/>
              </w:rPr>
              <w:t>Work Breakdown Structure</w:t>
            </w:r>
            <w:r w:rsidRPr="008B551B">
              <w:rPr>
                <w:b w:val="0"/>
                <w:bCs w:val="0"/>
                <w:webHidden/>
              </w:rPr>
              <w:tab/>
            </w:r>
            <w:r w:rsidRPr="008B551B">
              <w:rPr>
                <w:b w:val="0"/>
                <w:bCs w:val="0"/>
                <w:webHidden/>
              </w:rPr>
              <w:fldChar w:fldCharType="begin"/>
            </w:r>
            <w:r w:rsidRPr="008B551B">
              <w:rPr>
                <w:b w:val="0"/>
                <w:bCs w:val="0"/>
                <w:webHidden/>
              </w:rPr>
              <w:instrText xml:space="preserve"> PAGEREF _Toc237634525 \h </w:instrText>
            </w:r>
            <w:r w:rsidRPr="008B551B">
              <w:rPr>
                <w:b w:val="0"/>
                <w:bCs w:val="0"/>
                <w:webHidden/>
              </w:rPr>
            </w:r>
            <w:r w:rsidRPr="008B551B">
              <w:rPr>
                <w:b w:val="0"/>
                <w:bCs w:val="0"/>
                <w:webHidden/>
              </w:rPr>
              <w:fldChar w:fldCharType="separate"/>
            </w:r>
            <w:r w:rsidR="00EB1108">
              <w:rPr>
                <w:b w:val="0"/>
                <w:bCs w:val="0"/>
                <w:webHidden/>
              </w:rPr>
              <w:t>6</w:t>
            </w:r>
            <w:r w:rsidRPr="008B551B">
              <w:rPr>
                <w:b w:val="0"/>
                <w:bCs w:val="0"/>
                <w:webHidden/>
              </w:rPr>
              <w:fldChar w:fldCharType="end"/>
            </w:r>
          </w:hyperlink>
        </w:p>
        <w:p w14:paraId="6143D0A3" w14:textId="3A060B8C" w:rsidR="008B551B" w:rsidRPr="008B551B" w:rsidRDefault="008B551B" w:rsidP="00391C27">
          <w:pPr>
            <w:pStyle w:val="TOC1"/>
            <w:spacing w:after="120"/>
            <w:rPr>
              <w:rFonts w:asciiTheme="minorHAnsi" w:eastAsiaTheme="minorEastAsia" w:hAnsiTheme="minorHAnsi" w:cstheme="minorBidi"/>
              <w:b w:val="0"/>
              <w:bCs w:val="0"/>
              <w:kern w:val="2"/>
              <w:szCs w:val="30"/>
              <w:lang w:bidi="bn-IN"/>
              <w14:ligatures w14:val="standardContextual"/>
            </w:rPr>
          </w:pPr>
          <w:hyperlink w:anchor="_Toc237634526" w:history="1">
            <w:r w:rsidRPr="008B551B">
              <w:rPr>
                <w:rStyle w:val="Hyperlink"/>
                <w:b w:val="0"/>
                <w:bCs w:val="0"/>
              </w:rPr>
              <w:t>Quad Chart</w:t>
            </w:r>
            <w:r w:rsidRPr="008B551B">
              <w:rPr>
                <w:b w:val="0"/>
                <w:bCs w:val="0"/>
                <w:webHidden/>
              </w:rPr>
              <w:tab/>
            </w:r>
            <w:r w:rsidRPr="008B551B">
              <w:rPr>
                <w:b w:val="0"/>
                <w:bCs w:val="0"/>
                <w:webHidden/>
              </w:rPr>
              <w:fldChar w:fldCharType="begin"/>
            </w:r>
            <w:r w:rsidRPr="008B551B">
              <w:rPr>
                <w:b w:val="0"/>
                <w:bCs w:val="0"/>
                <w:webHidden/>
              </w:rPr>
              <w:instrText xml:space="preserve"> PAGEREF _Toc237634526 \h </w:instrText>
            </w:r>
            <w:r w:rsidRPr="008B551B">
              <w:rPr>
                <w:b w:val="0"/>
                <w:bCs w:val="0"/>
                <w:webHidden/>
              </w:rPr>
            </w:r>
            <w:r w:rsidRPr="008B551B">
              <w:rPr>
                <w:b w:val="0"/>
                <w:bCs w:val="0"/>
                <w:webHidden/>
              </w:rPr>
              <w:fldChar w:fldCharType="separate"/>
            </w:r>
            <w:r w:rsidR="00EB1108">
              <w:rPr>
                <w:b w:val="0"/>
                <w:bCs w:val="0"/>
                <w:webHidden/>
              </w:rPr>
              <w:t>7</w:t>
            </w:r>
            <w:r w:rsidRPr="008B551B">
              <w:rPr>
                <w:b w:val="0"/>
                <w:bCs w:val="0"/>
                <w:webHidden/>
              </w:rPr>
              <w:fldChar w:fldCharType="end"/>
            </w:r>
          </w:hyperlink>
        </w:p>
        <w:p w14:paraId="01A7F687" w14:textId="0A36A503" w:rsidR="008B551B" w:rsidRPr="008B551B" w:rsidRDefault="008B551B" w:rsidP="00391C27">
          <w:pPr>
            <w:pStyle w:val="TOC1"/>
            <w:spacing w:after="120"/>
            <w:rPr>
              <w:rFonts w:asciiTheme="minorHAnsi" w:eastAsiaTheme="minorEastAsia" w:hAnsiTheme="minorHAnsi" w:cstheme="minorBidi"/>
              <w:b w:val="0"/>
              <w:bCs w:val="0"/>
              <w:kern w:val="2"/>
              <w:szCs w:val="30"/>
              <w:lang w:bidi="bn-IN"/>
              <w14:ligatures w14:val="standardContextual"/>
            </w:rPr>
          </w:pPr>
          <w:hyperlink w:anchor="_Toc237634527" w:history="1">
            <w:r w:rsidRPr="008B551B">
              <w:rPr>
                <w:rStyle w:val="Hyperlink"/>
                <w:b w:val="0"/>
                <w:bCs w:val="0"/>
              </w:rPr>
              <w:t>Gantt Chart and Schedule Logic</w:t>
            </w:r>
            <w:r w:rsidRPr="008B551B">
              <w:rPr>
                <w:b w:val="0"/>
                <w:bCs w:val="0"/>
                <w:webHidden/>
              </w:rPr>
              <w:tab/>
            </w:r>
            <w:r w:rsidRPr="008B551B">
              <w:rPr>
                <w:b w:val="0"/>
                <w:bCs w:val="0"/>
                <w:webHidden/>
              </w:rPr>
              <w:fldChar w:fldCharType="begin"/>
            </w:r>
            <w:r w:rsidRPr="008B551B">
              <w:rPr>
                <w:b w:val="0"/>
                <w:bCs w:val="0"/>
                <w:webHidden/>
              </w:rPr>
              <w:instrText xml:space="preserve"> PAGEREF _Toc237634527 \h </w:instrText>
            </w:r>
            <w:r w:rsidRPr="008B551B">
              <w:rPr>
                <w:b w:val="0"/>
                <w:bCs w:val="0"/>
                <w:webHidden/>
              </w:rPr>
            </w:r>
            <w:r w:rsidRPr="008B551B">
              <w:rPr>
                <w:b w:val="0"/>
                <w:bCs w:val="0"/>
                <w:webHidden/>
              </w:rPr>
              <w:fldChar w:fldCharType="separate"/>
            </w:r>
            <w:r w:rsidR="00EB1108">
              <w:rPr>
                <w:b w:val="0"/>
                <w:bCs w:val="0"/>
                <w:webHidden/>
              </w:rPr>
              <w:t>8</w:t>
            </w:r>
            <w:r w:rsidRPr="008B551B">
              <w:rPr>
                <w:b w:val="0"/>
                <w:bCs w:val="0"/>
                <w:webHidden/>
              </w:rPr>
              <w:fldChar w:fldCharType="end"/>
            </w:r>
          </w:hyperlink>
        </w:p>
        <w:p w14:paraId="23A94F71" w14:textId="579903B7" w:rsidR="008B551B" w:rsidRPr="008B551B" w:rsidRDefault="008B551B" w:rsidP="00391C27">
          <w:pPr>
            <w:pStyle w:val="TOC1"/>
            <w:spacing w:after="120"/>
            <w:rPr>
              <w:rFonts w:asciiTheme="minorHAnsi" w:eastAsiaTheme="minorEastAsia" w:hAnsiTheme="minorHAnsi" w:cstheme="minorBidi"/>
              <w:b w:val="0"/>
              <w:bCs w:val="0"/>
              <w:kern w:val="2"/>
              <w:szCs w:val="30"/>
              <w:lang w:bidi="bn-IN"/>
              <w14:ligatures w14:val="standardContextual"/>
            </w:rPr>
          </w:pPr>
          <w:hyperlink w:anchor="_Toc237634528" w:history="1">
            <w:r w:rsidRPr="008B551B">
              <w:rPr>
                <w:rStyle w:val="Hyperlink"/>
                <w:b w:val="0"/>
                <w:bCs w:val="0"/>
              </w:rPr>
              <w:t>Stakeholder Involvement</w:t>
            </w:r>
            <w:r w:rsidRPr="008B551B">
              <w:rPr>
                <w:b w:val="0"/>
                <w:bCs w:val="0"/>
                <w:webHidden/>
              </w:rPr>
              <w:tab/>
            </w:r>
            <w:r w:rsidRPr="008B551B">
              <w:rPr>
                <w:b w:val="0"/>
                <w:bCs w:val="0"/>
                <w:webHidden/>
              </w:rPr>
              <w:fldChar w:fldCharType="begin"/>
            </w:r>
            <w:r w:rsidRPr="008B551B">
              <w:rPr>
                <w:b w:val="0"/>
                <w:bCs w:val="0"/>
                <w:webHidden/>
              </w:rPr>
              <w:instrText xml:space="preserve"> PAGEREF _Toc237634528 \h </w:instrText>
            </w:r>
            <w:r w:rsidRPr="008B551B">
              <w:rPr>
                <w:b w:val="0"/>
                <w:bCs w:val="0"/>
                <w:webHidden/>
              </w:rPr>
            </w:r>
            <w:r w:rsidRPr="008B551B">
              <w:rPr>
                <w:b w:val="0"/>
                <w:bCs w:val="0"/>
                <w:webHidden/>
              </w:rPr>
              <w:fldChar w:fldCharType="separate"/>
            </w:r>
            <w:r w:rsidR="00EB1108">
              <w:rPr>
                <w:b w:val="0"/>
                <w:bCs w:val="0"/>
                <w:webHidden/>
              </w:rPr>
              <w:t>9</w:t>
            </w:r>
            <w:r w:rsidRPr="008B551B">
              <w:rPr>
                <w:b w:val="0"/>
                <w:bCs w:val="0"/>
                <w:webHidden/>
              </w:rPr>
              <w:fldChar w:fldCharType="end"/>
            </w:r>
          </w:hyperlink>
        </w:p>
        <w:p w14:paraId="315976F2" w14:textId="56FC8130" w:rsidR="008B551B" w:rsidRPr="008B551B" w:rsidRDefault="008B551B" w:rsidP="00391C27">
          <w:pPr>
            <w:pStyle w:val="TOC1"/>
            <w:spacing w:after="120"/>
            <w:rPr>
              <w:rFonts w:asciiTheme="minorHAnsi" w:eastAsiaTheme="minorEastAsia" w:hAnsiTheme="minorHAnsi" w:cstheme="minorBidi"/>
              <w:b w:val="0"/>
              <w:bCs w:val="0"/>
              <w:kern w:val="2"/>
              <w:szCs w:val="30"/>
              <w:lang w:bidi="bn-IN"/>
              <w14:ligatures w14:val="standardContextual"/>
            </w:rPr>
          </w:pPr>
          <w:hyperlink w:anchor="_Toc237634529" w:history="1">
            <w:r w:rsidRPr="008B551B">
              <w:rPr>
                <w:rStyle w:val="Hyperlink"/>
                <w:b w:val="0"/>
                <w:bCs w:val="0"/>
              </w:rPr>
              <w:t>Allocation of Resources</w:t>
            </w:r>
            <w:r w:rsidRPr="008B551B">
              <w:rPr>
                <w:b w:val="0"/>
                <w:bCs w:val="0"/>
                <w:webHidden/>
              </w:rPr>
              <w:tab/>
            </w:r>
            <w:r w:rsidRPr="008B551B">
              <w:rPr>
                <w:b w:val="0"/>
                <w:bCs w:val="0"/>
                <w:webHidden/>
              </w:rPr>
              <w:fldChar w:fldCharType="begin"/>
            </w:r>
            <w:r w:rsidRPr="008B551B">
              <w:rPr>
                <w:b w:val="0"/>
                <w:bCs w:val="0"/>
                <w:webHidden/>
              </w:rPr>
              <w:instrText xml:space="preserve"> PAGEREF _Toc237634529 \h </w:instrText>
            </w:r>
            <w:r w:rsidRPr="008B551B">
              <w:rPr>
                <w:b w:val="0"/>
                <w:bCs w:val="0"/>
                <w:webHidden/>
              </w:rPr>
            </w:r>
            <w:r w:rsidRPr="008B551B">
              <w:rPr>
                <w:b w:val="0"/>
                <w:bCs w:val="0"/>
                <w:webHidden/>
              </w:rPr>
              <w:fldChar w:fldCharType="separate"/>
            </w:r>
            <w:r w:rsidR="00EB1108">
              <w:rPr>
                <w:b w:val="0"/>
                <w:bCs w:val="0"/>
                <w:webHidden/>
              </w:rPr>
              <w:t>11</w:t>
            </w:r>
            <w:r w:rsidRPr="008B551B">
              <w:rPr>
                <w:b w:val="0"/>
                <w:bCs w:val="0"/>
                <w:webHidden/>
              </w:rPr>
              <w:fldChar w:fldCharType="end"/>
            </w:r>
          </w:hyperlink>
        </w:p>
        <w:p w14:paraId="5034FF89" w14:textId="5289E320" w:rsidR="008B551B" w:rsidRPr="008B551B" w:rsidRDefault="008B551B" w:rsidP="00391C27">
          <w:pPr>
            <w:pStyle w:val="TOC1"/>
            <w:spacing w:after="120"/>
            <w:rPr>
              <w:rFonts w:asciiTheme="minorHAnsi" w:eastAsiaTheme="minorEastAsia" w:hAnsiTheme="minorHAnsi" w:cstheme="minorBidi"/>
              <w:b w:val="0"/>
              <w:bCs w:val="0"/>
              <w:kern w:val="2"/>
              <w:szCs w:val="30"/>
              <w:lang w:bidi="bn-IN"/>
              <w14:ligatures w14:val="standardContextual"/>
            </w:rPr>
          </w:pPr>
          <w:hyperlink w:anchor="_Toc237634530" w:history="1">
            <w:r w:rsidRPr="008B551B">
              <w:rPr>
                <w:rStyle w:val="Hyperlink"/>
                <w:b w:val="0"/>
                <w:bCs w:val="0"/>
              </w:rPr>
              <w:t>Risk Analysis</w:t>
            </w:r>
            <w:r w:rsidRPr="008B551B">
              <w:rPr>
                <w:b w:val="0"/>
                <w:bCs w:val="0"/>
                <w:webHidden/>
              </w:rPr>
              <w:tab/>
            </w:r>
            <w:r w:rsidRPr="008B551B">
              <w:rPr>
                <w:b w:val="0"/>
                <w:bCs w:val="0"/>
                <w:webHidden/>
              </w:rPr>
              <w:fldChar w:fldCharType="begin"/>
            </w:r>
            <w:r w:rsidRPr="008B551B">
              <w:rPr>
                <w:b w:val="0"/>
                <w:bCs w:val="0"/>
                <w:webHidden/>
              </w:rPr>
              <w:instrText xml:space="preserve"> PAGEREF _Toc237634530 \h </w:instrText>
            </w:r>
            <w:r w:rsidRPr="008B551B">
              <w:rPr>
                <w:b w:val="0"/>
                <w:bCs w:val="0"/>
                <w:webHidden/>
              </w:rPr>
            </w:r>
            <w:r w:rsidRPr="008B551B">
              <w:rPr>
                <w:b w:val="0"/>
                <w:bCs w:val="0"/>
                <w:webHidden/>
              </w:rPr>
              <w:fldChar w:fldCharType="separate"/>
            </w:r>
            <w:r w:rsidR="00EB1108">
              <w:rPr>
                <w:b w:val="0"/>
                <w:bCs w:val="0"/>
                <w:webHidden/>
              </w:rPr>
              <w:t>12</w:t>
            </w:r>
            <w:r w:rsidRPr="008B551B">
              <w:rPr>
                <w:b w:val="0"/>
                <w:bCs w:val="0"/>
                <w:webHidden/>
              </w:rPr>
              <w:fldChar w:fldCharType="end"/>
            </w:r>
          </w:hyperlink>
        </w:p>
        <w:p w14:paraId="1C3C1642" w14:textId="59710478" w:rsidR="008B551B" w:rsidRPr="008B551B" w:rsidRDefault="008B551B" w:rsidP="00391C27">
          <w:pPr>
            <w:pStyle w:val="TOC1"/>
            <w:spacing w:after="120"/>
            <w:rPr>
              <w:rFonts w:asciiTheme="minorHAnsi" w:eastAsiaTheme="minorEastAsia" w:hAnsiTheme="minorHAnsi" w:cstheme="minorBidi"/>
              <w:b w:val="0"/>
              <w:bCs w:val="0"/>
              <w:kern w:val="2"/>
              <w:szCs w:val="30"/>
              <w:lang w:bidi="bn-IN"/>
              <w14:ligatures w14:val="standardContextual"/>
            </w:rPr>
          </w:pPr>
          <w:hyperlink w:anchor="_Toc237634531" w:history="1">
            <w:r w:rsidRPr="008B551B">
              <w:rPr>
                <w:rStyle w:val="Hyperlink"/>
                <w:b w:val="0"/>
                <w:bCs w:val="0"/>
              </w:rPr>
              <w:t>Conclusion</w:t>
            </w:r>
            <w:r w:rsidRPr="008B551B">
              <w:rPr>
                <w:b w:val="0"/>
                <w:bCs w:val="0"/>
                <w:webHidden/>
              </w:rPr>
              <w:tab/>
            </w:r>
            <w:r w:rsidRPr="008B551B">
              <w:rPr>
                <w:b w:val="0"/>
                <w:bCs w:val="0"/>
                <w:webHidden/>
              </w:rPr>
              <w:fldChar w:fldCharType="begin"/>
            </w:r>
            <w:r w:rsidRPr="008B551B">
              <w:rPr>
                <w:b w:val="0"/>
                <w:bCs w:val="0"/>
                <w:webHidden/>
              </w:rPr>
              <w:instrText xml:space="preserve"> PAGEREF _Toc237634531 \h </w:instrText>
            </w:r>
            <w:r w:rsidRPr="008B551B">
              <w:rPr>
                <w:b w:val="0"/>
                <w:bCs w:val="0"/>
                <w:webHidden/>
              </w:rPr>
            </w:r>
            <w:r w:rsidRPr="008B551B">
              <w:rPr>
                <w:b w:val="0"/>
                <w:bCs w:val="0"/>
                <w:webHidden/>
              </w:rPr>
              <w:fldChar w:fldCharType="separate"/>
            </w:r>
            <w:r w:rsidR="00EB1108">
              <w:rPr>
                <w:b w:val="0"/>
                <w:bCs w:val="0"/>
                <w:webHidden/>
              </w:rPr>
              <w:t>13</w:t>
            </w:r>
            <w:r w:rsidRPr="008B551B">
              <w:rPr>
                <w:b w:val="0"/>
                <w:bCs w:val="0"/>
                <w:webHidden/>
              </w:rPr>
              <w:fldChar w:fldCharType="end"/>
            </w:r>
          </w:hyperlink>
        </w:p>
        <w:p w14:paraId="482E97ED" w14:textId="650CA6E5" w:rsidR="008B551B" w:rsidRPr="008B551B" w:rsidRDefault="008B551B" w:rsidP="00391C27">
          <w:pPr>
            <w:pStyle w:val="TOC1"/>
            <w:spacing w:after="120"/>
            <w:rPr>
              <w:rFonts w:asciiTheme="minorHAnsi" w:eastAsiaTheme="minorEastAsia" w:hAnsiTheme="minorHAnsi" w:cstheme="minorBidi"/>
              <w:b w:val="0"/>
              <w:bCs w:val="0"/>
              <w:kern w:val="2"/>
              <w:szCs w:val="30"/>
              <w:lang w:bidi="bn-IN"/>
              <w14:ligatures w14:val="standardContextual"/>
            </w:rPr>
          </w:pPr>
          <w:hyperlink w:anchor="_Toc237634532" w:history="1">
            <w:r w:rsidRPr="008B551B">
              <w:rPr>
                <w:rStyle w:val="Hyperlink"/>
                <w:b w:val="0"/>
                <w:bCs w:val="0"/>
              </w:rPr>
              <w:t>References</w:t>
            </w:r>
            <w:r w:rsidRPr="008B551B">
              <w:rPr>
                <w:b w:val="0"/>
                <w:bCs w:val="0"/>
                <w:webHidden/>
              </w:rPr>
              <w:tab/>
            </w:r>
            <w:r w:rsidRPr="008B551B">
              <w:rPr>
                <w:b w:val="0"/>
                <w:bCs w:val="0"/>
                <w:webHidden/>
              </w:rPr>
              <w:fldChar w:fldCharType="begin"/>
            </w:r>
            <w:r w:rsidRPr="008B551B">
              <w:rPr>
                <w:b w:val="0"/>
                <w:bCs w:val="0"/>
                <w:webHidden/>
              </w:rPr>
              <w:instrText xml:space="preserve"> PAGEREF _Toc237634532 \h </w:instrText>
            </w:r>
            <w:r w:rsidRPr="008B551B">
              <w:rPr>
                <w:b w:val="0"/>
                <w:bCs w:val="0"/>
                <w:webHidden/>
              </w:rPr>
            </w:r>
            <w:r w:rsidRPr="008B551B">
              <w:rPr>
                <w:b w:val="0"/>
                <w:bCs w:val="0"/>
                <w:webHidden/>
              </w:rPr>
              <w:fldChar w:fldCharType="separate"/>
            </w:r>
            <w:r w:rsidR="00EB1108">
              <w:rPr>
                <w:b w:val="0"/>
                <w:bCs w:val="0"/>
                <w:webHidden/>
              </w:rPr>
              <w:t>14</w:t>
            </w:r>
            <w:r w:rsidRPr="008B551B">
              <w:rPr>
                <w:b w:val="0"/>
                <w:bCs w:val="0"/>
                <w:webHidden/>
              </w:rPr>
              <w:fldChar w:fldCharType="end"/>
            </w:r>
          </w:hyperlink>
        </w:p>
        <w:p w14:paraId="64316AFA" w14:textId="00B29FE1" w:rsidR="008B551B" w:rsidRDefault="008B551B" w:rsidP="00391C27">
          <w:pPr>
            <w:spacing w:after="120"/>
          </w:pPr>
          <w:r>
            <w:rPr>
              <w:b/>
              <w:bCs/>
              <w:noProof/>
            </w:rPr>
            <w:fldChar w:fldCharType="end"/>
          </w:r>
        </w:p>
      </w:sdtContent>
    </w:sdt>
    <w:p w14:paraId="03FF10A7" w14:textId="15E300A9" w:rsidR="008B551B" w:rsidRDefault="008B551B">
      <w:pPr>
        <w:spacing w:line="240" w:lineRule="auto"/>
        <w:jc w:val="left"/>
        <w:rPr>
          <w:rFonts w:eastAsiaTheme="majorEastAsia" w:cstheme="majorBidi"/>
          <w:b/>
          <w:color w:val="0F243E" w:themeColor="text2" w:themeShade="80"/>
          <w:sz w:val="36"/>
          <w:szCs w:val="32"/>
          <w:lang w:bidi="bn-IN"/>
        </w:rPr>
      </w:pPr>
      <w:r>
        <w:rPr>
          <w:lang w:bidi="bn-IN"/>
        </w:rPr>
        <w:br w:type="page"/>
      </w:r>
    </w:p>
    <w:p w14:paraId="4E31BDB0" w14:textId="49600726" w:rsidR="000E0806" w:rsidRPr="00043A87" w:rsidRDefault="000E0806" w:rsidP="008B551B">
      <w:pPr>
        <w:pStyle w:val="Heading1"/>
        <w:spacing w:before="0"/>
        <w:rPr>
          <w:lang w:bidi="bn-IN"/>
        </w:rPr>
      </w:pPr>
      <w:bookmarkStart w:id="0" w:name="_Toc237634522"/>
      <w:r w:rsidRPr="000E0806">
        <w:rPr>
          <w:lang w:bidi="bn-IN"/>
        </w:rPr>
        <w:lastRenderedPageBreak/>
        <w:t>Introduction</w:t>
      </w:r>
      <w:bookmarkEnd w:id="0"/>
    </w:p>
    <w:p w14:paraId="79D17534" w14:textId="187348D5" w:rsidR="005A3952" w:rsidRPr="005A3952" w:rsidRDefault="000E0806" w:rsidP="008B551B">
      <w:pPr>
        <w:rPr>
          <w:color w:val="000000"/>
          <w:szCs w:val="24"/>
          <w:lang w:bidi="bn-IN"/>
        </w:rPr>
      </w:pPr>
      <w:r w:rsidRPr="000E0806">
        <w:rPr>
          <w:color w:val="000000"/>
          <w:szCs w:val="24"/>
          <w:lang w:bidi="bn-IN"/>
        </w:rPr>
        <w:t>T</w:t>
      </w:r>
      <w:r w:rsidR="00511E2C">
        <w:rPr>
          <w:color w:val="000000"/>
          <w:szCs w:val="24"/>
          <w:lang w:bidi="bn-IN"/>
        </w:rPr>
        <w:t>he</w:t>
      </w:r>
      <w:r w:rsidR="005A3952" w:rsidRPr="005A3952">
        <w:t xml:space="preserve"> </w:t>
      </w:r>
      <w:r w:rsidR="005A3952" w:rsidRPr="005A3952">
        <w:rPr>
          <w:color w:val="000000"/>
          <w:szCs w:val="24"/>
          <w:lang w:bidi="bn-IN"/>
        </w:rPr>
        <w:t xml:space="preserve">report gives a detailed project management plan for the Manchester Piccadilly Integrated Transport Hub Regeneration. The plan is </w:t>
      </w:r>
      <w:r w:rsidR="00391C27">
        <w:rPr>
          <w:color w:val="000000"/>
          <w:szCs w:val="24"/>
          <w:lang w:bidi="bn-IN"/>
        </w:rPr>
        <w:t xml:space="preserve">for </w:t>
      </w:r>
      <w:r w:rsidR="005A3952" w:rsidRPr="005A3952">
        <w:rPr>
          <w:color w:val="000000"/>
          <w:szCs w:val="24"/>
          <w:lang w:bidi="bn-IN"/>
        </w:rPr>
        <w:t>the development of Part A to be a delivery model that is tested against scope, time, cost, people and risk. The need for action is clear. In 2024-25, the total number of passengers entering and exiting from Manchester Piccadilly was 27.4 million (Office of Rail and Road, 2025). Network Rail also had a £7.9 million track, points and signalling renewal project underway on the southern approach (Network Rail, 2026). High passenger volume and old infrastructure are thus at the same spot. When renewal and station improvements are not linked together, passengers may experience additional crowding, service changes and service disruption. Five outcomes are therefore targeted: safe movement, step-free access, lower-carbon operation, digital information and enhanced connections between rail, tram, bus, walking and cycling. These results also align with the broader trajectory of Northern rail investment (Department for Transport (DfT), 2026). The plan is based on the project control ideas from APM (2025), PMI (2021) and ISO 21502 (International Organization for Standardization</w:t>
      </w:r>
      <w:r w:rsidR="005A3952">
        <w:rPr>
          <w:color w:val="000000"/>
          <w:szCs w:val="24"/>
          <w:lang w:bidi="bn-IN"/>
        </w:rPr>
        <w:t xml:space="preserve">, </w:t>
      </w:r>
      <w:r w:rsidR="005A3952" w:rsidRPr="005A3952">
        <w:rPr>
          <w:color w:val="000000"/>
          <w:szCs w:val="24"/>
          <w:lang w:bidi="bn-IN"/>
        </w:rPr>
        <w:t>2020) but adapted to the operational constraints of Manchester Piccadilly.</w:t>
      </w:r>
    </w:p>
    <w:p w14:paraId="0472D6DD" w14:textId="77777777" w:rsidR="005A3952" w:rsidRDefault="005A3952" w:rsidP="008B551B">
      <w:pPr>
        <w:rPr>
          <w:lang w:bidi="bn-IN"/>
        </w:rPr>
      </w:pPr>
    </w:p>
    <w:p w14:paraId="36BDEBDE" w14:textId="77777777" w:rsidR="005A3952" w:rsidRDefault="005A3952" w:rsidP="008B551B">
      <w:pPr>
        <w:rPr>
          <w:lang w:bidi="bn-IN"/>
        </w:rPr>
      </w:pPr>
      <w:r>
        <w:rPr>
          <w:lang w:bidi="bn-IN"/>
        </w:rPr>
        <w:br w:type="page"/>
      </w:r>
    </w:p>
    <w:p w14:paraId="7C9C8DE7" w14:textId="29BCBFF1" w:rsidR="000E0806" w:rsidRPr="000E0806" w:rsidRDefault="000E0806" w:rsidP="008B551B">
      <w:pPr>
        <w:pStyle w:val="Heading1"/>
        <w:spacing w:before="0"/>
        <w:rPr>
          <w:color w:val="000000"/>
          <w:sz w:val="27"/>
          <w:szCs w:val="27"/>
          <w:lang w:bidi="bn-IN"/>
        </w:rPr>
      </w:pPr>
      <w:bookmarkStart w:id="1" w:name="_Toc237634523"/>
      <w:r w:rsidRPr="000E0806">
        <w:rPr>
          <w:lang w:bidi="bn-IN"/>
        </w:rPr>
        <w:lastRenderedPageBreak/>
        <w:t>Project Description</w:t>
      </w:r>
      <w:bookmarkEnd w:id="1"/>
    </w:p>
    <w:p w14:paraId="093F4F38" w14:textId="33B6580C" w:rsidR="003D030F" w:rsidRPr="003D030F" w:rsidRDefault="003D030F" w:rsidP="008B551B">
      <w:pPr>
        <w:rPr>
          <w:color w:val="000000"/>
          <w:szCs w:val="24"/>
          <w:lang w:bidi="bn-IN"/>
        </w:rPr>
      </w:pPr>
      <w:r w:rsidRPr="003D030F">
        <w:rPr>
          <w:color w:val="000000"/>
          <w:szCs w:val="24"/>
          <w:lang w:bidi="bn-IN"/>
        </w:rPr>
        <w:t>The impact of a minor access failure is magnified by heavy use</w:t>
      </w:r>
      <w:r w:rsidR="00391C27">
        <w:rPr>
          <w:color w:val="000000"/>
          <w:szCs w:val="24"/>
          <w:lang w:bidi="bn-IN"/>
        </w:rPr>
        <w:t>,</w:t>
      </w:r>
      <w:r w:rsidRPr="003D030F">
        <w:rPr>
          <w:color w:val="000000"/>
          <w:szCs w:val="24"/>
          <w:lang w:bidi="bn-IN"/>
        </w:rPr>
        <w:t xml:space="preserve"> as blocked access can have a rapid impact on platforms, interchange areas and passenger confidence. Ageing of track and signalling places a greater requirement for coordinating asset work with station works. This is a useful documentation of an existing infrastructure need, but not the budget for this regeneration</w:t>
      </w:r>
      <w:r w:rsidR="00391C27">
        <w:rPr>
          <w:color w:val="000000"/>
          <w:szCs w:val="24"/>
          <w:lang w:bidi="bn-IN"/>
        </w:rPr>
        <w:t>;</w:t>
      </w:r>
      <w:r w:rsidRPr="003D030F">
        <w:rPr>
          <w:color w:val="000000"/>
          <w:szCs w:val="24"/>
          <w:lang w:bidi="bn-IN"/>
        </w:rPr>
        <w:t xml:space="preserve"> the Piccadilly Corridor Renewal is worth £7.9 million. </w:t>
      </w:r>
      <w:r w:rsidR="00391C27">
        <w:rPr>
          <w:color w:val="000000"/>
          <w:szCs w:val="24"/>
          <w:lang w:bidi="bn-IN"/>
        </w:rPr>
        <w:t>These two numbers must</w:t>
      </w:r>
      <w:r w:rsidRPr="003D030F">
        <w:rPr>
          <w:color w:val="000000"/>
          <w:szCs w:val="24"/>
          <w:lang w:bidi="bn-IN"/>
        </w:rPr>
        <w:t xml:space="preserve"> remain distinct to prevent false precision.</w:t>
      </w:r>
    </w:p>
    <w:p w14:paraId="5CCEC666" w14:textId="25E2CABD" w:rsidR="003D030F" w:rsidRPr="003D030F" w:rsidRDefault="003D030F" w:rsidP="008B551B">
      <w:pPr>
        <w:rPr>
          <w:color w:val="000000"/>
          <w:szCs w:val="24"/>
          <w:lang w:bidi="bn-IN"/>
        </w:rPr>
      </w:pPr>
      <w:r w:rsidRPr="003D030F">
        <w:rPr>
          <w:color w:val="000000"/>
          <w:szCs w:val="24"/>
          <w:lang w:bidi="bn-IN"/>
        </w:rPr>
        <w:t xml:space="preserve">The results are step-free paths, safer intersections, improved passenger movement, wayfinding at real-time, energy-saving systems, and </w:t>
      </w:r>
      <w:r w:rsidR="00391C27">
        <w:rPr>
          <w:color w:val="000000"/>
          <w:szCs w:val="24"/>
          <w:lang w:bidi="bn-IN"/>
        </w:rPr>
        <w:t xml:space="preserve">clearer </w:t>
      </w:r>
      <w:r w:rsidRPr="003D030F">
        <w:rPr>
          <w:color w:val="000000"/>
          <w:szCs w:val="24"/>
          <w:lang w:bidi="bn-IN"/>
        </w:rPr>
        <w:t>transport links that are clearer. Each is a solution to a known problem. Step</w:t>
      </w:r>
      <w:r w:rsidR="00391C27">
        <w:rPr>
          <w:color w:val="000000"/>
          <w:szCs w:val="24"/>
          <w:lang w:bidi="bn-IN"/>
        </w:rPr>
        <w:t>-</w:t>
      </w:r>
      <w:r w:rsidRPr="003D030F">
        <w:rPr>
          <w:color w:val="000000"/>
          <w:szCs w:val="24"/>
          <w:lang w:bidi="bn-IN"/>
        </w:rPr>
        <w:t xml:space="preserve">free access ensures easier access for individuals with disabilities and those carrying luggage. Improved wayfinding minimises superfluous crossing actions and confusion when changing routes temporarily. The station is not closed for a regular interchange construction sequence, thus protecting operations </w:t>
      </w:r>
      <w:r w:rsidR="00391C27">
        <w:rPr>
          <w:color w:val="000000"/>
          <w:szCs w:val="24"/>
          <w:lang w:bidi="bn-IN"/>
        </w:rPr>
        <w:t>during</w:t>
      </w:r>
      <w:r w:rsidRPr="003D030F">
        <w:rPr>
          <w:color w:val="000000"/>
          <w:szCs w:val="24"/>
          <w:lang w:bidi="bn-IN"/>
        </w:rPr>
        <w:t xml:space="preserve"> phased interchange work. Benefits should be present also after handover. Serra and Kunc (2015) demonstrate that besides completing tasks, project success is linked to linking delivery to benefits. Hence, success is judged as reduced unplanned closures, complete accessibility of planned roads, reduced energy usage during operation and smoother passenger traffic.</w:t>
      </w:r>
    </w:p>
    <w:p w14:paraId="3F453591" w14:textId="08888EBA" w:rsidR="003D030F" w:rsidRDefault="003D030F" w:rsidP="008B551B">
      <w:pPr>
        <w:rPr>
          <w:color w:val="000000"/>
          <w:szCs w:val="24"/>
          <w:lang w:bidi="bn-IN"/>
        </w:rPr>
      </w:pPr>
      <w:r w:rsidRPr="003D030F">
        <w:rPr>
          <w:color w:val="000000"/>
          <w:szCs w:val="24"/>
          <w:lang w:bidi="bn-IN"/>
        </w:rPr>
        <w:t>The Academic baseline is 60 months, Planning estimate £750M, Contingency 15%. The contingency is £112.5m</w:t>
      </w:r>
      <w:r w:rsidR="00391C27">
        <w:rPr>
          <w:color w:val="000000"/>
          <w:szCs w:val="24"/>
          <w:lang w:bidi="bn-IN"/>
        </w:rPr>
        <w:t>,</w:t>
      </w:r>
      <w:r w:rsidRPr="003D030F">
        <w:rPr>
          <w:color w:val="000000"/>
          <w:szCs w:val="24"/>
          <w:lang w:bidi="bn-IN"/>
        </w:rPr>
        <w:t xml:space="preserve"> providing a working planning envelope of £862.5m. These are academic figures and not officially approved Manchester Piccadilly figures. This is important because the initial infrastructure estimates tend to be low. Flyvbjerg, Holm and Buhl (2002) demonstrate that cost underestimation is a big problem in public works. Any estimate should, therefore, be subjected to testing via surveys, design maturity and market prices before any funding decision.</w:t>
      </w:r>
    </w:p>
    <w:p w14:paraId="2EC2D99E" w14:textId="77777777" w:rsidR="00511E2C" w:rsidRDefault="00511E2C" w:rsidP="008B551B">
      <w:pPr>
        <w:spacing w:line="240" w:lineRule="auto"/>
        <w:jc w:val="left"/>
        <w:rPr>
          <w:rFonts w:eastAsiaTheme="majorEastAsia" w:cstheme="majorBidi"/>
          <w:b/>
          <w:color w:val="0F243E" w:themeColor="text2" w:themeShade="80"/>
          <w:sz w:val="36"/>
          <w:szCs w:val="32"/>
          <w:lang w:bidi="bn-IN"/>
        </w:rPr>
      </w:pPr>
      <w:r>
        <w:rPr>
          <w:lang w:bidi="bn-IN"/>
        </w:rPr>
        <w:br w:type="page"/>
      </w:r>
    </w:p>
    <w:p w14:paraId="2945C9CC" w14:textId="116A1C0D" w:rsidR="000E0806" w:rsidRPr="000E0806" w:rsidRDefault="00511E2C" w:rsidP="008B551B">
      <w:pPr>
        <w:pStyle w:val="Heading1"/>
        <w:spacing w:before="0"/>
        <w:rPr>
          <w:color w:val="000000"/>
          <w:sz w:val="27"/>
          <w:szCs w:val="27"/>
          <w:lang w:bidi="bn-IN"/>
        </w:rPr>
      </w:pPr>
      <w:bookmarkStart w:id="2" w:name="_Toc237634524"/>
      <w:r>
        <w:rPr>
          <w:lang w:bidi="bn-IN"/>
        </w:rPr>
        <w:lastRenderedPageBreak/>
        <w:t xml:space="preserve">Project </w:t>
      </w:r>
      <w:r w:rsidR="000E0806" w:rsidRPr="000E0806">
        <w:rPr>
          <w:lang w:bidi="bn-IN"/>
        </w:rPr>
        <w:t>Scope</w:t>
      </w:r>
      <w:bookmarkEnd w:id="2"/>
    </w:p>
    <w:p w14:paraId="49DFF539" w14:textId="2D90F4B6" w:rsidR="003D030F" w:rsidRPr="003D030F" w:rsidRDefault="003D030F" w:rsidP="008B551B">
      <w:pPr>
        <w:rPr>
          <w:color w:val="000000"/>
          <w:szCs w:val="24"/>
          <w:lang w:bidi="bn-IN"/>
        </w:rPr>
      </w:pPr>
      <w:r w:rsidRPr="003D030F">
        <w:rPr>
          <w:color w:val="000000"/>
          <w:szCs w:val="24"/>
          <w:lang w:bidi="bn-IN"/>
        </w:rPr>
        <w:t>The scope establishes a clear boundary for the regeneration. In scope is the running of the step-free passenger route, safer movement of station</w:t>
      </w:r>
      <w:r w:rsidR="00391C27">
        <w:rPr>
          <w:color w:val="000000"/>
          <w:szCs w:val="24"/>
          <w:lang w:bidi="bn-IN"/>
        </w:rPr>
        <w:t>/</w:t>
      </w:r>
      <w:r w:rsidRPr="003D030F">
        <w:rPr>
          <w:color w:val="000000"/>
          <w:szCs w:val="24"/>
          <w:lang w:bidi="bn-IN"/>
        </w:rPr>
        <w:t xml:space="preserve">interchange passengers, passenger-flow change, digital wayfinding, lower energy systems, trial and handover, </w:t>
      </w:r>
      <w:r w:rsidR="00391C27">
        <w:rPr>
          <w:color w:val="000000"/>
          <w:szCs w:val="24"/>
          <w:lang w:bidi="bn-IN"/>
        </w:rPr>
        <w:t xml:space="preserve">and </w:t>
      </w:r>
      <w:r w:rsidRPr="003D030F">
        <w:rPr>
          <w:color w:val="000000"/>
          <w:szCs w:val="24"/>
          <w:lang w:bidi="bn-IN"/>
        </w:rPr>
        <w:t>temporary route management. The project also features the necessary interfaces for rail, Metrolink, bus, walking and bicycling. The items remain within scope as they directly relate to the project's five project outcomes.</w:t>
      </w:r>
    </w:p>
    <w:p w14:paraId="2FCF768E" w14:textId="5CF59D19" w:rsidR="003D030F" w:rsidRPr="003D030F" w:rsidRDefault="003D030F" w:rsidP="008B551B">
      <w:pPr>
        <w:rPr>
          <w:color w:val="000000"/>
          <w:szCs w:val="24"/>
          <w:lang w:bidi="bn-IN"/>
        </w:rPr>
      </w:pPr>
      <w:r w:rsidRPr="003D030F">
        <w:rPr>
          <w:color w:val="000000"/>
          <w:szCs w:val="24"/>
          <w:lang w:bidi="bn-IN"/>
        </w:rPr>
        <w:t>The project does not include new train fleets, the fares on the railways, a new rail network across the country or other schemes of the highway system in the city centre, apart from the urban bypass extension. It also does not presume that all subsequent Northern rail projects will be delivered in this programme. These exclusions prevent the baseline from being contaminated. Design</w:t>
      </w:r>
      <w:r w:rsidR="00391C27">
        <w:rPr>
          <w:color w:val="000000"/>
          <w:szCs w:val="24"/>
          <w:lang w:bidi="bn-IN"/>
        </w:rPr>
        <w:t>,</w:t>
      </w:r>
      <w:r w:rsidRPr="003D030F">
        <w:rPr>
          <w:color w:val="000000"/>
          <w:szCs w:val="24"/>
          <w:lang w:bidi="bn-IN"/>
        </w:rPr>
        <w:t xml:space="preserve"> approvals and funding may grow at the same time if it is not controlled. That can delay the completion date and weaken the business case.</w:t>
      </w:r>
    </w:p>
    <w:p w14:paraId="4504002D" w14:textId="4B8B4CBA" w:rsidR="003D030F" w:rsidRPr="003D030F" w:rsidRDefault="00391C27" w:rsidP="008B551B">
      <w:pPr>
        <w:rPr>
          <w:color w:val="000000"/>
          <w:szCs w:val="24"/>
          <w:lang w:bidi="bn-IN"/>
        </w:rPr>
      </w:pPr>
      <w:r>
        <w:rPr>
          <w:color w:val="000000"/>
          <w:szCs w:val="24"/>
          <w:lang w:bidi="bn-IN"/>
        </w:rPr>
        <w:t>A f</w:t>
      </w:r>
      <w:r w:rsidR="003D030F" w:rsidRPr="003D030F">
        <w:rPr>
          <w:color w:val="000000"/>
          <w:szCs w:val="24"/>
          <w:lang w:bidi="bn-IN"/>
        </w:rPr>
        <w:t>ormal change process should therefore be employed in scope control. All requests must include the reason, passenger benefit, safety impact, cost impact, schedule impact, new risk and decision owner. An improvement in one will cause a detriment in another. Such as</w:t>
      </w:r>
      <w:r>
        <w:rPr>
          <w:color w:val="000000"/>
          <w:szCs w:val="24"/>
          <w:lang w:bidi="bn-IN"/>
        </w:rPr>
        <w:t>,</w:t>
      </w:r>
      <w:r w:rsidR="003D030F" w:rsidRPr="003D030F">
        <w:rPr>
          <w:color w:val="000000"/>
          <w:szCs w:val="24"/>
          <w:lang w:bidi="bn-IN"/>
        </w:rPr>
        <w:t xml:space="preserve"> the inclusion of a late digital feature, which can enhance information but alter interfaces at the beginning of the testing. Joslin and Müller (2015) relate appropriate project methods to better project success</w:t>
      </w:r>
      <w:r>
        <w:rPr>
          <w:color w:val="000000"/>
          <w:szCs w:val="24"/>
          <w:lang w:bidi="bn-IN"/>
        </w:rPr>
        <w:t>;</w:t>
      </w:r>
      <w:r w:rsidR="003D030F" w:rsidRPr="003D030F">
        <w:rPr>
          <w:color w:val="000000"/>
          <w:szCs w:val="24"/>
          <w:lang w:bidi="bn-IN"/>
        </w:rPr>
        <w:t xml:space="preserve"> ISO (2020) provides controlled scope and change. The rule of practice is: If it's useful, it should go into delivery. Should only be introduced when the overall impact is known and accepted.</w:t>
      </w:r>
    </w:p>
    <w:p w14:paraId="2143F27B" w14:textId="77777777" w:rsidR="003D030F" w:rsidRDefault="003D030F" w:rsidP="008B551B">
      <w:pPr>
        <w:rPr>
          <w:lang w:bidi="bn-IN"/>
        </w:rPr>
      </w:pPr>
    </w:p>
    <w:p w14:paraId="5A433117" w14:textId="77777777" w:rsidR="00511E2C" w:rsidRDefault="00511E2C" w:rsidP="008B551B">
      <w:pPr>
        <w:spacing w:line="240" w:lineRule="auto"/>
        <w:jc w:val="left"/>
        <w:rPr>
          <w:lang w:bidi="bn-IN"/>
        </w:rPr>
      </w:pPr>
      <w:r>
        <w:rPr>
          <w:lang w:bidi="bn-IN"/>
        </w:rPr>
        <w:br w:type="page"/>
      </w:r>
    </w:p>
    <w:p w14:paraId="0DDE628F" w14:textId="1620A893" w:rsidR="000E0806" w:rsidRDefault="00C00473" w:rsidP="008B551B">
      <w:pPr>
        <w:pStyle w:val="Heading1"/>
        <w:spacing w:before="0"/>
        <w:rPr>
          <w:lang w:bidi="bn-IN"/>
        </w:rPr>
      </w:pPr>
      <w:bookmarkStart w:id="3" w:name="_Toc237634525"/>
      <w:r w:rsidRPr="00C00473">
        <w:rPr>
          <w:noProof/>
          <w:lang w:bidi="bn-IN"/>
        </w:rPr>
        <w:lastRenderedPageBreak/>
        <w:drawing>
          <wp:anchor distT="0" distB="0" distL="114300" distR="114300" simplePos="0" relativeHeight="251659264" behindDoc="0" locked="0" layoutInCell="1" allowOverlap="1" wp14:anchorId="6B10DBB3" wp14:editId="7DEFD1EF">
            <wp:simplePos x="0" y="0"/>
            <wp:positionH relativeFrom="margin">
              <wp:align>left</wp:align>
            </wp:positionH>
            <wp:positionV relativeFrom="paragraph">
              <wp:posOffset>353695</wp:posOffset>
            </wp:positionV>
            <wp:extent cx="5731510" cy="2402205"/>
            <wp:effectExtent l="0" t="0" r="2540" b="0"/>
            <wp:wrapTopAndBottom/>
            <wp:docPr id="2066449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449369" name=""/>
                    <pic:cNvPicPr/>
                  </pic:nvPicPr>
                  <pic:blipFill>
                    <a:blip r:embed="rId8"/>
                    <a:stretch>
                      <a:fillRect/>
                    </a:stretch>
                  </pic:blipFill>
                  <pic:spPr>
                    <a:xfrm>
                      <a:off x="0" y="0"/>
                      <a:ext cx="5731510" cy="2402205"/>
                    </a:xfrm>
                    <a:prstGeom prst="rect">
                      <a:avLst/>
                    </a:prstGeom>
                  </pic:spPr>
                </pic:pic>
              </a:graphicData>
            </a:graphic>
          </wp:anchor>
        </w:drawing>
      </w:r>
      <w:r w:rsidR="000E0806" w:rsidRPr="000E0806">
        <w:rPr>
          <w:lang w:bidi="bn-IN"/>
        </w:rPr>
        <w:t>Work Breakdown Structure</w:t>
      </w:r>
      <w:bookmarkEnd w:id="3"/>
    </w:p>
    <w:p w14:paraId="5BDC9ABE" w14:textId="77777777" w:rsidR="00C00473" w:rsidRPr="000E0806" w:rsidRDefault="00C00473" w:rsidP="008B551B">
      <w:pPr>
        <w:rPr>
          <w:rFonts w:ascii="Cambria" w:hAnsi="Cambria"/>
          <w:sz w:val="22"/>
          <w:lang w:bidi="bn-IN"/>
        </w:rPr>
      </w:pPr>
      <w:r w:rsidRPr="000E0806">
        <w:rPr>
          <w:rFonts w:ascii="Cambria" w:hAnsi="Cambria"/>
          <w:noProof/>
          <w:sz w:val="22"/>
          <w:lang w:bidi="bn-IN"/>
        </w:rPr>
        <mc:AlternateContent>
          <mc:Choice Requires="wps">
            <w:drawing>
              <wp:inline distT="0" distB="0" distL="0" distR="0" wp14:anchorId="01A228AC" wp14:editId="44FF0E53">
                <wp:extent cx="304800" cy="304800"/>
                <wp:effectExtent l="0" t="0" r="0" b="0"/>
                <wp:docPr id="1522929339"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C6567E" id="Rectangle 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92954AC" w14:textId="17CFBCCB" w:rsidR="00C00473" w:rsidRPr="000E0806" w:rsidRDefault="00C00473" w:rsidP="008B551B">
      <w:pPr>
        <w:jc w:val="center"/>
        <w:rPr>
          <w:color w:val="000000"/>
          <w:sz w:val="27"/>
          <w:szCs w:val="27"/>
          <w:lang w:bidi="bn-IN"/>
        </w:rPr>
      </w:pPr>
      <w:r w:rsidRPr="000E0806">
        <w:rPr>
          <w:i/>
          <w:iCs/>
          <w:color w:val="000000"/>
          <w:sz w:val="18"/>
          <w:szCs w:val="18"/>
          <w:lang w:bidi="bn-IN"/>
        </w:rPr>
        <w:t xml:space="preserve">Figure 1. Work Breakdown Structure for the Manchester Piccadilly regeneration </w:t>
      </w:r>
      <w:r>
        <w:rPr>
          <w:i/>
          <w:iCs/>
          <w:color w:val="000000"/>
          <w:sz w:val="18"/>
          <w:szCs w:val="18"/>
          <w:lang w:bidi="bn-IN"/>
        </w:rPr>
        <w:t>(</w:t>
      </w:r>
      <w:r w:rsidRPr="000E0806">
        <w:rPr>
          <w:i/>
          <w:iCs/>
          <w:color w:val="000000"/>
          <w:sz w:val="18"/>
          <w:szCs w:val="18"/>
          <w:lang w:bidi="bn-IN"/>
        </w:rPr>
        <w:t>Part A</w:t>
      </w:r>
      <w:r>
        <w:rPr>
          <w:i/>
          <w:iCs/>
          <w:color w:val="000000"/>
          <w:sz w:val="18"/>
          <w:szCs w:val="18"/>
          <w:lang w:bidi="bn-IN"/>
        </w:rPr>
        <w:t>)</w:t>
      </w:r>
      <w:r w:rsidRPr="000E0806">
        <w:rPr>
          <w:i/>
          <w:iCs/>
          <w:color w:val="000000"/>
          <w:sz w:val="18"/>
          <w:szCs w:val="18"/>
          <w:lang w:bidi="bn-IN"/>
        </w:rPr>
        <w:t>.</w:t>
      </w:r>
    </w:p>
    <w:p w14:paraId="620DDEB4" w14:textId="77777777" w:rsidR="00046256" w:rsidRPr="00046256" w:rsidRDefault="00046256" w:rsidP="008B551B">
      <w:pPr>
        <w:rPr>
          <w:color w:val="000000"/>
          <w:szCs w:val="24"/>
          <w:lang w:bidi="bn-IN"/>
        </w:rPr>
      </w:pPr>
      <w:r w:rsidRPr="00046256">
        <w:rPr>
          <w:color w:val="000000"/>
          <w:szCs w:val="24"/>
          <w:lang w:bidi="bn-IN"/>
        </w:rPr>
        <w:t>The Work Breakdown Structure (WBS) converts the scope into work packages that are owned, scheduled and controlled. The plan is divided into 4 phases: Initiation, Planning, Execution and Closure. Initiation includes scope and objectives, passenger flow and asset survey, and funding and approval path. Planning involves detailed design of hubs and access, engaging with stakeholders, and risk, carbon and access controls. Execution encompasses access and interchange, digital systems and energy systems, and passenger route and disruption management. Closure includes testing, safety assurance, handover and the lessons learnt.</w:t>
      </w:r>
    </w:p>
    <w:p w14:paraId="4925916E" w14:textId="3A0B4BD2" w:rsidR="00046256" w:rsidRPr="00046256" w:rsidRDefault="00046256" w:rsidP="008B551B">
      <w:pPr>
        <w:rPr>
          <w:color w:val="000000"/>
          <w:szCs w:val="24"/>
          <w:lang w:bidi="bn-IN"/>
        </w:rPr>
      </w:pPr>
      <w:r w:rsidRPr="00046256">
        <w:rPr>
          <w:color w:val="000000"/>
          <w:szCs w:val="24"/>
          <w:lang w:bidi="bn-IN"/>
        </w:rPr>
        <w:t>The value of this breakdown is the link between a deliverable and the work needed to create it. An example of digital wayfinding is one. It isn't a single installation job. It relies on the requirements, interface design, hardware, software, testing of passengers, commissioning and training of the operator. These items should be grouped separately</w:t>
      </w:r>
      <w:r w:rsidR="00391C27">
        <w:rPr>
          <w:color w:val="000000"/>
          <w:szCs w:val="24"/>
          <w:lang w:bidi="bn-IN"/>
        </w:rPr>
        <w:t>,</w:t>
      </w:r>
      <w:r w:rsidRPr="00046256">
        <w:rPr>
          <w:color w:val="000000"/>
          <w:szCs w:val="24"/>
          <w:lang w:bidi="bn-IN"/>
        </w:rPr>
        <w:t xml:space="preserve"> and a late interface issue may only manifest close to handover. The result of a work package is making the problem visible earlier.</w:t>
      </w:r>
    </w:p>
    <w:p w14:paraId="7AE5635A" w14:textId="69EB2F4F" w:rsidR="00046256" w:rsidRDefault="00046256" w:rsidP="008B551B">
      <w:pPr>
        <w:rPr>
          <w:color w:val="000000"/>
          <w:szCs w:val="24"/>
          <w:lang w:bidi="bn-IN"/>
        </w:rPr>
      </w:pPr>
      <w:r w:rsidRPr="00046256">
        <w:rPr>
          <w:color w:val="000000"/>
          <w:szCs w:val="24"/>
          <w:lang w:bidi="bn-IN"/>
        </w:rPr>
        <w:t>Each package of a WBS should thus be owned by one person, should have a start and finish, a cost code, a resource need, an approval gate and a risk record. APM (2025) and PMI (2021) agree with this work-based control as it relates scope and schedule to responsibility and cost. The RACI matrix is also supported by the WBS. A single person or organi</w:t>
      </w:r>
      <w:r w:rsidR="00391C27">
        <w:rPr>
          <w:color w:val="000000"/>
          <w:szCs w:val="24"/>
          <w:lang w:bidi="bn-IN"/>
        </w:rPr>
        <w:t>s</w:t>
      </w:r>
      <w:r w:rsidRPr="00046256">
        <w:rPr>
          <w:color w:val="000000"/>
          <w:szCs w:val="24"/>
          <w:lang w:bidi="bn-IN"/>
        </w:rPr>
        <w:t>ation may be responsible, consulted and/or informed for a package. This eliminates repetitive work and makes it easy to see who is responsible for delays.</w:t>
      </w:r>
    </w:p>
    <w:p w14:paraId="6C0B55C3" w14:textId="77777777" w:rsidR="00C00473" w:rsidRDefault="00C00473" w:rsidP="008B551B">
      <w:pPr>
        <w:spacing w:line="240" w:lineRule="auto"/>
        <w:jc w:val="left"/>
        <w:rPr>
          <w:lang w:bidi="bn-IN"/>
        </w:rPr>
      </w:pPr>
      <w:r>
        <w:rPr>
          <w:lang w:bidi="bn-IN"/>
        </w:rPr>
        <w:br w:type="page"/>
      </w:r>
    </w:p>
    <w:p w14:paraId="43E14D0D" w14:textId="3400F7A5" w:rsidR="00B317B3" w:rsidRPr="00B317B3" w:rsidRDefault="00B317B3" w:rsidP="00B317B3">
      <w:pPr>
        <w:pStyle w:val="Heading1"/>
        <w:spacing w:before="0"/>
        <w:rPr>
          <w:lang w:bidi="bn-IN"/>
        </w:rPr>
      </w:pPr>
      <w:bookmarkStart w:id="4" w:name="_Toc237634526"/>
      <w:r w:rsidRPr="00B317B3">
        <w:rPr>
          <w:noProof/>
          <w:lang w:bidi="bn-IN"/>
        </w:rPr>
        <w:lastRenderedPageBreak/>
        <w:drawing>
          <wp:anchor distT="0" distB="0" distL="114300" distR="114300" simplePos="0" relativeHeight="251673600" behindDoc="0" locked="0" layoutInCell="1" allowOverlap="1" wp14:anchorId="3EC308A5" wp14:editId="1FC06C21">
            <wp:simplePos x="0" y="0"/>
            <wp:positionH relativeFrom="margin">
              <wp:align>center</wp:align>
            </wp:positionH>
            <wp:positionV relativeFrom="paragraph">
              <wp:posOffset>307975</wp:posOffset>
            </wp:positionV>
            <wp:extent cx="3787468" cy="2781541"/>
            <wp:effectExtent l="0" t="0" r="3810" b="0"/>
            <wp:wrapTopAndBottom/>
            <wp:docPr id="1918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73" name=""/>
                    <pic:cNvPicPr/>
                  </pic:nvPicPr>
                  <pic:blipFill>
                    <a:blip r:embed="rId9"/>
                    <a:stretch>
                      <a:fillRect/>
                    </a:stretch>
                  </pic:blipFill>
                  <pic:spPr>
                    <a:xfrm>
                      <a:off x="0" y="0"/>
                      <a:ext cx="3787468" cy="2781541"/>
                    </a:xfrm>
                    <a:prstGeom prst="rect">
                      <a:avLst/>
                    </a:prstGeom>
                  </pic:spPr>
                </pic:pic>
              </a:graphicData>
            </a:graphic>
          </wp:anchor>
        </w:drawing>
      </w:r>
      <w:r w:rsidR="000E0806" w:rsidRPr="000E0806">
        <w:rPr>
          <w:lang w:bidi="bn-IN"/>
        </w:rPr>
        <w:t>Quad Chart</w:t>
      </w:r>
      <w:bookmarkEnd w:id="4"/>
    </w:p>
    <w:p w14:paraId="1342CC3D" w14:textId="029E6D6C" w:rsidR="00CB6649" w:rsidRPr="000E0806" w:rsidRDefault="00CB6649" w:rsidP="008B551B">
      <w:pPr>
        <w:jc w:val="center"/>
        <w:rPr>
          <w:color w:val="000000"/>
          <w:sz w:val="27"/>
          <w:szCs w:val="27"/>
          <w:lang w:bidi="bn-IN"/>
        </w:rPr>
      </w:pPr>
      <w:r w:rsidRPr="000E0806">
        <w:rPr>
          <w:i/>
          <w:iCs/>
          <w:color w:val="000000"/>
          <w:sz w:val="18"/>
          <w:szCs w:val="18"/>
          <w:lang w:bidi="bn-IN"/>
        </w:rPr>
        <w:t>Figure 2. Project Quad Chart. Official evidence is separated from academic planning assumptions</w:t>
      </w:r>
      <w:r>
        <w:rPr>
          <w:i/>
          <w:iCs/>
          <w:color w:val="000000"/>
          <w:sz w:val="18"/>
          <w:szCs w:val="18"/>
          <w:lang w:bidi="bn-IN"/>
        </w:rPr>
        <w:t xml:space="preserve"> (Author, 2026)</w:t>
      </w:r>
      <w:r w:rsidRPr="000E0806">
        <w:rPr>
          <w:i/>
          <w:iCs/>
          <w:color w:val="000000"/>
          <w:sz w:val="18"/>
          <w:szCs w:val="18"/>
          <w:lang w:bidi="bn-IN"/>
        </w:rPr>
        <w:t>.</w:t>
      </w:r>
    </w:p>
    <w:p w14:paraId="5D2DDDF1" w14:textId="75BFDF30" w:rsidR="00B317B3" w:rsidRDefault="00B317B3" w:rsidP="008B551B">
      <w:pPr>
        <w:rPr>
          <w:color w:val="000000"/>
          <w:szCs w:val="24"/>
          <w:lang w:bidi="bn-IN"/>
        </w:rPr>
      </w:pPr>
      <w:r w:rsidRPr="00B317B3">
        <w:rPr>
          <w:color w:val="000000"/>
          <w:szCs w:val="24"/>
          <w:lang w:bidi="bn-IN"/>
        </w:rPr>
        <w:t xml:space="preserve">The Manchester Piccadilly Integrated Transport Hub Regeneration has been </w:t>
      </w:r>
      <w:proofErr w:type="spellStart"/>
      <w:r w:rsidRPr="00B317B3">
        <w:rPr>
          <w:color w:val="000000"/>
          <w:szCs w:val="24"/>
          <w:lang w:bidi="bn-IN"/>
        </w:rPr>
        <w:t>summarised</w:t>
      </w:r>
      <w:proofErr w:type="spellEnd"/>
      <w:r w:rsidRPr="00B317B3">
        <w:rPr>
          <w:color w:val="000000"/>
          <w:szCs w:val="24"/>
          <w:lang w:bidi="bn-IN"/>
        </w:rPr>
        <w:t xml:space="preserve"> in the Quad Chart (Figure 2) which connects purpose, customers, outcomes and measures of success. The aim is set to fulfill the requirements of safer distribution of passengers, step-free access, better inter-modal linkages and digitised information, while reducing energy usage. The objectives as per the project results identified in the report are listed here. The customer section identifies the key customer groups e.g. passengers, accessibility groups, Network Rail, rail operators, TfGM and Manchester City Council</w:t>
      </w:r>
      <w:r>
        <w:rPr>
          <w:color w:val="000000"/>
          <w:szCs w:val="24"/>
          <w:lang w:bidi="bn-IN"/>
        </w:rPr>
        <w:t xml:space="preserve">, as per </w:t>
      </w:r>
      <w:r w:rsidRPr="00046256">
        <w:rPr>
          <w:color w:val="000000"/>
          <w:szCs w:val="24"/>
          <w:lang w:bidi="bn-IN"/>
        </w:rPr>
        <w:t>Serra &amp; Kunc (2015)</w:t>
      </w:r>
      <w:r w:rsidRPr="00B317B3">
        <w:rPr>
          <w:color w:val="000000"/>
          <w:szCs w:val="24"/>
          <w:lang w:bidi="bn-IN"/>
        </w:rPr>
        <w:t>. The outcome is a desired result in the form of safety of operations, route accessibility, digital system security and the successful end-of-handover. Success is used in terms of fewer planned closures, complete accessibility of planned routes, saving energy usage and passenger flow supported. The four sections make it very clear as to whether or not they are getting the benefits they're wanting for this project.</w:t>
      </w:r>
    </w:p>
    <w:p w14:paraId="3A8E38D2" w14:textId="77777777" w:rsidR="00B317B3" w:rsidRDefault="00B317B3" w:rsidP="008B551B">
      <w:pPr>
        <w:rPr>
          <w:color w:val="000000"/>
          <w:szCs w:val="24"/>
          <w:lang w:bidi="bn-IN"/>
        </w:rPr>
      </w:pPr>
    </w:p>
    <w:p w14:paraId="006412F5" w14:textId="12D86B62" w:rsidR="000E0806" w:rsidRPr="000E0806" w:rsidRDefault="000E0806" w:rsidP="008B551B">
      <w:pPr>
        <w:pStyle w:val="Heading1"/>
        <w:spacing w:before="0"/>
        <w:rPr>
          <w:color w:val="000000"/>
          <w:sz w:val="27"/>
          <w:szCs w:val="27"/>
          <w:lang w:bidi="bn-IN"/>
        </w:rPr>
      </w:pPr>
      <w:bookmarkStart w:id="5" w:name="_Toc237634527"/>
      <w:r w:rsidRPr="000E0806">
        <w:rPr>
          <w:lang w:bidi="bn-IN"/>
        </w:rPr>
        <w:lastRenderedPageBreak/>
        <w:t>Gantt Chart and Schedule Logic</w:t>
      </w:r>
      <w:bookmarkEnd w:id="5"/>
    </w:p>
    <w:p w14:paraId="22C1A864" w14:textId="02A857FE" w:rsidR="005065FA" w:rsidRDefault="00457F2D" w:rsidP="008B551B">
      <w:pPr>
        <w:rPr>
          <w:color w:val="000000"/>
          <w:szCs w:val="24"/>
          <w:lang w:bidi="bn-IN"/>
        </w:rPr>
      </w:pPr>
      <w:r w:rsidRPr="00457F2D">
        <w:rPr>
          <w:noProof/>
          <w:color w:val="000000"/>
          <w:szCs w:val="24"/>
          <w:lang w:bidi="bn-IN"/>
        </w:rPr>
        <w:drawing>
          <wp:anchor distT="0" distB="0" distL="114300" distR="114300" simplePos="0" relativeHeight="251663360" behindDoc="0" locked="0" layoutInCell="1" allowOverlap="1" wp14:anchorId="0234F39D" wp14:editId="6EA463F9">
            <wp:simplePos x="0" y="0"/>
            <wp:positionH relativeFrom="column">
              <wp:posOffset>114300</wp:posOffset>
            </wp:positionH>
            <wp:positionV relativeFrom="paragraph">
              <wp:posOffset>1816735</wp:posOffset>
            </wp:positionV>
            <wp:extent cx="5731510" cy="2865755"/>
            <wp:effectExtent l="0" t="0" r="2540" b="0"/>
            <wp:wrapTopAndBottom/>
            <wp:docPr id="494113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113624" name=""/>
                    <pic:cNvPicPr/>
                  </pic:nvPicPr>
                  <pic:blipFill>
                    <a:blip r:embed="rId10"/>
                    <a:stretch>
                      <a:fillRect/>
                    </a:stretch>
                  </pic:blipFill>
                  <pic:spPr>
                    <a:xfrm>
                      <a:off x="0" y="0"/>
                      <a:ext cx="5731510" cy="2865755"/>
                    </a:xfrm>
                    <a:prstGeom prst="rect">
                      <a:avLst/>
                    </a:prstGeom>
                  </pic:spPr>
                </pic:pic>
              </a:graphicData>
            </a:graphic>
          </wp:anchor>
        </w:drawing>
      </w:r>
      <w:r w:rsidR="005065FA" w:rsidRPr="005065FA">
        <w:rPr>
          <w:color w:val="000000"/>
          <w:szCs w:val="24"/>
          <w:lang w:bidi="bn-IN"/>
        </w:rPr>
        <w:t xml:space="preserve">The 60-month program in Figure 3 is staged and has a controlled overlap. In order to make large commitments, governance, objectives and the approval route must be clear, so the business case is done first. Detailed design is based on surveys which start early on. Approval and procurement </w:t>
      </w:r>
      <w:r w:rsidR="00391C27">
        <w:rPr>
          <w:color w:val="000000"/>
          <w:szCs w:val="24"/>
          <w:lang w:bidi="bn-IN"/>
        </w:rPr>
        <w:t>are</w:t>
      </w:r>
      <w:r w:rsidR="005065FA" w:rsidRPr="005065FA">
        <w:rPr>
          <w:color w:val="000000"/>
          <w:szCs w:val="24"/>
          <w:lang w:bidi="bn-IN"/>
        </w:rPr>
        <w:t xml:space="preserve"> supported by design. Main construction comes after design maturity/delivery of contract. Digital integration spans the second phase of construction as equipment and data interfaces are reliant on space preparation. Before final handover, there are testing and safety assurance.</w:t>
      </w:r>
    </w:p>
    <w:p w14:paraId="7E7AD93A" w14:textId="2A9C4E3B" w:rsidR="00457F2D" w:rsidRPr="00457F2D" w:rsidRDefault="00457F2D" w:rsidP="008B551B">
      <w:pPr>
        <w:jc w:val="center"/>
        <w:rPr>
          <w:color w:val="000000"/>
          <w:sz w:val="27"/>
          <w:szCs w:val="27"/>
          <w:lang w:bidi="bn-IN"/>
        </w:rPr>
      </w:pPr>
      <w:r w:rsidRPr="000E0806">
        <w:rPr>
          <w:i/>
          <w:iCs/>
          <w:color w:val="000000"/>
          <w:sz w:val="18"/>
          <w:szCs w:val="18"/>
          <w:lang w:bidi="bn-IN"/>
        </w:rPr>
        <w:t xml:space="preserve">Figure </w:t>
      </w:r>
      <w:r>
        <w:rPr>
          <w:i/>
          <w:iCs/>
          <w:color w:val="000000"/>
          <w:sz w:val="18"/>
          <w:szCs w:val="18"/>
          <w:lang w:bidi="bn-IN"/>
        </w:rPr>
        <w:t>3</w:t>
      </w:r>
      <w:r w:rsidRPr="000E0806">
        <w:rPr>
          <w:i/>
          <w:iCs/>
          <w:color w:val="000000"/>
          <w:sz w:val="18"/>
          <w:szCs w:val="18"/>
          <w:lang w:bidi="bn-IN"/>
        </w:rPr>
        <w:t xml:space="preserve">. Project </w:t>
      </w:r>
      <w:r>
        <w:rPr>
          <w:i/>
          <w:iCs/>
          <w:color w:val="000000"/>
          <w:sz w:val="18"/>
          <w:szCs w:val="18"/>
          <w:lang w:bidi="bn-IN"/>
        </w:rPr>
        <w:t>Gantt</w:t>
      </w:r>
      <w:r w:rsidRPr="000E0806">
        <w:rPr>
          <w:i/>
          <w:iCs/>
          <w:color w:val="000000"/>
          <w:sz w:val="18"/>
          <w:szCs w:val="18"/>
          <w:lang w:bidi="bn-IN"/>
        </w:rPr>
        <w:t xml:space="preserve"> Chart. Official evidence is separated from academic planning assumptions</w:t>
      </w:r>
      <w:r>
        <w:rPr>
          <w:i/>
          <w:iCs/>
          <w:color w:val="000000"/>
          <w:sz w:val="18"/>
          <w:szCs w:val="18"/>
          <w:lang w:bidi="bn-IN"/>
        </w:rPr>
        <w:t xml:space="preserve"> (Author, 2026)</w:t>
      </w:r>
      <w:r w:rsidRPr="000E0806">
        <w:rPr>
          <w:i/>
          <w:iCs/>
          <w:color w:val="000000"/>
          <w:sz w:val="18"/>
          <w:szCs w:val="18"/>
          <w:lang w:bidi="bn-IN"/>
        </w:rPr>
        <w:t>.</w:t>
      </w:r>
    </w:p>
    <w:p w14:paraId="7A65C0F1" w14:textId="77777777" w:rsidR="005065FA" w:rsidRPr="005065FA" w:rsidRDefault="005065FA" w:rsidP="008B551B">
      <w:pPr>
        <w:rPr>
          <w:color w:val="000000"/>
          <w:szCs w:val="24"/>
          <w:lang w:bidi="bn-IN"/>
        </w:rPr>
      </w:pPr>
      <w:r w:rsidRPr="005065FA">
        <w:rPr>
          <w:color w:val="000000"/>
          <w:szCs w:val="24"/>
          <w:lang w:bidi="bn-IN"/>
        </w:rPr>
        <w:t>The schedule is only helpful if dependencies are addressed. Design may change due to a late survey. Late design can cause delay in approval and may delay procurement or site access. Construction delay can then allow for a tighter testing schedule and for defects to be discovered near the handover. This is not a list of individual delays. It is for this reason that ISO (2020) and APM (2025) have built in a unified control of the schedule.</w:t>
      </w:r>
    </w:p>
    <w:p w14:paraId="2CA7DBBB" w14:textId="0CC7016F" w:rsidR="005065FA" w:rsidRPr="005065FA" w:rsidRDefault="005065FA" w:rsidP="008B551B">
      <w:pPr>
        <w:rPr>
          <w:color w:val="000000"/>
          <w:szCs w:val="24"/>
          <w:lang w:bidi="bn-IN"/>
        </w:rPr>
      </w:pPr>
      <w:r w:rsidRPr="005065FA">
        <w:rPr>
          <w:color w:val="000000"/>
          <w:szCs w:val="24"/>
          <w:lang w:bidi="bn-IN"/>
        </w:rPr>
        <w:t>The benefit of selecting overlap will reduce the delivery time</w:t>
      </w:r>
      <w:r w:rsidR="00391C27">
        <w:rPr>
          <w:color w:val="000000"/>
          <w:szCs w:val="24"/>
          <w:lang w:bidi="bn-IN"/>
        </w:rPr>
        <w:t>;</w:t>
      </w:r>
      <w:r w:rsidRPr="005065FA">
        <w:rPr>
          <w:color w:val="000000"/>
          <w:szCs w:val="24"/>
          <w:lang w:bidi="bn-IN"/>
        </w:rPr>
        <w:t xml:space="preserve"> however</w:t>
      </w:r>
      <w:r w:rsidR="00391C27">
        <w:rPr>
          <w:color w:val="000000"/>
          <w:szCs w:val="24"/>
          <w:lang w:bidi="bn-IN"/>
        </w:rPr>
        <w:t>,</w:t>
      </w:r>
      <w:r w:rsidRPr="005065FA">
        <w:rPr>
          <w:color w:val="000000"/>
          <w:szCs w:val="24"/>
          <w:lang w:bidi="bn-IN"/>
        </w:rPr>
        <w:t xml:space="preserve"> there is a risk of rework associated with overlap. For instance, if the digital hardware is purchased early, it can </w:t>
      </w:r>
      <w:r w:rsidR="00391C27">
        <w:rPr>
          <w:color w:val="000000"/>
          <w:szCs w:val="24"/>
          <w:lang w:bidi="bn-IN"/>
        </w:rPr>
        <w:t>incur</w:t>
      </w:r>
      <w:r w:rsidRPr="005065FA">
        <w:rPr>
          <w:color w:val="000000"/>
          <w:szCs w:val="24"/>
          <w:lang w:bidi="bn-IN"/>
        </w:rPr>
        <w:t xml:space="preserve"> a long lead time, but if purchased when </w:t>
      </w:r>
      <w:r w:rsidR="00391C27">
        <w:rPr>
          <w:color w:val="000000"/>
          <w:szCs w:val="24"/>
          <w:lang w:bidi="bn-IN"/>
        </w:rPr>
        <w:t xml:space="preserve">the </w:t>
      </w:r>
      <w:r w:rsidRPr="005065FA">
        <w:rPr>
          <w:color w:val="000000"/>
          <w:szCs w:val="24"/>
          <w:lang w:bidi="bn-IN"/>
        </w:rPr>
        <w:t>interface is still in a development phase, it can incur replacement cost. The control should be milestone gates and not maximum parallel work. The gates are scope approval at month 6, survey freeze at month 12, design freeze at month 24, contract award at month 30, test readiness at month 50 and handover at month 60. The monthly review should check the planned and actual dates, provide a recovery action when there is a variance and discuss the variance. This means that the schedule control is not a Gantt chart for reporting purposes.</w:t>
      </w:r>
    </w:p>
    <w:p w14:paraId="0956E92C" w14:textId="244BBC2C" w:rsidR="00CB07C2" w:rsidRPr="00C70FC9" w:rsidRDefault="00C70FC9" w:rsidP="008B551B">
      <w:pPr>
        <w:pStyle w:val="Heading1"/>
        <w:spacing w:before="0"/>
        <w:rPr>
          <w:lang w:bidi="bn-IN"/>
        </w:rPr>
      </w:pPr>
      <w:bookmarkStart w:id="6" w:name="_Toc237634528"/>
      <w:r w:rsidRPr="00C70FC9">
        <w:rPr>
          <w:i/>
          <w:iCs/>
          <w:noProof/>
          <w:color w:val="000000"/>
          <w:sz w:val="18"/>
          <w:szCs w:val="18"/>
          <w:lang w:bidi="bn-IN"/>
        </w:rPr>
        <w:lastRenderedPageBreak/>
        <w:drawing>
          <wp:anchor distT="0" distB="0" distL="114300" distR="114300" simplePos="0" relativeHeight="251669504" behindDoc="0" locked="0" layoutInCell="1" allowOverlap="1" wp14:anchorId="1250A2D1" wp14:editId="7F6AF66D">
            <wp:simplePos x="0" y="0"/>
            <wp:positionH relativeFrom="margin">
              <wp:align>center</wp:align>
            </wp:positionH>
            <wp:positionV relativeFrom="paragraph">
              <wp:posOffset>4414520</wp:posOffset>
            </wp:positionV>
            <wp:extent cx="2309060" cy="274344"/>
            <wp:effectExtent l="0" t="0" r="0" b="0"/>
            <wp:wrapTopAndBottom/>
            <wp:docPr id="1245098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098525" name=""/>
                    <pic:cNvPicPr/>
                  </pic:nvPicPr>
                  <pic:blipFill>
                    <a:blip r:embed="rId11"/>
                    <a:stretch>
                      <a:fillRect/>
                    </a:stretch>
                  </pic:blipFill>
                  <pic:spPr>
                    <a:xfrm>
                      <a:off x="0" y="0"/>
                      <a:ext cx="2309060" cy="274344"/>
                    </a:xfrm>
                    <a:prstGeom prst="rect">
                      <a:avLst/>
                    </a:prstGeom>
                  </pic:spPr>
                </pic:pic>
              </a:graphicData>
            </a:graphic>
          </wp:anchor>
        </w:drawing>
      </w:r>
      <w:r w:rsidR="00CB07C2" w:rsidRPr="00CB07C2">
        <w:rPr>
          <w:i/>
          <w:iCs/>
          <w:noProof/>
          <w:color w:val="000000"/>
          <w:sz w:val="18"/>
          <w:szCs w:val="18"/>
          <w:lang w:bidi="bn-IN"/>
        </w:rPr>
        <w:drawing>
          <wp:anchor distT="0" distB="0" distL="114300" distR="114300" simplePos="0" relativeHeight="251667456" behindDoc="0" locked="0" layoutInCell="1" allowOverlap="1" wp14:anchorId="056D12EF" wp14:editId="34DEC0DF">
            <wp:simplePos x="0" y="0"/>
            <wp:positionH relativeFrom="margin">
              <wp:align>center</wp:align>
            </wp:positionH>
            <wp:positionV relativeFrom="paragraph">
              <wp:posOffset>3382010</wp:posOffset>
            </wp:positionV>
            <wp:extent cx="5395428" cy="1044030"/>
            <wp:effectExtent l="0" t="0" r="0" b="3810"/>
            <wp:wrapTopAndBottom/>
            <wp:docPr id="223313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313849" name=""/>
                    <pic:cNvPicPr/>
                  </pic:nvPicPr>
                  <pic:blipFill>
                    <a:blip r:embed="rId12"/>
                    <a:stretch>
                      <a:fillRect/>
                    </a:stretch>
                  </pic:blipFill>
                  <pic:spPr>
                    <a:xfrm>
                      <a:off x="0" y="0"/>
                      <a:ext cx="5395428" cy="1044030"/>
                    </a:xfrm>
                    <a:prstGeom prst="rect">
                      <a:avLst/>
                    </a:prstGeom>
                  </pic:spPr>
                </pic:pic>
              </a:graphicData>
            </a:graphic>
          </wp:anchor>
        </w:drawing>
      </w:r>
      <w:r w:rsidR="008920F5" w:rsidRPr="008920F5">
        <w:rPr>
          <w:noProof/>
          <w:lang w:bidi="bn-IN"/>
        </w:rPr>
        <w:drawing>
          <wp:anchor distT="0" distB="0" distL="114300" distR="114300" simplePos="0" relativeHeight="251665408" behindDoc="0" locked="0" layoutInCell="1" allowOverlap="1" wp14:anchorId="587E2277" wp14:editId="43063D9D">
            <wp:simplePos x="0" y="0"/>
            <wp:positionH relativeFrom="margin">
              <wp:align>center</wp:align>
            </wp:positionH>
            <wp:positionV relativeFrom="paragraph">
              <wp:posOffset>285115</wp:posOffset>
            </wp:positionV>
            <wp:extent cx="4214225" cy="3025402"/>
            <wp:effectExtent l="0" t="0" r="0" b="3810"/>
            <wp:wrapTopAndBottom/>
            <wp:docPr id="1086621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21897" name=""/>
                    <pic:cNvPicPr/>
                  </pic:nvPicPr>
                  <pic:blipFill>
                    <a:blip r:embed="rId13"/>
                    <a:stretch>
                      <a:fillRect/>
                    </a:stretch>
                  </pic:blipFill>
                  <pic:spPr>
                    <a:xfrm>
                      <a:off x="0" y="0"/>
                      <a:ext cx="4214225" cy="3025402"/>
                    </a:xfrm>
                    <a:prstGeom prst="rect">
                      <a:avLst/>
                    </a:prstGeom>
                  </pic:spPr>
                </pic:pic>
              </a:graphicData>
            </a:graphic>
          </wp:anchor>
        </w:drawing>
      </w:r>
      <w:r w:rsidR="000E0806" w:rsidRPr="000E0806">
        <w:rPr>
          <w:lang w:bidi="bn-IN"/>
        </w:rPr>
        <w:t>Stakeholder Involvement</w:t>
      </w:r>
      <w:bookmarkEnd w:id="6"/>
    </w:p>
    <w:p w14:paraId="16F262DD" w14:textId="4BB21185" w:rsidR="008920F5" w:rsidRPr="008920F5" w:rsidRDefault="008920F5" w:rsidP="008B551B">
      <w:pPr>
        <w:rPr>
          <w:lang w:bidi="bn-IN"/>
        </w:rPr>
      </w:pPr>
      <w:r w:rsidRPr="000E0806">
        <w:rPr>
          <w:i/>
          <w:iCs/>
          <w:color w:val="000000"/>
          <w:sz w:val="18"/>
          <w:szCs w:val="18"/>
          <w:lang w:bidi="bn-IN"/>
        </w:rPr>
        <w:t>Figure 4. Stakeholder power–interest matrix, with lifecycle movement highlighted for TfGM and contractors</w:t>
      </w:r>
      <w:r>
        <w:rPr>
          <w:i/>
          <w:iCs/>
          <w:color w:val="000000"/>
          <w:sz w:val="18"/>
          <w:szCs w:val="18"/>
          <w:lang w:bidi="bn-IN"/>
        </w:rPr>
        <w:t xml:space="preserve"> (Author, 2026)</w:t>
      </w:r>
      <w:r w:rsidRPr="000E0806">
        <w:rPr>
          <w:i/>
          <w:iCs/>
          <w:color w:val="000000"/>
          <w:sz w:val="18"/>
          <w:szCs w:val="18"/>
          <w:lang w:bidi="bn-IN"/>
        </w:rPr>
        <w:t>.</w:t>
      </w:r>
    </w:p>
    <w:p w14:paraId="5A34F98C" w14:textId="2E176894" w:rsidR="008B551B" w:rsidRDefault="005065FA" w:rsidP="008B551B">
      <w:pPr>
        <w:rPr>
          <w:color w:val="000000"/>
          <w:szCs w:val="24"/>
          <w:lang w:bidi="bn-IN"/>
        </w:rPr>
      </w:pPr>
      <w:r w:rsidRPr="005065FA">
        <w:rPr>
          <w:color w:val="000000"/>
          <w:szCs w:val="24"/>
          <w:lang w:bidi="bn-IN"/>
        </w:rPr>
        <w:t xml:space="preserve">The key success factors include: Rail operations, City access, </w:t>
      </w:r>
      <w:proofErr w:type="gramStart"/>
      <w:r w:rsidRPr="005065FA">
        <w:rPr>
          <w:color w:val="000000"/>
          <w:szCs w:val="24"/>
          <w:lang w:bidi="bn-IN"/>
        </w:rPr>
        <w:t>Public</w:t>
      </w:r>
      <w:proofErr w:type="gramEnd"/>
      <w:r w:rsidRPr="005065FA">
        <w:rPr>
          <w:color w:val="000000"/>
          <w:szCs w:val="24"/>
          <w:lang w:bidi="bn-IN"/>
        </w:rPr>
        <w:t xml:space="preserve"> transport and passenger needs. Network Rail, Manchester City Council and rail operators are listed in “manage closely” in the Part A matrix. Their choices can have a direct impact on access, design, approvals and daily service. Network Rail should remain engaged throughout the survey and handover process as elements of rail assets, possessions and safety interfaces rely on Network Rail. Manchester City Council need to be involved in planning and public-realm works</w:t>
      </w:r>
      <w:r w:rsidR="00391C27">
        <w:rPr>
          <w:color w:val="000000"/>
          <w:szCs w:val="24"/>
          <w:lang w:bidi="bn-IN"/>
        </w:rPr>
        <w:t>,</w:t>
      </w:r>
      <w:r w:rsidRPr="005065FA">
        <w:rPr>
          <w:color w:val="000000"/>
          <w:szCs w:val="24"/>
          <w:lang w:bidi="bn-IN"/>
        </w:rPr>
        <w:t xml:space="preserve"> as at the </w:t>
      </w:r>
      <w:proofErr w:type="gramStart"/>
      <w:r w:rsidRPr="005065FA">
        <w:rPr>
          <w:color w:val="000000"/>
          <w:szCs w:val="24"/>
          <w:lang w:bidi="bn-IN"/>
        </w:rPr>
        <w:t>last minute</w:t>
      </w:r>
      <w:proofErr w:type="gramEnd"/>
      <w:r w:rsidRPr="005065FA">
        <w:rPr>
          <w:color w:val="000000"/>
          <w:szCs w:val="24"/>
          <w:lang w:bidi="bn-IN"/>
        </w:rPr>
        <w:t xml:space="preserve"> approvals can be denied</w:t>
      </w:r>
      <w:r w:rsidR="00391C27">
        <w:rPr>
          <w:color w:val="000000"/>
          <w:szCs w:val="24"/>
          <w:lang w:bidi="bn-IN"/>
        </w:rPr>
        <w:t>;</w:t>
      </w:r>
      <w:r w:rsidRPr="005065FA">
        <w:rPr>
          <w:color w:val="000000"/>
          <w:szCs w:val="24"/>
          <w:lang w:bidi="bn-IN"/>
        </w:rPr>
        <w:t xml:space="preserve"> this will prevent packages from being approved. However, a technically sound design may be inadequate for practical station operations if it is not given a degree of phasing and testing input from the rail operators.</w:t>
      </w:r>
      <w:r w:rsidR="008B551B">
        <w:rPr>
          <w:color w:val="000000"/>
          <w:szCs w:val="24"/>
          <w:lang w:bidi="bn-IN"/>
        </w:rPr>
        <w:t xml:space="preserve"> </w:t>
      </w:r>
      <w:r w:rsidRPr="005065FA">
        <w:rPr>
          <w:color w:val="000000"/>
          <w:szCs w:val="24"/>
          <w:lang w:bidi="bn-IN"/>
        </w:rPr>
        <w:t xml:space="preserve">DfT, GMCA and TfGM were rated ‘keep satisfied'. Part C should consider this a change, rather than a permanent change. TfGM has greater influence on design of tram/bus/walk/bike interfaces. Lower influence moves to </w:t>
      </w:r>
      <w:r w:rsidR="00391C27">
        <w:rPr>
          <w:color w:val="000000"/>
          <w:szCs w:val="24"/>
          <w:lang w:bidi="bn-IN"/>
        </w:rPr>
        <w:t>strong</w:t>
      </w:r>
      <w:r w:rsidRPr="005065FA">
        <w:rPr>
          <w:color w:val="000000"/>
          <w:szCs w:val="24"/>
          <w:lang w:bidi="bn-IN"/>
        </w:rPr>
        <w:t xml:space="preserve"> influence in construction mode. </w:t>
      </w:r>
    </w:p>
    <w:p w14:paraId="0DA5C247" w14:textId="4A7B3207" w:rsidR="005065FA" w:rsidRPr="005065FA" w:rsidRDefault="005065FA" w:rsidP="008B551B">
      <w:pPr>
        <w:rPr>
          <w:color w:val="000000"/>
          <w:szCs w:val="24"/>
          <w:lang w:bidi="bn-IN"/>
        </w:rPr>
      </w:pPr>
      <w:r w:rsidRPr="005065FA">
        <w:rPr>
          <w:color w:val="000000"/>
          <w:szCs w:val="24"/>
          <w:lang w:bidi="bn-IN"/>
        </w:rPr>
        <w:t>The influence of stakeholders varies during the project lifecycle (Aaltonen and Kujala, 2010). If the team never reviews a static matrix, it can fool the team.</w:t>
      </w:r>
      <w:r w:rsidR="008B551B">
        <w:rPr>
          <w:color w:val="000000"/>
          <w:szCs w:val="24"/>
          <w:lang w:bidi="bn-IN"/>
        </w:rPr>
        <w:t xml:space="preserve"> </w:t>
      </w:r>
      <w:r w:rsidRPr="005065FA">
        <w:rPr>
          <w:color w:val="000000"/>
          <w:szCs w:val="24"/>
          <w:lang w:bidi="bn-IN"/>
        </w:rPr>
        <w:t xml:space="preserve">Passengers/PWD groups/local businesses have less formal power, but high direct exposure. They should do more than just </w:t>
      </w:r>
      <w:r w:rsidRPr="005065FA">
        <w:rPr>
          <w:color w:val="000000"/>
          <w:szCs w:val="24"/>
          <w:lang w:bidi="bn-IN"/>
        </w:rPr>
        <w:lastRenderedPageBreak/>
        <w:t xml:space="preserve">provide general updates. Access reviews, route walk-throughs and user testing should be conducted with disabled-user-groups. Clear temporary route information </w:t>
      </w:r>
      <w:r w:rsidR="00391C27">
        <w:rPr>
          <w:color w:val="000000"/>
          <w:szCs w:val="24"/>
          <w:lang w:bidi="bn-IN"/>
        </w:rPr>
        <w:t xml:space="preserve">is </w:t>
      </w:r>
      <w:r w:rsidRPr="005065FA">
        <w:rPr>
          <w:color w:val="000000"/>
          <w:szCs w:val="24"/>
          <w:lang w:bidi="bn-IN"/>
        </w:rPr>
        <w:t>required for passengers before each major change. When access to premises, pedestrian ways or service routes is altered, there is a need for early warning to local businesses</w:t>
      </w:r>
      <w:r w:rsidR="00391C27">
        <w:rPr>
          <w:color w:val="000000"/>
          <w:szCs w:val="24"/>
          <w:lang w:bidi="bn-IN"/>
        </w:rPr>
        <w:t>,</w:t>
      </w:r>
      <w:r w:rsidRPr="005065FA">
        <w:rPr>
          <w:color w:val="000000"/>
          <w:szCs w:val="24"/>
          <w:lang w:bidi="bn-IN"/>
        </w:rPr>
        <w:t xml:space="preserve"> as it can lead to a decrease in pedestrian numbers. Why stakeholder impact should be assessed is explained by Olander (2007)</w:t>
      </w:r>
      <w:r w:rsidR="00391C27">
        <w:rPr>
          <w:color w:val="000000"/>
          <w:szCs w:val="24"/>
          <w:lang w:bidi="bn-IN"/>
        </w:rPr>
        <w:t>,</w:t>
      </w:r>
      <w:r w:rsidRPr="005065FA">
        <w:rPr>
          <w:color w:val="000000"/>
          <w:szCs w:val="24"/>
          <w:lang w:bidi="bn-IN"/>
        </w:rPr>
        <w:t xml:space="preserve"> and Yang et al. (2011) highlight the importance of stakeholder management in construction.</w:t>
      </w:r>
      <w:r w:rsidR="008B551B">
        <w:rPr>
          <w:color w:val="000000"/>
          <w:szCs w:val="24"/>
          <w:lang w:bidi="bn-IN"/>
        </w:rPr>
        <w:t xml:space="preserve"> </w:t>
      </w:r>
      <w:r w:rsidRPr="005065FA">
        <w:rPr>
          <w:color w:val="000000"/>
          <w:szCs w:val="24"/>
          <w:lang w:bidi="bn-IN"/>
        </w:rPr>
        <w:t xml:space="preserve">The RACI matrix in Figure 5 provides accountability. Too and Weaver (2014) associate project governance </w:t>
      </w:r>
      <w:r w:rsidR="00391C27">
        <w:rPr>
          <w:color w:val="000000"/>
          <w:szCs w:val="24"/>
          <w:lang w:bidi="bn-IN"/>
        </w:rPr>
        <w:t>with</w:t>
      </w:r>
      <w:r w:rsidRPr="005065FA">
        <w:rPr>
          <w:color w:val="000000"/>
          <w:szCs w:val="24"/>
          <w:lang w:bidi="bn-IN"/>
        </w:rPr>
        <w:t xml:space="preserve"> clear decision rights. There need</w:t>
      </w:r>
      <w:r w:rsidR="00391C27">
        <w:rPr>
          <w:color w:val="000000"/>
          <w:szCs w:val="24"/>
          <w:lang w:bidi="bn-IN"/>
        </w:rPr>
        <w:t>s</w:t>
      </w:r>
      <w:r w:rsidRPr="005065FA">
        <w:rPr>
          <w:color w:val="000000"/>
          <w:szCs w:val="24"/>
          <w:lang w:bidi="bn-IN"/>
        </w:rPr>
        <w:t xml:space="preserve"> to be one designated entity responsible for each of the big packages. This will stop work waiting for </w:t>
      </w:r>
      <w:r w:rsidR="00391C27">
        <w:rPr>
          <w:color w:val="000000"/>
          <w:szCs w:val="24"/>
          <w:lang w:bidi="bn-IN"/>
        </w:rPr>
        <w:t xml:space="preserve">the </w:t>
      </w:r>
      <w:r w:rsidRPr="005065FA">
        <w:rPr>
          <w:color w:val="000000"/>
          <w:szCs w:val="24"/>
          <w:lang w:bidi="bn-IN"/>
        </w:rPr>
        <w:t>owner or multiple groups to make the decision. The stakeholder plan should therefore be a combination of power interest mapping and engagement stage and named decision rights.</w:t>
      </w:r>
    </w:p>
    <w:p w14:paraId="6A80762C" w14:textId="0EB621E0" w:rsidR="000E0806" w:rsidRPr="000E0806" w:rsidRDefault="000E0806" w:rsidP="008B551B">
      <w:pPr>
        <w:rPr>
          <w:rFonts w:ascii="Cambria" w:hAnsi="Cambria"/>
          <w:sz w:val="22"/>
          <w:lang w:bidi="bn-IN"/>
        </w:rPr>
      </w:pPr>
      <w:r w:rsidRPr="000E0806">
        <w:rPr>
          <w:rFonts w:ascii="Cambria" w:hAnsi="Cambria"/>
          <w:noProof/>
          <w:sz w:val="22"/>
          <w:lang w:bidi="bn-IN"/>
        </w:rPr>
        <mc:AlternateContent>
          <mc:Choice Requires="wps">
            <w:drawing>
              <wp:inline distT="0" distB="0" distL="0" distR="0" wp14:anchorId="7AA9D27B" wp14:editId="6ED579FF">
                <wp:extent cx="304800" cy="304800"/>
                <wp:effectExtent l="0" t="0" r="0" b="0"/>
                <wp:docPr id="173194233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711FF9"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D426B9F" w14:textId="7C44E597" w:rsidR="000E0806" w:rsidRPr="000E0806" w:rsidRDefault="000E0806" w:rsidP="008B551B">
      <w:pPr>
        <w:rPr>
          <w:color w:val="000000"/>
          <w:sz w:val="27"/>
          <w:szCs w:val="27"/>
          <w:lang w:bidi="bn-IN"/>
        </w:rPr>
      </w:pPr>
    </w:p>
    <w:p w14:paraId="58279358" w14:textId="032F166D" w:rsidR="000E0806" w:rsidRPr="000E0806" w:rsidRDefault="000E0806" w:rsidP="008B551B">
      <w:pPr>
        <w:rPr>
          <w:rFonts w:ascii="Cambria" w:hAnsi="Cambria"/>
          <w:sz w:val="22"/>
          <w:lang w:bidi="bn-IN"/>
        </w:rPr>
      </w:pPr>
      <w:r w:rsidRPr="000E0806">
        <w:rPr>
          <w:rFonts w:ascii="Cambria" w:hAnsi="Cambria"/>
          <w:noProof/>
          <w:sz w:val="22"/>
          <w:lang w:bidi="bn-IN"/>
        </w:rPr>
        <mc:AlternateContent>
          <mc:Choice Requires="wps">
            <w:drawing>
              <wp:inline distT="0" distB="0" distL="0" distR="0" wp14:anchorId="5FFCAE65" wp14:editId="731EE473">
                <wp:extent cx="304800" cy="304800"/>
                <wp:effectExtent l="0" t="0" r="0" b="0"/>
                <wp:docPr id="200423132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F32A0F"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220120F" w14:textId="77777777" w:rsidR="008920F5" w:rsidRDefault="008920F5" w:rsidP="008B551B">
      <w:pPr>
        <w:spacing w:line="240" w:lineRule="auto"/>
        <w:jc w:val="left"/>
        <w:rPr>
          <w:lang w:bidi="bn-IN"/>
        </w:rPr>
      </w:pPr>
      <w:r>
        <w:rPr>
          <w:lang w:bidi="bn-IN"/>
        </w:rPr>
        <w:br w:type="page"/>
      </w:r>
    </w:p>
    <w:p w14:paraId="6CF31902" w14:textId="461A82FE" w:rsidR="000E0806" w:rsidRDefault="000E0806" w:rsidP="008B551B">
      <w:pPr>
        <w:pStyle w:val="Heading1"/>
        <w:spacing w:before="0"/>
        <w:rPr>
          <w:lang w:bidi="bn-IN"/>
        </w:rPr>
      </w:pPr>
      <w:bookmarkStart w:id="7" w:name="_Toc237634529"/>
      <w:r w:rsidRPr="008920F5">
        <w:rPr>
          <w:lang w:bidi="bn-IN"/>
        </w:rPr>
        <w:lastRenderedPageBreak/>
        <w:t>Allocation of Resources</w:t>
      </w:r>
      <w:bookmarkEnd w:id="7"/>
    </w:p>
    <w:p w14:paraId="1706737D" w14:textId="6D892EEA" w:rsidR="004B1397" w:rsidRPr="004B1397" w:rsidRDefault="004B1397" w:rsidP="008B551B">
      <w:pPr>
        <w:jc w:val="center"/>
        <w:rPr>
          <w:lang w:bidi="bn-IN"/>
        </w:rPr>
      </w:pPr>
      <w:r>
        <w:rPr>
          <w:noProof/>
        </w:rPr>
        <w:drawing>
          <wp:inline distT="0" distB="0" distL="0" distR="0" wp14:anchorId="42D9C32A" wp14:editId="769CA93B">
            <wp:extent cx="4922329" cy="27889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sources.png"/>
                    <pic:cNvPicPr/>
                  </pic:nvPicPr>
                  <pic:blipFill>
                    <a:blip r:embed="rId14"/>
                    <a:stretch>
                      <a:fillRect/>
                    </a:stretch>
                  </pic:blipFill>
                  <pic:spPr>
                    <a:xfrm>
                      <a:off x="0" y="0"/>
                      <a:ext cx="4930433" cy="2793511"/>
                    </a:xfrm>
                    <a:prstGeom prst="rect">
                      <a:avLst/>
                    </a:prstGeom>
                  </pic:spPr>
                </pic:pic>
              </a:graphicData>
            </a:graphic>
          </wp:inline>
        </w:drawing>
      </w:r>
    </w:p>
    <w:p w14:paraId="450C5265" w14:textId="238E47B6" w:rsidR="004B1397" w:rsidRPr="004B1397" w:rsidRDefault="004B1397" w:rsidP="008B551B">
      <w:pPr>
        <w:jc w:val="center"/>
        <w:rPr>
          <w:lang w:bidi="bn-IN"/>
        </w:rPr>
      </w:pPr>
      <w:r w:rsidRPr="000E0806">
        <w:rPr>
          <w:i/>
          <w:iCs/>
          <w:color w:val="000000"/>
          <w:sz w:val="18"/>
          <w:szCs w:val="18"/>
          <w:lang w:bidi="bn-IN"/>
        </w:rPr>
        <w:t xml:space="preserve">Figure </w:t>
      </w:r>
      <w:r>
        <w:rPr>
          <w:i/>
          <w:iCs/>
          <w:color w:val="000000"/>
          <w:sz w:val="18"/>
          <w:szCs w:val="18"/>
          <w:lang w:bidi="bn-IN"/>
        </w:rPr>
        <w:t>5</w:t>
      </w:r>
      <w:r w:rsidRPr="000E0806">
        <w:rPr>
          <w:i/>
          <w:iCs/>
          <w:color w:val="000000"/>
          <w:sz w:val="18"/>
          <w:szCs w:val="18"/>
          <w:lang w:bidi="bn-IN"/>
        </w:rPr>
        <w:t xml:space="preserve">. </w:t>
      </w:r>
      <w:r w:rsidR="000324B3" w:rsidRPr="000324B3">
        <w:rPr>
          <w:i/>
          <w:iCs/>
          <w:color w:val="000000"/>
          <w:sz w:val="18"/>
          <w:szCs w:val="18"/>
          <w:lang w:bidi="bn-IN"/>
        </w:rPr>
        <w:t xml:space="preserve">High/medium/low ratings avoid unsupported staff-number assumptions </w:t>
      </w:r>
      <w:r>
        <w:rPr>
          <w:i/>
          <w:iCs/>
          <w:color w:val="000000"/>
          <w:sz w:val="18"/>
          <w:szCs w:val="18"/>
          <w:lang w:bidi="bn-IN"/>
        </w:rPr>
        <w:t>(PMI, 2021).</w:t>
      </w:r>
    </w:p>
    <w:p w14:paraId="5EF6CE97" w14:textId="0ED2A1CB" w:rsidR="00E95BE4" w:rsidRPr="00E95BE4" w:rsidRDefault="00E95BE4" w:rsidP="008B551B">
      <w:pPr>
        <w:rPr>
          <w:color w:val="000000"/>
          <w:szCs w:val="24"/>
          <w:lang w:bidi="bn-IN"/>
        </w:rPr>
      </w:pPr>
      <w:r w:rsidRPr="00E95BE4">
        <w:rPr>
          <w:color w:val="000000"/>
          <w:szCs w:val="24"/>
          <w:lang w:bidi="bn-IN"/>
        </w:rPr>
        <w:t>Resources are not to be listed as one project team, but should follow the WBS and schedule. Project controls, survey teams, rail and civil engineers, accessibility staff, commercial staff and stakeholder staff are required for early stages. On execution, the demand flows towards the contractors, rail systems experts, logistics team, health and safety and station operations</w:t>
      </w:r>
      <w:r w:rsidR="004B1397">
        <w:rPr>
          <w:color w:val="000000"/>
          <w:szCs w:val="24"/>
          <w:lang w:bidi="bn-IN"/>
        </w:rPr>
        <w:t xml:space="preserve"> (</w:t>
      </w:r>
      <w:r w:rsidR="004B1397" w:rsidRPr="00E95BE4">
        <w:rPr>
          <w:color w:val="000000"/>
          <w:szCs w:val="24"/>
          <w:lang w:bidi="bn-IN"/>
        </w:rPr>
        <w:t>APM, 2025</w:t>
      </w:r>
      <w:r w:rsidR="004B1397">
        <w:rPr>
          <w:color w:val="000000"/>
          <w:szCs w:val="24"/>
          <w:lang w:bidi="bn-IN"/>
        </w:rPr>
        <w:t>)</w:t>
      </w:r>
      <w:r w:rsidRPr="00E95BE4">
        <w:rPr>
          <w:color w:val="000000"/>
          <w:szCs w:val="24"/>
          <w:lang w:bidi="bn-IN"/>
        </w:rPr>
        <w:t xml:space="preserve">. During integration and commissioning, digital specialists are back on the rise. This changing intensity of resources is illustrated in </w:t>
      </w:r>
      <w:r w:rsidR="00391C27">
        <w:rPr>
          <w:color w:val="000000"/>
          <w:szCs w:val="24"/>
          <w:lang w:bidi="bn-IN"/>
        </w:rPr>
        <w:t>F</w:t>
      </w:r>
      <w:r w:rsidRPr="00E95BE4">
        <w:rPr>
          <w:color w:val="000000"/>
          <w:szCs w:val="24"/>
          <w:lang w:bidi="bn-IN"/>
        </w:rPr>
        <w:t xml:space="preserve">igure </w:t>
      </w:r>
      <w:r w:rsidR="00391C27">
        <w:rPr>
          <w:color w:val="000000"/>
          <w:szCs w:val="24"/>
          <w:lang w:bidi="bn-IN"/>
        </w:rPr>
        <w:t>5</w:t>
      </w:r>
      <w:r w:rsidRPr="00E95BE4">
        <w:rPr>
          <w:color w:val="000000"/>
          <w:szCs w:val="24"/>
          <w:lang w:bidi="bn-IN"/>
        </w:rPr>
        <w:t xml:space="preserve"> without creating specific numbers of heads.</w:t>
      </w:r>
      <w:r w:rsidR="008B551B">
        <w:rPr>
          <w:color w:val="000000"/>
          <w:szCs w:val="24"/>
          <w:lang w:bidi="bn-IN"/>
        </w:rPr>
        <w:t xml:space="preserve"> </w:t>
      </w:r>
      <w:r w:rsidRPr="00E95BE4">
        <w:rPr>
          <w:color w:val="000000"/>
          <w:szCs w:val="24"/>
          <w:lang w:bidi="bn-IN"/>
        </w:rPr>
        <w:t>This is important because when the wrong resource is used at the wrong time, even if there is money to be had to do so, there is a delay. A design package that is completed is no good if there is no rail access. But when plant, barriers, permits and materials are late, mature contractors can sit idle. People, equipment, access windows, data, temporary signs, and digital hardware and testing tools are therefore part of the planning for the resources required.</w:t>
      </w:r>
    </w:p>
    <w:p w14:paraId="42FABCB9" w14:textId="251DF6CB" w:rsidR="00E95BE4" w:rsidRDefault="00E95BE4" w:rsidP="008B551B">
      <w:pPr>
        <w:rPr>
          <w:color w:val="000000"/>
          <w:szCs w:val="24"/>
          <w:lang w:bidi="bn-IN"/>
        </w:rPr>
      </w:pPr>
      <w:r w:rsidRPr="00E95BE4">
        <w:rPr>
          <w:color w:val="000000"/>
          <w:szCs w:val="24"/>
          <w:lang w:bidi="bn-IN"/>
        </w:rPr>
        <w:t xml:space="preserve">There is also a need for discipline in commercial control. Don't see the £112.5m contingency as a buffer. Only release when there is identified uncertainty or an approved change. There is evidence that warrants caution with early estimates around the infrastructure (Flyvbjerg et al., 2002) and evidence to support resource and uncertainty control (PMI, 2021). A review of the resource should be done monthly to check </w:t>
      </w:r>
      <w:r w:rsidR="00391C27">
        <w:rPr>
          <w:color w:val="000000"/>
          <w:szCs w:val="24"/>
          <w:lang w:bidi="bn-IN"/>
        </w:rPr>
        <w:t xml:space="preserve">the </w:t>
      </w:r>
      <w:r w:rsidRPr="00E95BE4">
        <w:rPr>
          <w:color w:val="000000"/>
          <w:szCs w:val="24"/>
          <w:lang w:bidi="bn-IN"/>
        </w:rPr>
        <w:t>next three months</w:t>
      </w:r>
      <w:r w:rsidR="00391C27">
        <w:rPr>
          <w:color w:val="000000"/>
          <w:szCs w:val="24"/>
          <w:lang w:bidi="bn-IN"/>
        </w:rPr>
        <w:t>'</w:t>
      </w:r>
      <w:r w:rsidRPr="00E95BE4">
        <w:rPr>
          <w:color w:val="000000"/>
          <w:szCs w:val="24"/>
          <w:lang w:bidi="bn-IN"/>
        </w:rPr>
        <w:t xml:space="preserve"> work against the availability of people, access and equipment. This allows adequate time to correct for a</w:t>
      </w:r>
      <w:r>
        <w:rPr>
          <w:color w:val="000000"/>
          <w:szCs w:val="24"/>
          <w:lang w:bidi="bn-IN"/>
        </w:rPr>
        <w:t xml:space="preserve"> </w:t>
      </w:r>
      <w:r w:rsidRPr="00E95BE4">
        <w:rPr>
          <w:color w:val="000000"/>
          <w:szCs w:val="24"/>
          <w:lang w:bidi="bn-IN"/>
        </w:rPr>
        <w:t>shortage before it turns into a schedule problem.</w:t>
      </w:r>
    </w:p>
    <w:p w14:paraId="5D32C4DD" w14:textId="4E2AC6B3" w:rsidR="000E0806" w:rsidRDefault="008B551B" w:rsidP="008B551B">
      <w:pPr>
        <w:pStyle w:val="Heading1"/>
        <w:spacing w:before="0"/>
        <w:rPr>
          <w:lang w:bidi="bn-IN"/>
        </w:rPr>
      </w:pPr>
      <w:bookmarkStart w:id="8" w:name="_Toc237634530"/>
      <w:r w:rsidRPr="00865273">
        <w:rPr>
          <w:noProof/>
          <w:color w:val="000000"/>
          <w:sz w:val="27"/>
          <w:szCs w:val="27"/>
          <w:lang w:bidi="bn-IN"/>
        </w:rPr>
        <w:lastRenderedPageBreak/>
        <w:drawing>
          <wp:anchor distT="0" distB="0" distL="114300" distR="114300" simplePos="0" relativeHeight="251671552" behindDoc="0" locked="0" layoutInCell="1" allowOverlap="1" wp14:anchorId="6DB3F70D" wp14:editId="0D8F8859">
            <wp:simplePos x="0" y="0"/>
            <wp:positionH relativeFrom="margin">
              <wp:align>center</wp:align>
            </wp:positionH>
            <wp:positionV relativeFrom="paragraph">
              <wp:posOffset>327660</wp:posOffset>
            </wp:positionV>
            <wp:extent cx="3733800" cy="2541270"/>
            <wp:effectExtent l="0" t="0" r="0" b="0"/>
            <wp:wrapTopAndBottom/>
            <wp:docPr id="1563911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911049" name=""/>
                    <pic:cNvPicPr/>
                  </pic:nvPicPr>
                  <pic:blipFill>
                    <a:blip r:embed="rId15"/>
                    <a:stretch>
                      <a:fillRect/>
                    </a:stretch>
                  </pic:blipFill>
                  <pic:spPr>
                    <a:xfrm>
                      <a:off x="0" y="0"/>
                      <a:ext cx="3733800" cy="2541270"/>
                    </a:xfrm>
                    <a:prstGeom prst="rect">
                      <a:avLst/>
                    </a:prstGeom>
                  </pic:spPr>
                </pic:pic>
              </a:graphicData>
            </a:graphic>
            <wp14:sizeRelH relativeFrom="margin">
              <wp14:pctWidth>0</wp14:pctWidth>
            </wp14:sizeRelH>
            <wp14:sizeRelV relativeFrom="margin">
              <wp14:pctHeight>0</wp14:pctHeight>
            </wp14:sizeRelV>
          </wp:anchor>
        </w:drawing>
      </w:r>
      <w:r w:rsidR="000E0806" w:rsidRPr="000E0806">
        <w:rPr>
          <w:lang w:bidi="bn-IN"/>
        </w:rPr>
        <w:t>Risk Analysis</w:t>
      </w:r>
      <w:bookmarkEnd w:id="8"/>
    </w:p>
    <w:p w14:paraId="3447C9C6" w14:textId="2FAB6C4A" w:rsidR="004B1397" w:rsidRPr="000E0806" w:rsidRDefault="007B66DD" w:rsidP="008B551B">
      <w:pPr>
        <w:jc w:val="center"/>
      </w:pPr>
      <w:r>
        <w:rPr>
          <w:i/>
          <w:sz w:val="18"/>
        </w:rPr>
        <w:t xml:space="preserve">Figure </w:t>
      </w:r>
      <w:r w:rsidR="00391C27">
        <w:rPr>
          <w:i/>
          <w:sz w:val="18"/>
        </w:rPr>
        <w:t>6</w:t>
      </w:r>
      <w:r>
        <w:rPr>
          <w:i/>
          <w:sz w:val="18"/>
        </w:rPr>
        <w:t>. 3×3 risk heat map. Added Part C scores are academic planning assessments (</w:t>
      </w:r>
      <w:r w:rsidR="008B551B" w:rsidRPr="008B551B">
        <w:rPr>
          <w:i/>
          <w:sz w:val="18"/>
        </w:rPr>
        <w:t>Ward and Chapman</w:t>
      </w:r>
      <w:r w:rsidR="008B551B">
        <w:rPr>
          <w:i/>
          <w:sz w:val="18"/>
        </w:rPr>
        <w:t xml:space="preserve">, </w:t>
      </w:r>
      <w:r w:rsidR="008B551B" w:rsidRPr="008B551B">
        <w:rPr>
          <w:i/>
          <w:sz w:val="18"/>
        </w:rPr>
        <w:t>2003</w:t>
      </w:r>
      <w:r w:rsidR="008B551B">
        <w:rPr>
          <w:i/>
          <w:sz w:val="18"/>
        </w:rPr>
        <w:t>)</w:t>
      </w:r>
      <w:r>
        <w:rPr>
          <w:i/>
          <w:sz w:val="18"/>
        </w:rPr>
        <w:t>.</w:t>
      </w:r>
    </w:p>
    <w:p w14:paraId="03CF8C5B" w14:textId="043F72A1" w:rsidR="008B551B" w:rsidRDefault="00511E2C" w:rsidP="008B551B">
      <w:pPr>
        <w:rPr>
          <w:color w:val="000000"/>
          <w:szCs w:val="24"/>
          <w:lang w:bidi="bn-IN"/>
        </w:rPr>
      </w:pPr>
      <w:r w:rsidRPr="00511E2C">
        <w:rPr>
          <w:color w:val="000000"/>
          <w:szCs w:val="24"/>
          <w:lang w:bidi="bn-IN"/>
        </w:rPr>
        <w:t xml:space="preserve">The best risk control is when cause, event, effect, owner, response and remaining exposure are recorded in the register. Passenger disruption is the most likely and most impactful Part A risk with a Score of 9 for likelihood and 9 for impact. The reason is live construction around the passenger routes. The event is </w:t>
      </w:r>
      <w:r w:rsidR="00391C27">
        <w:rPr>
          <w:color w:val="000000"/>
          <w:szCs w:val="24"/>
          <w:lang w:bidi="bn-IN"/>
        </w:rPr>
        <w:t xml:space="preserve">a </w:t>
      </w:r>
      <w:r w:rsidRPr="00511E2C">
        <w:rPr>
          <w:color w:val="000000"/>
          <w:szCs w:val="24"/>
          <w:lang w:bidi="bn-IN"/>
        </w:rPr>
        <w:t>blocked, changed or overloaded route. It can cause crowding, missed connections and operator pressure. The primary controls are protected routes, clear signage and real-time updates, phased work and planned possessions. The station is still in operation</w:t>
      </w:r>
      <w:r w:rsidR="00391C27">
        <w:rPr>
          <w:color w:val="000000"/>
          <w:szCs w:val="24"/>
          <w:lang w:bidi="bn-IN"/>
        </w:rPr>
        <w:t>,</w:t>
      </w:r>
      <w:r w:rsidRPr="00511E2C">
        <w:rPr>
          <w:color w:val="000000"/>
          <w:szCs w:val="24"/>
          <w:lang w:bidi="bn-IN"/>
        </w:rPr>
        <w:t xml:space="preserve"> and this is a high-risk </w:t>
      </w:r>
      <w:r w:rsidR="00391C27">
        <w:rPr>
          <w:color w:val="000000"/>
          <w:szCs w:val="24"/>
          <w:lang w:bidi="bn-IN"/>
        </w:rPr>
        <w:t xml:space="preserve">event </w:t>
      </w:r>
      <w:r w:rsidRPr="00511E2C">
        <w:rPr>
          <w:color w:val="000000"/>
          <w:szCs w:val="24"/>
          <w:lang w:bidi="bn-IN"/>
        </w:rPr>
        <w:t>even following the control.</w:t>
      </w:r>
      <w:r w:rsidR="008B551B">
        <w:rPr>
          <w:color w:val="000000"/>
          <w:szCs w:val="24"/>
          <w:lang w:bidi="bn-IN"/>
        </w:rPr>
        <w:t xml:space="preserve"> </w:t>
      </w:r>
      <w:r w:rsidRPr="00511E2C">
        <w:rPr>
          <w:color w:val="000000"/>
          <w:szCs w:val="24"/>
          <w:lang w:bidi="bn-IN"/>
        </w:rPr>
        <w:t xml:space="preserve">Cost inflation scores 6. Market testing, Package forecasts, procurement timing and controlled contingency are appropriate responses. Approval delay and failure of the digital each earn 4 points. Approval risk requires an approval tracker, early contact with the regulator and decision gates. </w:t>
      </w:r>
    </w:p>
    <w:p w14:paraId="4BF0DCA3" w14:textId="664645BC" w:rsidR="008B551B" w:rsidRPr="008B551B" w:rsidRDefault="00511E2C" w:rsidP="008B551B">
      <w:pPr>
        <w:rPr>
          <w:color w:val="000000"/>
          <w:szCs w:val="24"/>
          <w:lang w:bidi="bn-IN"/>
        </w:rPr>
      </w:pPr>
      <w:r w:rsidRPr="00511E2C">
        <w:rPr>
          <w:color w:val="000000"/>
          <w:szCs w:val="24"/>
          <w:lang w:bidi="bn-IN"/>
        </w:rPr>
        <w:t>Failure of digital infrastructure requires prototyping, testing interfaces and phased commissioning. Safety incident: Likelihood is low, impact is high (scored as 3). Permits, inspections, safe systems of work and CDM controls should therefore remain in place at the lower of the score.</w:t>
      </w:r>
      <w:r w:rsidR="008B551B">
        <w:rPr>
          <w:color w:val="000000"/>
          <w:szCs w:val="24"/>
          <w:lang w:bidi="bn-IN"/>
        </w:rPr>
        <w:t xml:space="preserve"> </w:t>
      </w:r>
      <w:r w:rsidRPr="00511E2C">
        <w:rPr>
          <w:color w:val="000000"/>
          <w:szCs w:val="24"/>
          <w:lang w:bidi="bn-IN"/>
        </w:rPr>
        <w:t xml:space="preserve">As a direct consequence of this project setting, it seems scope growth, a rail possession conflict, and accessibility design failure should be added as planning risks to Part C. The extra scores are academic scores and are clearly marked. Ward and Chapman (2003) propose that uncertainty should be managed in the broader context, rather than just a short list of risks. Another finding is that the risk process can incorporate opportunities (Hillson, 2002). Possession/related renewal work can minimise re-disruption if interfaces and responsibilities are set early in the process. The current exposure and residual exposure after controls </w:t>
      </w:r>
      <w:r w:rsidR="00391C27">
        <w:rPr>
          <w:color w:val="000000"/>
          <w:szCs w:val="24"/>
          <w:lang w:bidi="bn-IN"/>
        </w:rPr>
        <w:t>are</w:t>
      </w:r>
      <w:r w:rsidRPr="00511E2C">
        <w:rPr>
          <w:color w:val="000000"/>
          <w:szCs w:val="24"/>
          <w:lang w:bidi="bn-IN"/>
        </w:rPr>
        <w:t xml:space="preserve"> therefore shown in </w:t>
      </w:r>
      <w:r w:rsidR="00391C27">
        <w:rPr>
          <w:color w:val="000000"/>
          <w:szCs w:val="24"/>
          <w:lang w:bidi="bn-IN"/>
        </w:rPr>
        <w:t>F</w:t>
      </w:r>
      <w:r w:rsidRPr="00511E2C">
        <w:rPr>
          <w:color w:val="000000"/>
          <w:szCs w:val="24"/>
          <w:lang w:bidi="bn-IN"/>
        </w:rPr>
        <w:t>igure 7 and thus in the risk register. Any risks above the agreed level of tolerance should not go through a stage gate without an action owner</w:t>
      </w:r>
      <w:r w:rsidR="008B551B">
        <w:rPr>
          <w:color w:val="000000"/>
          <w:szCs w:val="24"/>
          <w:lang w:bidi="bn-IN"/>
        </w:rPr>
        <w:t>.</w:t>
      </w:r>
    </w:p>
    <w:p w14:paraId="518E939D" w14:textId="5B46F34E" w:rsidR="000E0806" w:rsidRPr="000E0806" w:rsidRDefault="000E0806" w:rsidP="008B551B">
      <w:pPr>
        <w:pStyle w:val="Heading1"/>
        <w:spacing w:before="0"/>
        <w:rPr>
          <w:color w:val="000000"/>
          <w:sz w:val="27"/>
          <w:szCs w:val="27"/>
          <w:lang w:bidi="bn-IN"/>
        </w:rPr>
      </w:pPr>
      <w:bookmarkStart w:id="9" w:name="_Toc237634531"/>
      <w:r w:rsidRPr="000E0806">
        <w:rPr>
          <w:lang w:bidi="bn-IN"/>
        </w:rPr>
        <w:lastRenderedPageBreak/>
        <w:t>Conclusion</w:t>
      </w:r>
      <w:bookmarkEnd w:id="9"/>
    </w:p>
    <w:p w14:paraId="1184CD6E" w14:textId="372E9934" w:rsidR="000E0806" w:rsidRDefault="00511E2C" w:rsidP="008B551B">
      <w:pPr>
        <w:rPr>
          <w:lang w:bidi="bn-IN"/>
        </w:rPr>
      </w:pPr>
      <w:r w:rsidRPr="00511E2C">
        <w:rPr>
          <w:color w:val="000000"/>
          <w:szCs w:val="24"/>
          <w:lang w:bidi="bn-IN"/>
        </w:rPr>
        <w:t>The plan is still feasible</w:t>
      </w:r>
      <w:r w:rsidR="00391C27">
        <w:rPr>
          <w:color w:val="000000"/>
          <w:szCs w:val="24"/>
          <w:lang w:bidi="bn-IN"/>
        </w:rPr>
        <w:t>,</w:t>
      </w:r>
      <w:r w:rsidRPr="00511E2C">
        <w:rPr>
          <w:color w:val="000000"/>
          <w:szCs w:val="24"/>
          <w:lang w:bidi="bn-IN"/>
        </w:rPr>
        <w:t xml:space="preserve"> but if it is to be carried out, it requires firm control. The 27.4M station entries and exits make it clear that continuity needs to be at the core of every delivery decision. As well as the £7.9 million for the corridor renewal, the asset work is already relevant around Piccadilly. The academic course offers a planning test of the 60-month course, and the working envelope of £862.5m is an approved promise, not a planning test. Delivery should, therefore, follow a phased construction, be controlled by scope, defined through a stage gate, and have a changing plan of stakeholders, WBS-based resources and a named risk owner. The key takeaway is that the tools need to be used in conjunction with each other. A WBS with no resources is not deliverable, a Gantt chart with no dependencies is not able to influence delay, and a risk register with no ownership is not able to reduce risk exposure. This holistic, comprehensive approach provides the best foundation for a safe, accessible, low</w:t>
      </w:r>
      <w:r w:rsidR="00391C27">
        <w:rPr>
          <w:color w:val="000000"/>
          <w:szCs w:val="24"/>
          <w:lang w:bidi="bn-IN"/>
        </w:rPr>
        <w:t>-</w:t>
      </w:r>
      <w:r w:rsidRPr="00511E2C">
        <w:rPr>
          <w:color w:val="000000"/>
          <w:szCs w:val="24"/>
          <w:lang w:bidi="bn-IN"/>
        </w:rPr>
        <w:t>carbon, digital and multimodal regeneration in reality.</w:t>
      </w:r>
      <w:r w:rsidR="000E0806">
        <w:rPr>
          <w:lang w:bidi="bn-IN"/>
        </w:rPr>
        <w:br w:type="page"/>
      </w:r>
    </w:p>
    <w:p w14:paraId="54A23F1E" w14:textId="348FF3B2" w:rsidR="000E0806" w:rsidRPr="000E0806" w:rsidRDefault="000E0806" w:rsidP="008B551B">
      <w:pPr>
        <w:pStyle w:val="Heading1"/>
        <w:spacing w:before="0"/>
        <w:rPr>
          <w:color w:val="000000"/>
          <w:sz w:val="27"/>
          <w:szCs w:val="27"/>
          <w:lang w:bidi="bn-IN"/>
        </w:rPr>
      </w:pPr>
      <w:bookmarkStart w:id="10" w:name="_Toc237634532"/>
      <w:r w:rsidRPr="000E0806">
        <w:rPr>
          <w:lang w:bidi="bn-IN"/>
        </w:rPr>
        <w:lastRenderedPageBreak/>
        <w:t>References</w:t>
      </w:r>
      <w:bookmarkEnd w:id="10"/>
    </w:p>
    <w:p w14:paraId="27C5E8AD" w14:textId="77777777" w:rsidR="0088185E" w:rsidRPr="0088185E" w:rsidRDefault="000E0806" w:rsidP="008B551B">
      <w:pPr>
        <w:pStyle w:val="pdq2pgselectionanchorcontainer"/>
        <w:spacing w:before="0" w:beforeAutospacing="0" w:after="0" w:afterAutospacing="0" w:line="360" w:lineRule="auto"/>
        <w:ind w:left="720" w:hanging="720"/>
        <w:jc w:val="both"/>
      </w:pPr>
      <w:r w:rsidRPr="0088185E">
        <w:rPr>
          <w:color w:val="000000"/>
        </w:rPr>
        <w:t xml:space="preserve">Aaltonen, K. and Kujala, J. (2010) ‘A project lifecycle perspective on stakeholder influence strategies in global projects’, </w:t>
      </w:r>
      <w:r w:rsidR="0088185E" w:rsidRPr="0088185E">
        <w:t xml:space="preserve">Aaltonen, K. and Kujala, J. (2010) 'A project lifecycle perspective on stakeholder influence strategies in global projects', </w:t>
      </w:r>
      <w:r w:rsidR="0088185E" w:rsidRPr="0088185E">
        <w:rPr>
          <w:i/>
          <w:iCs/>
        </w:rPr>
        <w:t>Scandinavian Journal of Management</w:t>
      </w:r>
      <w:r w:rsidR="0088185E" w:rsidRPr="0088185E">
        <w:t>, 26(4), pp. 381–397.</w:t>
      </w:r>
    </w:p>
    <w:p w14:paraId="6E7C07CA" w14:textId="77777777" w:rsidR="0088185E" w:rsidRPr="0088185E" w:rsidRDefault="0088185E" w:rsidP="008B551B">
      <w:pPr>
        <w:widowControl/>
        <w:autoSpaceDE/>
        <w:autoSpaceDN/>
        <w:ind w:left="720" w:hanging="720"/>
        <w:rPr>
          <w:szCs w:val="24"/>
          <w:lang w:bidi="bn-IN"/>
        </w:rPr>
      </w:pPr>
      <w:r w:rsidRPr="0088185E">
        <w:rPr>
          <w:szCs w:val="24"/>
          <w:lang w:bidi="bn-IN"/>
        </w:rPr>
        <w:t xml:space="preserve">Association for Project Management (APM) (2025) </w:t>
      </w:r>
      <w:r w:rsidRPr="0088185E">
        <w:rPr>
          <w:i/>
          <w:iCs/>
          <w:szCs w:val="24"/>
          <w:lang w:bidi="bn-IN"/>
        </w:rPr>
        <w:t>APM Body of Knowledge</w:t>
      </w:r>
      <w:r w:rsidRPr="0088185E">
        <w:rPr>
          <w:szCs w:val="24"/>
          <w:lang w:bidi="bn-IN"/>
        </w:rPr>
        <w:t>. 8th edn. Princes Risborough: Association for Project Management.</w:t>
      </w:r>
    </w:p>
    <w:p w14:paraId="2743D382" w14:textId="77777777" w:rsidR="0088185E" w:rsidRPr="0088185E" w:rsidRDefault="0088185E" w:rsidP="008B551B">
      <w:pPr>
        <w:widowControl/>
        <w:autoSpaceDE/>
        <w:autoSpaceDN/>
        <w:ind w:left="720" w:hanging="720"/>
        <w:rPr>
          <w:szCs w:val="24"/>
          <w:lang w:bidi="bn-IN"/>
        </w:rPr>
      </w:pPr>
      <w:r w:rsidRPr="0088185E">
        <w:rPr>
          <w:szCs w:val="24"/>
          <w:lang w:bidi="bn-IN"/>
        </w:rPr>
        <w:t xml:space="preserve">Department for Transport (DfT) (2026) </w:t>
      </w:r>
      <w:r w:rsidRPr="0088185E">
        <w:rPr>
          <w:i/>
          <w:iCs/>
          <w:szCs w:val="24"/>
          <w:lang w:bidi="bn-IN"/>
        </w:rPr>
        <w:t>North West to Benefit from Multi-Billion-Pound Rail Investment</w:t>
      </w:r>
      <w:r w:rsidRPr="0088185E">
        <w:rPr>
          <w:szCs w:val="24"/>
          <w:lang w:bidi="bn-IN"/>
        </w:rPr>
        <w:t>. London: Department for Transport.</w:t>
      </w:r>
    </w:p>
    <w:p w14:paraId="7015F744" w14:textId="77777777" w:rsidR="0088185E" w:rsidRPr="0088185E" w:rsidRDefault="0088185E" w:rsidP="008B551B">
      <w:pPr>
        <w:widowControl/>
        <w:autoSpaceDE/>
        <w:autoSpaceDN/>
        <w:ind w:left="720" w:hanging="720"/>
        <w:rPr>
          <w:szCs w:val="24"/>
          <w:lang w:bidi="bn-IN"/>
        </w:rPr>
      </w:pPr>
      <w:r w:rsidRPr="0088185E">
        <w:rPr>
          <w:szCs w:val="24"/>
          <w:lang w:bidi="bn-IN"/>
        </w:rPr>
        <w:t xml:space="preserve">Flyvbjerg, B., Holm, M.S. and Buhl, S. (2002) 'Underestimating costs in public works projects: Error or lie?', </w:t>
      </w:r>
      <w:r w:rsidRPr="0088185E">
        <w:rPr>
          <w:i/>
          <w:iCs/>
          <w:szCs w:val="24"/>
          <w:lang w:bidi="bn-IN"/>
        </w:rPr>
        <w:t>Journal of the American Planning Association</w:t>
      </w:r>
      <w:r w:rsidRPr="0088185E">
        <w:rPr>
          <w:szCs w:val="24"/>
          <w:lang w:bidi="bn-IN"/>
        </w:rPr>
        <w:t>, 68(3), pp. 279–295.</w:t>
      </w:r>
    </w:p>
    <w:p w14:paraId="15BBF221" w14:textId="77777777" w:rsidR="0088185E" w:rsidRPr="0088185E" w:rsidRDefault="0088185E" w:rsidP="008B551B">
      <w:pPr>
        <w:widowControl/>
        <w:autoSpaceDE/>
        <w:autoSpaceDN/>
        <w:ind w:left="720" w:hanging="720"/>
        <w:rPr>
          <w:szCs w:val="24"/>
          <w:lang w:bidi="bn-IN"/>
        </w:rPr>
      </w:pPr>
      <w:r w:rsidRPr="0088185E">
        <w:rPr>
          <w:szCs w:val="24"/>
          <w:lang w:bidi="bn-IN"/>
        </w:rPr>
        <w:t xml:space="preserve">Hillson, D. (2002) 'Extending the risk process to manage opportunities', </w:t>
      </w:r>
      <w:r w:rsidRPr="0088185E">
        <w:rPr>
          <w:i/>
          <w:iCs/>
          <w:szCs w:val="24"/>
          <w:lang w:bidi="bn-IN"/>
        </w:rPr>
        <w:t>International Journal of Project Management</w:t>
      </w:r>
      <w:r w:rsidRPr="0088185E">
        <w:rPr>
          <w:szCs w:val="24"/>
          <w:lang w:bidi="bn-IN"/>
        </w:rPr>
        <w:t>, 20(3), pp. 235–240.</w:t>
      </w:r>
    </w:p>
    <w:p w14:paraId="66448A5E" w14:textId="77777777" w:rsidR="0088185E" w:rsidRPr="0088185E" w:rsidRDefault="0088185E" w:rsidP="008B551B">
      <w:pPr>
        <w:widowControl/>
        <w:autoSpaceDE/>
        <w:autoSpaceDN/>
        <w:ind w:left="720" w:hanging="720"/>
        <w:rPr>
          <w:szCs w:val="24"/>
          <w:lang w:bidi="bn-IN"/>
        </w:rPr>
      </w:pPr>
      <w:r w:rsidRPr="0088185E">
        <w:rPr>
          <w:szCs w:val="24"/>
          <w:lang w:bidi="bn-IN"/>
        </w:rPr>
        <w:t xml:space="preserve">International Organization for Standardization (ISO) (2020) </w:t>
      </w:r>
      <w:r w:rsidRPr="0088185E">
        <w:rPr>
          <w:i/>
          <w:iCs/>
          <w:szCs w:val="24"/>
          <w:lang w:bidi="bn-IN"/>
        </w:rPr>
        <w:t>ISO 21502:2020 Project, Programme and Portfolio Management—Guidance on Project Management</w:t>
      </w:r>
      <w:r w:rsidRPr="0088185E">
        <w:rPr>
          <w:szCs w:val="24"/>
          <w:lang w:bidi="bn-IN"/>
        </w:rPr>
        <w:t>. Geneva: International Organization for Standardization.</w:t>
      </w:r>
    </w:p>
    <w:p w14:paraId="6E7D22B2" w14:textId="77777777" w:rsidR="0088185E" w:rsidRPr="0088185E" w:rsidRDefault="0088185E" w:rsidP="008B551B">
      <w:pPr>
        <w:widowControl/>
        <w:autoSpaceDE/>
        <w:autoSpaceDN/>
        <w:ind w:left="720" w:hanging="720"/>
        <w:rPr>
          <w:szCs w:val="24"/>
          <w:lang w:bidi="bn-IN"/>
        </w:rPr>
      </w:pPr>
      <w:r w:rsidRPr="0088185E">
        <w:rPr>
          <w:szCs w:val="24"/>
          <w:lang w:bidi="bn-IN"/>
        </w:rPr>
        <w:t xml:space="preserve">Joslin, R. and Müller, R. (2015) 'Relationships between a project management methodology and project success in different project governance contexts', </w:t>
      </w:r>
      <w:r w:rsidRPr="0088185E">
        <w:rPr>
          <w:i/>
          <w:iCs/>
          <w:szCs w:val="24"/>
          <w:lang w:bidi="bn-IN"/>
        </w:rPr>
        <w:t>International Journal of Project Management</w:t>
      </w:r>
      <w:r w:rsidRPr="0088185E">
        <w:rPr>
          <w:szCs w:val="24"/>
          <w:lang w:bidi="bn-IN"/>
        </w:rPr>
        <w:t>, 33(6), pp. 1377–1392.</w:t>
      </w:r>
    </w:p>
    <w:p w14:paraId="51A8EBBE" w14:textId="77777777" w:rsidR="0088185E" w:rsidRPr="0088185E" w:rsidRDefault="0088185E" w:rsidP="008B551B">
      <w:pPr>
        <w:widowControl/>
        <w:autoSpaceDE/>
        <w:autoSpaceDN/>
        <w:ind w:left="720" w:hanging="720"/>
        <w:rPr>
          <w:szCs w:val="24"/>
          <w:lang w:bidi="bn-IN"/>
        </w:rPr>
      </w:pPr>
      <w:r w:rsidRPr="0088185E">
        <w:rPr>
          <w:szCs w:val="24"/>
          <w:lang w:bidi="bn-IN"/>
        </w:rPr>
        <w:t xml:space="preserve">Network Rail (2026) </w:t>
      </w:r>
      <w:r w:rsidRPr="0088185E">
        <w:rPr>
          <w:i/>
          <w:iCs/>
          <w:szCs w:val="24"/>
          <w:lang w:bidi="bn-IN"/>
        </w:rPr>
        <w:t>Piccadilly Corridor Renewal</w:t>
      </w:r>
      <w:r w:rsidRPr="0088185E">
        <w:rPr>
          <w:szCs w:val="24"/>
          <w:lang w:bidi="bn-IN"/>
        </w:rPr>
        <w:t>. London: Network Rail.</w:t>
      </w:r>
    </w:p>
    <w:p w14:paraId="5868B336" w14:textId="77777777" w:rsidR="0088185E" w:rsidRPr="0088185E" w:rsidRDefault="0088185E" w:rsidP="008B551B">
      <w:pPr>
        <w:widowControl/>
        <w:autoSpaceDE/>
        <w:autoSpaceDN/>
        <w:ind w:left="720" w:hanging="720"/>
        <w:rPr>
          <w:szCs w:val="24"/>
          <w:lang w:bidi="bn-IN"/>
        </w:rPr>
      </w:pPr>
      <w:r w:rsidRPr="0088185E">
        <w:rPr>
          <w:szCs w:val="24"/>
          <w:lang w:bidi="bn-IN"/>
        </w:rPr>
        <w:t xml:space="preserve">Office of Rail and Road (ORR) (2025) </w:t>
      </w:r>
      <w:r w:rsidRPr="0088185E">
        <w:rPr>
          <w:i/>
          <w:iCs/>
          <w:szCs w:val="24"/>
          <w:lang w:bidi="bn-IN"/>
        </w:rPr>
        <w:t>Estimates of Station Usage 2024–25</w:t>
      </w:r>
      <w:r w:rsidRPr="0088185E">
        <w:rPr>
          <w:szCs w:val="24"/>
          <w:lang w:bidi="bn-IN"/>
        </w:rPr>
        <w:t>. London: Office of Rail and Road.</w:t>
      </w:r>
    </w:p>
    <w:p w14:paraId="43AFFAA1" w14:textId="77777777" w:rsidR="0088185E" w:rsidRPr="0088185E" w:rsidRDefault="0088185E" w:rsidP="008B551B">
      <w:pPr>
        <w:widowControl/>
        <w:autoSpaceDE/>
        <w:autoSpaceDN/>
        <w:ind w:left="720" w:hanging="720"/>
        <w:rPr>
          <w:szCs w:val="24"/>
          <w:lang w:bidi="bn-IN"/>
        </w:rPr>
      </w:pPr>
      <w:r w:rsidRPr="0088185E">
        <w:rPr>
          <w:szCs w:val="24"/>
          <w:lang w:bidi="bn-IN"/>
        </w:rPr>
        <w:t xml:space="preserve">Olander, S. (2007) 'Stakeholder impact analysis in construction project management', </w:t>
      </w:r>
      <w:r w:rsidRPr="0088185E">
        <w:rPr>
          <w:i/>
          <w:iCs/>
          <w:szCs w:val="24"/>
          <w:lang w:bidi="bn-IN"/>
        </w:rPr>
        <w:t>Construction Management and Economics</w:t>
      </w:r>
      <w:r w:rsidRPr="0088185E">
        <w:rPr>
          <w:szCs w:val="24"/>
          <w:lang w:bidi="bn-IN"/>
        </w:rPr>
        <w:t>, 25(3), pp. 277–287.</w:t>
      </w:r>
    </w:p>
    <w:p w14:paraId="512ECE6D" w14:textId="77777777" w:rsidR="0088185E" w:rsidRPr="0088185E" w:rsidRDefault="0088185E" w:rsidP="008B551B">
      <w:pPr>
        <w:widowControl/>
        <w:autoSpaceDE/>
        <w:autoSpaceDN/>
        <w:ind w:left="720" w:hanging="720"/>
        <w:rPr>
          <w:szCs w:val="24"/>
          <w:lang w:bidi="bn-IN"/>
        </w:rPr>
      </w:pPr>
      <w:r w:rsidRPr="0088185E">
        <w:rPr>
          <w:szCs w:val="24"/>
          <w:lang w:bidi="bn-IN"/>
        </w:rPr>
        <w:t xml:space="preserve">Project Management Institute (PMI) (2021) </w:t>
      </w:r>
      <w:r w:rsidRPr="0088185E">
        <w:rPr>
          <w:i/>
          <w:iCs/>
          <w:szCs w:val="24"/>
          <w:lang w:bidi="bn-IN"/>
        </w:rPr>
        <w:t>A Guide to the Project Management Body of Knowledge (PMBOK® Guide) and The Standard for Project Management</w:t>
      </w:r>
      <w:r w:rsidRPr="0088185E">
        <w:rPr>
          <w:szCs w:val="24"/>
          <w:lang w:bidi="bn-IN"/>
        </w:rPr>
        <w:t>. 7th edn. Newtown Square, PA: Project Management Institute.</w:t>
      </w:r>
    </w:p>
    <w:p w14:paraId="0BB20092" w14:textId="77777777" w:rsidR="0088185E" w:rsidRPr="0088185E" w:rsidRDefault="0088185E" w:rsidP="008B551B">
      <w:pPr>
        <w:widowControl/>
        <w:autoSpaceDE/>
        <w:autoSpaceDN/>
        <w:ind w:left="720" w:hanging="720"/>
        <w:rPr>
          <w:szCs w:val="24"/>
          <w:lang w:bidi="bn-IN"/>
        </w:rPr>
      </w:pPr>
      <w:r w:rsidRPr="0088185E">
        <w:rPr>
          <w:szCs w:val="24"/>
          <w:lang w:bidi="bn-IN"/>
        </w:rPr>
        <w:t xml:space="preserve">Serra, C.E.M. and Kunc, M. (2015) 'Benefits realisation management and its influence on project success and on the execution of business strategies', </w:t>
      </w:r>
      <w:r w:rsidRPr="0088185E">
        <w:rPr>
          <w:i/>
          <w:iCs/>
          <w:szCs w:val="24"/>
          <w:lang w:bidi="bn-IN"/>
        </w:rPr>
        <w:t>International Journal of Project Management</w:t>
      </w:r>
      <w:r w:rsidRPr="0088185E">
        <w:rPr>
          <w:szCs w:val="24"/>
          <w:lang w:bidi="bn-IN"/>
        </w:rPr>
        <w:t>, 33(1), pp. 53–66.</w:t>
      </w:r>
    </w:p>
    <w:p w14:paraId="46CC93C4" w14:textId="77777777" w:rsidR="0088185E" w:rsidRPr="0088185E" w:rsidRDefault="0088185E" w:rsidP="008B551B">
      <w:pPr>
        <w:widowControl/>
        <w:autoSpaceDE/>
        <w:autoSpaceDN/>
        <w:ind w:left="720" w:hanging="720"/>
        <w:rPr>
          <w:szCs w:val="24"/>
          <w:lang w:bidi="bn-IN"/>
        </w:rPr>
      </w:pPr>
      <w:r w:rsidRPr="0088185E">
        <w:rPr>
          <w:szCs w:val="24"/>
          <w:lang w:bidi="bn-IN"/>
        </w:rPr>
        <w:t xml:space="preserve">Too, E.G. and Weaver, P. (2014) 'The management of project management: A conceptual framework for project governance', </w:t>
      </w:r>
      <w:r w:rsidRPr="0088185E">
        <w:rPr>
          <w:i/>
          <w:iCs/>
          <w:szCs w:val="24"/>
          <w:lang w:bidi="bn-IN"/>
        </w:rPr>
        <w:t>International Journal of Project Management</w:t>
      </w:r>
      <w:r w:rsidRPr="0088185E">
        <w:rPr>
          <w:szCs w:val="24"/>
          <w:lang w:bidi="bn-IN"/>
        </w:rPr>
        <w:t>, 32(8), pp. 1382–1394.</w:t>
      </w:r>
    </w:p>
    <w:p w14:paraId="314D9EEB" w14:textId="77777777" w:rsidR="0088185E" w:rsidRPr="0088185E" w:rsidRDefault="0088185E" w:rsidP="008B551B">
      <w:pPr>
        <w:widowControl/>
        <w:autoSpaceDE/>
        <w:autoSpaceDN/>
        <w:ind w:left="720" w:hanging="720"/>
        <w:rPr>
          <w:szCs w:val="24"/>
          <w:lang w:bidi="bn-IN"/>
        </w:rPr>
      </w:pPr>
      <w:r w:rsidRPr="0088185E">
        <w:rPr>
          <w:szCs w:val="24"/>
          <w:lang w:bidi="bn-IN"/>
        </w:rPr>
        <w:lastRenderedPageBreak/>
        <w:t xml:space="preserve">Ward, S. and Chapman, C. (2003) 'Transforming project risk management into project uncertainty management', </w:t>
      </w:r>
      <w:r w:rsidRPr="0088185E">
        <w:rPr>
          <w:i/>
          <w:iCs/>
          <w:szCs w:val="24"/>
          <w:lang w:bidi="bn-IN"/>
        </w:rPr>
        <w:t>International Journal of Project Management</w:t>
      </w:r>
      <w:r w:rsidRPr="0088185E">
        <w:rPr>
          <w:szCs w:val="24"/>
          <w:lang w:bidi="bn-IN"/>
        </w:rPr>
        <w:t>, 21(2), pp. 97–105.</w:t>
      </w:r>
    </w:p>
    <w:p w14:paraId="09D6799D" w14:textId="77777777" w:rsidR="0088185E" w:rsidRPr="0088185E" w:rsidRDefault="0088185E" w:rsidP="008B551B">
      <w:pPr>
        <w:widowControl/>
        <w:autoSpaceDE/>
        <w:autoSpaceDN/>
        <w:ind w:left="720" w:hanging="720"/>
        <w:rPr>
          <w:szCs w:val="24"/>
          <w:lang w:bidi="bn-IN"/>
        </w:rPr>
      </w:pPr>
      <w:r w:rsidRPr="0088185E">
        <w:rPr>
          <w:szCs w:val="24"/>
          <w:lang w:bidi="bn-IN"/>
        </w:rPr>
        <w:t xml:space="preserve">Yang, J., Shen, G.Q., Ho, M., Drew, D.S. and Xue, X. (2011) 'Stakeholder management in construction: An empirical study to address research gaps in previous studies', </w:t>
      </w:r>
      <w:r w:rsidRPr="0088185E">
        <w:rPr>
          <w:i/>
          <w:iCs/>
          <w:szCs w:val="24"/>
          <w:lang w:bidi="bn-IN"/>
        </w:rPr>
        <w:t>International Journal of Project Management</w:t>
      </w:r>
      <w:r w:rsidRPr="0088185E">
        <w:rPr>
          <w:szCs w:val="24"/>
          <w:lang w:bidi="bn-IN"/>
        </w:rPr>
        <w:t>, 29(7), pp. 900–910.</w:t>
      </w:r>
    </w:p>
    <w:p w14:paraId="7B710991" w14:textId="04042028" w:rsidR="00045061" w:rsidRPr="00BD21C0" w:rsidRDefault="00045061" w:rsidP="008B551B">
      <w:pPr>
        <w:widowControl/>
        <w:shd w:val="clear" w:color="auto" w:fill="FFFFFF"/>
        <w:autoSpaceDE/>
        <w:autoSpaceDN/>
        <w:spacing w:line="240" w:lineRule="auto"/>
        <w:ind w:hanging="403"/>
        <w:jc w:val="left"/>
      </w:pPr>
    </w:p>
    <w:sectPr w:rsidR="00045061" w:rsidRPr="00BD21C0" w:rsidSect="004E5D71">
      <w:footerReference w:type="default" r:id="rId16"/>
      <w:headerReference w:type="first" r:id="rId17"/>
      <w:footerReference w:type="first" r:id="rId18"/>
      <w:pgSz w:w="11906" w:h="16838"/>
      <w:pgMar w:top="1440" w:right="1440" w:bottom="1440" w:left="1440" w:header="669"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AF9D52" w14:textId="77777777" w:rsidR="007F3EE3" w:rsidRDefault="007F3EE3">
      <w:r>
        <w:separator/>
      </w:r>
    </w:p>
  </w:endnote>
  <w:endnote w:type="continuationSeparator" w:id="0">
    <w:p w14:paraId="2E12B957" w14:textId="77777777" w:rsidR="007F3EE3" w:rsidRDefault="007F3E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TimesNewRomanPS-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9350355"/>
      <w:docPartObj>
        <w:docPartGallery w:val="Page Numbers (Bottom of Page)"/>
        <w:docPartUnique/>
      </w:docPartObj>
    </w:sdtPr>
    <w:sdtEndPr>
      <w:rPr>
        <w:color w:val="7F7F7F" w:themeColor="background1" w:themeShade="7F"/>
        <w:spacing w:val="60"/>
      </w:rPr>
    </w:sdtEndPr>
    <w:sdtContent>
      <w:p w14:paraId="04D85BDC" w14:textId="3C3C49F4" w:rsidR="003F6C70" w:rsidRDefault="003F6C7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FCD22E4" w14:textId="77777777" w:rsidR="003F6C70" w:rsidRDefault="003F6C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3968235"/>
      <w:docPartObj>
        <w:docPartGallery w:val="Page Numbers (Bottom of Page)"/>
        <w:docPartUnique/>
      </w:docPartObj>
    </w:sdtPr>
    <w:sdtContent>
      <w:sdt>
        <w:sdtPr>
          <w:id w:val="1728636285"/>
          <w:docPartObj>
            <w:docPartGallery w:val="Page Numbers (Top of Page)"/>
            <w:docPartUnique/>
          </w:docPartObj>
        </w:sdtPr>
        <w:sdtContent>
          <w:p w14:paraId="144E4176" w14:textId="17D6DD42" w:rsidR="00FE6A8C" w:rsidRDefault="00FE6A8C">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D817288" w14:textId="77777777" w:rsidR="004E5D71" w:rsidRDefault="004E5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6994D" w14:textId="77777777" w:rsidR="007F3EE3" w:rsidRDefault="007F3EE3">
      <w:r>
        <w:separator/>
      </w:r>
    </w:p>
  </w:footnote>
  <w:footnote w:type="continuationSeparator" w:id="0">
    <w:p w14:paraId="232A7BD5" w14:textId="77777777" w:rsidR="007F3EE3" w:rsidRDefault="007F3E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2AEE4C" w14:textId="79E2C80B" w:rsidR="009F7333" w:rsidRPr="009037DA" w:rsidRDefault="009F7333" w:rsidP="00A700C7">
    <w:pPr>
      <w:pStyle w:val="Header"/>
      <w:tabs>
        <w:tab w:val="clear" w:pos="4513"/>
        <w:tab w:val="clear" w:pos="9026"/>
        <w:tab w:val="left" w:pos="4200"/>
        <w:tab w:val="left" w:pos="8850"/>
      </w:tabs>
    </w:pPr>
    <w:r w:rsidRPr="009037DA">
      <w:t>  </w:t>
    </w:r>
  </w:p>
</w:hdr>
</file>

<file path=word/intelligence2.xml><?xml version="1.0" encoding="utf-8"?>
<int2:intelligence xmlns:int2="http://schemas.microsoft.com/office/intelligence/2020/intelligence" xmlns:oel="http://schemas.microsoft.com/office/2019/extlst">
  <int2:observations>
    <int2:textHash int2:hashCode="wCHTq0xpdPatvy" int2:id="2NuhmNQl">
      <int2:state int2:value="Rejected" int2:type="spell"/>
    </int2:textHash>
    <int2:textHash int2:hashCode="Y7rxyEYEGk+h8X" int2:id="8y7Q44dO">
      <int2:state int2:value="Rejected" int2:type="spell"/>
    </int2:textHash>
    <int2:textHash int2:hashCode="E40USnUOaG6Jrg" int2:id="99yctvCM">
      <int2:state int2:value="Rejected" int2:type="spell"/>
    </int2:textHash>
    <int2:textHash int2:hashCode="ni8UUdXdlt6RIo" int2:id="bYUttQap">
      <int2:state int2:value="Rejected" int2:type="spell"/>
    </int2:textHash>
    <int2:textHash int2:hashCode="xcgb3EeIup7nN2" int2:id="qVjWh1Mr">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630C7"/>
    <w:multiLevelType w:val="hybridMultilevel"/>
    <w:tmpl w:val="091020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499FD8"/>
    <w:multiLevelType w:val="hybridMultilevel"/>
    <w:tmpl w:val="9280CDF4"/>
    <w:lvl w:ilvl="0" w:tplc="87C4D784">
      <w:start w:val="1"/>
      <w:numFmt w:val="decimal"/>
      <w:lvlText w:val="%1."/>
      <w:lvlJc w:val="left"/>
      <w:pPr>
        <w:ind w:left="720" w:hanging="360"/>
      </w:pPr>
    </w:lvl>
    <w:lvl w:ilvl="1" w:tplc="8F9483F2">
      <w:start w:val="1"/>
      <w:numFmt w:val="lowerLetter"/>
      <w:lvlText w:val="%2."/>
      <w:lvlJc w:val="left"/>
      <w:pPr>
        <w:ind w:left="1440" w:hanging="360"/>
      </w:pPr>
    </w:lvl>
    <w:lvl w:ilvl="2" w:tplc="7C52E866">
      <w:start w:val="1"/>
      <w:numFmt w:val="lowerRoman"/>
      <w:lvlText w:val="%3."/>
      <w:lvlJc w:val="right"/>
      <w:pPr>
        <w:ind w:left="2160" w:hanging="180"/>
      </w:pPr>
    </w:lvl>
    <w:lvl w:ilvl="3" w:tplc="42C04816">
      <w:start w:val="1"/>
      <w:numFmt w:val="decimal"/>
      <w:lvlText w:val="%4."/>
      <w:lvlJc w:val="left"/>
      <w:pPr>
        <w:ind w:left="2880" w:hanging="360"/>
      </w:pPr>
    </w:lvl>
    <w:lvl w:ilvl="4" w:tplc="EE84FA10">
      <w:start w:val="1"/>
      <w:numFmt w:val="lowerLetter"/>
      <w:lvlText w:val="%5."/>
      <w:lvlJc w:val="left"/>
      <w:pPr>
        <w:ind w:left="3600" w:hanging="360"/>
      </w:pPr>
    </w:lvl>
    <w:lvl w:ilvl="5" w:tplc="DDA0E0FA">
      <w:start w:val="1"/>
      <w:numFmt w:val="lowerRoman"/>
      <w:lvlText w:val="%6."/>
      <w:lvlJc w:val="right"/>
      <w:pPr>
        <w:ind w:left="4320" w:hanging="180"/>
      </w:pPr>
    </w:lvl>
    <w:lvl w:ilvl="6" w:tplc="5B566BF4">
      <w:start w:val="1"/>
      <w:numFmt w:val="decimal"/>
      <w:lvlText w:val="%7."/>
      <w:lvlJc w:val="left"/>
      <w:pPr>
        <w:ind w:left="5040" w:hanging="360"/>
      </w:pPr>
    </w:lvl>
    <w:lvl w:ilvl="7" w:tplc="F48AEE02">
      <w:start w:val="1"/>
      <w:numFmt w:val="lowerLetter"/>
      <w:lvlText w:val="%8."/>
      <w:lvlJc w:val="left"/>
      <w:pPr>
        <w:ind w:left="5760" w:hanging="360"/>
      </w:pPr>
    </w:lvl>
    <w:lvl w:ilvl="8" w:tplc="83A6F63A">
      <w:start w:val="1"/>
      <w:numFmt w:val="lowerRoman"/>
      <w:lvlText w:val="%9."/>
      <w:lvlJc w:val="right"/>
      <w:pPr>
        <w:ind w:left="6480" w:hanging="180"/>
      </w:pPr>
    </w:lvl>
  </w:abstractNum>
  <w:abstractNum w:abstractNumId="2" w15:restartNumberingAfterBreak="0">
    <w:nsid w:val="16ED3332"/>
    <w:multiLevelType w:val="hybridMultilevel"/>
    <w:tmpl w:val="74AA1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315EBB"/>
    <w:multiLevelType w:val="hybridMultilevel"/>
    <w:tmpl w:val="E7F4F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272EE0"/>
    <w:multiLevelType w:val="hybridMultilevel"/>
    <w:tmpl w:val="0C74271C"/>
    <w:lvl w:ilvl="0" w:tplc="DE96A18C">
      <w:numFmt w:val="bullet"/>
      <w:lvlText w:val=""/>
      <w:lvlJc w:val="left"/>
      <w:pPr>
        <w:ind w:left="756" w:hanging="396"/>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564750"/>
    <w:multiLevelType w:val="hybridMultilevel"/>
    <w:tmpl w:val="36C80C3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668670E"/>
    <w:multiLevelType w:val="hybridMultilevel"/>
    <w:tmpl w:val="C4825020"/>
    <w:lvl w:ilvl="0" w:tplc="04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613D24DF"/>
    <w:multiLevelType w:val="hybridMultilevel"/>
    <w:tmpl w:val="6AA25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D872374"/>
    <w:multiLevelType w:val="hybridMultilevel"/>
    <w:tmpl w:val="B1E8A5D4"/>
    <w:lvl w:ilvl="0" w:tplc="8B0CE110">
      <w:numFmt w:val="bullet"/>
      <w:lvlText w:val=""/>
      <w:lvlJc w:val="left"/>
      <w:pPr>
        <w:ind w:left="972" w:hanging="612"/>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E340045"/>
    <w:multiLevelType w:val="hybridMultilevel"/>
    <w:tmpl w:val="0BD64B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B9B3B37"/>
    <w:multiLevelType w:val="hybridMultilevel"/>
    <w:tmpl w:val="BECE9A3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229999">
    <w:abstractNumId w:val="1"/>
  </w:num>
  <w:num w:numId="2" w16cid:durableId="17855109">
    <w:abstractNumId w:val="2"/>
  </w:num>
  <w:num w:numId="3" w16cid:durableId="1051416254">
    <w:abstractNumId w:val="4"/>
  </w:num>
  <w:num w:numId="4" w16cid:durableId="461659666">
    <w:abstractNumId w:val="3"/>
  </w:num>
  <w:num w:numId="5" w16cid:durableId="233710940">
    <w:abstractNumId w:val="7"/>
  </w:num>
  <w:num w:numId="6" w16cid:durableId="1044714135">
    <w:abstractNumId w:val="6"/>
  </w:num>
  <w:num w:numId="7" w16cid:durableId="896284701">
    <w:abstractNumId w:val="10"/>
  </w:num>
  <w:num w:numId="8" w16cid:durableId="1015612054">
    <w:abstractNumId w:val="9"/>
  </w:num>
  <w:num w:numId="9" w16cid:durableId="1979921092">
    <w:abstractNumId w:val="8"/>
  </w:num>
  <w:num w:numId="10" w16cid:durableId="1553617773">
    <w:abstractNumId w:val="5"/>
  </w:num>
  <w:num w:numId="11" w16cid:durableId="2116056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QyMzEwszAzMDEyMjJR0lEKTi0uzszPAykwtqwFABWhVKMtAAAA"/>
  </w:docVars>
  <w:rsids>
    <w:rsidRoot w:val="00654A02"/>
    <w:rsid w:val="00000117"/>
    <w:rsid w:val="0000184D"/>
    <w:rsid w:val="0000206A"/>
    <w:rsid w:val="0000588A"/>
    <w:rsid w:val="000065DD"/>
    <w:rsid w:val="00006A11"/>
    <w:rsid w:val="00010631"/>
    <w:rsid w:val="00010CDA"/>
    <w:rsid w:val="000111C5"/>
    <w:rsid w:val="00014FCA"/>
    <w:rsid w:val="0001531E"/>
    <w:rsid w:val="000156C8"/>
    <w:rsid w:val="000164A2"/>
    <w:rsid w:val="000165BC"/>
    <w:rsid w:val="000208A5"/>
    <w:rsid w:val="000218CB"/>
    <w:rsid w:val="00022B5C"/>
    <w:rsid w:val="00023C61"/>
    <w:rsid w:val="00025266"/>
    <w:rsid w:val="0002581C"/>
    <w:rsid w:val="00025ADC"/>
    <w:rsid w:val="00025B64"/>
    <w:rsid w:val="00026C18"/>
    <w:rsid w:val="00027F5F"/>
    <w:rsid w:val="000306BE"/>
    <w:rsid w:val="000324B3"/>
    <w:rsid w:val="00033E4A"/>
    <w:rsid w:val="00034F74"/>
    <w:rsid w:val="00035924"/>
    <w:rsid w:val="00035D31"/>
    <w:rsid w:val="00036A0F"/>
    <w:rsid w:val="0003721B"/>
    <w:rsid w:val="00037CD9"/>
    <w:rsid w:val="00041D92"/>
    <w:rsid w:val="00041ECF"/>
    <w:rsid w:val="00043187"/>
    <w:rsid w:val="00043A87"/>
    <w:rsid w:val="000447FB"/>
    <w:rsid w:val="00045061"/>
    <w:rsid w:val="000458DC"/>
    <w:rsid w:val="00045A55"/>
    <w:rsid w:val="00046256"/>
    <w:rsid w:val="00046DD3"/>
    <w:rsid w:val="00050588"/>
    <w:rsid w:val="00051F60"/>
    <w:rsid w:val="0005260D"/>
    <w:rsid w:val="000535E9"/>
    <w:rsid w:val="00053D17"/>
    <w:rsid w:val="00054532"/>
    <w:rsid w:val="00055186"/>
    <w:rsid w:val="0005558A"/>
    <w:rsid w:val="0005559E"/>
    <w:rsid w:val="0005570F"/>
    <w:rsid w:val="0005596C"/>
    <w:rsid w:val="00055DED"/>
    <w:rsid w:val="00057803"/>
    <w:rsid w:val="00057E7C"/>
    <w:rsid w:val="00060890"/>
    <w:rsid w:val="00061358"/>
    <w:rsid w:val="0006149E"/>
    <w:rsid w:val="00061B9B"/>
    <w:rsid w:val="000636E4"/>
    <w:rsid w:val="000639D5"/>
    <w:rsid w:val="00064355"/>
    <w:rsid w:val="00065BC0"/>
    <w:rsid w:val="00065CDC"/>
    <w:rsid w:val="00066286"/>
    <w:rsid w:val="0006630E"/>
    <w:rsid w:val="00071080"/>
    <w:rsid w:val="000729B2"/>
    <w:rsid w:val="000779BB"/>
    <w:rsid w:val="000802F9"/>
    <w:rsid w:val="00083ABC"/>
    <w:rsid w:val="00092074"/>
    <w:rsid w:val="000949FC"/>
    <w:rsid w:val="00095380"/>
    <w:rsid w:val="000A0325"/>
    <w:rsid w:val="000A037A"/>
    <w:rsid w:val="000A1E7F"/>
    <w:rsid w:val="000A2241"/>
    <w:rsid w:val="000A337C"/>
    <w:rsid w:val="000A44CB"/>
    <w:rsid w:val="000A6CAF"/>
    <w:rsid w:val="000A717C"/>
    <w:rsid w:val="000A7C69"/>
    <w:rsid w:val="000A7FFA"/>
    <w:rsid w:val="000B0BDB"/>
    <w:rsid w:val="000B0D02"/>
    <w:rsid w:val="000B2EBB"/>
    <w:rsid w:val="000B7A48"/>
    <w:rsid w:val="000B7AC6"/>
    <w:rsid w:val="000C0AB0"/>
    <w:rsid w:val="000C1011"/>
    <w:rsid w:val="000C144A"/>
    <w:rsid w:val="000C1E34"/>
    <w:rsid w:val="000C20B5"/>
    <w:rsid w:val="000C33CF"/>
    <w:rsid w:val="000D020E"/>
    <w:rsid w:val="000D0C85"/>
    <w:rsid w:val="000D0EAC"/>
    <w:rsid w:val="000D0FC8"/>
    <w:rsid w:val="000D1483"/>
    <w:rsid w:val="000D1A32"/>
    <w:rsid w:val="000D2C92"/>
    <w:rsid w:val="000D49F4"/>
    <w:rsid w:val="000D6C4B"/>
    <w:rsid w:val="000E02AA"/>
    <w:rsid w:val="000E0806"/>
    <w:rsid w:val="000E10EE"/>
    <w:rsid w:val="000E1B18"/>
    <w:rsid w:val="000E60F7"/>
    <w:rsid w:val="000F02FE"/>
    <w:rsid w:val="000F11B8"/>
    <w:rsid w:val="000F1A96"/>
    <w:rsid w:val="000F1E36"/>
    <w:rsid w:val="000F3980"/>
    <w:rsid w:val="000F3A2D"/>
    <w:rsid w:val="000F6287"/>
    <w:rsid w:val="000F6B6E"/>
    <w:rsid w:val="00100AF0"/>
    <w:rsid w:val="00101D87"/>
    <w:rsid w:val="00102240"/>
    <w:rsid w:val="00104BAE"/>
    <w:rsid w:val="00105201"/>
    <w:rsid w:val="001063ED"/>
    <w:rsid w:val="00107AA0"/>
    <w:rsid w:val="00110A3C"/>
    <w:rsid w:val="00114110"/>
    <w:rsid w:val="0011430B"/>
    <w:rsid w:val="001151C0"/>
    <w:rsid w:val="00117C2F"/>
    <w:rsid w:val="00120896"/>
    <w:rsid w:val="00120C62"/>
    <w:rsid w:val="001241A8"/>
    <w:rsid w:val="001248F2"/>
    <w:rsid w:val="00124EC2"/>
    <w:rsid w:val="00125B66"/>
    <w:rsid w:val="00125DD4"/>
    <w:rsid w:val="0012642F"/>
    <w:rsid w:val="001274D6"/>
    <w:rsid w:val="00130786"/>
    <w:rsid w:val="00130FE9"/>
    <w:rsid w:val="00132D57"/>
    <w:rsid w:val="00134529"/>
    <w:rsid w:val="00136D8C"/>
    <w:rsid w:val="00137063"/>
    <w:rsid w:val="00140206"/>
    <w:rsid w:val="001407C5"/>
    <w:rsid w:val="001420F3"/>
    <w:rsid w:val="00142881"/>
    <w:rsid w:val="0014377D"/>
    <w:rsid w:val="001447EA"/>
    <w:rsid w:val="00146262"/>
    <w:rsid w:val="001472B0"/>
    <w:rsid w:val="001504F3"/>
    <w:rsid w:val="00154087"/>
    <w:rsid w:val="00156129"/>
    <w:rsid w:val="00157C17"/>
    <w:rsid w:val="001614EB"/>
    <w:rsid w:val="001618F6"/>
    <w:rsid w:val="00162EEC"/>
    <w:rsid w:val="001639B6"/>
    <w:rsid w:val="0016566A"/>
    <w:rsid w:val="001661E1"/>
    <w:rsid w:val="001728C1"/>
    <w:rsid w:val="00174C03"/>
    <w:rsid w:val="001774F4"/>
    <w:rsid w:val="001779B4"/>
    <w:rsid w:val="00177F8C"/>
    <w:rsid w:val="001824CB"/>
    <w:rsid w:val="001825A7"/>
    <w:rsid w:val="00182AED"/>
    <w:rsid w:val="00182F95"/>
    <w:rsid w:val="00185240"/>
    <w:rsid w:val="001855F4"/>
    <w:rsid w:val="00192415"/>
    <w:rsid w:val="0019455C"/>
    <w:rsid w:val="0019476F"/>
    <w:rsid w:val="00197A42"/>
    <w:rsid w:val="001A20AC"/>
    <w:rsid w:val="001A31F4"/>
    <w:rsid w:val="001A3B12"/>
    <w:rsid w:val="001A5630"/>
    <w:rsid w:val="001A5FB9"/>
    <w:rsid w:val="001A6440"/>
    <w:rsid w:val="001B3BF4"/>
    <w:rsid w:val="001B579B"/>
    <w:rsid w:val="001B7F94"/>
    <w:rsid w:val="001C082E"/>
    <w:rsid w:val="001C1258"/>
    <w:rsid w:val="001C3164"/>
    <w:rsid w:val="001C4431"/>
    <w:rsid w:val="001C73DB"/>
    <w:rsid w:val="001D09C4"/>
    <w:rsid w:val="001D0B21"/>
    <w:rsid w:val="001D183C"/>
    <w:rsid w:val="001D1884"/>
    <w:rsid w:val="001D2200"/>
    <w:rsid w:val="001D276D"/>
    <w:rsid w:val="001D3874"/>
    <w:rsid w:val="001D6EA1"/>
    <w:rsid w:val="001E02C4"/>
    <w:rsid w:val="001E1525"/>
    <w:rsid w:val="001E50CB"/>
    <w:rsid w:val="001E61EC"/>
    <w:rsid w:val="001E6D6C"/>
    <w:rsid w:val="001F0428"/>
    <w:rsid w:val="001F2108"/>
    <w:rsid w:val="001F4F4D"/>
    <w:rsid w:val="001F61D8"/>
    <w:rsid w:val="001F71C3"/>
    <w:rsid w:val="0020205C"/>
    <w:rsid w:val="00203628"/>
    <w:rsid w:val="002054C0"/>
    <w:rsid w:val="002054DF"/>
    <w:rsid w:val="0020561F"/>
    <w:rsid w:val="00205847"/>
    <w:rsid w:val="002066CC"/>
    <w:rsid w:val="002070E5"/>
    <w:rsid w:val="002078BC"/>
    <w:rsid w:val="00210C47"/>
    <w:rsid w:val="002114EF"/>
    <w:rsid w:val="002115F9"/>
    <w:rsid w:val="002121A6"/>
    <w:rsid w:val="002130DD"/>
    <w:rsid w:val="00213BFA"/>
    <w:rsid w:val="0021407E"/>
    <w:rsid w:val="00214DF4"/>
    <w:rsid w:val="0021513A"/>
    <w:rsid w:val="00222A9E"/>
    <w:rsid w:val="002234C6"/>
    <w:rsid w:val="00223A0B"/>
    <w:rsid w:val="00223F32"/>
    <w:rsid w:val="00226E47"/>
    <w:rsid w:val="00227BCB"/>
    <w:rsid w:val="002347A1"/>
    <w:rsid w:val="00235FF9"/>
    <w:rsid w:val="00236889"/>
    <w:rsid w:val="00236C9E"/>
    <w:rsid w:val="00240098"/>
    <w:rsid w:val="00240700"/>
    <w:rsid w:val="00241580"/>
    <w:rsid w:val="002418FB"/>
    <w:rsid w:val="00244020"/>
    <w:rsid w:val="00244B4A"/>
    <w:rsid w:val="00244E52"/>
    <w:rsid w:val="00245203"/>
    <w:rsid w:val="0024561D"/>
    <w:rsid w:val="002516E4"/>
    <w:rsid w:val="00251BC3"/>
    <w:rsid w:val="00252400"/>
    <w:rsid w:val="00254550"/>
    <w:rsid w:val="00260304"/>
    <w:rsid w:val="00260E31"/>
    <w:rsid w:val="00261600"/>
    <w:rsid w:val="002617DC"/>
    <w:rsid w:val="0026185F"/>
    <w:rsid w:val="00261F77"/>
    <w:rsid w:val="002623C4"/>
    <w:rsid w:val="0026397F"/>
    <w:rsid w:val="00264BEB"/>
    <w:rsid w:val="00267526"/>
    <w:rsid w:val="002676DF"/>
    <w:rsid w:val="002709C8"/>
    <w:rsid w:val="0027134C"/>
    <w:rsid w:val="002714C7"/>
    <w:rsid w:val="00273482"/>
    <w:rsid w:val="00274032"/>
    <w:rsid w:val="00274237"/>
    <w:rsid w:val="00274C1D"/>
    <w:rsid w:val="00275F93"/>
    <w:rsid w:val="002901E9"/>
    <w:rsid w:val="002920ED"/>
    <w:rsid w:val="00292DE9"/>
    <w:rsid w:val="0029307C"/>
    <w:rsid w:val="002946FF"/>
    <w:rsid w:val="00297D0D"/>
    <w:rsid w:val="002A0725"/>
    <w:rsid w:val="002A0779"/>
    <w:rsid w:val="002A3CFD"/>
    <w:rsid w:val="002A576C"/>
    <w:rsid w:val="002A6B74"/>
    <w:rsid w:val="002A789B"/>
    <w:rsid w:val="002B24C1"/>
    <w:rsid w:val="002B36E9"/>
    <w:rsid w:val="002B61A2"/>
    <w:rsid w:val="002B735F"/>
    <w:rsid w:val="002B7A51"/>
    <w:rsid w:val="002B7EC4"/>
    <w:rsid w:val="002C0E0E"/>
    <w:rsid w:val="002C1E61"/>
    <w:rsid w:val="002C644C"/>
    <w:rsid w:val="002C6EBD"/>
    <w:rsid w:val="002D0E87"/>
    <w:rsid w:val="002D2CBF"/>
    <w:rsid w:val="002D354F"/>
    <w:rsid w:val="002D49E2"/>
    <w:rsid w:val="002E0D74"/>
    <w:rsid w:val="002E1826"/>
    <w:rsid w:val="002E1ACC"/>
    <w:rsid w:val="002E377D"/>
    <w:rsid w:val="002E4C13"/>
    <w:rsid w:val="002E5F8F"/>
    <w:rsid w:val="002F06F6"/>
    <w:rsid w:val="002F07C7"/>
    <w:rsid w:val="002F0E70"/>
    <w:rsid w:val="002F14F9"/>
    <w:rsid w:val="002F20CF"/>
    <w:rsid w:val="00302103"/>
    <w:rsid w:val="0030324F"/>
    <w:rsid w:val="00304B53"/>
    <w:rsid w:val="00306328"/>
    <w:rsid w:val="00310CD4"/>
    <w:rsid w:val="00312008"/>
    <w:rsid w:val="003125A0"/>
    <w:rsid w:val="0031415D"/>
    <w:rsid w:val="00314767"/>
    <w:rsid w:val="00314FF5"/>
    <w:rsid w:val="00320614"/>
    <w:rsid w:val="0032082A"/>
    <w:rsid w:val="003228E8"/>
    <w:rsid w:val="0032631F"/>
    <w:rsid w:val="00332CCC"/>
    <w:rsid w:val="00335247"/>
    <w:rsid w:val="003357FF"/>
    <w:rsid w:val="00335CDB"/>
    <w:rsid w:val="003361F5"/>
    <w:rsid w:val="0033649F"/>
    <w:rsid w:val="0033762A"/>
    <w:rsid w:val="00337826"/>
    <w:rsid w:val="00337D66"/>
    <w:rsid w:val="003435C2"/>
    <w:rsid w:val="00343F03"/>
    <w:rsid w:val="00346372"/>
    <w:rsid w:val="003465D8"/>
    <w:rsid w:val="00346A9F"/>
    <w:rsid w:val="00353524"/>
    <w:rsid w:val="003552B7"/>
    <w:rsid w:val="0035644B"/>
    <w:rsid w:val="00360A5B"/>
    <w:rsid w:val="003622E7"/>
    <w:rsid w:val="003635A3"/>
    <w:rsid w:val="00367D95"/>
    <w:rsid w:val="00373195"/>
    <w:rsid w:val="00377165"/>
    <w:rsid w:val="003833D8"/>
    <w:rsid w:val="00383418"/>
    <w:rsid w:val="00384B6D"/>
    <w:rsid w:val="00384D41"/>
    <w:rsid w:val="003853D2"/>
    <w:rsid w:val="0038583F"/>
    <w:rsid w:val="00386768"/>
    <w:rsid w:val="00386AF5"/>
    <w:rsid w:val="00391C27"/>
    <w:rsid w:val="0039256A"/>
    <w:rsid w:val="00397270"/>
    <w:rsid w:val="00397D3B"/>
    <w:rsid w:val="003A349B"/>
    <w:rsid w:val="003A50D7"/>
    <w:rsid w:val="003A72C8"/>
    <w:rsid w:val="003A7DE9"/>
    <w:rsid w:val="003B272D"/>
    <w:rsid w:val="003B2F9C"/>
    <w:rsid w:val="003C1178"/>
    <w:rsid w:val="003C1C78"/>
    <w:rsid w:val="003C56A6"/>
    <w:rsid w:val="003C5DF6"/>
    <w:rsid w:val="003D030F"/>
    <w:rsid w:val="003D03AC"/>
    <w:rsid w:val="003D1D64"/>
    <w:rsid w:val="003D1EA2"/>
    <w:rsid w:val="003D397F"/>
    <w:rsid w:val="003D3B85"/>
    <w:rsid w:val="003D5338"/>
    <w:rsid w:val="003D53E7"/>
    <w:rsid w:val="003D7355"/>
    <w:rsid w:val="003D75A2"/>
    <w:rsid w:val="003D7C5C"/>
    <w:rsid w:val="003D7E8B"/>
    <w:rsid w:val="003E055A"/>
    <w:rsid w:val="003E14AB"/>
    <w:rsid w:val="003E1921"/>
    <w:rsid w:val="003E3140"/>
    <w:rsid w:val="003E5C84"/>
    <w:rsid w:val="003E69AD"/>
    <w:rsid w:val="003F0403"/>
    <w:rsid w:val="003F0E0E"/>
    <w:rsid w:val="003F1744"/>
    <w:rsid w:val="003F1AE0"/>
    <w:rsid w:val="003F2691"/>
    <w:rsid w:val="003F2ECC"/>
    <w:rsid w:val="003F3759"/>
    <w:rsid w:val="003F578D"/>
    <w:rsid w:val="003F6C70"/>
    <w:rsid w:val="00401B5E"/>
    <w:rsid w:val="004029EA"/>
    <w:rsid w:val="0040317C"/>
    <w:rsid w:val="00403F24"/>
    <w:rsid w:val="0040674E"/>
    <w:rsid w:val="004100F6"/>
    <w:rsid w:val="00410521"/>
    <w:rsid w:val="00412DE9"/>
    <w:rsid w:val="00412FBE"/>
    <w:rsid w:val="00413A38"/>
    <w:rsid w:val="004147F1"/>
    <w:rsid w:val="00415382"/>
    <w:rsid w:val="00416132"/>
    <w:rsid w:val="004167B6"/>
    <w:rsid w:val="00417565"/>
    <w:rsid w:val="00417E08"/>
    <w:rsid w:val="0042205B"/>
    <w:rsid w:val="00424958"/>
    <w:rsid w:val="00425BB0"/>
    <w:rsid w:val="004266B9"/>
    <w:rsid w:val="004276C8"/>
    <w:rsid w:val="00430567"/>
    <w:rsid w:val="00432B00"/>
    <w:rsid w:val="004331DC"/>
    <w:rsid w:val="0043335D"/>
    <w:rsid w:val="00433849"/>
    <w:rsid w:val="00433BBF"/>
    <w:rsid w:val="00434B2A"/>
    <w:rsid w:val="004350CD"/>
    <w:rsid w:val="004407C5"/>
    <w:rsid w:val="00444265"/>
    <w:rsid w:val="00445078"/>
    <w:rsid w:val="00446634"/>
    <w:rsid w:val="0044781C"/>
    <w:rsid w:val="00447E79"/>
    <w:rsid w:val="004513C6"/>
    <w:rsid w:val="00452E78"/>
    <w:rsid w:val="00457286"/>
    <w:rsid w:val="00457CF5"/>
    <w:rsid w:val="00457F13"/>
    <w:rsid w:val="00457F2D"/>
    <w:rsid w:val="004602CD"/>
    <w:rsid w:val="00462630"/>
    <w:rsid w:val="00462BE8"/>
    <w:rsid w:val="0046315D"/>
    <w:rsid w:val="00465BA0"/>
    <w:rsid w:val="004667EC"/>
    <w:rsid w:val="004668B7"/>
    <w:rsid w:val="00471DA6"/>
    <w:rsid w:val="0047270D"/>
    <w:rsid w:val="0047401E"/>
    <w:rsid w:val="004764DD"/>
    <w:rsid w:val="00476C8E"/>
    <w:rsid w:val="0047724A"/>
    <w:rsid w:val="00477DA6"/>
    <w:rsid w:val="004838BD"/>
    <w:rsid w:val="00484F26"/>
    <w:rsid w:val="004861BA"/>
    <w:rsid w:val="00486ACE"/>
    <w:rsid w:val="00490A28"/>
    <w:rsid w:val="0049160C"/>
    <w:rsid w:val="004919D8"/>
    <w:rsid w:val="00492182"/>
    <w:rsid w:val="004967EA"/>
    <w:rsid w:val="00496C0D"/>
    <w:rsid w:val="004A15E5"/>
    <w:rsid w:val="004A23E1"/>
    <w:rsid w:val="004A376E"/>
    <w:rsid w:val="004A39A3"/>
    <w:rsid w:val="004A5471"/>
    <w:rsid w:val="004A5F54"/>
    <w:rsid w:val="004A7488"/>
    <w:rsid w:val="004B1397"/>
    <w:rsid w:val="004B14D5"/>
    <w:rsid w:val="004B426A"/>
    <w:rsid w:val="004B42B3"/>
    <w:rsid w:val="004B4DFB"/>
    <w:rsid w:val="004B65D9"/>
    <w:rsid w:val="004C5061"/>
    <w:rsid w:val="004C79E9"/>
    <w:rsid w:val="004C7E7E"/>
    <w:rsid w:val="004D2AAC"/>
    <w:rsid w:val="004D3ED8"/>
    <w:rsid w:val="004D4930"/>
    <w:rsid w:val="004D768F"/>
    <w:rsid w:val="004D7B65"/>
    <w:rsid w:val="004E2A31"/>
    <w:rsid w:val="004E4161"/>
    <w:rsid w:val="004E4305"/>
    <w:rsid w:val="004E4963"/>
    <w:rsid w:val="004E4CA7"/>
    <w:rsid w:val="004E52EB"/>
    <w:rsid w:val="004E5D71"/>
    <w:rsid w:val="004F1061"/>
    <w:rsid w:val="004F1246"/>
    <w:rsid w:val="004F2CF8"/>
    <w:rsid w:val="004F3337"/>
    <w:rsid w:val="004F5CD0"/>
    <w:rsid w:val="004F5E96"/>
    <w:rsid w:val="005022F3"/>
    <w:rsid w:val="0050249E"/>
    <w:rsid w:val="00502A29"/>
    <w:rsid w:val="0050386F"/>
    <w:rsid w:val="00503AF7"/>
    <w:rsid w:val="0050486D"/>
    <w:rsid w:val="005065FA"/>
    <w:rsid w:val="005108A7"/>
    <w:rsid w:val="00510991"/>
    <w:rsid w:val="00511E2C"/>
    <w:rsid w:val="0051224F"/>
    <w:rsid w:val="00513BC7"/>
    <w:rsid w:val="00514831"/>
    <w:rsid w:val="00514F26"/>
    <w:rsid w:val="00515A26"/>
    <w:rsid w:val="00515C1A"/>
    <w:rsid w:val="0051619E"/>
    <w:rsid w:val="00520CB1"/>
    <w:rsid w:val="00521655"/>
    <w:rsid w:val="00522FCC"/>
    <w:rsid w:val="00523E7D"/>
    <w:rsid w:val="005254F7"/>
    <w:rsid w:val="00526F7F"/>
    <w:rsid w:val="00527C43"/>
    <w:rsid w:val="005317FA"/>
    <w:rsid w:val="00531A51"/>
    <w:rsid w:val="00531D01"/>
    <w:rsid w:val="00532F9D"/>
    <w:rsid w:val="00540AE5"/>
    <w:rsid w:val="005412C2"/>
    <w:rsid w:val="00541B21"/>
    <w:rsid w:val="0054640E"/>
    <w:rsid w:val="00550195"/>
    <w:rsid w:val="00552BA8"/>
    <w:rsid w:val="00553284"/>
    <w:rsid w:val="00554A9F"/>
    <w:rsid w:val="005552D3"/>
    <w:rsid w:val="00557C61"/>
    <w:rsid w:val="00557F18"/>
    <w:rsid w:val="00562475"/>
    <w:rsid w:val="00563D1A"/>
    <w:rsid w:val="00564E08"/>
    <w:rsid w:val="00565F46"/>
    <w:rsid w:val="00567073"/>
    <w:rsid w:val="0056744F"/>
    <w:rsid w:val="00567979"/>
    <w:rsid w:val="0057068D"/>
    <w:rsid w:val="005710F7"/>
    <w:rsid w:val="00572E88"/>
    <w:rsid w:val="005776CF"/>
    <w:rsid w:val="005817CA"/>
    <w:rsid w:val="005840D7"/>
    <w:rsid w:val="00584BD0"/>
    <w:rsid w:val="005875DE"/>
    <w:rsid w:val="00590248"/>
    <w:rsid w:val="00592143"/>
    <w:rsid w:val="005929E1"/>
    <w:rsid w:val="00594269"/>
    <w:rsid w:val="0059430A"/>
    <w:rsid w:val="005A0EE1"/>
    <w:rsid w:val="005A13FB"/>
    <w:rsid w:val="005A3952"/>
    <w:rsid w:val="005B02B2"/>
    <w:rsid w:val="005B1072"/>
    <w:rsid w:val="005B39C4"/>
    <w:rsid w:val="005B585B"/>
    <w:rsid w:val="005B5F9D"/>
    <w:rsid w:val="005B672A"/>
    <w:rsid w:val="005C0F2A"/>
    <w:rsid w:val="005C3317"/>
    <w:rsid w:val="005C38C8"/>
    <w:rsid w:val="005C4381"/>
    <w:rsid w:val="005C45D5"/>
    <w:rsid w:val="005C7E4A"/>
    <w:rsid w:val="005D08DF"/>
    <w:rsid w:val="005D0E77"/>
    <w:rsid w:val="005D14E8"/>
    <w:rsid w:val="005D26B9"/>
    <w:rsid w:val="005D4541"/>
    <w:rsid w:val="005D651E"/>
    <w:rsid w:val="005E0C22"/>
    <w:rsid w:val="005E1252"/>
    <w:rsid w:val="005E5130"/>
    <w:rsid w:val="005E5B64"/>
    <w:rsid w:val="005E5E35"/>
    <w:rsid w:val="005E6332"/>
    <w:rsid w:val="005E6E4F"/>
    <w:rsid w:val="005E7394"/>
    <w:rsid w:val="005E7C17"/>
    <w:rsid w:val="005F1415"/>
    <w:rsid w:val="005F16A9"/>
    <w:rsid w:val="005F1C29"/>
    <w:rsid w:val="005F3711"/>
    <w:rsid w:val="005F443F"/>
    <w:rsid w:val="005F4741"/>
    <w:rsid w:val="005F671C"/>
    <w:rsid w:val="005F6BF2"/>
    <w:rsid w:val="005F7A2B"/>
    <w:rsid w:val="006003AB"/>
    <w:rsid w:val="00600CFD"/>
    <w:rsid w:val="0060313B"/>
    <w:rsid w:val="00603BDD"/>
    <w:rsid w:val="006051CB"/>
    <w:rsid w:val="006062C1"/>
    <w:rsid w:val="00606AC8"/>
    <w:rsid w:val="00606D6B"/>
    <w:rsid w:val="00611589"/>
    <w:rsid w:val="006147A7"/>
    <w:rsid w:val="00615413"/>
    <w:rsid w:val="006166E9"/>
    <w:rsid w:val="00616FAF"/>
    <w:rsid w:val="0062403D"/>
    <w:rsid w:val="006258F0"/>
    <w:rsid w:val="00626D74"/>
    <w:rsid w:val="00630297"/>
    <w:rsid w:val="00631505"/>
    <w:rsid w:val="00632E59"/>
    <w:rsid w:val="00633138"/>
    <w:rsid w:val="006360FD"/>
    <w:rsid w:val="0063699F"/>
    <w:rsid w:val="00637A0C"/>
    <w:rsid w:val="00642691"/>
    <w:rsid w:val="0064539F"/>
    <w:rsid w:val="00645CA2"/>
    <w:rsid w:val="00652425"/>
    <w:rsid w:val="00652CDD"/>
    <w:rsid w:val="006534AD"/>
    <w:rsid w:val="00653BBA"/>
    <w:rsid w:val="00654230"/>
    <w:rsid w:val="00654A02"/>
    <w:rsid w:val="00654E2D"/>
    <w:rsid w:val="00656ACC"/>
    <w:rsid w:val="006575F4"/>
    <w:rsid w:val="00660420"/>
    <w:rsid w:val="00660A86"/>
    <w:rsid w:val="0066128C"/>
    <w:rsid w:val="00661D3E"/>
    <w:rsid w:val="00662604"/>
    <w:rsid w:val="00664770"/>
    <w:rsid w:val="00665623"/>
    <w:rsid w:val="00665DAB"/>
    <w:rsid w:val="0066616A"/>
    <w:rsid w:val="006700E7"/>
    <w:rsid w:val="006720CC"/>
    <w:rsid w:val="006728E0"/>
    <w:rsid w:val="00672AC4"/>
    <w:rsid w:val="00672FD8"/>
    <w:rsid w:val="006777C5"/>
    <w:rsid w:val="00677B19"/>
    <w:rsid w:val="00677C7C"/>
    <w:rsid w:val="006803CA"/>
    <w:rsid w:val="00680650"/>
    <w:rsid w:val="006827EA"/>
    <w:rsid w:val="00684A0A"/>
    <w:rsid w:val="00690EB2"/>
    <w:rsid w:val="006919A8"/>
    <w:rsid w:val="00694056"/>
    <w:rsid w:val="00695547"/>
    <w:rsid w:val="00696819"/>
    <w:rsid w:val="006976CB"/>
    <w:rsid w:val="0069797F"/>
    <w:rsid w:val="006A11CA"/>
    <w:rsid w:val="006A33C0"/>
    <w:rsid w:val="006A34E4"/>
    <w:rsid w:val="006A59A5"/>
    <w:rsid w:val="006A5AC2"/>
    <w:rsid w:val="006A73FC"/>
    <w:rsid w:val="006B09B2"/>
    <w:rsid w:val="006B310C"/>
    <w:rsid w:val="006B44F6"/>
    <w:rsid w:val="006B455D"/>
    <w:rsid w:val="006B7F9E"/>
    <w:rsid w:val="006C3706"/>
    <w:rsid w:val="006C3DEC"/>
    <w:rsid w:val="006C3FC4"/>
    <w:rsid w:val="006C44F4"/>
    <w:rsid w:val="006C618C"/>
    <w:rsid w:val="006C6DDA"/>
    <w:rsid w:val="006C7F66"/>
    <w:rsid w:val="006D0275"/>
    <w:rsid w:val="006D04F0"/>
    <w:rsid w:val="006D4260"/>
    <w:rsid w:val="006D5378"/>
    <w:rsid w:val="006D6BD8"/>
    <w:rsid w:val="006E0F3B"/>
    <w:rsid w:val="006E650C"/>
    <w:rsid w:val="006F4F1B"/>
    <w:rsid w:val="006F595B"/>
    <w:rsid w:val="006F624D"/>
    <w:rsid w:val="006F7BCB"/>
    <w:rsid w:val="007010DB"/>
    <w:rsid w:val="00701EFF"/>
    <w:rsid w:val="007022CF"/>
    <w:rsid w:val="00702591"/>
    <w:rsid w:val="0070652F"/>
    <w:rsid w:val="00706956"/>
    <w:rsid w:val="00707DFA"/>
    <w:rsid w:val="00712625"/>
    <w:rsid w:val="0071346F"/>
    <w:rsid w:val="0071766A"/>
    <w:rsid w:val="00721178"/>
    <w:rsid w:val="00722372"/>
    <w:rsid w:val="00723231"/>
    <w:rsid w:val="00724BFF"/>
    <w:rsid w:val="00730013"/>
    <w:rsid w:val="007316BE"/>
    <w:rsid w:val="00731791"/>
    <w:rsid w:val="00731AD1"/>
    <w:rsid w:val="00733356"/>
    <w:rsid w:val="00733796"/>
    <w:rsid w:val="00734E03"/>
    <w:rsid w:val="00735853"/>
    <w:rsid w:val="00735AAE"/>
    <w:rsid w:val="007374AD"/>
    <w:rsid w:val="007410F5"/>
    <w:rsid w:val="007411BF"/>
    <w:rsid w:val="007421C7"/>
    <w:rsid w:val="00743B76"/>
    <w:rsid w:val="00745289"/>
    <w:rsid w:val="0074729E"/>
    <w:rsid w:val="00751783"/>
    <w:rsid w:val="007544A6"/>
    <w:rsid w:val="00757011"/>
    <w:rsid w:val="0076083C"/>
    <w:rsid w:val="007672A0"/>
    <w:rsid w:val="0077069A"/>
    <w:rsid w:val="00770E31"/>
    <w:rsid w:val="00771239"/>
    <w:rsid w:val="00771E85"/>
    <w:rsid w:val="00772742"/>
    <w:rsid w:val="00775035"/>
    <w:rsid w:val="00775DB0"/>
    <w:rsid w:val="007765F1"/>
    <w:rsid w:val="00776760"/>
    <w:rsid w:val="00781C30"/>
    <w:rsid w:val="00781D82"/>
    <w:rsid w:val="0078278D"/>
    <w:rsid w:val="00784025"/>
    <w:rsid w:val="0078459D"/>
    <w:rsid w:val="00784C29"/>
    <w:rsid w:val="00785694"/>
    <w:rsid w:val="007857E0"/>
    <w:rsid w:val="0078769B"/>
    <w:rsid w:val="007901BC"/>
    <w:rsid w:val="00790685"/>
    <w:rsid w:val="00790700"/>
    <w:rsid w:val="00791A39"/>
    <w:rsid w:val="007920B9"/>
    <w:rsid w:val="0079292B"/>
    <w:rsid w:val="00792CD5"/>
    <w:rsid w:val="007947A9"/>
    <w:rsid w:val="0079518E"/>
    <w:rsid w:val="007954FD"/>
    <w:rsid w:val="007959CC"/>
    <w:rsid w:val="007A29A9"/>
    <w:rsid w:val="007A4688"/>
    <w:rsid w:val="007A6C5B"/>
    <w:rsid w:val="007A74EE"/>
    <w:rsid w:val="007A7625"/>
    <w:rsid w:val="007B1DF4"/>
    <w:rsid w:val="007B2B6D"/>
    <w:rsid w:val="007B3E86"/>
    <w:rsid w:val="007B411F"/>
    <w:rsid w:val="007B66DD"/>
    <w:rsid w:val="007C29A8"/>
    <w:rsid w:val="007C547C"/>
    <w:rsid w:val="007C6C64"/>
    <w:rsid w:val="007C6F5E"/>
    <w:rsid w:val="007C6FDB"/>
    <w:rsid w:val="007D09FA"/>
    <w:rsid w:val="007D4E0A"/>
    <w:rsid w:val="007D52EF"/>
    <w:rsid w:val="007D708A"/>
    <w:rsid w:val="007D7A79"/>
    <w:rsid w:val="007E204E"/>
    <w:rsid w:val="007E28CA"/>
    <w:rsid w:val="007E3923"/>
    <w:rsid w:val="007E4E14"/>
    <w:rsid w:val="007E5584"/>
    <w:rsid w:val="007F031A"/>
    <w:rsid w:val="007F03E2"/>
    <w:rsid w:val="007F0A41"/>
    <w:rsid w:val="007F0B4C"/>
    <w:rsid w:val="007F1B8C"/>
    <w:rsid w:val="007F1CF9"/>
    <w:rsid w:val="007F33A5"/>
    <w:rsid w:val="007F3EE3"/>
    <w:rsid w:val="007F46AB"/>
    <w:rsid w:val="007F492D"/>
    <w:rsid w:val="007F4D47"/>
    <w:rsid w:val="007F5502"/>
    <w:rsid w:val="008004B9"/>
    <w:rsid w:val="008015E3"/>
    <w:rsid w:val="00802D63"/>
    <w:rsid w:val="008038CB"/>
    <w:rsid w:val="008040EE"/>
    <w:rsid w:val="0080455C"/>
    <w:rsid w:val="0080508C"/>
    <w:rsid w:val="0080600A"/>
    <w:rsid w:val="00806C36"/>
    <w:rsid w:val="008079C5"/>
    <w:rsid w:val="00810F19"/>
    <w:rsid w:val="00810FAE"/>
    <w:rsid w:val="00811F8B"/>
    <w:rsid w:val="00813A7C"/>
    <w:rsid w:val="00815AC9"/>
    <w:rsid w:val="00815F87"/>
    <w:rsid w:val="00816252"/>
    <w:rsid w:val="0081671D"/>
    <w:rsid w:val="00816B47"/>
    <w:rsid w:val="00816F68"/>
    <w:rsid w:val="008178FC"/>
    <w:rsid w:val="008202B1"/>
    <w:rsid w:val="008219F9"/>
    <w:rsid w:val="00823894"/>
    <w:rsid w:val="00823F7D"/>
    <w:rsid w:val="0082786C"/>
    <w:rsid w:val="00827F46"/>
    <w:rsid w:val="00831CFF"/>
    <w:rsid w:val="0083341D"/>
    <w:rsid w:val="00833CFE"/>
    <w:rsid w:val="00834AB0"/>
    <w:rsid w:val="00835AD7"/>
    <w:rsid w:val="00836C08"/>
    <w:rsid w:val="0084564A"/>
    <w:rsid w:val="00854744"/>
    <w:rsid w:val="00855E78"/>
    <w:rsid w:val="00857675"/>
    <w:rsid w:val="008579F4"/>
    <w:rsid w:val="00863452"/>
    <w:rsid w:val="00865273"/>
    <w:rsid w:val="00865F36"/>
    <w:rsid w:val="00866565"/>
    <w:rsid w:val="00871856"/>
    <w:rsid w:val="0087366E"/>
    <w:rsid w:val="0087454D"/>
    <w:rsid w:val="0087486C"/>
    <w:rsid w:val="00877A4F"/>
    <w:rsid w:val="00880554"/>
    <w:rsid w:val="0088185E"/>
    <w:rsid w:val="00882A3D"/>
    <w:rsid w:val="00882FAF"/>
    <w:rsid w:val="008833A7"/>
    <w:rsid w:val="00883553"/>
    <w:rsid w:val="00890F3D"/>
    <w:rsid w:val="00891D52"/>
    <w:rsid w:val="008920F5"/>
    <w:rsid w:val="0089314A"/>
    <w:rsid w:val="00894282"/>
    <w:rsid w:val="00894EEC"/>
    <w:rsid w:val="00896FB1"/>
    <w:rsid w:val="008A096E"/>
    <w:rsid w:val="008A18CD"/>
    <w:rsid w:val="008A2C0A"/>
    <w:rsid w:val="008A2E6F"/>
    <w:rsid w:val="008A4C6D"/>
    <w:rsid w:val="008A51B6"/>
    <w:rsid w:val="008A59E7"/>
    <w:rsid w:val="008A6145"/>
    <w:rsid w:val="008A656F"/>
    <w:rsid w:val="008A6BB9"/>
    <w:rsid w:val="008B0DB3"/>
    <w:rsid w:val="008B0F2B"/>
    <w:rsid w:val="008B551B"/>
    <w:rsid w:val="008C0256"/>
    <w:rsid w:val="008C0DA4"/>
    <w:rsid w:val="008C225F"/>
    <w:rsid w:val="008C24AD"/>
    <w:rsid w:val="008C4665"/>
    <w:rsid w:val="008C5096"/>
    <w:rsid w:val="008C5990"/>
    <w:rsid w:val="008C7C32"/>
    <w:rsid w:val="008D0224"/>
    <w:rsid w:val="008D12D7"/>
    <w:rsid w:val="008D4543"/>
    <w:rsid w:val="008D51B4"/>
    <w:rsid w:val="008E2E6F"/>
    <w:rsid w:val="008E624C"/>
    <w:rsid w:val="008F1ECE"/>
    <w:rsid w:val="008F4AAE"/>
    <w:rsid w:val="008F5D19"/>
    <w:rsid w:val="008F7FAB"/>
    <w:rsid w:val="00900DD6"/>
    <w:rsid w:val="009046A8"/>
    <w:rsid w:val="00905F18"/>
    <w:rsid w:val="00906503"/>
    <w:rsid w:val="00906E21"/>
    <w:rsid w:val="009072BB"/>
    <w:rsid w:val="00907E02"/>
    <w:rsid w:val="00911264"/>
    <w:rsid w:val="009120CE"/>
    <w:rsid w:val="00912150"/>
    <w:rsid w:val="009121DB"/>
    <w:rsid w:val="0091292E"/>
    <w:rsid w:val="00913017"/>
    <w:rsid w:val="009138EF"/>
    <w:rsid w:val="00914371"/>
    <w:rsid w:val="009147B7"/>
    <w:rsid w:val="0091669E"/>
    <w:rsid w:val="00916BA9"/>
    <w:rsid w:val="00916BD3"/>
    <w:rsid w:val="009202CD"/>
    <w:rsid w:val="009210BB"/>
    <w:rsid w:val="009234A8"/>
    <w:rsid w:val="00925FD0"/>
    <w:rsid w:val="00926E70"/>
    <w:rsid w:val="00926EEA"/>
    <w:rsid w:val="00927747"/>
    <w:rsid w:val="00930F14"/>
    <w:rsid w:val="00933331"/>
    <w:rsid w:val="00933540"/>
    <w:rsid w:val="0093524E"/>
    <w:rsid w:val="00935553"/>
    <w:rsid w:val="009368D2"/>
    <w:rsid w:val="0093736B"/>
    <w:rsid w:val="0093797F"/>
    <w:rsid w:val="00941BE1"/>
    <w:rsid w:val="00941E38"/>
    <w:rsid w:val="009423E8"/>
    <w:rsid w:val="009432D4"/>
    <w:rsid w:val="009452BD"/>
    <w:rsid w:val="00945627"/>
    <w:rsid w:val="00946825"/>
    <w:rsid w:val="00946A70"/>
    <w:rsid w:val="00946C52"/>
    <w:rsid w:val="00947258"/>
    <w:rsid w:val="009503CD"/>
    <w:rsid w:val="00951157"/>
    <w:rsid w:val="009536A2"/>
    <w:rsid w:val="00955494"/>
    <w:rsid w:val="009555FE"/>
    <w:rsid w:val="0095609D"/>
    <w:rsid w:val="0095679D"/>
    <w:rsid w:val="0095721C"/>
    <w:rsid w:val="009611AC"/>
    <w:rsid w:val="00963F44"/>
    <w:rsid w:val="00966CFD"/>
    <w:rsid w:val="009702AD"/>
    <w:rsid w:val="00970721"/>
    <w:rsid w:val="00971B2A"/>
    <w:rsid w:val="00972173"/>
    <w:rsid w:val="00972BBC"/>
    <w:rsid w:val="00972E4B"/>
    <w:rsid w:val="00976640"/>
    <w:rsid w:val="0097736C"/>
    <w:rsid w:val="00980DF4"/>
    <w:rsid w:val="00980FBD"/>
    <w:rsid w:val="009815E7"/>
    <w:rsid w:val="00984080"/>
    <w:rsid w:val="00986E67"/>
    <w:rsid w:val="009872CD"/>
    <w:rsid w:val="00987DA7"/>
    <w:rsid w:val="0099017E"/>
    <w:rsid w:val="0099106F"/>
    <w:rsid w:val="00992D7E"/>
    <w:rsid w:val="00993BCC"/>
    <w:rsid w:val="00994657"/>
    <w:rsid w:val="00994AF0"/>
    <w:rsid w:val="00995810"/>
    <w:rsid w:val="009960B6"/>
    <w:rsid w:val="00996751"/>
    <w:rsid w:val="009973ED"/>
    <w:rsid w:val="00997519"/>
    <w:rsid w:val="009979FC"/>
    <w:rsid w:val="00997FC3"/>
    <w:rsid w:val="009A01F2"/>
    <w:rsid w:val="009A07C3"/>
    <w:rsid w:val="009A0D71"/>
    <w:rsid w:val="009A37F6"/>
    <w:rsid w:val="009A3D95"/>
    <w:rsid w:val="009A46F7"/>
    <w:rsid w:val="009A491F"/>
    <w:rsid w:val="009A5B99"/>
    <w:rsid w:val="009B0209"/>
    <w:rsid w:val="009B2647"/>
    <w:rsid w:val="009B3C0F"/>
    <w:rsid w:val="009B4224"/>
    <w:rsid w:val="009B791F"/>
    <w:rsid w:val="009C04D7"/>
    <w:rsid w:val="009C312A"/>
    <w:rsid w:val="009C3BF8"/>
    <w:rsid w:val="009C5E6F"/>
    <w:rsid w:val="009D0AB1"/>
    <w:rsid w:val="009D1AE3"/>
    <w:rsid w:val="009D341C"/>
    <w:rsid w:val="009D554C"/>
    <w:rsid w:val="009D7E6E"/>
    <w:rsid w:val="009D7F7A"/>
    <w:rsid w:val="009E0014"/>
    <w:rsid w:val="009E250D"/>
    <w:rsid w:val="009E32D0"/>
    <w:rsid w:val="009E34EF"/>
    <w:rsid w:val="009E4D3F"/>
    <w:rsid w:val="009E5904"/>
    <w:rsid w:val="009E5CDD"/>
    <w:rsid w:val="009F00C5"/>
    <w:rsid w:val="009F012F"/>
    <w:rsid w:val="009F0C16"/>
    <w:rsid w:val="009F1044"/>
    <w:rsid w:val="009F13E1"/>
    <w:rsid w:val="009F220C"/>
    <w:rsid w:val="009F2949"/>
    <w:rsid w:val="009F4B65"/>
    <w:rsid w:val="009F5DB0"/>
    <w:rsid w:val="009F7333"/>
    <w:rsid w:val="00A03575"/>
    <w:rsid w:val="00A0378E"/>
    <w:rsid w:val="00A03D60"/>
    <w:rsid w:val="00A05031"/>
    <w:rsid w:val="00A10927"/>
    <w:rsid w:val="00A120B9"/>
    <w:rsid w:val="00A1347D"/>
    <w:rsid w:val="00A15431"/>
    <w:rsid w:val="00A15B74"/>
    <w:rsid w:val="00A16142"/>
    <w:rsid w:val="00A17925"/>
    <w:rsid w:val="00A17FE2"/>
    <w:rsid w:val="00A207E4"/>
    <w:rsid w:val="00A20EEB"/>
    <w:rsid w:val="00A231F3"/>
    <w:rsid w:val="00A24757"/>
    <w:rsid w:val="00A25A75"/>
    <w:rsid w:val="00A27887"/>
    <w:rsid w:val="00A27C02"/>
    <w:rsid w:val="00A27FF0"/>
    <w:rsid w:val="00A30BF9"/>
    <w:rsid w:val="00A32080"/>
    <w:rsid w:val="00A32397"/>
    <w:rsid w:val="00A34DD0"/>
    <w:rsid w:val="00A37068"/>
    <w:rsid w:val="00A4046B"/>
    <w:rsid w:val="00A43F5E"/>
    <w:rsid w:val="00A443E0"/>
    <w:rsid w:val="00A4505A"/>
    <w:rsid w:val="00A45D1B"/>
    <w:rsid w:val="00A46588"/>
    <w:rsid w:val="00A5041E"/>
    <w:rsid w:val="00A51CE4"/>
    <w:rsid w:val="00A52744"/>
    <w:rsid w:val="00A52D1C"/>
    <w:rsid w:val="00A5506D"/>
    <w:rsid w:val="00A628CE"/>
    <w:rsid w:val="00A643EC"/>
    <w:rsid w:val="00A654DF"/>
    <w:rsid w:val="00A666D7"/>
    <w:rsid w:val="00A708D8"/>
    <w:rsid w:val="00A71386"/>
    <w:rsid w:val="00A71BEA"/>
    <w:rsid w:val="00A723E5"/>
    <w:rsid w:val="00A72B63"/>
    <w:rsid w:val="00A737BE"/>
    <w:rsid w:val="00A74E75"/>
    <w:rsid w:val="00A753D5"/>
    <w:rsid w:val="00A75D7C"/>
    <w:rsid w:val="00A77EB9"/>
    <w:rsid w:val="00A80AC2"/>
    <w:rsid w:val="00A8459B"/>
    <w:rsid w:val="00A8479F"/>
    <w:rsid w:val="00A84C03"/>
    <w:rsid w:val="00A85902"/>
    <w:rsid w:val="00A900CF"/>
    <w:rsid w:val="00A92359"/>
    <w:rsid w:val="00A92DD9"/>
    <w:rsid w:val="00A964FD"/>
    <w:rsid w:val="00A965F0"/>
    <w:rsid w:val="00A97E9A"/>
    <w:rsid w:val="00AA3507"/>
    <w:rsid w:val="00AA7268"/>
    <w:rsid w:val="00AA7C4A"/>
    <w:rsid w:val="00AB347F"/>
    <w:rsid w:val="00AB3B0F"/>
    <w:rsid w:val="00AB6767"/>
    <w:rsid w:val="00AB74D7"/>
    <w:rsid w:val="00AC1337"/>
    <w:rsid w:val="00AC16D9"/>
    <w:rsid w:val="00AC18F3"/>
    <w:rsid w:val="00AC3566"/>
    <w:rsid w:val="00AC72D0"/>
    <w:rsid w:val="00AC7DBC"/>
    <w:rsid w:val="00AD01D8"/>
    <w:rsid w:val="00AD06B1"/>
    <w:rsid w:val="00AD0D21"/>
    <w:rsid w:val="00AD2933"/>
    <w:rsid w:val="00AD38A8"/>
    <w:rsid w:val="00AD57BC"/>
    <w:rsid w:val="00AD5913"/>
    <w:rsid w:val="00AD5E48"/>
    <w:rsid w:val="00AD5E6C"/>
    <w:rsid w:val="00AD67B5"/>
    <w:rsid w:val="00AD6C1A"/>
    <w:rsid w:val="00AD6C48"/>
    <w:rsid w:val="00AD746E"/>
    <w:rsid w:val="00AD7842"/>
    <w:rsid w:val="00AD7F9D"/>
    <w:rsid w:val="00AE161F"/>
    <w:rsid w:val="00AE1A51"/>
    <w:rsid w:val="00AE1F75"/>
    <w:rsid w:val="00AE70AF"/>
    <w:rsid w:val="00AE7E9D"/>
    <w:rsid w:val="00AF3ED4"/>
    <w:rsid w:val="00AF79C0"/>
    <w:rsid w:val="00B0046F"/>
    <w:rsid w:val="00B04CFA"/>
    <w:rsid w:val="00B04EE4"/>
    <w:rsid w:val="00B04F62"/>
    <w:rsid w:val="00B05D2F"/>
    <w:rsid w:val="00B11E23"/>
    <w:rsid w:val="00B1497B"/>
    <w:rsid w:val="00B16436"/>
    <w:rsid w:val="00B16647"/>
    <w:rsid w:val="00B1666F"/>
    <w:rsid w:val="00B17A86"/>
    <w:rsid w:val="00B17FFE"/>
    <w:rsid w:val="00B2374A"/>
    <w:rsid w:val="00B240E7"/>
    <w:rsid w:val="00B25090"/>
    <w:rsid w:val="00B25BA0"/>
    <w:rsid w:val="00B2613E"/>
    <w:rsid w:val="00B2650B"/>
    <w:rsid w:val="00B26F42"/>
    <w:rsid w:val="00B311E5"/>
    <w:rsid w:val="00B3176E"/>
    <w:rsid w:val="00B317B3"/>
    <w:rsid w:val="00B31EEA"/>
    <w:rsid w:val="00B32605"/>
    <w:rsid w:val="00B332EB"/>
    <w:rsid w:val="00B339D4"/>
    <w:rsid w:val="00B34831"/>
    <w:rsid w:val="00B3503D"/>
    <w:rsid w:val="00B3554C"/>
    <w:rsid w:val="00B3640A"/>
    <w:rsid w:val="00B36AE5"/>
    <w:rsid w:val="00B400C4"/>
    <w:rsid w:val="00B41E61"/>
    <w:rsid w:val="00B43FE5"/>
    <w:rsid w:val="00B440CD"/>
    <w:rsid w:val="00B45998"/>
    <w:rsid w:val="00B462A4"/>
    <w:rsid w:val="00B479CD"/>
    <w:rsid w:val="00B51046"/>
    <w:rsid w:val="00B52520"/>
    <w:rsid w:val="00B5508E"/>
    <w:rsid w:val="00B551C8"/>
    <w:rsid w:val="00B55D78"/>
    <w:rsid w:val="00B56391"/>
    <w:rsid w:val="00B56ED4"/>
    <w:rsid w:val="00B574A3"/>
    <w:rsid w:val="00B657F4"/>
    <w:rsid w:val="00B65D29"/>
    <w:rsid w:val="00B708BB"/>
    <w:rsid w:val="00B719DF"/>
    <w:rsid w:val="00B72140"/>
    <w:rsid w:val="00B7297E"/>
    <w:rsid w:val="00B73086"/>
    <w:rsid w:val="00B751E6"/>
    <w:rsid w:val="00B752A5"/>
    <w:rsid w:val="00B75FD5"/>
    <w:rsid w:val="00B763EE"/>
    <w:rsid w:val="00B77A23"/>
    <w:rsid w:val="00B8100B"/>
    <w:rsid w:val="00B810CB"/>
    <w:rsid w:val="00B819BF"/>
    <w:rsid w:val="00B81A22"/>
    <w:rsid w:val="00B81A7E"/>
    <w:rsid w:val="00B82661"/>
    <w:rsid w:val="00B8268A"/>
    <w:rsid w:val="00B8441B"/>
    <w:rsid w:val="00B850B2"/>
    <w:rsid w:val="00B87A0F"/>
    <w:rsid w:val="00B91936"/>
    <w:rsid w:val="00B92613"/>
    <w:rsid w:val="00B93EFD"/>
    <w:rsid w:val="00B94B71"/>
    <w:rsid w:val="00B94D22"/>
    <w:rsid w:val="00BA0504"/>
    <w:rsid w:val="00BA1245"/>
    <w:rsid w:val="00BA2D60"/>
    <w:rsid w:val="00BA3359"/>
    <w:rsid w:val="00BA3C05"/>
    <w:rsid w:val="00BA407E"/>
    <w:rsid w:val="00BA51E7"/>
    <w:rsid w:val="00BA5581"/>
    <w:rsid w:val="00BA56E3"/>
    <w:rsid w:val="00BA751A"/>
    <w:rsid w:val="00BB2460"/>
    <w:rsid w:val="00BB3769"/>
    <w:rsid w:val="00BB46D9"/>
    <w:rsid w:val="00BB5C60"/>
    <w:rsid w:val="00BB62CD"/>
    <w:rsid w:val="00BB63BC"/>
    <w:rsid w:val="00BB6EF7"/>
    <w:rsid w:val="00BC2825"/>
    <w:rsid w:val="00BC2A35"/>
    <w:rsid w:val="00BC315C"/>
    <w:rsid w:val="00BC5692"/>
    <w:rsid w:val="00BD0695"/>
    <w:rsid w:val="00BD1BDF"/>
    <w:rsid w:val="00BD1BF0"/>
    <w:rsid w:val="00BD2168"/>
    <w:rsid w:val="00BD21C0"/>
    <w:rsid w:val="00BD3BBF"/>
    <w:rsid w:val="00BD3E21"/>
    <w:rsid w:val="00BD708F"/>
    <w:rsid w:val="00BE5542"/>
    <w:rsid w:val="00BE6197"/>
    <w:rsid w:val="00BE65D8"/>
    <w:rsid w:val="00BE7DA9"/>
    <w:rsid w:val="00BF1D46"/>
    <w:rsid w:val="00BF44CB"/>
    <w:rsid w:val="00BF715E"/>
    <w:rsid w:val="00C00473"/>
    <w:rsid w:val="00C01590"/>
    <w:rsid w:val="00C042D8"/>
    <w:rsid w:val="00C04DB9"/>
    <w:rsid w:val="00C06DE1"/>
    <w:rsid w:val="00C06E6D"/>
    <w:rsid w:val="00C07134"/>
    <w:rsid w:val="00C073ED"/>
    <w:rsid w:val="00C07B32"/>
    <w:rsid w:val="00C10218"/>
    <w:rsid w:val="00C1113F"/>
    <w:rsid w:val="00C12DDD"/>
    <w:rsid w:val="00C15D44"/>
    <w:rsid w:val="00C16529"/>
    <w:rsid w:val="00C20F8C"/>
    <w:rsid w:val="00C21663"/>
    <w:rsid w:val="00C22A30"/>
    <w:rsid w:val="00C25077"/>
    <w:rsid w:val="00C31402"/>
    <w:rsid w:val="00C32184"/>
    <w:rsid w:val="00C33DFF"/>
    <w:rsid w:val="00C34384"/>
    <w:rsid w:val="00C3692C"/>
    <w:rsid w:val="00C40C1F"/>
    <w:rsid w:val="00C41031"/>
    <w:rsid w:val="00C44984"/>
    <w:rsid w:val="00C44CBC"/>
    <w:rsid w:val="00C452F0"/>
    <w:rsid w:val="00C453FC"/>
    <w:rsid w:val="00C455E2"/>
    <w:rsid w:val="00C46466"/>
    <w:rsid w:val="00C469C7"/>
    <w:rsid w:val="00C50F45"/>
    <w:rsid w:val="00C51B85"/>
    <w:rsid w:val="00C52202"/>
    <w:rsid w:val="00C53202"/>
    <w:rsid w:val="00C54482"/>
    <w:rsid w:val="00C55AA5"/>
    <w:rsid w:val="00C55EFD"/>
    <w:rsid w:val="00C56425"/>
    <w:rsid w:val="00C56F67"/>
    <w:rsid w:val="00C572DC"/>
    <w:rsid w:val="00C57F83"/>
    <w:rsid w:val="00C6181C"/>
    <w:rsid w:val="00C62FB9"/>
    <w:rsid w:val="00C63B13"/>
    <w:rsid w:val="00C64873"/>
    <w:rsid w:val="00C64AB7"/>
    <w:rsid w:val="00C651C2"/>
    <w:rsid w:val="00C65327"/>
    <w:rsid w:val="00C65F2F"/>
    <w:rsid w:val="00C66FD9"/>
    <w:rsid w:val="00C70FC9"/>
    <w:rsid w:val="00C71062"/>
    <w:rsid w:val="00C712A5"/>
    <w:rsid w:val="00C77133"/>
    <w:rsid w:val="00C8028D"/>
    <w:rsid w:val="00C80466"/>
    <w:rsid w:val="00C80894"/>
    <w:rsid w:val="00C833FA"/>
    <w:rsid w:val="00C837C7"/>
    <w:rsid w:val="00C85176"/>
    <w:rsid w:val="00C87080"/>
    <w:rsid w:val="00C919D6"/>
    <w:rsid w:val="00C91B63"/>
    <w:rsid w:val="00C92C62"/>
    <w:rsid w:val="00C94667"/>
    <w:rsid w:val="00C94906"/>
    <w:rsid w:val="00C94A45"/>
    <w:rsid w:val="00C94B9A"/>
    <w:rsid w:val="00C962C4"/>
    <w:rsid w:val="00C96A57"/>
    <w:rsid w:val="00CA228B"/>
    <w:rsid w:val="00CA240C"/>
    <w:rsid w:val="00CA6556"/>
    <w:rsid w:val="00CB07C2"/>
    <w:rsid w:val="00CB0CB2"/>
    <w:rsid w:val="00CB0E82"/>
    <w:rsid w:val="00CB428E"/>
    <w:rsid w:val="00CB5DBC"/>
    <w:rsid w:val="00CB5F68"/>
    <w:rsid w:val="00CB6649"/>
    <w:rsid w:val="00CB7961"/>
    <w:rsid w:val="00CC05CA"/>
    <w:rsid w:val="00CC0608"/>
    <w:rsid w:val="00CC0B89"/>
    <w:rsid w:val="00CD0747"/>
    <w:rsid w:val="00CD22DC"/>
    <w:rsid w:val="00CD274F"/>
    <w:rsid w:val="00CD3C64"/>
    <w:rsid w:val="00CD3D6C"/>
    <w:rsid w:val="00CD4A6A"/>
    <w:rsid w:val="00CD61DE"/>
    <w:rsid w:val="00CD633F"/>
    <w:rsid w:val="00CD6390"/>
    <w:rsid w:val="00CD6D8E"/>
    <w:rsid w:val="00CD7B5E"/>
    <w:rsid w:val="00CE21DB"/>
    <w:rsid w:val="00CF0C91"/>
    <w:rsid w:val="00CF0E44"/>
    <w:rsid w:val="00CF0FE4"/>
    <w:rsid w:val="00CF147B"/>
    <w:rsid w:val="00CF1892"/>
    <w:rsid w:val="00CF69A3"/>
    <w:rsid w:val="00CF6A15"/>
    <w:rsid w:val="00CF6E53"/>
    <w:rsid w:val="00CF768F"/>
    <w:rsid w:val="00D033FA"/>
    <w:rsid w:val="00D0453D"/>
    <w:rsid w:val="00D04AAD"/>
    <w:rsid w:val="00D04FA4"/>
    <w:rsid w:val="00D06133"/>
    <w:rsid w:val="00D1111C"/>
    <w:rsid w:val="00D1207E"/>
    <w:rsid w:val="00D13AF1"/>
    <w:rsid w:val="00D162B5"/>
    <w:rsid w:val="00D167C6"/>
    <w:rsid w:val="00D16AAB"/>
    <w:rsid w:val="00D16B16"/>
    <w:rsid w:val="00D177BE"/>
    <w:rsid w:val="00D20926"/>
    <w:rsid w:val="00D21B04"/>
    <w:rsid w:val="00D21B22"/>
    <w:rsid w:val="00D22442"/>
    <w:rsid w:val="00D272A9"/>
    <w:rsid w:val="00D30636"/>
    <w:rsid w:val="00D31D6D"/>
    <w:rsid w:val="00D339F6"/>
    <w:rsid w:val="00D33E65"/>
    <w:rsid w:val="00D342A7"/>
    <w:rsid w:val="00D357B4"/>
    <w:rsid w:val="00D3612A"/>
    <w:rsid w:val="00D43E4C"/>
    <w:rsid w:val="00D46F18"/>
    <w:rsid w:val="00D50D2A"/>
    <w:rsid w:val="00D52134"/>
    <w:rsid w:val="00D55E41"/>
    <w:rsid w:val="00D56F19"/>
    <w:rsid w:val="00D60053"/>
    <w:rsid w:val="00D61A5A"/>
    <w:rsid w:val="00D61A93"/>
    <w:rsid w:val="00D62938"/>
    <w:rsid w:val="00D6304E"/>
    <w:rsid w:val="00D64A0B"/>
    <w:rsid w:val="00D657F0"/>
    <w:rsid w:val="00D67B9A"/>
    <w:rsid w:val="00D67D0B"/>
    <w:rsid w:val="00D70C1F"/>
    <w:rsid w:val="00D74132"/>
    <w:rsid w:val="00D7473C"/>
    <w:rsid w:val="00D74945"/>
    <w:rsid w:val="00D74DF8"/>
    <w:rsid w:val="00D76A7C"/>
    <w:rsid w:val="00D80860"/>
    <w:rsid w:val="00D8125B"/>
    <w:rsid w:val="00D818E5"/>
    <w:rsid w:val="00D835B1"/>
    <w:rsid w:val="00D84554"/>
    <w:rsid w:val="00D84D86"/>
    <w:rsid w:val="00D86331"/>
    <w:rsid w:val="00D868B2"/>
    <w:rsid w:val="00D90D39"/>
    <w:rsid w:val="00D92007"/>
    <w:rsid w:val="00D92134"/>
    <w:rsid w:val="00D94265"/>
    <w:rsid w:val="00D95F74"/>
    <w:rsid w:val="00D96E64"/>
    <w:rsid w:val="00D96FC9"/>
    <w:rsid w:val="00DA1656"/>
    <w:rsid w:val="00DA1FB3"/>
    <w:rsid w:val="00DA3C66"/>
    <w:rsid w:val="00DA43B2"/>
    <w:rsid w:val="00DA6557"/>
    <w:rsid w:val="00DA706E"/>
    <w:rsid w:val="00DB1E9D"/>
    <w:rsid w:val="00DB2408"/>
    <w:rsid w:val="00DB5EF6"/>
    <w:rsid w:val="00DB6458"/>
    <w:rsid w:val="00DC2AA1"/>
    <w:rsid w:val="00DC33F3"/>
    <w:rsid w:val="00DC6F8D"/>
    <w:rsid w:val="00DC70CC"/>
    <w:rsid w:val="00DC7F41"/>
    <w:rsid w:val="00DD0A3C"/>
    <w:rsid w:val="00DD237D"/>
    <w:rsid w:val="00DD2748"/>
    <w:rsid w:val="00DD32A4"/>
    <w:rsid w:val="00DD4F47"/>
    <w:rsid w:val="00DD6B47"/>
    <w:rsid w:val="00DD6B87"/>
    <w:rsid w:val="00DE0691"/>
    <w:rsid w:val="00DE0B28"/>
    <w:rsid w:val="00DE2531"/>
    <w:rsid w:val="00DE253D"/>
    <w:rsid w:val="00DE3C3B"/>
    <w:rsid w:val="00DE47A8"/>
    <w:rsid w:val="00DE48C1"/>
    <w:rsid w:val="00DE663C"/>
    <w:rsid w:val="00DE71ED"/>
    <w:rsid w:val="00DF0C7D"/>
    <w:rsid w:val="00DF5CB6"/>
    <w:rsid w:val="00DF6A58"/>
    <w:rsid w:val="00E00F9C"/>
    <w:rsid w:val="00E013F0"/>
    <w:rsid w:val="00E04422"/>
    <w:rsid w:val="00E0487C"/>
    <w:rsid w:val="00E05191"/>
    <w:rsid w:val="00E051C8"/>
    <w:rsid w:val="00E0653A"/>
    <w:rsid w:val="00E125D1"/>
    <w:rsid w:val="00E128F6"/>
    <w:rsid w:val="00E12D7B"/>
    <w:rsid w:val="00E138AC"/>
    <w:rsid w:val="00E14341"/>
    <w:rsid w:val="00E16AAB"/>
    <w:rsid w:val="00E2087E"/>
    <w:rsid w:val="00E22D4A"/>
    <w:rsid w:val="00E238FB"/>
    <w:rsid w:val="00E23F5F"/>
    <w:rsid w:val="00E24483"/>
    <w:rsid w:val="00E27F64"/>
    <w:rsid w:val="00E3075F"/>
    <w:rsid w:val="00E312C5"/>
    <w:rsid w:val="00E32A14"/>
    <w:rsid w:val="00E33851"/>
    <w:rsid w:val="00E33BF8"/>
    <w:rsid w:val="00E406FB"/>
    <w:rsid w:val="00E40B12"/>
    <w:rsid w:val="00E44968"/>
    <w:rsid w:val="00E44C48"/>
    <w:rsid w:val="00E47463"/>
    <w:rsid w:val="00E50579"/>
    <w:rsid w:val="00E50713"/>
    <w:rsid w:val="00E517BB"/>
    <w:rsid w:val="00E51EFA"/>
    <w:rsid w:val="00E525D7"/>
    <w:rsid w:val="00E5317D"/>
    <w:rsid w:val="00E53F32"/>
    <w:rsid w:val="00E56724"/>
    <w:rsid w:val="00E617B3"/>
    <w:rsid w:val="00E617FE"/>
    <w:rsid w:val="00E620AF"/>
    <w:rsid w:val="00E6252D"/>
    <w:rsid w:val="00E654CD"/>
    <w:rsid w:val="00E65D4A"/>
    <w:rsid w:val="00E66766"/>
    <w:rsid w:val="00E66946"/>
    <w:rsid w:val="00E71B52"/>
    <w:rsid w:val="00E74337"/>
    <w:rsid w:val="00E74738"/>
    <w:rsid w:val="00E75C31"/>
    <w:rsid w:val="00E75F5A"/>
    <w:rsid w:val="00E77E2D"/>
    <w:rsid w:val="00E83721"/>
    <w:rsid w:val="00E8420B"/>
    <w:rsid w:val="00E84368"/>
    <w:rsid w:val="00E843F3"/>
    <w:rsid w:val="00E84577"/>
    <w:rsid w:val="00E85F3F"/>
    <w:rsid w:val="00E87241"/>
    <w:rsid w:val="00E900E2"/>
    <w:rsid w:val="00E949FD"/>
    <w:rsid w:val="00E95BE4"/>
    <w:rsid w:val="00E97EF7"/>
    <w:rsid w:val="00EA0327"/>
    <w:rsid w:val="00EA0DC5"/>
    <w:rsid w:val="00EA1929"/>
    <w:rsid w:val="00EA238A"/>
    <w:rsid w:val="00EA245B"/>
    <w:rsid w:val="00EA3889"/>
    <w:rsid w:val="00EA62F9"/>
    <w:rsid w:val="00EA6C21"/>
    <w:rsid w:val="00EA7FC4"/>
    <w:rsid w:val="00EB01FB"/>
    <w:rsid w:val="00EB1108"/>
    <w:rsid w:val="00EB23F3"/>
    <w:rsid w:val="00EB2622"/>
    <w:rsid w:val="00EB3ABB"/>
    <w:rsid w:val="00EC0D03"/>
    <w:rsid w:val="00EC38B0"/>
    <w:rsid w:val="00EC3AB4"/>
    <w:rsid w:val="00EC44FD"/>
    <w:rsid w:val="00EC5CC0"/>
    <w:rsid w:val="00EC6EAB"/>
    <w:rsid w:val="00EC6F55"/>
    <w:rsid w:val="00EC7208"/>
    <w:rsid w:val="00ED0CE8"/>
    <w:rsid w:val="00ED19E2"/>
    <w:rsid w:val="00ED25E9"/>
    <w:rsid w:val="00ED340E"/>
    <w:rsid w:val="00ED643A"/>
    <w:rsid w:val="00EE1759"/>
    <w:rsid w:val="00EE1E02"/>
    <w:rsid w:val="00EE2851"/>
    <w:rsid w:val="00EE29F5"/>
    <w:rsid w:val="00EE47CC"/>
    <w:rsid w:val="00EE4820"/>
    <w:rsid w:val="00EE7440"/>
    <w:rsid w:val="00EF42A7"/>
    <w:rsid w:val="00EF7ECE"/>
    <w:rsid w:val="00F0106D"/>
    <w:rsid w:val="00F014CF"/>
    <w:rsid w:val="00F021A7"/>
    <w:rsid w:val="00F03C61"/>
    <w:rsid w:val="00F03E26"/>
    <w:rsid w:val="00F0424A"/>
    <w:rsid w:val="00F06821"/>
    <w:rsid w:val="00F0709A"/>
    <w:rsid w:val="00F07AF6"/>
    <w:rsid w:val="00F129D3"/>
    <w:rsid w:val="00F13D79"/>
    <w:rsid w:val="00F14C18"/>
    <w:rsid w:val="00F1504E"/>
    <w:rsid w:val="00F15F1B"/>
    <w:rsid w:val="00F17C2F"/>
    <w:rsid w:val="00F17F73"/>
    <w:rsid w:val="00F21117"/>
    <w:rsid w:val="00F22D1E"/>
    <w:rsid w:val="00F23336"/>
    <w:rsid w:val="00F2335B"/>
    <w:rsid w:val="00F23826"/>
    <w:rsid w:val="00F24A97"/>
    <w:rsid w:val="00F25B04"/>
    <w:rsid w:val="00F266AE"/>
    <w:rsid w:val="00F26D8E"/>
    <w:rsid w:val="00F32167"/>
    <w:rsid w:val="00F32327"/>
    <w:rsid w:val="00F3497C"/>
    <w:rsid w:val="00F34DAC"/>
    <w:rsid w:val="00F358E0"/>
    <w:rsid w:val="00F35FDD"/>
    <w:rsid w:val="00F37360"/>
    <w:rsid w:val="00F37F80"/>
    <w:rsid w:val="00F407F1"/>
    <w:rsid w:val="00F40A08"/>
    <w:rsid w:val="00F410EB"/>
    <w:rsid w:val="00F417C3"/>
    <w:rsid w:val="00F4185E"/>
    <w:rsid w:val="00F43224"/>
    <w:rsid w:val="00F446A4"/>
    <w:rsid w:val="00F447DE"/>
    <w:rsid w:val="00F47663"/>
    <w:rsid w:val="00F47EFD"/>
    <w:rsid w:val="00F528CF"/>
    <w:rsid w:val="00F52FDA"/>
    <w:rsid w:val="00F54845"/>
    <w:rsid w:val="00F5661D"/>
    <w:rsid w:val="00F57583"/>
    <w:rsid w:val="00F577F1"/>
    <w:rsid w:val="00F57B09"/>
    <w:rsid w:val="00F612E0"/>
    <w:rsid w:val="00F62113"/>
    <w:rsid w:val="00F62D36"/>
    <w:rsid w:val="00F632FD"/>
    <w:rsid w:val="00F64BB0"/>
    <w:rsid w:val="00F6599B"/>
    <w:rsid w:val="00F664AA"/>
    <w:rsid w:val="00F6704E"/>
    <w:rsid w:val="00F67BCC"/>
    <w:rsid w:val="00F70902"/>
    <w:rsid w:val="00F7090B"/>
    <w:rsid w:val="00F72757"/>
    <w:rsid w:val="00F73BA1"/>
    <w:rsid w:val="00F759F4"/>
    <w:rsid w:val="00F75D19"/>
    <w:rsid w:val="00F764FC"/>
    <w:rsid w:val="00F777AC"/>
    <w:rsid w:val="00F8411B"/>
    <w:rsid w:val="00F84779"/>
    <w:rsid w:val="00F849F5"/>
    <w:rsid w:val="00F86CB3"/>
    <w:rsid w:val="00F871CD"/>
    <w:rsid w:val="00F87C58"/>
    <w:rsid w:val="00F87EAD"/>
    <w:rsid w:val="00F92907"/>
    <w:rsid w:val="00F92B45"/>
    <w:rsid w:val="00F92E9E"/>
    <w:rsid w:val="00F92F4D"/>
    <w:rsid w:val="00F9318F"/>
    <w:rsid w:val="00F93284"/>
    <w:rsid w:val="00F93DA3"/>
    <w:rsid w:val="00F94FBE"/>
    <w:rsid w:val="00F9631D"/>
    <w:rsid w:val="00F96E85"/>
    <w:rsid w:val="00F977B6"/>
    <w:rsid w:val="00F9789B"/>
    <w:rsid w:val="00F978D5"/>
    <w:rsid w:val="00F97933"/>
    <w:rsid w:val="00FA0391"/>
    <w:rsid w:val="00FA28F2"/>
    <w:rsid w:val="00FA29D3"/>
    <w:rsid w:val="00FA2D04"/>
    <w:rsid w:val="00FA3884"/>
    <w:rsid w:val="00FA4A01"/>
    <w:rsid w:val="00FA51EF"/>
    <w:rsid w:val="00FA541D"/>
    <w:rsid w:val="00FA6866"/>
    <w:rsid w:val="00FB0B91"/>
    <w:rsid w:val="00FB46BE"/>
    <w:rsid w:val="00FB4799"/>
    <w:rsid w:val="00FB67D9"/>
    <w:rsid w:val="00FB6A38"/>
    <w:rsid w:val="00FC100A"/>
    <w:rsid w:val="00FC1589"/>
    <w:rsid w:val="00FC2A99"/>
    <w:rsid w:val="00FC5D8B"/>
    <w:rsid w:val="00FC641C"/>
    <w:rsid w:val="00FC6771"/>
    <w:rsid w:val="00FD08FA"/>
    <w:rsid w:val="00FD26C5"/>
    <w:rsid w:val="00FD41AC"/>
    <w:rsid w:val="00FD4458"/>
    <w:rsid w:val="00FD5031"/>
    <w:rsid w:val="00FD7549"/>
    <w:rsid w:val="00FD7CEF"/>
    <w:rsid w:val="00FE109A"/>
    <w:rsid w:val="00FE151D"/>
    <w:rsid w:val="00FE1EE2"/>
    <w:rsid w:val="00FE2436"/>
    <w:rsid w:val="00FE3BFD"/>
    <w:rsid w:val="00FE418D"/>
    <w:rsid w:val="00FE6592"/>
    <w:rsid w:val="00FE6A8C"/>
    <w:rsid w:val="00FF186A"/>
    <w:rsid w:val="00FF1915"/>
    <w:rsid w:val="00FF1D39"/>
    <w:rsid w:val="00FF5F75"/>
    <w:rsid w:val="00FF6C07"/>
    <w:rsid w:val="00FF7EF3"/>
    <w:rsid w:val="026C3478"/>
    <w:rsid w:val="02AB0409"/>
    <w:rsid w:val="04AE3674"/>
    <w:rsid w:val="061B04CF"/>
    <w:rsid w:val="0649B885"/>
    <w:rsid w:val="084EBA0A"/>
    <w:rsid w:val="08C81D92"/>
    <w:rsid w:val="08FCD797"/>
    <w:rsid w:val="0927A300"/>
    <w:rsid w:val="097ACF7F"/>
    <w:rsid w:val="0A757AEF"/>
    <w:rsid w:val="0ADEF911"/>
    <w:rsid w:val="0B08B18D"/>
    <w:rsid w:val="0C389301"/>
    <w:rsid w:val="0D4F64F2"/>
    <w:rsid w:val="0FFE5426"/>
    <w:rsid w:val="10235746"/>
    <w:rsid w:val="115700F3"/>
    <w:rsid w:val="133469BC"/>
    <w:rsid w:val="1374E310"/>
    <w:rsid w:val="1605AAF5"/>
    <w:rsid w:val="1784EE4B"/>
    <w:rsid w:val="17A258B8"/>
    <w:rsid w:val="17E5D75B"/>
    <w:rsid w:val="1C1C5D5B"/>
    <w:rsid w:val="1CED21A4"/>
    <w:rsid w:val="1FBC854B"/>
    <w:rsid w:val="20A50B04"/>
    <w:rsid w:val="20CC2C69"/>
    <w:rsid w:val="22DD2F2F"/>
    <w:rsid w:val="246F1CD0"/>
    <w:rsid w:val="24C0A662"/>
    <w:rsid w:val="250DF0FA"/>
    <w:rsid w:val="26F9BAF7"/>
    <w:rsid w:val="279C1D05"/>
    <w:rsid w:val="2839A05C"/>
    <w:rsid w:val="2862BEE3"/>
    <w:rsid w:val="28D713B5"/>
    <w:rsid w:val="297D0AEC"/>
    <w:rsid w:val="29904C3F"/>
    <w:rsid w:val="29B1BD6D"/>
    <w:rsid w:val="2B156D99"/>
    <w:rsid w:val="2C84BC33"/>
    <w:rsid w:val="2E06BA45"/>
    <w:rsid w:val="30CCFDD0"/>
    <w:rsid w:val="3143BC98"/>
    <w:rsid w:val="32149B8D"/>
    <w:rsid w:val="33898F3C"/>
    <w:rsid w:val="33FB6E36"/>
    <w:rsid w:val="35551E67"/>
    <w:rsid w:val="37EEE490"/>
    <w:rsid w:val="38A599F7"/>
    <w:rsid w:val="395CCBD2"/>
    <w:rsid w:val="39E64197"/>
    <w:rsid w:val="3CBC8585"/>
    <w:rsid w:val="3D49E9B6"/>
    <w:rsid w:val="3DC42CCF"/>
    <w:rsid w:val="3E029BDC"/>
    <w:rsid w:val="3E7401AA"/>
    <w:rsid w:val="3E9BCD68"/>
    <w:rsid w:val="3F89BFF6"/>
    <w:rsid w:val="406CE560"/>
    <w:rsid w:val="40FEBD43"/>
    <w:rsid w:val="41795251"/>
    <w:rsid w:val="418F6DBF"/>
    <w:rsid w:val="425EFC2F"/>
    <w:rsid w:val="42648E16"/>
    <w:rsid w:val="42A1ACE0"/>
    <w:rsid w:val="438EBCA1"/>
    <w:rsid w:val="43BE62D8"/>
    <w:rsid w:val="45504B33"/>
    <w:rsid w:val="456C857A"/>
    <w:rsid w:val="45CF2F28"/>
    <w:rsid w:val="472DBE13"/>
    <w:rsid w:val="47686263"/>
    <w:rsid w:val="4932BE12"/>
    <w:rsid w:val="4985D219"/>
    <w:rsid w:val="49BB1656"/>
    <w:rsid w:val="4DB506C3"/>
    <w:rsid w:val="500878E5"/>
    <w:rsid w:val="5093FA81"/>
    <w:rsid w:val="518AB886"/>
    <w:rsid w:val="5351B7B2"/>
    <w:rsid w:val="53856398"/>
    <w:rsid w:val="54B44DEA"/>
    <w:rsid w:val="54E65DBE"/>
    <w:rsid w:val="566C97EC"/>
    <w:rsid w:val="57C23DFF"/>
    <w:rsid w:val="58C6F99B"/>
    <w:rsid w:val="58FD2017"/>
    <w:rsid w:val="5928F639"/>
    <w:rsid w:val="59FC481C"/>
    <w:rsid w:val="5B55AB3C"/>
    <w:rsid w:val="5BB39D85"/>
    <w:rsid w:val="5FCE1266"/>
    <w:rsid w:val="60A63CC2"/>
    <w:rsid w:val="61BDF9B0"/>
    <w:rsid w:val="634F3FAD"/>
    <w:rsid w:val="635AE7AA"/>
    <w:rsid w:val="6500696F"/>
    <w:rsid w:val="65CF8971"/>
    <w:rsid w:val="6A7CC586"/>
    <w:rsid w:val="6C1DC237"/>
    <w:rsid w:val="6D5BD8B6"/>
    <w:rsid w:val="6E82F670"/>
    <w:rsid w:val="709E5EF2"/>
    <w:rsid w:val="70D0A354"/>
    <w:rsid w:val="714441DB"/>
    <w:rsid w:val="721D8173"/>
    <w:rsid w:val="72737994"/>
    <w:rsid w:val="72E771E6"/>
    <w:rsid w:val="7514FA8A"/>
    <w:rsid w:val="75878B80"/>
    <w:rsid w:val="760785B5"/>
    <w:rsid w:val="765450C7"/>
    <w:rsid w:val="768E8CF9"/>
    <w:rsid w:val="77A82F3A"/>
    <w:rsid w:val="77B49618"/>
    <w:rsid w:val="77F0FB7B"/>
    <w:rsid w:val="7B7A65E3"/>
    <w:rsid w:val="7C63BF8C"/>
    <w:rsid w:val="7C800AF1"/>
    <w:rsid w:val="7D7B0F9E"/>
    <w:rsid w:val="7D7FDDF5"/>
    <w:rsid w:val="7DC5D530"/>
    <w:rsid w:val="7F72961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687BAB"/>
  <w15:docId w15:val="{7BA0E799-8366-4D45-8D46-A5E5F05EA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F2D"/>
    <w:pPr>
      <w:spacing w:line="360" w:lineRule="auto"/>
      <w:jc w:val="both"/>
    </w:pPr>
    <w:rPr>
      <w:rFonts w:ascii="Times New Roman" w:eastAsia="Times New Roman" w:hAnsi="Times New Roman" w:cs="Times New Roman"/>
      <w:sz w:val="24"/>
    </w:rPr>
  </w:style>
  <w:style w:type="paragraph" w:styleId="Heading1">
    <w:name w:val="heading 1"/>
    <w:basedOn w:val="Normal"/>
    <w:next w:val="Normal"/>
    <w:link w:val="Heading1Char"/>
    <w:uiPriority w:val="9"/>
    <w:qFormat/>
    <w:rsid w:val="00511E2C"/>
    <w:pPr>
      <w:keepNext/>
      <w:keepLines/>
      <w:spacing w:before="240" w:line="240" w:lineRule="auto"/>
      <w:jc w:val="left"/>
      <w:outlineLvl w:val="0"/>
    </w:pPr>
    <w:rPr>
      <w:rFonts w:eastAsiaTheme="majorEastAsia" w:cstheme="majorBidi"/>
      <w:b/>
      <w:color w:val="0F243E" w:themeColor="text2" w:themeShade="80"/>
      <w:sz w:val="36"/>
      <w:szCs w:val="32"/>
    </w:rPr>
  </w:style>
  <w:style w:type="paragraph" w:styleId="Heading2">
    <w:name w:val="heading 2"/>
    <w:basedOn w:val="Normal"/>
    <w:link w:val="Heading2Char"/>
    <w:uiPriority w:val="9"/>
    <w:qFormat/>
    <w:rsid w:val="00712625"/>
    <w:pPr>
      <w:widowControl/>
      <w:autoSpaceDE/>
      <w:autoSpaceDN/>
      <w:spacing w:before="100" w:beforeAutospacing="1" w:after="100" w:afterAutospacing="1" w:line="240" w:lineRule="auto"/>
      <w:jc w:val="left"/>
      <w:outlineLvl w:val="1"/>
    </w:pPr>
    <w:rPr>
      <w:b/>
      <w:bCs/>
      <w:color w:val="0F243E" w:themeColor="text2" w:themeShade="80"/>
      <w:sz w:val="28"/>
      <w:szCs w:val="36"/>
      <w:lang w:bidi="bn-IN"/>
    </w:rPr>
  </w:style>
  <w:style w:type="paragraph" w:styleId="Heading3">
    <w:name w:val="heading 3"/>
    <w:basedOn w:val="Normal"/>
    <w:link w:val="Heading3Char"/>
    <w:uiPriority w:val="9"/>
    <w:qFormat/>
    <w:rsid w:val="0050486D"/>
    <w:pPr>
      <w:widowControl/>
      <w:autoSpaceDE/>
      <w:autoSpaceDN/>
      <w:spacing w:before="100" w:beforeAutospacing="1" w:after="100" w:afterAutospacing="1"/>
      <w:jc w:val="left"/>
      <w:outlineLvl w:val="2"/>
    </w:pPr>
    <w:rPr>
      <w:b/>
      <w:bCs/>
      <w:szCs w:val="27"/>
      <w:lang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spacing w:before="6"/>
    </w:pPr>
    <w:rPr>
      <w:b/>
      <w:bCs/>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17"/>
    </w:pPr>
  </w:style>
  <w:style w:type="table" w:styleId="TableGrid">
    <w:name w:val="Table Grid"/>
    <w:basedOn w:val="TableNormal"/>
    <w:uiPriority w:val="59"/>
    <w:rsid w:val="009F73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F7333"/>
    <w:pPr>
      <w:tabs>
        <w:tab w:val="center" w:pos="4513"/>
        <w:tab w:val="right" w:pos="9026"/>
      </w:tabs>
    </w:pPr>
    <w:rPr>
      <w:rFonts w:ascii="Arial MT" w:eastAsia="Arial MT" w:hAnsi="Arial MT" w:cs="Arial MT"/>
      <w:lang w:val="en-GB"/>
    </w:rPr>
  </w:style>
  <w:style w:type="character" w:customStyle="1" w:styleId="HeaderChar">
    <w:name w:val="Header Char"/>
    <w:basedOn w:val="DefaultParagraphFont"/>
    <w:link w:val="Header"/>
    <w:uiPriority w:val="99"/>
    <w:rsid w:val="009F7333"/>
    <w:rPr>
      <w:rFonts w:ascii="Arial MT" w:eastAsia="Arial MT" w:hAnsi="Arial MT" w:cs="Arial MT"/>
      <w:lang w:val="en-GB"/>
    </w:rPr>
  </w:style>
  <w:style w:type="character" w:styleId="Hyperlink">
    <w:name w:val="Hyperlink"/>
    <w:basedOn w:val="DefaultParagraphFont"/>
    <w:uiPriority w:val="99"/>
    <w:unhideWhenUsed/>
    <w:rsid w:val="007947A9"/>
    <w:rPr>
      <w:color w:val="0000FF" w:themeColor="hyperlink"/>
      <w:u w:val="single"/>
    </w:rPr>
  </w:style>
  <w:style w:type="character" w:styleId="UnresolvedMention">
    <w:name w:val="Unresolved Mention"/>
    <w:basedOn w:val="DefaultParagraphFont"/>
    <w:uiPriority w:val="99"/>
    <w:semiHidden/>
    <w:unhideWhenUsed/>
    <w:rsid w:val="007947A9"/>
    <w:rPr>
      <w:color w:val="605E5C"/>
      <w:shd w:val="clear" w:color="auto" w:fill="E1DFDD"/>
    </w:rPr>
  </w:style>
  <w:style w:type="paragraph" w:styleId="Footer">
    <w:name w:val="footer"/>
    <w:basedOn w:val="Normal"/>
    <w:link w:val="FooterChar"/>
    <w:uiPriority w:val="99"/>
    <w:unhideWhenUsed/>
    <w:rsid w:val="00D868B2"/>
    <w:pPr>
      <w:tabs>
        <w:tab w:val="center" w:pos="4513"/>
        <w:tab w:val="right" w:pos="9026"/>
      </w:tabs>
    </w:pPr>
  </w:style>
  <w:style w:type="character" w:customStyle="1" w:styleId="FooterChar">
    <w:name w:val="Footer Char"/>
    <w:basedOn w:val="DefaultParagraphFont"/>
    <w:link w:val="Footer"/>
    <w:uiPriority w:val="99"/>
    <w:rsid w:val="00D868B2"/>
    <w:rPr>
      <w:rFonts w:ascii="Times New Roman" w:eastAsia="Times New Roman" w:hAnsi="Times New Roman" w:cs="Times New Roman"/>
    </w:rPr>
  </w:style>
  <w:style w:type="paragraph" w:styleId="NormalWeb">
    <w:name w:val="Normal (Web)"/>
    <w:basedOn w:val="Normal"/>
    <w:uiPriority w:val="99"/>
    <w:unhideWhenUsed/>
    <w:rsid w:val="009D7F7A"/>
    <w:rPr>
      <w:szCs w:val="24"/>
    </w:rPr>
  </w:style>
  <w:style w:type="character" w:styleId="FollowedHyperlink">
    <w:name w:val="FollowedHyperlink"/>
    <w:basedOn w:val="DefaultParagraphFont"/>
    <w:uiPriority w:val="99"/>
    <w:semiHidden/>
    <w:unhideWhenUsed/>
    <w:rsid w:val="000F11B8"/>
    <w:rPr>
      <w:color w:val="800080" w:themeColor="followedHyperlink"/>
      <w:u w:val="single"/>
    </w:rPr>
  </w:style>
  <w:style w:type="character" w:customStyle="1" w:styleId="Heading2Char">
    <w:name w:val="Heading 2 Char"/>
    <w:basedOn w:val="DefaultParagraphFont"/>
    <w:link w:val="Heading2"/>
    <w:uiPriority w:val="9"/>
    <w:rsid w:val="00712625"/>
    <w:rPr>
      <w:rFonts w:ascii="Times New Roman" w:eastAsia="Times New Roman" w:hAnsi="Times New Roman" w:cs="Times New Roman"/>
      <w:b/>
      <w:bCs/>
      <w:color w:val="0F243E" w:themeColor="text2" w:themeShade="80"/>
      <w:sz w:val="28"/>
      <w:szCs w:val="36"/>
      <w:lang w:bidi="bn-IN"/>
    </w:rPr>
  </w:style>
  <w:style w:type="character" w:customStyle="1" w:styleId="Heading3Char">
    <w:name w:val="Heading 3 Char"/>
    <w:basedOn w:val="DefaultParagraphFont"/>
    <w:link w:val="Heading3"/>
    <w:uiPriority w:val="9"/>
    <w:rsid w:val="0050486D"/>
    <w:rPr>
      <w:rFonts w:ascii="Times New Roman" w:eastAsia="Times New Roman" w:hAnsi="Times New Roman" w:cs="Times New Roman"/>
      <w:b/>
      <w:bCs/>
      <w:sz w:val="24"/>
      <w:szCs w:val="27"/>
      <w:lang w:bidi="bn-IN"/>
    </w:rPr>
  </w:style>
  <w:style w:type="character" w:styleId="Strong">
    <w:name w:val="Strong"/>
    <w:basedOn w:val="DefaultParagraphFont"/>
    <w:uiPriority w:val="22"/>
    <w:qFormat/>
    <w:rsid w:val="000636E4"/>
    <w:rPr>
      <w:b/>
      <w:bCs/>
    </w:rPr>
  </w:style>
  <w:style w:type="character" w:customStyle="1" w:styleId="whitespace-normal">
    <w:name w:val="whitespace-normal"/>
    <w:basedOn w:val="DefaultParagraphFont"/>
    <w:rsid w:val="000636E4"/>
  </w:style>
  <w:style w:type="character" w:customStyle="1" w:styleId="Heading1Char">
    <w:name w:val="Heading 1 Char"/>
    <w:basedOn w:val="DefaultParagraphFont"/>
    <w:link w:val="Heading1"/>
    <w:uiPriority w:val="9"/>
    <w:rsid w:val="00511E2C"/>
    <w:rPr>
      <w:rFonts w:ascii="Times New Roman" w:eastAsiaTheme="majorEastAsia" w:hAnsi="Times New Roman" w:cstheme="majorBidi"/>
      <w:b/>
      <w:color w:val="0F243E" w:themeColor="text2" w:themeShade="80"/>
      <w:sz w:val="36"/>
      <w:szCs w:val="32"/>
    </w:rPr>
  </w:style>
  <w:style w:type="paragraph" w:styleId="Caption">
    <w:name w:val="caption"/>
    <w:basedOn w:val="Normal"/>
    <w:next w:val="Normal"/>
    <w:uiPriority w:val="35"/>
    <w:unhideWhenUsed/>
    <w:qFormat/>
    <w:rsid w:val="00C94A45"/>
    <w:pPr>
      <w:spacing w:after="200"/>
    </w:pPr>
    <w:rPr>
      <w:i/>
      <w:iCs/>
      <w:color w:val="1F497D" w:themeColor="text2"/>
      <w:sz w:val="18"/>
      <w:szCs w:val="18"/>
    </w:rPr>
  </w:style>
  <w:style w:type="paragraph" w:styleId="TOCHeading">
    <w:name w:val="TOC Heading"/>
    <w:basedOn w:val="Heading1"/>
    <w:next w:val="Normal"/>
    <w:uiPriority w:val="39"/>
    <w:unhideWhenUsed/>
    <w:qFormat/>
    <w:rsid w:val="00F93DA3"/>
    <w:pPr>
      <w:widowControl/>
      <w:autoSpaceDE/>
      <w:autoSpaceDN/>
      <w:spacing w:line="259" w:lineRule="auto"/>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C64AB7"/>
    <w:pPr>
      <w:tabs>
        <w:tab w:val="right" w:leader="dot" w:pos="9016"/>
      </w:tabs>
    </w:pPr>
    <w:rPr>
      <w:b/>
      <w:bCs/>
      <w:noProof/>
    </w:rPr>
  </w:style>
  <w:style w:type="paragraph" w:styleId="TOC2">
    <w:name w:val="toc 2"/>
    <w:basedOn w:val="Normal"/>
    <w:next w:val="Normal"/>
    <w:autoRedefine/>
    <w:uiPriority w:val="39"/>
    <w:unhideWhenUsed/>
    <w:rsid w:val="00F93DA3"/>
    <w:pPr>
      <w:spacing w:after="100"/>
      <w:ind w:left="220"/>
    </w:pPr>
  </w:style>
  <w:style w:type="character" w:customStyle="1" w:styleId="fontstyle01">
    <w:name w:val="fontstyle01"/>
    <w:basedOn w:val="DefaultParagraphFont"/>
    <w:rsid w:val="00226E47"/>
    <w:rPr>
      <w:rFonts w:ascii="Aptos" w:hAnsi="Aptos" w:hint="default"/>
      <w:b/>
      <w:bCs/>
      <w:i w:val="0"/>
      <w:iCs w:val="0"/>
      <w:color w:val="000000"/>
      <w:sz w:val="22"/>
      <w:szCs w:val="22"/>
    </w:rPr>
  </w:style>
  <w:style w:type="character" w:customStyle="1" w:styleId="muibox-root">
    <w:name w:val="muibox-root"/>
    <w:basedOn w:val="DefaultParagraphFont"/>
    <w:rsid w:val="00AE161F"/>
  </w:style>
  <w:style w:type="table" w:styleId="PlainTable1">
    <w:name w:val="Plain Table 1"/>
    <w:basedOn w:val="TableNormal"/>
    <w:uiPriority w:val="41"/>
    <w:rsid w:val="000B0BD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group-hoverentity-accent">
    <w:name w:val="group-hover:entity-accent"/>
    <w:basedOn w:val="DefaultParagraphFont"/>
    <w:rsid w:val="00A15B74"/>
  </w:style>
  <w:style w:type="paragraph" w:styleId="z-TopofForm">
    <w:name w:val="HTML Top of Form"/>
    <w:basedOn w:val="Normal"/>
    <w:next w:val="Normal"/>
    <w:link w:val="z-TopofFormChar"/>
    <w:hidden/>
    <w:uiPriority w:val="99"/>
    <w:semiHidden/>
    <w:unhideWhenUsed/>
    <w:rsid w:val="00A15B74"/>
    <w:pPr>
      <w:widowControl/>
      <w:pBdr>
        <w:bottom w:val="single" w:sz="6" w:space="1" w:color="auto"/>
      </w:pBdr>
      <w:autoSpaceDE/>
      <w:autoSpaceDN/>
      <w:spacing w:line="240" w:lineRule="auto"/>
      <w:jc w:val="center"/>
    </w:pPr>
    <w:rPr>
      <w:rFonts w:ascii="Arial" w:hAnsi="Arial" w:cs="Arial"/>
      <w:vanish/>
      <w:sz w:val="16"/>
      <w:szCs w:val="20"/>
      <w:lang w:bidi="bn-IN"/>
    </w:rPr>
  </w:style>
  <w:style w:type="character" w:customStyle="1" w:styleId="z-TopofFormChar">
    <w:name w:val="z-Top of Form Char"/>
    <w:basedOn w:val="DefaultParagraphFont"/>
    <w:link w:val="z-TopofForm"/>
    <w:uiPriority w:val="99"/>
    <w:semiHidden/>
    <w:rsid w:val="00A15B74"/>
    <w:rPr>
      <w:rFonts w:ascii="Arial" w:eastAsia="Times New Roman" w:hAnsi="Arial" w:cs="Arial"/>
      <w:vanish/>
      <w:sz w:val="16"/>
      <w:szCs w:val="20"/>
      <w:lang w:bidi="bn-IN"/>
    </w:rPr>
  </w:style>
  <w:style w:type="paragraph" w:styleId="z-BottomofForm">
    <w:name w:val="HTML Bottom of Form"/>
    <w:basedOn w:val="Normal"/>
    <w:next w:val="Normal"/>
    <w:link w:val="z-BottomofFormChar"/>
    <w:hidden/>
    <w:uiPriority w:val="99"/>
    <w:semiHidden/>
    <w:unhideWhenUsed/>
    <w:rsid w:val="00A15B74"/>
    <w:pPr>
      <w:widowControl/>
      <w:pBdr>
        <w:top w:val="single" w:sz="6" w:space="1" w:color="auto"/>
      </w:pBdr>
      <w:autoSpaceDE/>
      <w:autoSpaceDN/>
      <w:spacing w:line="240" w:lineRule="auto"/>
      <w:jc w:val="center"/>
    </w:pPr>
    <w:rPr>
      <w:rFonts w:ascii="Arial" w:hAnsi="Arial" w:cs="Arial"/>
      <w:vanish/>
      <w:sz w:val="16"/>
      <w:szCs w:val="20"/>
      <w:lang w:bidi="bn-IN"/>
    </w:rPr>
  </w:style>
  <w:style w:type="character" w:customStyle="1" w:styleId="z-BottomofFormChar">
    <w:name w:val="z-Bottom of Form Char"/>
    <w:basedOn w:val="DefaultParagraphFont"/>
    <w:link w:val="z-BottomofForm"/>
    <w:uiPriority w:val="99"/>
    <w:semiHidden/>
    <w:rsid w:val="00A15B74"/>
    <w:rPr>
      <w:rFonts w:ascii="Arial" w:eastAsia="Times New Roman" w:hAnsi="Arial" w:cs="Arial"/>
      <w:vanish/>
      <w:sz w:val="16"/>
      <w:szCs w:val="20"/>
      <w:lang w:bidi="bn-IN"/>
    </w:rPr>
  </w:style>
  <w:style w:type="paragraph" w:customStyle="1" w:styleId="placeholder">
    <w:name w:val="placeholder"/>
    <w:basedOn w:val="Normal"/>
    <w:rsid w:val="00731791"/>
    <w:pPr>
      <w:widowControl/>
      <w:autoSpaceDE/>
      <w:autoSpaceDN/>
      <w:spacing w:before="100" w:beforeAutospacing="1" w:after="100" w:afterAutospacing="1" w:line="240" w:lineRule="auto"/>
      <w:jc w:val="left"/>
    </w:pPr>
    <w:rPr>
      <w:szCs w:val="24"/>
      <w:lang w:bidi="bn-IN"/>
    </w:rPr>
  </w:style>
  <w:style w:type="table" w:styleId="TableGridLight">
    <w:name w:val="Grid Table Light"/>
    <w:basedOn w:val="TableNormal"/>
    <w:uiPriority w:val="40"/>
    <w:rsid w:val="00F9793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E97EF7"/>
    <w:pPr>
      <w:spacing w:after="100"/>
      <w:ind w:left="480"/>
    </w:pPr>
  </w:style>
  <w:style w:type="character" w:styleId="Emphasis">
    <w:name w:val="Emphasis"/>
    <w:basedOn w:val="DefaultParagraphFont"/>
    <w:uiPriority w:val="20"/>
    <w:qFormat/>
    <w:rsid w:val="00F358E0"/>
    <w:rPr>
      <w:i/>
      <w:iCs/>
    </w:rPr>
  </w:style>
  <w:style w:type="paragraph" w:customStyle="1" w:styleId="TableText">
    <w:name w:val="Table Text"/>
    <w:rsid w:val="004A376E"/>
    <w:pPr>
      <w:widowControl/>
      <w:autoSpaceDE/>
      <w:autoSpaceDN/>
    </w:pPr>
    <w:rPr>
      <w:rFonts w:ascii="Times New Roman" w:eastAsia="Times New Roman" w:hAnsi="Times New Roman"/>
      <w:sz w:val="18"/>
    </w:rPr>
  </w:style>
  <w:style w:type="paragraph" w:customStyle="1" w:styleId="FigureCaption">
    <w:name w:val="Figure Caption"/>
    <w:rsid w:val="004A376E"/>
    <w:pPr>
      <w:widowControl/>
      <w:autoSpaceDE/>
      <w:autoSpaceDN/>
      <w:spacing w:before="60" w:after="160" w:line="276" w:lineRule="auto"/>
      <w:jc w:val="center"/>
    </w:pPr>
    <w:rPr>
      <w:rFonts w:ascii="Times New Roman" w:eastAsia="Times New Roman" w:hAnsi="Times New Roman"/>
      <w:i/>
      <w:sz w:val="18"/>
    </w:rPr>
  </w:style>
  <w:style w:type="paragraph" w:customStyle="1" w:styleId="pdq2pgselectionanchorcontainer">
    <w:name w:val="pdq2pg_selectionanchorcontainer"/>
    <w:basedOn w:val="Normal"/>
    <w:rsid w:val="00C469C7"/>
    <w:pPr>
      <w:widowControl/>
      <w:autoSpaceDE/>
      <w:autoSpaceDN/>
      <w:spacing w:before="100" w:beforeAutospacing="1" w:after="100" w:afterAutospacing="1" w:line="240" w:lineRule="auto"/>
      <w:jc w:val="left"/>
    </w:pPr>
    <w:rPr>
      <w:szCs w:val="24"/>
      <w:lang w:bidi="bn-IN"/>
    </w:rPr>
  </w:style>
  <w:style w:type="paragraph" w:customStyle="1" w:styleId="SmallNote">
    <w:name w:val="Small Note"/>
    <w:rsid w:val="00A43F5E"/>
    <w:pPr>
      <w:widowControl/>
      <w:autoSpaceDE/>
      <w:autoSpaceDN/>
      <w:spacing w:after="60" w:line="276" w:lineRule="auto"/>
    </w:pPr>
    <w:rPr>
      <w:rFonts w:ascii="Aptos" w:eastAsiaTheme="minorEastAsia" w:hAnsi="Aptos"/>
      <w:i/>
      <w:sz w:val="18"/>
    </w:rPr>
  </w:style>
  <w:style w:type="table" w:styleId="GridTable2-Accent1">
    <w:name w:val="Grid Table 2 Accent 1"/>
    <w:basedOn w:val="TableNormal"/>
    <w:uiPriority w:val="47"/>
    <w:rsid w:val="001274D6"/>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2">
    <w:name w:val="Grid Table 2"/>
    <w:basedOn w:val="TableNormal"/>
    <w:uiPriority w:val="47"/>
    <w:rsid w:val="0021407E"/>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uiPriority w:val="1"/>
    <w:qFormat/>
    <w:rsid w:val="00AD6C48"/>
    <w:pPr>
      <w:jc w:val="both"/>
    </w:pPr>
    <w:rPr>
      <w:rFonts w:ascii="Times New Roman" w:eastAsia="Times New Roman" w:hAnsi="Times New Roman" w:cs="Times New Roman"/>
      <w:sz w:val="24"/>
    </w:rPr>
  </w:style>
  <w:style w:type="paragraph" w:customStyle="1" w:styleId="EntryHeading">
    <w:name w:val="Entry Heading"/>
    <w:rsid w:val="008D0224"/>
    <w:pPr>
      <w:keepNext/>
      <w:widowControl/>
      <w:autoSpaceDE/>
      <w:autoSpaceDN/>
      <w:spacing w:before="180" w:after="60" w:line="276" w:lineRule="auto"/>
    </w:pPr>
    <w:rPr>
      <w:rFonts w:ascii="Arial" w:eastAsiaTheme="minorEastAsia" w:hAnsi="Arial"/>
      <w:b/>
      <w:color w:val="1F4E79"/>
      <w:sz w:val="23"/>
    </w:rPr>
  </w:style>
  <w:style w:type="paragraph" w:customStyle="1" w:styleId="artifact-docx-previewheading1">
    <w:name w:val="artifact-docx-preview_heading1"/>
    <w:basedOn w:val="Normal"/>
    <w:rsid w:val="001241A8"/>
    <w:pPr>
      <w:widowControl/>
      <w:autoSpaceDE/>
      <w:autoSpaceDN/>
      <w:spacing w:before="100" w:beforeAutospacing="1" w:after="100" w:afterAutospacing="1" w:line="240" w:lineRule="auto"/>
      <w:jc w:val="left"/>
    </w:pPr>
    <w:rPr>
      <w:szCs w:val="24"/>
      <w:lang w:bidi="bn-IN"/>
    </w:rPr>
  </w:style>
  <w:style w:type="paragraph" w:customStyle="1" w:styleId="isselectedend">
    <w:name w:val="isselectedend"/>
    <w:basedOn w:val="Normal"/>
    <w:rsid w:val="00045061"/>
    <w:pPr>
      <w:widowControl/>
      <w:autoSpaceDE/>
      <w:autoSpaceDN/>
      <w:spacing w:before="100" w:beforeAutospacing="1" w:after="100" w:afterAutospacing="1" w:line="240" w:lineRule="auto"/>
      <w:jc w:val="left"/>
    </w:pPr>
    <w:rPr>
      <w:szCs w:val="24"/>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799094">
      <w:bodyDiv w:val="1"/>
      <w:marLeft w:val="0"/>
      <w:marRight w:val="0"/>
      <w:marTop w:val="0"/>
      <w:marBottom w:val="0"/>
      <w:divBdr>
        <w:top w:val="none" w:sz="0" w:space="0" w:color="auto"/>
        <w:left w:val="none" w:sz="0" w:space="0" w:color="auto"/>
        <w:bottom w:val="none" w:sz="0" w:space="0" w:color="auto"/>
        <w:right w:val="none" w:sz="0" w:space="0" w:color="auto"/>
      </w:divBdr>
    </w:div>
    <w:div w:id="218441129">
      <w:bodyDiv w:val="1"/>
      <w:marLeft w:val="0"/>
      <w:marRight w:val="0"/>
      <w:marTop w:val="0"/>
      <w:marBottom w:val="0"/>
      <w:divBdr>
        <w:top w:val="none" w:sz="0" w:space="0" w:color="auto"/>
        <w:left w:val="none" w:sz="0" w:space="0" w:color="auto"/>
        <w:bottom w:val="none" w:sz="0" w:space="0" w:color="auto"/>
        <w:right w:val="none" w:sz="0" w:space="0" w:color="auto"/>
      </w:divBdr>
    </w:div>
    <w:div w:id="427622736">
      <w:bodyDiv w:val="1"/>
      <w:marLeft w:val="0"/>
      <w:marRight w:val="0"/>
      <w:marTop w:val="0"/>
      <w:marBottom w:val="0"/>
      <w:divBdr>
        <w:top w:val="none" w:sz="0" w:space="0" w:color="auto"/>
        <w:left w:val="none" w:sz="0" w:space="0" w:color="auto"/>
        <w:bottom w:val="none" w:sz="0" w:space="0" w:color="auto"/>
        <w:right w:val="none" w:sz="0" w:space="0" w:color="auto"/>
      </w:divBdr>
    </w:div>
    <w:div w:id="644552353">
      <w:bodyDiv w:val="1"/>
      <w:marLeft w:val="0"/>
      <w:marRight w:val="0"/>
      <w:marTop w:val="0"/>
      <w:marBottom w:val="0"/>
      <w:divBdr>
        <w:top w:val="none" w:sz="0" w:space="0" w:color="auto"/>
        <w:left w:val="none" w:sz="0" w:space="0" w:color="auto"/>
        <w:bottom w:val="none" w:sz="0" w:space="0" w:color="auto"/>
        <w:right w:val="none" w:sz="0" w:space="0" w:color="auto"/>
      </w:divBdr>
    </w:div>
    <w:div w:id="854348168">
      <w:bodyDiv w:val="1"/>
      <w:marLeft w:val="0"/>
      <w:marRight w:val="0"/>
      <w:marTop w:val="0"/>
      <w:marBottom w:val="0"/>
      <w:divBdr>
        <w:top w:val="none" w:sz="0" w:space="0" w:color="auto"/>
        <w:left w:val="none" w:sz="0" w:space="0" w:color="auto"/>
        <w:bottom w:val="none" w:sz="0" w:space="0" w:color="auto"/>
        <w:right w:val="none" w:sz="0" w:space="0" w:color="auto"/>
      </w:divBdr>
    </w:div>
    <w:div w:id="894463646">
      <w:bodyDiv w:val="1"/>
      <w:marLeft w:val="0"/>
      <w:marRight w:val="0"/>
      <w:marTop w:val="0"/>
      <w:marBottom w:val="0"/>
      <w:divBdr>
        <w:top w:val="none" w:sz="0" w:space="0" w:color="auto"/>
        <w:left w:val="none" w:sz="0" w:space="0" w:color="auto"/>
        <w:bottom w:val="none" w:sz="0" w:space="0" w:color="auto"/>
        <w:right w:val="none" w:sz="0" w:space="0" w:color="auto"/>
      </w:divBdr>
    </w:div>
    <w:div w:id="1034579642">
      <w:bodyDiv w:val="1"/>
      <w:marLeft w:val="0"/>
      <w:marRight w:val="0"/>
      <w:marTop w:val="0"/>
      <w:marBottom w:val="0"/>
      <w:divBdr>
        <w:top w:val="none" w:sz="0" w:space="0" w:color="auto"/>
        <w:left w:val="none" w:sz="0" w:space="0" w:color="auto"/>
        <w:bottom w:val="none" w:sz="0" w:space="0" w:color="auto"/>
        <w:right w:val="none" w:sz="0" w:space="0" w:color="auto"/>
      </w:divBdr>
    </w:div>
    <w:div w:id="1176574762">
      <w:bodyDiv w:val="1"/>
      <w:marLeft w:val="0"/>
      <w:marRight w:val="0"/>
      <w:marTop w:val="0"/>
      <w:marBottom w:val="0"/>
      <w:divBdr>
        <w:top w:val="none" w:sz="0" w:space="0" w:color="auto"/>
        <w:left w:val="none" w:sz="0" w:space="0" w:color="auto"/>
        <w:bottom w:val="none" w:sz="0" w:space="0" w:color="auto"/>
        <w:right w:val="none" w:sz="0" w:space="0" w:color="auto"/>
      </w:divBdr>
    </w:div>
    <w:div w:id="1568610644">
      <w:bodyDiv w:val="1"/>
      <w:marLeft w:val="0"/>
      <w:marRight w:val="0"/>
      <w:marTop w:val="0"/>
      <w:marBottom w:val="0"/>
      <w:divBdr>
        <w:top w:val="none" w:sz="0" w:space="0" w:color="auto"/>
        <w:left w:val="none" w:sz="0" w:space="0" w:color="auto"/>
        <w:bottom w:val="none" w:sz="0" w:space="0" w:color="auto"/>
        <w:right w:val="none" w:sz="0" w:space="0" w:color="auto"/>
      </w:divBdr>
      <w:divsChild>
        <w:div w:id="1608805772">
          <w:marLeft w:val="547"/>
          <w:marRight w:val="0"/>
          <w:marTop w:val="96"/>
          <w:marBottom w:val="0"/>
          <w:divBdr>
            <w:top w:val="none" w:sz="0" w:space="0" w:color="auto"/>
            <w:left w:val="none" w:sz="0" w:space="0" w:color="auto"/>
            <w:bottom w:val="none" w:sz="0" w:space="0" w:color="auto"/>
            <w:right w:val="none" w:sz="0" w:space="0" w:color="auto"/>
          </w:divBdr>
        </w:div>
        <w:div w:id="1922525475">
          <w:marLeft w:val="547"/>
          <w:marRight w:val="0"/>
          <w:marTop w:val="96"/>
          <w:marBottom w:val="0"/>
          <w:divBdr>
            <w:top w:val="none" w:sz="0" w:space="0" w:color="auto"/>
            <w:left w:val="none" w:sz="0" w:space="0" w:color="auto"/>
            <w:bottom w:val="none" w:sz="0" w:space="0" w:color="auto"/>
            <w:right w:val="none" w:sz="0" w:space="0" w:color="auto"/>
          </w:divBdr>
        </w:div>
        <w:div w:id="397363781">
          <w:marLeft w:val="547"/>
          <w:marRight w:val="0"/>
          <w:marTop w:val="96"/>
          <w:marBottom w:val="0"/>
          <w:divBdr>
            <w:top w:val="none" w:sz="0" w:space="0" w:color="auto"/>
            <w:left w:val="none" w:sz="0" w:space="0" w:color="auto"/>
            <w:bottom w:val="none" w:sz="0" w:space="0" w:color="auto"/>
            <w:right w:val="none" w:sz="0" w:space="0" w:color="auto"/>
          </w:divBdr>
        </w:div>
      </w:divsChild>
    </w:div>
    <w:div w:id="1717972150">
      <w:bodyDiv w:val="1"/>
      <w:marLeft w:val="0"/>
      <w:marRight w:val="0"/>
      <w:marTop w:val="0"/>
      <w:marBottom w:val="0"/>
      <w:divBdr>
        <w:top w:val="none" w:sz="0" w:space="0" w:color="auto"/>
        <w:left w:val="none" w:sz="0" w:space="0" w:color="auto"/>
        <w:bottom w:val="none" w:sz="0" w:space="0" w:color="auto"/>
        <w:right w:val="none" w:sz="0" w:space="0" w:color="auto"/>
      </w:divBdr>
    </w:div>
    <w:div w:id="20866033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952FE-4F39-4922-938A-52A3245C39AB}">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removed="0"/>
</clbl:labelList>
</file>

<file path=docProps/app.xml><?xml version="1.0" encoding="utf-8"?>
<Properties xmlns="http://schemas.openxmlformats.org/officeDocument/2006/extended-properties" xmlns:vt="http://schemas.openxmlformats.org/officeDocument/2006/docPropsVTypes">
  <Template>Normal</Template>
  <TotalTime>2</TotalTime>
  <Pages>15</Pages>
  <Words>3163</Words>
  <Characters>18034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Ela Rich</dc:creator>
  <cp:lastModifiedBy>Ela Rich</cp:lastModifiedBy>
  <cp:revision>2</cp:revision>
  <dcterms:created xsi:type="dcterms:W3CDTF">2026-08-18T21:20:00Z</dcterms:created>
  <dcterms:modified xsi:type="dcterms:W3CDTF">2026-08-18T21:20:00Z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2025-02-18T00:00:00Z</vt:filetime>
  </property>
  <property fmtid="{D5CDD505-2E9C-101B-9397-08002B2CF9AE}" pid="3" name="Creator">
    <vt:lpwstr>Microsoft® Word for Microsoft 365</vt:lpwstr>
  </property>
  <property fmtid="{D5CDD505-2E9C-101B-9397-08002B2CF9AE}" pid="4" name="LastSaved">
    <vt:filetime>2025-02-27T00:00:00Z</vt:filetime>
  </property>
  <property fmtid="{D5CDD505-2E9C-101B-9397-08002B2CF9AE}" pid="5" name="Producer">
    <vt:lpwstr>Microsoft® Word for Microsoft 365</vt:lpwstr>
  </property>
  <property fmtid="{D5CDD505-2E9C-101B-9397-08002B2CF9AE}" pid="6" name="GrammarlyDocumentId">
    <vt:lpwstr>c6f09c2e-7100-4214-bb17-30e957ef4886</vt:lpwstr>
  </property>
</Properties>
</file>