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A"/>
        <w:rPr>
          <w:b w:val="1"/>
          <w:bCs w:val="1"/>
          <w:sz w:val="32"/>
          <w:szCs w:val="32"/>
        </w:rPr>
      </w:pPr>
    </w:p>
    <w:p>
      <w:pPr>
        <w:pStyle w:val="Body A"/>
        <w:jc w:val="center"/>
        <w:rPr>
          <w:b w:val="1"/>
          <w:bCs w:val="1"/>
          <w:sz w:val="32"/>
          <w:szCs w:val="32"/>
        </w:rPr>
      </w:pPr>
      <w:r>
        <w:rPr>
          <w:b w:val="1"/>
          <w:bCs w:val="1"/>
          <w:sz w:val="32"/>
          <w:szCs w:val="32"/>
          <w:rtl w:val="0"/>
          <w:lang w:val="en-US"/>
        </w:rPr>
        <w:t>UNIVERSITY OF WALES TRINITY SAINT DAVID</w:t>
      </w:r>
    </w:p>
    <w:p>
      <w:pPr>
        <w:pStyle w:val="Body A"/>
        <w:jc w:val="center"/>
        <w:rPr>
          <w:b w:val="1"/>
          <w:bCs w:val="1"/>
          <w:sz w:val="32"/>
          <w:szCs w:val="32"/>
        </w:rPr>
      </w:pPr>
      <w:r>
        <w:rPr>
          <w:b w:val="1"/>
          <w:bCs w:val="1"/>
          <w:sz w:val="32"/>
          <w:szCs w:val="32"/>
          <w:rtl w:val="0"/>
          <w:lang w:val="de-DE"/>
        </w:rPr>
        <w:t>CONTINUING PROFESSIONAL DEVELOPMENT SCHEME</w:t>
      </w:r>
    </w:p>
    <w:p>
      <w:pPr>
        <w:pStyle w:val="Body A"/>
        <w:jc w:val="center"/>
        <w:rPr>
          <w:b w:val="1"/>
          <w:bCs w:val="1"/>
          <w:sz w:val="32"/>
          <w:szCs w:val="32"/>
        </w:rPr>
      </w:pPr>
      <w:r>
        <w:rPr>
          <w:b w:val="1"/>
          <w:bCs w:val="1"/>
          <w:sz w:val="32"/>
          <w:szCs w:val="32"/>
          <w:rtl w:val="0"/>
          <w:lang w:val="en-US"/>
        </w:rPr>
        <w:t>FOR RECOGNITION BY THE HEA AGAINST THE</w:t>
      </w:r>
    </w:p>
    <w:p>
      <w:pPr>
        <w:pStyle w:val="Body A"/>
        <w:jc w:val="center"/>
        <w:rPr>
          <w:b w:val="1"/>
          <w:bCs w:val="1"/>
          <w:sz w:val="32"/>
          <w:szCs w:val="32"/>
        </w:rPr>
      </w:pPr>
      <w:r>
        <w:rPr>
          <w:b w:val="1"/>
          <w:bCs w:val="1"/>
          <w:sz w:val="32"/>
          <w:szCs w:val="32"/>
          <w:rtl w:val="0"/>
          <w:lang w:val="de-DE"/>
        </w:rPr>
        <w:t>UK PROFESSIONAL STANDARDS FRAMEWORK</w:t>
      </w:r>
    </w:p>
    <w:p>
      <w:pPr>
        <w:pStyle w:val="Body A"/>
        <w:jc w:val="center"/>
        <w:rPr>
          <w:b w:val="1"/>
          <w:bCs w:val="1"/>
          <w:sz w:val="32"/>
          <w:szCs w:val="32"/>
        </w:rPr>
      </w:pPr>
    </w:p>
    <w:p>
      <w:pPr>
        <w:pStyle w:val="Body A"/>
        <w:jc w:val="center"/>
        <w:rPr>
          <w:b w:val="1"/>
          <w:bCs w:val="1"/>
          <w:sz w:val="32"/>
          <w:szCs w:val="32"/>
        </w:rPr>
      </w:pPr>
      <w:r>
        <w:rPr>
          <w:b w:val="1"/>
          <w:bCs w:val="1"/>
          <w:sz w:val="32"/>
          <w:szCs w:val="32"/>
          <w:rtl w:val="0"/>
          <w:lang w:val="en-US"/>
        </w:rPr>
        <w:t>APPLICATION FOR FELLOW</w:t>
      </w:r>
    </w:p>
    <w:p>
      <w:pPr>
        <w:pStyle w:val="Body A"/>
        <w:jc w:val="center"/>
        <w:rPr>
          <w:sz w:val="24"/>
          <w:szCs w:val="24"/>
        </w:rPr>
      </w:pPr>
      <w:r>
        <w:rPr>
          <w:b w:val="1"/>
          <w:bCs w:val="1"/>
          <w:sz w:val="32"/>
          <w:szCs w:val="32"/>
          <w:rtl w:val="0"/>
        </w:rPr>
        <w:t>(WRITTEN RECORD)</w:t>
      </w:r>
    </w:p>
    <w:p>
      <w:pPr>
        <w:pStyle w:val="Body A"/>
        <w:rPr>
          <w:sz w:val="24"/>
          <w:szCs w:val="24"/>
        </w:rPr>
      </w:pPr>
    </w:p>
    <w:p>
      <w:pPr>
        <w:pStyle w:val="Body A"/>
        <w:rPr>
          <w:b w:val="1"/>
          <w:bCs w:val="1"/>
          <w:sz w:val="32"/>
          <w:szCs w:val="32"/>
          <w:u w:val="single"/>
        </w:rPr>
      </w:pPr>
      <w:r>
        <w:rPr>
          <w:rFonts w:cs="Arial Unicode MS" w:eastAsia="Arial Unicode MS"/>
          <w:b w:val="1"/>
          <w:bCs w:val="1"/>
          <w:sz w:val="32"/>
          <w:szCs w:val="32"/>
          <w:u w:val="single"/>
          <w:rtl w:val="0"/>
          <w:lang w:val="en-US"/>
        </w:rPr>
        <w:t>SECTION ONE:</w:t>
      </w:r>
    </w:p>
    <w:p>
      <w:pPr>
        <w:pStyle w:val="Body A"/>
        <w:rPr>
          <w:sz w:val="24"/>
          <w:szCs w:val="24"/>
        </w:rPr>
      </w:pPr>
    </w:p>
    <w:tbl>
      <w:tblPr>
        <w:tblW w:w="1074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353"/>
        <w:gridCol w:w="5387"/>
      </w:tblGrid>
      <w:tr>
        <w:tblPrEx>
          <w:shd w:val="clear" w:color="auto" w:fill="ced7e7"/>
        </w:tblPrEx>
        <w:trPr>
          <w:trHeight w:val="572" w:hRule="atLeast"/>
        </w:trPr>
        <w:tc>
          <w:tcPr>
            <w:tcW w:type="dxa" w:w="53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b w:val="1"/>
                <w:bCs w:val="1"/>
                <w:sz w:val="24"/>
                <w:szCs w:val="24"/>
                <w:rtl w:val="0"/>
                <w:lang w:val="en-US"/>
              </w:rPr>
              <w:t>NAME</w:t>
            </w:r>
          </w:p>
        </w:tc>
        <w:tc>
          <w:tcPr>
            <w:tcW w:type="dxa" w:w="5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sz w:val="24"/>
                <w:szCs w:val="24"/>
                <w:rtl w:val="0"/>
                <w:lang w:val="en-US"/>
              </w:rPr>
              <w:t>Peter Williams</w:t>
            </w:r>
          </w:p>
        </w:tc>
      </w:tr>
      <w:tr>
        <w:tblPrEx>
          <w:shd w:val="clear" w:color="auto" w:fill="ced7e7"/>
        </w:tblPrEx>
        <w:trPr>
          <w:trHeight w:val="572" w:hRule="atLeast"/>
        </w:trPr>
        <w:tc>
          <w:tcPr>
            <w:tcW w:type="dxa" w:w="53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b w:val="1"/>
                <w:bCs w:val="1"/>
                <w:sz w:val="24"/>
                <w:szCs w:val="24"/>
              </w:rPr>
            </w:pPr>
            <w:r>
              <w:rPr>
                <w:b w:val="1"/>
                <w:bCs w:val="1"/>
                <w:sz w:val="24"/>
                <w:szCs w:val="24"/>
                <w:rtl w:val="0"/>
                <w:lang w:val="en-US"/>
              </w:rPr>
              <w:t>FACULTY/CENTRE/SCHOOL/</w:t>
            </w:r>
          </w:p>
          <w:p>
            <w:pPr>
              <w:pStyle w:val="Body A"/>
            </w:pPr>
            <w:r>
              <w:rPr>
                <w:rFonts w:cs="Arial Unicode MS" w:eastAsia="Arial Unicode MS"/>
                <w:b w:val="1"/>
                <w:bCs w:val="1"/>
                <w:sz w:val="24"/>
                <w:szCs w:val="24"/>
                <w:rtl w:val="0"/>
                <w:lang w:val="en-US"/>
              </w:rPr>
              <w:t>DEPARTMENT</w:t>
            </w:r>
          </w:p>
        </w:tc>
        <w:tc>
          <w:tcPr>
            <w:tcW w:type="dxa" w:w="5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sz w:val="24"/>
                <w:szCs w:val="24"/>
                <w:rtl w:val="0"/>
                <w:lang w:val="en-US"/>
              </w:rPr>
              <w:t>School of Fine &amp; Media Arts</w:t>
            </w:r>
          </w:p>
        </w:tc>
      </w:tr>
      <w:tr>
        <w:tblPrEx>
          <w:shd w:val="clear" w:color="auto" w:fill="ced7e7"/>
        </w:tblPrEx>
        <w:trPr>
          <w:trHeight w:val="1072" w:hRule="atLeast"/>
        </w:trPr>
        <w:tc>
          <w:tcPr>
            <w:tcW w:type="dxa" w:w="53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b w:val="1"/>
                <w:bCs w:val="1"/>
                <w:sz w:val="24"/>
                <w:szCs w:val="24"/>
                <w:rtl w:val="0"/>
                <w:lang w:val="en-US"/>
              </w:rPr>
              <w:t xml:space="preserve">POSITION </w:t>
            </w:r>
            <w:r>
              <w:rPr>
                <w:rFonts w:cs="Arial Unicode MS" w:eastAsia="Arial Unicode MS"/>
                <w:sz w:val="24"/>
                <w:szCs w:val="24"/>
                <w:rtl w:val="0"/>
                <w:lang w:val="en-US"/>
              </w:rPr>
              <w:t xml:space="preserve">(E.g. Lecturer/Senior Lecturer/Principal Lecturer/Head of School/Other </w:t>
            </w:r>
            <w:r>
              <w:rPr>
                <w:rFonts w:cs="Arial Unicode MS" w:eastAsia="Arial Unicode MS"/>
                <w:sz w:val="20"/>
                <w:szCs w:val="20"/>
                <w:rtl w:val="0"/>
                <w:lang w:val="en-US"/>
              </w:rPr>
              <w:t>(please specify)</w:t>
            </w:r>
          </w:p>
        </w:tc>
        <w:tc>
          <w:tcPr>
            <w:tcW w:type="dxa" w:w="5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sz w:val="24"/>
                <w:szCs w:val="24"/>
                <w:lang w:val="en-US"/>
              </w:rPr>
            </w:pPr>
          </w:p>
          <w:p>
            <w:pPr>
              <w:pStyle w:val="Body A"/>
            </w:pPr>
            <w:r>
              <w:rPr>
                <w:rFonts w:cs="Arial Unicode MS" w:eastAsia="Arial Unicode MS"/>
                <w:sz w:val="24"/>
                <w:szCs w:val="24"/>
                <w:rtl w:val="0"/>
                <w:lang w:val="en-US"/>
              </w:rPr>
              <w:t>Lecturer</w:t>
            </w:r>
          </w:p>
        </w:tc>
      </w:tr>
      <w:tr>
        <w:tblPrEx>
          <w:shd w:val="clear" w:color="auto" w:fill="ced7e7"/>
        </w:tblPrEx>
        <w:trPr>
          <w:trHeight w:val="1412" w:hRule="atLeast"/>
        </w:trPr>
        <w:tc>
          <w:tcPr>
            <w:tcW w:type="dxa" w:w="53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b w:val="1"/>
                <w:bCs w:val="1"/>
                <w:sz w:val="24"/>
                <w:szCs w:val="24"/>
                <w:rtl w:val="0"/>
                <w:lang w:val="en-US"/>
              </w:rPr>
              <w:t xml:space="preserve">ROLE </w:t>
            </w:r>
            <w:r>
              <w:rPr>
                <w:rFonts w:cs="Arial Unicode MS" w:eastAsia="Arial Unicode MS"/>
                <w:sz w:val="24"/>
                <w:szCs w:val="24"/>
                <w:rtl w:val="0"/>
                <w:lang w:val="en-US"/>
              </w:rPr>
              <w:t xml:space="preserve">(E.g. Lecturer/Programme Director/Admissions Tutor/Module Leader/Other </w:t>
            </w:r>
            <w:r>
              <w:rPr>
                <w:rFonts w:cs="Arial Unicode MS" w:eastAsia="Arial Unicode MS"/>
                <w:sz w:val="20"/>
                <w:szCs w:val="20"/>
                <w:rtl w:val="0"/>
                <w:lang w:val="en-US"/>
              </w:rPr>
              <w:t>(please specify)</w:t>
            </w:r>
          </w:p>
        </w:tc>
        <w:tc>
          <w:tcPr>
            <w:tcW w:type="dxa" w:w="5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sz w:val="24"/>
                <w:szCs w:val="24"/>
              </w:rPr>
            </w:pPr>
            <w:r>
              <w:rPr>
                <w:sz w:val="24"/>
                <w:szCs w:val="24"/>
                <w:rtl w:val="0"/>
                <w:lang w:val="en-US"/>
              </w:rPr>
              <w:t xml:space="preserve">Lecturer: BA Music Technology, </w:t>
            </w:r>
          </w:p>
          <w:p>
            <w:pPr>
              <w:pStyle w:val="Body A"/>
            </w:pPr>
            <w:r>
              <w:rPr>
                <w:rFonts w:cs="Arial Unicode MS" w:eastAsia="Arial Unicode MS"/>
                <w:sz w:val="24"/>
                <w:szCs w:val="24"/>
                <w:rtl w:val="0"/>
                <w:lang w:val="en-US"/>
              </w:rPr>
              <w:t>Personal Tutor: BA Music Technology, BA Music (Performance and Production) and MA Music Technology.</w:t>
            </w:r>
          </w:p>
        </w:tc>
      </w:tr>
      <w:tr>
        <w:tblPrEx>
          <w:shd w:val="clear" w:color="auto" w:fill="ced7e7"/>
        </w:tblPrEx>
        <w:trPr>
          <w:trHeight w:val="1132" w:hRule="atLeast"/>
        </w:trPr>
        <w:tc>
          <w:tcPr>
            <w:tcW w:type="dxa" w:w="53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b w:val="1"/>
                <w:bCs w:val="1"/>
                <w:sz w:val="24"/>
                <w:szCs w:val="24"/>
              </w:rPr>
            </w:pPr>
            <w:r>
              <w:rPr>
                <w:b w:val="1"/>
                <w:bCs w:val="1"/>
                <w:sz w:val="24"/>
                <w:szCs w:val="24"/>
                <w:rtl w:val="0"/>
                <w:lang w:val="en-US"/>
              </w:rPr>
              <w:t>LENGTH OF SERVICE AT UWTSD</w:t>
            </w:r>
          </w:p>
          <w:p>
            <w:pPr>
              <w:pStyle w:val="Body A"/>
            </w:pPr>
            <w:r>
              <w:rPr>
                <w:rFonts w:cs="Arial Unicode MS" w:eastAsia="Arial Unicode MS"/>
                <w:b w:val="1"/>
                <w:bCs w:val="1"/>
                <w:sz w:val="24"/>
                <w:szCs w:val="24"/>
                <w:rtl w:val="0"/>
                <w:lang w:val="en-US"/>
              </w:rPr>
              <w:t>(Applicants must have at least one year</w:t>
            </w:r>
            <w:r>
              <w:rPr>
                <w:rFonts w:cs="Arial Unicode MS" w:eastAsia="Arial Unicode MS" w:hint="default"/>
                <w:b w:val="1"/>
                <w:bCs w:val="1"/>
                <w:sz w:val="24"/>
                <w:szCs w:val="24"/>
                <w:rtl w:val="0"/>
                <w:lang w:val="en-US"/>
              </w:rPr>
              <w:t>’</w:t>
            </w:r>
            <w:r>
              <w:rPr>
                <w:rFonts w:cs="Arial Unicode MS" w:eastAsia="Arial Unicode MS"/>
                <w:b w:val="1"/>
                <w:bCs w:val="1"/>
                <w:sz w:val="24"/>
                <w:szCs w:val="24"/>
                <w:rtl w:val="0"/>
                <w:lang w:val="en-US"/>
              </w:rPr>
              <w:t>s service to evidence a CPD record)</w:t>
            </w:r>
          </w:p>
        </w:tc>
        <w:tc>
          <w:tcPr>
            <w:tcW w:type="dxa" w:w="53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b w:val="1"/>
                <w:bCs w:val="1"/>
                <w:sz w:val="24"/>
                <w:szCs w:val="24"/>
                <w:rtl w:val="0"/>
                <w:lang w:val="en-US"/>
              </w:rPr>
              <w:t>YEARS:11</w:t>
            </w:r>
            <w:r>
              <w:rPr>
                <w:rFonts w:cs="Arial Unicode MS" w:eastAsia="Arial Unicode MS"/>
                <w:sz w:val="24"/>
                <w:szCs w:val="24"/>
                <w:rtl w:val="0"/>
                <w:lang w:val="en-US"/>
              </w:rPr>
              <w:t xml:space="preserve">              </w:t>
            </w:r>
            <w:r>
              <w:rPr>
                <w:rFonts w:cs="Arial Unicode MS" w:eastAsia="Arial Unicode MS"/>
                <w:b w:val="1"/>
                <w:bCs w:val="1"/>
                <w:sz w:val="24"/>
                <w:szCs w:val="24"/>
                <w:rtl w:val="0"/>
                <w:lang w:val="en-US"/>
              </w:rPr>
              <w:t>MONTHS:8</w:t>
            </w:r>
          </w:p>
        </w:tc>
      </w:tr>
    </w:tbl>
    <w:p>
      <w:pPr>
        <w:pStyle w:val="Body A"/>
        <w:widowControl w:val="0"/>
        <w:ind w:left="108" w:hanging="108"/>
        <w:rPr>
          <w:sz w:val="24"/>
          <w:szCs w:val="24"/>
        </w:rPr>
      </w:pPr>
    </w:p>
    <w:p>
      <w:pPr>
        <w:pStyle w:val="Body A"/>
        <w:widowControl w:val="0"/>
        <w:rPr>
          <w:sz w:val="24"/>
          <w:szCs w:val="24"/>
        </w:rPr>
      </w:pPr>
    </w:p>
    <w:p>
      <w:pPr>
        <w:pStyle w:val="Body A"/>
      </w:pPr>
    </w:p>
    <w:tbl>
      <w:tblPr>
        <w:tblW w:w="1074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740"/>
      </w:tblGrid>
      <w:tr>
        <w:tblPrEx>
          <w:shd w:val="clear" w:color="auto" w:fill="ced7e7"/>
        </w:tblPrEx>
        <w:trPr>
          <w:trHeight w:val="3652" w:hRule="atLeast"/>
        </w:trPr>
        <w:tc>
          <w:tcPr>
            <w:tcW w:type="dxa" w:w="107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b w:val="1"/>
                <w:bCs w:val="1"/>
                <w:sz w:val="24"/>
                <w:szCs w:val="24"/>
                <w:lang w:val="en-US"/>
              </w:rPr>
            </w:pPr>
          </w:p>
          <w:p>
            <w:pPr>
              <w:pStyle w:val="Body A"/>
              <w:bidi w:val="0"/>
              <w:ind w:left="0" w:right="0" w:firstLine="0"/>
              <w:jc w:val="center"/>
              <w:rPr>
                <w:b w:val="1"/>
                <w:bCs w:val="1"/>
                <w:sz w:val="24"/>
                <w:szCs w:val="24"/>
                <w:u w:val="single"/>
                <w:rtl w:val="0"/>
              </w:rPr>
            </w:pPr>
            <w:r>
              <w:rPr>
                <w:b w:val="1"/>
                <w:bCs w:val="1"/>
                <w:sz w:val="24"/>
                <w:szCs w:val="24"/>
                <w:u w:val="none"/>
                <w:rtl w:val="0"/>
                <w:lang w:val="en-US"/>
              </w:rPr>
              <w:t xml:space="preserve">APPLICATION FOR </w:t>
            </w:r>
            <w:r>
              <w:rPr>
                <w:b w:val="1"/>
                <w:bCs w:val="1"/>
                <w:sz w:val="24"/>
                <w:szCs w:val="24"/>
                <w:u w:val="single"/>
                <w:rtl w:val="0"/>
                <w:lang w:val="en-US"/>
              </w:rPr>
              <w:t>FELLOW</w:t>
            </w:r>
          </w:p>
          <w:p>
            <w:pPr>
              <w:pStyle w:val="Body A"/>
              <w:jc w:val="center"/>
              <w:rPr>
                <w:b w:val="1"/>
                <w:bCs w:val="1"/>
                <w:sz w:val="24"/>
                <w:szCs w:val="24"/>
                <w:u w:val="single"/>
                <w:lang w:val="en-US"/>
              </w:rPr>
            </w:pPr>
          </w:p>
          <w:p>
            <w:pPr>
              <w:pStyle w:val="Body A"/>
              <w:bidi w:val="0"/>
              <w:ind w:left="0" w:right="0" w:firstLine="0"/>
              <w:jc w:val="both"/>
              <w:rPr>
                <w:sz w:val="24"/>
                <w:szCs w:val="24"/>
                <w:rtl w:val="0"/>
              </w:rPr>
            </w:pPr>
            <w:r>
              <w:rPr>
                <w:sz w:val="24"/>
                <w:szCs w:val="24"/>
                <w:rtl w:val="0"/>
                <w:lang w:val="en-US"/>
              </w:rPr>
              <w:t xml:space="preserve">In your application for recognition as a Fellow of the Higher Education Academy (HEA), you are required to demonstrate fully how your continuing professional development allows you to meet the requirements for </w:t>
            </w:r>
            <w:r>
              <w:rPr>
                <w:b w:val="1"/>
                <w:bCs w:val="1"/>
                <w:sz w:val="24"/>
                <w:szCs w:val="24"/>
                <w:rtl w:val="0"/>
                <w:lang w:val="en-US"/>
              </w:rPr>
              <w:t>Descriptor 2</w:t>
            </w:r>
            <w:r>
              <w:rPr>
                <w:sz w:val="24"/>
                <w:szCs w:val="24"/>
                <w:rtl w:val="0"/>
                <w:lang w:val="en-US"/>
              </w:rPr>
              <w:t xml:space="preserve">, Fellow status, as outlined in the </w:t>
            </w:r>
            <w:r>
              <w:rPr>
                <w:i w:val="1"/>
                <w:iCs w:val="1"/>
                <w:sz w:val="24"/>
                <w:szCs w:val="24"/>
                <w:rtl w:val="0"/>
                <w:lang w:val="en-US"/>
              </w:rPr>
              <w:t>Guidance Handbook</w:t>
            </w:r>
            <w:r>
              <w:rPr>
                <w:sz w:val="24"/>
                <w:szCs w:val="24"/>
                <w:rtl w:val="0"/>
                <w:lang w:val="en-US"/>
              </w:rPr>
              <w:t xml:space="preserve">, relating to the Dimensions of the UK Professional Standards Framework (UKPSF), that is, </w:t>
            </w:r>
            <w:r>
              <w:rPr>
                <w:b w:val="1"/>
                <w:bCs w:val="1"/>
                <w:sz w:val="24"/>
                <w:szCs w:val="24"/>
                <w:rtl w:val="0"/>
                <w:lang w:val="en-US"/>
              </w:rPr>
              <w:t>Areas of Activity</w:t>
            </w:r>
            <w:r>
              <w:rPr>
                <w:sz w:val="24"/>
                <w:szCs w:val="24"/>
                <w:rtl w:val="0"/>
                <w:lang w:val="en-US"/>
              </w:rPr>
              <w:t xml:space="preserve">, </w:t>
            </w:r>
            <w:r>
              <w:rPr>
                <w:b w:val="1"/>
                <w:bCs w:val="1"/>
                <w:sz w:val="24"/>
                <w:szCs w:val="24"/>
                <w:rtl w:val="0"/>
                <w:lang w:val="en-US"/>
              </w:rPr>
              <w:t>Core Knowledge</w:t>
            </w:r>
            <w:r>
              <w:rPr>
                <w:sz w:val="24"/>
                <w:szCs w:val="24"/>
                <w:rtl w:val="0"/>
                <w:lang w:val="en-US"/>
              </w:rPr>
              <w:t xml:space="preserve"> and </w:t>
            </w:r>
            <w:r>
              <w:rPr>
                <w:b w:val="1"/>
                <w:bCs w:val="1"/>
                <w:sz w:val="24"/>
                <w:szCs w:val="24"/>
                <w:rtl w:val="0"/>
                <w:lang w:val="en-US"/>
              </w:rPr>
              <w:t>Professional Values</w:t>
            </w:r>
            <w:r>
              <w:rPr>
                <w:sz w:val="24"/>
                <w:szCs w:val="24"/>
                <w:rtl w:val="0"/>
                <w:lang w:val="en-US"/>
              </w:rPr>
              <w:t>.</w:t>
            </w:r>
          </w:p>
          <w:p>
            <w:pPr>
              <w:pStyle w:val="Body A"/>
              <w:rPr>
                <w:sz w:val="24"/>
                <w:szCs w:val="24"/>
                <w:lang w:val="en-US"/>
              </w:rPr>
            </w:pPr>
          </w:p>
          <w:p>
            <w:pPr>
              <w:pStyle w:val="Body A"/>
              <w:jc w:val="both"/>
            </w:pPr>
            <w:r>
              <w:rPr>
                <w:sz w:val="24"/>
                <w:szCs w:val="24"/>
                <w:rtl w:val="0"/>
                <w:lang w:val="en-US"/>
              </w:rPr>
              <w:t xml:space="preserve">You should aim to include examples of your use of/commitment to relevant elements of the Professional Values and Core Knowledge </w:t>
            </w:r>
            <w:r>
              <w:rPr>
                <w:sz w:val="24"/>
                <w:szCs w:val="24"/>
                <w:u w:val="single"/>
                <w:rtl w:val="0"/>
                <w:lang w:val="en-US"/>
              </w:rPr>
              <w:t>throughout</w:t>
            </w:r>
            <w:r>
              <w:rPr>
                <w:sz w:val="24"/>
                <w:szCs w:val="24"/>
                <w:rtl w:val="0"/>
                <w:lang w:val="en-US"/>
              </w:rPr>
              <w:t xml:space="preserve"> your account. Make clear how you </w:t>
            </w:r>
            <w:r>
              <w:rPr>
                <w:b w:val="1"/>
                <w:bCs w:val="1"/>
                <w:sz w:val="24"/>
                <w:szCs w:val="24"/>
                <w:rtl w:val="0"/>
                <w:lang w:val="en-US"/>
              </w:rPr>
              <w:t>apply</w:t>
            </w:r>
            <w:r>
              <w:rPr>
                <w:sz w:val="24"/>
                <w:szCs w:val="24"/>
                <w:rtl w:val="0"/>
                <w:lang w:val="en-US"/>
              </w:rPr>
              <w:t xml:space="preserve"> appropriate Core Knowledge and how you </w:t>
            </w:r>
            <w:r>
              <w:rPr>
                <w:b w:val="1"/>
                <w:bCs w:val="1"/>
                <w:sz w:val="24"/>
                <w:szCs w:val="24"/>
                <w:rtl w:val="0"/>
                <w:lang w:val="en-US"/>
              </w:rPr>
              <w:t>demonstrate</w:t>
            </w:r>
            <w:r>
              <w:rPr>
                <w:sz w:val="24"/>
                <w:szCs w:val="24"/>
                <w:rtl w:val="0"/>
                <w:lang w:val="en-US"/>
              </w:rPr>
              <w:t xml:space="preserve"> your commitment to appropriate Professional Values set out in the Framework.</w:t>
            </w:r>
          </w:p>
        </w:tc>
      </w:tr>
    </w:tbl>
    <w:p>
      <w:pPr>
        <w:pStyle w:val="Body A"/>
        <w:widowControl w:val="0"/>
        <w:ind w:left="108" w:hanging="108"/>
      </w:pPr>
    </w:p>
    <w:p>
      <w:pPr>
        <w:pStyle w:val="Body A"/>
        <w:widowControl w:val="0"/>
      </w:pPr>
    </w:p>
    <w:p>
      <w:pPr>
        <w:pStyle w:val="Body A"/>
      </w:pPr>
    </w:p>
    <w:p>
      <w:pPr>
        <w:pStyle w:val="Body A"/>
      </w:pPr>
    </w:p>
    <w:p>
      <w:pPr>
        <w:pStyle w:val="Body A"/>
      </w:pPr>
    </w:p>
    <w:p>
      <w:pPr>
        <w:pStyle w:val="Body A"/>
      </w:pPr>
    </w:p>
    <w:p>
      <w:pPr>
        <w:pStyle w:val="Body A"/>
      </w:pPr>
    </w:p>
    <w:p>
      <w:pPr>
        <w:pStyle w:val="Body A"/>
      </w:pPr>
    </w:p>
    <w:tbl>
      <w:tblPr>
        <w:tblW w:w="1074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740"/>
      </w:tblGrid>
      <w:tr>
        <w:tblPrEx>
          <w:shd w:val="clear" w:color="auto" w:fill="ced7e7"/>
        </w:tblPrEx>
        <w:trPr>
          <w:trHeight w:val="9934" w:hRule="atLeast"/>
        </w:trPr>
        <w:tc>
          <w:tcPr>
            <w:tcW w:type="dxa" w:w="107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p>
          <w:p>
            <w:pPr>
              <w:pStyle w:val="Body A"/>
              <w:jc w:val="both"/>
            </w:pPr>
            <w:r>
              <w:rPr>
                <w:b w:val="1"/>
                <w:bCs w:val="1"/>
                <w:sz w:val="24"/>
                <w:szCs w:val="24"/>
                <w:u w:val="single"/>
                <w:rtl w:val="0"/>
                <w:lang w:val="en-US"/>
              </w:rPr>
              <w:t>General Principles to consider in preparing you application</w:t>
            </w:r>
          </w:p>
          <w:p>
            <w:pPr>
              <w:pStyle w:val="Body A"/>
              <w:jc w:val="both"/>
            </w:pPr>
          </w:p>
          <w:p>
            <w:pPr>
              <w:pStyle w:val="List Paragraph"/>
              <w:numPr>
                <w:ilvl w:val="0"/>
                <w:numId w:val="1"/>
              </w:numPr>
              <w:bidi w:val="0"/>
              <w:spacing w:after="0" w:line="240" w:lineRule="auto"/>
              <w:ind w:right="0"/>
              <w:jc w:val="both"/>
              <w:rPr>
                <w:rFonts w:ascii="Arial" w:hAnsi="Arial"/>
                <w:b w:val="1"/>
                <w:bCs w:val="1"/>
                <w:sz w:val="24"/>
                <w:szCs w:val="24"/>
                <w:rtl w:val="0"/>
                <w:lang w:val="en-US"/>
              </w:rPr>
            </w:pPr>
            <w:r>
              <w:rPr>
                <w:rFonts w:ascii="Arial" w:hAnsi="Arial"/>
                <w:b w:val="0"/>
                <w:bCs w:val="0"/>
                <w:sz w:val="24"/>
                <w:szCs w:val="24"/>
                <w:rtl w:val="0"/>
                <w:lang w:val="en-US"/>
              </w:rPr>
              <w:t xml:space="preserve">You will need to incorporate relevant </w:t>
            </w:r>
            <w:r>
              <w:rPr>
                <w:rFonts w:ascii="Arial" w:hAnsi="Arial"/>
                <w:b w:val="1"/>
                <w:bCs w:val="1"/>
                <w:sz w:val="24"/>
                <w:szCs w:val="24"/>
                <w:rtl w:val="0"/>
                <w:lang w:val="en-US"/>
              </w:rPr>
              <w:t>subject and pedagogic research and/or scholarship</w:t>
            </w:r>
            <w:r>
              <w:rPr>
                <w:rFonts w:ascii="Arial" w:hAnsi="Arial"/>
                <w:b w:val="0"/>
                <w:bCs w:val="0"/>
                <w:sz w:val="24"/>
                <w:szCs w:val="24"/>
                <w:rtl w:val="0"/>
                <w:lang w:val="en-US"/>
              </w:rPr>
              <w:t xml:space="preserve"> in your approaches. How you evidence this will be dependent on the context in which you are working and the nature of the subject, discipline or profession in which you teach. </w:t>
            </w:r>
          </w:p>
          <w:p>
            <w:pPr>
              <w:pStyle w:val="List Paragraph"/>
              <w:spacing w:after="0" w:line="240" w:lineRule="auto"/>
              <w:jc w:val="both"/>
            </w:pPr>
          </w:p>
          <w:p>
            <w:pPr>
              <w:pStyle w:val="List Paragraph"/>
              <w:numPr>
                <w:ilvl w:val="0"/>
                <w:numId w:val="1"/>
              </w:numPr>
              <w:bidi w:val="0"/>
              <w:spacing w:line="240" w:lineRule="auto"/>
              <w:ind w:right="0"/>
              <w:jc w:val="both"/>
              <w:rPr>
                <w:rFonts w:ascii="Arial" w:hAnsi="Arial"/>
                <w:b w:val="1"/>
                <w:bCs w:val="1"/>
                <w:sz w:val="24"/>
                <w:szCs w:val="24"/>
                <w:rtl w:val="0"/>
                <w:lang w:val="en-US"/>
              </w:rPr>
            </w:pPr>
            <w:r>
              <w:rPr>
                <w:rFonts w:ascii="Arial" w:hAnsi="Arial"/>
                <w:b w:val="0"/>
                <w:bCs w:val="0"/>
                <w:sz w:val="24"/>
                <w:szCs w:val="24"/>
                <w:rtl w:val="0"/>
                <w:lang w:val="en-US"/>
              </w:rPr>
              <w:t xml:space="preserve">Ensure you </w:t>
            </w:r>
            <w:r>
              <w:rPr>
                <w:rFonts w:ascii="Arial" w:hAnsi="Arial"/>
                <w:b w:val="1"/>
                <w:bCs w:val="1"/>
                <w:sz w:val="24"/>
                <w:szCs w:val="24"/>
                <w:rtl w:val="0"/>
                <w:lang w:val="en-US"/>
              </w:rPr>
              <w:t>provide reasons for the choice of activities you describe</w:t>
            </w:r>
            <w:r>
              <w:rPr>
                <w:rFonts w:ascii="Arial" w:hAnsi="Arial"/>
                <w:b w:val="0"/>
                <w:bCs w:val="0"/>
                <w:sz w:val="24"/>
                <w:szCs w:val="24"/>
                <w:rtl w:val="0"/>
                <w:lang w:val="en-US"/>
              </w:rPr>
              <w:t>, and demonstrate that you reflect on your teaching practice and the students</w:t>
            </w:r>
            <w:r>
              <w:rPr>
                <w:rFonts w:ascii="Arial" w:hAnsi="Arial" w:hint="default"/>
                <w:b w:val="0"/>
                <w:bCs w:val="0"/>
                <w:sz w:val="24"/>
                <w:szCs w:val="24"/>
                <w:rtl w:val="0"/>
                <w:lang w:val="en-US"/>
              </w:rPr>
              <w:t xml:space="preserve">’ </w:t>
            </w:r>
            <w:r>
              <w:rPr>
                <w:rFonts w:ascii="Arial" w:hAnsi="Arial"/>
                <w:b w:val="0"/>
                <w:bCs w:val="0"/>
                <w:sz w:val="24"/>
                <w:szCs w:val="24"/>
                <w:rtl w:val="0"/>
                <w:lang w:val="en-US"/>
              </w:rPr>
              <w:t>learning experience.</w:t>
            </w:r>
          </w:p>
          <w:p>
            <w:pPr>
              <w:pStyle w:val="List Paragraph"/>
              <w:spacing w:line="240" w:lineRule="auto"/>
              <w:jc w:val="both"/>
            </w:pPr>
          </w:p>
          <w:p>
            <w:pPr>
              <w:pStyle w:val="List Paragraph"/>
              <w:numPr>
                <w:ilvl w:val="0"/>
                <w:numId w:val="1"/>
              </w:numPr>
              <w:bidi w:val="0"/>
              <w:spacing w:line="240" w:lineRule="auto"/>
              <w:ind w:right="0"/>
              <w:jc w:val="both"/>
              <w:rPr>
                <w:rFonts w:ascii="Arial" w:hAnsi="Arial"/>
                <w:sz w:val="24"/>
                <w:szCs w:val="24"/>
                <w:rtl w:val="0"/>
                <w:lang w:val="en-US"/>
              </w:rPr>
            </w:pPr>
            <w:r>
              <w:rPr>
                <w:rFonts w:ascii="Arial" w:hAnsi="Arial"/>
                <w:sz w:val="24"/>
                <w:szCs w:val="24"/>
                <w:rtl w:val="0"/>
                <w:lang w:val="en-US"/>
              </w:rPr>
              <w:t xml:space="preserve">Ensure that you explicitly incorporate how you have successfully engaged, where appropriate, in </w:t>
            </w:r>
            <w:r>
              <w:rPr>
                <w:rFonts w:ascii="Arial" w:hAnsi="Arial"/>
                <w:b w:val="1"/>
                <w:bCs w:val="1"/>
                <w:sz w:val="24"/>
                <w:szCs w:val="24"/>
                <w:rtl w:val="0"/>
                <w:lang w:val="en-US"/>
              </w:rPr>
              <w:t>continuing professional development</w:t>
            </w:r>
            <w:r>
              <w:rPr>
                <w:rFonts w:ascii="Arial" w:hAnsi="Arial"/>
                <w:sz w:val="24"/>
                <w:szCs w:val="24"/>
                <w:rtl w:val="0"/>
                <w:lang w:val="en-US"/>
              </w:rPr>
              <w:t xml:space="preserve"> activity related to teaching, learning and assessment responsibilities. </w:t>
            </w:r>
          </w:p>
          <w:p>
            <w:pPr>
              <w:pStyle w:val="List Paragraph"/>
            </w:pPr>
          </w:p>
          <w:p>
            <w:pPr>
              <w:pStyle w:val="List Paragraph"/>
              <w:numPr>
                <w:ilvl w:val="0"/>
                <w:numId w:val="1"/>
              </w:numPr>
              <w:bidi w:val="0"/>
              <w:spacing w:line="240" w:lineRule="auto"/>
              <w:ind w:right="0"/>
              <w:jc w:val="both"/>
              <w:rPr>
                <w:rFonts w:ascii="Arial" w:hAnsi="Arial"/>
                <w:b w:val="1"/>
                <w:bCs w:val="1"/>
                <w:sz w:val="24"/>
                <w:szCs w:val="24"/>
                <w:rtl w:val="0"/>
                <w:lang w:val="en-US"/>
              </w:rPr>
            </w:pPr>
            <w:r>
              <w:rPr>
                <w:rFonts w:ascii="Arial" w:hAnsi="Arial"/>
                <w:b w:val="0"/>
                <w:bCs w:val="0"/>
                <w:sz w:val="24"/>
                <w:szCs w:val="24"/>
                <w:rtl w:val="0"/>
                <w:lang w:val="en-US"/>
              </w:rPr>
              <w:t>The Assessment Panel recognises that there will be considerable variation in applications, reflecting differences in individuals</w:t>
            </w:r>
            <w:r>
              <w:rPr>
                <w:rFonts w:ascii="Arial" w:hAnsi="Arial" w:hint="default"/>
                <w:b w:val="0"/>
                <w:bCs w:val="0"/>
                <w:sz w:val="24"/>
                <w:szCs w:val="24"/>
                <w:rtl w:val="0"/>
                <w:lang w:val="en-US"/>
              </w:rPr>
              <w:t xml:space="preserve">’ </w:t>
            </w:r>
            <w:r>
              <w:rPr>
                <w:rFonts w:ascii="Arial" w:hAnsi="Arial"/>
                <w:b w:val="0"/>
                <w:bCs w:val="0"/>
                <w:sz w:val="24"/>
                <w:szCs w:val="24"/>
                <w:rtl w:val="0"/>
                <w:lang w:val="en-US"/>
              </w:rPr>
              <w:t xml:space="preserve">experience, their job roles and contexts. </w:t>
            </w:r>
            <w:r>
              <w:rPr>
                <w:rFonts w:ascii="Arial" w:hAnsi="Arial"/>
                <w:b w:val="1"/>
                <w:bCs w:val="1"/>
                <w:sz w:val="24"/>
                <w:szCs w:val="24"/>
                <w:rtl w:val="0"/>
                <w:lang w:val="en-US"/>
              </w:rPr>
              <w:t>The quality of your reflection is far more important than quantity.</w:t>
            </w:r>
          </w:p>
          <w:p>
            <w:pPr>
              <w:pStyle w:val="List Paragraph"/>
              <w:spacing w:line="240" w:lineRule="auto"/>
              <w:jc w:val="both"/>
            </w:pPr>
          </w:p>
          <w:p>
            <w:pPr>
              <w:pStyle w:val="List Paragraph"/>
              <w:numPr>
                <w:ilvl w:val="0"/>
                <w:numId w:val="1"/>
              </w:numPr>
              <w:bidi w:val="0"/>
              <w:spacing w:line="240" w:lineRule="auto"/>
              <w:ind w:right="0"/>
              <w:jc w:val="both"/>
              <w:rPr>
                <w:rFonts w:ascii="Arial" w:hAnsi="Arial"/>
                <w:b w:val="1"/>
                <w:bCs w:val="1"/>
                <w:sz w:val="24"/>
                <w:szCs w:val="24"/>
                <w:rtl w:val="0"/>
                <w:lang w:val="en-US"/>
              </w:rPr>
            </w:pPr>
            <w:r>
              <w:rPr>
                <w:rFonts w:ascii="Arial" w:hAnsi="Arial"/>
                <w:b w:val="0"/>
                <w:bCs w:val="0"/>
                <w:sz w:val="24"/>
                <w:szCs w:val="24"/>
                <w:rtl w:val="0"/>
                <w:lang w:val="en-US"/>
              </w:rPr>
              <w:t xml:space="preserve">This application is a </w:t>
            </w:r>
            <w:r>
              <w:rPr>
                <w:rFonts w:ascii="Arial" w:hAnsi="Arial"/>
                <w:b w:val="1"/>
                <w:bCs w:val="1"/>
                <w:sz w:val="24"/>
                <w:szCs w:val="24"/>
                <w:rtl w:val="0"/>
                <w:lang w:val="en-US"/>
              </w:rPr>
              <w:t>personal account</w:t>
            </w:r>
            <w:r>
              <w:rPr>
                <w:rFonts w:ascii="Arial" w:hAnsi="Arial"/>
                <w:b w:val="0"/>
                <w:bCs w:val="0"/>
                <w:sz w:val="24"/>
                <w:szCs w:val="24"/>
                <w:rtl w:val="0"/>
                <w:lang w:val="en-US"/>
              </w:rPr>
              <w:t xml:space="preserve"> so you should focus throughout on your own professional practice and decision-making.</w:t>
            </w:r>
          </w:p>
          <w:p>
            <w:pPr>
              <w:pStyle w:val="List Paragraph"/>
              <w:jc w:val="both"/>
            </w:pPr>
          </w:p>
          <w:p>
            <w:pPr>
              <w:pStyle w:val="List Paragraph"/>
              <w:numPr>
                <w:ilvl w:val="0"/>
                <w:numId w:val="1"/>
              </w:numPr>
              <w:bidi w:val="0"/>
              <w:spacing w:line="240" w:lineRule="auto"/>
              <w:ind w:right="0"/>
              <w:jc w:val="both"/>
              <w:rPr>
                <w:rFonts w:ascii="Arial" w:hAnsi="Arial"/>
                <w:b w:val="1"/>
                <w:bCs w:val="1"/>
                <w:sz w:val="24"/>
                <w:szCs w:val="24"/>
                <w:rtl w:val="0"/>
                <w:lang w:val="en-US"/>
              </w:rPr>
            </w:pPr>
            <w:r>
              <w:rPr>
                <w:rFonts w:ascii="Arial" w:hAnsi="Arial"/>
                <w:b w:val="1"/>
                <w:bCs w:val="1"/>
                <w:sz w:val="24"/>
                <w:szCs w:val="24"/>
                <w:rtl w:val="0"/>
                <w:lang w:val="en-US"/>
              </w:rPr>
              <w:t>By applying to become a Fellow you will have the opportunity to:</w:t>
            </w:r>
          </w:p>
          <w:p>
            <w:pPr>
              <w:pStyle w:val="List Paragraph"/>
              <w:numPr>
                <w:ilvl w:val="0"/>
                <w:numId w:val="2"/>
              </w:numPr>
              <w:bidi w:val="0"/>
              <w:spacing w:line="240" w:lineRule="auto"/>
              <w:ind w:right="0"/>
              <w:jc w:val="both"/>
              <w:rPr>
                <w:rFonts w:ascii="Arial" w:hAnsi="Arial"/>
                <w:sz w:val="24"/>
                <w:szCs w:val="24"/>
                <w:rtl w:val="0"/>
                <w:lang w:val="en-US"/>
              </w:rPr>
            </w:pPr>
            <w:r>
              <w:rPr>
                <w:rFonts w:ascii="Arial" w:hAnsi="Arial"/>
                <w:sz w:val="24"/>
                <w:szCs w:val="24"/>
                <w:rtl w:val="0"/>
                <w:lang w:val="en-US"/>
              </w:rPr>
              <w:t>Think deeply about and thereby enhance the quality and effectiveness of your work in the area of teaching and supporting learning in HE.</w:t>
            </w:r>
          </w:p>
          <w:p>
            <w:pPr>
              <w:pStyle w:val="List Paragraph"/>
              <w:numPr>
                <w:ilvl w:val="0"/>
                <w:numId w:val="2"/>
              </w:numPr>
              <w:bidi w:val="0"/>
              <w:spacing w:line="240" w:lineRule="auto"/>
              <w:ind w:right="0"/>
              <w:jc w:val="both"/>
              <w:rPr>
                <w:rFonts w:ascii="Arial" w:hAnsi="Arial"/>
                <w:b w:val="1"/>
                <w:bCs w:val="1"/>
                <w:sz w:val="24"/>
                <w:szCs w:val="24"/>
                <w:rtl w:val="0"/>
                <w:lang w:val="en-US"/>
              </w:rPr>
            </w:pPr>
            <w:r>
              <w:rPr>
                <w:rFonts w:ascii="Arial" w:hAnsi="Arial"/>
                <w:b w:val="0"/>
                <w:bCs w:val="0"/>
                <w:sz w:val="24"/>
                <w:szCs w:val="24"/>
                <w:rtl w:val="0"/>
                <w:lang w:val="en-US"/>
              </w:rPr>
              <w:t>Gain national recognition for your role as a teacher and/or supporter of learning within the HE context</w:t>
            </w:r>
          </w:p>
        </w:tc>
      </w:tr>
    </w:tbl>
    <w:p>
      <w:pPr>
        <w:pStyle w:val="Body A"/>
        <w:widowControl w:val="0"/>
        <w:ind w:left="108" w:hanging="108"/>
      </w:pPr>
    </w:p>
    <w:p>
      <w:pPr>
        <w:pStyle w:val="Body A"/>
        <w:widowControl w:val="0"/>
      </w:pPr>
    </w:p>
    <w:p>
      <w:pPr>
        <w:pStyle w:val="Body A"/>
        <w:rPr>
          <w:sz w:val="24"/>
          <w:szCs w:val="24"/>
        </w:rPr>
      </w:pPr>
    </w:p>
    <w:p>
      <w:pPr>
        <w:pStyle w:val="Body A"/>
        <w:ind w:left="2880" w:hanging="2880"/>
        <w:jc w:val="both"/>
        <w:rPr>
          <w:b w:val="1"/>
          <w:bCs w:val="1"/>
          <w:sz w:val="32"/>
          <w:szCs w:val="32"/>
        </w:rPr>
      </w:pPr>
      <w:r>
        <w:rPr>
          <w:b w:val="1"/>
          <w:bCs w:val="1"/>
          <w:sz w:val="32"/>
          <w:szCs w:val="32"/>
          <w:rtl w:val="0"/>
          <w:lang w:val="en-US"/>
        </w:rPr>
        <w:t>SECTION TWO:</w:t>
        <w:tab/>
        <w:t>Your reflective account of your Continuing Professional Development</w:t>
      </w:r>
    </w:p>
    <w:p>
      <w:pPr>
        <w:pStyle w:val="Body A"/>
        <w:jc w:val="both"/>
        <w:rPr>
          <w:sz w:val="24"/>
          <w:szCs w:val="24"/>
        </w:rPr>
      </w:pPr>
    </w:p>
    <w:p>
      <w:pPr>
        <w:pStyle w:val="Body A"/>
        <w:jc w:val="both"/>
        <w:rPr>
          <w:sz w:val="24"/>
          <w:szCs w:val="24"/>
        </w:rPr>
      </w:pPr>
      <w:r>
        <w:rPr>
          <w:sz w:val="24"/>
          <w:szCs w:val="24"/>
          <w:rtl w:val="0"/>
          <w:lang w:val="en-US"/>
        </w:rPr>
        <w:t>The boxes below should be used to present your critically reflective (</w:t>
      </w:r>
      <w:r>
        <w:rPr>
          <w:b w:val="1"/>
          <w:bCs w:val="1"/>
          <w:sz w:val="24"/>
          <w:szCs w:val="24"/>
          <w:rtl w:val="0"/>
          <w:lang w:val="en-US"/>
        </w:rPr>
        <w:t>not descriptive</w:t>
      </w:r>
      <w:r>
        <w:rPr>
          <w:sz w:val="24"/>
          <w:szCs w:val="24"/>
          <w:rtl w:val="0"/>
          <w:lang w:val="en-US"/>
        </w:rPr>
        <w:t xml:space="preserve">) account of how your Continuing Professional Development (CPD) has enabled you to meet the UK Professional Standards Framework </w:t>
      </w:r>
      <w:r>
        <w:rPr>
          <w:b w:val="1"/>
          <w:bCs w:val="1"/>
          <w:sz w:val="24"/>
          <w:szCs w:val="24"/>
          <w:rtl w:val="0"/>
          <w:lang w:val="en-US"/>
        </w:rPr>
        <w:t>Areas of Activity</w:t>
      </w:r>
      <w:r>
        <w:rPr>
          <w:sz w:val="24"/>
          <w:szCs w:val="24"/>
          <w:rtl w:val="0"/>
        </w:rPr>
        <w:t>.</w:t>
      </w:r>
    </w:p>
    <w:p>
      <w:pPr>
        <w:pStyle w:val="Body A"/>
        <w:jc w:val="both"/>
        <w:rPr>
          <w:sz w:val="24"/>
          <w:szCs w:val="24"/>
        </w:rPr>
      </w:pPr>
    </w:p>
    <w:p>
      <w:pPr>
        <w:pStyle w:val="Body A"/>
        <w:jc w:val="both"/>
        <w:rPr>
          <w:sz w:val="24"/>
          <w:szCs w:val="24"/>
        </w:rPr>
      </w:pPr>
      <w:r>
        <w:rPr>
          <w:sz w:val="24"/>
          <w:szCs w:val="24"/>
          <w:rtl w:val="0"/>
          <w:lang w:val="en-US"/>
        </w:rPr>
        <w:t xml:space="preserve">For each of the Areas of Activity you should demonstrate </w:t>
      </w:r>
      <w:r>
        <w:rPr>
          <w:b w:val="1"/>
          <w:bCs w:val="1"/>
          <w:sz w:val="24"/>
          <w:szCs w:val="24"/>
          <w:rtl w:val="0"/>
          <w:lang w:val="en-US"/>
        </w:rPr>
        <w:t>why</w:t>
      </w:r>
      <w:r>
        <w:rPr>
          <w:sz w:val="24"/>
          <w:szCs w:val="24"/>
          <w:rtl w:val="0"/>
          <w:lang w:val="en-US"/>
        </w:rPr>
        <w:t xml:space="preserve"> you chose to undertake the approach, activity or technique and show how they relate to developing learner understanding. Whilst directly addressing the </w:t>
      </w:r>
      <w:r>
        <w:rPr>
          <w:b w:val="1"/>
          <w:bCs w:val="1"/>
          <w:sz w:val="24"/>
          <w:szCs w:val="24"/>
          <w:rtl w:val="0"/>
          <w:lang w:val="en-US"/>
        </w:rPr>
        <w:t>Areas of Activity</w:t>
      </w:r>
      <w:r>
        <w:rPr>
          <w:sz w:val="24"/>
          <w:szCs w:val="24"/>
          <w:rtl w:val="0"/>
          <w:lang w:val="en-US"/>
        </w:rPr>
        <w:t xml:space="preserve">, you should </w:t>
      </w:r>
      <w:r>
        <w:rPr>
          <w:b w:val="1"/>
          <w:bCs w:val="1"/>
          <w:sz w:val="24"/>
          <w:szCs w:val="24"/>
          <w:rtl w:val="0"/>
        </w:rPr>
        <w:t>demonstrate</w:t>
      </w:r>
      <w:r>
        <w:rPr>
          <w:sz w:val="24"/>
          <w:szCs w:val="24"/>
          <w:rtl w:val="0"/>
          <w:lang w:val="en-US"/>
        </w:rPr>
        <w:t xml:space="preserve"> how you meet all aspects of the </w:t>
      </w:r>
      <w:r>
        <w:rPr>
          <w:b w:val="1"/>
          <w:bCs w:val="1"/>
          <w:sz w:val="24"/>
          <w:szCs w:val="24"/>
          <w:rtl w:val="0"/>
          <w:lang w:val="en-US"/>
        </w:rPr>
        <w:t>Core Knowledge</w:t>
      </w:r>
      <w:r>
        <w:rPr>
          <w:sz w:val="24"/>
          <w:szCs w:val="24"/>
          <w:rtl w:val="0"/>
          <w:lang w:val="en-US"/>
        </w:rPr>
        <w:t xml:space="preserve"> and all aspects of the </w:t>
      </w:r>
      <w:r>
        <w:rPr>
          <w:b w:val="1"/>
          <w:bCs w:val="1"/>
          <w:sz w:val="24"/>
          <w:szCs w:val="24"/>
          <w:rtl w:val="0"/>
          <w:lang w:val="fr-FR"/>
        </w:rPr>
        <w:t>Professional Values</w:t>
      </w:r>
      <w:r>
        <w:rPr>
          <w:sz w:val="24"/>
          <w:szCs w:val="24"/>
          <w:rtl w:val="0"/>
          <w:lang w:val="en-US"/>
        </w:rPr>
        <w:t xml:space="preserve"> and map these as appropriate.</w:t>
      </w:r>
    </w:p>
    <w:p>
      <w:pPr>
        <w:pStyle w:val="Body A"/>
        <w:jc w:val="both"/>
        <w:rPr>
          <w:sz w:val="24"/>
          <w:szCs w:val="24"/>
        </w:rPr>
      </w:pPr>
    </w:p>
    <w:p>
      <w:pPr>
        <w:pStyle w:val="Body A"/>
        <w:jc w:val="both"/>
        <w:rPr>
          <w:sz w:val="24"/>
          <w:szCs w:val="24"/>
        </w:rPr>
      </w:pPr>
      <w:r>
        <w:rPr>
          <w:sz w:val="24"/>
          <w:szCs w:val="24"/>
          <w:rtl w:val="0"/>
          <w:lang w:val="en-US"/>
        </w:rPr>
        <w:t xml:space="preserve">Your application should show successful engagement in appropriate teaching practices related to the Areas of Activity, successful incorporation of subject and pedagogic research as part of an integrated approach to academic practice, and successful engagement in professional development in relation to teaching, learning, assessment, scholarship and, as appropriate, related academic or professional practices. </w:t>
      </w:r>
      <w:r>
        <w:rPr>
          <w:b w:val="1"/>
          <w:bCs w:val="1"/>
          <w:sz w:val="24"/>
          <w:szCs w:val="24"/>
          <w:rtl w:val="0"/>
          <w:lang w:val="en-US"/>
        </w:rPr>
        <w:t>The form will expand as you enter your information.</w:t>
      </w:r>
    </w:p>
    <w:p>
      <w:pPr>
        <w:pStyle w:val="Body A"/>
        <w:jc w:val="both"/>
        <w:rPr>
          <w:sz w:val="24"/>
          <w:szCs w:val="24"/>
        </w:rPr>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070"/>
        <w:gridCol w:w="5528"/>
      </w:tblGrid>
      <w:tr>
        <w:tblPrEx>
          <w:shd w:val="clear" w:color="auto" w:fill="ced7e7"/>
        </w:tblPrEx>
        <w:trPr>
          <w:trHeight w:val="1202"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8"/>
                <w:szCs w:val="28"/>
              </w:rPr>
            </w:pPr>
            <w:r>
              <w:rPr>
                <w:b w:val="1"/>
                <w:bCs w:val="1"/>
                <w:sz w:val="28"/>
                <w:szCs w:val="28"/>
                <w:rtl w:val="0"/>
                <w:lang w:val="en-US"/>
              </w:rPr>
              <w:t>A1:  Designing and planning learning activities and/or programmes of study (700 words)</w:t>
            </w:r>
          </w:p>
          <w:p>
            <w:pPr>
              <w:pStyle w:val="Body A"/>
              <w:jc w:val="both"/>
            </w:pPr>
            <w:r>
              <w:rPr>
                <w:sz w:val="24"/>
                <w:szCs w:val="24"/>
                <w:rtl w:val="0"/>
                <w:lang w:val="en-US"/>
              </w:rPr>
              <w:t>Identify how you contribute to the design and planning of effective, valuable learning experiences</w:t>
            </w:r>
          </w:p>
        </w:tc>
      </w:tr>
      <w:tr>
        <w:tblPrEx>
          <w:shd w:val="clear" w:color="auto" w:fill="ced7e7"/>
        </w:tblPrEx>
        <w:trPr>
          <w:trHeight w:val="2653" w:hRule="atLeast"/>
        </w:trPr>
        <w:tc>
          <w:tcPr>
            <w:tcW w:type="dxa" w:w="5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sz w:val="20"/>
                <w:szCs w:val="20"/>
                <w:u w:val="single"/>
                <w:rtl w:val="0"/>
                <w:lang w:val="en-US"/>
              </w:rPr>
              <w:t>Engagement in a variety of learning activities, at a variety of levels e.g.</w:t>
            </w:r>
          </w:p>
          <w:p>
            <w:pPr>
              <w:pStyle w:val="List Paragraph"/>
              <w:numPr>
                <w:ilvl w:val="0"/>
                <w:numId w:val="3"/>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Micro: individual/one-to-one or small groups</w:t>
            </w:r>
          </w:p>
          <w:p>
            <w:pPr>
              <w:pStyle w:val="List Paragraph"/>
              <w:numPr>
                <w:ilvl w:val="0"/>
                <w:numId w:val="3"/>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Mesa: module sessions, course or programme level</w:t>
            </w:r>
          </w:p>
          <w:p>
            <w:pPr>
              <w:pStyle w:val="List Paragraph"/>
              <w:numPr>
                <w:ilvl w:val="0"/>
                <w:numId w:val="3"/>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Macro: policy, HEI, professional body level</w:t>
            </w:r>
          </w:p>
        </w:tc>
        <w:tc>
          <w:tcPr>
            <w:tcW w:type="dxa" w:w="5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sz w:val="20"/>
                <w:szCs w:val="20"/>
                <w:u w:val="single"/>
                <w:rtl w:val="0"/>
                <w:lang w:val="en-US"/>
              </w:rPr>
              <w:t>Evidence might include:</w:t>
            </w:r>
          </w:p>
          <w:p>
            <w:pPr>
              <w:pStyle w:val="List Paragraph"/>
              <w:numPr>
                <w:ilvl w:val="0"/>
                <w:numId w:val="4"/>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Development and enhancement of session plans</w:t>
            </w:r>
          </w:p>
          <w:p>
            <w:pPr>
              <w:pStyle w:val="List Paragraph"/>
              <w:numPr>
                <w:ilvl w:val="0"/>
                <w:numId w:val="4"/>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Identifying and planning different kinds of interaction with learners in various contexts</w:t>
            </w:r>
          </w:p>
          <w:p>
            <w:pPr>
              <w:pStyle w:val="List Paragraph"/>
              <w:numPr>
                <w:ilvl w:val="0"/>
                <w:numId w:val="4"/>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Design or redesign curricula, modules or programmes</w:t>
            </w:r>
          </w:p>
          <w:p>
            <w:pPr>
              <w:pStyle w:val="List Paragraph"/>
              <w:numPr>
                <w:ilvl w:val="0"/>
                <w:numId w:val="4"/>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Involvement in validation panels</w:t>
            </w:r>
          </w:p>
          <w:p>
            <w:pPr>
              <w:pStyle w:val="List Paragraph"/>
              <w:numPr>
                <w:ilvl w:val="0"/>
                <w:numId w:val="4"/>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Use of individual</w:t>
            </w:r>
            <w:r>
              <w:rPr>
                <w:rFonts w:ascii="Arial" w:hAnsi="Arial" w:hint="default"/>
                <w:sz w:val="20"/>
                <w:szCs w:val="20"/>
                <w:rtl w:val="0"/>
                <w:lang w:val="en-US"/>
              </w:rPr>
              <w:t>’</w:t>
            </w:r>
            <w:r>
              <w:rPr>
                <w:rFonts w:ascii="Arial" w:hAnsi="Arial"/>
                <w:sz w:val="20"/>
                <w:szCs w:val="20"/>
                <w:rtl w:val="0"/>
                <w:lang w:val="en-US"/>
              </w:rPr>
              <w:t>s learning materials by others (e.g. within/beyond own institution)</w:t>
            </w:r>
          </w:p>
          <w:p>
            <w:pPr>
              <w:pStyle w:val="List Paragraph"/>
              <w:numPr>
                <w:ilvl w:val="0"/>
                <w:numId w:val="4"/>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Contribution to the creation of learning resource packs and computer-based or open learning materials or the development of virtual learning environments</w:t>
            </w:r>
          </w:p>
        </w:tc>
      </w:tr>
      <w:tr>
        <w:tblPrEx>
          <w:shd w:val="clear" w:color="auto" w:fill="ced7e7"/>
        </w:tblPrEx>
        <w:trPr>
          <w:trHeight w:val="13845"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4"/>
                <w:szCs w:val="24"/>
                <w:u w:val="single"/>
              </w:rPr>
            </w:pPr>
            <w:r>
              <w:rPr>
                <w:b w:val="1"/>
                <w:bCs w:val="1"/>
                <w:sz w:val="24"/>
                <w:szCs w:val="24"/>
                <w:u w:val="single"/>
                <w:rtl w:val="0"/>
                <w:lang w:val="en-US"/>
              </w:rPr>
              <w:t>Write your evidence here</w:t>
            </w:r>
          </w:p>
          <w:p>
            <w:pPr>
              <w:pStyle w:val="Body A"/>
              <w:jc w:val="both"/>
              <w:rPr>
                <w:b w:val="1"/>
                <w:bCs w:val="1"/>
                <w:sz w:val="24"/>
                <w:szCs w:val="24"/>
                <w:u w:val="single"/>
              </w:rPr>
            </w:pPr>
          </w:p>
          <w:p>
            <w:pPr>
              <w:pStyle w:val="Body A"/>
              <w:bidi w:val="0"/>
              <w:ind w:left="0" w:right="0" w:firstLine="0"/>
              <w:jc w:val="left"/>
              <w:rPr>
                <w:rFonts w:ascii="Helvetica" w:cs="Helvetica" w:hAnsi="Helvetica" w:eastAsia="Helvetica"/>
                <w:rtl w:val="0"/>
              </w:rPr>
            </w:pPr>
            <w:r>
              <w:rPr>
                <w:rFonts w:ascii="Helvetica" w:hAnsi="Helvetica"/>
                <w:rtl w:val="0"/>
                <w:lang w:val="en-US"/>
              </w:rPr>
              <w:t>When Music Theory is taught as a single module within the course syllabus judgements have to be made when planning the semester</w:t>
            </w:r>
            <w:r>
              <w:rPr>
                <w:rFonts w:ascii="Helvetica" w:hAnsi="Helvetica" w:hint="default"/>
                <w:rtl w:val="0"/>
                <w:lang w:val="en-US"/>
              </w:rPr>
              <w:t>’</w:t>
            </w:r>
            <w:r>
              <w:rPr>
                <w:rFonts w:ascii="Helvetica" w:hAnsi="Helvetica"/>
                <w:rtl w:val="0"/>
                <w:lang w:val="en-US"/>
              </w:rPr>
              <w:t>s lectures so as to present the core elements of music, rhythm, melody, harmony and form in a way which is accessible to students enrolling at level 4 (Leichtentritt, H 1967) (K1). Some of the students will have existing knowledge of music theory and some will have none at all. I have, as a sixty-four year old with many years of music teaching experience, observed how the emphasis between these elements of music can vary according to current music trends so with this in mind and the varying abilities in front of me I can build the course around the students. In addition to following the course learning outcomes I use the grading system of the Associated Board of the Royal Colleges of Music to monitor student progress (K6) (UNESCO 2017).</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One of my main concerns throughout the course is to respect the students</w:t>
            </w:r>
            <w:r>
              <w:rPr>
                <w:rFonts w:ascii="Helvetica" w:hAnsi="Helvetica" w:hint="default"/>
                <w:rtl w:val="0"/>
                <w:lang w:val="en-US"/>
              </w:rPr>
              <w:t xml:space="preserve">’ </w:t>
            </w:r>
            <w:r>
              <w:rPr>
                <w:rFonts w:ascii="Helvetica" w:hAnsi="Helvetica"/>
                <w:rtl w:val="0"/>
                <w:lang w:val="en-US"/>
              </w:rPr>
              <w:t>attraction to music and to attempt to show the relevance of theoretical practice in the context of music they identify with. As mentioned above, trends can change and I have learned from mistakes in the past where I have adhered too rigidly to a course of lectures concentrating on a mis-placed emphasis on equal study of the core elements of music. I now know that a more flexible approach is required to allow the student to see the relevance and application of theoretical conventions (V3).</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I distribute hand-outs regularly throughout the course. It is my intention that these can be compiled and used a source of reference beyond the course they are currently studying and will be of use when composing and/or arranging both inside and outside of University. The handouts are designed to benefit students of varying abilities; on one level the harmonic progressions within the key of C major will be relevant for a student who is new to music theory whereas, on the same handout the corresponding information throughout the other eleven keys will be of interest to a student who has received music tuition before enrolling on the current course (V1). Having extra information on the hand-out can only benefit all students and there is no pressure on those new to the subject to be familiar with all the keys as a well-crafted piece of music can sound equally impressive whether it is written in the tonality of C major or that of a more obscure key (K4). I ensure that my classes are free from any form of threatening or competitive environment which would ultimately inhibit the students to express themselves in, which is for some, a totally new language i.e. notated music.</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It is possible that some students will enrol on the course having already composed many pieces and I am always enthusiastic to hear anything which they may have produced in the past. Whilst being careful not to be judgmental about work created prior to commencing a music theory course I will make suggestions as to how an aspect of, for example, melodic development or chromatic harmony could be incorporated into these compositions and the choice is left to the individual whether they want to modify existing work or not (Bunt, L 1999) (K3). Those who are new to music theory will undoubtedly need one to one attention as well as class tuition. (Harris, M 1986). This is easily incorporated into the lesson as all students will be working individually with headphones on when creating new compositions. </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Progressing on to levels 5 and 6 the knowledge gap becomes less and students who enrolled with little or no previous knowledge have the potential to create impressive work in the final year. I aim to increase analytical awareness by setting a final assignment in which the students will be tasked with creating three variations of a given piece of Classical orchestral music. They will arrange these for a small ensemble of orchestral instruments (Bent,I.D &amp; Pople, A. 2006) (Race, P 2007)(K5). As mentioned in paragraph one, I work in parallel with the grading system of the Associated Board of the Royal Colleges of Music so that as well as adhering to the learning outcomes of the Music Tech BA course the students can find entry points to access the external examining system at any point or after completion of the BA course.</w:t>
            </w:r>
          </w:p>
          <w:p>
            <w:pPr>
              <w:pStyle w:val="Body A"/>
              <w:rPr>
                <w:rFonts w:ascii="Helvetica" w:cs="Helvetica" w:hAnsi="Helvetica" w:eastAsia="Helvetica"/>
                <w:lang w:val="en-US"/>
              </w:rPr>
            </w:pPr>
          </w:p>
          <w:p>
            <w:pPr>
              <w:pStyle w:val="Body A"/>
              <w:jc w:val="both"/>
            </w:pPr>
            <w:r>
              <w:rPr>
                <w:sz w:val="24"/>
                <w:szCs w:val="24"/>
                <w:lang w:val="en-US"/>
              </w:rPr>
            </w:r>
          </w:p>
        </w:tc>
      </w:tr>
    </w:tbl>
    <w:p>
      <w:pPr>
        <w:pStyle w:val="Body A"/>
        <w:widowControl w:val="0"/>
        <w:ind w:left="108" w:hanging="108"/>
        <w:rPr>
          <w:sz w:val="24"/>
          <w:szCs w:val="24"/>
        </w:rPr>
      </w:pPr>
    </w:p>
    <w:p>
      <w:pPr>
        <w:pStyle w:val="Body A"/>
        <w:widowControl w:val="0"/>
        <w:jc w:val="both"/>
        <w:rPr>
          <w:sz w:val="24"/>
          <w:szCs w:val="24"/>
        </w:rPr>
      </w:pPr>
    </w:p>
    <w:p>
      <w:pPr>
        <w:pStyle w:val="Body A"/>
        <w:jc w:val="both"/>
        <w:rPr>
          <w:sz w:val="24"/>
          <w:szCs w:val="24"/>
        </w:rPr>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070"/>
        <w:gridCol w:w="5528"/>
      </w:tblGrid>
      <w:tr>
        <w:tblPrEx>
          <w:shd w:val="clear" w:color="auto" w:fill="ced7e7"/>
        </w:tblPrEx>
        <w:trPr>
          <w:trHeight w:val="1172"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8"/>
                <w:szCs w:val="28"/>
              </w:rPr>
            </w:pPr>
            <w:r>
              <w:rPr>
                <w:b w:val="1"/>
                <w:bCs w:val="1"/>
                <w:sz w:val="28"/>
                <w:szCs w:val="28"/>
                <w:rtl w:val="0"/>
                <w:lang w:val="en-US"/>
              </w:rPr>
              <w:t>A2:  Teaching and/or supporting learning (700 words)</w:t>
            </w:r>
          </w:p>
          <w:p>
            <w:pPr>
              <w:pStyle w:val="Body A"/>
              <w:jc w:val="both"/>
            </w:pPr>
            <w:r>
              <w:rPr>
                <w:sz w:val="24"/>
                <w:szCs w:val="24"/>
                <w:rtl w:val="0"/>
                <w:lang w:val="en-US"/>
              </w:rPr>
              <w:t>Identify how you engage with learners, whether in groups or individually. These encounters may be in a wide range of environments such as classrooms, seminar rooms, lecture theatres, labs, learning support centres, offices, etc.</w:t>
            </w:r>
          </w:p>
        </w:tc>
      </w:tr>
      <w:tr>
        <w:tblPrEx>
          <w:shd w:val="clear" w:color="auto" w:fill="ced7e7"/>
        </w:tblPrEx>
        <w:trPr>
          <w:trHeight w:val="3093" w:hRule="atLeast"/>
        </w:trPr>
        <w:tc>
          <w:tcPr>
            <w:tcW w:type="dxa" w:w="5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sz w:val="20"/>
                <w:szCs w:val="20"/>
                <w:u w:val="single"/>
                <w:rtl w:val="0"/>
                <w:lang w:val="en-US"/>
              </w:rPr>
              <w:t>Engagement in appropriate teaching and learning strategies including:</w:t>
            </w:r>
          </w:p>
          <w:p>
            <w:pPr>
              <w:pStyle w:val="List Paragraph"/>
              <w:numPr>
                <w:ilvl w:val="0"/>
                <w:numId w:val="5"/>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Use of a arrange of teaching approaches and modes of delivery</w:t>
            </w:r>
          </w:p>
          <w:p>
            <w:pPr>
              <w:pStyle w:val="List Paragraph"/>
              <w:numPr>
                <w:ilvl w:val="0"/>
                <w:numId w:val="5"/>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Use of relevant assessment approaches with a variety of groups</w:t>
            </w:r>
          </w:p>
          <w:p>
            <w:pPr>
              <w:pStyle w:val="List Paragraph"/>
              <w:numPr>
                <w:ilvl w:val="0"/>
                <w:numId w:val="5"/>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Selection based on educational evidence and values</w:t>
            </w:r>
          </w:p>
        </w:tc>
        <w:tc>
          <w:tcPr>
            <w:tcW w:type="dxa" w:w="5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sz w:val="20"/>
                <w:szCs w:val="20"/>
                <w:u w:val="single"/>
                <w:rtl w:val="0"/>
                <w:lang w:val="en-US"/>
              </w:rPr>
              <w:t>Evidence might include:</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Lecturing, tutorial or seminar work</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Studio, clinical, laboratory or work-based teaching</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Distance learning</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Peer assessment of teaching and or teaching observations</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Student feedback/evaluations</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Reflective diary/blog</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Learning outcomes-related indicators (e.g. relevant session plans/module materials)</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Material from online training</w:t>
            </w:r>
          </w:p>
          <w:p>
            <w:pPr>
              <w:pStyle w:val="List Paragraph"/>
              <w:numPr>
                <w:ilvl w:val="0"/>
                <w:numId w:val="6"/>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Learning activities supported through the VLE (Moodle)</w:t>
            </w:r>
          </w:p>
        </w:tc>
      </w:tr>
      <w:tr>
        <w:tblPrEx>
          <w:shd w:val="clear" w:color="auto" w:fill="ced7e7"/>
        </w:tblPrEx>
        <w:trPr>
          <w:trHeight w:val="13845"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4"/>
                <w:szCs w:val="24"/>
                <w:u w:val="single"/>
              </w:rPr>
            </w:pPr>
            <w:r>
              <w:rPr>
                <w:b w:val="1"/>
                <w:bCs w:val="1"/>
                <w:sz w:val="24"/>
                <w:szCs w:val="24"/>
                <w:u w:val="single"/>
                <w:rtl w:val="0"/>
                <w:lang w:val="en-US"/>
              </w:rPr>
              <w:t>Write your evidence here</w:t>
            </w:r>
          </w:p>
          <w:p>
            <w:pPr>
              <w:pStyle w:val="Body A"/>
              <w:jc w:val="both"/>
              <w:rPr>
                <w:b w:val="1"/>
                <w:bCs w:val="1"/>
                <w:sz w:val="24"/>
                <w:szCs w:val="24"/>
                <w:u w:val="single"/>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My main concern throughout the delivery of this module is to show how the conventions of music theory which have developed over centuries are directly applicable to the students own needs and areas of interest. Having introduced new learners to the rudiments of notated melody and harmony I move on to the cornerstones of composition and orchestration which are melodic development and writing of independent parts within a four part choral setting of Soprano, Alto, Tenor and Bass. It is generally considered that the principles of these elements were established by Palestrina (1525-1594) and J.S. Bach (1685-1750) and, even though wonderfully formalised through the species counterpoint and chorales respectively, these are difficult concepts to convey to students who find difficulty with the notion of </w:t>
            </w:r>
            <w:r>
              <w:rPr>
                <w:rFonts w:ascii="Helvetica" w:hAnsi="Helvetica" w:hint="default"/>
                <w:rtl w:val="0"/>
                <w:lang w:val="en-US"/>
              </w:rPr>
              <w:t>‘</w:t>
            </w:r>
            <w:r>
              <w:rPr>
                <w:rFonts w:ascii="Helvetica" w:hAnsi="Helvetica"/>
                <w:rtl w:val="0"/>
                <w:lang w:val="en-US"/>
              </w:rPr>
              <w:t>rules</w:t>
            </w:r>
            <w:r>
              <w:rPr>
                <w:rFonts w:ascii="Helvetica" w:hAnsi="Helvetica" w:hint="default"/>
                <w:rtl w:val="0"/>
                <w:lang w:val="en-US"/>
              </w:rPr>
              <w:t xml:space="preserve">’ </w:t>
            </w:r>
            <w:r>
              <w:rPr>
                <w:rFonts w:ascii="Helvetica" w:hAnsi="Helvetica"/>
                <w:rtl w:val="0"/>
                <w:lang w:val="en-US"/>
              </w:rPr>
              <w:t>being applied to musical composition (K1).</w:t>
            </w:r>
          </w:p>
          <w:p>
            <w:pPr>
              <w:pStyle w:val="Body A"/>
              <w:rPr>
                <w:rFonts w:ascii="Helvetica" w:cs="Helvetica" w:hAnsi="Helvetica" w:eastAsia="Helvetica"/>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I realised some time ago that an inclusive and interesting method of teaching the subject of independent part writing had to be found; it also became apparent that a visual approach could be employed (Petty, G 2009). The method I have developed is one where, after explaining the conventions in detail and playing examples on the piano, I present a four bar soprano line along with a suggested harmonic progression on the board and select a student to add the voices for bass, tenor and alto to each note sung by the soprano. This person will then pass the pen to another student who will go through the same process while the rest of the class are observing and looking for inappropriate movement between the vocal lines. The process is repeated until everybody in the group has had two visits to the board. The visual element of this approach is very significant as viewing the stave board from a distance allows easier recognition of parallel movement and voice spacing. When I notice an error I ask the whole class to comment on the progress and point out any areas of concern (UNESCO 2017). The whole process is inclusive and light-hearted and has been a very successful method to convey a complex yet vitally important element of music theory. When mastered, understanding the relevance of these conventions provides the students with the musical backbone to progress academically and professionally (K2)(K4).</w:t>
            </w:r>
          </w:p>
          <w:p>
            <w:pPr>
              <w:pStyle w:val="Body A"/>
              <w:rPr>
                <w:rFonts w:ascii="Helvetica" w:cs="Helvetica" w:hAnsi="Helvetica" w:eastAsia="Helvetica"/>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In my industrial capacity as Musical Director and Music Supervisor for productions transmitted by S4C, the Welsh language broadcaster, I am often in a position where I am able to set up a field trip to productions I am involved with.  Students arrive in time to observe camera rehearsals and by following scores of the arrangements which are being played they can see musicians working in this industrial environment (Petty, G 2009). In addition they are given a tour around production, sound, lighting, wardrobe and makeup departments (K3).  Before visiting a recording I would hand out copies of the orchestrations and students would be able to see, and subsequently hear, the practical application of the theoretical knowledge they have acquired. </w:t>
            </w:r>
          </w:p>
          <w:p>
            <w:pPr>
              <w:pStyle w:val="Body A"/>
              <w:rPr>
                <w:rFonts w:ascii="Helvetica" w:cs="Helvetica" w:hAnsi="Helvetica" w:eastAsia="Helvetica"/>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An outline of course details and resources is supported on Moodle (K4) with a handbook for each level. Class work around choral music and song composition is presented through the Welsh language in so much that the scores and texts I bring for the students are ultimately for Welsh television programmes. Having a good knowledge of the language, I recently enrolled in a Welsh class to improve my ability to communicate with students who are first language Welsh speakers whilst at the same time using the setting of text to music as a way of introducing non Welsh speakers to the language (V1) (V2)</w:t>
            </w:r>
          </w:p>
          <w:p>
            <w:pPr>
              <w:pStyle w:val="Body A"/>
              <w:rPr>
                <w:rFonts w:ascii="Helvetica" w:cs="Helvetica" w:hAnsi="Helvetica" w:eastAsia="Helvetica"/>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In addition to teaching music theory I am sometimes required to lecturer on technical modules such as studio recording, mixing and mastering. Once again I am able to use my industrial experience to give the students an understanding of the current techniques used in television recording and outside broadcast work. I am employed as a post production sound supervisor with a high annual output of transmitted material and am able to bring in un-mixed musical sessions in a multitrack format for the students to work on (White, P 1993).  The ability to move through the complete process of arranging the score, rehearse and record with musicians and then have a hands-on experience mixing the audio is, in my opinion, of great benefit to the students who also have the opportunity to hear the transmitted mixes (In excess of 130 musical items each year.) either on television or on Youtube.</w:t>
            </w:r>
          </w:p>
          <w:p>
            <w:pPr>
              <w:pStyle w:val="Body A"/>
              <w:rPr>
                <w:rFonts w:ascii="Helvetica" w:cs="Helvetica" w:hAnsi="Helvetica" w:eastAsia="Helvetica"/>
                <w:lang w:val="en-US"/>
              </w:rPr>
            </w:pPr>
          </w:p>
          <w:p>
            <w:pPr>
              <w:pStyle w:val="Body A"/>
              <w:rPr>
                <w:rFonts w:ascii="Helvetica" w:cs="Helvetica" w:hAnsi="Helvetica" w:eastAsia="Helvetica"/>
                <w:lang w:val="en-US"/>
              </w:rPr>
            </w:pPr>
          </w:p>
          <w:p>
            <w:pPr>
              <w:pStyle w:val="Body A"/>
              <w:jc w:val="both"/>
              <w:rPr>
                <w:b w:val="1"/>
                <w:bCs w:val="1"/>
                <w:sz w:val="24"/>
                <w:szCs w:val="24"/>
                <w:u w:val="single"/>
              </w:rPr>
            </w:pPr>
          </w:p>
          <w:p>
            <w:pPr>
              <w:pStyle w:val="Body A"/>
              <w:jc w:val="both"/>
              <w:rPr>
                <w:sz w:val="24"/>
                <w:szCs w:val="24"/>
                <w:lang w:val="en-US"/>
              </w:rPr>
            </w:pPr>
          </w:p>
          <w:p>
            <w:pPr>
              <w:pStyle w:val="Body A"/>
              <w:jc w:val="both"/>
              <w:rPr>
                <w:sz w:val="24"/>
                <w:szCs w:val="24"/>
              </w:rPr>
            </w:pPr>
          </w:p>
          <w:p>
            <w:pPr>
              <w:pStyle w:val="Body A"/>
              <w:jc w:val="both"/>
              <w:rPr>
                <w:sz w:val="24"/>
                <w:szCs w:val="24"/>
                <w:lang w:val="en-US"/>
              </w:rPr>
            </w:pPr>
          </w:p>
          <w:p>
            <w:pPr>
              <w:pStyle w:val="Body A"/>
              <w:jc w:val="both"/>
            </w:pPr>
            <w:r>
              <w:rPr>
                <w:sz w:val="24"/>
                <w:szCs w:val="24"/>
                <w:lang w:val="en-US"/>
              </w:rPr>
            </w:r>
          </w:p>
        </w:tc>
      </w:tr>
    </w:tbl>
    <w:p>
      <w:pPr>
        <w:pStyle w:val="Body A"/>
        <w:widowControl w:val="0"/>
        <w:ind w:left="108" w:hanging="108"/>
        <w:rPr>
          <w:sz w:val="24"/>
          <w:szCs w:val="24"/>
        </w:rPr>
      </w:pPr>
    </w:p>
    <w:p>
      <w:pPr>
        <w:pStyle w:val="Body A"/>
        <w:widowControl w:val="0"/>
        <w:jc w:val="both"/>
        <w:rPr>
          <w:sz w:val="24"/>
          <w:szCs w:val="24"/>
        </w:rPr>
      </w:pPr>
    </w:p>
    <w:p>
      <w:pPr>
        <w:pStyle w:val="Body A"/>
      </w:pPr>
    </w:p>
    <w:p>
      <w:pPr>
        <w:pStyle w:val="Body A"/>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928"/>
        <w:gridCol w:w="5670"/>
      </w:tblGrid>
      <w:tr>
        <w:tblPrEx>
          <w:shd w:val="clear" w:color="auto" w:fill="ced7e7"/>
        </w:tblPrEx>
        <w:trPr>
          <w:trHeight w:val="1732"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8"/>
                <w:szCs w:val="28"/>
              </w:rPr>
            </w:pPr>
            <w:r>
              <w:rPr>
                <w:b w:val="1"/>
                <w:bCs w:val="1"/>
                <w:sz w:val="28"/>
                <w:szCs w:val="28"/>
                <w:rtl w:val="0"/>
                <w:lang w:val="en-US"/>
              </w:rPr>
              <w:t>A3:</w:t>
            </w:r>
            <w:r>
              <w:rPr>
                <w:b w:val="0"/>
                <w:bCs w:val="0"/>
                <w:sz w:val="28"/>
                <w:szCs w:val="28"/>
                <w:rtl w:val="0"/>
                <w:lang w:val="en-US"/>
              </w:rPr>
              <w:t xml:space="preserve">  </w:t>
            </w:r>
            <w:r>
              <w:rPr>
                <w:b w:val="1"/>
                <w:bCs w:val="1"/>
                <w:sz w:val="28"/>
                <w:szCs w:val="28"/>
                <w:rtl w:val="0"/>
                <w:lang w:val="en-US"/>
              </w:rPr>
              <w:t>Assessing and giving feedback to learners (700 words)</w:t>
            </w:r>
          </w:p>
          <w:p>
            <w:pPr>
              <w:pStyle w:val="Body A"/>
              <w:jc w:val="both"/>
            </w:pPr>
            <w:r>
              <w:rPr>
                <w:sz w:val="24"/>
                <w:szCs w:val="24"/>
                <w:rtl w:val="0"/>
                <w:lang w:val="en-US"/>
              </w:rPr>
              <w:t xml:space="preserve">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 The assessment may be formative or summative, formal or informal. </w:t>
            </w:r>
          </w:p>
        </w:tc>
      </w:tr>
      <w:tr>
        <w:tblPrEx>
          <w:shd w:val="clear" w:color="auto" w:fill="ced7e7"/>
        </w:tblPrEx>
        <w:trPr>
          <w:trHeight w:val="2433" w:hRule="atLeast"/>
        </w:trPr>
        <w:tc>
          <w:tcPr>
            <w:tcW w:type="dxa" w:w="49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sz w:val="20"/>
                <w:szCs w:val="20"/>
                <w:u w:val="single"/>
                <w:rtl w:val="0"/>
                <w:lang w:val="en-US"/>
              </w:rPr>
              <w:t>Engagement with appropriate assessment strategies including:</w:t>
            </w:r>
          </w:p>
          <w:p>
            <w:pPr>
              <w:pStyle w:val="List Paragraph"/>
              <w:numPr>
                <w:ilvl w:val="0"/>
                <w:numId w:val="7"/>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Use of assessments relevant to learning outcomes</w:t>
            </w:r>
          </w:p>
          <w:p>
            <w:pPr>
              <w:pStyle w:val="List Paragraph"/>
              <w:numPr>
                <w:ilvl w:val="0"/>
                <w:numId w:val="7"/>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Appropriate assessments for the student profile</w:t>
            </w:r>
          </w:p>
          <w:p>
            <w:pPr>
              <w:pStyle w:val="List Paragraph"/>
              <w:numPr>
                <w:ilvl w:val="0"/>
                <w:numId w:val="7"/>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Engagement in formal quality assurance processes relating to assessment</w:t>
            </w:r>
          </w:p>
          <w:p>
            <w:pPr>
              <w:pStyle w:val="List Paragraph"/>
              <w:numPr>
                <w:ilvl w:val="0"/>
                <w:numId w:val="7"/>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Selection and use of appropriate feedback mechanisms</w:t>
            </w:r>
          </w:p>
        </w:tc>
        <w:tc>
          <w:tcPr>
            <w:tcW w:type="dxa" w:w="56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sz w:val="20"/>
                <w:szCs w:val="20"/>
                <w:u w:val="single"/>
                <w:rtl w:val="0"/>
                <w:lang w:val="en-US"/>
              </w:rPr>
              <w:t>Evidence might include:</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Appropriately targeted assessment tasks</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Student evaluations</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Peer reviews</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Observation feedback</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Learning materials</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Moderation documents</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External examiner activity</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Innovative approaches to assessment and feedback</w:t>
            </w:r>
          </w:p>
          <w:p>
            <w:pPr>
              <w:pStyle w:val="List Paragraph"/>
              <w:numPr>
                <w:ilvl w:val="0"/>
                <w:numId w:val="8"/>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Student responses to feedback</w:t>
            </w:r>
          </w:p>
        </w:tc>
      </w:tr>
      <w:tr>
        <w:tblPrEx>
          <w:shd w:val="clear" w:color="auto" w:fill="ced7e7"/>
        </w:tblPrEx>
        <w:trPr>
          <w:trHeight w:val="13845"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4"/>
                <w:szCs w:val="24"/>
                <w:u w:val="single"/>
              </w:rPr>
            </w:pPr>
            <w:r>
              <w:rPr>
                <w:b w:val="1"/>
                <w:bCs w:val="1"/>
                <w:sz w:val="24"/>
                <w:szCs w:val="24"/>
                <w:u w:val="single"/>
                <w:rtl w:val="0"/>
                <w:lang w:val="en-US"/>
              </w:rPr>
              <w:t>Write your evidence here</w:t>
            </w:r>
          </w:p>
          <w:p>
            <w:pPr>
              <w:pStyle w:val="Body A"/>
              <w:jc w:val="both"/>
              <w:rPr>
                <w:b w:val="1"/>
                <w:bCs w:val="1"/>
                <w:sz w:val="24"/>
                <w:szCs w:val="24"/>
                <w:u w:val="single"/>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Student progress is monitored through continual assessment and assignments during the course of the module. Both are relevant to the learning requirements as laid down in the course specification. Constructive detailed feedback completes the circuit and allows the student to respond as well as avoiding the sensation of </w:t>
            </w:r>
            <w:r>
              <w:rPr>
                <w:rFonts w:ascii="Helvetica" w:hAnsi="Helvetica"/>
                <w:i w:val="1"/>
                <w:iCs w:val="1"/>
                <w:rtl w:val="0"/>
                <w:lang w:val="en-US"/>
              </w:rPr>
              <w:t>working in a vacuum</w:t>
            </w:r>
            <w:r>
              <w:rPr>
                <w:rFonts w:ascii="Helvetica" w:hAnsi="Helvetica"/>
                <w:rtl w:val="0"/>
                <w:lang w:val="en-US"/>
              </w:rPr>
              <w:t xml:space="preserve"> which he or she may feel from time to time and ensures consistent involvement (Brophy, T.S. &amp; Kristen, A. 2008) (Race, P. 2007).</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Continual Assessment.</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Beginning with the first session I emphasise the importance of producing original work as composing at any level will inevitably incorporate all the essential elements of music - rhythm, melody, harmony all set in a framework or </w:t>
            </w:r>
            <w:r>
              <w:rPr>
                <w:rFonts w:ascii="Helvetica" w:hAnsi="Helvetica" w:hint="default"/>
                <w:rtl w:val="0"/>
                <w:lang w:val="en-US"/>
              </w:rPr>
              <w:t>‘</w:t>
            </w:r>
            <w:r>
              <w:rPr>
                <w:rFonts w:ascii="Helvetica" w:hAnsi="Helvetica"/>
                <w:rtl w:val="0"/>
                <w:lang w:val="en-US"/>
              </w:rPr>
              <w:t>form</w:t>
            </w:r>
            <w:r>
              <w:rPr>
                <w:rFonts w:ascii="Helvetica" w:hAnsi="Helvetica" w:hint="default"/>
                <w:rtl w:val="0"/>
                <w:lang w:val="en-US"/>
              </w:rPr>
              <w:t>’</w:t>
            </w:r>
            <w:r>
              <w:rPr>
                <w:rFonts w:ascii="Helvetica" w:hAnsi="Helvetica"/>
                <w:rtl w:val="0"/>
                <w:lang w:val="en-US"/>
              </w:rPr>
              <w:t>. I am able to encourage a non threatening environment in which students feel free to make comments about each others work when during lectures I will play their compositions to the whole group on piano. Any weaknesses in the pieces will be noticed and creative strengths will, I have found, be praised. I encourage the students to tell me how they want the piece to be played so that I am not relying purely on the written score and will be influenced by the extra information they give me verbally (UNESCO 2017) (Harris, M. 1986). This system allows me to make continual assessment of the students</w:t>
            </w:r>
            <w:r>
              <w:rPr>
                <w:rFonts w:ascii="Helvetica" w:hAnsi="Helvetica" w:hint="default"/>
                <w:rtl w:val="0"/>
                <w:lang w:val="en-US"/>
              </w:rPr>
              <w:t xml:space="preserve">’ </w:t>
            </w:r>
            <w:r>
              <w:rPr>
                <w:rFonts w:ascii="Helvetica" w:hAnsi="Helvetica"/>
                <w:rtl w:val="0"/>
                <w:lang w:val="en-US"/>
              </w:rPr>
              <w:t>progress and to monitor those who need extra one to one attention because if the impression expressed to me verbally does not equate with the written work I am able to identify weaknesses and give the necessary time to the individual to match the ability to notate with their creative ability. I generally find students enjoy the instant realisation of their compositions and benefit greatly from it (V1) (V2) (K5).</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Assignment.</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Details of the assignment (one for each semester.) are given at the beginning of each semester and are also on Moodle in the form of the course handbook. Throughout the course in the time leading up to the hand-in date I work in class on comparable examples of the assignment. This is presented on the music white-board and is supported by piano performance or multi-track playback to demonstrate the composition or orchestration in question. Students will sometimes not start on the assignment until the latter part of the course and those who do make an early start are encouraged to revise and re-work their composition and arrangement as they acquire and feel able to apply more progressively complex aspects of music theory (K5).</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Feedback.</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Feedback is essential (for the reasons stated in paragraph 1.) and is delivered as soon as possible to submission of work to be assessed. I find that students benefit greatly from timely and thorough feedback and will take all comments, whether positive or critical, in the constructive way which they are intended. When giving feedback on audio production for example I will sometimes access through Youtube one of my mixes and indicate where I feel I could have done a better job (V3). This demonstrates the importance of self criticism and reflective practice for self improvement and, consequently,  should be encouraged.  In the case of written work, where the printed score is the component to be assessed, I find that marking the score with the conventional graphic indications of inappropriate part movement is the most effective and constructive form of feedback. As mentioned in A2 the ability to recognise visually some of the cases of bad movement between vocal or instrument lines needs to be developed in the student studying orchestration and my handing out a marked up score along with an explanation sheet with a bar by bar breakdown will assist in this development </w:t>
            </w:r>
            <w:r>
              <w:rPr>
                <w:rFonts w:ascii="Helvetica" w:hAnsi="Helvetica"/>
                <w:rtl w:val="0"/>
              </w:rPr>
              <w:t>(Race, P. 2007)</w:t>
            </w:r>
            <w:r>
              <w:rPr>
                <w:rFonts w:ascii="Helvetica" w:hAnsi="Helvetica"/>
                <w:rtl w:val="0"/>
                <w:lang w:val="en-US"/>
              </w:rPr>
              <w:t xml:space="preserve">. During the one to one feedback sessions I will sometimes play problem sections of the submitted work as an extra means to achieve clarity (K4) </w:t>
            </w:r>
            <w:r>
              <w:rPr>
                <w:rFonts w:ascii="Helvetica" w:hAnsi="Helvetica"/>
                <w:rtl w:val="0"/>
                <w:lang w:val="it-IT"/>
              </w:rPr>
              <w:t>(UNESCO 2017)</w:t>
            </w:r>
            <w:r>
              <w:rPr>
                <w:rFonts w:ascii="Helvetica" w:hAnsi="Helvetica"/>
                <w:rtl w:val="0"/>
                <w:lang w:val="en-US"/>
              </w:rPr>
              <w:t>.</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Throughout the semester the learning outcomes as specified in the course document are used as a reference and I make sure that all are securely achieved. This monitoring of progress ensures that all students who attain the level specified for the year are in the optimum position to progress to the subsequent level.  External examiners comments are welcomed too as a means of ensuring that assessment is reliable and robust (K5) (K6).</w:t>
            </w:r>
          </w:p>
          <w:p>
            <w:pPr>
              <w:pStyle w:val="Body A"/>
              <w:rPr>
                <w:rFonts w:ascii="Helvetica" w:cs="Helvetica" w:hAnsi="Helvetica" w:eastAsia="Helvetica"/>
              </w:rPr>
            </w:pPr>
          </w:p>
          <w:p>
            <w:pPr>
              <w:pStyle w:val="Body A"/>
              <w:jc w:val="both"/>
            </w:pPr>
            <w:r>
              <w:rPr>
                <w:b w:val="1"/>
                <w:bCs w:val="1"/>
                <w:sz w:val="28"/>
                <w:szCs w:val="28"/>
              </w:rPr>
            </w:r>
          </w:p>
        </w:tc>
      </w:tr>
      <w:tr>
        <w:tblPrEx>
          <w:shd w:val="clear" w:color="auto" w:fill="ced7e7"/>
        </w:tblPrEx>
        <w:trPr>
          <w:trHeight w:val="300"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A"/>
        <w:widowControl w:val="0"/>
        <w:ind w:left="108" w:hanging="108"/>
      </w:pPr>
    </w:p>
    <w:p>
      <w:pPr>
        <w:pStyle w:val="Body A"/>
        <w:widowControl w:val="0"/>
      </w:pPr>
    </w:p>
    <w:p>
      <w:pPr>
        <w:pStyle w:val="Body A"/>
        <w:jc w:val="both"/>
        <w:rPr>
          <w:sz w:val="24"/>
          <w:szCs w:val="24"/>
        </w:rPr>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070"/>
        <w:gridCol w:w="5528"/>
      </w:tblGrid>
      <w:tr>
        <w:tblPrEx>
          <w:shd w:val="clear" w:color="auto" w:fill="ced7e7"/>
        </w:tblPrEx>
        <w:trPr>
          <w:trHeight w:val="2052"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8"/>
                <w:szCs w:val="28"/>
              </w:rPr>
            </w:pPr>
            <w:r>
              <w:rPr>
                <w:b w:val="1"/>
                <w:bCs w:val="1"/>
                <w:sz w:val="28"/>
                <w:szCs w:val="28"/>
                <w:rtl w:val="0"/>
                <w:lang w:val="en-US"/>
              </w:rPr>
              <w:t>A4:  Developing effective learning environments and approaches to student support and guidance (700 words)</w:t>
            </w:r>
          </w:p>
          <w:p>
            <w:pPr>
              <w:pStyle w:val="Body A"/>
              <w:jc w:val="both"/>
            </w:pPr>
            <w:r>
              <w:rPr>
                <w:sz w:val="24"/>
                <w:szCs w:val="24"/>
                <w:rtl w:val="0"/>
                <w:lang w:val="en-US"/>
              </w:rPr>
              <w:t>This Area of Activity is about how you make effective use of both the formal and informal learning environment to facilitate learning. 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tblPrEx>
          <w:shd w:val="clear" w:color="auto" w:fill="ced7e7"/>
        </w:tblPrEx>
        <w:trPr>
          <w:trHeight w:val="2873" w:hRule="atLeast"/>
        </w:trPr>
        <w:tc>
          <w:tcPr>
            <w:tcW w:type="dxa" w:w="507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sz w:val="20"/>
                <w:szCs w:val="20"/>
                <w:u w:val="single"/>
                <w:rtl w:val="0"/>
                <w:lang w:val="en-US"/>
              </w:rPr>
              <w:t>Engagement with:</w:t>
            </w:r>
          </w:p>
          <w:p>
            <w:pPr>
              <w:pStyle w:val="List Paragraph"/>
              <w:numPr>
                <w:ilvl w:val="0"/>
                <w:numId w:val="9"/>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Different media and technologies, both physical and virtual</w:t>
            </w:r>
          </w:p>
          <w:p>
            <w:pPr>
              <w:pStyle w:val="List Paragraph"/>
              <w:numPr>
                <w:ilvl w:val="0"/>
                <w:numId w:val="9"/>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Different kinds of learners e.g. international, culturally diverse, special educational needs, disabled learners, home-based, full-time, part-time, etc.</w:t>
            </w:r>
          </w:p>
          <w:p>
            <w:pPr>
              <w:pStyle w:val="List Paragraph"/>
              <w:numPr>
                <w:ilvl w:val="0"/>
                <w:numId w:val="9"/>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 xml:space="preserve">Different modes of learning e.g. distance-based, blended, work/practice-based, etc. </w:t>
            </w:r>
          </w:p>
          <w:p>
            <w:pPr>
              <w:pStyle w:val="List Paragraph"/>
              <w:numPr>
                <w:ilvl w:val="0"/>
                <w:numId w:val="9"/>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Personal and academic tutoring</w:t>
            </w:r>
          </w:p>
          <w:p>
            <w:pPr>
              <w:pStyle w:val="List Paragraph"/>
              <w:numPr>
                <w:ilvl w:val="0"/>
                <w:numId w:val="9"/>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One-to-one advice</w:t>
            </w:r>
          </w:p>
          <w:p>
            <w:pPr>
              <w:pStyle w:val="List Paragraph"/>
              <w:numPr>
                <w:ilvl w:val="0"/>
                <w:numId w:val="9"/>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Counselling</w:t>
            </w:r>
          </w:p>
        </w:tc>
        <w:tc>
          <w:tcPr>
            <w:tcW w:type="dxa" w:w="55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sz w:val="20"/>
                <w:szCs w:val="20"/>
                <w:u w:val="single"/>
                <w:rtl w:val="0"/>
                <w:lang w:val="en-US"/>
              </w:rPr>
              <w:t>Evidence might include:</w:t>
            </w:r>
          </w:p>
          <w:p>
            <w:pPr>
              <w:pStyle w:val="List Paragraph"/>
              <w:numPr>
                <w:ilvl w:val="0"/>
                <w:numId w:val="10"/>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Reflective logs/diaries</w:t>
            </w:r>
          </w:p>
          <w:p>
            <w:pPr>
              <w:pStyle w:val="List Paragraph"/>
              <w:numPr>
                <w:ilvl w:val="0"/>
                <w:numId w:val="10"/>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Peer review</w:t>
            </w:r>
          </w:p>
          <w:p>
            <w:pPr>
              <w:pStyle w:val="List Paragraph"/>
              <w:numPr>
                <w:ilvl w:val="0"/>
                <w:numId w:val="10"/>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Formal and informal/unsolicited feedback from students and colleagues</w:t>
            </w:r>
          </w:p>
          <w:p>
            <w:pPr>
              <w:pStyle w:val="List Paragraph"/>
              <w:numPr>
                <w:ilvl w:val="0"/>
                <w:numId w:val="10"/>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Observations of teaching/learning activities</w:t>
            </w:r>
          </w:p>
          <w:p>
            <w:pPr>
              <w:pStyle w:val="List Paragraph"/>
              <w:numPr>
                <w:ilvl w:val="0"/>
                <w:numId w:val="10"/>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Evidence from electronic forms such as blogs and discussion forums</w:t>
            </w:r>
          </w:p>
        </w:tc>
      </w:tr>
      <w:tr>
        <w:tblPrEx>
          <w:shd w:val="clear" w:color="auto" w:fill="ced7e7"/>
        </w:tblPrEx>
        <w:trPr>
          <w:trHeight w:val="13431"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4"/>
                <w:szCs w:val="24"/>
              </w:rPr>
            </w:pPr>
            <w:r>
              <w:rPr>
                <w:b w:val="1"/>
                <w:bCs w:val="1"/>
                <w:sz w:val="24"/>
                <w:szCs w:val="24"/>
                <w:rtl w:val="0"/>
                <w:lang w:val="en-US"/>
              </w:rPr>
              <w:t>Write your evidence here</w:t>
            </w:r>
          </w:p>
          <w:p>
            <w:pPr>
              <w:pStyle w:val="Body A"/>
              <w:jc w:val="both"/>
              <w:rPr>
                <w:b w:val="1"/>
                <w:bCs w:val="1"/>
                <w:sz w:val="24"/>
                <w:szCs w:val="24"/>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In a creative art course I feel great emphasis should be given to nurturing an environment in which students do not feel inhibited to experiment and develop ideas whilst at the same time applying taught conventions or, at a more advanced level, choosing to disregard them when creating new work. I place immense value in this approach while demonstrating to the students that a more conventional, less experimental approach is required when working to the rigid time schedules and economic restrictions consistent with the music industry. A fine balance has to be established where on the one hand creative expression can be encouraged and on the other the more restrictive nature of </w:t>
            </w:r>
            <w:r>
              <w:rPr>
                <w:rFonts w:ascii="Helvetica" w:hAnsi="Helvetica"/>
                <w:i w:val="1"/>
                <w:iCs w:val="1"/>
                <w:rtl w:val="0"/>
                <w:lang w:val="en-US"/>
              </w:rPr>
              <w:t xml:space="preserve">writing to order </w:t>
            </w:r>
            <w:r>
              <w:rPr>
                <w:rFonts w:ascii="Helvetica" w:hAnsi="Helvetica"/>
                <w:rtl w:val="0"/>
                <w:lang w:val="en-US"/>
              </w:rPr>
              <w:t xml:space="preserve"> needs to be confronted without instilling a feeling of intimidation. My professional positions in both worlds (education and the music industry.) allow me to match every stage of the theoretical process with a practical solution I am able to  demonstrate how a systematic approach with good time management and communication can be employed to deal with the pressures consistent with both the creative and industrial worlds (K1). I feel that my output consisting of over fifty hours annually of broadcast material with many hundreds of musical productions on Youtube, a symphony, two string quartets, a fugue for piano quintet as well as many pieces for jazz ensembles demonstrates my ability to speak from a position of experience.</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In order to illustrate the importance of time management one can hardly avoid discussing situations which are inherently stressful as these are the reasons to employ stress-reducing techniques such as good planning and forward thinking (White, P 1993). In a class situation I can clearly illustrate how in a professional production a composition will be turned around from an initial idea to an orchestrated, rehearsed and recorded piece of music in a very short period of time but when the student goes back to work in his or her own personal studio environment it is often apparent that this is not fully appreciated. Overdue attention to post production editing not only consumes an inordinate amount of time but, in many cases, will remove from the finished audio some of the unique imperfections which give character and colour and ultimately can set the piece apart from others. One way to approach this subject is to encourage the students to keep a detailed diary of time spent composing, editing and mixing (K4). This can be looked at during one to one sessions and un-necessary log jams can be identified and made apparent to the student (Harris, M. 1986). I have noticed that sometimes it is merely a lack of confidence in decision making which causes over-editing and I always make a point of indicating to the student, whether it is in composition or music production, where serendipity has added a unique aspect to the piece and the levelling act of over-editing will produce an inferior product. My intention is to instil confidence in the students to trust their own ears and to be able to support </w:t>
            </w:r>
            <w:r>
              <w:rPr>
                <w:rFonts w:ascii="Helvetica" w:hAnsi="Helvetica"/>
                <w:i w:val="1"/>
                <w:iCs w:val="1"/>
                <w:rtl w:val="0"/>
                <w:lang w:val="en-US"/>
              </w:rPr>
              <w:t>their</w:t>
            </w:r>
            <w:r>
              <w:rPr>
                <w:rFonts w:ascii="Helvetica" w:hAnsi="Helvetica"/>
                <w:rtl w:val="0"/>
                <w:lang w:val="en-US"/>
              </w:rPr>
              <w:t xml:space="preserve"> decision to edit or not (K3) (White, P 1993) (Fernandes, N. 2018).</w:t>
            </w:r>
          </w:p>
          <w:p>
            <w:pPr>
              <w:pStyle w:val="Body A"/>
              <w:rPr>
                <w:rFonts w:ascii="Helvetica" w:cs="Helvetica" w:hAnsi="Helvetica" w:eastAsia="Helvetica"/>
              </w:rPr>
            </w:pPr>
          </w:p>
          <w:p>
            <w:pPr>
              <w:pStyle w:val="Body A"/>
              <w:bidi w:val="0"/>
              <w:ind w:left="0" w:right="0" w:firstLine="0"/>
              <w:jc w:val="left"/>
              <w:rPr>
                <w:rFonts w:ascii="Helvetica" w:cs="Helvetica" w:hAnsi="Helvetica" w:eastAsia="Helvetica"/>
                <w:rtl w:val="0"/>
              </w:rPr>
            </w:pPr>
            <w:r>
              <w:rPr>
                <w:rFonts w:ascii="Helvetica" w:hAnsi="Helvetica"/>
                <w:rtl w:val="0"/>
                <w:lang w:val="en-US"/>
              </w:rPr>
              <w:t>So far I have written about the processes which ultimately result in a completed piece of work, either a notated score or an audio file, but there is obviously more to the teacher/student relationship than merely producing material for assessment. Some students will prefer more one to one attention and will require a certain amount of that personal attention before presenting work to  peer review. This has to be respected and I will spend time building the confidence of that person before putting them in a situation which they may find stressful. Students with special educational needs can fall into this category as can mature students who have been out of formal eduction for a long time and disabled learners (V1) (V4) (Bunt, L. 1999). As a child I suffered with a stammer and know from first-hand experience what it feels like to be set apart from the larger group for something which has nothing to do with the taught subject. It is very important to me that engagement with different kinds of learners is a significant aspect of education and I will make every effort to be sensitive to all students</w:t>
            </w:r>
            <w:r>
              <w:rPr>
                <w:rFonts w:ascii="Helvetica" w:hAnsi="Helvetica" w:hint="default"/>
                <w:rtl w:val="0"/>
                <w:lang w:val="en-US"/>
              </w:rPr>
              <w:t xml:space="preserve">’ </w:t>
            </w:r>
            <w:r>
              <w:rPr>
                <w:rFonts w:ascii="Helvetica" w:hAnsi="Helvetica"/>
                <w:rtl w:val="0"/>
                <w:lang w:val="en-US"/>
              </w:rPr>
              <w:t xml:space="preserve">needs. </w:t>
            </w:r>
          </w:p>
          <w:p>
            <w:pPr>
              <w:pStyle w:val="Body A"/>
              <w:rPr>
                <w:rFonts w:ascii="Helvetica" w:cs="Helvetica" w:hAnsi="Helvetica" w:eastAsia="Helvetica"/>
                <w:i w:val="1"/>
                <w:iCs w:val="1"/>
              </w:rPr>
            </w:pPr>
          </w:p>
          <w:p>
            <w:pPr>
              <w:pStyle w:val="Body A"/>
            </w:pPr>
            <w:r>
              <w:rPr>
                <w:rFonts w:ascii="Helvetica" w:cs="Helvetica" w:hAnsi="Helvetica" w:eastAsia="Helvetica"/>
              </w:rPr>
            </w:r>
          </w:p>
        </w:tc>
      </w:tr>
    </w:tbl>
    <w:p>
      <w:pPr>
        <w:pStyle w:val="Body A"/>
        <w:widowControl w:val="0"/>
        <w:ind w:left="108" w:hanging="108"/>
        <w:rPr>
          <w:sz w:val="24"/>
          <w:szCs w:val="24"/>
        </w:rPr>
      </w:pPr>
    </w:p>
    <w:p>
      <w:pPr>
        <w:pStyle w:val="Body A"/>
        <w:widowControl w:val="0"/>
        <w:jc w:val="both"/>
        <w:rPr>
          <w:sz w:val="24"/>
          <w:szCs w:val="24"/>
        </w:rPr>
      </w:pPr>
    </w:p>
    <w:p>
      <w:pPr>
        <w:pStyle w:val="Body A"/>
        <w:jc w:val="both"/>
        <w:rPr>
          <w:sz w:val="24"/>
          <w:szCs w:val="24"/>
        </w:rPr>
      </w:pPr>
    </w:p>
    <w:p>
      <w:pPr>
        <w:pStyle w:val="Body A"/>
        <w:jc w:val="both"/>
        <w:rPr>
          <w:sz w:val="24"/>
          <w:szCs w:val="24"/>
        </w:rPr>
      </w:pPr>
    </w:p>
    <w:p>
      <w:pPr>
        <w:pStyle w:val="Body A"/>
        <w:jc w:val="both"/>
        <w:rPr>
          <w:sz w:val="24"/>
          <w:szCs w:val="24"/>
        </w:rPr>
      </w:pPr>
    </w:p>
    <w:tbl>
      <w:tblPr>
        <w:tblW w:w="104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5143"/>
        <w:gridCol w:w="5317"/>
      </w:tblGrid>
      <w:tr>
        <w:tblPrEx>
          <w:shd w:val="clear" w:color="auto" w:fill="ced7e7"/>
        </w:tblPrEx>
        <w:trPr>
          <w:trHeight w:val="2372" w:hRule="atLeast"/>
        </w:trPr>
        <w:tc>
          <w:tcPr>
            <w:tcW w:type="dxa" w:w="1046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8"/>
                <w:szCs w:val="28"/>
              </w:rPr>
            </w:pPr>
            <w:r>
              <w:rPr>
                <w:b w:val="1"/>
                <w:bCs w:val="1"/>
                <w:sz w:val="28"/>
                <w:szCs w:val="28"/>
                <w:rtl w:val="0"/>
                <w:lang w:val="en-US"/>
              </w:rPr>
              <w:t>A5:  Engaging in continuing professional development, research and the evaluation of teaching and learning related professional development (700 words)</w:t>
            </w:r>
          </w:p>
          <w:p>
            <w:pPr>
              <w:pStyle w:val="Body A"/>
              <w:jc w:val="both"/>
            </w:pPr>
            <w:r>
              <w:rPr>
                <w:sz w:val="24"/>
                <w:szCs w:val="24"/>
                <w:rtl w:val="0"/>
                <w:lang w:val="en-US"/>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tblPrEx>
          <w:shd w:val="clear" w:color="auto" w:fill="ced7e7"/>
        </w:tblPrEx>
        <w:trPr>
          <w:trHeight w:val="4633" w:hRule="atLeast"/>
        </w:trPr>
        <w:tc>
          <w:tcPr>
            <w:tcW w:type="dxa" w:w="51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Fonts w:cs="Arial Unicode MS" w:eastAsia="Arial Unicode MS"/>
                <w:sz w:val="20"/>
                <w:szCs w:val="20"/>
                <w:u w:val="single"/>
                <w:rtl w:val="0"/>
                <w:lang w:val="en-US"/>
              </w:rPr>
              <w:t>Engagement in:</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Self-reflective practice</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Proactive planning</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Participation in a range of activities to extend professional learning</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 xml:space="preserve">Successful involvement in/completion of relevant teaching-related qualification(s) </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Presenting or participating in conferences on teaching and learning (often discipline specific)</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Attending workshops or training events</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Engaging in per observation or peer review of teaching</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Regular departmental meetings where the discussion is about learning and teaching issues</w:t>
            </w:r>
          </w:p>
          <w:p>
            <w:pPr>
              <w:pStyle w:val="List Paragraph"/>
              <w:numPr>
                <w:ilvl w:val="0"/>
                <w:numId w:val="11"/>
              </w:numPr>
              <w:bidi w:val="0"/>
              <w:spacing w:after="0" w:line="240" w:lineRule="auto"/>
              <w:ind w:right="0"/>
              <w:jc w:val="left"/>
              <w:rPr>
                <w:rFonts w:ascii="Arial" w:hAnsi="Arial" w:hint="default"/>
                <w:sz w:val="20"/>
                <w:szCs w:val="20"/>
                <w:rtl w:val="0"/>
                <w:lang w:val="en-US"/>
              </w:rPr>
            </w:pPr>
            <w:r>
              <w:rPr>
                <w:rFonts w:ascii="Arial" w:hAnsi="Arial" w:hint="default"/>
                <w:sz w:val="20"/>
                <w:szCs w:val="20"/>
                <w:rtl w:val="0"/>
                <w:lang w:val="en-US"/>
              </w:rPr>
              <w:t>‘</w:t>
            </w:r>
            <w:r>
              <w:rPr>
                <w:rFonts w:ascii="Arial" w:hAnsi="Arial"/>
                <w:sz w:val="20"/>
                <w:szCs w:val="20"/>
                <w:rtl w:val="0"/>
                <w:lang w:val="en-US"/>
              </w:rPr>
              <w:t>corridor</w:t>
            </w:r>
            <w:r>
              <w:rPr>
                <w:rFonts w:ascii="Arial" w:hAnsi="Arial" w:hint="default"/>
                <w:sz w:val="20"/>
                <w:szCs w:val="20"/>
                <w:rtl w:val="0"/>
                <w:lang w:val="en-US"/>
              </w:rPr>
              <w:t xml:space="preserve">’ </w:t>
            </w:r>
            <w:r>
              <w:rPr>
                <w:rFonts w:ascii="Arial" w:hAnsi="Arial"/>
                <w:sz w:val="20"/>
                <w:szCs w:val="20"/>
                <w:rtl w:val="0"/>
                <w:lang w:val="en-US"/>
              </w:rPr>
              <w:t>discussions about teaching</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Bidding for and involvement in projects or research on teaching and learning</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Implementing new approaches</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Subject and other network activities</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Reading</w:t>
            </w:r>
          </w:p>
          <w:p>
            <w:pPr>
              <w:pStyle w:val="List Paragraph"/>
              <w:numPr>
                <w:ilvl w:val="0"/>
                <w:numId w:val="11"/>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Visits to other institutions/organisations</w:t>
            </w:r>
          </w:p>
        </w:tc>
        <w:tc>
          <w:tcPr>
            <w:tcW w:type="dxa" w:w="53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sz w:val="20"/>
                <w:szCs w:val="20"/>
                <w:u w:val="single"/>
                <w:rtl w:val="0"/>
                <w:lang w:val="en-US"/>
              </w:rPr>
              <w:t>Evidence might include:</w:t>
            </w:r>
          </w:p>
          <w:p>
            <w:pPr>
              <w:pStyle w:val="List Paragraph"/>
              <w:numPr>
                <w:ilvl w:val="0"/>
                <w:numId w:val="12"/>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Portfolios related to academic/professional development</w:t>
            </w:r>
          </w:p>
          <w:p>
            <w:pPr>
              <w:pStyle w:val="List Paragraph"/>
              <w:numPr>
                <w:ilvl w:val="0"/>
                <w:numId w:val="12"/>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Reflective logs</w:t>
            </w:r>
          </w:p>
          <w:p>
            <w:pPr>
              <w:pStyle w:val="List Paragraph"/>
              <w:numPr>
                <w:ilvl w:val="0"/>
                <w:numId w:val="12"/>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 xml:space="preserve">CPD records </w:t>
            </w:r>
          </w:p>
          <w:p>
            <w:pPr>
              <w:pStyle w:val="List Paragraph"/>
              <w:numPr>
                <w:ilvl w:val="0"/>
                <w:numId w:val="12"/>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Exemplars of proactive changes in teaching/supporting learning based on own learning and research/scholarly activity</w:t>
            </w:r>
          </w:p>
          <w:p>
            <w:pPr>
              <w:pStyle w:val="List Paragraph"/>
              <w:numPr>
                <w:ilvl w:val="0"/>
                <w:numId w:val="12"/>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Evidence of changes in practice following engagement with initial and/or continuing professional development, including events, conferences, training, learning, seminars, workshops, etc.</w:t>
            </w:r>
          </w:p>
          <w:p>
            <w:pPr>
              <w:pStyle w:val="List Paragraph"/>
              <w:numPr>
                <w:ilvl w:val="0"/>
                <w:numId w:val="12"/>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Conference papers/presentations/etc.</w:t>
            </w:r>
          </w:p>
          <w:p>
            <w:pPr>
              <w:pStyle w:val="List Paragraph"/>
              <w:numPr>
                <w:ilvl w:val="0"/>
                <w:numId w:val="12"/>
              </w:numPr>
              <w:bidi w:val="0"/>
              <w:spacing w:after="0" w:line="240" w:lineRule="auto"/>
              <w:ind w:right="0"/>
              <w:jc w:val="left"/>
              <w:rPr>
                <w:rFonts w:ascii="Arial" w:hAnsi="Arial"/>
                <w:sz w:val="20"/>
                <w:szCs w:val="20"/>
                <w:rtl w:val="0"/>
                <w:lang w:val="en-US"/>
              </w:rPr>
            </w:pPr>
            <w:r>
              <w:rPr>
                <w:rFonts w:ascii="Arial" w:hAnsi="Arial"/>
                <w:sz w:val="20"/>
                <w:szCs w:val="20"/>
                <w:rtl w:val="0"/>
                <w:lang w:val="en-US"/>
              </w:rPr>
              <w:t>Bid and project documentation</w:t>
            </w:r>
          </w:p>
        </w:tc>
      </w:tr>
      <w:tr>
        <w:tblPrEx>
          <w:shd w:val="clear" w:color="auto" w:fill="ced7e7"/>
        </w:tblPrEx>
        <w:trPr>
          <w:trHeight w:val="13845" w:hRule="atLeast"/>
        </w:trPr>
        <w:tc>
          <w:tcPr>
            <w:tcW w:type="dxa" w:w="1046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b w:val="1"/>
                <w:bCs w:val="1"/>
                <w:sz w:val="24"/>
                <w:szCs w:val="24"/>
                <w:u w:val="single"/>
              </w:rPr>
            </w:pPr>
            <w:r>
              <w:rPr>
                <w:b w:val="1"/>
                <w:bCs w:val="1"/>
                <w:sz w:val="24"/>
                <w:szCs w:val="24"/>
                <w:u w:val="single"/>
                <w:rtl w:val="0"/>
                <w:lang w:val="en-US"/>
              </w:rPr>
              <w:t>Write your evidence here</w:t>
            </w:r>
          </w:p>
          <w:p>
            <w:pPr>
              <w:pStyle w:val="Body A"/>
              <w:jc w:val="both"/>
              <w:rPr>
                <w:b w:val="1"/>
                <w:bCs w:val="1"/>
                <w:sz w:val="24"/>
                <w:szCs w:val="24"/>
                <w:u w:val="single"/>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In order to develop in any profession one must be continually reviewing one</w:t>
            </w:r>
            <w:r>
              <w:rPr>
                <w:rFonts w:ascii="Helvetica" w:hAnsi="Helvetica" w:hint="default"/>
                <w:rtl w:val="0"/>
                <w:lang w:val="en-US"/>
              </w:rPr>
              <w:t>’</w:t>
            </w:r>
            <w:r>
              <w:rPr>
                <w:rFonts w:ascii="Helvetica" w:hAnsi="Helvetica"/>
                <w:rtl w:val="0"/>
                <w:lang w:val="en-US"/>
              </w:rPr>
              <w:t>s progress and reflecting on its quality in relation to the changes within the profession and towards the progress of peers. I have found the completion of this H.E.A. Fellowship application to be another opportunity to do exactly this and have found the process to be both enquiring and encouraging (K6). I feel that the many years teaching experience I have had, with all age groups, has allowed me to develop strategies which encourage and educate students. My work as a professional musician and composer since 1971 and subsequent involvement in the recording and broadcast industry has provided me with the opportunity to work with people of all ages and to see how a sound educational background, or evidence of alarming gaps in knowledge, can have an impact on future development. Continual self-reflection building on many years of practical experience and practice based research is essential to ensure my own continued professional development.</w:t>
            </w:r>
          </w:p>
          <w:p>
            <w:pPr>
              <w:pStyle w:val="Body A"/>
              <w:rPr>
                <w:rFonts w:ascii="Helvetica" w:cs="Helvetica" w:hAnsi="Helvetica" w:eastAsia="Helvetica"/>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I enrolled on a postgraduate course at the Royal Welsh College of Music and Drama in 2008 and completed a two year MMus in composition (V3). The experience was invaluable despite my initial feelings that after many years working as a composer and musical director there would be very little that I did not know; in fact I was learning from day one and the knowledge I acquired is incorporated into my work now on a daily basis. I make a point of relating this to my students to convey the concept of learning and development as a life-long process. Also I find that mature students who are questioning their decision to commit time to a course of study are encouraged and reassured by my recounting this experience (K6). </w:t>
            </w:r>
          </w:p>
          <w:p>
            <w:pPr>
              <w:pStyle w:val="Body A"/>
              <w:rPr>
                <w:rFonts w:ascii="Helvetica" w:cs="Helvetica" w:hAnsi="Helvetica" w:eastAsia="Helvetica"/>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 xml:space="preserve">I encourage response and feedback from students as a key element in my professional development (Harris, M. 1986).  By allowing students to express their concerns, progress and specific interests I find that as well as giving me a clearer way to move forward it also re-assures them that they are being listened to and consideration is given to their views. I also maintain contact with many ex-students, some who have moved into the industry and those who retain a deep interest in music and find that they will take the opportunity to express how the theoretical education they had has been of benefit to them after leaving University. </w:t>
            </w:r>
          </w:p>
          <w:p>
            <w:pPr>
              <w:pStyle w:val="Body A"/>
              <w:rPr>
                <w:rFonts w:ascii="Helvetica" w:cs="Helvetica" w:hAnsi="Helvetica" w:eastAsia="Helvetica"/>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Team meetings within the department and school are an essential means of ensuring development and evaluation of teaching methods (K5). Discussion of methods of delivery and response are of great interest and allow the opportunity to see how students who are having more difficulty with theoretical concepts in my group may be high achievers in that of another member of staff, or the reverse could apply (Petty, G. 2009). In a case like the former I would review my teaching strategy with that student and would illustrate how, for example, a theoretical convention formalised in the eighteenth century could be employed in a new composition within a module lead by my fellow lecturer and how a reciprocal attitude can apply (V2). Peer observation is also another way to observe how such students respond to another member of staff</w:t>
            </w:r>
            <w:r>
              <w:rPr>
                <w:rFonts w:ascii="Helvetica" w:hAnsi="Helvetica" w:hint="default"/>
                <w:rtl w:val="0"/>
                <w:lang w:val="en-US"/>
              </w:rPr>
              <w:t>’</w:t>
            </w:r>
            <w:r>
              <w:rPr>
                <w:rFonts w:ascii="Helvetica" w:hAnsi="Helvetica"/>
                <w:rtl w:val="0"/>
                <w:lang w:val="en-US"/>
              </w:rPr>
              <w:t>s teaching strategy, as well as a means of self evaluation and development (Buckley, F.J. 1999).</w:t>
            </w:r>
          </w:p>
          <w:p>
            <w:pPr>
              <w:pStyle w:val="Body A"/>
              <w:rPr>
                <w:rFonts w:ascii="Helvetica" w:cs="Helvetica" w:hAnsi="Helvetica" w:eastAsia="Helvetica"/>
                <w:lang w:val="en-US"/>
              </w:rPr>
            </w:pPr>
          </w:p>
          <w:p>
            <w:pPr>
              <w:pStyle w:val="Body A"/>
              <w:bidi w:val="0"/>
              <w:ind w:left="0" w:right="0" w:firstLine="0"/>
              <w:jc w:val="left"/>
              <w:rPr>
                <w:rFonts w:ascii="Helvetica" w:cs="Helvetica" w:hAnsi="Helvetica" w:eastAsia="Helvetica"/>
                <w:rtl w:val="0"/>
              </w:rPr>
            </w:pPr>
            <w:r>
              <w:rPr>
                <w:rFonts w:ascii="Helvetica" w:hAnsi="Helvetica"/>
                <w:rtl w:val="0"/>
                <w:lang w:val="en-US"/>
              </w:rPr>
              <w:t>Through the ever-growing network which I am part of in my professional work in the industry I am able to support theoretical concepts conveyed as a teacher with practical application and relevance. I create opportunities for students to find work placements in live sound and broadcast situations and have in the past month arranged for five level 6 Music Tech students to work with AB Acoustics (A major Welsh TV and stage sound company.) as stage sound technicians on several major live events including a Radio 1 and other live transmissions in May, June and July. As part of my involvement in promotion of the Welsh language at UWTSD (V1) I have arranged for students to find work experience at both the Urdd and National Eisteddfod and also to apply for positions on the Eisteddfod paid internship as trainee stage managers. I have also created significant introductions for students with the BBC, Sain Records, Cwmni Da TV, Tinopolis TV and Derwen, an independent broadcast facilities company (V2) (K3). I am currently expanding my network to Australia and have recently facilitated a one hour TV documentary and a one hour televised concert with the Gondwana Chorale (Australia</w:t>
            </w:r>
            <w:r>
              <w:rPr>
                <w:rFonts w:ascii="Helvetica" w:hAnsi="Helvetica" w:hint="default"/>
                <w:rtl w:val="0"/>
                <w:lang w:val="en-US"/>
              </w:rPr>
              <w:t>’</w:t>
            </w:r>
            <w:r>
              <w:rPr>
                <w:rFonts w:ascii="Helvetica" w:hAnsi="Helvetica"/>
                <w:rtl w:val="0"/>
                <w:lang w:val="en-US"/>
              </w:rPr>
              <w:t>s national youth choir.) singing my arrangements in Welsh with C</w:t>
            </w:r>
            <w:r>
              <w:rPr>
                <w:rFonts w:ascii="Helvetica" w:hAnsi="Helvetica" w:hint="default"/>
                <w:rtl w:val="0"/>
                <w:lang w:val="en-US"/>
              </w:rPr>
              <w:t>ô</w:t>
            </w:r>
            <w:r>
              <w:rPr>
                <w:rFonts w:ascii="Helvetica" w:hAnsi="Helvetica"/>
                <w:rtl w:val="0"/>
                <w:lang w:val="en-US"/>
              </w:rPr>
              <w:t>r Glanaethwy (The choir from North Wales</w:t>
            </w:r>
            <w:r>
              <w:rPr>
                <w:rFonts w:ascii="Helvetica" w:hAnsi="Helvetica" w:hint="default"/>
                <w:rtl w:val="0"/>
                <w:lang w:val="en-US"/>
              </w:rPr>
              <w:t xml:space="preserve">’ </w:t>
            </w:r>
            <w:r>
              <w:rPr>
                <w:rFonts w:ascii="Helvetica" w:hAnsi="Helvetica"/>
                <w:rtl w:val="0"/>
                <w:lang w:val="en-US"/>
              </w:rPr>
              <w:t>Ysgol Glanaethwy.) performing at the Royal Welsh College of Music and Drama. It is my intention to continue and develop this cultural link with Australia (V3).</w:t>
            </w:r>
          </w:p>
          <w:p>
            <w:pPr>
              <w:pStyle w:val="Body A"/>
              <w:rPr>
                <w:rFonts w:ascii="Helvetica" w:cs="Helvetica" w:hAnsi="Helvetica" w:eastAsia="Helvetica"/>
                <w:lang w:val="en-US"/>
              </w:rPr>
            </w:pPr>
          </w:p>
          <w:p>
            <w:pPr>
              <w:pStyle w:val="Body A"/>
              <w:rPr>
                <w:rFonts w:ascii="Helvetica" w:cs="Helvetica" w:hAnsi="Helvetica" w:eastAsia="Helvetica"/>
                <w:lang w:val="en-US"/>
              </w:rPr>
            </w:pPr>
          </w:p>
          <w:p>
            <w:pPr>
              <w:pStyle w:val="Body A"/>
              <w:rPr>
                <w:rFonts w:ascii="Helvetica" w:cs="Helvetica" w:hAnsi="Helvetica" w:eastAsia="Helvetica"/>
              </w:rPr>
            </w:pPr>
          </w:p>
          <w:p>
            <w:pPr>
              <w:pStyle w:val="Body A"/>
              <w:jc w:val="both"/>
              <w:rPr>
                <w:sz w:val="24"/>
                <w:szCs w:val="24"/>
                <w:lang w:val="en-US"/>
              </w:rPr>
            </w:pPr>
          </w:p>
          <w:p>
            <w:pPr>
              <w:pStyle w:val="Body A"/>
              <w:jc w:val="both"/>
              <w:rPr>
                <w:sz w:val="24"/>
                <w:szCs w:val="24"/>
                <w:lang w:val="en-US"/>
              </w:rPr>
            </w:pPr>
          </w:p>
          <w:p>
            <w:pPr>
              <w:pStyle w:val="Body A"/>
              <w:jc w:val="both"/>
              <w:rPr>
                <w:sz w:val="24"/>
                <w:szCs w:val="24"/>
                <w:lang w:val="en-US"/>
              </w:rPr>
            </w:pPr>
          </w:p>
          <w:p>
            <w:pPr>
              <w:pStyle w:val="Body A"/>
              <w:jc w:val="both"/>
            </w:pPr>
            <w:r>
              <w:rPr>
                <w:sz w:val="24"/>
                <w:szCs w:val="24"/>
                <w:lang w:val="en-US"/>
              </w:rPr>
            </w:r>
          </w:p>
        </w:tc>
      </w:tr>
    </w:tbl>
    <w:p>
      <w:pPr>
        <w:pStyle w:val="Body A"/>
        <w:widowControl w:val="0"/>
        <w:ind w:left="108" w:hanging="108"/>
        <w:rPr>
          <w:sz w:val="24"/>
          <w:szCs w:val="24"/>
        </w:rPr>
      </w:pPr>
    </w:p>
    <w:p>
      <w:pPr>
        <w:pStyle w:val="Body A"/>
        <w:widowControl w:val="0"/>
        <w:jc w:val="both"/>
        <w:rPr>
          <w:sz w:val="24"/>
          <w:szCs w:val="24"/>
        </w:rPr>
      </w:pPr>
    </w:p>
    <w:p>
      <w:pPr>
        <w:pStyle w:val="Body A"/>
        <w:jc w:val="both"/>
        <w:rPr>
          <w:sz w:val="24"/>
          <w:szCs w:val="24"/>
        </w:rPr>
      </w:pPr>
    </w:p>
    <w:p>
      <w:pPr>
        <w:pStyle w:val="Body A"/>
        <w:jc w:val="both"/>
        <w:rPr>
          <w:b w:val="1"/>
          <w:bCs w:val="1"/>
          <w:sz w:val="32"/>
          <w:szCs w:val="32"/>
        </w:rPr>
      </w:pPr>
    </w:p>
    <w:p>
      <w:pPr>
        <w:pStyle w:val="Body A"/>
        <w:jc w:val="both"/>
        <w:rPr>
          <w:b w:val="1"/>
          <w:bCs w:val="1"/>
          <w:sz w:val="32"/>
          <w:szCs w:val="32"/>
        </w:rPr>
      </w:pPr>
      <w:r>
        <w:rPr>
          <w:b w:val="1"/>
          <w:bCs w:val="1"/>
          <w:sz w:val="32"/>
          <w:szCs w:val="32"/>
          <w:rtl w:val="0"/>
          <w:lang w:val="fr-FR"/>
        </w:rPr>
        <w:t>References</w:t>
      </w:r>
    </w:p>
    <w:p>
      <w:pPr>
        <w:pStyle w:val="heading"/>
        <w:spacing w:before="0" w:after="0"/>
        <w:ind w:left="0" w:firstLine="0"/>
        <w:rPr>
          <w:rFonts w:ascii="Arial" w:cs="Arial" w:hAnsi="Arial" w:eastAsia="Arial"/>
          <w:b w:val="0"/>
          <w:bCs w:val="0"/>
          <w:sz w:val="22"/>
          <w:szCs w:val="22"/>
        </w:rPr>
      </w:pPr>
    </w:p>
    <w:p>
      <w:pPr>
        <w:pStyle w:val="Body A"/>
      </w:pPr>
      <w:r>
        <w:rPr>
          <w:rFonts w:cs="Arial Unicode MS" w:eastAsia="Arial Unicode MS"/>
          <w:rtl w:val="0"/>
          <w:lang w:val="en-US"/>
        </w:rPr>
        <w:t xml:space="preserve">Bent, I.D. &amp; Pople, A. (2006) </w:t>
      </w:r>
      <w:r>
        <w:rPr>
          <w:rFonts w:cs="Arial Unicode MS" w:eastAsia="Arial Unicode MS"/>
          <w:i w:val="1"/>
          <w:iCs w:val="1"/>
          <w:rtl w:val="0"/>
          <w:lang w:val="en-US"/>
        </w:rPr>
        <w:t>The Place of Analysis in the Study of Music.</w:t>
      </w:r>
      <w:r>
        <w:rPr>
          <w:rFonts w:cs="Arial Unicode MS" w:eastAsia="Arial Unicode MS"/>
          <w:rtl w:val="0"/>
          <w:lang w:val="en-US"/>
        </w:rPr>
        <w:t xml:space="preserve"> Oxford University Press. Oxford Music Online.</w:t>
      </w:r>
    </w:p>
    <w:p>
      <w:pPr>
        <w:pStyle w:val="Body A"/>
      </w:pPr>
    </w:p>
    <w:p>
      <w:pPr>
        <w:pStyle w:val="Body A"/>
      </w:pPr>
      <w:r>
        <w:rPr>
          <w:rFonts w:cs="Arial Unicode MS" w:eastAsia="Arial Unicode MS"/>
          <w:rtl w:val="0"/>
          <w:lang w:val="en-US"/>
        </w:rPr>
        <w:t xml:space="preserve">Brophy, T.S. &amp; Kristen, A. (2008) </w:t>
      </w:r>
      <w:r>
        <w:rPr>
          <w:rFonts w:cs="Arial Unicode MS" w:eastAsia="Arial Unicode MS"/>
          <w:i w:val="1"/>
          <w:iCs w:val="1"/>
          <w:rtl w:val="0"/>
          <w:lang w:val="en-US"/>
        </w:rPr>
        <w:t>Assessment in Music Education.</w:t>
      </w:r>
      <w:r>
        <w:rPr>
          <w:rFonts w:cs="Arial Unicode MS" w:eastAsia="Arial Unicode MS"/>
          <w:rtl w:val="0"/>
          <w:lang w:val="en-US"/>
        </w:rPr>
        <w:t xml:space="preserve"> GIA Publications.</w:t>
      </w:r>
    </w:p>
    <w:p>
      <w:pPr>
        <w:pStyle w:val="Body A"/>
      </w:pPr>
    </w:p>
    <w:p>
      <w:pPr>
        <w:pStyle w:val="Body A"/>
      </w:pPr>
    </w:p>
    <w:p>
      <w:pPr>
        <w:pStyle w:val="Body A"/>
      </w:pPr>
      <w:r>
        <w:rPr>
          <w:rFonts w:cs="Arial Unicode MS" w:eastAsia="Arial Unicode MS"/>
          <w:rtl w:val="0"/>
          <w:lang w:val="de-DE"/>
        </w:rPr>
        <w:t>Buck</w:t>
      </w:r>
      <w:r>
        <w:rPr>
          <w:rFonts w:cs="Arial Unicode MS" w:eastAsia="Arial Unicode MS"/>
          <w:rtl w:val="0"/>
          <w:lang w:val="en-US"/>
        </w:rPr>
        <w:t>le</w:t>
      </w:r>
      <w:r>
        <w:rPr>
          <w:rFonts w:cs="Arial Unicode MS" w:eastAsia="Arial Unicode MS"/>
          <w:rtl w:val="0"/>
        </w:rPr>
        <w:t>y</w:t>
      </w:r>
      <w:r>
        <w:rPr>
          <w:rFonts w:cs="Arial Unicode MS" w:eastAsia="Arial Unicode MS"/>
          <w:rtl w:val="0"/>
          <w:lang w:val="en-US"/>
        </w:rPr>
        <w:t>,</w:t>
      </w:r>
      <w:r>
        <w:rPr>
          <w:rFonts w:cs="Arial Unicode MS" w:eastAsia="Arial Unicode MS"/>
          <w:rtl w:val="0"/>
        </w:rPr>
        <w:t xml:space="preserve"> F, J. (1999) </w:t>
      </w:r>
      <w:r>
        <w:rPr>
          <w:rFonts w:cs="Arial Unicode MS" w:eastAsia="Arial Unicode MS"/>
          <w:u w:val="single"/>
          <w:rtl w:val="0"/>
          <w:lang w:val="en-US"/>
        </w:rPr>
        <w:t>Team Teaching: What, Why and How?</w:t>
      </w:r>
      <w:r>
        <w:rPr>
          <w:rFonts w:cs="Arial Unicode MS" w:eastAsia="Arial Unicode MS"/>
          <w:rtl w:val="0"/>
          <w:lang w:val="en-US"/>
        </w:rPr>
        <w:t xml:space="preserve"> SAGE Publications.</w:t>
      </w:r>
    </w:p>
    <w:p>
      <w:pPr>
        <w:pStyle w:val="Body A"/>
      </w:pPr>
    </w:p>
    <w:p>
      <w:pPr>
        <w:pStyle w:val="Body A"/>
        <w:rPr>
          <w:rFonts w:ascii="Helvetica" w:cs="Helvetica" w:hAnsi="Helvetica" w:eastAsia="Helvetica"/>
        </w:rPr>
      </w:pPr>
      <w:r>
        <w:rPr>
          <w:rFonts w:ascii="Helvetica" w:hAnsi="Helvetica"/>
          <w:rtl w:val="0"/>
          <w:lang w:val="en-US"/>
        </w:rPr>
        <w:t xml:space="preserve">Bunt, L. </w:t>
      </w:r>
      <w:r>
        <w:rPr>
          <w:rFonts w:ascii="Helvetica" w:hAnsi="Helvetica"/>
          <w:rtl w:val="0"/>
        </w:rPr>
        <w:t xml:space="preserve">(1999) </w:t>
      </w:r>
      <w:r>
        <w:rPr>
          <w:rFonts w:ascii="Helvetica" w:hAnsi="Helvetica"/>
          <w:rtl w:val="0"/>
          <w:lang w:val="en-US"/>
        </w:rPr>
        <w:t xml:space="preserve"> </w:t>
      </w:r>
      <w:r>
        <w:rPr>
          <w:rFonts w:ascii="Helvetica" w:hAnsi="Helvetica"/>
          <w:i w:val="1"/>
          <w:iCs w:val="1"/>
          <w:rtl w:val="0"/>
          <w:lang w:val="en-US"/>
        </w:rPr>
        <w:t>Music Therapy.  An Art Beyond Words.</w:t>
      </w:r>
      <w:r>
        <w:rPr>
          <w:rFonts w:ascii="Helvetica" w:hAnsi="Helvetica"/>
          <w:rtl w:val="0"/>
          <w:lang w:val="en-US"/>
        </w:rPr>
        <w:t xml:space="preserve"> Routeledge, London and New York.</w:t>
      </w:r>
    </w:p>
    <w:p>
      <w:pPr>
        <w:pStyle w:val="Body A"/>
        <w:rPr>
          <w:rFonts w:ascii="Helvetica" w:cs="Helvetica" w:hAnsi="Helvetica" w:eastAsia="Helvetica"/>
        </w:rPr>
      </w:pPr>
    </w:p>
    <w:p>
      <w:pPr>
        <w:pStyle w:val="Body A"/>
        <w:rPr>
          <w:rFonts w:ascii="Helvetica" w:cs="Helvetica" w:hAnsi="Helvetica" w:eastAsia="Helvetica"/>
        </w:rPr>
      </w:pPr>
      <w:r>
        <w:rPr>
          <w:rFonts w:ascii="Helvetica" w:hAnsi="Helvetica"/>
          <w:rtl w:val="0"/>
          <w:lang w:val="en-US"/>
        </w:rPr>
        <w:t xml:space="preserve">Fernandes, N.  (2018)  May/June 2018 </w:t>
      </w:r>
      <w:r>
        <w:rPr>
          <w:rFonts w:ascii="Helvetica" w:hAnsi="Helvetica"/>
          <w:i w:val="1"/>
          <w:iCs w:val="1"/>
          <w:rtl w:val="0"/>
          <w:lang w:val="en-US"/>
        </w:rPr>
        <w:t>Tech Talk.</w:t>
      </w:r>
      <w:r>
        <w:rPr>
          <w:rFonts w:ascii="Helvetica" w:hAnsi="Helvetica"/>
          <w:rtl w:val="0"/>
          <w:lang w:val="en-US"/>
        </w:rPr>
        <w:t xml:space="preserve"> Available at: www.audiomediainternational.com </w:t>
      </w:r>
    </w:p>
    <w:p>
      <w:pPr>
        <w:pStyle w:val="Body A"/>
        <w:rPr>
          <w:rFonts w:ascii="Helvetica" w:cs="Helvetica" w:hAnsi="Helvetica" w:eastAsia="Helvetica"/>
        </w:rPr>
      </w:pPr>
    </w:p>
    <w:p>
      <w:pPr>
        <w:pStyle w:val="Body A"/>
      </w:pPr>
      <w:r>
        <w:rPr>
          <w:rFonts w:cs="Arial Unicode MS" w:eastAsia="Arial Unicode MS"/>
          <w:rtl w:val="0"/>
        </w:rPr>
        <w:t xml:space="preserve">Harris, M. (1986) </w:t>
      </w:r>
      <w:r>
        <w:rPr>
          <w:rFonts w:cs="Arial Unicode MS" w:eastAsia="Arial Unicode MS"/>
          <w:i w:val="1"/>
          <w:iCs w:val="1"/>
          <w:rtl w:val="0"/>
          <w:lang w:val="en-US"/>
        </w:rPr>
        <w:t>Teaching One-to-One</w:t>
      </w:r>
      <w:r>
        <w:rPr>
          <w:rFonts w:cs="Arial Unicode MS" w:eastAsia="Arial Unicode MS"/>
          <w:rtl w:val="0"/>
          <w:lang w:val="en-US"/>
        </w:rPr>
        <w:t>: The Writing Conference. Purdue University.</w:t>
      </w:r>
    </w:p>
    <w:p>
      <w:pPr>
        <w:pStyle w:val="Body A"/>
      </w:pPr>
    </w:p>
    <w:p>
      <w:pPr>
        <w:pStyle w:val="Body A"/>
      </w:pPr>
      <w:r>
        <w:rPr>
          <w:rFonts w:cs="Arial Unicode MS" w:eastAsia="Arial Unicode MS"/>
          <w:rtl w:val="0"/>
          <w:lang w:val="en-US"/>
        </w:rPr>
        <w:t xml:space="preserve">Petty, G. (2009) </w:t>
      </w:r>
      <w:r>
        <w:rPr>
          <w:rFonts w:cs="Arial Unicode MS" w:eastAsia="Arial Unicode MS"/>
          <w:i w:val="1"/>
          <w:iCs w:val="1"/>
          <w:rtl w:val="0"/>
          <w:lang w:val="en-US"/>
        </w:rPr>
        <w:t>Teaching Today: a practical guide</w:t>
      </w:r>
      <w:r>
        <w:rPr>
          <w:rFonts w:cs="Arial Unicode MS" w:eastAsia="Arial Unicode MS"/>
          <w:rtl w:val="0"/>
          <w:lang w:val="en-US"/>
        </w:rPr>
        <w:t>. Cheltenham: Nelson-Thornes.</w:t>
      </w:r>
    </w:p>
    <w:p>
      <w:pPr>
        <w:pStyle w:val="Body A"/>
      </w:pPr>
    </w:p>
    <w:p>
      <w:pPr>
        <w:pStyle w:val="Body A"/>
      </w:pPr>
      <w:r>
        <w:rPr>
          <w:rFonts w:cs="Arial Unicode MS" w:eastAsia="Arial Unicode MS"/>
          <w:rtl w:val="0"/>
        </w:rPr>
        <w:t xml:space="preserve">Race, P. (2007) </w:t>
      </w:r>
      <w:r>
        <w:rPr>
          <w:rFonts w:cs="Arial Unicode MS" w:eastAsia="Arial Unicode MS"/>
          <w:i w:val="1"/>
          <w:iCs w:val="1"/>
          <w:rtl w:val="0"/>
          <w:lang w:val="en-US"/>
        </w:rPr>
        <w:t>The Lecturer</w:t>
      </w:r>
      <w:r>
        <w:rPr>
          <w:rFonts w:cs="Arial Unicode MS" w:eastAsia="Arial Unicode MS" w:hint="default"/>
          <w:i w:val="1"/>
          <w:iCs w:val="1"/>
          <w:rtl w:val="0"/>
        </w:rPr>
        <w:t>’</w:t>
      </w:r>
      <w:r>
        <w:rPr>
          <w:rFonts w:cs="Arial Unicode MS" w:eastAsia="Arial Unicode MS"/>
          <w:i w:val="1"/>
          <w:iCs w:val="1"/>
          <w:rtl w:val="0"/>
          <w:lang w:val="en-US"/>
        </w:rPr>
        <w:t xml:space="preserve">s Toolkit. A practical guide to assessment, learning and teaching. </w:t>
      </w:r>
      <w:r>
        <w:rPr>
          <w:rFonts w:cs="Arial Unicode MS" w:eastAsia="Arial Unicode MS"/>
          <w:rtl w:val="0"/>
          <w:lang w:val="en-US"/>
        </w:rPr>
        <w:t xml:space="preserve">Routledge, London and New York. </w:t>
      </w:r>
    </w:p>
    <w:p>
      <w:pPr>
        <w:pStyle w:val="Body A"/>
      </w:pPr>
    </w:p>
    <w:p>
      <w:pPr>
        <w:pStyle w:val="Body A"/>
        <w:rPr>
          <w:rFonts w:ascii="Helvetica" w:cs="Helvetica" w:hAnsi="Helvetica" w:eastAsia="Helvetica"/>
        </w:rPr>
      </w:pPr>
      <w:r>
        <w:rPr>
          <w:rFonts w:ascii="Helvetica" w:hAnsi="Helvetica"/>
          <w:rtl w:val="0"/>
          <w:lang w:val="en-US"/>
        </w:rPr>
        <w:t xml:space="preserve">Leichtentritt, H. (1967)  </w:t>
      </w:r>
      <w:r>
        <w:rPr>
          <w:rFonts w:ascii="Helvetica" w:hAnsi="Helvetica"/>
          <w:i w:val="1"/>
          <w:iCs w:val="1"/>
          <w:rtl w:val="0"/>
          <w:lang w:val="en-US"/>
        </w:rPr>
        <w:t>Musical Form</w:t>
      </w:r>
      <w:r>
        <w:rPr>
          <w:rFonts w:ascii="Helvetica" w:hAnsi="Helvetica"/>
          <w:rtl w:val="0"/>
          <w:lang w:val="en-US"/>
        </w:rPr>
        <w:t>. Harvard University Press.</w:t>
      </w:r>
    </w:p>
    <w:p>
      <w:pPr>
        <w:pStyle w:val="Body A"/>
        <w:rPr>
          <w:rFonts w:ascii="Helvetica" w:cs="Helvetica" w:hAnsi="Helvetica" w:eastAsia="Helvetica"/>
        </w:rPr>
      </w:pPr>
    </w:p>
    <w:p>
      <w:pPr>
        <w:pStyle w:val="Body A"/>
      </w:pPr>
      <w:r>
        <w:rPr>
          <w:rFonts w:cs="Arial Unicode MS" w:eastAsia="Arial Unicode MS"/>
          <w:rtl w:val="0"/>
          <w:lang w:val="en-US"/>
        </w:rPr>
        <w:t xml:space="preserve">UNESCO (2017) International Institute for Educational Planning: Effective and Appropriate Pedagogy. Available at: </w:t>
      </w:r>
      <w:r>
        <w:rPr>
          <w:rStyle w:val="Hyperlink.0"/>
        </w:rPr>
        <w:fldChar w:fldCharType="begin" w:fldLock="0"/>
      </w:r>
      <w:r>
        <w:rPr>
          <w:rStyle w:val="Hyperlink.0"/>
        </w:rPr>
        <w:instrText xml:space="preserve"> HYPERLINK "https://learningportal.iiep.unesco.org/en/improve-learning/teachers-pedagogy/pedagogy-appropriate-and-effective"</w:instrText>
      </w:r>
      <w:r>
        <w:rPr>
          <w:rStyle w:val="Hyperlink.0"/>
        </w:rPr>
        <w:fldChar w:fldCharType="separate" w:fldLock="0"/>
      </w:r>
      <w:r>
        <w:rPr>
          <w:rStyle w:val="Hyperlink.0"/>
          <w:rFonts w:cs="Arial Unicode MS" w:eastAsia="Arial Unicode MS"/>
          <w:rtl w:val="0"/>
          <w:lang w:val="en-US"/>
        </w:rPr>
        <w:t>https://learningportal.iiep.unesco.org/en/improve-learning/teachers-pedagogy/pedagogy-appropriate-and-effective</w:t>
      </w:r>
      <w:r>
        <w:rPr/>
        <w:fldChar w:fldCharType="end" w:fldLock="0"/>
      </w:r>
    </w:p>
    <w:p>
      <w:pPr>
        <w:pStyle w:val="Body A"/>
        <w:rPr>
          <w:rFonts w:ascii="Helvetica" w:cs="Helvetica" w:hAnsi="Helvetica" w:eastAsia="Helvetica"/>
        </w:rPr>
      </w:pPr>
    </w:p>
    <w:p>
      <w:pPr>
        <w:pStyle w:val="Body A"/>
        <w:rPr>
          <w:rStyle w:val="None"/>
          <w:rFonts w:ascii="Helvetica" w:cs="Helvetica" w:hAnsi="Helvetica" w:eastAsia="Helvetica"/>
        </w:rPr>
      </w:pPr>
      <w:r>
        <w:rPr>
          <w:rStyle w:val="None"/>
          <w:rFonts w:ascii="Helvetica" w:hAnsi="Helvetica"/>
          <w:rtl w:val="0"/>
          <w:lang w:val="en-US"/>
        </w:rPr>
        <w:t xml:space="preserve">White, P. (1993) </w:t>
      </w:r>
      <w:r>
        <w:rPr>
          <w:rStyle w:val="None"/>
          <w:rFonts w:ascii="Helvetica" w:hAnsi="Helvetica"/>
          <w:i w:val="1"/>
          <w:iCs w:val="1"/>
          <w:rtl w:val="0"/>
          <w:lang w:val="en-US"/>
        </w:rPr>
        <w:t>Recording Production Techniques</w:t>
      </w:r>
      <w:r>
        <w:rPr>
          <w:rStyle w:val="None"/>
          <w:rFonts w:ascii="Helvetica" w:hAnsi="Helvetica"/>
          <w:rtl w:val="0"/>
          <w:lang w:val="en-US"/>
        </w:rPr>
        <w:t>. SOS Publications, England.</w:t>
      </w:r>
    </w:p>
    <w:p>
      <w:pPr>
        <w:pStyle w:val="Body A"/>
        <w:rPr>
          <w:rFonts w:ascii="Helvetica" w:cs="Helvetica" w:hAnsi="Helvetica" w:eastAsia="Helvetica"/>
        </w:rPr>
      </w:pPr>
    </w:p>
    <w:p>
      <w:pPr>
        <w:pStyle w:val="Body A"/>
        <w:rPr>
          <w:b w:val="1"/>
          <w:bCs w:val="1"/>
          <w:sz w:val="32"/>
          <w:szCs w:val="32"/>
        </w:rPr>
      </w:pPr>
    </w:p>
    <w:p>
      <w:pPr>
        <w:pStyle w:val="Body A"/>
        <w:jc w:val="both"/>
        <w:rPr>
          <w:rStyle w:val="None"/>
          <w:b w:val="1"/>
          <w:bCs w:val="1"/>
          <w:sz w:val="32"/>
          <w:szCs w:val="32"/>
        </w:rPr>
      </w:pPr>
      <w:r>
        <w:rPr>
          <w:rStyle w:val="None"/>
          <w:b w:val="1"/>
          <w:bCs w:val="1"/>
          <w:sz w:val="32"/>
          <w:szCs w:val="32"/>
          <w:rtl w:val="0"/>
          <w:lang w:val="nl-NL"/>
        </w:rPr>
        <w:t>SECTION THREE:</w:t>
        <w:tab/>
        <w:t>Referees</w:t>
      </w:r>
    </w:p>
    <w:p>
      <w:pPr>
        <w:pStyle w:val="Body A"/>
        <w:jc w:val="both"/>
        <w:rPr>
          <w:sz w:val="24"/>
          <w:szCs w:val="24"/>
        </w:rPr>
      </w:pPr>
    </w:p>
    <w:p>
      <w:pPr>
        <w:pStyle w:val="Body A"/>
        <w:jc w:val="both"/>
        <w:rPr>
          <w:rStyle w:val="None"/>
          <w:sz w:val="24"/>
          <w:szCs w:val="24"/>
        </w:rPr>
      </w:pPr>
      <w:r>
        <w:rPr>
          <w:rStyle w:val="None"/>
          <w:sz w:val="24"/>
          <w:szCs w:val="24"/>
          <w:rtl w:val="0"/>
          <w:lang w:val="en-US"/>
        </w:rPr>
        <w:t xml:space="preserve">Your application must be accompanied by </w:t>
      </w:r>
      <w:r>
        <w:rPr>
          <w:rStyle w:val="None"/>
          <w:b w:val="1"/>
          <w:bCs w:val="1"/>
          <w:sz w:val="24"/>
          <w:szCs w:val="24"/>
          <w:rtl w:val="0"/>
          <w:lang w:val="en-US"/>
        </w:rPr>
        <w:t>two references</w:t>
      </w:r>
      <w:r>
        <w:rPr>
          <w:rStyle w:val="None"/>
          <w:sz w:val="24"/>
          <w:szCs w:val="24"/>
          <w:rtl w:val="0"/>
          <w:lang w:val="en-US"/>
        </w:rPr>
        <w:t xml:space="preserve"> from persons who are in a position to comment on your teaching and learning practices and achievements. </w:t>
      </w:r>
    </w:p>
    <w:p>
      <w:pPr>
        <w:pStyle w:val="Body A"/>
        <w:jc w:val="both"/>
        <w:rPr>
          <w:sz w:val="24"/>
          <w:szCs w:val="24"/>
        </w:rPr>
      </w:pPr>
    </w:p>
    <w:p>
      <w:pPr>
        <w:pStyle w:val="Body A"/>
        <w:jc w:val="both"/>
        <w:rPr>
          <w:rStyle w:val="None"/>
          <w:sz w:val="24"/>
          <w:szCs w:val="24"/>
        </w:rPr>
      </w:pPr>
      <w:r>
        <w:rPr>
          <w:rStyle w:val="None"/>
          <w:sz w:val="24"/>
          <w:szCs w:val="24"/>
          <w:rtl w:val="0"/>
          <w:lang w:val="en-US"/>
        </w:rPr>
        <w:t xml:space="preserve">The function of your Referees is to provide an informed peer review of your eligibility for Fellow, using their knowledge of your work and the context in which you teach and/or support learning. Referees are expected to </w:t>
      </w:r>
      <w:r>
        <w:rPr>
          <w:rStyle w:val="None"/>
          <w:b w:val="1"/>
          <w:bCs w:val="1"/>
          <w:sz w:val="24"/>
          <w:szCs w:val="24"/>
          <w:rtl w:val="0"/>
          <w:lang w:val="en-US"/>
        </w:rPr>
        <w:t>authenticate your application</w:t>
      </w:r>
      <w:r>
        <w:rPr>
          <w:rStyle w:val="None"/>
          <w:sz w:val="24"/>
          <w:szCs w:val="24"/>
          <w:rtl w:val="0"/>
          <w:lang w:val="en-US"/>
        </w:rPr>
        <w:t xml:space="preserve"> by commenting directly on the content of your application and to make additional, relevant comments, as they wish.</w:t>
      </w:r>
    </w:p>
    <w:p>
      <w:pPr>
        <w:pStyle w:val="Body A"/>
        <w:jc w:val="both"/>
        <w:rPr>
          <w:sz w:val="24"/>
          <w:szCs w:val="24"/>
        </w:rPr>
      </w:pPr>
    </w:p>
    <w:p>
      <w:pPr>
        <w:pStyle w:val="Body A"/>
        <w:jc w:val="both"/>
        <w:rPr>
          <w:rStyle w:val="None"/>
          <w:sz w:val="24"/>
          <w:szCs w:val="24"/>
        </w:rPr>
      </w:pPr>
      <w:r>
        <w:rPr>
          <w:rStyle w:val="None"/>
          <w:sz w:val="24"/>
          <w:szCs w:val="24"/>
          <w:rtl w:val="0"/>
          <w:lang w:val="en-US"/>
        </w:rPr>
        <w:t xml:space="preserve">Referees should be experienced staff and be able to comment knowledgeably, and from first-hand experience, on your current role and any other relevant activities recently undertaken. </w:t>
      </w:r>
      <w:r>
        <w:rPr>
          <w:rStyle w:val="None"/>
          <w:b w:val="1"/>
          <w:bCs w:val="1"/>
          <w:sz w:val="24"/>
          <w:szCs w:val="24"/>
          <w:rtl w:val="0"/>
          <w:lang w:val="en-US"/>
        </w:rPr>
        <w:t>At least one of your Referees should either be a Fellow, Senior Fellow or Principal Fellow of the Higher Education Academy (HEA)</w:t>
      </w:r>
      <w:r>
        <w:rPr>
          <w:rStyle w:val="None"/>
          <w:sz w:val="24"/>
          <w:szCs w:val="24"/>
          <w:rtl w:val="0"/>
          <w:lang w:val="en-US"/>
        </w:rPr>
        <w:t>, or an appropriate experienced member of staff working for a UK Higher Education Institution (HEI). All Referees need to be familiar with the UKPSF.</w:t>
      </w:r>
    </w:p>
    <w:p>
      <w:pPr>
        <w:pStyle w:val="Body A"/>
        <w:jc w:val="both"/>
        <w:rPr>
          <w:sz w:val="24"/>
          <w:szCs w:val="24"/>
        </w:rPr>
      </w:pPr>
    </w:p>
    <w:p>
      <w:pPr>
        <w:pStyle w:val="Body A"/>
        <w:jc w:val="both"/>
        <w:rPr>
          <w:rStyle w:val="None"/>
          <w:b w:val="1"/>
          <w:bCs w:val="1"/>
          <w:sz w:val="24"/>
          <w:szCs w:val="24"/>
        </w:rPr>
      </w:pPr>
      <w:r>
        <w:rPr>
          <w:rStyle w:val="None"/>
          <w:b w:val="1"/>
          <w:bCs w:val="1"/>
          <w:sz w:val="24"/>
          <w:szCs w:val="24"/>
          <w:rtl w:val="0"/>
          <w:lang w:val="en-US"/>
        </w:rPr>
        <w:t xml:space="preserve">Referees should be provided with a copy of the Guidance Notes for Referees </w:t>
      </w:r>
      <w:r>
        <w:rPr>
          <w:rStyle w:val="None"/>
          <w:b w:val="1"/>
          <w:bCs w:val="1"/>
          <w:sz w:val="24"/>
          <w:szCs w:val="24"/>
          <w:rtl w:val="0"/>
        </w:rPr>
        <w:t xml:space="preserve">– </w:t>
      </w:r>
      <w:r>
        <w:rPr>
          <w:rStyle w:val="None"/>
          <w:b w:val="1"/>
          <w:bCs w:val="1"/>
          <w:sz w:val="24"/>
          <w:szCs w:val="24"/>
          <w:rtl w:val="0"/>
          <w:lang w:val="en-US"/>
        </w:rPr>
        <w:t>please speak to your mentor regarding this document.</w:t>
      </w:r>
    </w:p>
    <w:p>
      <w:pPr>
        <w:pStyle w:val="Body A"/>
        <w:jc w:val="both"/>
        <w:rPr>
          <w:sz w:val="24"/>
          <w:szCs w:val="24"/>
        </w:rPr>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21"/>
        <w:gridCol w:w="5977"/>
      </w:tblGrid>
      <w:tr>
        <w:tblPrEx>
          <w:shd w:val="clear" w:color="auto" w:fill="ced7e7"/>
        </w:tblPrEx>
        <w:trPr>
          <w:trHeight w:val="572"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b w:val="1"/>
                <w:bCs w:val="1"/>
                <w:sz w:val="24"/>
                <w:szCs w:val="24"/>
                <w:rtl w:val="0"/>
                <w:lang w:val="en-US"/>
              </w:rPr>
              <w:t>First Referee:</w:t>
            </w:r>
          </w:p>
        </w:tc>
      </w:tr>
      <w:tr>
        <w:tblPrEx>
          <w:shd w:val="clear" w:color="auto" w:fill="ced7e7"/>
        </w:tblPrEx>
        <w:trPr>
          <w:trHeight w:val="292"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Name</w:t>
            </w:r>
          </w:p>
        </w:tc>
        <w:tc>
          <w:tcPr>
            <w:tcW w:type="dxa" w:w="5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Caroline Thraves</w:t>
            </w:r>
          </w:p>
        </w:tc>
      </w:tr>
      <w:tr>
        <w:tblPrEx>
          <w:shd w:val="clear" w:color="auto" w:fill="ced7e7"/>
        </w:tblPrEx>
        <w:trPr>
          <w:trHeight w:val="292"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Job Title</w:t>
            </w:r>
          </w:p>
        </w:tc>
        <w:tc>
          <w:tcPr>
            <w:tcW w:type="dxa" w:w="5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Head of School</w:t>
            </w:r>
          </w:p>
        </w:tc>
      </w:tr>
      <w:tr>
        <w:tblPrEx>
          <w:shd w:val="clear" w:color="auto" w:fill="ced7e7"/>
        </w:tblPrEx>
        <w:trPr>
          <w:trHeight w:val="292"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Faculty/Centre/School/Department</w:t>
            </w:r>
          </w:p>
        </w:tc>
        <w:tc>
          <w:tcPr>
            <w:tcW w:type="dxa" w:w="5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Art &amp; Design / School of Fine &amp; Media Arts</w:t>
            </w:r>
          </w:p>
        </w:tc>
      </w:tr>
      <w:tr>
        <w:tblPrEx>
          <w:shd w:val="clear" w:color="auto" w:fill="ced7e7"/>
        </w:tblPrEx>
        <w:trPr>
          <w:trHeight w:val="292"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Email address</w:t>
            </w:r>
          </w:p>
        </w:tc>
        <w:tc>
          <w:tcPr>
            <w:tcW w:type="dxa" w:w="5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caroline.thraves@uwtsd.ac.uk</w:t>
            </w:r>
          </w:p>
        </w:tc>
      </w:tr>
      <w:tr>
        <w:tblPrEx>
          <w:shd w:val="clear" w:color="auto" w:fill="ced7e7"/>
        </w:tblPrEx>
        <w:trPr>
          <w:trHeight w:val="1412"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sz w:val="24"/>
                <w:szCs w:val="24"/>
              </w:rPr>
            </w:pPr>
            <w:r>
              <w:rPr>
                <w:rStyle w:val="None"/>
                <w:sz w:val="24"/>
                <w:szCs w:val="24"/>
                <w:rtl w:val="0"/>
                <w:lang w:val="en-US"/>
              </w:rPr>
              <w:t>In what capacity can this individual comment on your professional practice?</w:t>
            </w:r>
          </w:p>
          <w:p>
            <w:pPr>
              <w:pStyle w:val="Body A"/>
              <w:jc w:val="both"/>
              <w:rPr>
                <w:rStyle w:val="None"/>
                <w:sz w:val="24"/>
                <w:szCs w:val="24"/>
                <w:lang w:val="en-US"/>
              </w:rPr>
            </w:pPr>
          </w:p>
          <w:p>
            <w:pPr>
              <w:pStyle w:val="Body A"/>
              <w:jc w:val="both"/>
            </w:pPr>
            <w:r>
              <w:rPr>
                <w:rStyle w:val="None"/>
                <w:sz w:val="24"/>
                <w:szCs w:val="24"/>
                <w:rtl w:val="0"/>
                <w:lang w:val="en-US"/>
              </w:rPr>
              <w:t xml:space="preserve">Caroline Thraves is the Head of School and has an overview of my performance as a lecturer through results and student feedback. </w:t>
            </w:r>
          </w:p>
        </w:tc>
      </w:tr>
    </w:tbl>
    <w:p>
      <w:pPr>
        <w:pStyle w:val="Body A"/>
        <w:widowControl w:val="0"/>
        <w:ind w:left="108" w:hanging="108"/>
        <w:rPr>
          <w:sz w:val="24"/>
          <w:szCs w:val="24"/>
        </w:rPr>
      </w:pPr>
    </w:p>
    <w:p>
      <w:pPr>
        <w:pStyle w:val="Body A"/>
        <w:widowControl w:val="0"/>
        <w:jc w:val="both"/>
        <w:rPr>
          <w:sz w:val="24"/>
          <w:szCs w:val="24"/>
        </w:rPr>
      </w:pPr>
    </w:p>
    <w:p>
      <w:pPr>
        <w:pStyle w:val="Body A"/>
      </w:pPr>
    </w:p>
    <w:tbl>
      <w:tblPr>
        <w:tblW w:w="10598"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621"/>
        <w:gridCol w:w="5977"/>
      </w:tblGrid>
      <w:tr>
        <w:tblPrEx>
          <w:shd w:val="clear" w:color="auto" w:fill="ced7e7"/>
        </w:tblPrEx>
        <w:trPr>
          <w:trHeight w:val="572"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b w:val="1"/>
                <w:bCs w:val="1"/>
                <w:sz w:val="24"/>
                <w:szCs w:val="24"/>
                <w:rtl w:val="0"/>
                <w:lang w:val="en-US"/>
              </w:rPr>
              <w:t>Second Referee:</w:t>
            </w:r>
          </w:p>
        </w:tc>
      </w:tr>
      <w:tr>
        <w:tblPrEx>
          <w:shd w:val="clear" w:color="auto" w:fill="ced7e7"/>
        </w:tblPrEx>
        <w:trPr>
          <w:trHeight w:val="292"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Name</w:t>
            </w:r>
          </w:p>
        </w:tc>
        <w:tc>
          <w:tcPr>
            <w:tcW w:type="dxa" w:w="5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Dr Jenn Kirby</w:t>
            </w:r>
          </w:p>
        </w:tc>
      </w:tr>
      <w:tr>
        <w:tblPrEx>
          <w:shd w:val="clear" w:color="auto" w:fill="ced7e7"/>
        </w:tblPrEx>
        <w:trPr>
          <w:trHeight w:val="292"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Job Title</w:t>
            </w:r>
          </w:p>
        </w:tc>
        <w:tc>
          <w:tcPr>
            <w:tcW w:type="dxa" w:w="5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Lecturer</w:t>
            </w:r>
          </w:p>
        </w:tc>
      </w:tr>
      <w:tr>
        <w:tblPrEx>
          <w:shd w:val="clear" w:color="auto" w:fill="ced7e7"/>
        </w:tblPrEx>
        <w:trPr>
          <w:trHeight w:val="292"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Faculty/Centre/School/Department</w:t>
            </w:r>
          </w:p>
        </w:tc>
        <w:tc>
          <w:tcPr>
            <w:tcW w:type="dxa" w:w="5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Art &amp; Design / School of Fine &amp; Media Arts</w:t>
            </w:r>
          </w:p>
        </w:tc>
      </w:tr>
      <w:tr>
        <w:tblPrEx>
          <w:shd w:val="clear" w:color="auto" w:fill="ced7e7"/>
        </w:tblPrEx>
        <w:trPr>
          <w:trHeight w:val="300" w:hRule="atLeast"/>
        </w:trPr>
        <w:tc>
          <w:tcPr>
            <w:tcW w:type="dxa" w:w="46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Email address</w:t>
            </w:r>
          </w:p>
        </w:tc>
        <w:tc>
          <w:tcPr>
            <w:tcW w:type="dxa" w:w="597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132" w:hRule="atLeast"/>
        </w:trPr>
        <w:tc>
          <w:tcPr>
            <w:tcW w:type="dxa" w:w="1059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sz w:val="24"/>
                <w:szCs w:val="24"/>
              </w:rPr>
            </w:pPr>
            <w:r>
              <w:rPr>
                <w:rStyle w:val="None"/>
                <w:sz w:val="24"/>
                <w:szCs w:val="24"/>
                <w:rtl w:val="0"/>
                <w:lang w:val="en-US"/>
              </w:rPr>
              <w:t>In what capacity can this individual comment on your professional practice?</w:t>
            </w:r>
          </w:p>
          <w:p>
            <w:pPr>
              <w:pStyle w:val="Body A"/>
              <w:jc w:val="both"/>
            </w:pPr>
            <w:r>
              <w:rPr>
                <w:rStyle w:val="None"/>
                <w:sz w:val="24"/>
                <w:szCs w:val="24"/>
                <w:rtl w:val="0"/>
                <w:lang w:val="en-US"/>
              </w:rPr>
              <w:t xml:space="preserve">Jenn Kirby is a fellow lecturer in the Music Technology department where we collaborate and overlap on several modules. </w:t>
            </w:r>
          </w:p>
        </w:tc>
      </w:tr>
    </w:tbl>
    <w:p>
      <w:pPr>
        <w:pStyle w:val="Body A"/>
        <w:widowControl w:val="0"/>
        <w:ind w:left="108" w:hanging="108"/>
      </w:pPr>
    </w:p>
    <w:p>
      <w:pPr>
        <w:pStyle w:val="Body A"/>
        <w:widowControl w:val="0"/>
      </w:pPr>
    </w:p>
    <w:p>
      <w:pPr>
        <w:pStyle w:val="Body A"/>
      </w:pPr>
    </w:p>
    <w:p>
      <w:pPr>
        <w:pStyle w:val="Body A"/>
      </w:pPr>
    </w:p>
    <w:p>
      <w:pPr>
        <w:pStyle w:val="Body A"/>
      </w:pPr>
    </w:p>
    <w:p>
      <w:pPr>
        <w:pStyle w:val="Body A"/>
      </w:pPr>
    </w:p>
    <w:p>
      <w:pPr>
        <w:pStyle w:val="Body A"/>
      </w:pPr>
    </w:p>
    <w:p>
      <w:pPr>
        <w:pStyle w:val="Body A"/>
      </w:pPr>
    </w:p>
    <w:p>
      <w:pPr>
        <w:pStyle w:val="Body A"/>
        <w:jc w:val="both"/>
        <w:rPr>
          <w:rStyle w:val="None"/>
          <w:b w:val="1"/>
          <w:bCs w:val="1"/>
          <w:sz w:val="32"/>
          <w:szCs w:val="32"/>
        </w:rPr>
      </w:pPr>
      <w:r>
        <w:rPr>
          <w:rStyle w:val="None"/>
          <w:b w:val="1"/>
          <w:bCs w:val="1"/>
          <w:sz w:val="32"/>
          <w:szCs w:val="32"/>
          <w:rtl w:val="0"/>
          <w:lang w:val="en-US"/>
        </w:rPr>
        <w:t>SECTION FOUR:</w:t>
        <w:tab/>
        <w:t>Endorsement from the Institution</w:t>
      </w:r>
    </w:p>
    <w:p>
      <w:pPr>
        <w:pStyle w:val="Body A"/>
        <w:rPr>
          <w:sz w:val="24"/>
          <w:szCs w:val="24"/>
        </w:rPr>
      </w:pPr>
    </w:p>
    <w:p>
      <w:pPr>
        <w:pStyle w:val="Body A"/>
        <w:rPr>
          <w:rStyle w:val="None"/>
          <w:sz w:val="24"/>
          <w:szCs w:val="24"/>
        </w:rPr>
      </w:pPr>
      <w:r>
        <w:rPr>
          <w:rStyle w:val="None"/>
          <w:rFonts w:cs="Arial Unicode MS" w:eastAsia="Arial Unicode MS"/>
          <w:sz w:val="24"/>
          <w:szCs w:val="24"/>
          <w:rtl w:val="0"/>
          <w:lang w:val="en-US"/>
        </w:rPr>
        <w:t>You are required to provide an institutional endorsement which should come from a professional who has senior responsibility for professional development, learning and teaching within the institution, for example:</w:t>
      </w:r>
    </w:p>
    <w:p>
      <w:pPr>
        <w:pStyle w:val="Body A"/>
        <w:rPr>
          <w:sz w:val="24"/>
          <w:szCs w:val="24"/>
        </w:rPr>
      </w:pPr>
    </w:p>
    <w:p>
      <w:pPr>
        <w:pStyle w:val="List Paragraph"/>
        <w:numPr>
          <w:ilvl w:val="0"/>
          <w:numId w:val="14"/>
        </w:numPr>
        <w:bidi w:val="0"/>
        <w:ind w:right="0"/>
        <w:jc w:val="left"/>
        <w:rPr>
          <w:rFonts w:ascii="Arial" w:cs="Arial" w:hAnsi="Arial" w:eastAsia="Arial"/>
          <w:sz w:val="24"/>
          <w:szCs w:val="24"/>
          <w:rtl w:val="0"/>
          <w:lang w:val="en-US"/>
        </w:rPr>
      </w:pPr>
      <w:r>
        <w:rPr>
          <w:rFonts w:ascii="Arial" w:hAnsi="Arial"/>
          <w:sz w:val="24"/>
          <w:szCs w:val="24"/>
          <w:rtl w:val="0"/>
          <w:lang w:val="en-US"/>
        </w:rPr>
        <w:t>Head of Personnel</w:t>
      </w:r>
    </w:p>
    <w:p>
      <w:pPr>
        <w:pStyle w:val="List Paragraph"/>
        <w:numPr>
          <w:ilvl w:val="0"/>
          <w:numId w:val="14"/>
        </w:numPr>
        <w:bidi w:val="0"/>
        <w:ind w:right="0"/>
        <w:jc w:val="left"/>
        <w:rPr>
          <w:rFonts w:ascii="Arial" w:cs="Arial" w:hAnsi="Arial" w:eastAsia="Arial"/>
          <w:sz w:val="24"/>
          <w:szCs w:val="24"/>
          <w:rtl w:val="0"/>
          <w:lang w:val="en-US"/>
        </w:rPr>
      </w:pPr>
      <w:r>
        <w:rPr>
          <w:rFonts w:ascii="Arial" w:hAnsi="Arial"/>
          <w:sz w:val="24"/>
          <w:szCs w:val="24"/>
          <w:rtl w:val="0"/>
          <w:lang w:val="en-US"/>
        </w:rPr>
        <w:t>Head of Learning and Teaching</w:t>
      </w:r>
    </w:p>
    <w:p>
      <w:pPr>
        <w:pStyle w:val="List Paragraph"/>
        <w:numPr>
          <w:ilvl w:val="0"/>
          <w:numId w:val="14"/>
        </w:numPr>
        <w:bidi w:val="0"/>
        <w:ind w:right="0"/>
        <w:jc w:val="left"/>
        <w:rPr>
          <w:rFonts w:ascii="Arial" w:cs="Arial" w:hAnsi="Arial" w:eastAsia="Arial"/>
          <w:sz w:val="24"/>
          <w:szCs w:val="24"/>
          <w:rtl w:val="0"/>
          <w:lang w:val="en-US"/>
        </w:rPr>
      </w:pPr>
      <w:r>
        <w:rPr>
          <w:rFonts w:ascii="Arial" w:hAnsi="Arial"/>
          <w:sz w:val="24"/>
          <w:szCs w:val="24"/>
          <w:rtl w:val="0"/>
          <w:lang w:val="en-US"/>
        </w:rPr>
        <w:t>Head of Academic Registry</w:t>
      </w:r>
    </w:p>
    <w:p>
      <w:pPr>
        <w:pStyle w:val="List Paragraph"/>
        <w:numPr>
          <w:ilvl w:val="0"/>
          <w:numId w:val="14"/>
        </w:numPr>
        <w:bidi w:val="0"/>
        <w:ind w:right="0"/>
        <w:jc w:val="left"/>
        <w:rPr>
          <w:rFonts w:ascii="Arial" w:cs="Arial" w:hAnsi="Arial" w:eastAsia="Arial"/>
          <w:sz w:val="24"/>
          <w:szCs w:val="24"/>
          <w:rtl w:val="0"/>
          <w:lang w:val="en-US"/>
        </w:rPr>
      </w:pPr>
      <w:r>
        <w:rPr>
          <w:rFonts w:ascii="Arial" w:hAnsi="Arial"/>
          <w:sz w:val="24"/>
          <w:szCs w:val="24"/>
          <w:rtl w:val="0"/>
          <w:lang w:val="en-US"/>
        </w:rPr>
        <w:t>Dean of Faculty</w:t>
      </w:r>
    </w:p>
    <w:p>
      <w:pPr>
        <w:pStyle w:val="List Paragraph"/>
        <w:numPr>
          <w:ilvl w:val="0"/>
          <w:numId w:val="14"/>
        </w:numPr>
        <w:bidi w:val="0"/>
        <w:ind w:right="0"/>
        <w:jc w:val="left"/>
        <w:rPr>
          <w:rFonts w:ascii="Arial" w:cs="Arial" w:hAnsi="Arial" w:eastAsia="Arial"/>
          <w:sz w:val="24"/>
          <w:szCs w:val="24"/>
          <w:rtl w:val="0"/>
          <w:lang w:val="en-US"/>
        </w:rPr>
      </w:pPr>
      <w:r>
        <w:rPr>
          <w:rFonts w:ascii="Arial" w:hAnsi="Arial"/>
          <w:sz w:val="24"/>
          <w:szCs w:val="24"/>
          <w:rtl w:val="0"/>
          <w:lang w:val="en-US"/>
        </w:rPr>
        <w:t>Vice Chancellor</w:t>
      </w:r>
    </w:p>
    <w:p>
      <w:pPr>
        <w:pStyle w:val="List Paragraph"/>
        <w:numPr>
          <w:ilvl w:val="0"/>
          <w:numId w:val="14"/>
        </w:numPr>
        <w:bidi w:val="0"/>
        <w:ind w:right="0"/>
        <w:jc w:val="left"/>
        <w:rPr>
          <w:rFonts w:ascii="Arial" w:cs="Arial" w:hAnsi="Arial" w:eastAsia="Arial"/>
          <w:sz w:val="24"/>
          <w:szCs w:val="24"/>
          <w:rtl w:val="0"/>
          <w:lang w:val="en-US"/>
        </w:rPr>
      </w:pPr>
      <w:r>
        <w:rPr>
          <w:rFonts w:ascii="Arial" w:hAnsi="Arial"/>
          <w:sz w:val="24"/>
          <w:szCs w:val="24"/>
          <w:rtl w:val="0"/>
          <w:lang w:val="en-US"/>
        </w:rPr>
        <w:t>Senior Provost</w:t>
      </w:r>
    </w:p>
    <w:p>
      <w:pPr>
        <w:pStyle w:val="Body A"/>
        <w:rPr>
          <w:rStyle w:val="None"/>
          <w:sz w:val="24"/>
          <w:szCs w:val="24"/>
        </w:rPr>
      </w:pPr>
      <w:r>
        <w:rPr>
          <w:rStyle w:val="None"/>
          <w:rFonts w:cs="Arial Unicode MS" w:eastAsia="Arial Unicode MS"/>
          <w:sz w:val="24"/>
          <w:szCs w:val="24"/>
          <w:rtl w:val="0"/>
        </w:rPr>
        <w:t xml:space="preserve"> </w:t>
      </w:r>
    </w:p>
    <w:tbl>
      <w:tblPr>
        <w:tblW w:w="1034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509"/>
        <w:gridCol w:w="5833"/>
      </w:tblGrid>
      <w:tr>
        <w:tblPrEx>
          <w:shd w:val="clear" w:color="auto" w:fill="ced7e7"/>
        </w:tblPrEx>
        <w:trPr>
          <w:trHeight w:val="572" w:hRule="atLeast"/>
        </w:trPr>
        <w:tc>
          <w:tcPr>
            <w:tcW w:type="dxa" w:w="103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b w:val="1"/>
                <w:bCs w:val="1"/>
                <w:sz w:val="24"/>
                <w:szCs w:val="24"/>
                <w:rtl w:val="0"/>
                <w:lang w:val="en-US"/>
              </w:rPr>
              <w:t>Institutional Signatory</w:t>
            </w:r>
          </w:p>
        </w:tc>
      </w:tr>
      <w:tr>
        <w:tblPrEx>
          <w:shd w:val="clear" w:color="auto" w:fill="ced7e7"/>
        </w:tblPrEx>
        <w:trPr>
          <w:trHeight w:val="292" w:hRule="atLeast"/>
        </w:trPr>
        <w:tc>
          <w:tcPr>
            <w:tcW w:type="dxa" w:w="45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b w:val="1"/>
                <w:bCs w:val="1"/>
                <w:sz w:val="24"/>
                <w:szCs w:val="24"/>
                <w:rtl w:val="0"/>
                <w:lang w:val="en-US"/>
              </w:rPr>
              <w:t>Name of Applicant</w:t>
            </w:r>
          </w:p>
        </w:tc>
        <w:tc>
          <w:tcPr>
            <w:tcW w:type="dxa" w:w="5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Peter Williams</w:t>
            </w:r>
          </w:p>
        </w:tc>
      </w:tr>
      <w:tr>
        <w:tblPrEx>
          <w:shd w:val="clear" w:color="auto" w:fill="ced7e7"/>
        </w:tblPrEx>
        <w:trPr>
          <w:trHeight w:val="292" w:hRule="atLeast"/>
        </w:trPr>
        <w:tc>
          <w:tcPr>
            <w:tcW w:type="dxa" w:w="45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b w:val="1"/>
                <w:bCs w:val="1"/>
                <w:sz w:val="24"/>
                <w:szCs w:val="24"/>
                <w:rtl w:val="0"/>
                <w:lang w:val="en-US"/>
              </w:rPr>
              <w:t>Name of Signatory</w:t>
            </w:r>
          </w:p>
        </w:tc>
        <w:tc>
          <w:tcPr>
            <w:tcW w:type="dxa" w:w="5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sz w:val="24"/>
                <w:szCs w:val="24"/>
                <w:rtl w:val="0"/>
                <w:lang w:val="en-US"/>
              </w:rPr>
              <w:t>Prof. Ian Walsh</w:t>
            </w:r>
          </w:p>
        </w:tc>
      </w:tr>
      <w:tr>
        <w:tblPrEx>
          <w:shd w:val="clear" w:color="auto" w:fill="ced7e7"/>
        </w:tblPrEx>
        <w:trPr>
          <w:trHeight w:val="292" w:hRule="atLeast"/>
        </w:trPr>
        <w:tc>
          <w:tcPr>
            <w:tcW w:type="dxa" w:w="45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b w:val="1"/>
                <w:bCs w:val="1"/>
                <w:sz w:val="24"/>
                <w:szCs w:val="24"/>
                <w:rtl w:val="0"/>
                <w:lang w:val="en-US"/>
              </w:rPr>
              <w:t>Job Title</w:t>
            </w:r>
          </w:p>
        </w:tc>
        <w:tc>
          <w:tcPr>
            <w:tcW w:type="dxa" w:w="5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Style w:val="None"/>
                <w:rFonts w:ascii="Arial" w:hAnsi="Arial"/>
                <w:rtl w:val="0"/>
                <w:lang w:val="en-US"/>
              </w:rPr>
              <w:t>Dean</w:t>
            </w:r>
          </w:p>
        </w:tc>
      </w:tr>
      <w:tr>
        <w:tblPrEx>
          <w:shd w:val="clear" w:color="auto" w:fill="ced7e7"/>
        </w:tblPrEx>
        <w:trPr>
          <w:trHeight w:val="292" w:hRule="atLeast"/>
        </w:trPr>
        <w:tc>
          <w:tcPr>
            <w:tcW w:type="dxa" w:w="45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b w:val="1"/>
                <w:bCs w:val="1"/>
                <w:sz w:val="24"/>
                <w:szCs w:val="24"/>
                <w:rtl w:val="0"/>
                <w:lang w:val="en-US"/>
              </w:rPr>
              <w:t>Faculty/Centre/School/Department</w:t>
            </w:r>
          </w:p>
        </w:tc>
        <w:tc>
          <w:tcPr>
            <w:tcW w:type="dxa" w:w="5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Style w:val="None"/>
                <w:rFonts w:ascii="Arial" w:hAnsi="Arial"/>
                <w:rtl w:val="0"/>
                <w:lang w:val="en-US"/>
              </w:rPr>
              <w:t>Art &amp; Design</w:t>
            </w:r>
          </w:p>
        </w:tc>
      </w:tr>
      <w:tr>
        <w:tblPrEx>
          <w:shd w:val="clear" w:color="auto" w:fill="ced7e7"/>
        </w:tblPrEx>
        <w:trPr>
          <w:trHeight w:val="292" w:hRule="atLeast"/>
        </w:trPr>
        <w:tc>
          <w:tcPr>
            <w:tcW w:type="dxa" w:w="45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pPr>
            <w:r>
              <w:rPr>
                <w:rStyle w:val="None"/>
                <w:b w:val="1"/>
                <w:bCs w:val="1"/>
                <w:sz w:val="24"/>
                <w:szCs w:val="24"/>
                <w:rtl w:val="0"/>
                <w:lang w:val="en-US"/>
              </w:rPr>
              <w:t>Email address</w:t>
            </w:r>
          </w:p>
        </w:tc>
        <w:tc>
          <w:tcPr>
            <w:tcW w:type="dxa" w:w="583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jc w:val="both"/>
            </w:pPr>
            <w:r>
              <w:rPr>
                <w:rStyle w:val="None"/>
                <w:rFonts w:ascii="Arial" w:hAnsi="Arial"/>
                <w:rtl w:val="0"/>
                <w:lang w:val="en-US"/>
              </w:rPr>
              <w:t>ian.walsh@uwtsd.ac.uk</w:t>
            </w:r>
          </w:p>
        </w:tc>
      </w:tr>
      <w:tr>
        <w:tblPrEx>
          <w:shd w:val="clear" w:color="auto" w:fill="ced7e7"/>
        </w:tblPrEx>
        <w:trPr>
          <w:trHeight w:val="2812" w:hRule="atLeast"/>
        </w:trPr>
        <w:tc>
          <w:tcPr>
            <w:tcW w:type="dxa" w:w="1034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jc w:val="both"/>
              <w:rPr>
                <w:rStyle w:val="None"/>
                <w:sz w:val="24"/>
                <w:szCs w:val="24"/>
                <w:lang w:val="en-US"/>
              </w:rPr>
            </w:pPr>
          </w:p>
          <w:p>
            <w:pPr>
              <w:pStyle w:val="Body A"/>
              <w:bidi w:val="0"/>
              <w:ind w:left="0" w:right="0" w:firstLine="0"/>
              <w:jc w:val="both"/>
              <w:rPr>
                <w:sz w:val="24"/>
                <w:szCs w:val="24"/>
                <w:rtl w:val="0"/>
              </w:rPr>
            </w:pPr>
            <w:r>
              <w:rPr>
                <w:rStyle w:val="None"/>
                <w:sz w:val="24"/>
                <w:szCs w:val="24"/>
                <w:rtl w:val="0"/>
                <w:lang w:val="en-US"/>
              </w:rPr>
              <w:t>Dear Sir/Madam</w:t>
            </w:r>
          </w:p>
          <w:p>
            <w:pPr>
              <w:pStyle w:val="Body A"/>
              <w:jc w:val="both"/>
              <w:rPr>
                <w:rStyle w:val="None"/>
                <w:sz w:val="24"/>
                <w:szCs w:val="24"/>
                <w:lang w:val="en-US"/>
              </w:rPr>
            </w:pPr>
          </w:p>
          <w:p>
            <w:pPr>
              <w:pStyle w:val="Body A"/>
              <w:bidi w:val="0"/>
              <w:ind w:left="0" w:right="0" w:firstLine="0"/>
              <w:jc w:val="both"/>
              <w:rPr>
                <w:sz w:val="24"/>
                <w:szCs w:val="24"/>
                <w:rtl w:val="0"/>
              </w:rPr>
            </w:pPr>
            <w:r>
              <w:rPr>
                <w:rStyle w:val="None"/>
                <w:sz w:val="24"/>
                <w:szCs w:val="24"/>
                <w:rtl w:val="0"/>
                <w:lang w:val="en-US"/>
              </w:rPr>
              <w:t>Please sign below to confirm that you endorse the application for Fellow status recognition from the person named above:</w:t>
            </w:r>
          </w:p>
          <w:p>
            <w:pPr>
              <w:pStyle w:val="Body A"/>
              <w:jc w:val="both"/>
              <w:rPr>
                <w:rStyle w:val="None"/>
                <w:b w:val="1"/>
                <w:bCs w:val="1"/>
                <w:sz w:val="24"/>
                <w:szCs w:val="24"/>
                <w:lang w:val="en-US"/>
              </w:rPr>
            </w:pPr>
          </w:p>
          <w:p>
            <w:pPr>
              <w:pStyle w:val="Body A"/>
              <w:jc w:val="both"/>
              <w:rPr>
                <w:rStyle w:val="None"/>
                <w:b w:val="1"/>
                <w:bCs w:val="1"/>
                <w:sz w:val="24"/>
                <w:szCs w:val="24"/>
                <w:lang w:val="en-US"/>
              </w:rPr>
            </w:pPr>
          </w:p>
          <w:p>
            <w:pPr>
              <w:pStyle w:val="Body A"/>
              <w:bidi w:val="0"/>
              <w:ind w:left="0" w:right="0" w:firstLine="0"/>
              <w:jc w:val="both"/>
              <w:rPr>
                <w:rtl w:val="0"/>
              </w:rPr>
            </w:pPr>
            <w:r>
              <w:rPr>
                <w:rStyle w:val="None"/>
                <w:b w:val="1"/>
                <w:bCs w:val="1"/>
                <w:sz w:val="24"/>
                <w:szCs w:val="24"/>
                <w:rtl w:val="0"/>
                <w:lang w:val="en-US"/>
              </w:rPr>
              <w:t>Signature:</w:t>
            </w:r>
            <w:r>
              <w:rPr>
                <w:rStyle w:val="None"/>
                <w:sz w:val="24"/>
                <w:szCs w:val="24"/>
                <w:rtl w:val="0"/>
                <w:lang w:val="en-US"/>
              </w:rPr>
              <w:t>__</w:t>
            </w:r>
            <w:r>
              <w:rPr>
                <w:rStyle w:val="None"/>
                <w:sz w:val="24"/>
                <w:szCs w:val="24"/>
                <w:rtl w:val="0"/>
                <w:lang w:val="en-US"/>
              </w:rPr>
              <w:t>Signed hard-copy to be submitted.</w:t>
            </w:r>
            <w:r>
              <w:rPr>
                <w:rStyle w:val="None"/>
                <w:sz w:val="24"/>
                <w:szCs w:val="24"/>
                <w:rtl w:val="0"/>
                <w:lang w:val="en-US"/>
              </w:rPr>
              <w:t>___________________________________</w:t>
            </w:r>
            <w:r>
              <w:rPr>
                <w:rStyle w:val="None"/>
                <w:b w:val="1"/>
                <w:bCs w:val="1"/>
                <w:sz w:val="24"/>
                <w:szCs w:val="24"/>
                <w:rtl w:val="0"/>
                <w:lang w:val="en-US"/>
              </w:rPr>
              <w:t>Date:</w:t>
            </w:r>
            <w:r>
              <w:rPr>
                <w:rStyle w:val="None"/>
                <w:sz w:val="24"/>
                <w:szCs w:val="24"/>
                <w:rtl w:val="0"/>
                <w:lang w:val="en-US"/>
              </w:rPr>
              <w:t>________________________</w:t>
            </w:r>
            <w:r>
              <w:rPr>
                <w:sz w:val="24"/>
                <w:szCs w:val="24"/>
              </w:rPr>
            </w:r>
          </w:p>
        </w:tc>
      </w:tr>
    </w:tbl>
    <w:p>
      <w:pPr>
        <w:pStyle w:val="Body A"/>
        <w:widowControl w:val="0"/>
        <w:ind w:left="108" w:hanging="108"/>
      </w:pPr>
      <w:r>
        <w:rPr>
          <w:rStyle w:val="None"/>
          <w:sz w:val="24"/>
          <w:szCs w:val="24"/>
        </w:rPr>
      </w:r>
    </w:p>
    <w:sectPr>
      <w:headerReference w:type="default" r:id="rId4"/>
      <w:footerReference w:type="default" r:id="rId5"/>
      <w:pgSz w:w="11900" w:h="16840" w:orient="portrait"/>
      <w:pgMar w:top="720" w:right="720" w:bottom="720" w:left="72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w:pPr>
    <w:r>
      <w:drawing>
        <wp:inline distT="0" distB="0" distL="0" distR="0">
          <wp:extent cx="2162863" cy="864000"/>
          <wp:effectExtent l="0" t="0" r="0" b="0"/>
          <wp:docPr id="1073741825" name="officeArt object" descr="C:\Users\qlt-vw\AppData\Local\Microsoft\Windows\Temporary Internet Files\Content.Outlook\0H98VIA0\UWTSD Logo.jpg"/>
          <wp:cNvGraphicFramePr/>
          <a:graphic xmlns:a="http://schemas.openxmlformats.org/drawingml/2006/main">
            <a:graphicData uri="http://schemas.openxmlformats.org/drawingml/2006/picture">
              <pic:pic xmlns:pic="http://schemas.openxmlformats.org/drawingml/2006/picture">
                <pic:nvPicPr>
                  <pic:cNvPr id="1073741825" name="image1.jpeg" descr="C:\Users\qlt-vw\AppData\Local\Microsoft\Windows\Temporary Internet Files\Content.Outlook\0H98VIA0\UWTSD Logo.jpg"/>
                  <pic:cNvPicPr>
                    <a:picLocks noChangeAspect="1"/>
                  </pic:cNvPicPr>
                </pic:nvPicPr>
                <pic:blipFill>
                  <a:blip r:embed="rId1">
                    <a:extLst/>
                  </a:blip>
                  <a:stretch>
                    <a:fillRect/>
                  </a:stretch>
                </pic:blipFill>
                <pic:spPr>
                  <a:xfrm>
                    <a:off x="0" y="0"/>
                    <a:ext cx="2162863" cy="864000"/>
                  </a:xfrm>
                  <a:prstGeom prst="rect">
                    <a:avLst/>
                  </a:prstGeom>
                  <a:ln w="12700" cap="flat">
                    <a:noFill/>
                    <a:miter lim="400000"/>
                  </a:ln>
                  <a:effectLst/>
                </pic:spPr>
              </pic:pic>
            </a:graphicData>
          </a:graphic>
        </wp:inline>
      </w:drawing>
    </w:r>
    <w:r>
      <w:rPr>
        <w:rtl w:val="0"/>
      </w:rPr>
      <w:tab/>
      <w:t xml:space="preserve">                  </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4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1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0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7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numStyleLink w:val="Imported Style 5"/>
  </w:abstractNum>
  <w:abstractNum w:abstractNumId="12">
    <w:multiLevelType w:val="hybridMultilevel"/>
    <w:styleLink w:val="Imported Style 5"/>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99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71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43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315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87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59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31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603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753" w:hanging="284"/>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2"/>
  </w:num>
  <w:num w:numId="14">
    <w:abstractNumId w:val="11"/>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heading">
    <w:name w:val="heading"/>
    <w:next w:val="heading"/>
    <w:pPr>
      <w:keepNext w:val="0"/>
      <w:keepLines w:val="0"/>
      <w:pageBreakBefore w:val="0"/>
      <w:widowControl w:val="1"/>
      <w:shd w:val="clear" w:color="auto" w:fill="auto"/>
      <w:tabs>
        <w:tab w:val="left" w:pos="720"/>
        <w:tab w:val="left" w:pos="1440"/>
        <w:tab w:val="left" w:pos="2160"/>
        <w:tab w:val="left" w:pos="2880"/>
      </w:tabs>
      <w:suppressAutoHyphens w:val="0"/>
      <w:bidi w:val="0"/>
      <w:spacing w:before="240" w:after="120" w:line="240" w:lineRule="auto"/>
      <w:ind w:left="3600" w:right="0" w:hanging="3600"/>
      <w:jc w:val="left"/>
      <w:outlineLvl w:val="9"/>
    </w:pP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vertAlign w:val="baseline"/>
      <w:lang w:val="en-US"/>
    </w:rPr>
  </w:style>
  <w:style w:type="character" w:styleId="None">
    <w:name w:val="None"/>
  </w:style>
  <w:style w:type="character" w:styleId="Hyperlink.0">
    <w:name w:val="Hyperlink.0"/>
    <w:basedOn w:val="None"/>
    <w:next w:val="Hyperlink.0"/>
    <w:rPr>
      <w:color w:val="0000ff"/>
      <w:u w:val="single" w:color="0000ff"/>
      <w:lang w:val="en-US"/>
    </w:rPr>
  </w:style>
  <w:style w:type="numbering" w:styleId="Imported Style 5">
    <w:name w:val="Imported Style 5"/>
    <w:pPr>
      <w:numPr>
        <w:numId w:val="13"/>
      </w:numPr>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standalone="yes"?><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