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FD61B" w14:textId="77777777" w:rsidR="0009169D" w:rsidRDefault="0009169D">
      <w:pPr>
        <w:spacing w:line="360" w:lineRule="auto"/>
        <w:jc w:val="center"/>
        <w:rPr>
          <w:rFonts w:eastAsia="Times New Roman"/>
          <w:b/>
          <w:sz w:val="28"/>
          <w:szCs w:val="32"/>
          <w:lang w:val="en-GB"/>
        </w:rPr>
      </w:pPr>
    </w:p>
    <w:p w14:paraId="0E158A2D" w14:textId="77777777" w:rsidR="0009169D" w:rsidRDefault="0009169D">
      <w:pPr>
        <w:spacing w:line="360" w:lineRule="auto"/>
        <w:jc w:val="center"/>
        <w:rPr>
          <w:rFonts w:eastAsia="Times New Roman"/>
          <w:b/>
          <w:sz w:val="28"/>
          <w:szCs w:val="32"/>
          <w:lang w:val="en-GB"/>
        </w:rPr>
      </w:pPr>
    </w:p>
    <w:p w14:paraId="6B62A295" w14:textId="77777777" w:rsidR="0009169D" w:rsidRDefault="00000000">
      <w:pPr>
        <w:spacing w:line="360" w:lineRule="auto"/>
        <w:jc w:val="center"/>
        <w:rPr>
          <w:rFonts w:eastAsia="Times New Roman"/>
          <w:b/>
          <w:sz w:val="28"/>
          <w:szCs w:val="32"/>
          <w:lang w:val="en-GB"/>
        </w:rPr>
      </w:pPr>
      <w:r>
        <w:rPr>
          <w:rFonts w:eastAsia="Times New Roman"/>
          <w:b/>
          <w:noProof/>
          <w:sz w:val="28"/>
          <w:szCs w:val="32"/>
          <w:lang w:val="en-IN" w:eastAsia="en-IN"/>
        </w:rPr>
        <w:drawing>
          <wp:inline distT="0" distB="0" distL="0" distR="0" wp14:anchorId="05955918" wp14:editId="4D87AD08">
            <wp:extent cx="2058670" cy="8051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061696" cy="806217"/>
                    </a:xfrm>
                    <a:prstGeom prst="rect">
                      <a:avLst/>
                    </a:prstGeom>
                    <a:noFill/>
                    <a:ln>
                      <a:noFill/>
                    </a:ln>
                  </pic:spPr>
                </pic:pic>
              </a:graphicData>
            </a:graphic>
          </wp:inline>
        </w:drawing>
      </w:r>
    </w:p>
    <w:p w14:paraId="42041DD9" w14:textId="77777777" w:rsidR="0009169D" w:rsidRDefault="0009169D">
      <w:pPr>
        <w:spacing w:line="360" w:lineRule="auto"/>
        <w:jc w:val="center"/>
        <w:rPr>
          <w:rFonts w:eastAsia="Times New Roman"/>
          <w:b/>
          <w:sz w:val="28"/>
          <w:szCs w:val="32"/>
          <w:lang w:val="en-GB"/>
        </w:rPr>
      </w:pPr>
    </w:p>
    <w:p w14:paraId="32F9E114" w14:textId="77777777" w:rsidR="0009169D" w:rsidRDefault="00000000">
      <w:pPr>
        <w:spacing w:line="360" w:lineRule="auto"/>
        <w:jc w:val="center"/>
        <w:rPr>
          <w:rFonts w:eastAsia="Times New Roman"/>
          <w:b/>
          <w:sz w:val="28"/>
          <w:szCs w:val="32"/>
          <w:lang w:val="en-GB"/>
        </w:rPr>
      </w:pPr>
      <w:r>
        <w:rPr>
          <w:rFonts w:eastAsia="Times New Roman"/>
          <w:b/>
          <w:sz w:val="28"/>
          <w:szCs w:val="32"/>
          <w:lang w:val="en-GB"/>
        </w:rPr>
        <w:t>Programme: MSc Public Health and Social Care in Practice</w:t>
      </w:r>
    </w:p>
    <w:p w14:paraId="70602DE2" w14:textId="3C8822D9" w:rsidR="001561A0" w:rsidRDefault="001561A0" w:rsidP="001561A0">
      <w:pPr>
        <w:spacing w:line="360" w:lineRule="auto"/>
        <w:jc w:val="center"/>
        <w:rPr>
          <w:rFonts w:eastAsia="Times New Roman"/>
          <w:b/>
          <w:sz w:val="28"/>
          <w:szCs w:val="32"/>
          <w:lang w:val="en-GB"/>
        </w:rPr>
      </w:pPr>
      <w:r>
        <w:rPr>
          <w:rFonts w:eastAsia="Times New Roman"/>
          <w:b/>
          <w:sz w:val="28"/>
          <w:szCs w:val="32"/>
          <w:lang w:val="en-GB"/>
        </w:rPr>
        <w:t>Module name: Social Epidemiology and Public Health Development</w:t>
      </w:r>
    </w:p>
    <w:p w14:paraId="270FDE5D" w14:textId="60AB15B4" w:rsidR="001561A0" w:rsidRDefault="001561A0">
      <w:pPr>
        <w:spacing w:line="360" w:lineRule="auto"/>
        <w:jc w:val="center"/>
        <w:rPr>
          <w:rFonts w:eastAsia="Times New Roman"/>
          <w:b/>
          <w:sz w:val="28"/>
          <w:szCs w:val="32"/>
          <w:lang w:val="en-GB"/>
        </w:rPr>
      </w:pPr>
      <w:r>
        <w:rPr>
          <w:rFonts w:eastAsia="Times New Roman"/>
          <w:b/>
          <w:sz w:val="28"/>
          <w:szCs w:val="32"/>
          <w:lang w:val="en-GB"/>
        </w:rPr>
        <w:t xml:space="preserve">Student Name: Dhwani Yogeshbhai Patel </w:t>
      </w:r>
    </w:p>
    <w:p w14:paraId="4171B015" w14:textId="754ED777" w:rsidR="001561A0" w:rsidRDefault="001561A0">
      <w:pPr>
        <w:spacing w:line="360" w:lineRule="auto"/>
        <w:jc w:val="center"/>
        <w:rPr>
          <w:rFonts w:eastAsia="Times New Roman"/>
          <w:b/>
          <w:sz w:val="28"/>
          <w:szCs w:val="32"/>
          <w:lang w:val="en-GB"/>
        </w:rPr>
      </w:pPr>
      <w:r>
        <w:rPr>
          <w:rFonts w:eastAsia="Times New Roman"/>
          <w:b/>
          <w:sz w:val="28"/>
          <w:szCs w:val="32"/>
          <w:lang w:val="en-GB"/>
        </w:rPr>
        <w:t>Student ID: 2431311</w:t>
      </w:r>
    </w:p>
    <w:p w14:paraId="3EED2263" w14:textId="0718A450" w:rsidR="001561A0" w:rsidRDefault="001561A0">
      <w:pPr>
        <w:spacing w:line="360" w:lineRule="auto"/>
        <w:jc w:val="center"/>
        <w:rPr>
          <w:rFonts w:eastAsia="Times New Roman"/>
          <w:b/>
          <w:sz w:val="28"/>
          <w:szCs w:val="32"/>
          <w:lang w:val="en-GB"/>
        </w:rPr>
      </w:pPr>
      <w:r>
        <w:rPr>
          <w:rFonts w:eastAsia="Times New Roman"/>
          <w:b/>
          <w:sz w:val="28"/>
          <w:szCs w:val="32"/>
          <w:lang w:val="en-GB"/>
        </w:rPr>
        <w:t>Module Code: LCHS7000</w:t>
      </w:r>
    </w:p>
    <w:p w14:paraId="7295901D" w14:textId="4DADA6EA" w:rsidR="0009169D" w:rsidRDefault="001561A0" w:rsidP="001561A0">
      <w:pPr>
        <w:spacing w:line="360" w:lineRule="auto"/>
        <w:jc w:val="center"/>
        <w:rPr>
          <w:rFonts w:eastAsia="Times New Roman"/>
          <w:b/>
          <w:sz w:val="28"/>
          <w:szCs w:val="32"/>
          <w:lang w:val="en-GB"/>
        </w:rPr>
      </w:pPr>
      <w:r>
        <w:rPr>
          <w:rFonts w:eastAsia="Times New Roman"/>
          <w:b/>
          <w:sz w:val="28"/>
          <w:szCs w:val="32"/>
          <w:lang w:val="en-GB"/>
        </w:rPr>
        <w:t>Lecturer’s Name: Jolly Nwankwo</w:t>
      </w:r>
    </w:p>
    <w:p w14:paraId="6EC69DA5" w14:textId="77777777" w:rsidR="0009169D" w:rsidRDefault="0009169D">
      <w:pPr>
        <w:spacing w:line="360" w:lineRule="auto"/>
        <w:jc w:val="center"/>
        <w:rPr>
          <w:rFonts w:eastAsia="Times New Roman"/>
          <w:b/>
          <w:sz w:val="28"/>
          <w:szCs w:val="32"/>
          <w:lang w:val="en-GB"/>
        </w:rPr>
      </w:pPr>
    </w:p>
    <w:p w14:paraId="4FB33A65" w14:textId="77777777" w:rsidR="0009169D" w:rsidRDefault="00000000" w:rsidP="001561A0">
      <w:pPr>
        <w:spacing w:line="360" w:lineRule="auto"/>
        <w:rPr>
          <w:rFonts w:eastAsia="Times New Roman"/>
          <w:b/>
          <w:sz w:val="28"/>
          <w:szCs w:val="32"/>
          <w:lang w:val="en-GB"/>
        </w:rPr>
      </w:pPr>
      <w:r>
        <w:rPr>
          <w:rFonts w:eastAsia="Times New Roman"/>
          <w:b/>
          <w:sz w:val="28"/>
          <w:szCs w:val="32"/>
          <w:lang w:val="en-GB"/>
        </w:rPr>
        <w:t>Title: Gender-Based Health Inequalities and the Epidemiology of Type 2 Diabetes in Tower Hamlets: A Combined Public Health Analysis</w:t>
      </w:r>
    </w:p>
    <w:p w14:paraId="29D41B0C" w14:textId="77777777" w:rsidR="0009169D" w:rsidRDefault="0009169D">
      <w:pPr>
        <w:spacing w:line="360" w:lineRule="auto"/>
        <w:jc w:val="center"/>
        <w:rPr>
          <w:rFonts w:eastAsia="Times New Roman"/>
          <w:b/>
          <w:sz w:val="24"/>
          <w:szCs w:val="32"/>
          <w:lang w:val="en-GB"/>
        </w:rPr>
      </w:pPr>
    </w:p>
    <w:p w14:paraId="491E537B" w14:textId="77777777" w:rsidR="0009169D" w:rsidRDefault="0009169D">
      <w:pPr>
        <w:spacing w:line="360" w:lineRule="auto"/>
        <w:jc w:val="center"/>
        <w:rPr>
          <w:rFonts w:eastAsia="Times New Roman"/>
          <w:b/>
          <w:sz w:val="24"/>
          <w:szCs w:val="32"/>
          <w:lang w:val="en-GB"/>
        </w:rPr>
      </w:pPr>
    </w:p>
    <w:p w14:paraId="2B757166" w14:textId="77777777" w:rsidR="0009169D" w:rsidRDefault="0009169D">
      <w:pPr>
        <w:spacing w:line="360" w:lineRule="auto"/>
        <w:jc w:val="center"/>
        <w:rPr>
          <w:rFonts w:eastAsia="Times New Roman"/>
          <w:b/>
          <w:sz w:val="24"/>
          <w:szCs w:val="32"/>
          <w:lang w:val="en-GB"/>
        </w:rPr>
      </w:pPr>
    </w:p>
    <w:p w14:paraId="538C161E" w14:textId="77777777" w:rsidR="0009169D" w:rsidRDefault="0009169D">
      <w:pPr>
        <w:spacing w:line="360" w:lineRule="auto"/>
        <w:jc w:val="center"/>
        <w:rPr>
          <w:rFonts w:eastAsia="Times New Roman"/>
          <w:sz w:val="24"/>
          <w:szCs w:val="32"/>
          <w:lang w:val="en-GB"/>
        </w:rPr>
      </w:pPr>
    </w:p>
    <w:p w14:paraId="4039625A" w14:textId="77777777" w:rsidR="0009169D" w:rsidRDefault="0009169D">
      <w:pPr>
        <w:spacing w:line="360" w:lineRule="auto"/>
        <w:jc w:val="center"/>
        <w:rPr>
          <w:rFonts w:eastAsia="Times New Roman"/>
          <w:sz w:val="24"/>
          <w:szCs w:val="32"/>
          <w:lang w:val="en-GB"/>
        </w:rPr>
      </w:pPr>
    </w:p>
    <w:p w14:paraId="747EEE49" w14:textId="77777777" w:rsidR="0009169D" w:rsidRDefault="00000000">
      <w:pPr>
        <w:jc w:val="center"/>
        <w:rPr>
          <w:rFonts w:eastAsia="Times New Roman"/>
          <w:b/>
          <w:sz w:val="32"/>
          <w:szCs w:val="32"/>
          <w:lang w:val="en-GB"/>
        </w:rPr>
      </w:pPr>
      <w:r>
        <w:rPr>
          <w:rFonts w:eastAsia="Times New Roman"/>
          <w:sz w:val="32"/>
          <w:szCs w:val="32"/>
          <w:lang w:val="en-GB"/>
        </w:rPr>
        <w:t xml:space="preserve"> </w:t>
      </w:r>
      <w:r>
        <w:rPr>
          <w:rFonts w:eastAsia="Times New Roman"/>
          <w:b/>
          <w:sz w:val="32"/>
          <w:szCs w:val="32"/>
          <w:lang w:val="en-GB"/>
        </w:rPr>
        <w:br w:type="page"/>
      </w:r>
    </w:p>
    <w:sdt>
      <w:sdtPr>
        <w:rPr>
          <w:rFonts w:ascii="Arial" w:eastAsia="Arial" w:hAnsi="Arial" w:cs="Arial"/>
          <w:b w:val="0"/>
          <w:bCs w:val="0"/>
          <w:color w:val="auto"/>
          <w:sz w:val="24"/>
          <w:szCs w:val="24"/>
          <w:lang w:val="en-GB"/>
        </w:rPr>
        <w:id w:val="-89012636"/>
      </w:sdtPr>
      <w:sdtEndPr>
        <w:rPr>
          <w:sz w:val="22"/>
          <w:szCs w:val="22"/>
        </w:rPr>
      </w:sdtEndPr>
      <w:sdtContent>
        <w:p w14:paraId="44884D52" w14:textId="77777777" w:rsidR="0009169D" w:rsidRDefault="00000000">
          <w:pPr>
            <w:pStyle w:val="TOCHeading1"/>
            <w:spacing w:before="0" w:line="360" w:lineRule="auto"/>
            <w:jc w:val="center"/>
            <w:rPr>
              <w:rFonts w:ascii="Arial" w:hAnsi="Arial" w:cs="Arial"/>
              <w:color w:val="auto"/>
              <w:sz w:val="24"/>
              <w:szCs w:val="24"/>
              <w:lang w:val="en-GB"/>
            </w:rPr>
          </w:pPr>
          <w:r>
            <w:rPr>
              <w:rFonts w:ascii="Arial" w:hAnsi="Arial" w:cs="Arial"/>
              <w:color w:val="auto"/>
              <w:sz w:val="24"/>
              <w:szCs w:val="24"/>
              <w:lang w:val="en-GB"/>
            </w:rPr>
            <w:t>Table of Contents</w:t>
          </w:r>
        </w:p>
        <w:p w14:paraId="3C0B24B9" w14:textId="77777777" w:rsidR="0009169D" w:rsidRDefault="00000000">
          <w:pPr>
            <w:pStyle w:val="TOC1"/>
            <w:tabs>
              <w:tab w:val="right" w:leader="dot" w:pos="9350"/>
            </w:tabs>
            <w:spacing w:line="360" w:lineRule="auto"/>
            <w:rPr>
              <w:rFonts w:asciiTheme="minorHAnsi" w:eastAsiaTheme="minorEastAsia" w:hAnsiTheme="minorHAnsi" w:cstheme="minorBidi"/>
              <w:lang w:val="en-GB" w:eastAsia="en-IN"/>
            </w:rPr>
          </w:pPr>
          <w:r>
            <w:rPr>
              <w:lang w:val="en-GB"/>
            </w:rPr>
            <w:fldChar w:fldCharType="begin"/>
          </w:r>
          <w:r>
            <w:rPr>
              <w:lang w:val="en-GB"/>
            </w:rPr>
            <w:instrText xml:space="preserve"> TOC \o "1-3" \h \z \u </w:instrText>
          </w:r>
          <w:r>
            <w:rPr>
              <w:lang w:val="en-GB"/>
            </w:rPr>
            <w:fldChar w:fldCharType="separate"/>
          </w:r>
          <w:hyperlink w:anchor="_Toc215597070" w:history="1">
            <w:r>
              <w:rPr>
                <w:rStyle w:val="Hyperlink"/>
                <w:lang w:val="en-GB"/>
              </w:rPr>
              <w:t>Task 1: Social Epidemiological Analysis</w:t>
            </w:r>
            <w:r>
              <w:rPr>
                <w:lang w:val="en-GB"/>
              </w:rPr>
              <w:tab/>
            </w:r>
            <w:r>
              <w:rPr>
                <w:lang w:val="en-GB"/>
              </w:rPr>
              <w:fldChar w:fldCharType="begin"/>
            </w:r>
            <w:r>
              <w:rPr>
                <w:lang w:val="en-GB"/>
              </w:rPr>
              <w:instrText xml:space="preserve"> PAGEREF _Toc215597070 \h </w:instrText>
            </w:r>
            <w:r>
              <w:rPr>
                <w:lang w:val="en-GB"/>
              </w:rPr>
            </w:r>
            <w:r>
              <w:rPr>
                <w:lang w:val="en-GB"/>
              </w:rPr>
              <w:fldChar w:fldCharType="separate"/>
            </w:r>
            <w:r>
              <w:rPr>
                <w:lang w:val="en-GB"/>
              </w:rPr>
              <w:t>3</w:t>
            </w:r>
            <w:r>
              <w:rPr>
                <w:lang w:val="en-GB"/>
              </w:rPr>
              <w:fldChar w:fldCharType="end"/>
            </w:r>
          </w:hyperlink>
        </w:p>
        <w:p w14:paraId="128C9032" w14:textId="77777777" w:rsidR="0009169D" w:rsidRDefault="00000000">
          <w:pPr>
            <w:pStyle w:val="TOC2"/>
            <w:tabs>
              <w:tab w:val="right" w:leader="dot" w:pos="9350"/>
            </w:tabs>
            <w:spacing w:line="360" w:lineRule="auto"/>
            <w:rPr>
              <w:rFonts w:asciiTheme="minorHAnsi" w:eastAsiaTheme="minorEastAsia" w:hAnsiTheme="minorHAnsi" w:cstheme="minorBidi"/>
              <w:lang w:val="en-GB" w:eastAsia="en-IN"/>
            </w:rPr>
          </w:pPr>
          <w:hyperlink w:anchor="_Toc215597071" w:history="1">
            <w:r>
              <w:rPr>
                <w:rStyle w:val="Hyperlink"/>
                <w:lang w:val="en-GB"/>
              </w:rPr>
              <w:t>1. Introduction</w:t>
            </w:r>
            <w:r>
              <w:rPr>
                <w:lang w:val="en-GB"/>
              </w:rPr>
              <w:tab/>
            </w:r>
            <w:r>
              <w:rPr>
                <w:lang w:val="en-GB"/>
              </w:rPr>
              <w:fldChar w:fldCharType="begin"/>
            </w:r>
            <w:r>
              <w:rPr>
                <w:lang w:val="en-GB"/>
              </w:rPr>
              <w:instrText xml:space="preserve"> PAGEREF _Toc215597071 \h </w:instrText>
            </w:r>
            <w:r>
              <w:rPr>
                <w:lang w:val="en-GB"/>
              </w:rPr>
            </w:r>
            <w:r>
              <w:rPr>
                <w:lang w:val="en-GB"/>
              </w:rPr>
              <w:fldChar w:fldCharType="separate"/>
            </w:r>
            <w:r>
              <w:rPr>
                <w:lang w:val="en-GB"/>
              </w:rPr>
              <w:t>3</w:t>
            </w:r>
            <w:r>
              <w:rPr>
                <w:lang w:val="en-GB"/>
              </w:rPr>
              <w:fldChar w:fldCharType="end"/>
            </w:r>
          </w:hyperlink>
        </w:p>
        <w:p w14:paraId="3584907A" w14:textId="77777777" w:rsidR="0009169D" w:rsidRDefault="00000000">
          <w:pPr>
            <w:pStyle w:val="TOC2"/>
            <w:tabs>
              <w:tab w:val="right" w:leader="dot" w:pos="9350"/>
            </w:tabs>
            <w:spacing w:line="360" w:lineRule="auto"/>
            <w:rPr>
              <w:rFonts w:asciiTheme="minorHAnsi" w:eastAsiaTheme="minorEastAsia" w:hAnsiTheme="minorHAnsi" w:cstheme="minorBidi"/>
              <w:lang w:val="en-GB" w:eastAsia="en-IN"/>
            </w:rPr>
          </w:pPr>
          <w:hyperlink w:anchor="_Toc215597072" w:history="1">
            <w:r>
              <w:rPr>
                <w:rStyle w:val="Hyperlink"/>
                <w:lang w:val="en-GB"/>
              </w:rPr>
              <w:t>2. Contextual Background and Underlying Factors</w:t>
            </w:r>
            <w:r>
              <w:rPr>
                <w:lang w:val="en-GB"/>
              </w:rPr>
              <w:tab/>
            </w:r>
            <w:r>
              <w:rPr>
                <w:lang w:val="en-GB"/>
              </w:rPr>
              <w:fldChar w:fldCharType="begin"/>
            </w:r>
            <w:r>
              <w:rPr>
                <w:lang w:val="en-GB"/>
              </w:rPr>
              <w:instrText xml:space="preserve"> PAGEREF _Toc215597072 \h </w:instrText>
            </w:r>
            <w:r>
              <w:rPr>
                <w:lang w:val="en-GB"/>
              </w:rPr>
            </w:r>
            <w:r>
              <w:rPr>
                <w:lang w:val="en-GB"/>
              </w:rPr>
              <w:fldChar w:fldCharType="separate"/>
            </w:r>
            <w:r>
              <w:rPr>
                <w:lang w:val="en-GB"/>
              </w:rPr>
              <w:t>3</w:t>
            </w:r>
            <w:r>
              <w:rPr>
                <w:lang w:val="en-GB"/>
              </w:rPr>
              <w:fldChar w:fldCharType="end"/>
            </w:r>
          </w:hyperlink>
        </w:p>
        <w:p w14:paraId="39A768A5" w14:textId="77777777" w:rsidR="0009169D" w:rsidRDefault="00000000">
          <w:pPr>
            <w:pStyle w:val="TOC3"/>
            <w:tabs>
              <w:tab w:val="right" w:leader="dot" w:pos="9350"/>
            </w:tabs>
            <w:spacing w:line="360" w:lineRule="auto"/>
            <w:rPr>
              <w:lang w:val="en-GB"/>
            </w:rPr>
          </w:pPr>
          <w:hyperlink w:anchor="_Toc215597073" w:history="1">
            <w:r>
              <w:rPr>
                <w:rStyle w:val="Hyperlink"/>
                <w:lang w:val="en-GB"/>
              </w:rPr>
              <w:t>2.1 Higher Rates of Depression and Anxiety among Women</w:t>
            </w:r>
            <w:r>
              <w:rPr>
                <w:lang w:val="en-GB"/>
              </w:rPr>
              <w:tab/>
            </w:r>
            <w:r>
              <w:rPr>
                <w:lang w:val="en-GB"/>
              </w:rPr>
              <w:fldChar w:fldCharType="begin"/>
            </w:r>
            <w:r>
              <w:rPr>
                <w:lang w:val="en-GB"/>
              </w:rPr>
              <w:instrText xml:space="preserve"> PAGEREF _Toc215597073 \h </w:instrText>
            </w:r>
            <w:r>
              <w:rPr>
                <w:lang w:val="en-GB"/>
              </w:rPr>
            </w:r>
            <w:r>
              <w:rPr>
                <w:lang w:val="en-GB"/>
              </w:rPr>
              <w:fldChar w:fldCharType="separate"/>
            </w:r>
            <w:r>
              <w:rPr>
                <w:lang w:val="en-GB"/>
              </w:rPr>
              <w:t>3</w:t>
            </w:r>
            <w:r>
              <w:rPr>
                <w:lang w:val="en-GB"/>
              </w:rPr>
              <w:fldChar w:fldCharType="end"/>
            </w:r>
          </w:hyperlink>
        </w:p>
        <w:p w14:paraId="666650FD" w14:textId="77777777" w:rsidR="0009169D" w:rsidRDefault="00000000">
          <w:pPr>
            <w:pStyle w:val="TOC3"/>
            <w:tabs>
              <w:tab w:val="right" w:leader="dot" w:pos="9350"/>
            </w:tabs>
            <w:spacing w:line="360" w:lineRule="auto"/>
            <w:rPr>
              <w:lang w:val="en-GB"/>
            </w:rPr>
          </w:pPr>
          <w:hyperlink w:anchor="_Toc215597074" w:history="1">
            <w:r>
              <w:rPr>
                <w:rStyle w:val="Hyperlink"/>
                <w:lang w:val="en-GB"/>
              </w:rPr>
              <w:t>2.2 Higher Rates of Suicide among Men</w:t>
            </w:r>
            <w:r>
              <w:rPr>
                <w:lang w:val="en-GB"/>
              </w:rPr>
              <w:tab/>
            </w:r>
            <w:r>
              <w:rPr>
                <w:lang w:val="en-GB"/>
              </w:rPr>
              <w:fldChar w:fldCharType="begin"/>
            </w:r>
            <w:r>
              <w:rPr>
                <w:lang w:val="en-GB"/>
              </w:rPr>
              <w:instrText xml:space="preserve"> PAGEREF _Toc215597074 \h </w:instrText>
            </w:r>
            <w:r>
              <w:rPr>
                <w:lang w:val="en-GB"/>
              </w:rPr>
            </w:r>
            <w:r>
              <w:rPr>
                <w:lang w:val="en-GB"/>
              </w:rPr>
              <w:fldChar w:fldCharType="separate"/>
            </w:r>
            <w:r>
              <w:rPr>
                <w:lang w:val="en-GB"/>
              </w:rPr>
              <w:t>3</w:t>
            </w:r>
            <w:r>
              <w:rPr>
                <w:lang w:val="en-GB"/>
              </w:rPr>
              <w:fldChar w:fldCharType="end"/>
            </w:r>
          </w:hyperlink>
        </w:p>
        <w:p w14:paraId="7E3DEBF3" w14:textId="77777777" w:rsidR="0009169D" w:rsidRDefault="00000000">
          <w:pPr>
            <w:pStyle w:val="TOC3"/>
            <w:tabs>
              <w:tab w:val="right" w:leader="dot" w:pos="9350"/>
            </w:tabs>
            <w:spacing w:line="360" w:lineRule="auto"/>
            <w:rPr>
              <w:lang w:val="en-GB"/>
            </w:rPr>
          </w:pPr>
          <w:hyperlink w:anchor="_Toc215597075" w:history="1">
            <w:r>
              <w:rPr>
                <w:rStyle w:val="Hyperlink"/>
                <w:lang w:val="en-GB"/>
              </w:rPr>
              <w:t>2.3 Cardiovascular Disease Inequality in Women</w:t>
            </w:r>
            <w:r>
              <w:rPr>
                <w:lang w:val="en-GB"/>
              </w:rPr>
              <w:tab/>
            </w:r>
            <w:r>
              <w:rPr>
                <w:lang w:val="en-GB"/>
              </w:rPr>
              <w:fldChar w:fldCharType="begin"/>
            </w:r>
            <w:r>
              <w:rPr>
                <w:lang w:val="en-GB"/>
              </w:rPr>
              <w:instrText xml:space="preserve"> PAGEREF _Toc215597075 \h </w:instrText>
            </w:r>
            <w:r>
              <w:rPr>
                <w:lang w:val="en-GB"/>
              </w:rPr>
            </w:r>
            <w:r>
              <w:rPr>
                <w:lang w:val="en-GB"/>
              </w:rPr>
              <w:fldChar w:fldCharType="separate"/>
            </w:r>
            <w:r>
              <w:rPr>
                <w:lang w:val="en-GB"/>
              </w:rPr>
              <w:t>4</w:t>
            </w:r>
            <w:r>
              <w:rPr>
                <w:lang w:val="en-GB"/>
              </w:rPr>
              <w:fldChar w:fldCharType="end"/>
            </w:r>
          </w:hyperlink>
        </w:p>
        <w:p w14:paraId="2891B4A7" w14:textId="77777777" w:rsidR="0009169D" w:rsidRDefault="00000000">
          <w:pPr>
            <w:pStyle w:val="TOC3"/>
            <w:tabs>
              <w:tab w:val="right" w:leader="dot" w:pos="9350"/>
            </w:tabs>
            <w:spacing w:line="360" w:lineRule="auto"/>
            <w:rPr>
              <w:lang w:val="en-GB"/>
            </w:rPr>
          </w:pPr>
          <w:hyperlink w:anchor="_Toc215597076" w:history="1">
            <w:r>
              <w:rPr>
                <w:rStyle w:val="Hyperlink"/>
                <w:lang w:val="en-GB"/>
              </w:rPr>
              <w:t>2.4 Gender-Based Violence and Health Outcomes</w:t>
            </w:r>
            <w:r>
              <w:rPr>
                <w:lang w:val="en-GB"/>
              </w:rPr>
              <w:tab/>
            </w:r>
            <w:r>
              <w:rPr>
                <w:lang w:val="en-GB"/>
              </w:rPr>
              <w:fldChar w:fldCharType="begin"/>
            </w:r>
            <w:r>
              <w:rPr>
                <w:lang w:val="en-GB"/>
              </w:rPr>
              <w:instrText xml:space="preserve"> PAGEREF _Toc215597076 \h </w:instrText>
            </w:r>
            <w:r>
              <w:rPr>
                <w:lang w:val="en-GB"/>
              </w:rPr>
            </w:r>
            <w:r>
              <w:rPr>
                <w:lang w:val="en-GB"/>
              </w:rPr>
              <w:fldChar w:fldCharType="separate"/>
            </w:r>
            <w:r>
              <w:rPr>
                <w:lang w:val="en-GB"/>
              </w:rPr>
              <w:t>4</w:t>
            </w:r>
            <w:r>
              <w:rPr>
                <w:lang w:val="en-GB"/>
              </w:rPr>
              <w:fldChar w:fldCharType="end"/>
            </w:r>
          </w:hyperlink>
        </w:p>
        <w:p w14:paraId="78CC2961" w14:textId="77777777" w:rsidR="0009169D" w:rsidRDefault="00000000">
          <w:pPr>
            <w:pStyle w:val="TOC3"/>
            <w:tabs>
              <w:tab w:val="right" w:leader="dot" w:pos="9350"/>
            </w:tabs>
            <w:spacing w:line="360" w:lineRule="auto"/>
            <w:rPr>
              <w:lang w:val="en-GB"/>
            </w:rPr>
          </w:pPr>
          <w:hyperlink w:anchor="_Toc215597077" w:history="1">
            <w:r>
              <w:rPr>
                <w:rStyle w:val="Hyperlink"/>
                <w:lang w:val="en-GB"/>
              </w:rPr>
              <w:t>2.5 Gender Pay Gap and Economic Inequality</w:t>
            </w:r>
            <w:r>
              <w:rPr>
                <w:lang w:val="en-GB"/>
              </w:rPr>
              <w:tab/>
            </w:r>
            <w:r>
              <w:rPr>
                <w:lang w:val="en-GB"/>
              </w:rPr>
              <w:fldChar w:fldCharType="begin"/>
            </w:r>
            <w:r>
              <w:rPr>
                <w:lang w:val="en-GB"/>
              </w:rPr>
              <w:instrText xml:space="preserve"> PAGEREF _Toc215597077 \h </w:instrText>
            </w:r>
            <w:r>
              <w:rPr>
                <w:lang w:val="en-GB"/>
              </w:rPr>
            </w:r>
            <w:r>
              <w:rPr>
                <w:lang w:val="en-GB"/>
              </w:rPr>
              <w:fldChar w:fldCharType="separate"/>
            </w:r>
            <w:r>
              <w:rPr>
                <w:lang w:val="en-GB"/>
              </w:rPr>
              <w:t>4</w:t>
            </w:r>
            <w:r>
              <w:rPr>
                <w:lang w:val="en-GB"/>
              </w:rPr>
              <w:fldChar w:fldCharType="end"/>
            </w:r>
          </w:hyperlink>
        </w:p>
        <w:p w14:paraId="4B5C6FB7" w14:textId="77777777" w:rsidR="0009169D" w:rsidRDefault="00000000">
          <w:pPr>
            <w:pStyle w:val="TOC3"/>
            <w:tabs>
              <w:tab w:val="right" w:leader="dot" w:pos="9350"/>
            </w:tabs>
            <w:spacing w:line="360" w:lineRule="auto"/>
            <w:rPr>
              <w:lang w:val="en-GB"/>
            </w:rPr>
          </w:pPr>
          <w:hyperlink w:anchor="_Toc215597078" w:history="1">
            <w:r>
              <w:rPr>
                <w:rStyle w:val="Hyperlink"/>
                <w:lang w:val="en-GB"/>
              </w:rPr>
              <w:t>2.6 Access to Healthcare and Reproductive Health Inequality</w:t>
            </w:r>
            <w:r>
              <w:rPr>
                <w:lang w:val="en-GB"/>
              </w:rPr>
              <w:tab/>
            </w:r>
            <w:r>
              <w:rPr>
                <w:lang w:val="en-GB"/>
              </w:rPr>
              <w:fldChar w:fldCharType="begin"/>
            </w:r>
            <w:r>
              <w:rPr>
                <w:lang w:val="en-GB"/>
              </w:rPr>
              <w:instrText xml:space="preserve"> PAGEREF _Toc215597078 \h </w:instrText>
            </w:r>
            <w:r>
              <w:rPr>
                <w:lang w:val="en-GB"/>
              </w:rPr>
            </w:r>
            <w:r>
              <w:rPr>
                <w:lang w:val="en-GB"/>
              </w:rPr>
              <w:fldChar w:fldCharType="separate"/>
            </w:r>
            <w:r>
              <w:rPr>
                <w:lang w:val="en-GB"/>
              </w:rPr>
              <w:t>4</w:t>
            </w:r>
            <w:r>
              <w:rPr>
                <w:lang w:val="en-GB"/>
              </w:rPr>
              <w:fldChar w:fldCharType="end"/>
            </w:r>
          </w:hyperlink>
        </w:p>
        <w:p w14:paraId="34369486" w14:textId="77777777" w:rsidR="0009169D" w:rsidRDefault="00000000">
          <w:pPr>
            <w:pStyle w:val="TOC2"/>
            <w:tabs>
              <w:tab w:val="right" w:leader="dot" w:pos="9350"/>
            </w:tabs>
            <w:spacing w:line="360" w:lineRule="auto"/>
            <w:rPr>
              <w:rFonts w:asciiTheme="minorHAnsi" w:eastAsiaTheme="minorEastAsia" w:hAnsiTheme="minorHAnsi" w:cstheme="minorBidi"/>
              <w:lang w:val="en-GB" w:eastAsia="en-IN"/>
            </w:rPr>
          </w:pPr>
          <w:hyperlink w:anchor="_Toc215597079" w:history="1">
            <w:r>
              <w:rPr>
                <w:rStyle w:val="Hyperlink"/>
                <w:lang w:val="en-GB"/>
              </w:rPr>
              <w:t>3. National Response to Reduce Gender Health Inequalities</w:t>
            </w:r>
            <w:r>
              <w:rPr>
                <w:lang w:val="en-GB"/>
              </w:rPr>
              <w:tab/>
            </w:r>
            <w:r>
              <w:rPr>
                <w:lang w:val="en-GB"/>
              </w:rPr>
              <w:fldChar w:fldCharType="begin"/>
            </w:r>
            <w:r>
              <w:rPr>
                <w:lang w:val="en-GB"/>
              </w:rPr>
              <w:instrText xml:space="preserve"> PAGEREF _Toc215597079 \h </w:instrText>
            </w:r>
            <w:r>
              <w:rPr>
                <w:lang w:val="en-GB"/>
              </w:rPr>
            </w:r>
            <w:r>
              <w:rPr>
                <w:lang w:val="en-GB"/>
              </w:rPr>
              <w:fldChar w:fldCharType="separate"/>
            </w:r>
            <w:r>
              <w:rPr>
                <w:lang w:val="en-GB"/>
              </w:rPr>
              <w:t>5</w:t>
            </w:r>
            <w:r>
              <w:rPr>
                <w:lang w:val="en-GB"/>
              </w:rPr>
              <w:fldChar w:fldCharType="end"/>
            </w:r>
          </w:hyperlink>
        </w:p>
        <w:p w14:paraId="2CECB8BD" w14:textId="77777777" w:rsidR="0009169D" w:rsidRDefault="00000000">
          <w:pPr>
            <w:pStyle w:val="TOC2"/>
            <w:tabs>
              <w:tab w:val="right" w:leader="dot" w:pos="9350"/>
            </w:tabs>
            <w:spacing w:line="360" w:lineRule="auto"/>
            <w:rPr>
              <w:rFonts w:asciiTheme="minorHAnsi" w:eastAsiaTheme="minorEastAsia" w:hAnsiTheme="minorHAnsi" w:cstheme="minorBidi"/>
              <w:lang w:val="en-GB" w:eastAsia="en-IN"/>
            </w:rPr>
          </w:pPr>
          <w:hyperlink w:anchor="_Toc215597080" w:history="1">
            <w:r>
              <w:rPr>
                <w:rStyle w:val="Hyperlink"/>
                <w:lang w:val="en-GB"/>
              </w:rPr>
              <w:t>4. Organisations Supporting Gender Health Inequalities</w:t>
            </w:r>
            <w:r>
              <w:rPr>
                <w:lang w:val="en-GB"/>
              </w:rPr>
              <w:tab/>
            </w:r>
            <w:r>
              <w:rPr>
                <w:lang w:val="en-GB"/>
              </w:rPr>
              <w:fldChar w:fldCharType="begin"/>
            </w:r>
            <w:r>
              <w:rPr>
                <w:lang w:val="en-GB"/>
              </w:rPr>
              <w:instrText xml:space="preserve"> PAGEREF _Toc215597080 \h </w:instrText>
            </w:r>
            <w:r>
              <w:rPr>
                <w:lang w:val="en-GB"/>
              </w:rPr>
            </w:r>
            <w:r>
              <w:rPr>
                <w:lang w:val="en-GB"/>
              </w:rPr>
              <w:fldChar w:fldCharType="separate"/>
            </w:r>
            <w:r>
              <w:rPr>
                <w:lang w:val="en-GB"/>
              </w:rPr>
              <w:t>5</w:t>
            </w:r>
            <w:r>
              <w:rPr>
                <w:lang w:val="en-GB"/>
              </w:rPr>
              <w:fldChar w:fldCharType="end"/>
            </w:r>
          </w:hyperlink>
        </w:p>
        <w:p w14:paraId="1077FF42" w14:textId="77777777" w:rsidR="0009169D" w:rsidRDefault="00000000">
          <w:pPr>
            <w:pStyle w:val="TOC2"/>
            <w:tabs>
              <w:tab w:val="right" w:leader="dot" w:pos="9350"/>
            </w:tabs>
            <w:spacing w:line="360" w:lineRule="auto"/>
            <w:rPr>
              <w:rFonts w:asciiTheme="minorHAnsi" w:eastAsiaTheme="minorEastAsia" w:hAnsiTheme="minorHAnsi" w:cstheme="minorBidi"/>
              <w:lang w:val="en-GB" w:eastAsia="en-IN"/>
            </w:rPr>
          </w:pPr>
          <w:hyperlink w:anchor="_Toc215597081" w:history="1">
            <w:r>
              <w:rPr>
                <w:rStyle w:val="Hyperlink"/>
                <w:lang w:val="en-GB"/>
              </w:rPr>
              <w:t>5. Conclusion</w:t>
            </w:r>
            <w:r>
              <w:rPr>
                <w:lang w:val="en-GB"/>
              </w:rPr>
              <w:tab/>
            </w:r>
            <w:r>
              <w:rPr>
                <w:lang w:val="en-GB"/>
              </w:rPr>
              <w:fldChar w:fldCharType="begin"/>
            </w:r>
            <w:r>
              <w:rPr>
                <w:lang w:val="en-GB"/>
              </w:rPr>
              <w:instrText xml:space="preserve"> PAGEREF _Toc215597081 \h </w:instrText>
            </w:r>
            <w:r>
              <w:rPr>
                <w:lang w:val="en-GB"/>
              </w:rPr>
            </w:r>
            <w:r>
              <w:rPr>
                <w:lang w:val="en-GB"/>
              </w:rPr>
              <w:fldChar w:fldCharType="separate"/>
            </w:r>
            <w:r>
              <w:rPr>
                <w:lang w:val="en-GB"/>
              </w:rPr>
              <w:t>6</w:t>
            </w:r>
            <w:r>
              <w:rPr>
                <w:lang w:val="en-GB"/>
              </w:rPr>
              <w:fldChar w:fldCharType="end"/>
            </w:r>
          </w:hyperlink>
        </w:p>
        <w:p w14:paraId="66883D39" w14:textId="77777777" w:rsidR="0009169D" w:rsidRDefault="00000000">
          <w:pPr>
            <w:pStyle w:val="TOC1"/>
            <w:tabs>
              <w:tab w:val="right" w:leader="dot" w:pos="9350"/>
            </w:tabs>
            <w:spacing w:line="360" w:lineRule="auto"/>
            <w:rPr>
              <w:rFonts w:asciiTheme="minorHAnsi" w:eastAsiaTheme="minorEastAsia" w:hAnsiTheme="minorHAnsi" w:cstheme="minorBidi"/>
              <w:lang w:val="en-GB" w:eastAsia="en-IN"/>
            </w:rPr>
          </w:pPr>
          <w:hyperlink w:anchor="_Toc215597082" w:history="1">
            <w:r>
              <w:rPr>
                <w:rStyle w:val="Hyperlink"/>
                <w:lang w:val="en-GB"/>
              </w:rPr>
              <w:t>Task 2: Epidemiological Analysis</w:t>
            </w:r>
            <w:r>
              <w:rPr>
                <w:lang w:val="en-GB"/>
              </w:rPr>
              <w:tab/>
            </w:r>
            <w:r>
              <w:rPr>
                <w:lang w:val="en-GB"/>
              </w:rPr>
              <w:fldChar w:fldCharType="begin"/>
            </w:r>
            <w:r>
              <w:rPr>
                <w:lang w:val="en-GB"/>
              </w:rPr>
              <w:instrText xml:space="preserve"> PAGEREF _Toc215597082 \h </w:instrText>
            </w:r>
            <w:r>
              <w:rPr>
                <w:lang w:val="en-GB"/>
              </w:rPr>
            </w:r>
            <w:r>
              <w:rPr>
                <w:lang w:val="en-GB"/>
              </w:rPr>
              <w:fldChar w:fldCharType="separate"/>
            </w:r>
            <w:r>
              <w:rPr>
                <w:lang w:val="en-GB"/>
              </w:rPr>
              <w:t>7</w:t>
            </w:r>
            <w:r>
              <w:rPr>
                <w:lang w:val="en-GB"/>
              </w:rPr>
              <w:fldChar w:fldCharType="end"/>
            </w:r>
          </w:hyperlink>
        </w:p>
        <w:p w14:paraId="13A1A108" w14:textId="77777777" w:rsidR="0009169D" w:rsidRDefault="00000000">
          <w:pPr>
            <w:pStyle w:val="TOC2"/>
            <w:tabs>
              <w:tab w:val="right" w:leader="dot" w:pos="9350"/>
            </w:tabs>
            <w:spacing w:line="360" w:lineRule="auto"/>
            <w:rPr>
              <w:rFonts w:asciiTheme="minorHAnsi" w:eastAsiaTheme="minorEastAsia" w:hAnsiTheme="minorHAnsi" w:cstheme="minorBidi"/>
              <w:lang w:val="en-GB" w:eastAsia="en-IN"/>
            </w:rPr>
          </w:pPr>
          <w:hyperlink w:anchor="_Toc215597083" w:history="1">
            <w:r>
              <w:rPr>
                <w:rStyle w:val="Hyperlink"/>
                <w:lang w:val="en-GB"/>
              </w:rPr>
              <w:t>1. Introduction</w:t>
            </w:r>
            <w:r>
              <w:rPr>
                <w:lang w:val="en-GB"/>
              </w:rPr>
              <w:tab/>
            </w:r>
            <w:r>
              <w:rPr>
                <w:lang w:val="en-GB"/>
              </w:rPr>
              <w:fldChar w:fldCharType="begin"/>
            </w:r>
            <w:r>
              <w:rPr>
                <w:lang w:val="en-GB"/>
              </w:rPr>
              <w:instrText xml:space="preserve"> PAGEREF _Toc215597083 \h </w:instrText>
            </w:r>
            <w:r>
              <w:rPr>
                <w:lang w:val="en-GB"/>
              </w:rPr>
            </w:r>
            <w:r>
              <w:rPr>
                <w:lang w:val="en-GB"/>
              </w:rPr>
              <w:fldChar w:fldCharType="separate"/>
            </w:r>
            <w:r>
              <w:rPr>
                <w:lang w:val="en-GB"/>
              </w:rPr>
              <w:t>7</w:t>
            </w:r>
            <w:r>
              <w:rPr>
                <w:lang w:val="en-GB"/>
              </w:rPr>
              <w:fldChar w:fldCharType="end"/>
            </w:r>
          </w:hyperlink>
        </w:p>
        <w:p w14:paraId="3AAB63E8" w14:textId="77777777" w:rsidR="0009169D" w:rsidRDefault="00000000">
          <w:pPr>
            <w:pStyle w:val="TOC2"/>
            <w:tabs>
              <w:tab w:val="right" w:leader="dot" w:pos="9350"/>
            </w:tabs>
            <w:spacing w:line="360" w:lineRule="auto"/>
            <w:rPr>
              <w:rFonts w:asciiTheme="minorHAnsi" w:eastAsiaTheme="minorEastAsia" w:hAnsiTheme="minorHAnsi" w:cstheme="minorBidi"/>
              <w:lang w:val="en-GB" w:eastAsia="en-IN"/>
            </w:rPr>
          </w:pPr>
          <w:hyperlink w:anchor="_Toc215597084" w:history="1">
            <w:r>
              <w:rPr>
                <w:rStyle w:val="Hyperlink"/>
                <w:lang w:val="en-GB"/>
              </w:rPr>
              <w:t>2. Main Body</w:t>
            </w:r>
            <w:r>
              <w:rPr>
                <w:lang w:val="en-GB"/>
              </w:rPr>
              <w:tab/>
            </w:r>
            <w:r>
              <w:rPr>
                <w:lang w:val="en-GB"/>
              </w:rPr>
              <w:fldChar w:fldCharType="begin"/>
            </w:r>
            <w:r>
              <w:rPr>
                <w:lang w:val="en-GB"/>
              </w:rPr>
              <w:instrText xml:space="preserve"> PAGEREF _Toc215597084 \h </w:instrText>
            </w:r>
            <w:r>
              <w:rPr>
                <w:lang w:val="en-GB"/>
              </w:rPr>
            </w:r>
            <w:r>
              <w:rPr>
                <w:lang w:val="en-GB"/>
              </w:rPr>
              <w:fldChar w:fldCharType="separate"/>
            </w:r>
            <w:r>
              <w:rPr>
                <w:lang w:val="en-GB"/>
              </w:rPr>
              <w:t>7</w:t>
            </w:r>
            <w:r>
              <w:rPr>
                <w:lang w:val="en-GB"/>
              </w:rPr>
              <w:fldChar w:fldCharType="end"/>
            </w:r>
          </w:hyperlink>
        </w:p>
        <w:p w14:paraId="5C24975E" w14:textId="77777777" w:rsidR="0009169D" w:rsidRDefault="00000000">
          <w:pPr>
            <w:pStyle w:val="TOC3"/>
            <w:tabs>
              <w:tab w:val="right" w:leader="dot" w:pos="9350"/>
            </w:tabs>
            <w:spacing w:line="360" w:lineRule="auto"/>
            <w:rPr>
              <w:lang w:val="en-GB"/>
            </w:rPr>
          </w:pPr>
          <w:hyperlink w:anchor="_Toc215597085" w:history="1">
            <w:r>
              <w:rPr>
                <w:rStyle w:val="Hyperlink"/>
                <w:lang w:val="en-GB"/>
              </w:rPr>
              <w:t>2.1 Risk Factors Analysis</w:t>
            </w:r>
            <w:r>
              <w:rPr>
                <w:lang w:val="en-GB"/>
              </w:rPr>
              <w:tab/>
            </w:r>
            <w:r>
              <w:rPr>
                <w:lang w:val="en-GB"/>
              </w:rPr>
              <w:fldChar w:fldCharType="begin"/>
            </w:r>
            <w:r>
              <w:rPr>
                <w:lang w:val="en-GB"/>
              </w:rPr>
              <w:instrText xml:space="preserve"> PAGEREF _Toc215597085 \h </w:instrText>
            </w:r>
            <w:r>
              <w:rPr>
                <w:lang w:val="en-GB"/>
              </w:rPr>
            </w:r>
            <w:r>
              <w:rPr>
                <w:lang w:val="en-GB"/>
              </w:rPr>
              <w:fldChar w:fldCharType="separate"/>
            </w:r>
            <w:r>
              <w:rPr>
                <w:lang w:val="en-GB"/>
              </w:rPr>
              <w:t>7</w:t>
            </w:r>
            <w:r>
              <w:rPr>
                <w:lang w:val="en-GB"/>
              </w:rPr>
              <w:fldChar w:fldCharType="end"/>
            </w:r>
          </w:hyperlink>
        </w:p>
        <w:p w14:paraId="02CFD40F" w14:textId="77777777" w:rsidR="0009169D" w:rsidRDefault="00000000">
          <w:pPr>
            <w:pStyle w:val="TOC3"/>
            <w:tabs>
              <w:tab w:val="right" w:leader="dot" w:pos="9350"/>
            </w:tabs>
            <w:spacing w:line="360" w:lineRule="auto"/>
            <w:rPr>
              <w:lang w:val="en-GB"/>
            </w:rPr>
          </w:pPr>
          <w:hyperlink w:anchor="_Toc215597086" w:history="1">
            <w:r>
              <w:rPr>
                <w:rStyle w:val="Hyperlink"/>
                <w:lang w:val="en-GB"/>
              </w:rPr>
              <w:t>2.2 Epidemiological Studies and Identification of At-Risk Groups</w:t>
            </w:r>
            <w:r>
              <w:rPr>
                <w:lang w:val="en-GB"/>
              </w:rPr>
              <w:tab/>
            </w:r>
            <w:r>
              <w:rPr>
                <w:lang w:val="en-GB"/>
              </w:rPr>
              <w:fldChar w:fldCharType="begin"/>
            </w:r>
            <w:r>
              <w:rPr>
                <w:lang w:val="en-GB"/>
              </w:rPr>
              <w:instrText xml:space="preserve"> PAGEREF _Toc215597086 \h </w:instrText>
            </w:r>
            <w:r>
              <w:rPr>
                <w:lang w:val="en-GB"/>
              </w:rPr>
            </w:r>
            <w:r>
              <w:rPr>
                <w:lang w:val="en-GB"/>
              </w:rPr>
              <w:fldChar w:fldCharType="separate"/>
            </w:r>
            <w:r>
              <w:rPr>
                <w:lang w:val="en-GB"/>
              </w:rPr>
              <w:t>7</w:t>
            </w:r>
            <w:r>
              <w:rPr>
                <w:lang w:val="en-GB"/>
              </w:rPr>
              <w:fldChar w:fldCharType="end"/>
            </w:r>
          </w:hyperlink>
        </w:p>
        <w:p w14:paraId="7A06EDEE" w14:textId="77777777" w:rsidR="0009169D" w:rsidRDefault="00000000">
          <w:pPr>
            <w:pStyle w:val="TOC3"/>
            <w:tabs>
              <w:tab w:val="right" w:leader="dot" w:pos="9350"/>
            </w:tabs>
            <w:spacing w:line="360" w:lineRule="auto"/>
            <w:rPr>
              <w:lang w:val="en-GB"/>
            </w:rPr>
          </w:pPr>
          <w:hyperlink w:anchor="_Toc215597087" w:history="1">
            <w:r>
              <w:rPr>
                <w:rStyle w:val="Hyperlink"/>
                <w:lang w:val="en-GB"/>
              </w:rPr>
              <w:t>2.3 Monitoring and Surveillance Systems</w:t>
            </w:r>
            <w:r>
              <w:rPr>
                <w:lang w:val="en-GB"/>
              </w:rPr>
              <w:tab/>
            </w:r>
            <w:r>
              <w:rPr>
                <w:lang w:val="en-GB"/>
              </w:rPr>
              <w:fldChar w:fldCharType="begin"/>
            </w:r>
            <w:r>
              <w:rPr>
                <w:lang w:val="en-GB"/>
              </w:rPr>
              <w:instrText xml:space="preserve"> PAGEREF _Toc215597087 \h </w:instrText>
            </w:r>
            <w:r>
              <w:rPr>
                <w:lang w:val="en-GB"/>
              </w:rPr>
            </w:r>
            <w:r>
              <w:rPr>
                <w:lang w:val="en-GB"/>
              </w:rPr>
              <w:fldChar w:fldCharType="separate"/>
            </w:r>
            <w:r>
              <w:rPr>
                <w:lang w:val="en-GB"/>
              </w:rPr>
              <w:t>8</w:t>
            </w:r>
            <w:r>
              <w:rPr>
                <w:lang w:val="en-GB"/>
              </w:rPr>
              <w:fldChar w:fldCharType="end"/>
            </w:r>
          </w:hyperlink>
        </w:p>
        <w:p w14:paraId="76E2C34A" w14:textId="77777777" w:rsidR="0009169D" w:rsidRDefault="00000000">
          <w:pPr>
            <w:pStyle w:val="TOC3"/>
            <w:tabs>
              <w:tab w:val="right" w:leader="dot" w:pos="9350"/>
            </w:tabs>
            <w:spacing w:line="360" w:lineRule="auto"/>
            <w:rPr>
              <w:lang w:val="en-GB"/>
            </w:rPr>
          </w:pPr>
          <w:hyperlink w:anchor="_Toc215597088" w:history="1">
            <w:r>
              <w:rPr>
                <w:rStyle w:val="Hyperlink"/>
                <w:lang w:val="en-GB"/>
              </w:rPr>
              <w:t>2.4 Public Health Measures and the 3 P’s</w:t>
            </w:r>
            <w:r>
              <w:rPr>
                <w:lang w:val="en-GB"/>
              </w:rPr>
              <w:tab/>
            </w:r>
            <w:r>
              <w:rPr>
                <w:lang w:val="en-GB"/>
              </w:rPr>
              <w:fldChar w:fldCharType="begin"/>
            </w:r>
            <w:r>
              <w:rPr>
                <w:lang w:val="en-GB"/>
              </w:rPr>
              <w:instrText xml:space="preserve"> PAGEREF _Toc215597088 \h </w:instrText>
            </w:r>
            <w:r>
              <w:rPr>
                <w:lang w:val="en-GB"/>
              </w:rPr>
            </w:r>
            <w:r>
              <w:rPr>
                <w:lang w:val="en-GB"/>
              </w:rPr>
              <w:fldChar w:fldCharType="separate"/>
            </w:r>
            <w:r>
              <w:rPr>
                <w:lang w:val="en-GB"/>
              </w:rPr>
              <w:t>9</w:t>
            </w:r>
            <w:r>
              <w:rPr>
                <w:lang w:val="en-GB"/>
              </w:rPr>
              <w:fldChar w:fldCharType="end"/>
            </w:r>
          </w:hyperlink>
        </w:p>
        <w:p w14:paraId="746ADA27" w14:textId="77777777" w:rsidR="0009169D" w:rsidRDefault="00000000">
          <w:pPr>
            <w:pStyle w:val="TOC3"/>
            <w:tabs>
              <w:tab w:val="right" w:leader="dot" w:pos="9350"/>
            </w:tabs>
            <w:spacing w:line="360" w:lineRule="auto"/>
            <w:rPr>
              <w:lang w:val="en-GB"/>
            </w:rPr>
          </w:pPr>
          <w:hyperlink w:anchor="_Toc215597089" w:history="1">
            <w:r>
              <w:rPr>
                <w:rStyle w:val="Hyperlink"/>
                <w:lang w:val="en-GB"/>
              </w:rPr>
              <w:t>2.5 Health Impact and Consequences</w:t>
            </w:r>
            <w:r>
              <w:rPr>
                <w:lang w:val="en-GB"/>
              </w:rPr>
              <w:tab/>
            </w:r>
            <w:r>
              <w:rPr>
                <w:lang w:val="en-GB"/>
              </w:rPr>
              <w:fldChar w:fldCharType="begin"/>
            </w:r>
            <w:r>
              <w:rPr>
                <w:lang w:val="en-GB"/>
              </w:rPr>
              <w:instrText xml:space="preserve"> PAGEREF _Toc215597089 \h </w:instrText>
            </w:r>
            <w:r>
              <w:rPr>
                <w:lang w:val="en-GB"/>
              </w:rPr>
            </w:r>
            <w:r>
              <w:rPr>
                <w:lang w:val="en-GB"/>
              </w:rPr>
              <w:fldChar w:fldCharType="separate"/>
            </w:r>
            <w:r>
              <w:rPr>
                <w:lang w:val="en-GB"/>
              </w:rPr>
              <w:t>9</w:t>
            </w:r>
            <w:r>
              <w:rPr>
                <w:lang w:val="en-GB"/>
              </w:rPr>
              <w:fldChar w:fldCharType="end"/>
            </w:r>
          </w:hyperlink>
        </w:p>
        <w:p w14:paraId="423FF624" w14:textId="77777777" w:rsidR="0009169D" w:rsidRDefault="00000000">
          <w:pPr>
            <w:pStyle w:val="TOC3"/>
            <w:tabs>
              <w:tab w:val="right" w:leader="dot" w:pos="9350"/>
            </w:tabs>
            <w:spacing w:line="360" w:lineRule="auto"/>
            <w:rPr>
              <w:lang w:val="en-GB"/>
            </w:rPr>
          </w:pPr>
          <w:hyperlink w:anchor="_Toc215597090" w:history="1">
            <w:r>
              <w:rPr>
                <w:rStyle w:val="Hyperlink"/>
                <w:lang w:val="en-GB"/>
              </w:rPr>
              <w:t>2.6 Intervention Programme Design &amp; Evaluation</w:t>
            </w:r>
            <w:r>
              <w:rPr>
                <w:lang w:val="en-GB"/>
              </w:rPr>
              <w:tab/>
            </w:r>
            <w:r>
              <w:rPr>
                <w:lang w:val="en-GB"/>
              </w:rPr>
              <w:fldChar w:fldCharType="begin"/>
            </w:r>
            <w:r>
              <w:rPr>
                <w:lang w:val="en-GB"/>
              </w:rPr>
              <w:instrText xml:space="preserve"> PAGEREF _Toc215597090 \h </w:instrText>
            </w:r>
            <w:r>
              <w:rPr>
                <w:lang w:val="en-GB"/>
              </w:rPr>
            </w:r>
            <w:r>
              <w:rPr>
                <w:lang w:val="en-GB"/>
              </w:rPr>
              <w:fldChar w:fldCharType="separate"/>
            </w:r>
            <w:r>
              <w:rPr>
                <w:lang w:val="en-GB"/>
              </w:rPr>
              <w:t>10</w:t>
            </w:r>
            <w:r>
              <w:rPr>
                <w:lang w:val="en-GB"/>
              </w:rPr>
              <w:fldChar w:fldCharType="end"/>
            </w:r>
          </w:hyperlink>
        </w:p>
        <w:p w14:paraId="2AD2932E" w14:textId="77777777" w:rsidR="0009169D" w:rsidRDefault="00000000">
          <w:pPr>
            <w:pStyle w:val="TOC3"/>
            <w:tabs>
              <w:tab w:val="right" w:leader="dot" w:pos="9350"/>
            </w:tabs>
            <w:spacing w:line="360" w:lineRule="auto"/>
            <w:rPr>
              <w:lang w:val="en-GB"/>
            </w:rPr>
          </w:pPr>
          <w:hyperlink w:anchor="_Toc215597091" w:history="1">
            <w:r>
              <w:rPr>
                <w:rStyle w:val="Hyperlink"/>
                <w:lang w:val="en-GB"/>
              </w:rPr>
              <w:t>2.7 Strengths and Weaknesses of the Epidemiological Approach</w:t>
            </w:r>
            <w:r>
              <w:rPr>
                <w:lang w:val="en-GB"/>
              </w:rPr>
              <w:tab/>
            </w:r>
            <w:r>
              <w:rPr>
                <w:lang w:val="en-GB"/>
              </w:rPr>
              <w:fldChar w:fldCharType="begin"/>
            </w:r>
            <w:r>
              <w:rPr>
                <w:lang w:val="en-GB"/>
              </w:rPr>
              <w:instrText xml:space="preserve"> PAGEREF _Toc215597091 \h </w:instrText>
            </w:r>
            <w:r>
              <w:rPr>
                <w:lang w:val="en-GB"/>
              </w:rPr>
            </w:r>
            <w:r>
              <w:rPr>
                <w:lang w:val="en-GB"/>
              </w:rPr>
              <w:fldChar w:fldCharType="separate"/>
            </w:r>
            <w:r>
              <w:rPr>
                <w:lang w:val="en-GB"/>
              </w:rPr>
              <w:t>10</w:t>
            </w:r>
            <w:r>
              <w:rPr>
                <w:lang w:val="en-GB"/>
              </w:rPr>
              <w:fldChar w:fldCharType="end"/>
            </w:r>
          </w:hyperlink>
        </w:p>
        <w:p w14:paraId="6B6505DA" w14:textId="77777777" w:rsidR="0009169D" w:rsidRDefault="00000000">
          <w:pPr>
            <w:pStyle w:val="TOC2"/>
            <w:tabs>
              <w:tab w:val="right" w:leader="dot" w:pos="9350"/>
            </w:tabs>
            <w:spacing w:line="360" w:lineRule="auto"/>
            <w:rPr>
              <w:rFonts w:asciiTheme="minorHAnsi" w:eastAsiaTheme="minorEastAsia" w:hAnsiTheme="minorHAnsi" w:cstheme="minorBidi"/>
              <w:lang w:val="en-GB" w:eastAsia="en-IN"/>
            </w:rPr>
          </w:pPr>
          <w:hyperlink w:anchor="_Toc215597092" w:history="1">
            <w:r>
              <w:rPr>
                <w:rStyle w:val="Hyperlink"/>
                <w:lang w:val="en-GB"/>
              </w:rPr>
              <w:t>3. Conclusion</w:t>
            </w:r>
            <w:r>
              <w:rPr>
                <w:lang w:val="en-GB"/>
              </w:rPr>
              <w:tab/>
            </w:r>
            <w:r>
              <w:rPr>
                <w:lang w:val="en-GB"/>
              </w:rPr>
              <w:fldChar w:fldCharType="begin"/>
            </w:r>
            <w:r>
              <w:rPr>
                <w:lang w:val="en-GB"/>
              </w:rPr>
              <w:instrText xml:space="preserve"> PAGEREF _Toc215597092 \h </w:instrText>
            </w:r>
            <w:r>
              <w:rPr>
                <w:lang w:val="en-GB"/>
              </w:rPr>
            </w:r>
            <w:r>
              <w:rPr>
                <w:lang w:val="en-GB"/>
              </w:rPr>
              <w:fldChar w:fldCharType="separate"/>
            </w:r>
            <w:r>
              <w:rPr>
                <w:lang w:val="en-GB"/>
              </w:rPr>
              <w:t>11</w:t>
            </w:r>
            <w:r>
              <w:rPr>
                <w:lang w:val="en-GB"/>
              </w:rPr>
              <w:fldChar w:fldCharType="end"/>
            </w:r>
          </w:hyperlink>
        </w:p>
        <w:p w14:paraId="1D9E7A9A" w14:textId="77777777" w:rsidR="0009169D" w:rsidRDefault="00000000">
          <w:pPr>
            <w:pStyle w:val="TOC1"/>
            <w:tabs>
              <w:tab w:val="right" w:leader="dot" w:pos="9350"/>
            </w:tabs>
            <w:spacing w:line="360" w:lineRule="auto"/>
            <w:rPr>
              <w:rFonts w:asciiTheme="minorHAnsi" w:eastAsiaTheme="minorEastAsia" w:hAnsiTheme="minorHAnsi" w:cstheme="minorBidi"/>
              <w:lang w:val="en-GB" w:eastAsia="en-IN"/>
            </w:rPr>
          </w:pPr>
          <w:hyperlink w:anchor="_Toc215597093" w:history="1">
            <w:r>
              <w:rPr>
                <w:rStyle w:val="Hyperlink"/>
                <w:lang w:val="en-GB"/>
              </w:rPr>
              <w:t>References</w:t>
            </w:r>
            <w:r>
              <w:rPr>
                <w:lang w:val="en-GB"/>
              </w:rPr>
              <w:tab/>
            </w:r>
            <w:r>
              <w:rPr>
                <w:lang w:val="en-GB"/>
              </w:rPr>
              <w:fldChar w:fldCharType="begin"/>
            </w:r>
            <w:r>
              <w:rPr>
                <w:lang w:val="en-GB"/>
              </w:rPr>
              <w:instrText xml:space="preserve"> PAGEREF _Toc215597093 \h </w:instrText>
            </w:r>
            <w:r>
              <w:rPr>
                <w:lang w:val="en-GB"/>
              </w:rPr>
            </w:r>
            <w:r>
              <w:rPr>
                <w:lang w:val="en-GB"/>
              </w:rPr>
              <w:fldChar w:fldCharType="separate"/>
            </w:r>
            <w:r>
              <w:rPr>
                <w:lang w:val="en-GB"/>
              </w:rPr>
              <w:t>12</w:t>
            </w:r>
            <w:r>
              <w:rPr>
                <w:lang w:val="en-GB"/>
              </w:rPr>
              <w:fldChar w:fldCharType="end"/>
            </w:r>
          </w:hyperlink>
        </w:p>
        <w:p w14:paraId="63D229E7" w14:textId="77777777" w:rsidR="0009169D" w:rsidRDefault="00000000">
          <w:pPr>
            <w:rPr>
              <w:lang w:val="en-GB"/>
            </w:rPr>
          </w:pPr>
          <w:r>
            <w:rPr>
              <w:b/>
              <w:bCs/>
              <w:lang w:val="en-GB"/>
            </w:rPr>
            <w:fldChar w:fldCharType="end"/>
          </w:r>
        </w:p>
      </w:sdtContent>
    </w:sdt>
    <w:p w14:paraId="109E7975" w14:textId="77777777" w:rsidR="0009169D" w:rsidRDefault="00000000">
      <w:pPr>
        <w:rPr>
          <w:b/>
          <w:color w:val="000000" w:themeColor="text1"/>
          <w:sz w:val="28"/>
          <w:szCs w:val="40"/>
          <w:lang w:val="en-GB"/>
        </w:rPr>
      </w:pPr>
      <w:bookmarkStart w:id="0" w:name="_Toc215597070"/>
      <w:r>
        <w:rPr>
          <w:lang w:val="en-GB"/>
        </w:rPr>
        <w:br w:type="page"/>
      </w:r>
    </w:p>
    <w:p w14:paraId="2AA63E9E" w14:textId="77777777" w:rsidR="0009169D" w:rsidRDefault="00000000">
      <w:pPr>
        <w:pStyle w:val="Heading1"/>
        <w:rPr>
          <w:lang w:val="en-GB"/>
        </w:rPr>
      </w:pPr>
      <w:r>
        <w:rPr>
          <w:lang w:val="en-GB"/>
        </w:rPr>
        <w:lastRenderedPageBreak/>
        <w:t>Task 1: Social Epidemiological Analysis</w:t>
      </w:r>
      <w:bookmarkEnd w:id="0"/>
    </w:p>
    <w:p w14:paraId="46BD0751" w14:textId="77777777" w:rsidR="0009169D" w:rsidRDefault="00000000">
      <w:pPr>
        <w:spacing w:after="200" w:line="360" w:lineRule="auto"/>
        <w:jc w:val="center"/>
        <w:rPr>
          <w:b/>
          <w:bCs/>
          <w:sz w:val="24"/>
          <w:lang w:val="en-GB"/>
        </w:rPr>
      </w:pPr>
      <w:r>
        <w:rPr>
          <w:b/>
          <w:bCs/>
          <w:sz w:val="24"/>
          <w:lang w:val="en-GB"/>
        </w:rPr>
        <w:t>The Impact of Gender Inequalities on Health Outcomes</w:t>
      </w:r>
    </w:p>
    <w:p w14:paraId="5CCE990C" w14:textId="77777777" w:rsidR="0009169D" w:rsidRDefault="00000000">
      <w:pPr>
        <w:pStyle w:val="Heading2"/>
        <w:rPr>
          <w:lang w:val="en-GB"/>
        </w:rPr>
      </w:pPr>
      <w:bookmarkStart w:id="1" w:name="_Toc215597071"/>
      <w:r>
        <w:rPr>
          <w:lang w:val="en-GB"/>
        </w:rPr>
        <w:t>1. Introduction</w:t>
      </w:r>
      <w:bookmarkEnd w:id="1"/>
    </w:p>
    <w:p w14:paraId="7CD24D67" w14:textId="77777777" w:rsidR="0009169D" w:rsidRDefault="00000000">
      <w:pPr>
        <w:spacing w:after="200" w:line="360" w:lineRule="auto"/>
        <w:jc w:val="both"/>
        <w:rPr>
          <w:lang w:val="en-GB"/>
        </w:rPr>
      </w:pPr>
      <w:r>
        <w:rPr>
          <w:lang w:val="en-GB"/>
        </w:rPr>
        <w:t>Gender refers to the social and cultural roles of the society that society anticipates men and women to play. Gender health inequalities suggest unfair differences in health conditions and accessibility to care based on gender. The target group mentioned in this report is women in the UK. Women are more vulnerable to poor health due to social norms, discrimination, and economic inequality. The WHO believed that gender inequality curtails health services and increases the disease burden. Women have lower incomes, tend to be victims of violence, and are unable to access specialist care easily. This report will explore three illness rates, three social problems, national responses and one charity organisation in the health of women.</w:t>
      </w:r>
    </w:p>
    <w:p w14:paraId="2AF065C6" w14:textId="77777777" w:rsidR="0009169D" w:rsidRDefault="00000000">
      <w:pPr>
        <w:pStyle w:val="Heading2"/>
        <w:rPr>
          <w:lang w:val="en-GB"/>
        </w:rPr>
      </w:pPr>
      <w:bookmarkStart w:id="2" w:name="_Toc215597072"/>
      <w:r>
        <w:rPr>
          <w:lang w:val="en-GB"/>
        </w:rPr>
        <w:t>2. Contextual Background and Underlying Factors</w:t>
      </w:r>
      <w:bookmarkEnd w:id="2"/>
    </w:p>
    <w:p w14:paraId="637D326C" w14:textId="77777777" w:rsidR="0009169D" w:rsidRDefault="00000000">
      <w:pPr>
        <w:pStyle w:val="Heading3"/>
        <w:rPr>
          <w:lang w:val="en-GB"/>
        </w:rPr>
      </w:pPr>
      <w:bookmarkStart w:id="3" w:name="_Toc215597073"/>
      <w:r>
        <w:rPr>
          <w:lang w:val="en-GB"/>
        </w:rPr>
        <w:t>2.1 Higher Rates of Depression and Anxiety among Women</w:t>
      </w:r>
      <w:bookmarkEnd w:id="3"/>
    </w:p>
    <w:p w14:paraId="55043CBD" w14:textId="77777777" w:rsidR="0009169D" w:rsidRDefault="00000000">
      <w:pPr>
        <w:spacing w:after="200" w:line="360" w:lineRule="auto"/>
        <w:jc w:val="both"/>
        <w:rPr>
          <w:lang w:val="en-GB"/>
        </w:rPr>
      </w:pPr>
      <w:r>
        <w:rPr>
          <w:lang w:val="en-GB"/>
        </w:rPr>
        <w:t>Females in the UK are more likely than males to develop depression and anxiety. NHS Digital (2025) indicates that women are almost twice as many individuals diagnosed to have anxiety disorders. Conversely, 27% of women also had the symptoms of depression or anxiety, with 16% of men, respectively (MIND, 2024). Caregiving duties without pay, gender-based violence, and heightened unemployment and financial challenges expose many women to mental stress. It can lead to self-injury, suicidal and permanent disability without treatment. Mental health programmes within communities, early intervention, and counselling facilities play an important role in preventing serious consequences.</w:t>
      </w:r>
    </w:p>
    <w:p w14:paraId="1E9B00E5" w14:textId="77777777" w:rsidR="0009169D" w:rsidRDefault="00000000">
      <w:pPr>
        <w:pStyle w:val="Heading3"/>
        <w:rPr>
          <w:lang w:val="en-GB"/>
        </w:rPr>
      </w:pPr>
      <w:bookmarkStart w:id="4" w:name="_Toc215597074"/>
      <w:r>
        <w:rPr>
          <w:lang w:val="en-GB"/>
        </w:rPr>
        <w:t>2.2 Higher Rates of Suicide among Men</w:t>
      </w:r>
      <w:bookmarkEnd w:id="4"/>
    </w:p>
    <w:p w14:paraId="3B7E09B0" w14:textId="77777777" w:rsidR="0009169D" w:rsidRDefault="00000000">
      <w:pPr>
        <w:spacing w:after="200" w:line="360" w:lineRule="auto"/>
        <w:jc w:val="both"/>
        <w:rPr>
          <w:lang w:val="en-GB"/>
        </w:rPr>
      </w:pPr>
      <w:r>
        <w:rPr>
          <w:lang w:val="en-GB"/>
        </w:rPr>
        <w:t xml:space="preserve">The suicide rate of men in the UK is significantly higher than compared of women. According to ONS (2024), men constitute three out of four deaths associated with suicide. It is the most dangerous among men between 45 and 49 years old. Most men cannot discuss emotions as they are stigmatised and need to perceive as tough people. Conversely, as noted by </w:t>
      </w:r>
      <w:proofErr w:type="spellStart"/>
      <w:r>
        <w:rPr>
          <w:lang w:val="en-GB"/>
        </w:rPr>
        <w:t>Mokhwelepa</w:t>
      </w:r>
      <w:proofErr w:type="spellEnd"/>
      <w:r>
        <w:rPr>
          <w:lang w:val="en-GB"/>
        </w:rPr>
        <w:t xml:space="preserve"> and </w:t>
      </w:r>
      <w:proofErr w:type="spellStart"/>
      <w:r>
        <w:rPr>
          <w:lang w:val="en-GB"/>
        </w:rPr>
        <w:t>Sumbane</w:t>
      </w:r>
      <w:proofErr w:type="spellEnd"/>
      <w:r>
        <w:rPr>
          <w:lang w:val="en-GB"/>
        </w:rPr>
        <w:t xml:space="preserve"> (2025), traditional masculinity standards do not encourage the act of seeking help. Consequently, men tend to put off or evade mental health services. Poor involvement exacerbates issues and raises the danger. There is a need to take public health </w:t>
      </w:r>
      <w:r>
        <w:rPr>
          <w:lang w:val="en-GB"/>
        </w:rPr>
        <w:lastRenderedPageBreak/>
        <w:t>action, including early intervention, awareness, and increased access to support services among men.</w:t>
      </w:r>
    </w:p>
    <w:p w14:paraId="6D467D20" w14:textId="77777777" w:rsidR="0009169D" w:rsidRDefault="00000000">
      <w:pPr>
        <w:pStyle w:val="Heading3"/>
        <w:rPr>
          <w:lang w:val="en-GB"/>
        </w:rPr>
      </w:pPr>
      <w:bookmarkStart w:id="5" w:name="_Toc215597075"/>
      <w:r>
        <w:rPr>
          <w:lang w:val="en-GB"/>
        </w:rPr>
        <w:t>2.3 Cardiovascular Disease Inequality in Women</w:t>
      </w:r>
      <w:bookmarkEnd w:id="5"/>
    </w:p>
    <w:p w14:paraId="443B2CCF" w14:textId="77777777" w:rsidR="0009169D" w:rsidRDefault="00000000">
      <w:pPr>
        <w:spacing w:after="200" w:line="360" w:lineRule="auto"/>
        <w:jc w:val="both"/>
        <w:rPr>
          <w:lang w:val="en-GB"/>
        </w:rPr>
      </w:pPr>
      <w:r>
        <w:rPr>
          <w:lang w:val="en-GB"/>
        </w:rPr>
        <w:t xml:space="preserve">Cardiovascular disease is the most serious reason that leads to the death of women and is often undiagnosed. According to the British Heart Foundation (2016), women are more likely to have a false initial diagnosis after a heart attack, 50 times more than males. </w:t>
      </w:r>
      <w:proofErr w:type="gramStart"/>
      <w:r>
        <w:rPr>
          <w:lang w:val="en-GB"/>
        </w:rPr>
        <w:t>The majority of</w:t>
      </w:r>
      <w:proofErr w:type="gramEnd"/>
      <w:r>
        <w:rPr>
          <w:lang w:val="en-GB"/>
        </w:rPr>
        <w:t xml:space="preserve"> the symptoms manifested by men, such as nausea and backaches, not neglected by most women. There is also research bias, as most of the research on the heart has been </w:t>
      </w:r>
      <w:proofErr w:type="gramStart"/>
      <w:r>
        <w:rPr>
          <w:lang w:val="en-GB"/>
        </w:rPr>
        <w:t>male-dominated</w:t>
      </w:r>
      <w:proofErr w:type="gramEnd"/>
      <w:r>
        <w:rPr>
          <w:lang w:val="en-GB"/>
        </w:rPr>
        <w:t>. This results in erroneous care that administered to women. Better training and gender-specific screening can help to reduce the number of deaths.</w:t>
      </w:r>
    </w:p>
    <w:p w14:paraId="2D32E887" w14:textId="77777777" w:rsidR="0009169D" w:rsidRDefault="00000000">
      <w:pPr>
        <w:pStyle w:val="Heading3"/>
        <w:rPr>
          <w:lang w:val="en-GB"/>
        </w:rPr>
      </w:pPr>
      <w:bookmarkStart w:id="6" w:name="_Toc215597076"/>
      <w:r>
        <w:rPr>
          <w:lang w:val="en-GB"/>
        </w:rPr>
        <w:t>2.4 Gender-Based Violence and Health Outcomes</w:t>
      </w:r>
      <w:bookmarkEnd w:id="6"/>
    </w:p>
    <w:p w14:paraId="150F4907" w14:textId="77777777" w:rsidR="0009169D" w:rsidRDefault="00000000">
      <w:pPr>
        <w:spacing w:after="200" w:line="360" w:lineRule="auto"/>
        <w:jc w:val="both"/>
        <w:rPr>
          <w:lang w:val="en-GB"/>
        </w:rPr>
      </w:pPr>
      <w:r>
        <w:rPr>
          <w:lang w:val="en-GB"/>
        </w:rPr>
        <w:t xml:space="preserve">Women are highly affected by gender-based violence in the UK. Based on the ONS (2023), about 1.4 million females subjected to domestic abuse in one year. Most women experience severe physical and mental health issues, including persistent pain, posttraumatic stress disorder, anxiety, and reproductive issues. Miscarriage and long-term disability may also cause by abuse. Most women fail to report cases of abuse due to the fear of retaliation, a lack of financial autonomy, and shame. Others also find it difficult to get safe services. Women can </w:t>
      </w:r>
      <w:proofErr w:type="gramStart"/>
      <w:r>
        <w:rPr>
          <w:lang w:val="en-GB"/>
        </w:rPr>
        <w:t>helped</w:t>
      </w:r>
      <w:proofErr w:type="gramEnd"/>
      <w:r>
        <w:rPr>
          <w:lang w:val="en-GB"/>
        </w:rPr>
        <w:t xml:space="preserve"> to recover and be safe with better protection, safe housing and confidential support.</w:t>
      </w:r>
    </w:p>
    <w:p w14:paraId="06715E0C" w14:textId="77777777" w:rsidR="0009169D" w:rsidRDefault="00000000">
      <w:pPr>
        <w:pStyle w:val="Heading3"/>
        <w:rPr>
          <w:lang w:val="en-GB"/>
        </w:rPr>
      </w:pPr>
      <w:bookmarkStart w:id="7" w:name="_Toc215597077"/>
      <w:r>
        <w:rPr>
          <w:lang w:val="en-GB"/>
        </w:rPr>
        <w:t>2.5 Gender Pay Gap and Economic Inequality</w:t>
      </w:r>
      <w:bookmarkEnd w:id="7"/>
    </w:p>
    <w:p w14:paraId="4631B74B" w14:textId="77777777" w:rsidR="0009169D" w:rsidRDefault="00000000">
      <w:pPr>
        <w:spacing w:after="200" w:line="360" w:lineRule="auto"/>
        <w:jc w:val="both"/>
        <w:rPr>
          <w:lang w:val="en-GB"/>
        </w:rPr>
      </w:pPr>
      <w:r>
        <w:rPr>
          <w:lang w:val="en-GB"/>
        </w:rPr>
        <w:t xml:space="preserve">In the UK, economic inequality is a major determinant of health among women. One of the issues continues to be the gender pay gap. According to ONS (2023), the average female earns 14% an hour less than men </w:t>
      </w:r>
      <w:proofErr w:type="gramStart"/>
      <w:r>
        <w:rPr>
          <w:lang w:val="en-GB"/>
        </w:rPr>
        <w:t>do</w:t>
      </w:r>
      <w:proofErr w:type="gramEnd"/>
      <w:r>
        <w:rPr>
          <w:lang w:val="en-GB"/>
        </w:rPr>
        <w:t xml:space="preserve">. Low-income level exposes them to poverty and inability to access good healthcare, healthy food and safe accommodation. This is especially the case with single mothers, and most mothers are unable to afford basic needs. Financial strains can result in irreversible illnesses, including depression and chronic illness. Other women forced to delay medical services because of financial pressure. Women could </w:t>
      </w:r>
      <w:proofErr w:type="gramStart"/>
      <w:r>
        <w:rPr>
          <w:lang w:val="en-GB"/>
        </w:rPr>
        <w:t>assisted</w:t>
      </w:r>
      <w:proofErr w:type="gramEnd"/>
      <w:r>
        <w:rPr>
          <w:lang w:val="en-GB"/>
        </w:rPr>
        <w:t xml:space="preserve"> by bridging the pay gap and improving on finances </w:t>
      </w:r>
      <w:proofErr w:type="gramStart"/>
      <w:r>
        <w:rPr>
          <w:lang w:val="en-GB"/>
        </w:rPr>
        <w:t>in order to</w:t>
      </w:r>
      <w:proofErr w:type="gramEnd"/>
      <w:r>
        <w:rPr>
          <w:lang w:val="en-GB"/>
        </w:rPr>
        <w:t xml:space="preserve"> have improved health outcomes.</w:t>
      </w:r>
    </w:p>
    <w:p w14:paraId="7C519647" w14:textId="77777777" w:rsidR="0009169D" w:rsidRDefault="00000000">
      <w:pPr>
        <w:pStyle w:val="Heading3"/>
        <w:rPr>
          <w:lang w:val="en-GB"/>
        </w:rPr>
      </w:pPr>
      <w:bookmarkStart w:id="8" w:name="_Toc215597078"/>
      <w:r>
        <w:rPr>
          <w:lang w:val="en-GB"/>
        </w:rPr>
        <w:t>2.6 Access to Healthcare and Reproductive Health Inequality</w:t>
      </w:r>
      <w:bookmarkEnd w:id="8"/>
    </w:p>
    <w:p w14:paraId="60FF206C" w14:textId="77777777" w:rsidR="0009169D" w:rsidRDefault="00000000">
      <w:pPr>
        <w:spacing w:after="200" w:line="360" w:lineRule="auto"/>
        <w:jc w:val="both"/>
        <w:rPr>
          <w:lang w:val="en-GB"/>
        </w:rPr>
      </w:pPr>
      <w:r>
        <w:rPr>
          <w:lang w:val="en-GB"/>
        </w:rPr>
        <w:lastRenderedPageBreak/>
        <w:t xml:space="preserve">In the UK, many women who experience obstacles to reproductive and screening services. According to the NHS data, cervical and breast cancer screening occurs in deprived regions and in ethnic minorities among women (Bolarinwa and Holt, 2023). According to Public Health England, Black women in the UK die four times during pregnancy or childbirth compared to white women (Elsmore </w:t>
      </w:r>
      <w:r>
        <w:rPr>
          <w:i/>
          <w:lang w:val="en-GB"/>
        </w:rPr>
        <w:t>et al.</w:t>
      </w:r>
      <w:r>
        <w:rPr>
          <w:lang w:val="en-GB"/>
        </w:rPr>
        <w:t xml:space="preserve">, 2024). Other women </w:t>
      </w:r>
      <w:proofErr w:type="gramStart"/>
      <w:r>
        <w:rPr>
          <w:lang w:val="en-GB"/>
        </w:rPr>
        <w:t>have to</w:t>
      </w:r>
      <w:proofErr w:type="gramEnd"/>
      <w:r>
        <w:rPr>
          <w:lang w:val="en-GB"/>
        </w:rPr>
        <w:t xml:space="preserve"> endure long queues in fertility treatment due to the high cost and strict eligibility criteria. Many women also prevented from seeking help due to social stigma and cultural beliefs. These obstacles augment late diagnosis and low health outcomes. There should be better outreach and culturally sensitive care.</w:t>
      </w:r>
    </w:p>
    <w:p w14:paraId="368BA82D" w14:textId="77777777" w:rsidR="0009169D" w:rsidRDefault="00000000">
      <w:pPr>
        <w:pStyle w:val="Heading2"/>
        <w:rPr>
          <w:lang w:val="en-GB"/>
        </w:rPr>
      </w:pPr>
      <w:bookmarkStart w:id="9" w:name="_Toc215597079"/>
      <w:r>
        <w:rPr>
          <w:lang w:val="en-GB"/>
        </w:rPr>
        <w:t>3. National Response to Reduce Gender Health Inequalities</w:t>
      </w:r>
      <w:bookmarkEnd w:id="9"/>
    </w:p>
    <w:p w14:paraId="26BF9121" w14:textId="77777777" w:rsidR="0009169D" w:rsidRDefault="00000000">
      <w:pPr>
        <w:spacing w:after="200" w:line="360" w:lineRule="auto"/>
        <w:jc w:val="both"/>
        <w:rPr>
          <w:lang w:val="en-GB"/>
        </w:rPr>
      </w:pPr>
      <w:r>
        <w:rPr>
          <w:lang w:val="en-GB"/>
        </w:rPr>
        <w:t>The UK government has made policies to minimise gender health inequalities. The “Women's Health Strategy of England (2022-2030)” is one of the key interventions. The strategy created following the claims by thousands of women that they feel neglected in healthcare. It seeks to enhance the availability of reproductive health services, maternal health, and expert care (Department of Health and Social Care, 2022). The program involves the “Maternity Disparities Taskforce” that aims to curtail the high mortality rates among Black and Asian women. The government has also spent more on women's health hubs to enhance accessibility to contraception, menopause care and screening care. The initial impressions present increased access to appointments and shorter waiting times.</w:t>
      </w:r>
    </w:p>
    <w:p w14:paraId="1E2F5D1B" w14:textId="77777777" w:rsidR="0009169D" w:rsidRDefault="00000000">
      <w:pPr>
        <w:spacing w:after="200" w:line="360" w:lineRule="auto"/>
        <w:jc w:val="both"/>
        <w:rPr>
          <w:lang w:val="en-GB"/>
        </w:rPr>
      </w:pPr>
      <w:r>
        <w:rPr>
          <w:lang w:val="en-GB"/>
        </w:rPr>
        <w:t>The other noteworthy step is the “2023 Suicide Prevention Strategy”, which will aim at men since they are the ones who die due to suicide most of the time. The strategy assists in early intervention, local community programmes, and crisis helplines (GOV.UK, 2023). It also pours more money into mental health assistance in schools and workplaces. These policies demonstrate improvement, yet there is still a need to monitor them in the end.</w:t>
      </w:r>
    </w:p>
    <w:p w14:paraId="1A139E8A" w14:textId="77777777" w:rsidR="0009169D" w:rsidRDefault="00000000">
      <w:pPr>
        <w:pStyle w:val="Heading2"/>
        <w:rPr>
          <w:lang w:val="en-GB"/>
        </w:rPr>
      </w:pPr>
      <w:bookmarkStart w:id="10" w:name="_Toc215597080"/>
      <w:r>
        <w:rPr>
          <w:lang w:val="en-GB"/>
        </w:rPr>
        <w:t>4. Organisations Supporting Gender Health Inequalities</w:t>
      </w:r>
      <w:bookmarkEnd w:id="10"/>
    </w:p>
    <w:p w14:paraId="7DB5E3C7" w14:textId="77777777" w:rsidR="0009169D" w:rsidRDefault="00000000">
      <w:pPr>
        <w:spacing w:after="200" w:line="360" w:lineRule="auto"/>
        <w:jc w:val="both"/>
        <w:rPr>
          <w:lang w:val="en-GB"/>
        </w:rPr>
      </w:pPr>
      <w:r>
        <w:rPr>
          <w:lang w:val="en-GB"/>
        </w:rPr>
        <w:t xml:space="preserve">Women's Health Concern is a UK-based charity that helps women who experience health inequalities. It has a mission of offering explicit information, guidance, and support on reproductive and overall health. The charity provides a confidential helpline, online information and menopause health, menstrual education and cancer screening events (Mariette, 2025). It also collaborates with the doctors and researchers to create awareness of gender disparities in healthcare. Thousands of women seek advice and help via the helpline every year. The charity </w:t>
      </w:r>
      <w:r>
        <w:rPr>
          <w:lang w:val="en-GB"/>
        </w:rPr>
        <w:lastRenderedPageBreak/>
        <w:t>wants to enhance the early diagnosis and lessen the stigma of the problems of women. Through its work, women can get trustworthy information and feel comfortable seeking care.</w:t>
      </w:r>
    </w:p>
    <w:p w14:paraId="45F04CB8" w14:textId="77777777" w:rsidR="0009169D" w:rsidRDefault="00000000">
      <w:pPr>
        <w:pStyle w:val="Heading2"/>
        <w:rPr>
          <w:lang w:val="en-GB"/>
        </w:rPr>
      </w:pPr>
      <w:bookmarkStart w:id="11" w:name="_Toc215597081"/>
      <w:r>
        <w:rPr>
          <w:lang w:val="en-GB"/>
        </w:rPr>
        <w:t>5. Conclusion</w:t>
      </w:r>
      <w:bookmarkEnd w:id="11"/>
    </w:p>
    <w:p w14:paraId="2EBBF966" w14:textId="77777777" w:rsidR="0009169D" w:rsidRDefault="00000000">
      <w:pPr>
        <w:spacing w:after="200" w:line="360" w:lineRule="auto"/>
        <w:jc w:val="both"/>
        <w:rPr>
          <w:lang w:val="en-GB"/>
        </w:rPr>
      </w:pPr>
      <w:r>
        <w:rPr>
          <w:lang w:val="en-GB"/>
        </w:rPr>
        <w:t>In the UK, gender-based health disparities are a significant problem, which needs to address to enhance equity in health outcomes. Women experience increased incidences of mental illness, untreated heart diseases, economic disadvantage and violence barriers. The future work must incorporate better education, lessen stigma, and provide equal research studies between men and women.</w:t>
      </w:r>
    </w:p>
    <w:p w14:paraId="7C5B8DA0" w14:textId="77777777" w:rsidR="0009169D" w:rsidRDefault="00000000">
      <w:pPr>
        <w:rPr>
          <w:b/>
          <w:color w:val="000000" w:themeColor="text1"/>
          <w:sz w:val="28"/>
          <w:szCs w:val="40"/>
          <w:lang w:val="en-GB"/>
        </w:rPr>
      </w:pPr>
      <w:r>
        <w:rPr>
          <w:lang w:val="en-GB"/>
        </w:rPr>
        <w:br w:type="page"/>
      </w:r>
    </w:p>
    <w:p w14:paraId="5F552F94" w14:textId="77777777" w:rsidR="0009169D" w:rsidRDefault="00000000">
      <w:pPr>
        <w:pStyle w:val="Heading1"/>
        <w:rPr>
          <w:lang w:val="en-GB"/>
        </w:rPr>
      </w:pPr>
      <w:bookmarkStart w:id="12" w:name="_Toc215597082"/>
      <w:r>
        <w:rPr>
          <w:lang w:val="en-GB"/>
        </w:rPr>
        <w:lastRenderedPageBreak/>
        <w:t>Task 2: Epidemiological Analysis</w:t>
      </w:r>
      <w:bookmarkEnd w:id="12"/>
    </w:p>
    <w:p w14:paraId="620F35BA" w14:textId="77777777" w:rsidR="0009169D" w:rsidRDefault="00000000">
      <w:pPr>
        <w:spacing w:after="200" w:line="360" w:lineRule="auto"/>
        <w:jc w:val="center"/>
        <w:rPr>
          <w:b/>
          <w:bCs/>
          <w:sz w:val="24"/>
          <w:lang w:val="en-GB"/>
        </w:rPr>
      </w:pPr>
      <w:r>
        <w:rPr>
          <w:b/>
          <w:bCs/>
          <w:sz w:val="24"/>
          <w:lang w:val="en-GB"/>
        </w:rPr>
        <w:t>Epidemiological Analysis of Type 2 Diabetes Mellitus in Tower Hamlets, London</w:t>
      </w:r>
    </w:p>
    <w:p w14:paraId="7C8D0F29" w14:textId="77777777" w:rsidR="0009169D" w:rsidRDefault="00000000">
      <w:pPr>
        <w:pStyle w:val="Heading2"/>
        <w:rPr>
          <w:lang w:val="en-GB"/>
        </w:rPr>
      </w:pPr>
      <w:bookmarkStart w:id="13" w:name="_Toc215597083"/>
      <w:r>
        <w:rPr>
          <w:lang w:val="en-GB"/>
        </w:rPr>
        <w:t>1. Introduction</w:t>
      </w:r>
      <w:bookmarkEnd w:id="13"/>
    </w:p>
    <w:p w14:paraId="4A8B9BFE" w14:textId="77777777" w:rsidR="0009169D" w:rsidRDefault="00000000">
      <w:pPr>
        <w:spacing w:after="200" w:line="360" w:lineRule="auto"/>
        <w:jc w:val="both"/>
        <w:rPr>
          <w:lang w:val="en-GB"/>
        </w:rPr>
      </w:pPr>
      <w:r>
        <w:rPr>
          <w:lang w:val="en-GB"/>
        </w:rPr>
        <w:t>Diabetes Mellitus Type 2 is a chronic illness in whereby the body does not properly use insulin. However, it results in a rise in blood sugar in the body. The WHO suggests that Type 2 diabetes can lead to heart disease, kidney failure, disability, premature death, and blindness. It is highly related to social and cultural determinants, including poverty, poor diets, lack of physical exercise, and poor access to healthcare. It also depends on the ethnic background, where South Asians are the most vulnerable. The disorder is an international issue of great concern. International Diabetes Federation (2025) explains that more than 537 million adults in the world are diabetic. In the UK, the diagnosis made in about 4.3 million people, and it is undiagnosed in 850,000 people (Diabetes UK, 2023). It tops in Tower Hamlets, London, where the disease as compared to the national figure of about 7% infects 10-12% of the population. This puts an immense health and economic burden on society.</w:t>
      </w:r>
    </w:p>
    <w:p w14:paraId="68EC421A" w14:textId="77777777" w:rsidR="0009169D" w:rsidRDefault="00000000">
      <w:pPr>
        <w:pStyle w:val="Heading2"/>
        <w:rPr>
          <w:lang w:val="en-GB"/>
        </w:rPr>
      </w:pPr>
      <w:bookmarkStart w:id="14" w:name="_Toc215597084"/>
      <w:r>
        <w:rPr>
          <w:lang w:val="en-GB"/>
        </w:rPr>
        <w:t>2. Main Body</w:t>
      </w:r>
      <w:bookmarkEnd w:id="14"/>
    </w:p>
    <w:p w14:paraId="4AB0CFB0" w14:textId="77777777" w:rsidR="0009169D" w:rsidRDefault="00000000">
      <w:pPr>
        <w:pStyle w:val="Heading3"/>
        <w:rPr>
          <w:lang w:val="en-GB"/>
        </w:rPr>
      </w:pPr>
      <w:bookmarkStart w:id="15" w:name="_Toc215597085"/>
      <w:r>
        <w:rPr>
          <w:lang w:val="en-GB"/>
        </w:rPr>
        <w:t>2.1 Risk Factors Analysis</w:t>
      </w:r>
      <w:bookmarkEnd w:id="15"/>
      <w:r>
        <w:rPr>
          <w:lang w:val="en-GB"/>
        </w:rPr>
        <w:t xml:space="preserve"> </w:t>
      </w:r>
    </w:p>
    <w:p w14:paraId="7C1C7085" w14:textId="77777777" w:rsidR="0009169D" w:rsidRDefault="00000000">
      <w:pPr>
        <w:spacing w:after="200" w:line="360" w:lineRule="auto"/>
        <w:jc w:val="both"/>
        <w:rPr>
          <w:lang w:val="en-GB"/>
        </w:rPr>
      </w:pPr>
      <w:r>
        <w:rPr>
          <w:lang w:val="en-GB"/>
        </w:rPr>
        <w:t xml:space="preserve">Several major risk factors predispose to Type 2 Diabetes. The primary factors are obesity, physical inactivity and poor diet. Most individuals eat high-sugar and high-fat food, a factor that increases body weight and insulin resistance. Ethnicity is also significant. According to Public Health England, the South Asian and Black populations are more genetically and metabolically predisposed (Vasishta </w:t>
      </w:r>
      <w:r>
        <w:rPr>
          <w:i/>
          <w:lang w:val="en-GB"/>
        </w:rPr>
        <w:t>et al.</w:t>
      </w:r>
      <w:r>
        <w:rPr>
          <w:lang w:val="en-GB"/>
        </w:rPr>
        <w:t xml:space="preserve">, 2022). Adults in Bangladesh have a higher chance of developing Type 2 diabetes by more than 6 times of White British adults. Socioeconomic deprivation is the other important factor. As observed by Mayhew </w:t>
      </w:r>
      <w:r>
        <w:rPr>
          <w:i/>
          <w:lang w:val="en-GB"/>
        </w:rPr>
        <w:t>et al.</w:t>
      </w:r>
      <w:r>
        <w:rPr>
          <w:lang w:val="en-GB"/>
        </w:rPr>
        <w:t xml:space="preserve"> (2019), Tower Hamlets is one of the most deprived areas in England since it is full of unemployment, low income and poor housing. These conditions limit healthy diets and physical exercise. High-carbohydrate foods and low levels of health literacy are also high risks. The presence of family history and age over 45 is another factor that predisposes one to illness. Obesity among children and adults in Tower Hamlets is increasing, and this further contributes to the disease burden in future.</w:t>
      </w:r>
    </w:p>
    <w:p w14:paraId="6A15997F" w14:textId="77777777" w:rsidR="0009169D" w:rsidRDefault="00000000">
      <w:pPr>
        <w:pStyle w:val="Heading3"/>
        <w:rPr>
          <w:lang w:val="en-GB"/>
        </w:rPr>
      </w:pPr>
      <w:bookmarkStart w:id="16" w:name="_Toc215597086"/>
      <w:r>
        <w:rPr>
          <w:lang w:val="en-GB"/>
        </w:rPr>
        <w:t>2.2 Epidemiological Studies and Identification of At-Risk Groups</w:t>
      </w:r>
      <w:bookmarkEnd w:id="16"/>
    </w:p>
    <w:p w14:paraId="59AE8EA7" w14:textId="77777777" w:rsidR="0009169D" w:rsidRDefault="00000000">
      <w:pPr>
        <w:spacing w:after="200" w:line="360" w:lineRule="auto"/>
        <w:jc w:val="both"/>
        <w:rPr>
          <w:lang w:val="en-GB"/>
        </w:rPr>
      </w:pPr>
      <w:r>
        <w:rPr>
          <w:lang w:val="en-GB"/>
        </w:rPr>
        <w:lastRenderedPageBreak/>
        <w:t xml:space="preserve">There have been </w:t>
      </w:r>
      <w:proofErr w:type="gramStart"/>
      <w:r>
        <w:rPr>
          <w:lang w:val="en-GB"/>
        </w:rPr>
        <w:t>a number of</w:t>
      </w:r>
      <w:proofErr w:type="gramEnd"/>
      <w:r>
        <w:rPr>
          <w:lang w:val="en-GB"/>
        </w:rPr>
        <w:t xml:space="preserve"> epidemiological studies conducted in Tower Hamlets to determine the individuals at greatest risk of Type 2 Diabetes. There is a high level of evidence of high disease based on clinical audits, GP register surveillance and local community health surveys (Calderón-Larrañaga </w:t>
      </w:r>
      <w:r>
        <w:rPr>
          <w:i/>
          <w:lang w:val="en-GB"/>
        </w:rPr>
        <w:t>et al.</w:t>
      </w:r>
      <w:r>
        <w:rPr>
          <w:lang w:val="en-GB"/>
        </w:rPr>
        <w:t xml:space="preserve">, 2023). The Health and Wellbeing Profile of Tower Hamlets reveals that diabetes and diabetes-related deaths are the most prevalent in the borough in London. The evidence provided by GP registers shows distinct variations of ethnic groups and socioeconomic status (Burt </w:t>
      </w:r>
      <w:r>
        <w:rPr>
          <w:i/>
          <w:lang w:val="en-GB"/>
        </w:rPr>
        <w:t>et al.</w:t>
      </w:r>
      <w:r>
        <w:rPr>
          <w:lang w:val="en-GB"/>
        </w:rPr>
        <w:t xml:space="preserve">, 2017). The South Asian residents, especially the adults of Bangladeshi origin, exhibit the highest prevalence rates. The poor neighbourhoods also have more people who are likely to contract the disease compared to the richer regions. However, as observed by Stevens </w:t>
      </w:r>
      <w:r>
        <w:rPr>
          <w:i/>
          <w:lang w:val="en-GB"/>
        </w:rPr>
        <w:t>et al.</w:t>
      </w:r>
      <w:r>
        <w:rPr>
          <w:lang w:val="en-GB"/>
        </w:rPr>
        <w:t xml:space="preserve"> (2018), the “Health Needs Assessment (HNA)” framework helps identify the nature of people, the distribution of diseases, and gaps in service delivery. It shows that the most vulnerable groups are adults of 45 and the aged, low-income households and overweight/obese people. These findings support the premise of local-specific interventions.</w:t>
      </w:r>
    </w:p>
    <w:p w14:paraId="18A37DA1" w14:textId="77777777" w:rsidR="0009169D" w:rsidRDefault="00000000">
      <w:pPr>
        <w:pStyle w:val="Heading3"/>
        <w:rPr>
          <w:lang w:val="en-GB"/>
        </w:rPr>
      </w:pPr>
      <w:bookmarkStart w:id="17" w:name="_Toc215597087"/>
      <w:r>
        <w:rPr>
          <w:lang w:val="en-GB"/>
        </w:rPr>
        <w:t>2.3 Monitoring and Surveillance Systems</w:t>
      </w:r>
      <w:bookmarkEnd w:id="17"/>
    </w:p>
    <w:p w14:paraId="53173E9D" w14:textId="77777777" w:rsidR="0009169D" w:rsidRDefault="00000000">
      <w:pPr>
        <w:spacing w:after="200" w:line="360" w:lineRule="auto"/>
        <w:jc w:val="both"/>
        <w:rPr>
          <w:lang w:val="en-GB"/>
        </w:rPr>
      </w:pPr>
      <w:r>
        <w:rPr>
          <w:lang w:val="en-GB"/>
        </w:rPr>
        <w:t xml:space="preserve">Surveillance and monitoring systems would be requisite in comprehending the extent of Type 2 Diabetes in Tower Hamlets. Incidence and prevalence tracked using several tools. A school-based obesity surveillance data in the form of the “National Child Measurement Programme (NCMP)” then used to forecast the future trends in diabetes (Cadek </w:t>
      </w:r>
      <w:r>
        <w:rPr>
          <w:i/>
          <w:lang w:val="en-GB"/>
        </w:rPr>
        <w:t>et al.</w:t>
      </w:r>
      <w:r>
        <w:rPr>
          <w:lang w:val="en-GB"/>
        </w:rPr>
        <w:t>, 2020). NHS GP diabetes registers document patients with the condition, and the doctors can measure the blood glucose control. On the other hand, as noted by Gilbert, Allgar and Doran (2019), the “Quality and Outcomes Framework (QOF)” is a set of data that annually shows the trends in diabetes management, in terms of admissions to hospitals and outcomes of treatment. Hospital episode statistics capture the emergency visits, complications and deaths related to diabetes. Real-time data on the incidence of diabetes in various neighbourhoods is also available in local authority public health dashboards.</w:t>
      </w:r>
    </w:p>
    <w:p w14:paraId="3DC9DE8F" w14:textId="77777777" w:rsidR="0009169D" w:rsidRDefault="00000000">
      <w:pPr>
        <w:spacing w:after="200" w:line="360" w:lineRule="auto"/>
        <w:jc w:val="both"/>
        <w:rPr>
          <w:lang w:val="en-GB"/>
        </w:rPr>
      </w:pPr>
      <w:r>
        <w:rPr>
          <w:lang w:val="en-GB"/>
        </w:rPr>
        <w:t xml:space="preserve">These systems assist in determining the risk population, assist in early screening, as well as resource planning. Live monitoring enables faster reaction to emerging trends and makes it easy to focus on areas where assistance is most required (Abdulmalek </w:t>
      </w:r>
      <w:r>
        <w:rPr>
          <w:i/>
          <w:lang w:val="en-GB"/>
        </w:rPr>
        <w:t>et al.</w:t>
      </w:r>
      <w:r>
        <w:rPr>
          <w:lang w:val="en-GB"/>
        </w:rPr>
        <w:t>, 2022). Nonetheless, there are certain drawbacks. Numerous instances might go unreported, and the actual prevalence is increased. Minority groups may decrease the accuracy due to data gaps and poor reporting. Hence, further enhancement in data collection is significant to proper planning.</w:t>
      </w:r>
    </w:p>
    <w:p w14:paraId="046BDF68" w14:textId="77777777" w:rsidR="0009169D" w:rsidRDefault="00000000">
      <w:pPr>
        <w:pStyle w:val="Heading3"/>
        <w:rPr>
          <w:lang w:val="en-GB"/>
        </w:rPr>
      </w:pPr>
      <w:bookmarkStart w:id="18" w:name="_Toc215597088"/>
      <w:r>
        <w:rPr>
          <w:lang w:val="en-GB"/>
        </w:rPr>
        <w:lastRenderedPageBreak/>
        <w:t>2.4 Public Health Measures and the 3 P’s</w:t>
      </w:r>
      <w:bookmarkEnd w:id="18"/>
    </w:p>
    <w:tbl>
      <w:tblPr>
        <w:tblW w:w="9240" w:type="dxa"/>
        <w:tblLayout w:type="fixed"/>
        <w:tblLook w:val="04A0" w:firstRow="1" w:lastRow="0" w:firstColumn="1" w:lastColumn="0" w:noHBand="0" w:noVBand="1"/>
      </w:tblPr>
      <w:tblGrid>
        <w:gridCol w:w="2010"/>
        <w:gridCol w:w="7230"/>
      </w:tblGrid>
      <w:tr w:rsidR="0009169D" w14:paraId="3A50899D" w14:textId="77777777">
        <w:trPr>
          <w:trHeight w:val="800"/>
        </w:trPr>
        <w:tc>
          <w:tcPr>
            <w:tcW w:w="20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396648E3" w14:textId="77777777" w:rsidR="0009169D" w:rsidRDefault="00000000">
            <w:pPr>
              <w:spacing w:line="360" w:lineRule="auto"/>
              <w:jc w:val="center"/>
              <w:rPr>
                <w:lang w:val="en-GB"/>
              </w:rPr>
            </w:pPr>
            <w:r>
              <w:rPr>
                <w:b/>
                <w:bCs/>
                <w:lang w:val="en-GB"/>
              </w:rPr>
              <w:t>Public Health Action</w:t>
            </w:r>
          </w:p>
        </w:tc>
        <w:tc>
          <w:tcPr>
            <w:tcW w:w="723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2406F778" w14:textId="77777777" w:rsidR="0009169D" w:rsidRDefault="00000000">
            <w:pPr>
              <w:spacing w:line="360" w:lineRule="auto"/>
              <w:jc w:val="center"/>
              <w:rPr>
                <w:lang w:val="en-GB"/>
              </w:rPr>
            </w:pPr>
            <w:r>
              <w:rPr>
                <w:b/>
                <w:bCs/>
                <w:lang w:val="en-GB"/>
              </w:rPr>
              <w:t>Description</w:t>
            </w:r>
          </w:p>
        </w:tc>
      </w:tr>
      <w:tr w:rsidR="0009169D" w14:paraId="7DF34350" w14:textId="77777777">
        <w:trPr>
          <w:trHeight w:val="800"/>
        </w:trPr>
        <w:tc>
          <w:tcPr>
            <w:tcW w:w="20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3EBC2FC4" w14:textId="77777777" w:rsidR="0009169D" w:rsidRDefault="00000000">
            <w:pPr>
              <w:spacing w:line="360" w:lineRule="auto"/>
              <w:jc w:val="both"/>
              <w:rPr>
                <w:lang w:val="en-GB"/>
              </w:rPr>
            </w:pPr>
            <w:r>
              <w:rPr>
                <w:b/>
                <w:bCs/>
                <w:lang w:val="en-GB"/>
              </w:rPr>
              <w:t>Prevention</w:t>
            </w:r>
          </w:p>
        </w:tc>
        <w:tc>
          <w:tcPr>
            <w:tcW w:w="7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8142FA" w14:textId="77777777" w:rsidR="0009169D" w:rsidRDefault="00000000">
            <w:pPr>
              <w:spacing w:line="360" w:lineRule="auto"/>
              <w:jc w:val="both"/>
              <w:rPr>
                <w:lang w:val="en-GB"/>
              </w:rPr>
            </w:pPr>
            <w:r>
              <w:rPr>
                <w:lang w:val="en-GB"/>
              </w:rPr>
              <w:t>Weight-management programmes, community exercise schemes, food and nutrition education, and NHS Health Checks for early risk identification.</w:t>
            </w:r>
          </w:p>
        </w:tc>
      </w:tr>
      <w:tr w:rsidR="0009169D" w14:paraId="1056051C" w14:textId="77777777">
        <w:trPr>
          <w:trHeight w:val="800"/>
        </w:trPr>
        <w:tc>
          <w:tcPr>
            <w:tcW w:w="20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786A53BD" w14:textId="77777777" w:rsidR="0009169D" w:rsidRDefault="00000000">
            <w:pPr>
              <w:spacing w:line="360" w:lineRule="auto"/>
              <w:jc w:val="both"/>
              <w:rPr>
                <w:lang w:val="en-GB"/>
              </w:rPr>
            </w:pPr>
            <w:r>
              <w:rPr>
                <w:b/>
                <w:bCs/>
                <w:lang w:val="en-GB"/>
              </w:rPr>
              <w:t>Protection</w:t>
            </w:r>
          </w:p>
        </w:tc>
        <w:tc>
          <w:tcPr>
            <w:tcW w:w="7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1B6748" w14:textId="77777777" w:rsidR="0009169D" w:rsidRDefault="00000000">
            <w:pPr>
              <w:spacing w:line="360" w:lineRule="auto"/>
              <w:jc w:val="both"/>
              <w:rPr>
                <w:lang w:val="en-GB"/>
              </w:rPr>
            </w:pPr>
            <w:r>
              <w:rPr>
                <w:lang w:val="en-GB"/>
              </w:rPr>
              <w:t>Screening and early diagnosis, GP diabetes register follow-up, vaccinations for flu and pneumonia to prevent complications.</w:t>
            </w:r>
          </w:p>
        </w:tc>
      </w:tr>
      <w:tr w:rsidR="0009169D" w14:paraId="006663D2" w14:textId="77777777">
        <w:trPr>
          <w:trHeight w:val="800"/>
        </w:trPr>
        <w:tc>
          <w:tcPr>
            <w:tcW w:w="20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4F0EAF61" w14:textId="77777777" w:rsidR="0009169D" w:rsidRDefault="00000000">
            <w:pPr>
              <w:spacing w:line="360" w:lineRule="auto"/>
              <w:jc w:val="both"/>
              <w:rPr>
                <w:lang w:val="en-GB"/>
              </w:rPr>
            </w:pPr>
            <w:r>
              <w:rPr>
                <w:b/>
                <w:bCs/>
                <w:lang w:val="en-GB"/>
              </w:rPr>
              <w:t>Health Promotion</w:t>
            </w:r>
          </w:p>
        </w:tc>
        <w:tc>
          <w:tcPr>
            <w:tcW w:w="7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6AFC86" w14:textId="77777777" w:rsidR="0009169D" w:rsidRDefault="00000000">
            <w:pPr>
              <w:spacing w:line="360" w:lineRule="auto"/>
              <w:jc w:val="both"/>
              <w:rPr>
                <w:lang w:val="en-GB"/>
              </w:rPr>
            </w:pPr>
            <w:r>
              <w:rPr>
                <w:lang w:val="en-GB"/>
              </w:rPr>
              <w:t>Bangladeshi community health workers, culturally adapted diet education sessions, and multilingual awareness campaigns.</w:t>
            </w:r>
          </w:p>
        </w:tc>
      </w:tr>
    </w:tbl>
    <w:p w14:paraId="7310192C" w14:textId="77777777" w:rsidR="0009169D" w:rsidRDefault="00000000">
      <w:pPr>
        <w:spacing w:before="200" w:after="200" w:line="360" w:lineRule="auto"/>
        <w:jc w:val="both"/>
        <w:rPr>
          <w:lang w:val="en-GB"/>
        </w:rPr>
      </w:pPr>
      <w:r>
        <w:rPr>
          <w:lang w:val="en-GB"/>
        </w:rPr>
        <w:t xml:space="preserve">The three </w:t>
      </w:r>
      <w:proofErr w:type="gramStart"/>
      <w:r>
        <w:rPr>
          <w:lang w:val="en-GB"/>
        </w:rPr>
        <w:t>P’s</w:t>
      </w:r>
      <w:proofErr w:type="gramEnd"/>
      <w:r>
        <w:rPr>
          <w:lang w:val="en-GB"/>
        </w:rPr>
        <w:t xml:space="preserve"> applied in the public health interventions in Tower Hamlets </w:t>
      </w:r>
      <w:proofErr w:type="gramStart"/>
      <w:r>
        <w:rPr>
          <w:lang w:val="en-GB"/>
        </w:rPr>
        <w:t>in order to</w:t>
      </w:r>
      <w:proofErr w:type="gramEnd"/>
      <w:r>
        <w:rPr>
          <w:lang w:val="en-GB"/>
        </w:rPr>
        <w:t xml:space="preserve"> decrease the huge burden of Type 2 Diabetes. Prevention programmes aim at promoting healthy lifestyles and reducing obesity and inactivity. As suggested by Dillner (2019), protective measures will contribute to early detection of the disease and control of the symptoms to prevent adverse effects on a long-term basis. Similarly, </w:t>
      </w:r>
      <w:proofErr w:type="gramStart"/>
      <w:r>
        <w:rPr>
          <w:lang w:val="en-GB"/>
        </w:rPr>
        <w:t>it can be seen that high-risk</w:t>
      </w:r>
      <w:proofErr w:type="gramEnd"/>
      <w:r>
        <w:rPr>
          <w:lang w:val="en-GB"/>
        </w:rPr>
        <w:t xml:space="preserve"> groups are being targeted by health promotion and given culturally sensitive support to enhance knowledge and service access (Cipta </w:t>
      </w:r>
      <w:r>
        <w:rPr>
          <w:i/>
          <w:lang w:val="en-GB"/>
        </w:rPr>
        <w:t>et al.</w:t>
      </w:r>
      <w:r>
        <w:rPr>
          <w:lang w:val="en-GB"/>
        </w:rPr>
        <w:t>, 2024). It has demonstrated that new cases have decreased through community-based diabetes prevention programmes in Tower Hamlets through supporting lifestyle changes and enhancing screening participation. All these measures contribute to the reduction of complications and enhancement of the quality of life.</w:t>
      </w:r>
    </w:p>
    <w:p w14:paraId="4BA2A6EE" w14:textId="77777777" w:rsidR="0009169D" w:rsidRDefault="00000000">
      <w:pPr>
        <w:pStyle w:val="Heading3"/>
        <w:rPr>
          <w:lang w:val="en-GB"/>
        </w:rPr>
      </w:pPr>
      <w:bookmarkStart w:id="19" w:name="_Toc215597089"/>
      <w:r>
        <w:rPr>
          <w:lang w:val="en-GB"/>
        </w:rPr>
        <w:t>2.5 Health Impact and Consequences</w:t>
      </w:r>
      <w:bookmarkEnd w:id="19"/>
    </w:p>
    <w:p w14:paraId="39EAC2DE" w14:textId="77777777" w:rsidR="0009169D" w:rsidRDefault="00000000">
      <w:pPr>
        <w:spacing w:after="200" w:line="360" w:lineRule="auto"/>
        <w:jc w:val="both"/>
        <w:rPr>
          <w:lang w:val="en-GB"/>
        </w:rPr>
      </w:pPr>
      <w:r>
        <w:rPr>
          <w:lang w:val="en-GB"/>
        </w:rPr>
        <w:t xml:space="preserve">Diabetes type 2 is a very burdensome disease to both human beings and the healthcare system. According to the viewpoint of Caldwell </w:t>
      </w:r>
      <w:r>
        <w:rPr>
          <w:i/>
          <w:lang w:val="en-GB"/>
        </w:rPr>
        <w:t>et al.</w:t>
      </w:r>
      <w:r>
        <w:rPr>
          <w:lang w:val="en-GB"/>
        </w:rPr>
        <w:t xml:space="preserve"> (2019), short-term effects are fatigue, constant infections, and decreased productivity, which may have an impact on work and everyday life. The long-term effects are devastating in case the condition poorly managed. They are amputations, kidney failure, blindness, stroke, and premature deaths. Many people also encounter long hospital stays and disability. The economic effect is great. Diabetes estimated to cost the NHS approximately £10 billion annually, and approximately 80% of the funds are </w:t>
      </w:r>
      <w:r>
        <w:rPr>
          <w:lang w:val="en-GB"/>
        </w:rPr>
        <w:lastRenderedPageBreak/>
        <w:t xml:space="preserve">utilised in the treatment of complications (Hex </w:t>
      </w:r>
      <w:r>
        <w:rPr>
          <w:i/>
          <w:lang w:val="en-GB"/>
        </w:rPr>
        <w:t>et al.</w:t>
      </w:r>
      <w:r>
        <w:rPr>
          <w:lang w:val="en-GB"/>
        </w:rPr>
        <w:t xml:space="preserve">, 2024). On the other hand, </w:t>
      </w:r>
      <w:proofErr w:type="gramStart"/>
      <w:r>
        <w:rPr>
          <w:lang w:val="en-GB"/>
        </w:rPr>
        <w:t>it can be seen that families</w:t>
      </w:r>
      <w:proofErr w:type="gramEnd"/>
      <w:r>
        <w:rPr>
          <w:lang w:val="en-GB"/>
        </w:rPr>
        <w:t xml:space="preserve"> are strained economically too, as they lose their income. </w:t>
      </w:r>
    </w:p>
    <w:p w14:paraId="7E428048" w14:textId="77777777" w:rsidR="0009169D" w:rsidRDefault="00000000">
      <w:pPr>
        <w:pStyle w:val="Heading3"/>
        <w:rPr>
          <w:lang w:val="en-GB"/>
        </w:rPr>
      </w:pPr>
      <w:bookmarkStart w:id="20" w:name="_Toc215597090"/>
      <w:r>
        <w:rPr>
          <w:lang w:val="en-GB"/>
        </w:rPr>
        <w:t>2.6 Intervention Programme Design &amp; Evaluation</w:t>
      </w:r>
      <w:bookmarkEnd w:id="20"/>
    </w:p>
    <w:tbl>
      <w:tblPr>
        <w:tblW w:w="9250" w:type="dxa"/>
        <w:tblLayout w:type="fixed"/>
        <w:tblLook w:val="04A0" w:firstRow="1" w:lastRow="0" w:firstColumn="1" w:lastColumn="0" w:noHBand="0" w:noVBand="1"/>
      </w:tblPr>
      <w:tblGrid>
        <w:gridCol w:w="1610"/>
        <w:gridCol w:w="7640"/>
      </w:tblGrid>
      <w:tr w:rsidR="0009169D" w14:paraId="365C8C6B" w14:textId="77777777">
        <w:trPr>
          <w:trHeight w:val="515"/>
        </w:trPr>
        <w:tc>
          <w:tcPr>
            <w:tcW w:w="16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58404EDA" w14:textId="77777777" w:rsidR="0009169D" w:rsidRDefault="00000000">
            <w:pPr>
              <w:spacing w:line="360" w:lineRule="auto"/>
              <w:jc w:val="center"/>
              <w:rPr>
                <w:lang w:val="en-GB"/>
              </w:rPr>
            </w:pPr>
            <w:r>
              <w:rPr>
                <w:b/>
                <w:bCs/>
                <w:lang w:val="en-GB"/>
              </w:rPr>
              <w:t>Component</w:t>
            </w:r>
          </w:p>
        </w:tc>
        <w:tc>
          <w:tcPr>
            <w:tcW w:w="764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361DF569" w14:textId="77777777" w:rsidR="0009169D" w:rsidRDefault="00000000">
            <w:pPr>
              <w:spacing w:line="360" w:lineRule="auto"/>
              <w:jc w:val="center"/>
              <w:rPr>
                <w:lang w:val="en-GB"/>
              </w:rPr>
            </w:pPr>
            <w:r>
              <w:rPr>
                <w:b/>
                <w:bCs/>
                <w:lang w:val="en-GB"/>
              </w:rPr>
              <w:t>Detail</w:t>
            </w:r>
          </w:p>
        </w:tc>
      </w:tr>
      <w:tr w:rsidR="0009169D" w14:paraId="2C9CE1EF" w14:textId="77777777">
        <w:trPr>
          <w:trHeight w:val="800"/>
        </w:trPr>
        <w:tc>
          <w:tcPr>
            <w:tcW w:w="16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1783C575" w14:textId="77777777" w:rsidR="0009169D" w:rsidRDefault="00000000">
            <w:pPr>
              <w:spacing w:line="360" w:lineRule="auto"/>
              <w:jc w:val="both"/>
              <w:rPr>
                <w:lang w:val="en-GB"/>
              </w:rPr>
            </w:pPr>
            <w:r>
              <w:rPr>
                <w:b/>
                <w:bCs/>
                <w:lang w:val="en-GB"/>
              </w:rPr>
              <w:t>Target Group</w:t>
            </w:r>
          </w:p>
        </w:tc>
        <w:tc>
          <w:tcPr>
            <w:tcW w:w="764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tcPr>
          <w:p w14:paraId="353AD227" w14:textId="77777777" w:rsidR="0009169D" w:rsidRDefault="00000000">
            <w:pPr>
              <w:spacing w:line="360" w:lineRule="auto"/>
              <w:jc w:val="both"/>
              <w:rPr>
                <w:lang w:val="en-GB"/>
              </w:rPr>
            </w:pPr>
            <w:r>
              <w:rPr>
                <w:lang w:val="en-GB"/>
              </w:rPr>
              <w:t>Adults aged 30-70 are at high risk in Tower Hamlets, including South Asian communities and low-income households.</w:t>
            </w:r>
          </w:p>
        </w:tc>
      </w:tr>
      <w:tr w:rsidR="0009169D" w14:paraId="2C08B114" w14:textId="77777777">
        <w:trPr>
          <w:trHeight w:val="800"/>
        </w:trPr>
        <w:tc>
          <w:tcPr>
            <w:tcW w:w="16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19945768" w14:textId="77777777" w:rsidR="0009169D" w:rsidRDefault="00000000">
            <w:pPr>
              <w:spacing w:line="360" w:lineRule="auto"/>
              <w:jc w:val="both"/>
              <w:rPr>
                <w:lang w:val="en-GB"/>
              </w:rPr>
            </w:pPr>
            <w:r>
              <w:rPr>
                <w:b/>
                <w:bCs/>
                <w:lang w:val="en-GB"/>
              </w:rPr>
              <w:t>Approach</w:t>
            </w:r>
          </w:p>
        </w:tc>
        <w:tc>
          <w:tcPr>
            <w:tcW w:w="764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tcPr>
          <w:p w14:paraId="6AE9F27E" w14:textId="77777777" w:rsidR="0009169D" w:rsidRDefault="00000000">
            <w:pPr>
              <w:spacing w:line="360" w:lineRule="auto"/>
              <w:jc w:val="both"/>
              <w:rPr>
                <w:lang w:val="en-GB"/>
              </w:rPr>
            </w:pPr>
            <w:r>
              <w:rPr>
                <w:lang w:val="en-GB"/>
              </w:rPr>
              <w:t>Free screening through GP clinics and community events, lifestyle coaching, nutrition support sessions, and exercise programmes.</w:t>
            </w:r>
          </w:p>
        </w:tc>
      </w:tr>
      <w:tr w:rsidR="0009169D" w14:paraId="48BE0EB1" w14:textId="77777777">
        <w:trPr>
          <w:trHeight w:val="800"/>
        </w:trPr>
        <w:tc>
          <w:tcPr>
            <w:tcW w:w="16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647E15EB" w14:textId="77777777" w:rsidR="0009169D" w:rsidRDefault="00000000">
            <w:pPr>
              <w:spacing w:line="360" w:lineRule="auto"/>
              <w:jc w:val="both"/>
              <w:rPr>
                <w:lang w:val="en-GB"/>
              </w:rPr>
            </w:pPr>
            <w:r>
              <w:rPr>
                <w:b/>
                <w:bCs/>
                <w:lang w:val="en-GB"/>
              </w:rPr>
              <w:t>Stakeholders</w:t>
            </w:r>
          </w:p>
        </w:tc>
        <w:tc>
          <w:tcPr>
            <w:tcW w:w="764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tcPr>
          <w:p w14:paraId="541BC76A" w14:textId="77777777" w:rsidR="0009169D" w:rsidRDefault="00000000">
            <w:pPr>
              <w:spacing w:line="360" w:lineRule="auto"/>
              <w:jc w:val="both"/>
              <w:rPr>
                <w:lang w:val="en-GB"/>
              </w:rPr>
            </w:pPr>
            <w:r>
              <w:rPr>
                <w:lang w:val="en-GB"/>
              </w:rPr>
              <w:t>NHS, Tower Hamlets Council, local schools, GP practices, pharmacists, community leaders, and voluntary groups.</w:t>
            </w:r>
          </w:p>
        </w:tc>
      </w:tr>
      <w:tr w:rsidR="0009169D" w14:paraId="35329C36" w14:textId="77777777">
        <w:trPr>
          <w:trHeight w:val="800"/>
        </w:trPr>
        <w:tc>
          <w:tcPr>
            <w:tcW w:w="16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3E466655" w14:textId="77777777" w:rsidR="0009169D" w:rsidRDefault="00000000">
            <w:pPr>
              <w:spacing w:line="360" w:lineRule="auto"/>
              <w:jc w:val="both"/>
              <w:rPr>
                <w:lang w:val="en-GB"/>
              </w:rPr>
            </w:pPr>
            <w:r>
              <w:rPr>
                <w:b/>
                <w:bCs/>
                <w:lang w:val="en-GB"/>
              </w:rPr>
              <w:t>Goals</w:t>
            </w:r>
          </w:p>
        </w:tc>
        <w:tc>
          <w:tcPr>
            <w:tcW w:w="764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tcPr>
          <w:p w14:paraId="2DD0900A" w14:textId="77777777" w:rsidR="0009169D" w:rsidRDefault="00000000">
            <w:pPr>
              <w:spacing w:line="360" w:lineRule="auto"/>
              <w:jc w:val="both"/>
              <w:rPr>
                <w:lang w:val="en-GB"/>
              </w:rPr>
            </w:pPr>
            <w:r>
              <w:rPr>
                <w:lang w:val="en-GB"/>
              </w:rPr>
              <w:t>Reduce new cases, improve early diagnosis, increase awareness, reduce obesity rates, and improve blood sugar control.</w:t>
            </w:r>
          </w:p>
        </w:tc>
      </w:tr>
      <w:tr w:rsidR="0009169D" w14:paraId="07889F14" w14:textId="77777777">
        <w:trPr>
          <w:trHeight w:val="800"/>
        </w:trPr>
        <w:tc>
          <w:tcPr>
            <w:tcW w:w="161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719F8F84" w14:textId="77777777" w:rsidR="0009169D" w:rsidRDefault="00000000">
            <w:pPr>
              <w:spacing w:line="360" w:lineRule="auto"/>
              <w:jc w:val="both"/>
              <w:rPr>
                <w:lang w:val="en-GB"/>
              </w:rPr>
            </w:pPr>
            <w:r>
              <w:rPr>
                <w:b/>
                <w:bCs/>
                <w:lang w:val="en-GB"/>
              </w:rPr>
              <w:t>Evaluation</w:t>
            </w:r>
          </w:p>
        </w:tc>
        <w:tc>
          <w:tcPr>
            <w:tcW w:w="764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00" w:type="dxa"/>
              <w:left w:w="100" w:type="dxa"/>
              <w:bottom w:w="100" w:type="dxa"/>
              <w:right w:w="100" w:type="dxa"/>
            </w:tcMar>
          </w:tcPr>
          <w:p w14:paraId="1151BB3C" w14:textId="77777777" w:rsidR="0009169D" w:rsidRDefault="00000000">
            <w:pPr>
              <w:spacing w:line="360" w:lineRule="auto"/>
              <w:jc w:val="both"/>
              <w:rPr>
                <w:lang w:val="en-GB"/>
              </w:rPr>
            </w:pPr>
            <w:r>
              <w:rPr>
                <w:lang w:val="en-GB"/>
              </w:rPr>
              <w:t>Use pre- and post-programme data, QOF reports, BMI records, HbA1c test results, patient feedback, and attendance rates.</w:t>
            </w:r>
          </w:p>
        </w:tc>
      </w:tr>
    </w:tbl>
    <w:p w14:paraId="1F4B712C" w14:textId="77777777" w:rsidR="0009169D" w:rsidRDefault="00000000">
      <w:pPr>
        <w:spacing w:before="200" w:after="200" w:line="360" w:lineRule="auto"/>
        <w:jc w:val="both"/>
        <w:rPr>
          <w:lang w:val="en-GB"/>
        </w:rPr>
      </w:pPr>
      <w:r>
        <w:rPr>
          <w:lang w:val="en-GB"/>
        </w:rPr>
        <w:t xml:space="preserve">This intervention will help to identify diabetes at an early stage and facilitate lifestyle change. There </w:t>
      </w:r>
      <w:proofErr w:type="gramStart"/>
      <w:r>
        <w:rPr>
          <w:lang w:val="en-GB"/>
        </w:rPr>
        <w:t>is</w:t>
      </w:r>
      <w:proofErr w:type="gramEnd"/>
      <w:r>
        <w:rPr>
          <w:lang w:val="en-GB"/>
        </w:rPr>
        <w:t xml:space="preserve"> more involvement and trust in the community. The complications can </w:t>
      </w:r>
      <w:proofErr w:type="gramStart"/>
      <w:r>
        <w:rPr>
          <w:lang w:val="en-GB"/>
        </w:rPr>
        <w:t>reduced</w:t>
      </w:r>
      <w:proofErr w:type="gramEnd"/>
      <w:r>
        <w:rPr>
          <w:lang w:val="en-GB"/>
        </w:rPr>
        <w:t xml:space="preserve"> through regular screening and education. Petya </w:t>
      </w:r>
      <w:proofErr w:type="spellStart"/>
      <w:r>
        <w:rPr>
          <w:lang w:val="en-GB"/>
        </w:rPr>
        <w:t>Milushewa</w:t>
      </w:r>
      <w:proofErr w:type="spellEnd"/>
      <w:r>
        <w:rPr>
          <w:lang w:val="en-GB"/>
        </w:rPr>
        <w:t xml:space="preserve"> </w:t>
      </w:r>
      <w:r>
        <w:rPr>
          <w:i/>
          <w:lang w:val="en-GB"/>
        </w:rPr>
        <w:t>et al.</w:t>
      </w:r>
      <w:r>
        <w:rPr>
          <w:lang w:val="en-GB"/>
        </w:rPr>
        <w:t xml:space="preserve"> (2025) noted that changes in HbA1c and BMI would </w:t>
      </w:r>
      <w:proofErr w:type="gramStart"/>
      <w:r>
        <w:rPr>
          <w:lang w:val="en-GB"/>
        </w:rPr>
        <w:t>evaluated</w:t>
      </w:r>
      <w:proofErr w:type="gramEnd"/>
      <w:r>
        <w:rPr>
          <w:lang w:val="en-GB"/>
        </w:rPr>
        <w:t xml:space="preserve"> to determine whether the programme is sustainable and effective.</w:t>
      </w:r>
    </w:p>
    <w:p w14:paraId="2C417396" w14:textId="77777777" w:rsidR="0009169D" w:rsidRDefault="00000000">
      <w:pPr>
        <w:pStyle w:val="Heading3"/>
        <w:rPr>
          <w:lang w:val="en-GB"/>
        </w:rPr>
      </w:pPr>
      <w:bookmarkStart w:id="21" w:name="_Toc215597091"/>
      <w:r>
        <w:rPr>
          <w:lang w:val="en-GB"/>
        </w:rPr>
        <w:t>2.7 Strengths and Weaknesses of the Epidemiological Approach</w:t>
      </w:r>
      <w:bookmarkEnd w:id="21"/>
    </w:p>
    <w:p w14:paraId="65FC09B9" w14:textId="77777777" w:rsidR="0009169D" w:rsidRDefault="00000000">
      <w:pPr>
        <w:spacing w:after="200" w:line="360" w:lineRule="auto"/>
        <w:jc w:val="both"/>
        <w:rPr>
          <w:lang w:val="en-GB"/>
        </w:rPr>
      </w:pPr>
      <w:r>
        <w:rPr>
          <w:lang w:val="en-GB"/>
        </w:rPr>
        <w:t xml:space="preserve">There are </w:t>
      </w:r>
      <w:proofErr w:type="gramStart"/>
      <w:r>
        <w:rPr>
          <w:lang w:val="en-GB"/>
        </w:rPr>
        <w:t>a number of</w:t>
      </w:r>
      <w:proofErr w:type="gramEnd"/>
      <w:r>
        <w:rPr>
          <w:lang w:val="en-GB"/>
        </w:rPr>
        <w:t xml:space="preserve"> strengths of the epidemiological approach. It enables real-time monitoring and evidence-based planning. It assists in the identification of the high-risk groups and determines how the resources are used (Mesquita </w:t>
      </w:r>
      <w:r>
        <w:rPr>
          <w:i/>
          <w:lang w:val="en-GB"/>
        </w:rPr>
        <w:t>et al.</w:t>
      </w:r>
      <w:r>
        <w:rPr>
          <w:lang w:val="en-GB"/>
        </w:rPr>
        <w:t xml:space="preserve">, 2025). Nevertheless, it also has some flaws. There are under-reported cases, and some of them may not </w:t>
      </w:r>
      <w:proofErr w:type="gramStart"/>
      <w:r>
        <w:rPr>
          <w:lang w:val="en-GB"/>
        </w:rPr>
        <w:t>be a reflection of</w:t>
      </w:r>
      <w:proofErr w:type="gramEnd"/>
      <w:r>
        <w:rPr>
          <w:lang w:val="en-GB"/>
        </w:rPr>
        <w:t xml:space="preserve"> all communities. Similarly, as observed by Leahy and Ferri (2023), participation can </w:t>
      </w:r>
      <w:proofErr w:type="gramStart"/>
      <w:r>
        <w:rPr>
          <w:lang w:val="en-GB"/>
        </w:rPr>
        <w:t>restricted</w:t>
      </w:r>
      <w:proofErr w:type="gramEnd"/>
      <w:r>
        <w:rPr>
          <w:lang w:val="en-GB"/>
        </w:rPr>
        <w:t xml:space="preserve"> by cultural barriers and language problems. The process of data collection is expensive and time-</w:t>
      </w:r>
      <w:r>
        <w:rPr>
          <w:lang w:val="en-GB"/>
        </w:rPr>
        <w:lastRenderedPageBreak/>
        <w:t xml:space="preserve">consuming. Ethical issues involve stigma and privacy threats. Decision-making accuracy and fairness enhanced </w:t>
      </w:r>
      <w:proofErr w:type="gramStart"/>
      <w:r>
        <w:rPr>
          <w:lang w:val="en-GB"/>
        </w:rPr>
        <w:t>by the use of</w:t>
      </w:r>
      <w:proofErr w:type="gramEnd"/>
      <w:r>
        <w:rPr>
          <w:lang w:val="en-GB"/>
        </w:rPr>
        <w:t xml:space="preserve"> mixed-methods research and long-term surveillance.</w:t>
      </w:r>
    </w:p>
    <w:p w14:paraId="110DDBF2" w14:textId="77777777" w:rsidR="0009169D" w:rsidRDefault="00000000">
      <w:pPr>
        <w:pStyle w:val="Heading2"/>
        <w:rPr>
          <w:lang w:val="en-GB"/>
        </w:rPr>
      </w:pPr>
      <w:bookmarkStart w:id="22" w:name="_Toc215597092"/>
      <w:r>
        <w:rPr>
          <w:lang w:val="en-GB"/>
        </w:rPr>
        <w:t>3. Conclusion</w:t>
      </w:r>
      <w:bookmarkEnd w:id="22"/>
    </w:p>
    <w:p w14:paraId="5BBB8F4E" w14:textId="77777777" w:rsidR="0009169D" w:rsidRDefault="00000000">
      <w:pPr>
        <w:spacing w:after="200" w:line="360" w:lineRule="auto"/>
        <w:jc w:val="both"/>
        <w:rPr>
          <w:lang w:val="en-GB"/>
        </w:rPr>
      </w:pPr>
      <w:r>
        <w:rPr>
          <w:lang w:val="en-GB"/>
        </w:rPr>
        <w:t xml:space="preserve">Diabetes type 2 is a significant health issue in Tower Hamlets, and one of the highest rates in the UK. The South Asian communities are highly associated with the disease and increased susceptibility. Public health measures and surveillance systems have helped in early detection and prevention, although additional resources are required. Future development will </w:t>
      </w:r>
      <w:proofErr w:type="gramStart"/>
      <w:r>
        <w:rPr>
          <w:lang w:val="en-GB"/>
        </w:rPr>
        <w:t>based</w:t>
      </w:r>
      <w:proofErr w:type="gramEnd"/>
      <w:r>
        <w:rPr>
          <w:lang w:val="en-GB"/>
        </w:rPr>
        <w:t xml:space="preserve"> on the enhancement of community education and intervention programmes, as well as inequality reduction. Enhanced research and long-term follow-up will enhance the outcomes and minimise health burdens.</w:t>
      </w:r>
      <w:r>
        <w:rPr>
          <w:rFonts w:eastAsia="Times New Roman"/>
          <w:sz w:val="24"/>
          <w:szCs w:val="24"/>
          <w:lang w:val="en-GB"/>
        </w:rPr>
        <w:br w:type="page"/>
      </w:r>
    </w:p>
    <w:p w14:paraId="45758C9C" w14:textId="77777777" w:rsidR="0009169D" w:rsidRDefault="00000000">
      <w:pPr>
        <w:pStyle w:val="Heading1"/>
        <w:rPr>
          <w:lang w:val="en-GB"/>
        </w:rPr>
      </w:pPr>
      <w:bookmarkStart w:id="23" w:name="_Toc215597093"/>
      <w:r>
        <w:rPr>
          <w:lang w:val="en-GB"/>
        </w:rPr>
        <w:lastRenderedPageBreak/>
        <w:t>References</w:t>
      </w:r>
      <w:bookmarkEnd w:id="23"/>
      <w:r>
        <w:rPr>
          <w:lang w:val="en-GB"/>
        </w:rPr>
        <w:t xml:space="preserve"> </w:t>
      </w:r>
    </w:p>
    <w:p w14:paraId="49A01E61"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Abdulmalek, S., Nasir, A., Jabbar, W.A., </w:t>
      </w:r>
      <w:proofErr w:type="spellStart"/>
      <w:r>
        <w:rPr>
          <w:rFonts w:ascii="Arial" w:hAnsi="Arial" w:cs="Arial"/>
          <w:lang w:val="en-GB"/>
        </w:rPr>
        <w:t>Almuhaya</w:t>
      </w:r>
      <w:proofErr w:type="spellEnd"/>
      <w:r>
        <w:rPr>
          <w:rFonts w:ascii="Arial" w:hAnsi="Arial" w:cs="Arial"/>
          <w:lang w:val="en-GB"/>
        </w:rPr>
        <w:t xml:space="preserve">, M.A.M., Bairagi, A.K., Khan, M.A.-M. and Kee, S.-H. (2022). IoT-Based Healthcare-Monitoring System towards Improving Quality of Life: A Review. </w:t>
      </w:r>
      <w:r>
        <w:rPr>
          <w:rFonts w:ascii="Arial" w:hAnsi="Arial" w:cs="Arial"/>
          <w:i/>
          <w:iCs/>
          <w:lang w:val="en-GB"/>
        </w:rPr>
        <w:t>Healthcare</w:t>
      </w:r>
      <w:r>
        <w:rPr>
          <w:rFonts w:ascii="Arial" w:hAnsi="Arial" w:cs="Arial"/>
          <w:lang w:val="en-GB"/>
        </w:rPr>
        <w:t xml:space="preserve">, [online] 10(10), p.1993. </w:t>
      </w:r>
      <w:proofErr w:type="spellStart"/>
      <w:proofErr w:type="gramStart"/>
      <w:r>
        <w:rPr>
          <w:rFonts w:ascii="Arial" w:hAnsi="Arial" w:cs="Arial"/>
          <w:lang w:val="en-GB"/>
        </w:rPr>
        <w:t>doi:https</w:t>
      </w:r>
      <w:proofErr w:type="spellEnd"/>
      <w:r>
        <w:rPr>
          <w:rFonts w:ascii="Arial" w:hAnsi="Arial" w:cs="Arial"/>
          <w:lang w:val="en-GB"/>
        </w:rPr>
        <w:t>://doi.org/10.3390/healthcare10101993</w:t>
      </w:r>
      <w:proofErr w:type="gramEnd"/>
      <w:r>
        <w:rPr>
          <w:rFonts w:ascii="Arial" w:hAnsi="Arial" w:cs="Arial"/>
          <w:lang w:val="en-GB"/>
        </w:rPr>
        <w:t>.</w:t>
      </w:r>
    </w:p>
    <w:p w14:paraId="1EBA43AF"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Bolarinwa, O.A. and Holt, N. (2023). Barriers to breast and cervical cancer screening uptake among Black, Asian, and Minority Ethnic women in the United Kingdom: evidence from a mixed-methods systematic review. </w:t>
      </w:r>
      <w:r>
        <w:rPr>
          <w:rFonts w:ascii="Arial" w:hAnsi="Arial" w:cs="Arial"/>
          <w:i/>
          <w:iCs/>
          <w:lang w:val="en-GB"/>
        </w:rPr>
        <w:t>BMC health services research</w:t>
      </w:r>
      <w:r>
        <w:rPr>
          <w:rFonts w:ascii="Arial" w:hAnsi="Arial" w:cs="Arial"/>
          <w:lang w:val="en-GB"/>
        </w:rPr>
        <w:t xml:space="preserve">, [online] 23(1), p.390. </w:t>
      </w:r>
      <w:proofErr w:type="spellStart"/>
      <w:proofErr w:type="gramStart"/>
      <w:r>
        <w:rPr>
          <w:rFonts w:ascii="Arial" w:hAnsi="Arial" w:cs="Arial"/>
          <w:lang w:val="en-GB"/>
        </w:rPr>
        <w:t>doi:https</w:t>
      </w:r>
      <w:proofErr w:type="spellEnd"/>
      <w:r>
        <w:rPr>
          <w:rFonts w:ascii="Arial" w:hAnsi="Arial" w:cs="Arial"/>
          <w:lang w:val="en-GB"/>
        </w:rPr>
        <w:t>://doi.org/10.1186/s12913-023-09410-x</w:t>
      </w:r>
      <w:proofErr w:type="gramEnd"/>
      <w:r>
        <w:rPr>
          <w:rFonts w:ascii="Arial" w:hAnsi="Arial" w:cs="Arial"/>
          <w:lang w:val="en-GB"/>
        </w:rPr>
        <w:t>.</w:t>
      </w:r>
    </w:p>
    <w:p w14:paraId="6AC35F3F"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British Heart Foundation (2016). </w:t>
      </w:r>
      <w:r>
        <w:rPr>
          <w:rFonts w:ascii="Arial" w:hAnsi="Arial" w:cs="Arial"/>
          <w:i/>
          <w:iCs/>
          <w:lang w:val="en-GB"/>
        </w:rPr>
        <w:t>Women Are 50 per Cent More Likely than Men to Be Given Incorrect Diagnosis following a Heart Attack</w:t>
      </w:r>
      <w:r>
        <w:rPr>
          <w:rFonts w:ascii="Arial" w:hAnsi="Arial" w:cs="Arial"/>
          <w:lang w:val="en-GB"/>
        </w:rPr>
        <w:t>. [Online] Bhf.org.uk. Available at: https://www.bhf.org.uk/what-we-do/news-from-the-bhf/news-archive/2016/august/women-are-50-per-cent-more-likely-than-men-to-be-given-incorrect-diagnosis-following-a-heart-attack [Accessed 31 Nov. 2025].</w:t>
      </w:r>
    </w:p>
    <w:p w14:paraId="6429E973"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Burt, J., Campbell, J., Abel, G., </w:t>
      </w:r>
      <w:proofErr w:type="spellStart"/>
      <w:r>
        <w:rPr>
          <w:rFonts w:ascii="Arial" w:hAnsi="Arial" w:cs="Arial"/>
          <w:lang w:val="en-GB"/>
        </w:rPr>
        <w:t>Aboulghate</w:t>
      </w:r>
      <w:proofErr w:type="spellEnd"/>
      <w:r>
        <w:rPr>
          <w:rFonts w:ascii="Arial" w:hAnsi="Arial" w:cs="Arial"/>
          <w:lang w:val="en-GB"/>
        </w:rPr>
        <w:t xml:space="preserve">, A., Ahmed, F., Asprey, A., Barry, H., Beckwith, J., Benson, J., Boiko, O., Bower, P., Calitri, R., Carter, M., Davey, A., Elliott, M.N., Elmore, N., Farrington, C., Haque, H.W., Henley, W. and Lattimer, V. (2017). </w:t>
      </w:r>
      <w:r>
        <w:rPr>
          <w:rFonts w:ascii="Arial" w:hAnsi="Arial" w:cs="Arial"/>
          <w:i/>
          <w:iCs/>
          <w:lang w:val="en-GB"/>
        </w:rPr>
        <w:t>Analyses of GP Patient Survey data to explore variations in patient experience by ethnic group and practice</w:t>
      </w:r>
      <w:r>
        <w:rPr>
          <w:rFonts w:ascii="Arial" w:hAnsi="Arial" w:cs="Arial"/>
          <w:lang w:val="en-GB"/>
        </w:rPr>
        <w:t>. [Online] www.ncbi.nlm.nih.gov. Available at: https://www.ncbi.nlm.nih.gov/books/NBK436566/.</w:t>
      </w:r>
    </w:p>
    <w:p w14:paraId="36EDBA64" w14:textId="77777777" w:rsidR="0009169D" w:rsidRDefault="00000000">
      <w:pPr>
        <w:pStyle w:val="NormalWeb"/>
        <w:spacing w:before="0" w:beforeAutospacing="0" w:after="240" w:afterAutospacing="0" w:line="360" w:lineRule="auto"/>
        <w:jc w:val="both"/>
        <w:rPr>
          <w:rFonts w:ascii="Arial" w:hAnsi="Arial" w:cs="Arial"/>
          <w:lang w:val="en-GB"/>
        </w:rPr>
      </w:pPr>
      <w:proofErr w:type="spellStart"/>
      <w:r>
        <w:rPr>
          <w:rFonts w:ascii="Arial" w:hAnsi="Arial" w:cs="Arial"/>
          <w:lang w:val="en-GB"/>
        </w:rPr>
        <w:t>Čadek</w:t>
      </w:r>
      <w:proofErr w:type="spellEnd"/>
      <w:r>
        <w:rPr>
          <w:rFonts w:ascii="Arial" w:hAnsi="Arial" w:cs="Arial"/>
          <w:lang w:val="en-GB"/>
        </w:rPr>
        <w:t xml:space="preserve">, M., Flint, S.W. and Tench, R. (2020). Delivery of the National Child Measurement Programme in England. </w:t>
      </w:r>
      <w:r>
        <w:rPr>
          <w:rFonts w:ascii="Arial" w:hAnsi="Arial" w:cs="Arial"/>
          <w:i/>
          <w:iCs/>
          <w:lang w:val="en-GB"/>
        </w:rPr>
        <w:t>Public Health Nutrition</w:t>
      </w:r>
      <w:r>
        <w:rPr>
          <w:rFonts w:ascii="Arial" w:hAnsi="Arial" w:cs="Arial"/>
          <w:lang w:val="en-GB"/>
        </w:rPr>
        <w:t xml:space="preserve">, 24(6), pp.1–21. </w:t>
      </w:r>
      <w:proofErr w:type="spellStart"/>
      <w:proofErr w:type="gramStart"/>
      <w:r>
        <w:rPr>
          <w:rFonts w:ascii="Arial" w:hAnsi="Arial" w:cs="Arial"/>
          <w:lang w:val="en-GB"/>
        </w:rPr>
        <w:t>doi:https</w:t>
      </w:r>
      <w:proofErr w:type="spellEnd"/>
      <w:r>
        <w:rPr>
          <w:rFonts w:ascii="Arial" w:hAnsi="Arial" w:cs="Arial"/>
          <w:lang w:val="en-GB"/>
        </w:rPr>
        <w:t>://doi.org/10.1017/s1368980020004991</w:t>
      </w:r>
      <w:proofErr w:type="gramEnd"/>
      <w:r>
        <w:rPr>
          <w:rFonts w:ascii="Arial" w:hAnsi="Arial" w:cs="Arial"/>
          <w:lang w:val="en-GB"/>
        </w:rPr>
        <w:t>.</w:t>
      </w:r>
    </w:p>
    <w:p w14:paraId="59147175"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Calderón-Larrañaga, S., Greenhalgh, T., Clinch, M., Robson, J., Dostal, I., Eto, F. and Finer, S. (2023). Unravelling the potential of social prescribing in individual-level type 2 diabetes prevention: a mixed-methods realist evaluation. </w:t>
      </w:r>
      <w:r>
        <w:rPr>
          <w:rFonts w:ascii="Arial" w:hAnsi="Arial" w:cs="Arial"/>
          <w:i/>
          <w:iCs/>
          <w:lang w:val="en-GB"/>
        </w:rPr>
        <w:t>BMC Medicine</w:t>
      </w:r>
      <w:r>
        <w:rPr>
          <w:rFonts w:ascii="Arial" w:hAnsi="Arial" w:cs="Arial"/>
          <w:lang w:val="en-GB"/>
        </w:rPr>
        <w:t xml:space="preserve">, 21(1). </w:t>
      </w:r>
      <w:proofErr w:type="spellStart"/>
      <w:proofErr w:type="gramStart"/>
      <w:r>
        <w:rPr>
          <w:rFonts w:ascii="Arial" w:hAnsi="Arial" w:cs="Arial"/>
          <w:lang w:val="en-GB"/>
        </w:rPr>
        <w:t>doi:https</w:t>
      </w:r>
      <w:proofErr w:type="spellEnd"/>
      <w:r>
        <w:rPr>
          <w:rFonts w:ascii="Arial" w:hAnsi="Arial" w:cs="Arial"/>
          <w:lang w:val="en-GB"/>
        </w:rPr>
        <w:t>://doi.org/10.1186/s12916-023-02796-9</w:t>
      </w:r>
      <w:proofErr w:type="gramEnd"/>
      <w:r>
        <w:rPr>
          <w:rFonts w:ascii="Arial" w:hAnsi="Arial" w:cs="Arial"/>
          <w:lang w:val="en-GB"/>
        </w:rPr>
        <w:t>.</w:t>
      </w:r>
    </w:p>
    <w:p w14:paraId="00517B43"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lastRenderedPageBreak/>
        <w:t xml:space="preserve">Caldwell, J.A., Caldwell, J.L., Thompson, L.A. and Lieberman, H.R. (2019). Fatigue and Its Management in the Workplace. </w:t>
      </w:r>
      <w:r>
        <w:rPr>
          <w:rFonts w:ascii="Arial" w:hAnsi="Arial" w:cs="Arial"/>
          <w:i/>
          <w:iCs/>
          <w:lang w:val="en-GB"/>
        </w:rPr>
        <w:t xml:space="preserve">Neuroscience &amp; </w:t>
      </w:r>
      <w:proofErr w:type="spellStart"/>
      <w:r>
        <w:rPr>
          <w:rFonts w:ascii="Arial" w:hAnsi="Arial" w:cs="Arial"/>
          <w:i/>
          <w:iCs/>
          <w:lang w:val="en-GB"/>
        </w:rPr>
        <w:t>Biobehavioral</w:t>
      </w:r>
      <w:proofErr w:type="spellEnd"/>
      <w:r>
        <w:rPr>
          <w:rFonts w:ascii="Arial" w:hAnsi="Arial" w:cs="Arial"/>
          <w:i/>
          <w:iCs/>
          <w:lang w:val="en-GB"/>
        </w:rPr>
        <w:t xml:space="preserve"> Reviews</w:t>
      </w:r>
      <w:r>
        <w:rPr>
          <w:rFonts w:ascii="Arial" w:hAnsi="Arial" w:cs="Arial"/>
          <w:lang w:val="en-GB"/>
        </w:rPr>
        <w:t xml:space="preserve">, [online] 96(96), pp.272–289. </w:t>
      </w:r>
      <w:proofErr w:type="spellStart"/>
      <w:proofErr w:type="gramStart"/>
      <w:r>
        <w:rPr>
          <w:rFonts w:ascii="Arial" w:hAnsi="Arial" w:cs="Arial"/>
          <w:lang w:val="en-GB"/>
        </w:rPr>
        <w:t>doi:https</w:t>
      </w:r>
      <w:proofErr w:type="spellEnd"/>
      <w:r>
        <w:rPr>
          <w:rFonts w:ascii="Arial" w:hAnsi="Arial" w:cs="Arial"/>
          <w:lang w:val="en-GB"/>
        </w:rPr>
        <w:t>://doi.org/10.1016/j.neubiorev.2018.10.024</w:t>
      </w:r>
      <w:proofErr w:type="gramEnd"/>
      <w:r>
        <w:rPr>
          <w:rFonts w:ascii="Arial" w:hAnsi="Arial" w:cs="Arial"/>
          <w:lang w:val="en-GB"/>
        </w:rPr>
        <w:t>.</w:t>
      </w:r>
    </w:p>
    <w:p w14:paraId="50F26014"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Cipta, D.A., </w:t>
      </w:r>
      <w:proofErr w:type="spellStart"/>
      <w:r>
        <w:rPr>
          <w:rFonts w:ascii="Arial" w:hAnsi="Arial" w:cs="Arial"/>
          <w:lang w:val="en-GB"/>
        </w:rPr>
        <w:t>Andoko</w:t>
      </w:r>
      <w:proofErr w:type="spellEnd"/>
      <w:r>
        <w:rPr>
          <w:rFonts w:ascii="Arial" w:hAnsi="Arial" w:cs="Arial"/>
          <w:lang w:val="en-GB"/>
        </w:rPr>
        <w:t xml:space="preserve">, D., </w:t>
      </w:r>
      <w:proofErr w:type="spellStart"/>
      <w:r>
        <w:rPr>
          <w:rFonts w:ascii="Arial" w:hAnsi="Arial" w:cs="Arial"/>
          <w:lang w:val="en-GB"/>
        </w:rPr>
        <w:t>Theja</w:t>
      </w:r>
      <w:proofErr w:type="spellEnd"/>
      <w:r>
        <w:rPr>
          <w:rFonts w:ascii="Arial" w:hAnsi="Arial" w:cs="Arial"/>
          <w:lang w:val="en-GB"/>
        </w:rPr>
        <w:t>, A., Utama, A.V.E., Hendrik, H., William, D.G., Reina, N., Handoko, M.T. and Lumbuun, N. (2024). Culturally sensitive patient-</w:t>
      </w:r>
      <w:proofErr w:type="spellStart"/>
      <w:r>
        <w:rPr>
          <w:rFonts w:ascii="Arial" w:hAnsi="Arial" w:cs="Arial"/>
          <w:lang w:val="en-GB"/>
        </w:rPr>
        <w:t>centered</w:t>
      </w:r>
      <w:proofErr w:type="spellEnd"/>
      <w:r>
        <w:rPr>
          <w:rFonts w:ascii="Arial" w:hAnsi="Arial" w:cs="Arial"/>
          <w:lang w:val="en-GB"/>
        </w:rPr>
        <w:t xml:space="preserve"> healthcare: A focus on health </w:t>
      </w:r>
      <w:proofErr w:type="spellStart"/>
      <w:r>
        <w:rPr>
          <w:rFonts w:ascii="Arial" w:hAnsi="Arial" w:cs="Arial"/>
          <w:lang w:val="en-GB"/>
        </w:rPr>
        <w:t>behavior</w:t>
      </w:r>
      <w:proofErr w:type="spellEnd"/>
      <w:r>
        <w:rPr>
          <w:rFonts w:ascii="Arial" w:hAnsi="Arial" w:cs="Arial"/>
          <w:lang w:val="en-GB"/>
        </w:rPr>
        <w:t xml:space="preserve"> modification in low and middle-income nations—insights from </w:t>
      </w:r>
      <w:proofErr w:type="spellStart"/>
      <w:r>
        <w:rPr>
          <w:rFonts w:ascii="Arial" w:hAnsi="Arial" w:cs="Arial"/>
          <w:lang w:val="en-GB"/>
        </w:rPr>
        <w:t>indonesia</w:t>
      </w:r>
      <w:proofErr w:type="spellEnd"/>
      <w:r>
        <w:rPr>
          <w:rFonts w:ascii="Arial" w:hAnsi="Arial" w:cs="Arial"/>
          <w:lang w:val="en-GB"/>
        </w:rPr>
        <w:t xml:space="preserve">. </w:t>
      </w:r>
      <w:r>
        <w:rPr>
          <w:rFonts w:ascii="Arial" w:hAnsi="Arial" w:cs="Arial"/>
          <w:i/>
          <w:iCs/>
          <w:lang w:val="en-GB"/>
        </w:rPr>
        <w:t>Frontiers in Medicine</w:t>
      </w:r>
      <w:r>
        <w:rPr>
          <w:rFonts w:ascii="Arial" w:hAnsi="Arial" w:cs="Arial"/>
          <w:lang w:val="en-GB"/>
        </w:rPr>
        <w:t xml:space="preserve">, [online] 11(1353037), pp.1–7. </w:t>
      </w:r>
      <w:proofErr w:type="spellStart"/>
      <w:proofErr w:type="gramStart"/>
      <w:r>
        <w:rPr>
          <w:rFonts w:ascii="Arial" w:hAnsi="Arial" w:cs="Arial"/>
          <w:lang w:val="en-GB"/>
        </w:rPr>
        <w:t>doi:https</w:t>
      </w:r>
      <w:proofErr w:type="spellEnd"/>
      <w:r>
        <w:rPr>
          <w:rFonts w:ascii="Arial" w:hAnsi="Arial" w:cs="Arial"/>
          <w:lang w:val="en-GB"/>
        </w:rPr>
        <w:t>://doi.org/10.3389/fmed.2024.1353037</w:t>
      </w:r>
      <w:proofErr w:type="gramEnd"/>
      <w:r>
        <w:rPr>
          <w:rFonts w:ascii="Arial" w:hAnsi="Arial" w:cs="Arial"/>
          <w:lang w:val="en-GB"/>
        </w:rPr>
        <w:t>.</w:t>
      </w:r>
    </w:p>
    <w:p w14:paraId="7D5CB595"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Department of Health and Social Care (2022). </w:t>
      </w:r>
      <w:r>
        <w:rPr>
          <w:rFonts w:ascii="Arial" w:hAnsi="Arial" w:cs="Arial"/>
          <w:i/>
          <w:iCs/>
          <w:lang w:val="en-GB"/>
        </w:rPr>
        <w:t>Women’s Health Strategy for England</w:t>
      </w:r>
      <w:r>
        <w:rPr>
          <w:rFonts w:ascii="Arial" w:hAnsi="Arial" w:cs="Arial"/>
          <w:lang w:val="en-GB"/>
        </w:rPr>
        <w:t>. [online] GOV.UK. Available at: https://www.gov.uk/government/publications/womens-health-strategy-for-england/womens-health-strategy-for-england.</w:t>
      </w:r>
    </w:p>
    <w:p w14:paraId="68AF06F1"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Department of Health and Social Care (2023). </w:t>
      </w:r>
      <w:r>
        <w:rPr>
          <w:rFonts w:ascii="Arial" w:hAnsi="Arial" w:cs="Arial"/>
          <w:i/>
          <w:iCs/>
          <w:lang w:val="en-GB"/>
        </w:rPr>
        <w:t>Suicide Prevention Strategy for England: 2023 to 2028</w:t>
      </w:r>
      <w:r>
        <w:rPr>
          <w:rFonts w:ascii="Arial" w:hAnsi="Arial" w:cs="Arial"/>
          <w:lang w:val="en-GB"/>
        </w:rPr>
        <w:t>. [online] GOV.UK. Available at: https://www.gov.uk/government/publications/suicide-prevention-strategy-for-england-2023-to-2028.</w:t>
      </w:r>
    </w:p>
    <w:p w14:paraId="1DAA4875"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Dillner, J. (2019). Early detection and prevention. </w:t>
      </w:r>
      <w:r>
        <w:rPr>
          <w:rFonts w:ascii="Arial" w:hAnsi="Arial" w:cs="Arial"/>
          <w:i/>
          <w:iCs/>
          <w:lang w:val="en-GB"/>
        </w:rPr>
        <w:t>Molecular Oncology</w:t>
      </w:r>
      <w:r>
        <w:rPr>
          <w:rFonts w:ascii="Arial" w:hAnsi="Arial" w:cs="Arial"/>
          <w:lang w:val="en-GB"/>
        </w:rPr>
        <w:t xml:space="preserve">, [online] 13(3), pp.591–598. </w:t>
      </w:r>
      <w:proofErr w:type="spellStart"/>
      <w:proofErr w:type="gramStart"/>
      <w:r>
        <w:rPr>
          <w:rFonts w:ascii="Arial" w:hAnsi="Arial" w:cs="Arial"/>
          <w:lang w:val="en-GB"/>
        </w:rPr>
        <w:t>doi:https</w:t>
      </w:r>
      <w:proofErr w:type="spellEnd"/>
      <w:r>
        <w:rPr>
          <w:rFonts w:ascii="Arial" w:hAnsi="Arial" w:cs="Arial"/>
          <w:lang w:val="en-GB"/>
        </w:rPr>
        <w:t>://doi.org/10.1002/1878-0261.12459</w:t>
      </w:r>
      <w:proofErr w:type="gramEnd"/>
      <w:r>
        <w:rPr>
          <w:rFonts w:ascii="Arial" w:hAnsi="Arial" w:cs="Arial"/>
          <w:lang w:val="en-GB"/>
        </w:rPr>
        <w:t>.</w:t>
      </w:r>
    </w:p>
    <w:p w14:paraId="28AA827A"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Elsmore, A., Rai, T., Pallmann, P., Townson, J., Kotecha, S., Black, M., Sanders, J., Collis, R., Collins, P., Karunakaran, B., Wu, P., Bell, S. and Parry-Smith, W. (2024). The OBS UK Dashboard: an interactive tool for representative trial site selection to facilitate equality and diversity in maternity research. </w:t>
      </w:r>
      <w:r>
        <w:rPr>
          <w:rFonts w:ascii="Arial" w:hAnsi="Arial" w:cs="Arial"/>
          <w:i/>
          <w:iCs/>
          <w:lang w:val="en-GB"/>
        </w:rPr>
        <w:t>Trials</w:t>
      </w:r>
      <w:r>
        <w:rPr>
          <w:rFonts w:ascii="Arial" w:hAnsi="Arial" w:cs="Arial"/>
          <w:lang w:val="en-GB"/>
        </w:rPr>
        <w:t xml:space="preserve">, 25(1). </w:t>
      </w:r>
      <w:proofErr w:type="spellStart"/>
      <w:proofErr w:type="gramStart"/>
      <w:r>
        <w:rPr>
          <w:rFonts w:ascii="Arial" w:hAnsi="Arial" w:cs="Arial"/>
          <w:lang w:val="en-GB"/>
        </w:rPr>
        <w:t>doi:https</w:t>
      </w:r>
      <w:proofErr w:type="spellEnd"/>
      <w:r>
        <w:rPr>
          <w:rFonts w:ascii="Arial" w:hAnsi="Arial" w:cs="Arial"/>
          <w:lang w:val="en-GB"/>
        </w:rPr>
        <w:t>://doi.org/10.1186/s13063-024-08487-x</w:t>
      </w:r>
      <w:proofErr w:type="gramEnd"/>
      <w:r>
        <w:rPr>
          <w:rFonts w:ascii="Arial" w:hAnsi="Arial" w:cs="Arial"/>
          <w:lang w:val="en-GB"/>
        </w:rPr>
        <w:t>.</w:t>
      </w:r>
    </w:p>
    <w:p w14:paraId="305C5139"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Gilbert, C., Allgar, V. and Doran, T. (2019). Workload impact of the Quality and Outcomes Framework for patients with diabetes: an interrupted time series in general practice. </w:t>
      </w:r>
      <w:r>
        <w:rPr>
          <w:rFonts w:ascii="Arial" w:hAnsi="Arial" w:cs="Arial"/>
          <w:i/>
          <w:iCs/>
          <w:lang w:val="en-GB"/>
        </w:rPr>
        <w:t>British Journal of General Practice</w:t>
      </w:r>
      <w:r>
        <w:rPr>
          <w:rFonts w:ascii="Arial" w:hAnsi="Arial" w:cs="Arial"/>
          <w:lang w:val="en-GB"/>
        </w:rPr>
        <w:t xml:space="preserve">, 69(685), </w:t>
      </w:r>
      <w:proofErr w:type="gramStart"/>
      <w:r>
        <w:rPr>
          <w:rFonts w:ascii="Arial" w:hAnsi="Arial" w:cs="Arial"/>
          <w:lang w:val="en-GB"/>
        </w:rPr>
        <w:t>pp.e</w:t>
      </w:r>
      <w:proofErr w:type="gramEnd"/>
      <w:r>
        <w:rPr>
          <w:rFonts w:ascii="Arial" w:hAnsi="Arial" w:cs="Arial"/>
          <w:lang w:val="en-GB"/>
        </w:rPr>
        <w:t xml:space="preserve">570–e577. </w:t>
      </w:r>
      <w:proofErr w:type="spellStart"/>
      <w:proofErr w:type="gramStart"/>
      <w:r>
        <w:rPr>
          <w:rFonts w:ascii="Arial" w:hAnsi="Arial" w:cs="Arial"/>
          <w:lang w:val="en-GB"/>
        </w:rPr>
        <w:t>doi:https</w:t>
      </w:r>
      <w:proofErr w:type="spellEnd"/>
      <w:r>
        <w:rPr>
          <w:rFonts w:ascii="Arial" w:hAnsi="Arial" w:cs="Arial"/>
          <w:lang w:val="en-GB"/>
        </w:rPr>
        <w:t>://doi.org/10.3399/bjgp19x704645</w:t>
      </w:r>
      <w:proofErr w:type="gramEnd"/>
      <w:r>
        <w:rPr>
          <w:rFonts w:ascii="Arial" w:hAnsi="Arial" w:cs="Arial"/>
          <w:lang w:val="en-GB"/>
        </w:rPr>
        <w:t>.</w:t>
      </w:r>
    </w:p>
    <w:p w14:paraId="60A4B572"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lastRenderedPageBreak/>
        <w:t xml:space="preserve">Hex, N., MacDonald, R., Pocock, J., </w:t>
      </w:r>
      <w:proofErr w:type="spellStart"/>
      <w:r>
        <w:rPr>
          <w:rFonts w:ascii="Arial" w:hAnsi="Arial" w:cs="Arial"/>
          <w:lang w:val="en-GB"/>
        </w:rPr>
        <w:t>Uzdzinska</w:t>
      </w:r>
      <w:proofErr w:type="spellEnd"/>
      <w:r>
        <w:rPr>
          <w:rFonts w:ascii="Arial" w:hAnsi="Arial" w:cs="Arial"/>
          <w:lang w:val="en-GB"/>
        </w:rPr>
        <w:t xml:space="preserve">, B., Taylor, M., Atkin, M., Wild, S.H., Beba, H. and Jones, R. (2024). Estimation of the direct health and indirect societal costs of diabetes in the UK using a cost of illness model. </w:t>
      </w:r>
      <w:r>
        <w:rPr>
          <w:rFonts w:ascii="Arial" w:hAnsi="Arial" w:cs="Arial"/>
          <w:i/>
          <w:iCs/>
          <w:lang w:val="en-GB"/>
        </w:rPr>
        <w:t>Diabetic medicine</w:t>
      </w:r>
      <w:r>
        <w:rPr>
          <w:rFonts w:ascii="Arial" w:hAnsi="Arial" w:cs="Arial"/>
          <w:lang w:val="en-GB"/>
        </w:rPr>
        <w:t xml:space="preserve">, [online] 41(9). </w:t>
      </w:r>
      <w:proofErr w:type="spellStart"/>
      <w:proofErr w:type="gramStart"/>
      <w:r>
        <w:rPr>
          <w:rFonts w:ascii="Arial" w:hAnsi="Arial" w:cs="Arial"/>
          <w:lang w:val="en-GB"/>
        </w:rPr>
        <w:t>doi:https</w:t>
      </w:r>
      <w:proofErr w:type="spellEnd"/>
      <w:r>
        <w:rPr>
          <w:rFonts w:ascii="Arial" w:hAnsi="Arial" w:cs="Arial"/>
          <w:lang w:val="en-GB"/>
        </w:rPr>
        <w:t>://doi.org/10.1111/dme.15326</w:t>
      </w:r>
      <w:proofErr w:type="gramEnd"/>
      <w:r>
        <w:rPr>
          <w:rFonts w:ascii="Arial" w:hAnsi="Arial" w:cs="Arial"/>
          <w:lang w:val="en-GB"/>
        </w:rPr>
        <w:t>.</w:t>
      </w:r>
    </w:p>
    <w:p w14:paraId="29D1CA08"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International Diabetes Federation (2025). </w:t>
      </w:r>
      <w:r>
        <w:rPr>
          <w:rFonts w:ascii="Arial" w:hAnsi="Arial" w:cs="Arial"/>
          <w:i/>
          <w:iCs/>
          <w:lang w:val="en-GB"/>
        </w:rPr>
        <w:t>Diabetes Facts &amp; Figures</w:t>
      </w:r>
      <w:r>
        <w:rPr>
          <w:rFonts w:ascii="Arial" w:hAnsi="Arial" w:cs="Arial"/>
          <w:lang w:val="en-GB"/>
        </w:rPr>
        <w:t>. [online] International Diabetes Federation. Available at: https://idf.org/about-diabetes/diabetes-facts-figures/ [Accessed 1 Dec. 2025].</w:t>
      </w:r>
    </w:p>
    <w:p w14:paraId="704052CB"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Leahy, A. and Ferri, D. (2023). Barriers to cultural participation by people with disabilities in Europe: a study across 28 countries. </w:t>
      </w:r>
      <w:r>
        <w:rPr>
          <w:rFonts w:ascii="Arial" w:hAnsi="Arial" w:cs="Arial"/>
          <w:i/>
          <w:iCs/>
          <w:lang w:val="en-GB"/>
        </w:rPr>
        <w:t>Disability &amp; Society</w:t>
      </w:r>
      <w:r>
        <w:rPr>
          <w:rFonts w:ascii="Arial" w:hAnsi="Arial" w:cs="Arial"/>
          <w:lang w:val="en-GB"/>
        </w:rPr>
        <w:t xml:space="preserve">, 39(10), pp.1–23. </w:t>
      </w:r>
      <w:proofErr w:type="spellStart"/>
      <w:proofErr w:type="gramStart"/>
      <w:r>
        <w:rPr>
          <w:rFonts w:ascii="Arial" w:hAnsi="Arial" w:cs="Arial"/>
          <w:lang w:val="en-GB"/>
        </w:rPr>
        <w:t>doi:https</w:t>
      </w:r>
      <w:proofErr w:type="spellEnd"/>
      <w:r>
        <w:rPr>
          <w:rFonts w:ascii="Arial" w:hAnsi="Arial" w:cs="Arial"/>
          <w:lang w:val="en-GB"/>
        </w:rPr>
        <w:t>://doi.org/10.1080/09687599.2023.2222898</w:t>
      </w:r>
      <w:proofErr w:type="gramEnd"/>
      <w:r>
        <w:rPr>
          <w:rFonts w:ascii="Arial" w:hAnsi="Arial" w:cs="Arial"/>
          <w:lang w:val="en-GB"/>
        </w:rPr>
        <w:t>.</w:t>
      </w:r>
    </w:p>
    <w:p w14:paraId="6EB5374B"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Mariette (2025). </w:t>
      </w:r>
      <w:r>
        <w:rPr>
          <w:rFonts w:ascii="Arial" w:hAnsi="Arial" w:cs="Arial"/>
          <w:i/>
          <w:iCs/>
          <w:lang w:val="en-GB"/>
        </w:rPr>
        <w:t>Our work - Women’s Health Concern</w:t>
      </w:r>
      <w:r>
        <w:rPr>
          <w:rFonts w:ascii="Arial" w:hAnsi="Arial" w:cs="Arial"/>
          <w:lang w:val="en-GB"/>
        </w:rPr>
        <w:t>. [online] Women’s Health Concern. Available at: https://www.womens-health-concern.org/about-whc/our-work/.</w:t>
      </w:r>
    </w:p>
    <w:p w14:paraId="39173AB2"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Mayhew, L., Gillian, D., Mayhew, H. and Harper Associates (2019). </w:t>
      </w:r>
      <w:r>
        <w:rPr>
          <w:rFonts w:ascii="Arial" w:hAnsi="Arial" w:cs="Arial"/>
          <w:i/>
          <w:iCs/>
          <w:lang w:val="en-GB"/>
        </w:rPr>
        <w:t>The London Borough of Tower Hamlets Case studies in health inequalities and health care consumption Part of the Whole Systems Dataset Project (WSDP) Neighbourhood knowledge management</w:t>
      </w:r>
      <w:r>
        <w:rPr>
          <w:rFonts w:ascii="Arial" w:hAnsi="Arial" w:cs="Arial"/>
          <w:lang w:val="en-GB"/>
        </w:rPr>
        <w:t xml:space="preserve">. [online] </w:t>
      </w:r>
      <w:proofErr w:type="spellStart"/>
      <w:proofErr w:type="gramStart"/>
      <w:r>
        <w:rPr>
          <w:rFonts w:ascii="Arial" w:hAnsi="Arial" w:cs="Arial"/>
          <w:lang w:val="en-GB"/>
        </w:rPr>
        <w:t>doi:https</w:t>
      </w:r>
      <w:proofErr w:type="spellEnd"/>
      <w:r>
        <w:rPr>
          <w:rFonts w:ascii="Arial" w:hAnsi="Arial" w:cs="Arial"/>
          <w:lang w:val="en-GB"/>
        </w:rPr>
        <w:t>://doi.org/10.13140/RG.2.2.22848.07681</w:t>
      </w:r>
      <w:proofErr w:type="gramEnd"/>
      <w:r>
        <w:rPr>
          <w:rFonts w:ascii="Arial" w:hAnsi="Arial" w:cs="Arial"/>
          <w:lang w:val="en-GB"/>
        </w:rPr>
        <w:t>.</w:t>
      </w:r>
    </w:p>
    <w:p w14:paraId="4B33A1A5"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Mesquita, S., Lília Perfeito, Paolotti, D. and Gonçalves-Sá, J. (2025). Epidemiological methods in transition: Minimizing biases in classical and digital approaches. </w:t>
      </w:r>
      <w:r>
        <w:rPr>
          <w:rFonts w:ascii="Arial" w:hAnsi="Arial" w:cs="Arial"/>
          <w:i/>
          <w:iCs/>
          <w:lang w:val="en-GB"/>
        </w:rPr>
        <w:t>PLOS Digital Health</w:t>
      </w:r>
      <w:r>
        <w:rPr>
          <w:rFonts w:ascii="Arial" w:hAnsi="Arial" w:cs="Arial"/>
          <w:lang w:val="en-GB"/>
        </w:rPr>
        <w:t xml:space="preserve">, 4(1), </w:t>
      </w:r>
      <w:proofErr w:type="gramStart"/>
      <w:r>
        <w:rPr>
          <w:rFonts w:ascii="Arial" w:hAnsi="Arial" w:cs="Arial"/>
          <w:lang w:val="en-GB"/>
        </w:rPr>
        <w:t>pp.e</w:t>
      </w:r>
      <w:proofErr w:type="gramEnd"/>
      <w:r>
        <w:rPr>
          <w:rFonts w:ascii="Arial" w:hAnsi="Arial" w:cs="Arial"/>
          <w:lang w:val="en-GB"/>
        </w:rPr>
        <w:t xml:space="preserve">0000670–e0000670. </w:t>
      </w:r>
      <w:proofErr w:type="spellStart"/>
      <w:proofErr w:type="gramStart"/>
      <w:r>
        <w:rPr>
          <w:rFonts w:ascii="Arial" w:hAnsi="Arial" w:cs="Arial"/>
          <w:lang w:val="en-GB"/>
        </w:rPr>
        <w:t>doi:https</w:t>
      </w:r>
      <w:proofErr w:type="spellEnd"/>
      <w:r>
        <w:rPr>
          <w:rFonts w:ascii="Arial" w:hAnsi="Arial" w:cs="Arial"/>
          <w:lang w:val="en-GB"/>
        </w:rPr>
        <w:t>://doi.org/10.1371/journal.pdig.0000670</w:t>
      </w:r>
      <w:proofErr w:type="gramEnd"/>
      <w:r>
        <w:rPr>
          <w:rFonts w:ascii="Arial" w:hAnsi="Arial" w:cs="Arial"/>
          <w:lang w:val="en-GB"/>
        </w:rPr>
        <w:t>.</w:t>
      </w:r>
    </w:p>
    <w:p w14:paraId="16CD0EC3"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MIND (2024). </w:t>
      </w:r>
      <w:r>
        <w:rPr>
          <w:rFonts w:ascii="Arial" w:hAnsi="Arial" w:cs="Arial"/>
          <w:i/>
          <w:iCs/>
          <w:lang w:val="en-GB"/>
        </w:rPr>
        <w:t>The Big Mental Health Report</w:t>
      </w:r>
      <w:r>
        <w:rPr>
          <w:rFonts w:ascii="Arial" w:hAnsi="Arial" w:cs="Arial"/>
          <w:lang w:val="en-GB"/>
        </w:rPr>
        <w:t>. [online] Available at: https://www.mind.org.uk/media/vbbdclpi/the-big-mental-health-report-2024-mind.pdf.</w:t>
      </w:r>
    </w:p>
    <w:p w14:paraId="53BBFDD2" w14:textId="77777777" w:rsidR="0009169D" w:rsidRDefault="00000000">
      <w:pPr>
        <w:pStyle w:val="NormalWeb"/>
        <w:spacing w:before="0" w:beforeAutospacing="0" w:after="240" w:afterAutospacing="0" w:line="360" w:lineRule="auto"/>
        <w:jc w:val="both"/>
        <w:rPr>
          <w:rFonts w:ascii="Arial" w:hAnsi="Arial" w:cs="Arial"/>
          <w:lang w:val="en-GB"/>
        </w:rPr>
      </w:pPr>
      <w:proofErr w:type="spellStart"/>
      <w:r>
        <w:rPr>
          <w:rFonts w:ascii="Arial" w:hAnsi="Arial" w:cs="Arial"/>
          <w:lang w:val="en-GB"/>
        </w:rPr>
        <w:t>Mokhwelepa</w:t>
      </w:r>
      <w:proofErr w:type="spellEnd"/>
      <w:r>
        <w:rPr>
          <w:rFonts w:ascii="Arial" w:hAnsi="Arial" w:cs="Arial"/>
          <w:lang w:val="en-GB"/>
        </w:rPr>
        <w:t xml:space="preserve">, L.W. and </w:t>
      </w:r>
      <w:proofErr w:type="spellStart"/>
      <w:r>
        <w:rPr>
          <w:rFonts w:ascii="Arial" w:hAnsi="Arial" w:cs="Arial"/>
          <w:lang w:val="en-GB"/>
        </w:rPr>
        <w:t>Sumbane</w:t>
      </w:r>
      <w:proofErr w:type="spellEnd"/>
      <w:r>
        <w:rPr>
          <w:rFonts w:ascii="Arial" w:hAnsi="Arial" w:cs="Arial"/>
          <w:lang w:val="en-GB"/>
        </w:rPr>
        <w:t xml:space="preserve">, G.O. (2025). Men’s Mental Health Matters: The Impact of Traditional Masculinity Norms on Men’s Willingness to Seek Mental Health Support; a Systematic Review of Literature. </w:t>
      </w:r>
      <w:r>
        <w:rPr>
          <w:rFonts w:ascii="Arial" w:hAnsi="Arial" w:cs="Arial"/>
          <w:i/>
          <w:iCs/>
          <w:lang w:val="en-GB"/>
        </w:rPr>
        <w:t>American Journal of Men’s Health</w:t>
      </w:r>
      <w:r>
        <w:rPr>
          <w:rFonts w:ascii="Arial" w:hAnsi="Arial" w:cs="Arial"/>
          <w:lang w:val="en-GB"/>
        </w:rPr>
        <w:t xml:space="preserve">, 19(3). </w:t>
      </w:r>
      <w:proofErr w:type="spellStart"/>
      <w:proofErr w:type="gramStart"/>
      <w:r>
        <w:rPr>
          <w:rFonts w:ascii="Arial" w:hAnsi="Arial" w:cs="Arial"/>
          <w:lang w:val="en-GB"/>
        </w:rPr>
        <w:t>doi:https</w:t>
      </w:r>
      <w:proofErr w:type="spellEnd"/>
      <w:r>
        <w:rPr>
          <w:rFonts w:ascii="Arial" w:hAnsi="Arial" w:cs="Arial"/>
          <w:lang w:val="en-GB"/>
        </w:rPr>
        <w:t>://doi.org/10.1177/15579883251321670</w:t>
      </w:r>
      <w:proofErr w:type="gramEnd"/>
      <w:r>
        <w:rPr>
          <w:rFonts w:ascii="Arial" w:hAnsi="Arial" w:cs="Arial"/>
          <w:lang w:val="en-GB"/>
        </w:rPr>
        <w:t>.</w:t>
      </w:r>
    </w:p>
    <w:p w14:paraId="6E0536DB"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lastRenderedPageBreak/>
        <w:t>NHS Digital (2025). [Online] Digital.nhs.uk. Available at: https://digital.nhs.uk/data-and-information/publications/statistical/adult-psychiatric-morbidity-survey/survey-of-mental-health-and-wellbeing-england-2023-24/common-mental-health-conditions [Accessed 1 Dec. 2025].</w:t>
      </w:r>
    </w:p>
    <w:p w14:paraId="59165A08"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ONS (2024). </w:t>
      </w:r>
      <w:r>
        <w:rPr>
          <w:rFonts w:ascii="Arial" w:hAnsi="Arial" w:cs="Arial"/>
          <w:i/>
          <w:iCs/>
          <w:lang w:val="en-GB"/>
        </w:rPr>
        <w:t>Suicides in England and Wales</w:t>
      </w:r>
      <w:r>
        <w:rPr>
          <w:rFonts w:ascii="Arial" w:hAnsi="Arial" w:cs="Arial"/>
          <w:lang w:val="en-GB"/>
        </w:rPr>
        <w:t>. [Online] Ons.gov.uk. Available at: https://www.ons.gov.uk/peoplepopulationandcommunity/birthsdeathsandmarriages/deaths/bulletins/suicidesintheunitedkingdom/2023 [Accessed 2 Dec. 2025].</w:t>
      </w:r>
    </w:p>
    <w:p w14:paraId="4988C317"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Petya Milushewa, Yoanna Mitreva, Nevena Chakarova, </w:t>
      </w:r>
      <w:proofErr w:type="spellStart"/>
      <w:r>
        <w:rPr>
          <w:rFonts w:ascii="Arial" w:hAnsi="Arial" w:cs="Arial"/>
          <w:lang w:val="en-GB"/>
        </w:rPr>
        <w:t>Tsvetalina</w:t>
      </w:r>
      <w:proofErr w:type="spellEnd"/>
      <w:r>
        <w:rPr>
          <w:rFonts w:ascii="Arial" w:hAnsi="Arial" w:cs="Arial"/>
          <w:lang w:val="en-GB"/>
        </w:rPr>
        <w:t xml:space="preserve"> Tankova, </w:t>
      </w:r>
      <w:proofErr w:type="spellStart"/>
      <w:r>
        <w:rPr>
          <w:rFonts w:ascii="Arial" w:hAnsi="Arial" w:cs="Arial"/>
          <w:lang w:val="en-GB"/>
        </w:rPr>
        <w:t>Naseva</w:t>
      </w:r>
      <w:proofErr w:type="spellEnd"/>
      <w:r>
        <w:rPr>
          <w:rFonts w:ascii="Arial" w:hAnsi="Arial" w:cs="Arial"/>
          <w:lang w:val="en-GB"/>
        </w:rPr>
        <w:t xml:space="preserve">, E. and Petkova, V. (2025). Predictive factors for HbA1c and weight loss associated with semaglutide treatment in type 2 diabetes mellitus: real-world clinical evidence. </w:t>
      </w:r>
      <w:r>
        <w:rPr>
          <w:rFonts w:ascii="Arial" w:hAnsi="Arial" w:cs="Arial"/>
          <w:i/>
          <w:iCs/>
          <w:lang w:val="en-GB"/>
        </w:rPr>
        <w:t>Frontiers in Endocrinology</w:t>
      </w:r>
      <w:r>
        <w:rPr>
          <w:rFonts w:ascii="Arial" w:hAnsi="Arial" w:cs="Arial"/>
          <w:lang w:val="en-GB"/>
        </w:rPr>
        <w:t xml:space="preserve">, [online] 16, pp.1621892–1621892. </w:t>
      </w:r>
      <w:proofErr w:type="spellStart"/>
      <w:proofErr w:type="gramStart"/>
      <w:r>
        <w:rPr>
          <w:rFonts w:ascii="Arial" w:hAnsi="Arial" w:cs="Arial"/>
          <w:lang w:val="en-GB"/>
        </w:rPr>
        <w:t>doi:https</w:t>
      </w:r>
      <w:proofErr w:type="spellEnd"/>
      <w:r>
        <w:rPr>
          <w:rFonts w:ascii="Arial" w:hAnsi="Arial" w:cs="Arial"/>
          <w:lang w:val="en-GB"/>
        </w:rPr>
        <w:t>://doi.org/10.3389/fendo.2025.1621892</w:t>
      </w:r>
      <w:proofErr w:type="gramEnd"/>
      <w:r>
        <w:rPr>
          <w:rFonts w:ascii="Arial" w:hAnsi="Arial" w:cs="Arial"/>
          <w:lang w:val="en-GB"/>
        </w:rPr>
        <w:t>.</w:t>
      </w:r>
    </w:p>
    <w:p w14:paraId="1EB12F8F"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Stevens, A., Raftery, J., Mant, J. and Simpson, S. (2018). </w:t>
      </w:r>
      <w:r>
        <w:rPr>
          <w:rFonts w:ascii="Arial" w:hAnsi="Arial" w:cs="Arial"/>
          <w:i/>
          <w:iCs/>
          <w:lang w:val="en-GB"/>
        </w:rPr>
        <w:t>Health Care Needs Assessment</w:t>
      </w:r>
      <w:r>
        <w:rPr>
          <w:rFonts w:ascii="Arial" w:hAnsi="Arial" w:cs="Arial"/>
          <w:lang w:val="en-GB"/>
        </w:rPr>
        <w:t xml:space="preserve">. CRC Press. </w:t>
      </w:r>
      <w:proofErr w:type="spellStart"/>
      <w:proofErr w:type="gramStart"/>
      <w:r>
        <w:rPr>
          <w:rFonts w:ascii="Arial" w:hAnsi="Arial" w:cs="Arial"/>
          <w:lang w:val="en-GB"/>
        </w:rPr>
        <w:t>doi:https</w:t>
      </w:r>
      <w:proofErr w:type="spellEnd"/>
      <w:r>
        <w:rPr>
          <w:rFonts w:ascii="Arial" w:hAnsi="Arial" w:cs="Arial"/>
          <w:lang w:val="en-GB"/>
        </w:rPr>
        <w:t>://doi.org/10.1201/9781315365442</w:t>
      </w:r>
      <w:proofErr w:type="gramEnd"/>
      <w:r>
        <w:rPr>
          <w:rFonts w:ascii="Arial" w:hAnsi="Arial" w:cs="Arial"/>
          <w:lang w:val="en-GB"/>
        </w:rPr>
        <w:t>.</w:t>
      </w:r>
    </w:p>
    <w:p w14:paraId="0E7A5180" w14:textId="77777777" w:rsidR="0009169D" w:rsidRDefault="00000000">
      <w:pPr>
        <w:pStyle w:val="NormalWeb"/>
        <w:spacing w:before="0" w:beforeAutospacing="0" w:after="240" w:afterAutospacing="0" w:line="360" w:lineRule="auto"/>
        <w:jc w:val="both"/>
        <w:rPr>
          <w:rFonts w:ascii="Arial" w:hAnsi="Arial" w:cs="Arial"/>
          <w:lang w:val="en-GB"/>
        </w:rPr>
      </w:pPr>
      <w:r>
        <w:rPr>
          <w:rFonts w:ascii="Arial" w:hAnsi="Arial" w:cs="Arial"/>
          <w:lang w:val="en-GB"/>
        </w:rPr>
        <w:t xml:space="preserve">Vasishta, S., Ganesh, K., Umakanth, S. and Joshi, M.B. (2022). Ethnic disparities attributed to the manifestation in and response to type 2 diabetes: insights from metabolomics. </w:t>
      </w:r>
      <w:r>
        <w:rPr>
          <w:rFonts w:ascii="Arial" w:hAnsi="Arial" w:cs="Arial"/>
          <w:i/>
          <w:iCs/>
          <w:lang w:val="en-GB"/>
        </w:rPr>
        <w:t>Metabolomics</w:t>
      </w:r>
      <w:r>
        <w:rPr>
          <w:rFonts w:ascii="Arial" w:hAnsi="Arial" w:cs="Arial"/>
          <w:lang w:val="en-GB"/>
        </w:rPr>
        <w:t xml:space="preserve">, 18(7). </w:t>
      </w:r>
      <w:proofErr w:type="spellStart"/>
      <w:proofErr w:type="gramStart"/>
      <w:r>
        <w:rPr>
          <w:rFonts w:ascii="Arial" w:hAnsi="Arial" w:cs="Arial"/>
          <w:lang w:val="en-GB"/>
        </w:rPr>
        <w:t>doi:https</w:t>
      </w:r>
      <w:proofErr w:type="spellEnd"/>
      <w:r>
        <w:rPr>
          <w:rFonts w:ascii="Arial" w:hAnsi="Arial" w:cs="Arial"/>
          <w:lang w:val="en-GB"/>
        </w:rPr>
        <w:t>://doi.org/10.1007/s11306-022-01905-8</w:t>
      </w:r>
      <w:proofErr w:type="gramEnd"/>
      <w:r>
        <w:rPr>
          <w:rFonts w:ascii="Arial" w:hAnsi="Arial" w:cs="Arial"/>
          <w:lang w:val="en-GB"/>
        </w:rPr>
        <w:t>.</w:t>
      </w:r>
    </w:p>
    <w:sectPr w:rsidR="0009169D">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319EB" w14:textId="77777777" w:rsidR="00A955E7" w:rsidRDefault="00A955E7">
      <w:pPr>
        <w:spacing w:after="0" w:line="240" w:lineRule="auto"/>
      </w:pPr>
      <w:r>
        <w:separator/>
      </w:r>
    </w:p>
  </w:endnote>
  <w:endnote w:type="continuationSeparator" w:id="0">
    <w:p w14:paraId="702BA172" w14:textId="77777777" w:rsidR="00A955E7" w:rsidRDefault="00A95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default"/>
    <w:sig w:usb0="00000000" w:usb1="00000000"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rPr>
      <w:id w:val="595990450"/>
    </w:sdtPr>
    <w:sdtEndPr>
      <w:rPr>
        <w:color w:val="7F7F7F" w:themeColor="background1" w:themeShade="7F"/>
        <w:spacing w:val="60"/>
      </w:rPr>
    </w:sdtEndPr>
    <w:sdtContent>
      <w:p w14:paraId="693780F7" w14:textId="77777777" w:rsidR="0009169D" w:rsidRDefault="00000000">
        <w:pPr>
          <w:pStyle w:val="Footer"/>
          <w:pBdr>
            <w:top w:val="single" w:sz="4" w:space="1" w:color="D9D9D9" w:themeColor="background1" w:themeShade="D9"/>
          </w:pBdr>
          <w:jc w:val="right"/>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PAGE   \* MERGEFORMAT </w:instrText>
        </w:r>
        <w:r>
          <w:rPr>
            <w:rFonts w:ascii="Times New Roman" w:hAnsi="Times New Roman" w:cs="Times New Roman"/>
            <w:sz w:val="20"/>
          </w:rPr>
          <w:fldChar w:fldCharType="separate"/>
        </w:r>
        <w:r>
          <w:rPr>
            <w:rFonts w:ascii="Times New Roman" w:hAnsi="Times New Roman" w:cs="Times New Roman"/>
            <w:sz w:val="20"/>
          </w:rPr>
          <w:t>2</w:t>
        </w:r>
        <w:r>
          <w:rPr>
            <w:rFonts w:ascii="Times New Roman" w:hAnsi="Times New Roman" w:cs="Times New Roman"/>
            <w:sz w:val="20"/>
          </w:rPr>
          <w:fldChar w:fldCharType="end"/>
        </w:r>
        <w:r>
          <w:rPr>
            <w:rFonts w:ascii="Times New Roman" w:hAnsi="Times New Roman" w:cs="Times New Roman"/>
            <w:sz w:val="20"/>
          </w:rPr>
          <w:t xml:space="preserve"> | </w:t>
        </w:r>
        <w:r>
          <w:rPr>
            <w:rFonts w:ascii="Times New Roman" w:hAnsi="Times New Roman" w:cs="Times New Roman"/>
            <w:color w:val="7F7F7F" w:themeColor="background1" w:themeShade="7F"/>
            <w:spacing w:val="60"/>
            <w:sz w:val="20"/>
          </w:rPr>
          <w:t>Page</w:t>
        </w:r>
      </w:p>
    </w:sdtContent>
  </w:sdt>
  <w:p w14:paraId="115B7001" w14:textId="77777777" w:rsidR="0009169D" w:rsidRDefault="0009169D">
    <w:pPr>
      <w:pStyle w:val="Footer"/>
      <w:pBdr>
        <w:top w:val="single" w:sz="4" w:space="1" w:color="D9D9D9" w:themeColor="background1" w:themeShade="D9"/>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233DC" w14:textId="77777777" w:rsidR="00A955E7" w:rsidRDefault="00A955E7">
      <w:pPr>
        <w:spacing w:after="0" w:line="240" w:lineRule="auto"/>
      </w:pPr>
      <w:r>
        <w:separator/>
      </w:r>
    </w:p>
  </w:footnote>
  <w:footnote w:type="continuationSeparator" w:id="0">
    <w:p w14:paraId="3C855039" w14:textId="77777777" w:rsidR="00A955E7" w:rsidRDefault="00A955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69D"/>
    <w:rsid w:val="0009169D"/>
    <w:rsid w:val="001561A0"/>
    <w:rsid w:val="0072167D"/>
    <w:rsid w:val="00A955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3458A"/>
  <w15:docId w15:val="{95BBFEAC-BA27-4E88-A85E-3359AE6A1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val="en-US" w:eastAsia="en-US"/>
    </w:rPr>
  </w:style>
  <w:style w:type="paragraph" w:styleId="Heading1">
    <w:name w:val="heading 1"/>
    <w:basedOn w:val="Normal1"/>
    <w:next w:val="Normal1"/>
    <w:pPr>
      <w:keepNext/>
      <w:keepLines/>
      <w:spacing w:before="120" w:after="120" w:line="360" w:lineRule="auto"/>
      <w:jc w:val="both"/>
      <w:outlineLvl w:val="0"/>
    </w:pPr>
    <w:rPr>
      <w:b/>
      <w:color w:val="000000" w:themeColor="text1"/>
      <w:sz w:val="28"/>
      <w:szCs w:val="40"/>
    </w:rPr>
  </w:style>
  <w:style w:type="paragraph" w:styleId="Heading2">
    <w:name w:val="heading 2"/>
    <w:basedOn w:val="Normal1"/>
    <w:next w:val="Normal1"/>
    <w:pPr>
      <w:keepNext/>
      <w:keepLines/>
      <w:spacing w:before="120" w:after="120" w:line="360" w:lineRule="auto"/>
      <w:jc w:val="both"/>
      <w:outlineLvl w:val="1"/>
    </w:pPr>
    <w:rPr>
      <w:b/>
      <w:color w:val="000000" w:themeColor="text1"/>
      <w:sz w:val="26"/>
      <w:szCs w:val="32"/>
    </w:rPr>
  </w:style>
  <w:style w:type="paragraph" w:styleId="Heading3">
    <w:name w:val="heading 3"/>
    <w:basedOn w:val="Normal"/>
    <w:next w:val="Normal1"/>
    <w:pPr>
      <w:spacing w:after="200" w:line="360" w:lineRule="auto"/>
      <w:jc w:val="both"/>
      <w:outlineLvl w:val="2"/>
    </w:pPr>
    <w:rPr>
      <w:b/>
      <w:bCs/>
    </w:rPr>
  </w:style>
  <w:style w:type="paragraph" w:styleId="Heading4">
    <w:name w:val="heading 4"/>
    <w:basedOn w:val="Normal1"/>
    <w:next w:val="Normal1"/>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sz w:val="22"/>
      <w:szCs w:val="22"/>
      <w:lang w:val="en-US" w:eastAsia="en-US"/>
    </w:rPr>
  </w:style>
  <w:style w:type="paragraph" w:styleId="BalloonText">
    <w:name w:val="Balloon Text"/>
    <w:basedOn w:val="Normal"/>
    <w:link w:val="BalloonTextChar"/>
    <w:uiPriority w:val="99"/>
    <w:unhideWhenUsed/>
    <w:pPr>
      <w:spacing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line="240" w:lineRule="auto"/>
    </w:pPr>
  </w:style>
  <w:style w:type="paragraph" w:styleId="Header">
    <w:name w:val="header"/>
    <w:basedOn w:val="Normal"/>
    <w:link w:val="HeaderChar"/>
    <w:uiPriority w:val="99"/>
    <w:unhideWhenUsed/>
    <w:pPr>
      <w:tabs>
        <w:tab w:val="center" w:pos="4680"/>
        <w:tab w:val="right" w:pos="9360"/>
      </w:tabs>
      <w:spacing w:line="240" w:lineRule="auto"/>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Subtitle">
    <w:name w:val="Subtitle"/>
    <w:basedOn w:val="Normal1"/>
    <w:next w:val="Normal1"/>
    <w:pPr>
      <w:keepNext/>
      <w:keepLines/>
      <w:spacing w:after="320"/>
    </w:pPr>
    <w:rPr>
      <w:color w:val="666666"/>
      <w:sz w:val="30"/>
      <w:szCs w:val="30"/>
    </w:rPr>
  </w:style>
  <w:style w:type="paragraph" w:styleId="TableofFigures">
    <w:name w:val="table of figures"/>
    <w:basedOn w:val="Normal"/>
    <w:next w:val="Normal"/>
    <w:uiPriority w:val="99"/>
    <w:unhideWhenUsed/>
  </w:style>
  <w:style w:type="paragraph" w:styleId="Title">
    <w:name w:val="Title"/>
    <w:basedOn w:val="Normal1"/>
    <w:next w:val="Normal1"/>
    <w:pPr>
      <w:keepNext/>
      <w:keepLines/>
      <w:spacing w:after="60"/>
    </w:pPr>
    <w:rPr>
      <w:sz w:val="52"/>
      <w:szCs w:val="5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character" w:styleId="Hyperlink">
    <w:name w:val="Hyperlink"/>
    <w:basedOn w:val="DefaultParagraphFont"/>
    <w:uiPriority w:val="99"/>
    <w:unhideWhenUsed/>
    <w:rPr>
      <w:color w:val="0000FF" w:themeColor="hyperlink"/>
      <w:u w:val="single"/>
    </w:rPr>
  </w:style>
  <w:style w:type="table" w:customStyle="1" w:styleId="TableNormal1">
    <w:name w:val="Table Normal1"/>
    <w:tblPr>
      <w:tblCellMar>
        <w:top w:w="0" w:type="dxa"/>
        <w:left w:w="0" w:type="dxa"/>
        <w:bottom w:w="0" w:type="dxa"/>
        <w:right w:w="0" w:type="dxa"/>
      </w:tblCellMar>
    </w:tbl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TOCHeading1">
    <w:name w:val="TOC Heading1"/>
    <w:basedOn w:val="Heading1"/>
    <w:next w:val="Normal"/>
    <w:uiPriority w:val="39"/>
    <w:unhideWhenUsed/>
    <w:qFormat/>
    <w:pPr>
      <w:spacing w:before="480" w:line="276" w:lineRule="auto"/>
      <w:jc w:val="left"/>
      <w:outlineLvl w:val="9"/>
    </w:pPr>
    <w:rPr>
      <w:rFonts w:asciiTheme="majorHAnsi" w:eastAsiaTheme="majorEastAsia" w:hAnsiTheme="majorHAnsi" w:cstheme="majorBidi"/>
      <w:bCs/>
      <w:color w:val="365F91" w:themeColor="accent1" w:themeShade="BF"/>
      <w:szCs w:val="28"/>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4096</Words>
  <Characters>23349</Characters>
  <Application>Microsoft Office Word</Application>
  <DocSecurity>0</DocSecurity>
  <Lines>194</Lines>
  <Paragraphs>54</Paragraphs>
  <ScaleCrop>false</ScaleCrop>
  <Company/>
  <LinksUpToDate>false</LinksUpToDate>
  <CharactersWithSpaces>27391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Dhwani Yogeshbhai Patel (2431311)</cp:lastModifiedBy>
  <cp:revision>2</cp:revision>
  <dcterms:created xsi:type="dcterms:W3CDTF">2025-12-11T13:12:00Z</dcterms:created>
  <dcterms:modified xsi:type="dcterms:W3CDTF">2025-12-11T13:12:00Z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8ad2d168-9963-4078-a0be-8534a895b1eb</vt:lpwstr>
  </property>
  <property fmtid="{D5CDD505-2E9C-101B-9397-08002B2CF9AE}" pid="3" name="ICV">
    <vt:lpwstr>3A2F7A7A487B46D05DFF2F698ED43BCF_31</vt:lpwstr>
  </property>
  <property fmtid="{D5CDD505-2E9C-101B-9397-08002B2CF9AE}" pid="4" name="KSOProductBuildVer">
    <vt:lpwstr>3081-11.37.10</vt:lpwstr>
  </property>
</Properties>
</file>