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Override ContentType="application/vnd.openxmlformats-officedocument.wordprocessingml.footer+xml" PartName="/word/footer1.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300"/>
      </w:pPr>
      <w:r>
        <w:rPr>
          <w:rFonts w:ascii="Arial" w:cs="Arial" w:eastAsia="Arial" w:hAnsi="Arial"/>
          <w:sz w:val="22"/>
          <w:szCs w:val="22"/>
        </w:rPr>
        <w:t xml:space="preserve"/>
      </w:r>
    </w:p>
    <w:p>
      <w:pPr>
        <w:spacing w:after="120"/>
        <w:jc w:val="center"/>
      </w:pPr>
      <w:r>
        <w:drawing>
          <wp:inline distT="0" distB="0" distL="0" distR="0">
            <wp:extent cx="781050" cy="1028700"/>
            <wp:effectExtent t="0" r="0" b="0" l="0"/>
            <wp:docPr id="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 cstate="none"/>
                    <a:srcRect/>
                    <a:stretch>
                      <a:fillRect/>
                    </a:stretch>
                  </pic:blipFill>
                  <pic:spPr bwMode="auto">
                    <a:xfrm>
                      <a:off x="0" y="0"/>
                      <a:ext cx="781050" cy="1028700"/>
                    </a:xfrm>
                    <a:prstGeom prst="rect">
                      <a:avLst/>
                    </a:prstGeom>
                  </pic:spPr>
                </pic:pic>
              </a:graphicData>
            </a:graphic>
          </wp:inline>
        </w:drawing>
      </w:r>
    </w:p>
    <w:p>
      <w:pPr>
        <w:pBdr>
          <w:bottom w:val="single" w:color="1F4E79" w:sz="20" w:space="1"/>
        </w:pBdr>
        <w:spacing w:after="0" w:before="0"/>
      </w:pPr>
      <w:r>
        <w:rPr>
          <w:sz w:val="2"/>
          <w:szCs w:val="2"/>
        </w:rPr>
        <w:t xml:space="preserve"/>
      </w:r>
    </w:p>
    <w:p>
      <w:pPr>
        <w:spacing w:after="60" w:before="220"/>
        <w:jc w:val="center"/>
      </w:pPr>
      <w:r>
        <w:rPr>
          <w:rFonts w:ascii="Arial" w:cs="Arial" w:eastAsia="Arial" w:hAnsi="Arial"/>
          <w:b/>
          <w:bCs/>
          <w:color w:val="1F4E79"/>
          <w:sz w:val="30"/>
          <w:szCs w:val="30"/>
        </w:rPr>
        <w:t xml:space="preserve">UNIVERSITY OF WALES TRINITY SAINT DAVID</w:t>
      </w:r>
    </w:p>
    <w:p>
      <w:pPr>
        <w:spacing w:after="220"/>
        <w:jc w:val="center"/>
      </w:pPr>
      <w:r>
        <w:rPr>
          <w:rFonts w:ascii="Arial" w:cs="Arial" w:eastAsia="Arial" w:hAnsi="Arial"/>
          <w:sz w:val="24"/>
          <w:szCs w:val="24"/>
        </w:rPr>
        <w:t xml:space="preserve">BSc (Hons) Health and Social Care</w:t>
      </w:r>
    </w:p>
    <w:p>
      <w:pPr>
        <w:pBdr>
          <w:bottom w:val="single" w:color="1F4E79" w:sz="20" w:space="1"/>
        </w:pBdr>
        <w:spacing w:after="0" w:before="0"/>
      </w:pPr>
      <w:r>
        <w:rPr>
          <w:sz w:val="2"/>
          <w:szCs w:val="2"/>
        </w:rPr>
        <w:t xml:space="preserve"/>
      </w:r>
    </w:p>
    <w:p>
      <w:pPr>
        <w:spacing w:after="60" w:before="700"/>
        <w:jc w:val="center"/>
      </w:pPr>
      <w:r>
        <w:rPr>
          <w:rFonts w:ascii="Arial" w:cs="Arial" w:eastAsia="Arial" w:hAnsi="Arial"/>
          <w:b/>
          <w:bCs/>
          <w:color w:val="2E74B5"/>
          <w:sz w:val="24"/>
          <w:szCs w:val="24"/>
        </w:rPr>
        <w:t xml:space="preserve">Introduction to Independent Research Skills (BMHP5019)</w:t>
      </w:r>
    </w:p>
    <w:p>
      <w:pPr>
        <w:spacing w:after="360"/>
        <w:jc w:val="center"/>
      </w:pPr>
      <w:r>
        <w:rPr>
          <w:rFonts w:ascii="Arial" w:cs="Arial" w:eastAsia="Arial" w:hAnsi="Arial"/>
          <w:sz w:val="22"/>
          <w:szCs w:val="22"/>
        </w:rPr>
        <w:t xml:space="preserve">Component 2 – Written Assignment (Research Report)</w:t>
      </w:r>
    </w:p>
    <w:p>
      <w:pPr>
        <w:spacing w:after="120" w:line="320"/>
        <w:jc w:val="center"/>
      </w:pPr>
      <w:r>
        <w:rPr>
          <w:rFonts w:ascii="Arial" w:cs="Arial" w:eastAsia="Arial" w:hAnsi="Arial"/>
          <w:b/>
          <w:bCs/>
          <w:i/>
          <w:iCs/>
          <w:color w:val="1F4E79"/>
          <w:sz w:val="28"/>
          <w:szCs w:val="28"/>
        </w:rPr>
        <w:t xml:space="preserve">A Scoping Review of the Systemic Barriers and Facilitators to Accessing and Delivering Effective Obesity Management Services in UK Primary Care</w:t>
      </w:r>
    </w:p>
    <w:p>
      <w:pPr>
        <w:pBdr>
          <w:bottom w:val="single" w:color="BDD7EE" w:sz="8" w:space="1"/>
        </w:pBdr>
        <w:spacing w:after="700" w:before="200"/>
        <w:jc w:val="center"/>
      </w:pPr>
      <w:r>
        <w:rPr>
          <w:sz w:val="2"/>
          <w:szCs w:val="2"/>
        </w:rPr>
        <w:t xml:space="preserve"/>
      </w:r>
    </w:p>
    <w:p>
      <w:pPr>
        <w:spacing w:after="140" w:line="300"/>
        <w:jc w:val="center"/>
      </w:pPr>
      <w:r>
        <w:rPr>
          <w:rFonts w:ascii="Arial" w:cs="Arial" w:eastAsia="Arial" w:hAnsi="Arial"/>
          <w:b/>
          <w:bCs/>
          <w:color w:val="1F4E79"/>
          <w:sz w:val="22"/>
          <w:szCs w:val="22"/>
        </w:rPr>
        <w:t xml:space="preserve">Student Name:  </w:t>
      </w:r>
      <w:r>
        <w:rPr>
          <w:rFonts w:ascii="Arial" w:cs="Arial" w:eastAsia="Arial" w:hAnsi="Arial"/>
          <w:sz w:val="22"/>
          <w:szCs w:val="22"/>
        </w:rPr>
        <w:t xml:space="preserve">Cristina Apostol</w:t>
      </w:r>
    </w:p>
    <w:p>
      <w:pPr>
        <w:spacing w:after="140" w:line="300"/>
        <w:jc w:val="center"/>
      </w:pPr>
      <w:r>
        <w:rPr>
          <w:rFonts w:ascii="Arial" w:cs="Arial" w:eastAsia="Arial" w:hAnsi="Arial"/>
          <w:b/>
          <w:bCs/>
          <w:color w:val="1F4E79"/>
          <w:sz w:val="22"/>
          <w:szCs w:val="22"/>
        </w:rPr>
        <w:t xml:space="preserve">Student ID:  </w:t>
      </w:r>
      <w:r>
        <w:rPr>
          <w:rFonts w:ascii="Arial" w:cs="Arial" w:eastAsia="Arial" w:hAnsi="Arial"/>
          <w:sz w:val="22"/>
          <w:szCs w:val="22"/>
        </w:rPr>
        <w:t xml:space="preserve">2335890</w:t>
      </w:r>
    </w:p>
    <w:p>
      <w:pPr>
        <w:spacing w:after="140" w:line="300"/>
        <w:jc w:val="center"/>
      </w:pPr>
      <w:r>
        <w:rPr>
          <w:rFonts w:ascii="Arial" w:cs="Arial" w:eastAsia="Arial" w:hAnsi="Arial"/>
          <w:b/>
          <w:bCs/>
          <w:color w:val="1F4E79"/>
          <w:sz w:val="22"/>
          <w:szCs w:val="22"/>
        </w:rPr>
        <w:t xml:space="preserve">Module:  </w:t>
      </w:r>
      <w:r>
        <w:rPr>
          <w:rFonts w:ascii="Arial" w:cs="Arial" w:eastAsia="Arial" w:hAnsi="Arial"/>
          <w:sz w:val="22"/>
          <w:szCs w:val="22"/>
        </w:rPr>
        <w:t xml:space="preserve">Introduction to Independent Research Skills (BMHP5019)</w:t>
      </w:r>
    </w:p>
    <w:p>
      <w:pPr>
        <w:spacing w:after="140" w:line="300"/>
        <w:jc w:val="center"/>
      </w:pPr>
      <w:r>
        <w:rPr>
          <w:rFonts w:ascii="Arial" w:cs="Arial" w:eastAsia="Arial" w:hAnsi="Arial"/>
          <w:b/>
          <w:bCs/>
          <w:color w:val="1F4E79"/>
          <w:sz w:val="22"/>
          <w:szCs w:val="22"/>
        </w:rPr>
        <w:t xml:space="preserve">Assessment:  </w:t>
      </w:r>
      <w:r>
        <w:rPr>
          <w:rFonts w:ascii="Arial" w:cs="Arial" w:eastAsia="Arial" w:hAnsi="Arial"/>
          <w:sz w:val="22"/>
          <w:szCs w:val="22"/>
        </w:rPr>
        <w:t xml:space="preserve">Component 2 – Research Report</w:t>
      </w:r>
    </w:p>
    <w:p>
      <w:pPr>
        <w:spacing w:after="140" w:line="300"/>
        <w:jc w:val="center"/>
      </w:pPr>
      <w:r>
        <w:rPr>
          <w:rFonts w:ascii="Arial" w:cs="Arial" w:eastAsia="Arial" w:hAnsi="Arial"/>
          <w:b/>
          <w:bCs/>
          <w:color w:val="1F4E79"/>
          <w:sz w:val="22"/>
          <w:szCs w:val="22"/>
        </w:rPr>
        <w:t xml:space="preserve">Lecturer:  </w:t>
      </w:r>
      <w:r>
        <w:rPr>
          <w:rFonts w:ascii="Arial" w:cs="Arial" w:eastAsia="Arial" w:hAnsi="Arial"/>
          <w:sz w:val="22"/>
          <w:szCs w:val="22"/>
        </w:rPr>
        <w:t xml:space="preserve">Dr Eleni Koutsogeorgou-Andreou</w:t>
      </w:r>
    </w:p>
    <w:p>
      <w:pPr>
        <w:spacing w:after="140" w:line="300"/>
        <w:jc w:val="center"/>
      </w:pPr>
      <w:r>
        <w:rPr>
          <w:rFonts w:ascii="Arial" w:cs="Arial" w:eastAsia="Arial" w:hAnsi="Arial"/>
          <w:b/>
          <w:bCs/>
          <w:color w:val="1F4E79"/>
          <w:sz w:val="22"/>
          <w:szCs w:val="22"/>
        </w:rPr>
        <w:t xml:space="preserve">Date of Submission:  </w:t>
      </w:r>
      <w:r>
        <w:rPr>
          <w:rFonts w:ascii="Arial" w:cs="Arial" w:eastAsia="Arial" w:hAnsi="Arial"/>
          <w:sz w:val="22"/>
          <w:szCs w:val="22"/>
        </w:rPr>
        <w:t xml:space="preserve">14 August 2026</w:t>
      </w:r>
    </w:p>
    <w:p>
      <w:pPr>
        <w:spacing w:after="140" w:line="300"/>
        <w:jc w:val="center"/>
      </w:pPr>
      <w:r>
        <w:rPr>
          <w:rFonts w:ascii="Arial" w:cs="Arial" w:eastAsia="Arial" w:hAnsi="Arial"/>
          <w:b/>
          <w:bCs/>
          <w:color w:val="1F4E79"/>
          <w:sz w:val="22"/>
          <w:szCs w:val="22"/>
        </w:rPr>
        <w:t xml:space="preserve">Word Count:  </w:t>
      </w:r>
      <w:r>
        <w:rPr>
          <w:rFonts w:ascii="Arial" w:cs="Arial" w:eastAsia="Arial" w:hAnsi="Arial"/>
          <w:sz w:val="22"/>
          <w:szCs w:val="22"/>
        </w:rPr>
        <w:t xml:space="preserve">3,740 (excluding cover page, contents and reference list)</w:t>
      </w:r>
    </w:p>
    <w:p>
      <w:r>
        <w:br w:type="page"/>
      </w:r>
    </w:p>
    <w:p>
      <w:pPr>
        <w:spacing w:after="200"/>
      </w:pPr>
      <w:r>
        <w:rPr>
          <w:rFonts w:ascii="Arial" w:cs="Arial" w:eastAsia="Arial" w:hAnsi="Arial"/>
          <w:b/>
          <w:bCs/>
          <w:color w:val="1F4E79"/>
          <w:sz w:val="30"/>
          <w:szCs w:val="30"/>
        </w:rPr>
        <w:t xml:space="preserve">Contents</w:t>
      </w:r>
    </w:p>
    <w:p>
      <w:pPr>
        <w:tabs>
          <w:tab w:val="right" w:pos="9026" w:leader="dot"/>
        </w:tabs>
        <w:spacing w:after="90" w:line="360"/>
      </w:pPr>
      <w:r>
        <w:rPr>
          <w:rFonts w:ascii="Arial" w:cs="Arial" w:eastAsia="Arial" w:hAnsi="Arial"/>
          <w:b/>
          <w:bCs/>
          <w:sz w:val="22"/>
          <w:szCs w:val="22"/>
        </w:rPr>
        <w:t xml:space="preserve">1. Introduction</w:t>
      </w:r>
      <w:r>
        <w:rPr>
          <w:rFonts w:ascii="Arial" w:cs="Arial" w:eastAsia="Arial" w:hAnsi="Arial"/>
          <w:sz w:val="22"/>
          <w:szCs w:val="22"/>
        </w:rPr>
        <w:tab/>
      </w:r>
      <w:r>
        <w:rPr>
          <w:rFonts w:ascii="Arial" w:cs="Arial" w:eastAsia="Arial" w:hAnsi="Arial"/>
          <w:b/>
          <w:bCs/>
          <w:sz w:val="22"/>
          <w:szCs w:val="22"/>
        </w:rPr>
        <w:t xml:space="preserve">3</w:t>
      </w:r>
    </w:p>
    <w:p>
      <w:pPr>
        <w:tabs>
          <w:tab w:val="right" w:pos="9026" w:leader="dot"/>
        </w:tabs>
        <w:spacing w:after="90" w:line="360"/>
      </w:pPr>
      <w:r>
        <w:rPr>
          <w:rFonts w:ascii="Arial" w:cs="Arial" w:eastAsia="Arial" w:hAnsi="Arial"/>
          <w:b/>
          <w:bCs/>
          <w:sz w:val="22"/>
          <w:szCs w:val="22"/>
        </w:rPr>
        <w:t xml:space="preserve">2. Background</w:t>
      </w:r>
      <w:r>
        <w:rPr>
          <w:rFonts w:ascii="Arial" w:cs="Arial" w:eastAsia="Arial" w:hAnsi="Arial"/>
          <w:sz w:val="22"/>
          <w:szCs w:val="22"/>
        </w:rPr>
        <w:tab/>
      </w:r>
      <w:r>
        <w:rPr>
          <w:rFonts w:ascii="Arial" w:cs="Arial" w:eastAsia="Arial" w:hAnsi="Arial"/>
          <w:b/>
          <w:bCs/>
          <w:sz w:val="22"/>
          <w:szCs w:val="22"/>
        </w:rPr>
        <w:t xml:space="preserve">4</w:t>
      </w:r>
    </w:p>
    <w:p>
      <w:pPr>
        <w:tabs>
          <w:tab w:val="right" w:pos="9026" w:leader="dot"/>
        </w:tabs>
        <w:spacing w:after="90" w:line="360"/>
      </w:pPr>
      <w:r>
        <w:rPr>
          <w:rFonts w:ascii="Arial" w:cs="Arial" w:eastAsia="Arial" w:hAnsi="Arial"/>
          <w:b/>
          <w:bCs/>
          <w:sz w:val="22"/>
          <w:szCs w:val="22"/>
        </w:rPr>
        <w:t xml:space="preserve">3. Methods</w:t>
      </w:r>
      <w:r>
        <w:rPr>
          <w:rFonts w:ascii="Arial" w:cs="Arial" w:eastAsia="Arial" w:hAnsi="Arial"/>
          <w:sz w:val="22"/>
          <w:szCs w:val="22"/>
        </w:rPr>
        <w:tab/>
      </w:r>
      <w:r>
        <w:rPr>
          <w:rFonts w:ascii="Arial" w:cs="Arial" w:eastAsia="Arial" w:hAnsi="Arial"/>
          <w:b/>
          <w:bCs/>
          <w:sz w:val="22"/>
          <w:szCs w:val="22"/>
        </w:rPr>
        <w:t xml:space="preserve">6</w:t>
      </w:r>
    </w:p>
    <w:p>
      <w:pPr>
        <w:tabs>
          <w:tab w:val="right" w:pos="9026" w:leader="dot"/>
        </w:tabs>
        <w:spacing w:after="90" w:line="360"/>
        <w:ind w:left="480"/>
      </w:pPr>
      <w:r>
        <w:rPr>
          <w:rFonts w:ascii="Arial" w:cs="Arial" w:eastAsia="Arial" w:hAnsi="Arial"/>
          <w:b w:val="false"/>
          <w:bCs w:val="false"/>
          <w:sz w:val="22"/>
          <w:szCs w:val="22"/>
        </w:rPr>
        <w:t xml:space="preserve">3.1 Study design and framework</w:t>
      </w:r>
      <w:r>
        <w:rPr>
          <w:rFonts w:ascii="Arial" w:cs="Arial" w:eastAsia="Arial" w:hAnsi="Arial"/>
          <w:sz w:val="22"/>
          <w:szCs w:val="22"/>
        </w:rPr>
        <w:tab/>
      </w:r>
      <w:r>
        <w:rPr>
          <w:rFonts w:ascii="Arial" w:cs="Arial" w:eastAsia="Arial" w:hAnsi="Arial"/>
          <w:b w:val="false"/>
          <w:bCs w:val="false"/>
          <w:sz w:val="22"/>
          <w:szCs w:val="22"/>
        </w:rPr>
        <w:t xml:space="preserve">6</w:t>
      </w:r>
    </w:p>
    <w:p>
      <w:pPr>
        <w:tabs>
          <w:tab w:val="right" w:pos="9026" w:leader="dot"/>
        </w:tabs>
        <w:spacing w:after="90" w:line="360"/>
        <w:ind w:left="480"/>
      </w:pPr>
      <w:r>
        <w:rPr>
          <w:rFonts w:ascii="Arial" w:cs="Arial" w:eastAsia="Arial" w:hAnsi="Arial"/>
          <w:b w:val="false"/>
          <w:bCs w:val="false"/>
          <w:sz w:val="22"/>
          <w:szCs w:val="22"/>
        </w:rPr>
        <w:t xml:space="preserve">3.2 Data collection and search strategy</w:t>
      </w:r>
      <w:r>
        <w:rPr>
          <w:rFonts w:ascii="Arial" w:cs="Arial" w:eastAsia="Arial" w:hAnsi="Arial"/>
          <w:sz w:val="22"/>
          <w:szCs w:val="22"/>
        </w:rPr>
        <w:tab/>
      </w:r>
      <w:r>
        <w:rPr>
          <w:rFonts w:ascii="Arial" w:cs="Arial" w:eastAsia="Arial" w:hAnsi="Arial"/>
          <w:b w:val="false"/>
          <w:bCs w:val="false"/>
          <w:sz w:val="22"/>
          <w:szCs w:val="22"/>
        </w:rPr>
        <w:t xml:space="preserve">6</w:t>
      </w:r>
    </w:p>
    <w:p>
      <w:pPr>
        <w:tabs>
          <w:tab w:val="right" w:pos="9026" w:leader="dot"/>
        </w:tabs>
        <w:spacing w:after="90" w:line="360"/>
        <w:ind w:left="480"/>
      </w:pPr>
      <w:r>
        <w:rPr>
          <w:rFonts w:ascii="Arial" w:cs="Arial" w:eastAsia="Arial" w:hAnsi="Arial"/>
          <w:b w:val="false"/>
          <w:bCs w:val="false"/>
          <w:sz w:val="22"/>
          <w:szCs w:val="22"/>
        </w:rPr>
        <w:t xml:space="preserve">3.3 Data analysis</w:t>
      </w:r>
      <w:r>
        <w:rPr>
          <w:rFonts w:ascii="Arial" w:cs="Arial" w:eastAsia="Arial" w:hAnsi="Arial"/>
          <w:sz w:val="22"/>
          <w:szCs w:val="22"/>
        </w:rPr>
        <w:tab/>
      </w:r>
      <w:r>
        <w:rPr>
          <w:rFonts w:ascii="Arial" w:cs="Arial" w:eastAsia="Arial" w:hAnsi="Arial"/>
          <w:b w:val="false"/>
          <w:bCs w:val="false"/>
          <w:sz w:val="22"/>
          <w:szCs w:val="22"/>
        </w:rPr>
        <w:t xml:space="preserve">7</w:t>
      </w:r>
    </w:p>
    <w:p>
      <w:pPr>
        <w:tabs>
          <w:tab w:val="right" w:pos="9026" w:leader="dot"/>
        </w:tabs>
        <w:spacing w:after="90" w:line="360"/>
        <w:ind w:left="480"/>
      </w:pPr>
      <w:r>
        <w:rPr>
          <w:rFonts w:ascii="Arial" w:cs="Arial" w:eastAsia="Arial" w:hAnsi="Arial"/>
          <w:b w:val="false"/>
          <w:bCs w:val="false"/>
          <w:sz w:val="22"/>
          <w:szCs w:val="22"/>
        </w:rPr>
        <w:t xml:space="preserve">3.4 Ethical considerations</w:t>
      </w:r>
      <w:r>
        <w:rPr>
          <w:rFonts w:ascii="Arial" w:cs="Arial" w:eastAsia="Arial" w:hAnsi="Arial"/>
          <w:sz w:val="22"/>
          <w:szCs w:val="22"/>
        </w:rPr>
        <w:tab/>
      </w:r>
      <w:r>
        <w:rPr>
          <w:rFonts w:ascii="Arial" w:cs="Arial" w:eastAsia="Arial" w:hAnsi="Arial"/>
          <w:b w:val="false"/>
          <w:bCs w:val="false"/>
          <w:sz w:val="22"/>
          <w:szCs w:val="22"/>
        </w:rPr>
        <w:t xml:space="preserve">7</w:t>
      </w:r>
    </w:p>
    <w:p>
      <w:pPr>
        <w:tabs>
          <w:tab w:val="right" w:pos="9026" w:leader="dot"/>
        </w:tabs>
        <w:spacing w:after="90" w:line="360"/>
      </w:pPr>
      <w:r>
        <w:rPr>
          <w:rFonts w:ascii="Arial" w:cs="Arial" w:eastAsia="Arial" w:hAnsi="Arial"/>
          <w:b/>
          <w:bCs/>
          <w:sz w:val="22"/>
          <w:szCs w:val="22"/>
        </w:rPr>
        <w:t xml:space="preserve">4. Results</w:t>
      </w:r>
      <w:r>
        <w:rPr>
          <w:rFonts w:ascii="Arial" w:cs="Arial" w:eastAsia="Arial" w:hAnsi="Arial"/>
          <w:sz w:val="22"/>
          <w:szCs w:val="22"/>
        </w:rPr>
        <w:tab/>
      </w:r>
      <w:r>
        <w:rPr>
          <w:rFonts w:ascii="Arial" w:cs="Arial" w:eastAsia="Arial" w:hAnsi="Arial"/>
          <w:b/>
          <w:bCs/>
          <w:sz w:val="22"/>
          <w:szCs w:val="22"/>
        </w:rPr>
        <w:t xml:space="preserve">7</w:t>
      </w:r>
    </w:p>
    <w:p>
      <w:pPr>
        <w:tabs>
          <w:tab w:val="right" w:pos="9026" w:leader="dot"/>
        </w:tabs>
        <w:spacing w:after="90" w:line="360"/>
        <w:ind w:left="480"/>
      </w:pPr>
      <w:r>
        <w:rPr>
          <w:rFonts w:ascii="Arial" w:cs="Arial" w:eastAsia="Arial" w:hAnsi="Arial"/>
          <w:b w:val="false"/>
          <w:bCs w:val="false"/>
          <w:sz w:val="22"/>
          <w:szCs w:val="22"/>
        </w:rPr>
        <w:t xml:space="preserve">4.1 Theme 1: Clinician-level barriers</w:t>
      </w:r>
      <w:r>
        <w:rPr>
          <w:rFonts w:ascii="Arial" w:cs="Arial" w:eastAsia="Arial" w:hAnsi="Arial"/>
          <w:sz w:val="22"/>
          <w:szCs w:val="22"/>
        </w:rPr>
        <w:tab/>
      </w:r>
      <w:r>
        <w:rPr>
          <w:rFonts w:ascii="Arial" w:cs="Arial" w:eastAsia="Arial" w:hAnsi="Arial"/>
          <w:b w:val="false"/>
          <w:bCs w:val="false"/>
          <w:sz w:val="22"/>
          <w:szCs w:val="22"/>
        </w:rPr>
        <w:t xml:space="preserve">8</w:t>
      </w:r>
    </w:p>
    <w:p>
      <w:pPr>
        <w:tabs>
          <w:tab w:val="right" w:pos="9026" w:leader="dot"/>
        </w:tabs>
        <w:spacing w:after="90" w:line="360"/>
        <w:ind w:left="480"/>
      </w:pPr>
      <w:r>
        <w:rPr>
          <w:rFonts w:ascii="Arial" w:cs="Arial" w:eastAsia="Arial" w:hAnsi="Arial"/>
          <w:b w:val="false"/>
          <w:bCs w:val="false"/>
          <w:sz w:val="22"/>
          <w:szCs w:val="22"/>
        </w:rPr>
        <w:t xml:space="preserve">4.2 Theme 2: Patient-level barriers</w:t>
      </w:r>
      <w:r>
        <w:rPr>
          <w:rFonts w:ascii="Arial" w:cs="Arial" w:eastAsia="Arial" w:hAnsi="Arial"/>
          <w:sz w:val="22"/>
          <w:szCs w:val="22"/>
        </w:rPr>
        <w:tab/>
      </w:r>
      <w:r>
        <w:rPr>
          <w:rFonts w:ascii="Arial" w:cs="Arial" w:eastAsia="Arial" w:hAnsi="Arial"/>
          <w:b w:val="false"/>
          <w:bCs w:val="false"/>
          <w:sz w:val="22"/>
          <w:szCs w:val="22"/>
        </w:rPr>
        <w:t xml:space="preserve">9</w:t>
      </w:r>
    </w:p>
    <w:p>
      <w:pPr>
        <w:tabs>
          <w:tab w:val="right" w:pos="9026" w:leader="dot"/>
        </w:tabs>
        <w:spacing w:after="90" w:line="360"/>
        <w:ind w:left="480"/>
      </w:pPr>
      <w:r>
        <w:rPr>
          <w:rFonts w:ascii="Arial" w:cs="Arial" w:eastAsia="Arial" w:hAnsi="Arial"/>
          <w:b w:val="false"/>
          <w:bCs w:val="false"/>
          <w:sz w:val="22"/>
          <w:szCs w:val="22"/>
        </w:rPr>
        <w:t xml:space="preserve">4.3 Theme 3: System-level barriers and facilitators</w:t>
      </w:r>
      <w:r>
        <w:rPr>
          <w:rFonts w:ascii="Arial" w:cs="Arial" w:eastAsia="Arial" w:hAnsi="Arial"/>
          <w:sz w:val="22"/>
          <w:szCs w:val="22"/>
        </w:rPr>
        <w:tab/>
      </w:r>
      <w:r>
        <w:rPr>
          <w:rFonts w:ascii="Arial" w:cs="Arial" w:eastAsia="Arial" w:hAnsi="Arial"/>
          <w:b w:val="false"/>
          <w:bCs w:val="false"/>
          <w:sz w:val="22"/>
          <w:szCs w:val="22"/>
        </w:rPr>
        <w:t xml:space="preserve">9</w:t>
      </w:r>
    </w:p>
    <w:p>
      <w:pPr>
        <w:tabs>
          <w:tab w:val="right" w:pos="9026" w:leader="dot"/>
        </w:tabs>
        <w:spacing w:after="90" w:line="360"/>
      </w:pPr>
      <w:r>
        <w:rPr>
          <w:rFonts w:ascii="Arial" w:cs="Arial" w:eastAsia="Arial" w:hAnsi="Arial"/>
          <w:b/>
          <w:bCs/>
          <w:sz w:val="22"/>
          <w:szCs w:val="22"/>
        </w:rPr>
        <w:t xml:space="preserve">5. Discussion</w:t>
      </w:r>
      <w:r>
        <w:rPr>
          <w:rFonts w:ascii="Arial" w:cs="Arial" w:eastAsia="Arial" w:hAnsi="Arial"/>
          <w:sz w:val="22"/>
          <w:szCs w:val="22"/>
        </w:rPr>
        <w:tab/>
      </w:r>
      <w:r>
        <w:rPr>
          <w:rFonts w:ascii="Arial" w:cs="Arial" w:eastAsia="Arial" w:hAnsi="Arial"/>
          <w:b/>
          <w:bCs/>
          <w:sz w:val="22"/>
          <w:szCs w:val="22"/>
        </w:rPr>
        <w:t xml:space="preserve">10</w:t>
      </w:r>
    </w:p>
    <w:p>
      <w:pPr>
        <w:tabs>
          <w:tab w:val="right" w:pos="9026" w:leader="dot"/>
        </w:tabs>
        <w:spacing w:after="90" w:line="360"/>
      </w:pPr>
      <w:r>
        <w:rPr>
          <w:rFonts w:ascii="Arial" w:cs="Arial" w:eastAsia="Arial" w:hAnsi="Arial"/>
          <w:b/>
          <w:bCs/>
          <w:sz w:val="22"/>
          <w:szCs w:val="22"/>
        </w:rPr>
        <w:t xml:space="preserve">6. Conclusion and Recommendations</w:t>
      </w:r>
      <w:r>
        <w:rPr>
          <w:rFonts w:ascii="Arial" w:cs="Arial" w:eastAsia="Arial" w:hAnsi="Arial"/>
          <w:sz w:val="22"/>
          <w:szCs w:val="22"/>
        </w:rPr>
        <w:tab/>
      </w:r>
      <w:r>
        <w:rPr>
          <w:rFonts w:ascii="Arial" w:cs="Arial" w:eastAsia="Arial" w:hAnsi="Arial"/>
          <w:b/>
          <w:bCs/>
          <w:sz w:val="22"/>
          <w:szCs w:val="22"/>
        </w:rPr>
        <w:t xml:space="preserve">11</w:t>
      </w:r>
    </w:p>
    <w:p>
      <w:pPr>
        <w:tabs>
          <w:tab w:val="right" w:pos="9026" w:leader="dot"/>
        </w:tabs>
        <w:spacing w:after="90" w:line="360"/>
      </w:pPr>
      <w:r>
        <w:rPr>
          <w:rFonts w:ascii="Arial" w:cs="Arial" w:eastAsia="Arial" w:hAnsi="Arial"/>
          <w:b/>
          <w:bCs/>
          <w:sz w:val="22"/>
          <w:szCs w:val="22"/>
        </w:rPr>
        <w:t xml:space="preserve">References</w:t>
      </w:r>
      <w:r>
        <w:rPr>
          <w:rFonts w:ascii="Arial" w:cs="Arial" w:eastAsia="Arial" w:hAnsi="Arial"/>
          <w:sz w:val="22"/>
          <w:szCs w:val="22"/>
        </w:rPr>
        <w:tab/>
      </w:r>
      <w:r>
        <w:rPr>
          <w:rFonts w:ascii="Arial" w:cs="Arial" w:eastAsia="Arial" w:hAnsi="Arial"/>
          <w:b/>
          <w:bCs/>
          <w:sz w:val="22"/>
          <w:szCs w:val="22"/>
        </w:rPr>
        <w:t xml:space="preserve">13</w:t>
      </w:r>
    </w:p>
    <w:p>
      <w:pPr>
        <w:spacing w:before="200" w:line="360"/>
      </w:pPr>
      <w:r>
        <w:rPr>
          <w:rFonts w:ascii="Arial" w:cs="Arial" w:eastAsia="Arial" w:hAnsi="Arial"/>
          <w:b/>
          <w:bCs/>
          <w:sz w:val="22"/>
          <w:szCs w:val="22"/>
        </w:rPr>
        <w:t xml:space="preserve">List of Tables</w:t>
      </w:r>
    </w:p>
    <w:p>
      <w:pPr>
        <w:tabs>
          <w:tab w:val="right" w:pos="9026" w:leader="dot"/>
        </w:tabs>
        <w:spacing w:after="90" w:line="360"/>
        <w:ind w:left="480"/>
      </w:pPr>
      <w:r>
        <w:rPr>
          <w:rFonts w:ascii="Arial" w:cs="Arial" w:eastAsia="Arial" w:hAnsi="Arial"/>
          <w:b w:val="false"/>
          <w:bCs w:val="false"/>
          <w:sz w:val="22"/>
          <w:szCs w:val="22"/>
        </w:rPr>
        <w:t xml:space="preserve">Table 1. Summary of studies included in the scoping review</w:t>
      </w:r>
      <w:r>
        <w:rPr>
          <w:rFonts w:ascii="Arial" w:cs="Arial" w:eastAsia="Arial" w:hAnsi="Arial"/>
          <w:sz w:val="22"/>
          <w:szCs w:val="22"/>
        </w:rPr>
        <w:tab/>
      </w:r>
      <w:r>
        <w:rPr>
          <w:rFonts w:ascii="Arial" w:cs="Arial" w:eastAsia="Arial" w:hAnsi="Arial"/>
          <w:b w:val="false"/>
          <w:bCs w:val="false"/>
          <w:sz w:val="22"/>
          <w:szCs w:val="22"/>
        </w:rPr>
        <w:t xml:space="preserve">7</w:t>
      </w:r>
    </w:p>
    <w:p>
      <w:r>
        <w:br w:type="page"/>
      </w:r>
    </w:p>
    <w:p>
      <w:pPr>
        <w:pStyle w:val="Heading1"/>
        <w:pBdr>
          <w:bottom w:val="single" w:color="1F4E79" w:sz="8" w:space="4"/>
        </w:pBdr>
        <w:spacing w:after="160" w:before="320" w:line="360"/>
      </w:pPr>
      <w:r>
        <w:rPr>
          <w:rFonts w:ascii="Arial" w:cs="Arial" w:eastAsia="Arial" w:hAnsi="Arial"/>
          <w:b/>
          <w:bCs/>
          <w:sz w:val="28"/>
          <w:szCs w:val="28"/>
        </w:rPr>
        <w:t xml:space="preserve">1. Introduction</w:t>
      </w:r>
    </w:p>
    <w:p>
      <w:pPr>
        <w:spacing w:after="180" w:line="360"/>
        <w:jc w:val="both"/>
      </w:pPr>
      <w:r>
        <w:rPr>
          <w:rFonts w:ascii="Arial" w:cs="Arial" w:eastAsia="Arial" w:hAnsi="Arial"/>
          <w:sz w:val="22"/>
          <w:szCs w:val="22"/>
        </w:rPr>
        <w:t xml:space="preserve">Obesity is one of the most significant public health challenges facing the United Kingdom (UK) and places substantial pressure on health and social care services (World Health Organization, 2021). It is defined by the World Health Organization (2021) as an abnormal or excessive accumulation of body fat that presents a risk to health, and in adults it is commonly classified using a body mass index (BMI) of 30 kg/m² or above. ‘Obesity management’ refers to the range of interventions used to support weight loss and maintenance, including behavioural and lifestyle support, dietary and physical activity advice, pharmacotherapy and, in some cases, bariatric surgery (National Institute for Health and Care Excellence, 2025). Primary care – principally general practitioners (GPs) and practice nurses – is usually the first point of contact for patients and the gateway through which people are identified, supported and referred into weight-management pathways (Aveyard et al., 2016).</w:t>
      </w:r>
    </w:p>
    <w:p>
      <w:pPr>
        <w:spacing w:after="180" w:line="360"/>
        <w:jc w:val="both"/>
      </w:pPr>
      <w:r>
        <w:rPr>
          <w:rFonts w:ascii="Arial" w:cs="Arial" w:eastAsia="Arial" w:hAnsi="Arial"/>
          <w:sz w:val="22"/>
          <w:szCs w:val="22"/>
        </w:rPr>
        <w:t xml:space="preserve">A ‘barrier’ in this context is any factor that impedes access to, or the delivery of, effective obesity care, while a ‘facilitator’ is any factor that enables it. These may operate at the level of the individual clinician, the patient, or the wider health system. The rationale for examining this topic is that, despite national ambitions to improve weight-management pathways, access to obesity care in the UK remains fragmented and uneven, with clinicians frequently reporting systemic obstacles and patients reporting stigma and difficulty accessing services (Roberts et al., 2025; Flint et al., 2021). Understanding these barriers and facilitators is essential to designing a more equitable, evidence-based approach to obesity care and is therefore directly relevant to contemporary health and social care practice.</w:t>
      </w:r>
    </w:p>
    <w:p>
      <w:pPr>
        <w:spacing w:after="180" w:line="360"/>
        <w:jc w:val="both"/>
      </w:pPr>
      <w:r>
        <w:rPr>
          <w:rFonts w:ascii="Arial" w:cs="Arial" w:eastAsia="Arial" w:hAnsi="Arial"/>
          <w:b/>
          <w:bCs/>
          <w:i w:val="false"/>
          <w:iCs w:val="false"/>
          <w:sz w:val="22"/>
          <w:szCs w:val="22"/>
        </w:rPr>
        <w:t xml:space="preserve">Review question: </w:t>
      </w:r>
      <w:r>
        <w:rPr>
          <w:rFonts w:ascii="Arial" w:cs="Arial" w:eastAsia="Arial" w:hAnsi="Arial"/>
          <w:b w:val="false"/>
          <w:bCs w:val="false"/>
          <w:i w:val="false"/>
          <w:iCs w:val="false"/>
          <w:sz w:val="22"/>
          <w:szCs w:val="22"/>
        </w:rPr>
        <w:t xml:space="preserve">What are the systemic barriers and facilitators to accessing and delivering effective obesity management services in UK primary care?</w:t>
      </w:r>
    </w:p>
    <w:p>
      <w:pPr>
        <w:spacing w:after="180" w:line="360"/>
        <w:jc w:val="both"/>
      </w:pPr>
      <w:r>
        <w:rPr>
          <w:rFonts w:ascii="Arial" w:cs="Arial" w:eastAsia="Arial" w:hAnsi="Arial"/>
          <w:b w:val="false"/>
          <w:bCs w:val="false"/>
          <w:i w:val="false"/>
          <w:iCs w:val="false"/>
          <w:sz w:val="22"/>
          <w:szCs w:val="22"/>
        </w:rPr>
        <w:t xml:space="preserve">The objectives of this scoping review are:</w:t>
      </w:r>
    </w:p>
    <w:p>
      <w:pPr>
        <w:pStyle w:val="ListParagraph"/>
        <w:numPr>
          <w:ilvl w:val="0"/>
          <w:numId w:val="2"/>
        </w:numPr>
        <w:spacing w:after="100" w:line="360"/>
      </w:pPr>
      <w:r>
        <w:rPr>
          <w:rFonts w:ascii="Arial" w:cs="Arial" w:eastAsia="Arial" w:hAnsi="Arial"/>
          <w:sz w:val="22"/>
          <w:szCs w:val="22"/>
        </w:rPr>
        <w:t xml:space="preserve">To determine the systemic and pragmatic obstacles that primary care practitioners encounter when offering weight-management interventions;</w:t>
      </w:r>
    </w:p>
    <w:p>
      <w:pPr>
        <w:pStyle w:val="ListParagraph"/>
        <w:numPr>
          <w:ilvl w:val="0"/>
          <w:numId w:val="2"/>
        </w:numPr>
        <w:spacing w:after="100" w:line="360"/>
      </w:pPr>
      <w:r>
        <w:rPr>
          <w:rFonts w:ascii="Arial" w:cs="Arial" w:eastAsia="Arial" w:hAnsi="Arial"/>
          <w:sz w:val="22"/>
          <w:szCs w:val="22"/>
        </w:rPr>
        <w:t xml:space="preserve">To examine patient-reported facilitators and barriers regarding access to obesity care and treatment; and</w:t>
      </w:r>
    </w:p>
    <w:p>
      <w:pPr>
        <w:pStyle w:val="ListParagraph"/>
        <w:numPr>
          <w:ilvl w:val="0"/>
          <w:numId w:val="2"/>
        </w:numPr>
        <w:spacing w:after="100" w:line="360"/>
      </w:pPr>
      <w:r>
        <w:rPr>
          <w:rFonts w:ascii="Arial" w:cs="Arial" w:eastAsia="Arial" w:hAnsi="Arial"/>
          <w:sz w:val="22"/>
          <w:szCs w:val="22"/>
        </w:rPr>
        <w:t xml:space="preserve">To determine how these factors affect the equitable provision of health and social care services.</w:t>
      </w:r>
    </w:p>
    <w:p>
      <w:pPr>
        <w:spacing w:after="180" w:line="360"/>
        <w:jc w:val="both"/>
      </w:pPr>
      <w:r>
        <w:rPr>
          <w:rFonts w:ascii="Arial" w:cs="Arial" w:eastAsia="Arial" w:hAnsi="Arial"/>
          <w:sz w:val="22"/>
          <w:szCs w:val="22"/>
        </w:rPr>
        <w:t xml:space="preserve">This report is structured to reflect the stages of a scoping review. The background situates the topic within its epidemiological, policy and service context; the methods section describes the scoping review framework, search strategy, analysis and ethical considerations; the results present six peer-reviewed studies and the themes generated through thematic analysis; and the discussion critically interprets these findings before conclusions and recommendations for future research, policy and practice are offered.</w:t>
      </w:r>
    </w:p>
    <w:p>
      <w:pPr>
        <w:spacing w:after="180" w:line="360"/>
        <w:jc w:val="both"/>
      </w:pPr>
      <w:r>
        <w:rPr>
          <w:rFonts w:ascii="Arial" w:cs="Arial" w:eastAsia="Arial" w:hAnsi="Arial"/>
          <w:sz w:val="22"/>
          <w:szCs w:val="22"/>
        </w:rPr>
        <w:t xml:space="preserve">Primary care occupies a pivotal position within the obesity care system because it combines universal reach with continuity of relationship: the large majority of the population is registered with a general practice and consults it regularly, frequently for conditions linked to excess weight. This places GPs and practice nurses in a unique position to identify obesity, to initiate treatment and to act as gatekeepers to specialist services. Yet the very features that make primary care central also expose it to competing demands and limited capacity, which is precisely why the barriers and facilitators operating at this level warrant close examination.</w:t>
      </w:r>
    </w:p>
    <w:p>
      <w:pPr>
        <w:pStyle w:val="Heading1"/>
        <w:pBdr>
          <w:bottom w:val="single" w:color="1F4E79" w:sz="8" w:space="4"/>
        </w:pBdr>
        <w:spacing w:after="160" w:before="320" w:line="360"/>
      </w:pPr>
      <w:r>
        <w:rPr>
          <w:rFonts w:ascii="Arial" w:cs="Arial" w:eastAsia="Arial" w:hAnsi="Arial"/>
          <w:b/>
          <w:bCs/>
          <w:sz w:val="28"/>
          <w:szCs w:val="28"/>
        </w:rPr>
        <w:t xml:space="preserve">2. Background</w:t>
      </w:r>
    </w:p>
    <w:p>
      <w:pPr>
        <w:spacing w:after="180" w:line="360"/>
        <w:jc w:val="both"/>
      </w:pPr>
      <w:r>
        <w:rPr>
          <w:rFonts w:ascii="Arial" w:cs="Arial" w:eastAsia="Arial" w:hAnsi="Arial"/>
          <w:sz w:val="22"/>
          <w:szCs w:val="22"/>
        </w:rPr>
        <w:t xml:space="preserve">Obesity is highly prevalent in the UK adult population. The Health Survey for England reported that, in 2022, approximately 29% of adults were living with obesity and around 64% were overweight or living with obesity (NHS England Digital, 2023). The condition is strongly associated with type 2 diabetes, cardiovascular disease, several cancers and reduced quality of life, and it contributes to marked health inequalities, being consistently more common in the most deprived communities (World Health Organization, 2021). The economic consequences are considerable: analysis commissioned in this area has estimated the total annual cost of overweight and obesity to the UK at around £98 billion, including direct costs to the National Health Service (NHS) and wider costs to society and the economy (Frontier Economics, 2023). Although this figure derives from commissioned (grey) literature and more recent estimates have revised it upwards, it illustrates the scale of the challenge and the strong policy incentive to intervene effectively (Sloggett, 2024).</w:t>
      </w:r>
    </w:p>
    <w:p>
      <w:pPr>
        <w:spacing w:after="180" w:line="360"/>
        <w:jc w:val="both"/>
      </w:pPr>
      <w:r>
        <w:rPr>
          <w:rFonts w:ascii="Arial" w:cs="Arial" w:eastAsia="Arial" w:hAnsi="Arial"/>
          <w:sz w:val="22"/>
          <w:szCs w:val="22"/>
        </w:rPr>
        <w:t xml:space="preserve">The burden of obesity is distributed unequally across the population. Prevalence is consistently higher among people living in the most deprived areas and among some minority ethnic groups, and obesity frequently coexists with other long-term conditions such as hypertension, type 2 diabetes and depression (World Health Organization, 2021). This clustering of need means that the people most likely to require obesity care are often those who face the greatest difficulty in accessing it. Any barrier operating within primary care therefore has the potential to widen existing health inequalities rather than to reduce them, which gives the present review a clear equity dimension.</w:t>
      </w:r>
    </w:p>
    <w:p>
      <w:pPr>
        <w:spacing w:after="180" w:line="360"/>
        <w:jc w:val="both"/>
      </w:pPr>
      <w:r>
        <w:rPr>
          <w:rFonts w:ascii="Arial" w:cs="Arial" w:eastAsia="Arial" w:hAnsi="Arial"/>
          <w:sz w:val="22"/>
          <w:szCs w:val="22"/>
        </w:rPr>
        <w:t xml:space="preserve">In England, obesity care is organised around a tiered weight-management pathway. Tier 1 comprises universal prevention and lifestyle advice; Tier 2 provides community-based behavioural weight-management programmes; Tier 3 offers specialist multidisciplinary support; and Tier 4 covers bariatric surgery (Public Health England, 2017; National Institute for Health and Care Excellence, 2025). Primary care sits at the centre of this system, responsible for identifying obesity, offering brief advice and referring patients into higher tiers. In practice, however, provision is highly variable. Responsibility for commissioning weight-management services is now held by Integrated Care Boards (ICBs), and geographic variation in what is available has been described as a ‘postcode lottery’, whereby access depends heavily on where a patient lives (House of Commons Library, 2023; Flint et al., 2021; de Bray et al., 2025).</w:t>
      </w:r>
    </w:p>
    <w:p>
      <w:pPr>
        <w:spacing w:after="180" w:line="360"/>
        <w:jc w:val="both"/>
      </w:pPr>
      <w:r>
        <w:rPr>
          <w:rFonts w:ascii="Arial" w:cs="Arial" w:eastAsia="Arial" w:hAnsi="Arial"/>
          <w:sz w:val="22"/>
          <w:szCs w:val="22"/>
        </w:rPr>
        <w:t xml:space="preserve">Policy and clinical guidance have sought to address these problems. The National Institute for Health and Care Excellence (2025) has consolidated its recommendations on the identification, assessment and management of overweight and obesity, including referral criteria for specialist services. Pharmacological options have also expanded rapidly: NICE has recommended semaglutide (National Institute for Health and Care Excellence, 2023) and, subsequently, tirzepatide (National Institute for Health and Care Excellence, 2024) for weight management within specialist services, subject to a phased NHS rollout. These developments have generated considerable demand but also concern about unequal access and the capacity of primary and specialist care to deliver them (de Bray et al., 2025).</w:t>
      </w:r>
    </w:p>
    <w:p>
      <w:pPr>
        <w:spacing w:after="180" w:line="360"/>
        <w:jc w:val="both"/>
      </w:pPr>
      <w:r>
        <w:rPr>
          <w:rFonts w:ascii="Arial" w:cs="Arial" w:eastAsia="Arial" w:hAnsi="Arial"/>
          <w:sz w:val="22"/>
          <w:szCs w:val="22"/>
        </w:rPr>
        <w:t xml:space="preserve">The arrival of these medicines has changed the nature of obesity management in primary care, raising questions about who should initiate and monitor treatment, how rising demand can be met within existing resources, and how equity of access can be safeguarded. These questions bear directly on the barriers and facilitators explored in this review, because a treatment that is clinically effective but unevenly commissioned may deepen rather than reduce inequalities in care.</w:t>
      </w:r>
    </w:p>
    <w:p>
      <w:pPr>
        <w:spacing w:after="180" w:line="360"/>
        <w:jc w:val="both"/>
      </w:pPr>
      <w:r>
        <w:rPr>
          <w:rFonts w:ascii="Arial" w:cs="Arial" w:eastAsia="Arial" w:hAnsi="Arial"/>
          <w:sz w:val="22"/>
          <w:szCs w:val="22"/>
        </w:rPr>
        <w:t xml:space="preserve">A further important dimension is weight stigma. People living with obesity frequently report experiencing stigmatising attitudes within healthcare settings, which can deter them from seeking help and undermine the therapeutic relationship (Ryan et al., 2023; Health Policy Partnership, 2024). Because primary care is where most weight conversations begin, the way in which clinicians raise and manage the topic of weight is itself a potential barrier or facilitator to effective care. Against this background of high prevalence, fragmented provision, rapid pharmacological change and persistent stigma, a structured review of the barriers and facilitators operating in UK primary care is both timely and necessary.</w:t>
      </w:r>
    </w:p>
    <w:p>
      <w:pPr>
        <w:pStyle w:val="Heading1"/>
        <w:pBdr>
          <w:bottom w:val="single" w:color="1F4E79" w:sz="8" w:space="4"/>
        </w:pBdr>
        <w:spacing w:after="160" w:before="320" w:line="360"/>
      </w:pPr>
      <w:r>
        <w:rPr>
          <w:rFonts w:ascii="Arial" w:cs="Arial" w:eastAsia="Arial" w:hAnsi="Arial"/>
          <w:b/>
          <w:bCs/>
          <w:sz w:val="28"/>
          <w:szCs w:val="28"/>
        </w:rPr>
        <w:t xml:space="preserve">3. Methods</w:t>
      </w:r>
    </w:p>
    <w:p>
      <w:pPr>
        <w:pStyle w:val="Heading2"/>
        <w:spacing w:after="100" w:before="180" w:line="360"/>
      </w:pPr>
      <w:r>
        <w:rPr>
          <w:rFonts w:ascii="Arial" w:cs="Arial" w:eastAsia="Arial" w:hAnsi="Arial"/>
          <w:b/>
          <w:bCs/>
          <w:sz w:val="24"/>
          <w:szCs w:val="24"/>
        </w:rPr>
        <w:t xml:space="preserve">3.1 Study design and framework</w:t>
      </w:r>
    </w:p>
    <w:p>
      <w:pPr>
        <w:spacing w:after="180" w:line="360"/>
        <w:jc w:val="both"/>
      </w:pPr>
      <w:r>
        <w:rPr>
          <w:rFonts w:ascii="Arial" w:cs="Arial" w:eastAsia="Arial" w:hAnsi="Arial"/>
          <w:sz w:val="22"/>
          <w:szCs w:val="22"/>
        </w:rPr>
        <w:t xml:space="preserve">A scoping review methodology was chosen because it is well suited to mapping the extent, range and nature of evidence on a broad topic and to identifying key concepts and gaps, rather than producing a single pooled estimate of effect (Arksey and O’Malley, 2005; Mak and Thomas, 2025). The review followed the five-stage framework of Arksey and O’Malley (2005), later refined by Levac, Colquhoun and O’Brien (2010): identifying the review question; identifying relevant studies; study selection; charting the data; and collating, summarising and reporting the results. Reporting was informed by the PRISMA extension for Scoping Reviews (Tricco et al., 2018).</w:t>
      </w:r>
    </w:p>
    <w:p>
      <w:pPr>
        <w:pStyle w:val="Heading2"/>
        <w:spacing w:after="100" w:before="180" w:line="360"/>
      </w:pPr>
      <w:r>
        <w:rPr>
          <w:rFonts w:ascii="Arial" w:cs="Arial" w:eastAsia="Arial" w:hAnsi="Arial"/>
          <w:b/>
          <w:bCs/>
          <w:sz w:val="24"/>
          <w:szCs w:val="24"/>
        </w:rPr>
        <w:t xml:space="preserve">3.2 Data collection and search strategy</w:t>
      </w:r>
    </w:p>
    <w:p>
      <w:pPr>
        <w:spacing w:after="180" w:line="360"/>
        <w:jc w:val="both"/>
      </w:pPr>
      <w:r>
        <w:rPr>
          <w:rFonts w:ascii="Arial" w:cs="Arial" w:eastAsia="Arial" w:hAnsi="Arial"/>
          <w:sz w:val="22"/>
          <w:szCs w:val="22"/>
        </w:rPr>
        <w:t xml:space="preserve">A structured search of academic databases was undertaken, including PubMed, CINAHL (via EBSCOhost) and the Cochrane Library, supplemented by the UWTSD Library discovery tool. Search terms were combined using Boolean operators, for example: (‘obes*’ OR ‘overweight’ OR ‘weight management’) AND (‘primary care’ OR ‘general practice’ OR ‘GP’) AND (‘barrier*’ OR ‘facilitator*’ OR ‘access’) AND (‘UK’ OR ‘United Kingdom’ OR ‘England’). Reference lists of relevant articles were also hand-searched. To be included, studies had to be peer-reviewed primary or secondary research; focus on barriers and/or facilitators to obesity management in UK primary care; involve adults; and be published in English, ideally within the last ten years, with seminal works retained. In line with the assessment requirements, policy papers, guidance documents, editorials and commentaries were excluded from the analysis but were drawn upon in the background section. Following screening, six peer-reviewed studies were selected for detailed analysis, chosen to represent clinician-, patient- and system-level perspectives.</w:t>
      </w:r>
    </w:p>
    <w:p>
      <w:pPr>
        <w:spacing w:after="180" w:line="360"/>
        <w:jc w:val="both"/>
      </w:pPr>
      <w:r>
        <w:rPr>
          <w:rFonts w:ascii="Arial" w:cs="Arial" w:eastAsia="Arial" w:hAnsi="Arial"/>
          <w:sz w:val="22"/>
          <w:szCs w:val="22"/>
        </w:rPr>
        <w:t xml:space="preserve">Screening followed the stages recommended for scoping reviews: records identified through the searches were first screened by title and abstract against the inclusion criteria, and potentially relevant articles were then read in full to confirm eligibility (Tricco et al., 2018). Articles were excluded where they were not peer-reviewed, did not concern primary care, or did not address barriers or facilitators to obesity management. This staged, documented process was designed to ensure that the final selection was transparent, relevant and reproducible.</w:t>
      </w:r>
    </w:p>
    <w:p>
      <w:pPr>
        <w:pStyle w:val="Heading2"/>
        <w:spacing w:after="100" w:before="180" w:line="360"/>
      </w:pPr>
      <w:r>
        <w:rPr>
          <w:rFonts w:ascii="Arial" w:cs="Arial" w:eastAsia="Arial" w:hAnsi="Arial"/>
          <w:b/>
          <w:bCs/>
          <w:sz w:val="24"/>
          <w:szCs w:val="24"/>
        </w:rPr>
        <w:t xml:space="preserve">3.3 Data analysis</w:t>
      </w:r>
    </w:p>
    <w:p>
      <w:pPr>
        <w:spacing w:after="180" w:line="360"/>
        <w:jc w:val="both"/>
      </w:pPr>
      <w:r>
        <w:rPr>
          <w:rFonts w:ascii="Arial" w:cs="Arial" w:eastAsia="Arial" w:hAnsi="Arial"/>
          <w:sz w:val="22"/>
          <w:szCs w:val="22"/>
        </w:rPr>
        <w:t xml:space="preserve">Data from the included studies were charted into a summary table capturing author, year, design, sample, focus and key findings (Table 1). The findings were then examined using Braun and Clarke’s (2006) six-phase approach to thematic analysis, comprising familiarisation with the data, generating initial codes, searching for themes, reviewing themes, defining themes and producing the analysis. This inductive process allowed patterns to be identified across studies that used different designs and populations, generating the three themes reported in the results.</w:t>
      </w:r>
    </w:p>
    <w:p>
      <w:pPr>
        <w:pStyle w:val="Heading2"/>
        <w:spacing w:after="100" w:before="180" w:line="360"/>
      </w:pPr>
      <w:r>
        <w:rPr>
          <w:rFonts w:ascii="Arial" w:cs="Arial" w:eastAsia="Arial" w:hAnsi="Arial"/>
          <w:b/>
          <w:bCs/>
          <w:sz w:val="24"/>
          <w:szCs w:val="24"/>
        </w:rPr>
        <w:t xml:space="preserve">3.4 Ethical considerations</w:t>
      </w:r>
    </w:p>
    <w:p>
      <w:pPr>
        <w:spacing w:after="180" w:line="360"/>
        <w:jc w:val="both"/>
      </w:pPr>
      <w:r>
        <w:rPr>
          <w:rFonts w:ascii="Arial" w:cs="Arial" w:eastAsia="Arial" w:hAnsi="Arial"/>
          <w:sz w:val="22"/>
          <w:szCs w:val="22"/>
        </w:rPr>
        <w:t xml:space="preserve">As this study is a secondary scoping review of already-published, publicly available, peer-reviewed research, it did not involve human participants, personal data or direct contact with patients, and therefore did not require formal approval from an NHS or university research ethics committee; institutional ethics self-certification procedures were nonetheless followed (Mak and Thomas, 2025). Ethical practice in secondary research centres on academic integrity: findings were reported accurately and honestly, including those that challenged the reviewer’s assumptions; all sources were fully attributed to avoid plagiarism; and a transparent, reproducible method was used to reduce selection bias (Tricco et al., 2018). The studies drawn upon were originally conducted under their own ethical governance, and only aggregated, published findings were used, so no data-protection issues arose.</w:t>
      </w:r>
    </w:p>
    <w:p>
      <w:pPr>
        <w:pStyle w:val="Heading1"/>
        <w:pBdr>
          <w:bottom w:val="single" w:color="1F4E79" w:sz="8" w:space="4"/>
        </w:pBdr>
        <w:spacing w:after="160" w:before="320" w:line="360"/>
      </w:pPr>
      <w:r>
        <w:rPr>
          <w:rFonts w:ascii="Arial" w:cs="Arial" w:eastAsia="Arial" w:hAnsi="Arial"/>
          <w:b/>
          <w:bCs/>
          <w:sz w:val="28"/>
          <w:szCs w:val="28"/>
        </w:rPr>
        <w:t xml:space="preserve">4. Results</w:t>
      </w:r>
    </w:p>
    <w:p>
      <w:pPr>
        <w:spacing w:after="180" w:line="360"/>
        <w:jc w:val="both"/>
      </w:pPr>
      <w:r>
        <w:rPr>
          <w:rFonts w:ascii="Arial" w:cs="Arial" w:eastAsia="Arial" w:hAnsi="Arial"/>
          <w:sz w:val="22"/>
          <w:szCs w:val="22"/>
        </w:rPr>
        <w:t xml:space="preserve">Six peer-reviewed studies met the inclusion criteria and are summarised in Table 1. They comprise qualitative interview studies, a systematic review with qualitative synthesis, a large randomised controlled trial (RCT) and a service-mapping study, all conducted in or directly relevant to UK primary care. Together they capture the perspectives of clinicians, patients and the wider system. Thematic analysis of the findings generated three themes.</w:t>
      </w:r>
    </w:p>
    <w:p>
      <w:pPr>
        <w:spacing w:after="100" w:before="120" w:line="360"/>
      </w:pPr>
      <w:r>
        <w:rPr>
          <w:rFonts w:ascii="Arial" w:cs="Arial" w:eastAsia="Arial" w:hAnsi="Arial"/>
          <w:b/>
          <w:bCs/>
          <w:sz w:val="22"/>
          <w:szCs w:val="22"/>
        </w:rPr>
        <w:t xml:space="preserve">Table 1. Summary of studies included in the scoping review</w:t>
      </w:r>
    </w:p>
    <w:tbl>
      <w:tblPr>
        <w:tblW w:type="dxa" w:w="9000"/>
        <w:tblBorders>
          <w:top w:val="single" w:color="BDD7EE" w:sz="4"/>
          <w:left w:val="single" w:color="BDD7EE" w:sz="4"/>
          <w:bottom w:val="single" w:color="BDD7EE" w:sz="4"/>
          <w:right w:val="single" w:color="BDD7EE" w:sz="4"/>
          <w:insideH w:val="single" w:color="BDD7EE" w:sz="4"/>
          <w:insideV w:val="single" w:color="BDD7EE" w:sz="4"/>
        </w:tblBorders>
      </w:tblPr>
      <w:tblGrid>
        <w:gridCol w:w="1500"/>
        <w:gridCol w:w="1250"/>
        <w:gridCol w:w="1850"/>
        <w:gridCol w:w="2000"/>
        <w:gridCol w:w="2400"/>
      </w:tblGrid>
      <w:tr>
        <w:trPr>
          <w:tblHeader/>
        </w:trPr>
        <w:tc>
          <w:tcPr>
            <w:tcW w:type="dxa" w:w="1500"/>
            <w:shd w:fill="1F4E79" w:color="auto" w:val="clear"/>
            <w:tcMar>
              <w:top w:type="dxa" w:w="60"/>
              <w:left w:type="dxa" w:w="80"/>
              <w:bottom w:type="dxa" w:w="60"/>
              <w:right w:type="dxa" w:w="80"/>
            </w:tcMar>
          </w:tcPr>
          <w:p>
            <w:pPr>
              <w:spacing w:after="0" w:line="240"/>
            </w:pPr>
            <w:r>
              <w:rPr>
                <w:rFonts w:ascii="Arial" w:cs="Arial" w:eastAsia="Arial" w:hAnsi="Arial"/>
                <w:b/>
                <w:bCs/>
                <w:color w:val="FFFFFF"/>
                <w:sz w:val="18"/>
                <w:szCs w:val="18"/>
              </w:rPr>
              <w:t xml:space="preserve">Study (author, year)</w:t>
            </w:r>
          </w:p>
        </w:tc>
        <w:tc>
          <w:tcPr>
            <w:tcW w:type="dxa" w:w="1250"/>
            <w:shd w:fill="1F4E79" w:color="auto" w:val="clear"/>
            <w:tcMar>
              <w:top w:type="dxa" w:w="60"/>
              <w:left w:type="dxa" w:w="80"/>
              <w:bottom w:type="dxa" w:w="60"/>
              <w:right w:type="dxa" w:w="80"/>
            </w:tcMar>
          </w:tcPr>
          <w:p>
            <w:pPr>
              <w:spacing w:after="0" w:line="240"/>
            </w:pPr>
            <w:r>
              <w:rPr>
                <w:rFonts w:ascii="Arial" w:cs="Arial" w:eastAsia="Arial" w:hAnsi="Arial"/>
                <w:b/>
                <w:bCs/>
                <w:color w:val="FFFFFF"/>
                <w:sz w:val="18"/>
                <w:szCs w:val="18"/>
              </w:rPr>
              <w:t xml:space="preserve">Design</w:t>
            </w:r>
          </w:p>
        </w:tc>
        <w:tc>
          <w:tcPr>
            <w:tcW w:type="dxa" w:w="1850"/>
            <w:shd w:fill="1F4E79" w:color="auto" w:val="clear"/>
            <w:tcMar>
              <w:top w:type="dxa" w:w="60"/>
              <w:left w:type="dxa" w:w="80"/>
              <w:bottom w:type="dxa" w:w="60"/>
              <w:right w:type="dxa" w:w="80"/>
            </w:tcMar>
          </w:tcPr>
          <w:p>
            <w:pPr>
              <w:spacing w:after="0" w:line="240"/>
            </w:pPr>
            <w:r>
              <w:rPr>
                <w:rFonts w:ascii="Arial" w:cs="Arial" w:eastAsia="Arial" w:hAnsi="Arial"/>
                <w:b/>
                <w:bCs/>
                <w:color w:val="FFFFFF"/>
                <w:sz w:val="18"/>
                <w:szCs w:val="18"/>
              </w:rPr>
              <w:t xml:space="preserve">Sample &amp; setting</w:t>
            </w:r>
          </w:p>
        </w:tc>
        <w:tc>
          <w:tcPr>
            <w:tcW w:type="dxa" w:w="2000"/>
            <w:shd w:fill="1F4E79" w:color="auto" w:val="clear"/>
            <w:tcMar>
              <w:top w:type="dxa" w:w="60"/>
              <w:left w:type="dxa" w:w="80"/>
              <w:bottom w:type="dxa" w:w="60"/>
              <w:right w:type="dxa" w:w="80"/>
            </w:tcMar>
          </w:tcPr>
          <w:p>
            <w:pPr>
              <w:spacing w:after="0" w:line="240"/>
            </w:pPr>
            <w:r>
              <w:rPr>
                <w:rFonts w:ascii="Arial" w:cs="Arial" w:eastAsia="Arial" w:hAnsi="Arial"/>
                <w:b/>
                <w:bCs/>
                <w:color w:val="FFFFFF"/>
                <w:sz w:val="18"/>
                <w:szCs w:val="18"/>
              </w:rPr>
              <w:t xml:space="preserve">Focus</w:t>
            </w:r>
          </w:p>
        </w:tc>
        <w:tc>
          <w:tcPr>
            <w:tcW w:type="dxa" w:w="2400"/>
            <w:shd w:fill="1F4E79" w:color="auto" w:val="clear"/>
            <w:tcMar>
              <w:top w:type="dxa" w:w="60"/>
              <w:left w:type="dxa" w:w="80"/>
              <w:bottom w:type="dxa" w:w="60"/>
              <w:right w:type="dxa" w:w="80"/>
            </w:tcMar>
          </w:tcPr>
          <w:p>
            <w:pPr>
              <w:spacing w:after="0" w:line="240"/>
            </w:pPr>
            <w:r>
              <w:rPr>
                <w:rFonts w:ascii="Arial" w:cs="Arial" w:eastAsia="Arial" w:hAnsi="Arial"/>
                <w:b/>
                <w:bCs/>
                <w:color w:val="FFFFFF"/>
                <w:sz w:val="18"/>
                <w:szCs w:val="18"/>
              </w:rPr>
              <w:t xml:space="preserve">Key findings</w:t>
            </w:r>
          </w:p>
        </w:tc>
      </w:tr>
      <w:tr>
        <w:tc>
          <w:tcPr>
            <w:tcW w:type="dxa" w:w="1500"/>
            <w:tcMar>
              <w:top w:type="dxa" w:w="60"/>
              <w:left w:type="dxa" w:w="80"/>
              <w:bottom w:type="dxa" w:w="60"/>
              <w:right w:type="dxa" w:w="80"/>
            </w:tcMar>
          </w:tcPr>
          <w:p>
            <w:pPr>
              <w:spacing w:after="0" w:line="240"/>
            </w:pPr>
            <w:r>
              <w:rPr>
                <w:rFonts w:ascii="Arial" w:cs="Arial" w:eastAsia="Arial" w:hAnsi="Arial"/>
                <w:b/>
                <w:bCs/>
                <w:color w:val="000000"/>
                <w:sz w:val="18"/>
                <w:szCs w:val="18"/>
              </w:rPr>
              <w:t xml:space="preserve">Blackburn et al. (2015)</w:t>
            </w:r>
          </w:p>
        </w:tc>
        <w:tc>
          <w:tcPr>
            <w:tcW w:type="dxa" w:w="1250"/>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Qualitative interview study</w:t>
            </w:r>
          </w:p>
        </w:tc>
        <w:tc>
          <w:tcPr>
            <w:tcW w:type="dxa" w:w="1850"/>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34 interviews with 17 GPs and 17 practice nurses, primary care, England</w:t>
            </w:r>
          </w:p>
        </w:tc>
        <w:tc>
          <w:tcPr>
            <w:tcW w:type="dxa" w:w="2000"/>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Clinicians’ views on raising the topic of weight</w:t>
            </w:r>
          </w:p>
        </w:tc>
        <w:tc>
          <w:tcPr>
            <w:tcW w:type="dxa" w:w="2400"/>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Barriers: limited understanding of obesity care, fear of damaging the patient relationship, and lack of time/resources in short consultations</w:t>
            </w:r>
          </w:p>
        </w:tc>
      </w:tr>
      <w:tr>
        <w:tc>
          <w:tcPr>
            <w:tcW w:type="dxa" w:w="1500"/>
            <w:shd w:fill="EAF1F8" w:color="auto" w:val="clear"/>
            <w:tcMar>
              <w:top w:type="dxa" w:w="60"/>
              <w:left w:type="dxa" w:w="80"/>
              <w:bottom w:type="dxa" w:w="60"/>
              <w:right w:type="dxa" w:w="80"/>
            </w:tcMar>
          </w:tcPr>
          <w:p>
            <w:pPr>
              <w:spacing w:after="0" w:line="240"/>
            </w:pPr>
            <w:r>
              <w:rPr>
                <w:rFonts w:ascii="Arial" w:cs="Arial" w:eastAsia="Arial" w:hAnsi="Arial"/>
                <w:b/>
                <w:bCs/>
                <w:color w:val="000000"/>
                <w:sz w:val="18"/>
                <w:szCs w:val="18"/>
              </w:rPr>
              <w:t xml:space="preserve">Aveyard et al. (2016) – BWeL trial</w:t>
            </w:r>
          </w:p>
        </w:tc>
        <w:tc>
          <w:tcPr>
            <w:tcW w:type="dxa" w:w="1250"/>
            <w:shd w:fill="EAF1F8" w:color="auto" w:val="clear"/>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Randomised controlled trial</w:t>
            </w:r>
          </w:p>
        </w:tc>
        <w:tc>
          <w:tcPr>
            <w:tcW w:type="dxa" w:w="1850"/>
            <w:shd w:fill="EAF1F8" w:color="auto" w:val="clear"/>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1,882 adults with obesity in 137 GP practices, England</w:t>
            </w:r>
          </w:p>
        </w:tc>
        <w:tc>
          <w:tcPr>
            <w:tcW w:type="dxa" w:w="2000"/>
            <w:shd w:fill="EAF1F8" w:color="auto" w:val="clear"/>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Brief opportunistic intervention delivered by GPs</w:t>
            </w:r>
          </w:p>
        </w:tc>
        <w:tc>
          <w:tcPr>
            <w:tcW w:type="dxa" w:w="2400"/>
            <w:shd w:fill="EAF1F8" w:color="auto" w:val="clear"/>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A ~30-second offer of referral to a free weight-management group was acceptable (81%) and effective (2.4 kg vs 1.0 kg lost at 12 months): delivery from primary care can work</w:t>
            </w:r>
          </w:p>
        </w:tc>
      </w:tr>
      <w:tr>
        <w:tc>
          <w:tcPr>
            <w:tcW w:type="dxa" w:w="1500"/>
            <w:tcMar>
              <w:top w:type="dxa" w:w="60"/>
              <w:left w:type="dxa" w:w="80"/>
              <w:bottom w:type="dxa" w:w="60"/>
              <w:right w:type="dxa" w:w="80"/>
            </w:tcMar>
          </w:tcPr>
          <w:p>
            <w:pPr>
              <w:spacing w:after="0" w:line="240"/>
            </w:pPr>
            <w:r>
              <w:rPr>
                <w:rFonts w:ascii="Arial" w:cs="Arial" w:eastAsia="Arial" w:hAnsi="Arial"/>
                <w:b/>
                <w:bCs/>
                <w:color w:val="000000"/>
                <w:sz w:val="18"/>
                <w:szCs w:val="18"/>
              </w:rPr>
              <w:t xml:space="preserve">Warr et al. (2021)</w:t>
            </w:r>
          </w:p>
        </w:tc>
        <w:tc>
          <w:tcPr>
            <w:tcW w:type="dxa" w:w="1250"/>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Systematic review &amp; qualitative synthesis</w:t>
            </w:r>
          </w:p>
        </w:tc>
        <w:tc>
          <w:tcPr>
            <w:tcW w:type="dxa" w:w="1850"/>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29 qualitative studies (600+ GPs/nurses)</w:t>
            </w:r>
          </w:p>
        </w:tc>
        <w:tc>
          <w:tcPr>
            <w:tcW w:type="dxa" w:w="2000"/>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Clinician perspectives on discussing weight</w:t>
            </w:r>
          </w:p>
        </w:tc>
        <w:tc>
          <w:tcPr>
            <w:tcW w:type="dxa" w:w="2400"/>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Barriers: weight not seen as a GP priority, lack of time, limited training, scepticism about efficacy, and fear of harming the therapeutic relationship</w:t>
            </w:r>
          </w:p>
        </w:tc>
      </w:tr>
      <w:tr>
        <w:tc>
          <w:tcPr>
            <w:tcW w:type="dxa" w:w="1500"/>
            <w:shd w:fill="EAF1F8" w:color="auto" w:val="clear"/>
            <w:tcMar>
              <w:top w:type="dxa" w:w="60"/>
              <w:left w:type="dxa" w:w="80"/>
              <w:bottom w:type="dxa" w:w="60"/>
              <w:right w:type="dxa" w:w="80"/>
            </w:tcMar>
          </w:tcPr>
          <w:p>
            <w:pPr>
              <w:spacing w:after="0" w:line="240"/>
            </w:pPr>
            <w:r>
              <w:rPr>
                <w:rFonts w:ascii="Arial" w:cs="Arial" w:eastAsia="Arial" w:hAnsi="Arial"/>
                <w:b/>
                <w:bCs/>
                <w:color w:val="000000"/>
                <w:sz w:val="18"/>
                <w:szCs w:val="18"/>
              </w:rPr>
              <w:t xml:space="preserve">Flint et al. (2021)</w:t>
            </w:r>
          </w:p>
        </w:tc>
        <w:tc>
          <w:tcPr>
            <w:tcW w:type="dxa" w:w="1250"/>
            <w:shd w:fill="EAF1F8" w:color="auto" w:val="clear"/>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Qualitative content analysis</w:t>
            </w:r>
          </w:p>
        </w:tc>
        <w:tc>
          <w:tcPr>
            <w:tcW w:type="dxa" w:w="1850"/>
            <w:shd w:fill="EAF1F8" w:color="auto" w:val="clear"/>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5,675 patient feedback comments, England (2018–2020)</w:t>
            </w:r>
          </w:p>
        </w:tc>
        <w:tc>
          <w:tcPr>
            <w:tcW w:type="dxa" w:w="2000"/>
            <w:shd w:fill="EAF1F8" w:color="auto" w:val="clear"/>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Patient experiences of care</w:t>
            </w:r>
          </w:p>
        </w:tc>
        <w:tc>
          <w:tcPr>
            <w:tcW w:type="dxa" w:w="2400"/>
            <w:shd w:fill="EAF1F8" w:color="auto" w:val="clear"/>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Barriers: weight stigma and derogatory comments from staff, poorer care across quality markers, and geographic variation (‘postcode lottery’) in provision</w:t>
            </w:r>
          </w:p>
        </w:tc>
      </w:tr>
      <w:tr>
        <w:tc>
          <w:tcPr>
            <w:tcW w:type="dxa" w:w="1500"/>
            <w:tcMar>
              <w:top w:type="dxa" w:w="60"/>
              <w:left w:type="dxa" w:w="80"/>
              <w:bottom w:type="dxa" w:w="60"/>
              <w:right w:type="dxa" w:w="80"/>
            </w:tcMar>
          </w:tcPr>
          <w:p>
            <w:pPr>
              <w:spacing w:after="0" w:line="240"/>
            </w:pPr>
            <w:r>
              <w:rPr>
                <w:rFonts w:ascii="Arial" w:cs="Arial" w:eastAsia="Arial" w:hAnsi="Arial"/>
                <w:b/>
                <w:bCs/>
                <w:color w:val="000000"/>
                <w:sz w:val="18"/>
                <w:szCs w:val="18"/>
              </w:rPr>
              <w:t xml:space="preserve">Gericke et al. (2023)</w:t>
            </w:r>
          </w:p>
        </w:tc>
        <w:tc>
          <w:tcPr>
            <w:tcW w:type="dxa" w:w="1250"/>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Qualitative study (TDF)</w:t>
            </w:r>
          </w:p>
        </w:tc>
        <w:tc>
          <w:tcPr>
            <w:tcW w:type="dxa" w:w="1850"/>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Adults offered an opportunistic GP referral to a Tier 2 service, UK</w:t>
            </w:r>
          </w:p>
        </w:tc>
        <w:tc>
          <w:tcPr>
            <w:tcW w:type="dxa" w:w="2000"/>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Uptake of weight-management referral</w:t>
            </w:r>
          </w:p>
        </w:tc>
        <w:tc>
          <w:tcPr>
            <w:tcW w:type="dxa" w:w="2400"/>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Uptake shaped mainly by beliefs about consequences (perceived effectiveness, need and fit), alongside emotion, social influences and environmental context</w:t>
            </w:r>
          </w:p>
        </w:tc>
      </w:tr>
      <w:tr>
        <w:tc>
          <w:tcPr>
            <w:tcW w:type="dxa" w:w="1500"/>
            <w:shd w:fill="EAF1F8" w:color="auto" w:val="clear"/>
            <w:tcMar>
              <w:top w:type="dxa" w:w="60"/>
              <w:left w:type="dxa" w:w="80"/>
              <w:bottom w:type="dxa" w:w="60"/>
              <w:right w:type="dxa" w:w="80"/>
            </w:tcMar>
          </w:tcPr>
          <w:p>
            <w:pPr>
              <w:spacing w:after="0" w:line="240"/>
            </w:pPr>
            <w:r>
              <w:rPr>
                <w:rFonts w:ascii="Arial" w:cs="Arial" w:eastAsia="Arial" w:hAnsi="Arial"/>
                <w:b/>
                <w:bCs/>
                <w:color w:val="000000"/>
                <w:sz w:val="18"/>
                <w:szCs w:val="18"/>
              </w:rPr>
              <w:t xml:space="preserve">de Bray et al. (2025)</w:t>
            </w:r>
          </w:p>
        </w:tc>
        <w:tc>
          <w:tcPr>
            <w:tcW w:type="dxa" w:w="1250"/>
            <w:shd w:fill="EAF1F8" w:color="auto" w:val="clear"/>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Service-mapping (Freedom of Information)</w:t>
            </w:r>
          </w:p>
        </w:tc>
        <w:tc>
          <w:tcPr>
            <w:tcW w:type="dxa" w:w="1850"/>
            <w:shd w:fill="EAF1F8" w:color="auto" w:val="clear"/>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All 42 Integrated Care Boards, England</w:t>
            </w:r>
          </w:p>
        </w:tc>
        <w:tc>
          <w:tcPr>
            <w:tcW w:type="dxa" w:w="2000"/>
            <w:shd w:fill="EAF1F8" w:color="auto" w:val="clear"/>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Commissioning of semaglutide for obesity</w:t>
            </w:r>
          </w:p>
        </w:tc>
        <w:tc>
          <w:tcPr>
            <w:tcW w:type="dxa" w:w="2400"/>
            <w:shd w:fill="EAF1F8" w:color="auto" w:val="clear"/>
            <w:tcMar>
              <w:top w:type="dxa" w:w="60"/>
              <w:left w:type="dxa" w:w="80"/>
              <w:bottom w:type="dxa" w:w="60"/>
              <w:right w:type="dxa" w:w="80"/>
            </w:tcMar>
          </w:tcPr>
          <w:p>
            <w:pPr>
              <w:spacing w:after="0" w:line="240"/>
            </w:pPr>
            <w:r>
              <w:rPr>
                <w:rFonts w:ascii="Arial" w:cs="Arial" w:eastAsia="Arial" w:hAnsi="Arial"/>
                <w:b w:val="false"/>
                <w:bCs w:val="false"/>
                <w:color w:val="000000"/>
                <w:sz w:val="18"/>
                <w:szCs w:val="18"/>
              </w:rPr>
              <w:t xml:space="preserve">Only 838 NHS prescriptions by April 2024 (vs ~13,500 projected); ~22% of ICBs not funding it: marked inequity in access to pharmacotherapy</w:t>
            </w:r>
          </w:p>
        </w:tc>
      </w:tr>
    </w:tbl>
    <w:p>
      <w:pPr>
        <w:spacing w:after="160" w:before="60" w:line="360"/>
      </w:pPr>
      <w:r>
        <w:rPr>
          <w:rFonts w:ascii="Arial" w:cs="Arial" w:eastAsia="Arial" w:hAnsi="Arial"/>
          <w:i/>
          <w:iCs/>
          <w:sz w:val="18"/>
          <w:szCs w:val="18"/>
        </w:rPr>
        <w:t xml:space="preserve">GP = general practitioner; TDF = Theoretical Domains Framework; ICB = Integrated Care Board.</w:t>
      </w:r>
    </w:p>
    <w:p>
      <w:pPr>
        <w:pStyle w:val="Heading2"/>
        <w:spacing w:after="100" w:before="180" w:line="360"/>
      </w:pPr>
      <w:r>
        <w:rPr>
          <w:rFonts w:ascii="Arial" w:cs="Arial" w:eastAsia="Arial" w:hAnsi="Arial"/>
          <w:b/>
          <w:bCs/>
          <w:sz w:val="24"/>
          <w:szCs w:val="24"/>
        </w:rPr>
        <w:t xml:space="preserve">4.1 Theme 1: Clinician-level barriers</w:t>
      </w:r>
    </w:p>
    <w:p>
      <w:pPr>
        <w:spacing w:after="180" w:line="360"/>
        <w:jc w:val="both"/>
      </w:pPr>
      <w:r>
        <w:rPr>
          <w:rFonts w:ascii="Arial" w:cs="Arial" w:eastAsia="Arial" w:hAnsi="Arial"/>
          <w:sz w:val="22"/>
          <w:szCs w:val="22"/>
        </w:rPr>
        <w:t xml:space="preserve">A strong and consistent theme concerned the barriers experienced by clinicians themselves. Blackburn et al. (2015) found that GPs and practice nurses were often reluctant to raise the topic of weight because they lacked confidence and understanding of obesity as a clinical issue, feared damaging their relationship with the patient, and felt constrained by the limited time and resources of a short consultation. These findings were strongly corroborated by Warr et al.’s (2021) synthesis of 29 qualitative studies, which identified the same recurring obstacles: weight management not being seen as a core GP responsibility or priority, insufficient time, a lack of training in what to advise, and scepticism about whether interventions actually work. Together, these two studies suggest that clinician-level barriers are systemic rather than individual, arising from how primary care is resourced and organised.</w:t>
      </w:r>
    </w:p>
    <w:p>
      <w:pPr>
        <w:spacing w:after="180" w:line="360"/>
        <w:jc w:val="both"/>
      </w:pPr>
      <w:r>
        <w:rPr>
          <w:rFonts w:ascii="Arial" w:cs="Arial" w:eastAsia="Arial" w:hAnsi="Arial"/>
          <w:sz w:val="22"/>
          <w:szCs w:val="22"/>
        </w:rPr>
        <w:t xml:space="preserve">It is notable that both studies located these barriers within recognised behaviour-change frameworks rather than treating them as personal shortcomings; Blackburn et al. (2015), for instance, drew on the Theoretical Domains Framework to show that knowledge, beliefs about consequences and environmental context together shaped clinicians' behaviour. This reframing matters because it implies that the barriers are modifiable — through training, protected consultation time and clearer referral pathways — rather than being fixed characteristics of individual practitioners.</w:t>
      </w:r>
    </w:p>
    <w:p>
      <w:pPr>
        <w:pStyle w:val="Heading2"/>
        <w:spacing w:after="100" w:before="180" w:line="360"/>
      </w:pPr>
      <w:r>
        <w:rPr>
          <w:rFonts w:ascii="Arial" w:cs="Arial" w:eastAsia="Arial" w:hAnsi="Arial"/>
          <w:b/>
          <w:bCs/>
          <w:sz w:val="24"/>
          <w:szCs w:val="24"/>
        </w:rPr>
        <w:t xml:space="preserve">4.2 Theme 2: Patient-level barriers</w:t>
      </w:r>
    </w:p>
    <w:p>
      <w:pPr>
        <w:spacing w:after="180" w:line="360"/>
        <w:jc w:val="both"/>
      </w:pPr>
      <w:r>
        <w:rPr>
          <w:rFonts w:ascii="Arial" w:cs="Arial" w:eastAsia="Arial" w:hAnsi="Arial"/>
          <w:sz w:val="22"/>
          <w:szCs w:val="22"/>
        </w:rPr>
        <w:t xml:space="preserve">The second theme related to barriers experienced by patients. Flint et al. (2021), analysing more than 5,600 patient feedback comments, found that people living with obesity frequently reported weight stigma and derogatory comments from healthcare staff, along with generally poorer experiences of care. Such experiences can discourage patients from seeking help and are consistent with the wider evidence on weight stigma as a barrier to care (Ryan et al., 2023). Gericke et al. (2023) added a complementary perspective, showing that even when patients are offered a referral, their decision to take it up is shaped primarily by their beliefs about the likely consequences – whether they perceive the service as effective, necessary and compatible with their lives – as well as by emotional and social factors. Patient-level barriers therefore involve both how patients are treated and how they weigh up the value of the help offered.</w:t>
      </w:r>
    </w:p>
    <w:p>
      <w:pPr>
        <w:spacing w:after="180" w:line="360"/>
        <w:jc w:val="both"/>
      </w:pPr>
      <w:r>
        <w:rPr>
          <w:rFonts w:ascii="Arial" w:cs="Arial" w:eastAsia="Arial" w:hAnsi="Arial"/>
          <w:sz w:val="22"/>
          <w:szCs w:val="22"/>
        </w:rPr>
        <w:t xml:space="preserve">The scale of Flint et al.'s (2021) dataset, drawing on more than five thousand patient accounts, lends particular weight to the conclusion that stigma is widespread rather than exceptional. Taken together with Gericke et al.'s (2023) finding that uptake depends on whether patients believe a service will genuinely help them, a coherent picture emerges: services experienced as judgemental or of doubtful value will struggle to engage precisely those patients who stand to gain the most, reinforcing inequality of outcome.</w:t>
      </w:r>
    </w:p>
    <w:p>
      <w:pPr>
        <w:pStyle w:val="Heading2"/>
        <w:spacing w:after="100" w:before="180" w:line="360"/>
      </w:pPr>
      <w:r>
        <w:rPr>
          <w:rFonts w:ascii="Arial" w:cs="Arial" w:eastAsia="Arial" w:hAnsi="Arial"/>
          <w:b/>
          <w:bCs/>
          <w:sz w:val="24"/>
          <w:szCs w:val="24"/>
        </w:rPr>
        <w:t xml:space="preserve">4.3 Theme 3: System-level barriers and facilitators</w:t>
      </w:r>
    </w:p>
    <w:p>
      <w:pPr>
        <w:spacing w:after="180" w:line="360"/>
        <w:jc w:val="both"/>
      </w:pPr>
      <w:r>
        <w:rPr>
          <w:rFonts w:ascii="Arial" w:cs="Arial" w:eastAsia="Arial" w:hAnsi="Arial"/>
          <w:sz w:val="22"/>
          <w:szCs w:val="22"/>
        </w:rPr>
        <w:t xml:space="preserve">The third theme concerned the wider system. On the facilitator side, Aveyard et al.’s (2016) BWeL trial demonstrated that a very brief, opportunistic intervention delivered by GPs – offering referral to a free community weight-management group – was both acceptable to patients and effective, producing greater weight loss at twelve months. This shows that primary care can deliver effective obesity management when a clear, funded referral route exists. On the barrier side, de Bray et al. (2025) mapped the commissioning of semaglutide across all 42 ICBs and found striking inequity: only 838 NHS prescriptions had been issued by April 2024 against a projected 13,500, and around a fifth of ICBs were not funding the treatment at all. This illustrates how the availability of effective interventions is undermined by fragmented commissioning and a ‘postcode lottery’ of access, a pattern also evident in Flint et al.’s (2021) findings on geographic variation.</w:t>
      </w:r>
    </w:p>
    <w:p>
      <w:pPr>
        <w:spacing w:after="180" w:line="360"/>
        <w:jc w:val="both"/>
      </w:pPr>
      <w:r>
        <w:rPr>
          <w:rFonts w:ascii="Arial" w:cs="Arial" w:eastAsia="Arial" w:hAnsi="Arial"/>
          <w:sz w:val="22"/>
          <w:szCs w:val="22"/>
        </w:rPr>
        <w:t xml:space="preserve">The juxtaposition of these two studies is striking. Aveyard et al. (2016) show that an intervention costing only around thirty seconds of a consultation can produce measurable benefit when it connects patients to a funded service, whereas de Bray et al. (2025) show that even a treatment endorsed by national guidance reaches only a fraction of eligible patients where local commissioning is lacking. The facilitators identified in this review are therefore structural — funding, clear pathways and consistent commissioning — rather than appeals to individual clinicians to try harder.</w:t>
      </w:r>
    </w:p>
    <w:p>
      <w:pPr>
        <w:pStyle w:val="Heading1"/>
        <w:pBdr>
          <w:bottom w:val="single" w:color="1F4E79" w:sz="8" w:space="4"/>
        </w:pBdr>
        <w:spacing w:after="160" w:before="320" w:line="360"/>
      </w:pPr>
      <w:r>
        <w:rPr>
          <w:rFonts w:ascii="Arial" w:cs="Arial" w:eastAsia="Arial" w:hAnsi="Arial"/>
          <w:b/>
          <w:bCs/>
          <w:sz w:val="28"/>
          <w:szCs w:val="28"/>
        </w:rPr>
        <w:t xml:space="preserve">5. Discussion</w:t>
      </w:r>
    </w:p>
    <w:p>
      <w:pPr>
        <w:spacing w:after="180" w:line="360"/>
        <w:jc w:val="both"/>
      </w:pPr>
      <w:r>
        <w:rPr>
          <w:rFonts w:ascii="Arial" w:cs="Arial" w:eastAsia="Arial" w:hAnsi="Arial"/>
          <w:sz w:val="22"/>
          <w:szCs w:val="22"/>
        </w:rPr>
        <w:t xml:space="preserve">The findings of this scoping review indicate that the barriers to effective obesity management in UK primary care are predominantly systemic, operating across clinician, patient and health-system levels, while the facilitators point clearly towards well-resourced, clearly-defined pathways. This directly addresses the review question and the three objectives set out at the start. At the clinician level, the consistency between Blackburn et al. (2015) and Warr et al. (2021) suggests that reluctance to raise or manage weight is not simply a matter of individual attitude but reflects structural constraints – short consultations, inadequate training and uncertainty about referral options (Objective 1).</w:t>
      </w:r>
    </w:p>
    <w:p>
      <w:pPr>
        <w:spacing w:after="180" w:line="360"/>
        <w:jc w:val="both"/>
      </w:pPr>
      <w:r>
        <w:rPr>
          <w:rFonts w:ascii="Arial" w:cs="Arial" w:eastAsia="Arial" w:hAnsi="Arial"/>
          <w:sz w:val="22"/>
          <w:szCs w:val="22"/>
        </w:rPr>
        <w:t xml:space="preserve">At the patient level, the evidence highlights the powerful and under-recognised role of weight stigma. Flint et al. (2021) and Ryan et al. (2023) show that stigmatising encounters can actively deter people from engaging with services, while Gericke et al. (2023) demonstrate that patients make rational judgements about whether a service is worth their time (Objective 2). This implies that improving access is not only about creating services but about ensuring that they are respectful, credible and perceived as effective. Crucially, these patient- and clinician-level factors interact: a clinician who lacks time and confidence may raise weight clumsily, reinforcing stigma and reducing the patient’s willingness to accept help.</w:t>
      </w:r>
    </w:p>
    <w:p>
      <w:pPr>
        <w:spacing w:after="180" w:line="360"/>
        <w:jc w:val="both"/>
      </w:pPr>
      <w:r>
        <w:rPr>
          <w:rFonts w:ascii="Arial" w:cs="Arial" w:eastAsia="Arial" w:hAnsi="Arial"/>
          <w:sz w:val="22"/>
          <w:szCs w:val="22"/>
        </w:rPr>
        <w:t xml:space="preserve">At the system level, the contrast between Aveyard et al. (2016) and de Bray et al. (2025) is instructive. The BWeL trial shows that effective delivery from primary care is achievable when a simple, funded pathway exists, yet the semaglutide mapping shows that even highly effective, NICE-recommended treatments are distributed inequitably because of fragmented ICB commissioning (Objective 3). Taken together, the studies suggest that the UK does not lack effective interventions so much as a consistent, equitable system through which to deliver them. This supports the argument, advanced in the background literature, for a unified national framework for obesity care (Roberts et al., 2025).</w:t>
      </w:r>
    </w:p>
    <w:p>
      <w:pPr>
        <w:spacing w:after="180" w:line="360"/>
        <w:jc w:val="both"/>
      </w:pPr>
      <w:r>
        <w:rPr>
          <w:rFonts w:ascii="Arial" w:cs="Arial" w:eastAsia="Arial" w:hAnsi="Arial"/>
          <w:sz w:val="22"/>
          <w:szCs w:val="22"/>
        </w:rPr>
        <w:t xml:space="preserve">Viewed as a whole, the evidence points to a system in which barriers at each level compound one another. A clinician who lacks time and training may avoid or mishandle a weight conversation; a patient who has previously experienced stigma may be reluctant to engage; and even where both are willing, a fragmented commissioning landscape may mean that no funded service exists to refer into. Conversely, the facilitators are mutually reinforcing, since adequate training enables sensitive conversations, respectful services encourage uptake, and consistent commissioning ensures that referrals lead somewhere. This interdependence suggests that piecemeal solutions targeting only one level are unlikely to succeed and that a coordinated, whole-system response is required.</w:t>
      </w:r>
    </w:p>
    <w:p>
      <w:pPr>
        <w:spacing w:after="180" w:line="360"/>
        <w:jc w:val="both"/>
      </w:pPr>
      <w:r>
        <w:rPr>
          <w:rFonts w:ascii="Arial" w:cs="Arial" w:eastAsia="Arial" w:hAnsi="Arial"/>
          <w:sz w:val="22"/>
          <w:szCs w:val="22"/>
        </w:rPr>
        <w:t xml:space="preserve">These findings carry clear implications for health and social care practice. They support an empowerment-oriented, person-centred approach in which practitioners work alongside patients to set realistic goals and to navigate them towards appropriate support, rather than placing responsibility for weight solely on the individual (Ryan et al., 2023). They also underline the value of multidisciplinary working, because effective obesity care draws on the combined skills of GPs, nurses, dietitians and specialist services. For practitioners, recognising that many of the barriers are systemic can itself be empowering, since it directs effort towards changes in training, time and referral routes that lie within the profession's collective capacity to influence.</w:t>
      </w:r>
    </w:p>
    <w:p>
      <w:pPr>
        <w:spacing w:after="180" w:line="360"/>
        <w:jc w:val="both"/>
      </w:pPr>
      <w:r>
        <w:rPr>
          <w:rFonts w:ascii="Arial" w:cs="Arial" w:eastAsia="Arial" w:hAnsi="Arial"/>
          <w:sz w:val="22"/>
          <w:szCs w:val="22"/>
        </w:rPr>
        <w:t xml:space="preserve">This review has strengths and limitations that should be acknowledged. Its strengths include a transparent, reproducible search strategy, the inclusion of diverse study designs that triangulate clinician, patient and system perspectives, and the use of an established thematic analysis framework (Braun and Clarke, 2006). However, as a scoping review it did not formally appraise the quality of the included studies or weight their findings, so the conclusions are interpretive rather than definitive (Arksey and O’Malley, 2005). The reliance on six studies, though consistent with the assessment brief, means the review is illustrative rather than exhaustive, and several included studies are qualitative and context-specific, which limits generalisability. Publication and selection bias cannot be excluded. These limitations should be borne in mind when considering the recommendations below.</w:t>
      </w:r>
    </w:p>
    <w:p>
      <w:pPr>
        <w:pStyle w:val="Heading1"/>
        <w:pBdr>
          <w:bottom w:val="single" w:color="1F4E79" w:sz="8" w:space="4"/>
        </w:pBdr>
        <w:spacing w:after="160" w:before="320" w:line="360"/>
      </w:pPr>
      <w:r>
        <w:rPr>
          <w:rFonts w:ascii="Arial" w:cs="Arial" w:eastAsia="Arial" w:hAnsi="Arial"/>
          <w:b/>
          <w:bCs/>
          <w:sz w:val="28"/>
          <w:szCs w:val="28"/>
        </w:rPr>
        <w:t xml:space="preserve">6. Conclusion and Recommendations</w:t>
      </w:r>
    </w:p>
    <w:p>
      <w:pPr>
        <w:spacing w:after="180" w:line="360"/>
        <w:jc w:val="both"/>
      </w:pPr>
      <w:r>
        <w:rPr>
          <w:rFonts w:ascii="Arial" w:cs="Arial" w:eastAsia="Arial" w:hAnsi="Arial"/>
          <w:sz w:val="22"/>
          <w:szCs w:val="22"/>
        </w:rPr>
        <w:t xml:space="preserve">This scoping review examined the systemic barriers and facilitators to accessing and delivering effective obesity management services in UK primary care. The evidence indicates that barriers are systemic and mutually reinforcing: clinicians face time, training and resource constraints; patients encounter stigma and make judgements about the value of services; and the wider system is characterised by fragmented commissioning and inequitable access, including to newly approved pharmacotherapies. The key facilitator identified is the existence of a simple, funded and clearly-signposted referral pathway, as demonstrated by the BWeL trial. Effective obesity management in the UK therefore depends less on the availability of interventions than on building an equitable, adequately resourced system through which to deliver them.</w:t>
      </w:r>
    </w:p>
    <w:p>
      <w:pPr>
        <w:spacing w:after="180" w:line="360"/>
        <w:jc w:val="both"/>
      </w:pPr>
      <w:r>
        <w:rPr>
          <w:rFonts w:ascii="Arial" w:cs="Arial" w:eastAsia="Arial" w:hAnsi="Arial"/>
          <w:sz w:val="22"/>
          <w:szCs w:val="22"/>
        </w:rPr>
        <w:t xml:space="preserve">On the basis of this analysis, the following evidence-informed recommendations are proposed:</w:t>
      </w:r>
    </w:p>
    <w:p>
      <w:pPr>
        <w:pStyle w:val="ListParagraph"/>
        <w:numPr>
          <w:ilvl w:val="0"/>
          <w:numId w:val="2"/>
        </w:numPr>
        <w:spacing w:after="100" w:line="360"/>
      </w:pPr>
      <w:r>
        <w:rPr>
          <w:rFonts w:ascii="Arial" w:cs="Arial" w:eastAsia="Arial" w:hAnsi="Arial"/>
          <w:sz w:val="22"/>
          <w:szCs w:val="22"/>
        </w:rPr>
        <w:t xml:space="preserve">For practice: provide primary care clinicians with training and protected time to raise weight sensitively and to make effective referrals, reducing the risk of stigmatising encounters.</w:t>
      </w:r>
    </w:p>
    <w:p>
      <w:pPr>
        <w:pStyle w:val="ListParagraph"/>
        <w:numPr>
          <w:ilvl w:val="0"/>
          <w:numId w:val="2"/>
        </w:numPr>
        <w:spacing w:after="100" w:line="360"/>
      </w:pPr>
      <w:r>
        <w:rPr>
          <w:rFonts w:ascii="Arial" w:cs="Arial" w:eastAsia="Arial" w:hAnsi="Arial"/>
          <w:sz w:val="22"/>
          <w:szCs w:val="22"/>
        </w:rPr>
        <w:t xml:space="preserve">For policy: develop a unified national framework for obesity care to reduce the ‘postcode lottery’ and ensure equitable commissioning of weight-management services and pharmacotherapy across all Integrated Care Boards.</w:t>
      </w:r>
    </w:p>
    <w:p>
      <w:pPr>
        <w:pStyle w:val="ListParagraph"/>
        <w:numPr>
          <w:ilvl w:val="0"/>
          <w:numId w:val="2"/>
        </w:numPr>
        <w:spacing w:after="100" w:line="360"/>
      </w:pPr>
      <w:r>
        <w:rPr>
          <w:rFonts w:ascii="Arial" w:cs="Arial" w:eastAsia="Arial" w:hAnsi="Arial"/>
          <w:sz w:val="22"/>
          <w:szCs w:val="22"/>
        </w:rPr>
        <w:t xml:space="preserve">For services: embed simple, funded and clearly-signposted referral routes from primary care into higher-tier services, building on models such as the BWeL trial.</w:t>
      </w:r>
    </w:p>
    <w:p>
      <w:pPr>
        <w:pStyle w:val="ListParagraph"/>
        <w:numPr>
          <w:ilvl w:val="0"/>
          <w:numId w:val="2"/>
        </w:numPr>
        <w:spacing w:after="100" w:line="360"/>
      </w:pPr>
      <w:r>
        <w:rPr>
          <w:rFonts w:ascii="Arial" w:cs="Arial" w:eastAsia="Arial" w:hAnsi="Arial"/>
          <w:sz w:val="22"/>
          <w:szCs w:val="22"/>
        </w:rPr>
        <w:t xml:space="preserve">For future research: conduct UK studies on patient and clinician experiences of the new obesity pharmacotherapies and their equitable implementation, and evaluate interventions designed to reduce weight stigma in primary care.</w:t>
      </w:r>
    </w:p>
    <w:p>
      <w:pPr>
        <w:spacing w:after="180" w:line="360"/>
        <w:jc w:val="both"/>
      </w:pPr>
      <w:r>
        <w:rPr>
          <w:rFonts w:ascii="Arial" w:cs="Arial" w:eastAsia="Arial" w:hAnsi="Arial"/>
          <w:sz w:val="22"/>
          <w:szCs w:val="22"/>
        </w:rPr>
        <w:t xml:space="preserve">In conclusion, enabling people living with obesity to access effective care will require coordinated action to remove clinician-, patient- and system-level barriers, underpinned by a national commitment to equitable, respectful and evidence-based obesity management in primary care (Roberts et al., 2025).</w:t>
      </w:r>
    </w:p>
    <w:p>
      <w:r>
        <w:br w:type="page"/>
      </w:r>
    </w:p>
    <w:p>
      <w:pPr>
        <w:pStyle w:val="Heading1"/>
        <w:pBdr>
          <w:bottom w:val="single" w:color="1F4E79" w:sz="8" w:space="4"/>
        </w:pBdr>
        <w:spacing w:after="160" w:before="320" w:line="360"/>
      </w:pPr>
      <w:r>
        <w:rPr>
          <w:rFonts w:ascii="Arial" w:cs="Arial" w:eastAsia="Arial" w:hAnsi="Arial"/>
          <w:b/>
          <w:bCs/>
          <w:sz w:val="28"/>
          <w:szCs w:val="28"/>
        </w:rPr>
        <w:t xml:space="preserve">References</w:t>
      </w:r>
    </w:p>
    <w:p>
      <w:pPr>
        <w:spacing w:after="160" w:line="360"/>
        <w:ind w:left="720" w:hanging="720"/>
      </w:pPr>
      <w:r>
        <w:rPr>
          <w:rFonts w:ascii="Arial" w:cs="Arial" w:eastAsia="Arial" w:hAnsi="Arial"/>
          <w:sz w:val="22"/>
          <w:szCs w:val="22"/>
        </w:rPr>
        <w:t xml:space="preserve">Arksey, H. and O’Malley, L. (2005) ‘Scoping studies: towards a methodological framework’, International Journal of Social Research Methodology, 8(1), pp. 19–32.</w:t>
      </w:r>
    </w:p>
    <w:p>
      <w:pPr>
        <w:spacing w:after="160" w:line="360"/>
        <w:ind w:left="720" w:hanging="720"/>
      </w:pPr>
      <w:r>
        <w:rPr>
          <w:rFonts w:ascii="Arial" w:cs="Arial" w:eastAsia="Arial" w:hAnsi="Arial"/>
          <w:sz w:val="22"/>
          <w:szCs w:val="22"/>
        </w:rPr>
        <w:t xml:space="preserve">Aveyard, P., Lewis, A., Tearne, S., Hood, K., Christian-Brown, A., Adab, P., Begh, R., Jolly, K., Daley, A., Farley, A., Lycett, D., Nickless, A., Yu, L.-M., Retat, L., Webber, L., Pimpin, L. and Jebb, S.A. (2016) ‘Screening and brief intervention for obesity in primary care: a parallel, two-arm, randomised trial’, The Lancet, 388(10059), pp. 2492–2500. doi:10.1016/S0140-6736(16)31893-1.</w:t>
      </w:r>
    </w:p>
    <w:p>
      <w:pPr>
        <w:spacing w:after="160" w:line="360"/>
        <w:ind w:left="720" w:hanging="720"/>
      </w:pPr>
      <w:r>
        <w:rPr>
          <w:rFonts w:ascii="Arial" w:cs="Arial" w:eastAsia="Arial" w:hAnsi="Arial"/>
          <w:sz w:val="22"/>
          <w:szCs w:val="22"/>
        </w:rPr>
        <w:t xml:space="preserve">Blackburn, M., Stathi, A., Keogh, E. and Eccleston, C. (2015) ‘Raising the topic of weight in general practice: perspectives of GPs and primary care nurses’, BMJ Open, 5(8), e008546. doi:10.1136/bmjopen-2015-008546.</w:t>
      </w:r>
    </w:p>
    <w:p>
      <w:pPr>
        <w:spacing w:after="160" w:line="360"/>
        <w:ind w:left="720" w:hanging="720"/>
      </w:pPr>
      <w:r>
        <w:rPr>
          <w:rFonts w:ascii="Arial" w:cs="Arial" w:eastAsia="Arial" w:hAnsi="Arial"/>
          <w:sz w:val="22"/>
          <w:szCs w:val="22"/>
        </w:rPr>
        <w:t xml:space="preserve">Braun, V. and Clarke, V. (2006) ‘Using thematic analysis in psychology’, Qualitative Research in Psychology, 3(2), pp. 77–101.</w:t>
      </w:r>
    </w:p>
    <w:p>
      <w:pPr>
        <w:spacing w:after="160" w:line="360"/>
        <w:ind w:left="720" w:hanging="720"/>
      </w:pPr>
      <w:r>
        <w:rPr>
          <w:rFonts w:ascii="Arial" w:cs="Arial" w:eastAsia="Arial" w:hAnsi="Arial"/>
          <w:sz w:val="22"/>
          <w:szCs w:val="22"/>
        </w:rPr>
        <w:t xml:space="preserve">de Bray, A., Schnitzer, H., Singh, P., Andrews, R., McGowan, B.M., Le Brocq, S., Wilding, J.P.H., Flint, S.W. and Hazlehurst, J.M. (2025) ‘Variation in the commissioning of semaglutide for the treatment of obesity and overweight across England: results of Freedom of Information-based mapping across the 42 Integrated Care Boards of England’, Clinical Obesity, e70044. doi:10.1111/cob.70044.</w:t>
      </w:r>
    </w:p>
    <w:p>
      <w:pPr>
        <w:spacing w:after="160" w:line="360"/>
        <w:ind w:left="720" w:hanging="720"/>
      </w:pPr>
      <w:r>
        <w:rPr>
          <w:rFonts w:ascii="Arial" w:cs="Arial" w:eastAsia="Arial" w:hAnsi="Arial"/>
          <w:sz w:val="22"/>
          <w:szCs w:val="22"/>
        </w:rPr>
        <w:t xml:space="preserve">Flint, S.W., Leaver, M., Griffiths, A. and Kaykanloo, M. (2021) ‘Disparate healthcare experiences of people living with overweight or obesity in England’, EClinicalMedicine, 41, 101140. doi:10.1016/j.eclinm.2021.101140.</w:t>
      </w:r>
    </w:p>
    <w:p>
      <w:pPr>
        <w:spacing w:after="160" w:line="360"/>
        <w:ind w:left="720" w:hanging="720"/>
      </w:pPr>
      <w:r>
        <w:rPr>
          <w:rFonts w:ascii="Arial" w:cs="Arial" w:eastAsia="Arial" w:hAnsi="Arial"/>
          <w:sz w:val="22"/>
          <w:szCs w:val="22"/>
        </w:rPr>
        <w:t xml:space="preserve">Frontier Economics (2023) Estimating the full costs of obesity. London: Frontier Economics.</w:t>
      </w:r>
    </w:p>
    <w:p>
      <w:pPr>
        <w:spacing w:after="160" w:line="360"/>
        <w:ind w:left="720" w:hanging="720"/>
      </w:pPr>
      <w:r>
        <w:rPr>
          <w:rFonts w:ascii="Arial" w:cs="Arial" w:eastAsia="Arial" w:hAnsi="Arial"/>
          <w:sz w:val="22"/>
          <w:szCs w:val="22"/>
        </w:rPr>
        <w:t xml:space="preserve">Gericke, C., Rippy, S. and D’Lima, D. (2023) ‘Anticipated barriers and enablers to signing up for a weight management program after receiving an opportunistic referral from a general practitioner’, Frontiers in Public Health, 11, 1226912. doi:10.3389/fpubh.2023.1226912.</w:t>
      </w:r>
    </w:p>
    <w:p>
      <w:pPr>
        <w:spacing w:after="160" w:line="360"/>
        <w:ind w:left="720" w:hanging="720"/>
      </w:pPr>
      <w:r>
        <w:rPr>
          <w:rFonts w:ascii="Arial" w:cs="Arial" w:eastAsia="Arial" w:hAnsi="Arial"/>
          <w:sz w:val="22"/>
          <w:szCs w:val="22"/>
        </w:rPr>
        <w:t xml:space="preserve">Health Policy Partnership (2024) Ending the obesity epidemic: harnessing opportunities to reverse obesity rates in the UK. London: The Health Policy Partnership. Available at: https://www.healthpolicypartnership.com/ (Accessed: 5 March 2026).</w:t>
      </w:r>
    </w:p>
    <w:p>
      <w:pPr>
        <w:spacing w:after="160" w:line="360"/>
        <w:ind w:left="720" w:hanging="720"/>
      </w:pPr>
      <w:r>
        <w:rPr>
          <w:rFonts w:ascii="Arial" w:cs="Arial" w:eastAsia="Arial" w:hAnsi="Arial"/>
          <w:sz w:val="22"/>
          <w:szCs w:val="22"/>
        </w:rPr>
        <w:t xml:space="preserve">House of Commons Library (2023) Obesity statistics. Research briefing SN03336. London: House of Commons Library.</w:t>
      </w:r>
    </w:p>
    <w:p>
      <w:pPr>
        <w:spacing w:after="160" w:line="360"/>
        <w:ind w:left="720" w:hanging="720"/>
      </w:pPr>
      <w:r>
        <w:rPr>
          <w:rFonts w:ascii="Arial" w:cs="Arial" w:eastAsia="Arial" w:hAnsi="Arial"/>
          <w:sz w:val="22"/>
          <w:szCs w:val="22"/>
        </w:rPr>
        <w:t xml:space="preserve">Levac, D., Colquhoun, H. and O’Brien, K.K. (2010) ‘Scoping studies: advancing the methodology’, Implementation Science, 5, 69. doi:10.1186/1748-5908-5-69.</w:t>
      </w:r>
    </w:p>
    <w:p>
      <w:pPr>
        <w:spacing w:after="160" w:line="360"/>
        <w:ind w:left="720" w:hanging="720"/>
      </w:pPr>
      <w:r>
        <w:rPr>
          <w:rFonts w:ascii="Arial" w:cs="Arial" w:eastAsia="Arial" w:hAnsi="Arial"/>
          <w:sz w:val="22"/>
          <w:szCs w:val="22"/>
        </w:rPr>
        <w:t xml:space="preserve">Mak, S. and Thomas, A. (2025) ‘Conducting scoping reviews: practical insights for early career health researchers’, Nursing Praxis in Aotearoa New Zealand, 41(2).</w:t>
      </w:r>
    </w:p>
    <w:p>
      <w:pPr>
        <w:spacing w:after="160" w:line="360"/>
        <w:ind w:left="720" w:hanging="720"/>
      </w:pPr>
      <w:r>
        <w:rPr>
          <w:rFonts w:ascii="Arial" w:cs="Arial" w:eastAsia="Arial" w:hAnsi="Arial"/>
          <w:sz w:val="22"/>
          <w:szCs w:val="22"/>
        </w:rPr>
        <w:t xml:space="preserve">National Institute for Health and Care Excellence (2023) Semaglutide for managing overweight and obesity. Technology appraisal guidance [TA875]. London: NICE. Available at: https://www.nice.org.uk/guidance/ta875 (Accessed: 15 July 2026).</w:t>
      </w:r>
    </w:p>
    <w:p>
      <w:pPr>
        <w:spacing w:after="160" w:line="360"/>
        <w:ind w:left="720" w:hanging="720"/>
      </w:pPr>
      <w:r>
        <w:rPr>
          <w:rFonts w:ascii="Arial" w:cs="Arial" w:eastAsia="Arial" w:hAnsi="Arial"/>
          <w:sz w:val="22"/>
          <w:szCs w:val="22"/>
        </w:rPr>
        <w:t xml:space="preserve">National Institute for Health and Care Excellence (2024) Tirzepatide for managing overweight and obesity. Technology appraisal guidance [TA1026]. London: NICE. Available at: https://www.nice.org.uk/guidance/ta1026 (Accessed: 15 July 2026).</w:t>
      </w:r>
    </w:p>
    <w:p>
      <w:pPr>
        <w:spacing w:after="160" w:line="360"/>
        <w:ind w:left="720" w:hanging="720"/>
      </w:pPr>
      <w:r>
        <w:rPr>
          <w:rFonts w:ascii="Arial" w:cs="Arial" w:eastAsia="Arial" w:hAnsi="Arial"/>
          <w:sz w:val="22"/>
          <w:szCs w:val="22"/>
        </w:rPr>
        <w:t xml:space="preserve">National Institute for Health and Care Excellence (2025) Overweight and obesity management. NICE guideline [NG246]. London: NICE. Available at: https://www.nice.org.uk/guidance/ng246 (Accessed: 15 July 2026).</w:t>
      </w:r>
    </w:p>
    <w:p>
      <w:pPr>
        <w:spacing w:after="160" w:line="360"/>
        <w:ind w:left="720" w:hanging="720"/>
      </w:pPr>
      <w:r>
        <w:rPr>
          <w:rFonts w:ascii="Arial" w:cs="Arial" w:eastAsia="Arial" w:hAnsi="Arial"/>
          <w:sz w:val="22"/>
          <w:szCs w:val="22"/>
        </w:rPr>
        <w:t xml:space="preserve">NHS England Digital (2023) Health Survey for England, 2022 Part 2: adult overweight and obesity. Leeds: NHS England Digital. Available at: https://digital.nhs.uk/data-and-information/publications/statistical/health-survey-for-england (Accessed: 15 July 2026).</w:t>
      </w:r>
    </w:p>
    <w:p>
      <w:pPr>
        <w:spacing w:after="160" w:line="360"/>
        <w:ind w:left="720" w:hanging="720"/>
      </w:pPr>
      <w:r>
        <w:rPr>
          <w:rFonts w:ascii="Arial" w:cs="Arial" w:eastAsia="Arial" w:hAnsi="Arial"/>
          <w:sz w:val="22"/>
          <w:szCs w:val="22"/>
        </w:rPr>
        <w:t xml:space="preserve">Public Health England (2017) National mapping of weight management services: provision of tier 2 and tier 3 services in England. London: Public Health England.</w:t>
      </w:r>
    </w:p>
    <w:p>
      <w:pPr>
        <w:spacing w:after="160" w:line="360"/>
        <w:ind w:left="720" w:hanging="720"/>
      </w:pPr>
      <w:r>
        <w:rPr>
          <w:rFonts w:ascii="Arial" w:cs="Arial" w:eastAsia="Arial" w:hAnsi="Arial"/>
          <w:sz w:val="22"/>
          <w:szCs w:val="22"/>
        </w:rPr>
        <w:t xml:space="preserve">Roberts, K. et al. (2025) ASO submits evidence to the Health and Social Care Select Committee inquiry on food and weight management. London: Association for the Study of Obesity. Available at: https://aso.org.uk/ (Accessed: 5 March 2026).</w:t>
      </w:r>
    </w:p>
    <w:p>
      <w:pPr>
        <w:spacing w:after="160" w:line="360"/>
        <w:ind w:left="720" w:hanging="720"/>
      </w:pPr>
      <w:r>
        <w:rPr>
          <w:rFonts w:ascii="Arial" w:cs="Arial" w:eastAsia="Arial" w:hAnsi="Arial"/>
          <w:sz w:val="22"/>
          <w:szCs w:val="22"/>
        </w:rPr>
        <w:t xml:space="preserve">Ryan, L., Coyne, R., Heary, C., Birney, S., Crotty, M., Dunne, R., Conlan, O. and Walsh, J.C. (2023) ‘Weight stigma experienced by patients with obesity in healthcare settings: a qualitative evidence synthesis’, Obesity Reviews, 24(10), e13606. doi:10.1111/obr.13606.</w:t>
      </w:r>
    </w:p>
    <w:p>
      <w:pPr>
        <w:spacing w:after="160" w:line="360"/>
        <w:ind w:left="720" w:hanging="720"/>
      </w:pPr>
      <w:r>
        <w:rPr>
          <w:rFonts w:ascii="Arial" w:cs="Arial" w:eastAsia="Arial" w:hAnsi="Arial"/>
          <w:sz w:val="22"/>
          <w:szCs w:val="22"/>
        </w:rPr>
        <w:t xml:space="preserve">Sloggett, A. (2024) ‘Much of NHS in England does not take obesity seriously enough’, The Guardian, 7 July. Available at: https://www.theguardian.com/society/article/2024/jul/07/much-of-nhs-in-england-does-not-take-obesity-seriously-enough (Accessed: 5 March 2026).</w:t>
      </w:r>
    </w:p>
    <w:p>
      <w:pPr>
        <w:spacing w:after="160" w:line="360"/>
        <w:ind w:left="720" w:hanging="720"/>
      </w:pPr>
      <w:r>
        <w:rPr>
          <w:rFonts w:ascii="Arial" w:cs="Arial" w:eastAsia="Arial" w:hAnsi="Arial"/>
          <w:sz w:val="22"/>
          <w:szCs w:val="22"/>
        </w:rPr>
        <w:t xml:space="preserve">Tricco, A.C., Lillie, E., Zarin, W., O’Brien, K.K., Colquhoun, H., Levac, D., Moher, D., Peters, M.D.J., Horsley, T., Weeks, L., Hempel, S. and Straus, S.E. (2018) ‘PRISMA extension for scoping reviews (PRISMA-ScR): checklist and explanation’, Annals of Internal Medicine, 169(7), pp. 467–473. doi:10.7326/M18-0850.</w:t>
      </w:r>
    </w:p>
    <w:p>
      <w:pPr>
        <w:spacing w:after="160" w:line="360"/>
        <w:ind w:left="720" w:hanging="720"/>
      </w:pPr>
      <w:r>
        <w:rPr>
          <w:rFonts w:ascii="Arial" w:cs="Arial" w:eastAsia="Arial" w:hAnsi="Arial"/>
          <w:sz w:val="22"/>
          <w:szCs w:val="22"/>
        </w:rPr>
        <w:t xml:space="preserve">World Health Organization (2021) Obesity and overweight: fact sheet. Geneva: World Health Organization. Available at: https://www.who.int/news-room/fact-sheets/detail/obesity-and-overweight (Accessed: 15 July 2026).</w:t>
      </w:r>
    </w:p>
    <w:sectPr>
      <w:footerReference w:type="default" r:id="rId7"/>
      <w:pgSz w:w="11906" w:h="16838" w:orient="portrait"/>
      <w:pgMar w:top="1440" w:right="1440" w:bottom="1440" w:left="144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pPr>
      <w:jc w:val="center"/>
    </w:pPr>
    <w:r>
      <w:rPr>
        <w:rFonts w:ascii="Arial" w:cs="Arial" w:eastAsia="Arial" w:hAnsi="Arial"/>
        <w:sz w:val="18"/>
        <w:szCs w:val="18"/>
      </w:rPr>
      <w:t xml:space="preserve">Page </w:t>
    </w:r>
    <w:r>
      <w:rPr>
        <w:rFonts w:ascii="Arial" w:cs="Arial" w:eastAsia="Arial" w:hAnsi="Arial"/>
        <w:sz w:val="18"/>
        <w:szCs w:val="18"/>
      </w:rPr>
      <w:fldChar w:fldCharType="begin"/>
      <w:instrText xml:space="preserve">PAGE</w:instrText>
      <w:fldChar w:fldCharType="separate"/>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multiLevelType w:val="hybridMultilevel"/>
    <w:lvl w:ilvl="0" w15:tentative="1">
      <w:start w:val="1"/>
      <w:numFmt w:val="bullet"/>
      <w:lvlText w:val="•"/>
      <w:lvlJc w:val="left"/>
      <w:pPr>
        <w:ind w:left="720" w:hanging="360"/>
      </w:pPr>
    </w:lvl>
  </w:abstractNum>
  <w:num w:numId="1">
    <w:abstractNumId w:val="1"/>
    <w:lvlOverride w:ilvl="0">
      <w:startOverride w:val="1"/>
    </w:lvlOverride>
  </w:num>
  <w:num w:numId="2">
    <w:abstractNumId w:val="2"/>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cs="Arial" w:eastAsia="Arial" w:hAnsi="Arial"/>
        <w:sz w:val="22"/>
        <w:szCs w:val="22"/>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 w:type="paragraph" w:styleId="Heading1">
    <w:name w:val="Heading 1"/>
    <w:basedOn w:val="Normal"/>
    <w:next w:val="Normal"/>
    <w:qFormat/>
    <w:pPr>
      <w:spacing w:after="160" w:before="320" w:line="360"/>
      <w:outlineLvl w:val="0"/>
    </w:pPr>
    <w:rPr>
      <w:rFonts w:ascii="Arial" w:cs="Arial" w:eastAsia="Arial" w:hAnsi="Arial"/>
      <w:b/>
      <w:bCs/>
      <w:color w:val="1F4E79"/>
      <w:sz w:val="28"/>
      <w:szCs w:val="28"/>
    </w:rPr>
  </w:style>
  <w:style w:type="paragraph" w:styleId="Heading2">
    <w:name w:val="Heading 2"/>
    <w:basedOn w:val="Normal"/>
    <w:next w:val="Normal"/>
    <w:qFormat/>
    <w:pPr>
      <w:spacing w:after="100" w:before="180" w:line="360"/>
      <w:outlineLvl w:val="1"/>
    </w:pPr>
    <w:rPr>
      <w:rFonts w:ascii="Arial" w:cs="Arial" w:eastAsia="Arial" w:hAnsi="Arial"/>
      <w:b/>
      <w:bCs/>
      <w:color w:val="2E74B5"/>
      <w:sz w:val="24"/>
      <w:szCs w:val="24"/>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oter" Target="footer1.xml"/><Relationship Id="rId8" Type="http://schemas.openxmlformats.org/officeDocument/2006/relationships/image" Target="media/da59ea455f7d2e3bade9eac6f76870f9cf3811a0.png"/><Relationship Id="rId9"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er1.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2026-07-14T22:22:09.354Z</dcterms:created>
  <dcterms:modified xsi:type="dcterms:W3CDTF">2026-07-14T22:22:09.355Z</dcterms:modified>
</cp:coreProperties>
</file>

<file path=docProps/custom.xml><?xml version="1.0" encoding="utf-8"?>
<Properties xmlns="http://schemas.openxmlformats.org/officeDocument/2006/custom-properties" xmlns:vt="http://schemas.openxmlformats.org/officeDocument/2006/docPropsVTypes"/>
</file>