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7DB1" w:rsidRDefault="00207DB1">
      <w:r>
        <w:t xml:space="preserve">Firstly, the argument of this essay is coherent, with clear points at the beginning of the paragraphs set up what they’re about. However, after these </w:t>
      </w:r>
      <w:r w:rsidR="00B203EE">
        <w:t>points</w:t>
      </w:r>
      <w:r>
        <w:t xml:space="preserve"> the essay seems to become </w:t>
      </w:r>
      <w:r w:rsidR="00B203EE">
        <w:t>unrelated</w:t>
      </w:r>
      <w:r>
        <w:t xml:space="preserve"> to original point</w:t>
      </w:r>
      <w:r w:rsidR="00B203EE">
        <w:t>, with excessive use of describing people and films</w:t>
      </w:r>
      <w:r>
        <w:t xml:space="preserve">, therefore perhaps </w:t>
      </w:r>
      <w:r w:rsidR="00B203EE">
        <w:t>attempt</w:t>
      </w:r>
      <w:r>
        <w:t xml:space="preserve"> a</w:t>
      </w:r>
      <w:r w:rsidR="00B203EE">
        <w:t xml:space="preserve"> final </w:t>
      </w:r>
      <w:r>
        <w:t xml:space="preserve">sentence linking back. Furthermore, although the </w:t>
      </w:r>
      <w:r w:rsidR="00B203EE">
        <w:t xml:space="preserve">original </w:t>
      </w:r>
      <w:r>
        <w:t>points raised are relevant to the question, they seem to explore the types of media</w:t>
      </w:r>
      <w:r w:rsidR="00B203EE">
        <w:t xml:space="preserve"> during the 1950’s, rather than elaborating the impact they have on the youth. </w:t>
      </w:r>
      <w:r w:rsidR="005E5441">
        <w:t>One suggestion is</w:t>
      </w:r>
      <w:r w:rsidR="00B203EE">
        <w:t xml:space="preserve"> </w:t>
      </w:r>
      <w:proofErr w:type="gramStart"/>
      <w:r w:rsidR="00B203EE">
        <w:t>try</w:t>
      </w:r>
      <w:proofErr w:type="gramEnd"/>
      <w:r w:rsidR="005E5441">
        <w:t xml:space="preserve"> to repeat</w:t>
      </w:r>
      <w:r w:rsidR="00B203EE">
        <w:t xml:space="preserve"> the structure used when exploring “portable music”, and the significance of it </w:t>
      </w:r>
      <w:r w:rsidR="005E5441">
        <w:t>“providing</w:t>
      </w:r>
      <w:r w:rsidR="00B203EE">
        <w:t xml:space="preserve"> independence</w:t>
      </w:r>
      <w:r w:rsidR="005E5441">
        <w:t>”</w:t>
      </w:r>
      <w:r w:rsidR="00DD07EE">
        <w:t xml:space="preserve"> to keep the essay on track.</w:t>
      </w:r>
    </w:p>
    <w:p w:rsidR="00DD07EE" w:rsidRDefault="00DD07EE"/>
    <w:p w:rsidR="009F21B6" w:rsidRDefault="00DD07EE" w:rsidP="009F21B6">
      <w:r>
        <w:t>Additionally, there is an</w:t>
      </w:r>
      <w:r w:rsidR="005302F4">
        <w:t xml:space="preserve"> e</w:t>
      </w:r>
      <w:r>
        <w:t>ffective structure</w:t>
      </w:r>
      <w:r w:rsidR="001219DA">
        <w:t>, however perhaps work on</w:t>
      </w:r>
      <w:r w:rsidR="005302F4">
        <w:t xml:space="preserve"> the</w:t>
      </w:r>
      <w:r w:rsidR="001219DA">
        <w:t xml:space="preserve"> clarity and grammar</w:t>
      </w:r>
      <w:r w:rsidR="003464A9" w:rsidRPr="003464A9">
        <w:t xml:space="preserve"> </w:t>
      </w:r>
      <w:r w:rsidR="003464A9">
        <w:t>of the essay</w:t>
      </w:r>
      <w:r w:rsidR="001219DA">
        <w:t>. Sentences starting with “and” or “but” can be deemed colloquial, therefore could be placed at the end of sentences instead, following on from a point</w:t>
      </w:r>
      <w:r w:rsidR="003464A9">
        <w:t xml:space="preserve">. </w:t>
      </w:r>
      <w:r w:rsidR="005E5441">
        <w:t xml:space="preserve">On the other hand, one major advantage of this essay is the analysation. Although at some points overly descriptive, there is a huge focus on balancing the strengths and weaknesses of new technology, with repeated use of “as a consequence…” and “so…”, therefore in future make this analysis even more frequent. A further advantage is the exploration of long term impacts of the consumer goods market, using an academic tone and key terms. </w:t>
      </w:r>
      <w:r w:rsidR="003464A9">
        <w:t xml:space="preserve">Continuing from </w:t>
      </w:r>
      <w:r w:rsidR="005E5441">
        <w:t>exploring the structure</w:t>
      </w:r>
      <w:r w:rsidR="003464A9">
        <w:t xml:space="preserve">, terms </w:t>
      </w:r>
      <w:r w:rsidR="005E5441">
        <w:t>such as</w:t>
      </w:r>
      <w:r w:rsidR="003464A9">
        <w:t xml:space="preserve"> “as Jim Curtis puts it...” and “TV’s” are informal, so possibly use more advanced vocabulary to keep the essay professional. Following on from the clarity of the essay, occasional sentence starters such as “that these children were educated…” is difficult to understand and doesn’t make sense</w:t>
      </w:r>
      <w:r w:rsidR="009F21B6">
        <w:t>, hence remember to proofread your essay. Finally, it can be argued that the use of “I believe...” and “I will later explain…” is subjective. Although it clearly signposts creating an opinion and is slightly analytical, perhaps it is best to use “it is suggested that...” to keep distanced and professional.</w:t>
      </w:r>
    </w:p>
    <w:p w:rsidR="00306F96" w:rsidRDefault="00306F96" w:rsidP="009F21B6"/>
    <w:p w:rsidR="00306F96" w:rsidRDefault="00306F96" w:rsidP="009F21B6">
      <w:r>
        <w:t xml:space="preserve">Finally, </w:t>
      </w:r>
      <w:r w:rsidR="00730081">
        <w:t xml:space="preserve">the </w:t>
      </w:r>
      <w:r>
        <w:t>sources and referencing are satisfactory. There is good exploration of qualitative and quantitative data from sources with</w:t>
      </w:r>
      <w:r w:rsidR="00730081">
        <w:t xml:space="preserve"> exploring wealth and the impact it has socially. In terms of sources they are ranged and relevant, however not all information, such as the Baby Boom figures are not footnoted, and similarly, the footnoting is inconsistent. Some are full Harvard references with dates and publisher, whereas others are simply the book title, author and page number, therefore consistency is key. The sources used are listed accurately and alphabetically in the bibliography and are engaged with. This engagement with the source is crucial to critical thinking, with effective use of taking a small phrase such as “complete social cosmos” from that quote to discuss in depth.</w:t>
      </w:r>
    </w:p>
    <w:p w:rsidR="00730081" w:rsidRDefault="00730081" w:rsidP="009F21B6"/>
    <w:p w:rsidR="00730081" w:rsidRDefault="00730081" w:rsidP="009F21B6">
      <w:r>
        <w:t>In conclusion, thi</w:t>
      </w:r>
      <w:r w:rsidR="00C77ACC">
        <w:t>s essay may receive a mark of 58</w:t>
      </w:r>
      <w:r>
        <w:t xml:space="preserve">, due to its often </w:t>
      </w:r>
      <w:r w:rsidR="005E5441">
        <w:t>colloquial and</w:t>
      </w:r>
      <w:r w:rsidR="00263E18">
        <w:t xml:space="preserve"> irrelevant ideas, </w:t>
      </w:r>
      <w:r w:rsidR="005E5441">
        <w:t>Predominately</w:t>
      </w:r>
      <w:r w:rsidR="00263E18">
        <w:t xml:space="preserve"> the essay </w:t>
      </w:r>
      <w:r w:rsidR="005E5441">
        <w:t>doesn’t fully answer</w:t>
      </w:r>
      <w:r w:rsidR="00263E18">
        <w:t xml:space="preserve"> the question</w:t>
      </w:r>
      <w:r w:rsidR="005E5441">
        <w:t>, going off track and explaining the types of media and not their impacts.</w:t>
      </w:r>
    </w:p>
    <w:p w:rsidR="00DD07EE" w:rsidRDefault="00DD07EE"/>
    <w:p w:rsidR="003464A9" w:rsidRDefault="00EE2370">
      <w:bookmarkStart w:id="0" w:name="_GoBack"/>
      <w:bookmarkEnd w:id="0"/>
      <w:r>
        <w:rPr>
          <w:noProof/>
        </w:rPr>
        <mc:AlternateContent>
          <mc:Choice Requires="wps">
            <w:drawing>
              <wp:anchor distT="0" distB="0" distL="114300" distR="114300" simplePos="0" relativeHeight="251659264" behindDoc="0" locked="0" layoutInCell="1" allowOverlap="1">
                <wp:simplePos x="0" y="0"/>
                <wp:positionH relativeFrom="column">
                  <wp:posOffset>5000624</wp:posOffset>
                </wp:positionH>
                <wp:positionV relativeFrom="paragraph">
                  <wp:posOffset>747395</wp:posOffset>
                </wp:positionV>
                <wp:extent cx="828675" cy="2952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828675" cy="295275"/>
                        </a:xfrm>
                        <a:prstGeom prst="rect">
                          <a:avLst/>
                        </a:prstGeom>
                        <a:solidFill>
                          <a:schemeClr val="lt1"/>
                        </a:solidFill>
                        <a:ln w="6350">
                          <a:solidFill>
                            <a:prstClr val="black"/>
                          </a:solidFill>
                        </a:ln>
                      </wps:spPr>
                      <wps:txbx>
                        <w:txbxContent>
                          <w:p w:rsidR="00EE2370" w:rsidRDefault="00263F1E">
                            <w:r>
                              <w:t>489</w:t>
                            </w:r>
                            <w:r w:rsidR="00EE2370">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93.75pt;margin-top:58.85pt;width:65.25pt;height: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" fillcolor="white [3201]" strokeweight=".5pt">
                <v:textbox>
                  <w:txbxContent>
                    <w:p w:rsidR="00EE2370" w:rsidRDefault="00263F1E">
                      <w:r>
                        <w:t>489</w:t>
                      </w:r>
                      <w:r w:rsidR="00EE2370">
                        <w:t xml:space="preserve"> words</w:t>
                      </w:r>
                    </w:p>
                  </w:txbxContent>
                </v:textbox>
              </v:shape>
            </w:pict>
          </mc:Fallback>
        </mc:AlternateContent>
      </w:r>
    </w:p>
    <w:sectPr w:rsidR="003464A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357C" w:rsidRDefault="00AF357C" w:rsidP="006B333E">
      <w:pPr>
        <w:spacing w:after="0" w:line="240" w:lineRule="auto"/>
      </w:pPr>
      <w:r>
        <w:separator/>
      </w:r>
    </w:p>
  </w:endnote>
  <w:endnote w:type="continuationSeparator" w:id="0">
    <w:p w:rsidR="00AF357C" w:rsidRDefault="00AF357C" w:rsidP="006B3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357C" w:rsidRDefault="00AF357C" w:rsidP="006B333E">
      <w:pPr>
        <w:spacing w:after="0" w:line="240" w:lineRule="auto"/>
      </w:pPr>
      <w:r>
        <w:separator/>
      </w:r>
    </w:p>
  </w:footnote>
  <w:footnote w:type="continuationSeparator" w:id="0">
    <w:p w:rsidR="00AF357C" w:rsidRDefault="00AF357C" w:rsidP="006B33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333E" w:rsidRDefault="006B333E">
    <w:pPr>
      <w:pStyle w:val="Header"/>
    </w:pPr>
    <w:r>
      <w:t>Essay Approval               HPHI4002             Elizabeth Wright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A7F04"/>
    <w:multiLevelType w:val="hybridMultilevel"/>
    <w:tmpl w:val="3A1E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DB1"/>
    <w:rsid w:val="001219DA"/>
    <w:rsid w:val="00207DB1"/>
    <w:rsid w:val="00263E18"/>
    <w:rsid w:val="00263F1E"/>
    <w:rsid w:val="002764AD"/>
    <w:rsid w:val="00306F96"/>
    <w:rsid w:val="003464A9"/>
    <w:rsid w:val="00353F86"/>
    <w:rsid w:val="005302F4"/>
    <w:rsid w:val="005E5441"/>
    <w:rsid w:val="005F1142"/>
    <w:rsid w:val="006B333E"/>
    <w:rsid w:val="00730081"/>
    <w:rsid w:val="009F21B6"/>
    <w:rsid w:val="00AB5421"/>
    <w:rsid w:val="00AF357C"/>
    <w:rsid w:val="00B203EE"/>
    <w:rsid w:val="00C77ACC"/>
    <w:rsid w:val="00CA4AD0"/>
    <w:rsid w:val="00DD07EE"/>
    <w:rsid w:val="00EE2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461E3"/>
  <w15:chartTrackingRefBased/>
  <w15:docId w15:val="{0266040C-0D9A-427E-AB41-6CFC73AB6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1B6"/>
    <w:pPr>
      <w:ind w:left="720"/>
      <w:contextualSpacing/>
    </w:pPr>
  </w:style>
  <w:style w:type="paragraph" w:styleId="Header">
    <w:name w:val="header"/>
    <w:basedOn w:val="Normal"/>
    <w:link w:val="HeaderChar"/>
    <w:uiPriority w:val="99"/>
    <w:unhideWhenUsed/>
    <w:rsid w:val="006B3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33E"/>
  </w:style>
  <w:style w:type="paragraph" w:styleId="Footer">
    <w:name w:val="footer"/>
    <w:basedOn w:val="Normal"/>
    <w:link w:val="FooterChar"/>
    <w:uiPriority w:val="99"/>
    <w:unhideWhenUsed/>
    <w:rsid w:val="006B3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Pages>
  <Words>458</Words>
  <Characters>2611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Wright (1700885)</dc:creator>
  <cp:keywords/>
  <dc:description/>
  <cp:lastModifiedBy>Elizabeth Wright (1700885)</cp:lastModifiedBy>
  <cp:revision>11</cp:revision>
  <dcterms:created xsi:type="dcterms:W3CDTF">2017-10-24T21:25:00Z</dcterms:created>
  <dcterms:modified xsi:type="dcterms:W3CDTF">2017-10-26T22:22:00Z</dcterms:modified>
</cp:coreProperties>
</file>