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6E1B" w:rsidRDefault="005C6E1B" w:rsidP="0036016D"/>
    <w:p w:rsidR="005C6E1B" w:rsidRDefault="001A25FC" w:rsidP="001A25FC">
      <w:r>
        <w:rPr>
          <w:noProof/>
          <w:lang w:eastAsia="en-GB"/>
        </w:rPr>
        <w:drawing>
          <wp:inline distT="0" distB="0" distL="0" distR="0" wp14:anchorId="1BF9B46D" wp14:editId="10269227">
            <wp:extent cx="5731510" cy="3040331"/>
            <wp:effectExtent l="0" t="0" r="254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8941" cy="3044273"/>
                    </a:xfrm>
                    <a:prstGeom prst="rect">
                      <a:avLst/>
                    </a:prstGeom>
                  </pic:spPr>
                </pic:pic>
              </a:graphicData>
            </a:graphic>
          </wp:inline>
        </w:drawing>
      </w:r>
    </w:p>
    <w:p w:rsidR="0006317A" w:rsidRDefault="0006317A" w:rsidP="001A25FC"/>
    <w:p w:rsidR="0006317A" w:rsidRDefault="0006317A" w:rsidP="0006317A">
      <w:pPr>
        <w:jc w:val="center"/>
        <w:rPr>
          <w:rFonts w:ascii="Arial" w:hAnsi="Arial" w:cs="Arial"/>
          <w:sz w:val="40"/>
          <w:szCs w:val="40"/>
        </w:rPr>
      </w:pPr>
      <w:r>
        <w:rPr>
          <w:rFonts w:ascii="Arial" w:hAnsi="Arial" w:cs="Arial"/>
          <w:sz w:val="40"/>
          <w:szCs w:val="40"/>
        </w:rPr>
        <w:t>Name: James Cullen</w:t>
      </w:r>
    </w:p>
    <w:p w:rsidR="0006317A" w:rsidRDefault="00607886" w:rsidP="0006317A">
      <w:pPr>
        <w:jc w:val="center"/>
        <w:rPr>
          <w:rFonts w:ascii="Arial" w:hAnsi="Arial" w:cs="Arial"/>
          <w:sz w:val="40"/>
          <w:szCs w:val="40"/>
        </w:rPr>
      </w:pPr>
      <w:r>
        <w:rPr>
          <w:rFonts w:ascii="Arial" w:hAnsi="Arial" w:cs="Arial"/>
          <w:sz w:val="40"/>
          <w:szCs w:val="40"/>
        </w:rPr>
        <w:t>Student Number: P</w:t>
      </w:r>
      <w:r w:rsidR="0006317A">
        <w:rPr>
          <w:rFonts w:ascii="Arial" w:hAnsi="Arial" w:cs="Arial"/>
          <w:sz w:val="40"/>
          <w:szCs w:val="40"/>
        </w:rPr>
        <w:t>151951</w:t>
      </w:r>
    </w:p>
    <w:p w:rsidR="0006317A" w:rsidRDefault="0006317A" w:rsidP="0006317A">
      <w:pPr>
        <w:jc w:val="center"/>
        <w:rPr>
          <w:rFonts w:ascii="Arial" w:hAnsi="Arial" w:cs="Arial"/>
          <w:sz w:val="40"/>
          <w:szCs w:val="40"/>
        </w:rPr>
      </w:pPr>
      <w:r>
        <w:rPr>
          <w:rFonts w:ascii="Arial" w:hAnsi="Arial" w:cs="Arial"/>
          <w:sz w:val="40"/>
          <w:szCs w:val="40"/>
        </w:rPr>
        <w:t xml:space="preserve">Module Name: </w:t>
      </w:r>
      <w:r w:rsidR="005C6E1B">
        <w:rPr>
          <w:rFonts w:ascii="Arial" w:hAnsi="Arial" w:cs="Arial"/>
          <w:sz w:val="40"/>
          <w:szCs w:val="40"/>
        </w:rPr>
        <w:t>Contract Practice &amp; Procedures</w:t>
      </w:r>
    </w:p>
    <w:p w:rsidR="005C6E1B" w:rsidRDefault="005C6E1B" w:rsidP="005C6E1B">
      <w:pPr>
        <w:jc w:val="center"/>
        <w:rPr>
          <w:rFonts w:ascii="Arial" w:hAnsi="Arial" w:cs="Arial"/>
          <w:sz w:val="40"/>
          <w:szCs w:val="40"/>
        </w:rPr>
      </w:pPr>
      <w:r>
        <w:rPr>
          <w:rFonts w:ascii="Arial" w:hAnsi="Arial" w:cs="Arial"/>
          <w:sz w:val="40"/>
          <w:szCs w:val="40"/>
        </w:rPr>
        <w:t xml:space="preserve">Assignment Title: </w:t>
      </w:r>
      <w:bookmarkStart w:id="0" w:name="_GoBack"/>
      <w:r>
        <w:rPr>
          <w:rFonts w:ascii="Arial" w:hAnsi="Arial" w:cs="Arial"/>
          <w:sz w:val="40"/>
          <w:szCs w:val="40"/>
        </w:rPr>
        <w:t>Administration within Contracts</w:t>
      </w:r>
      <w:bookmarkEnd w:id="0"/>
    </w:p>
    <w:p w:rsidR="00037C0F" w:rsidRDefault="0036016D" w:rsidP="00037C0F">
      <w:pPr>
        <w:jc w:val="center"/>
        <w:rPr>
          <w:rFonts w:ascii="Arial" w:hAnsi="Arial" w:cs="Arial"/>
          <w:sz w:val="40"/>
          <w:szCs w:val="40"/>
        </w:rPr>
      </w:pPr>
      <w:r>
        <w:rPr>
          <w:rFonts w:ascii="Arial" w:hAnsi="Arial" w:cs="Arial"/>
          <w:noProof/>
          <w:sz w:val="40"/>
          <w:szCs w:val="40"/>
          <w:lang w:eastAsia="en-GB"/>
        </w:rPr>
        <w:drawing>
          <wp:inline distT="0" distB="0" distL="0" distR="0">
            <wp:extent cx="3274294" cy="5517515"/>
            <wp:effectExtent l="2222" t="0" r="4763" b="4762"/>
            <wp:docPr id="9" name="Picture 9" descr="\\dcww-vs-fp\home\C004513\Desktop\Schemes\Crai Enabling Works\Phase 1\Site Photos\10.12.18\20181210_1312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cww-vs-fp\home\C004513\Desktop\Schemes\Crai Enabling Works\Phase 1\Site Photos\10.12.18\20181210_131257.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3294201" cy="5551060"/>
                    </a:xfrm>
                    <a:prstGeom prst="rect">
                      <a:avLst/>
                    </a:prstGeom>
                    <a:noFill/>
                    <a:ln>
                      <a:noFill/>
                    </a:ln>
                  </pic:spPr>
                </pic:pic>
              </a:graphicData>
            </a:graphic>
          </wp:inline>
        </w:drawing>
      </w:r>
    </w:p>
    <w:p w:rsidR="0006317A" w:rsidRPr="00C42546" w:rsidRDefault="00607886" w:rsidP="00037C0F">
      <w:pPr>
        <w:jc w:val="center"/>
        <w:rPr>
          <w:rFonts w:ascii="Arial" w:hAnsi="Arial" w:cs="Arial"/>
          <w:sz w:val="40"/>
          <w:szCs w:val="40"/>
        </w:rPr>
      </w:pPr>
      <w:r>
        <w:rPr>
          <w:rFonts w:ascii="Arial" w:hAnsi="Arial" w:cs="Arial"/>
          <w:b/>
          <w:sz w:val="32"/>
          <w:szCs w:val="32"/>
          <w:u w:val="single"/>
        </w:rPr>
        <w:lastRenderedPageBreak/>
        <w:t>Contents</w:t>
      </w:r>
    </w:p>
    <w:p w:rsidR="00607886" w:rsidRDefault="00607886" w:rsidP="0006317A">
      <w:pPr>
        <w:jc w:val="center"/>
        <w:rPr>
          <w:rFonts w:ascii="Arial" w:hAnsi="Arial" w:cs="Arial"/>
          <w:b/>
          <w:sz w:val="32"/>
          <w:szCs w:val="32"/>
          <w:u w:val="single"/>
        </w:rPr>
      </w:pPr>
    </w:p>
    <w:p w:rsidR="00607886" w:rsidRPr="00607886" w:rsidRDefault="00CC17A5" w:rsidP="00607886">
      <w:pPr>
        <w:pStyle w:val="ListParagraph"/>
        <w:numPr>
          <w:ilvl w:val="0"/>
          <w:numId w:val="1"/>
        </w:numPr>
        <w:rPr>
          <w:rFonts w:ascii="Arial" w:hAnsi="Arial" w:cs="Arial"/>
          <w:b/>
          <w:sz w:val="32"/>
          <w:szCs w:val="32"/>
          <w:u w:val="single"/>
        </w:rPr>
      </w:pPr>
      <w:r>
        <w:rPr>
          <w:rFonts w:ascii="Arial" w:hAnsi="Arial" w:cs="Arial"/>
          <w:b/>
          <w:sz w:val="32"/>
          <w:szCs w:val="32"/>
          <w:u w:val="single"/>
        </w:rPr>
        <w:t>Page 5</w:t>
      </w:r>
      <w:r w:rsidR="00607886">
        <w:rPr>
          <w:rFonts w:ascii="Arial" w:hAnsi="Arial" w:cs="Arial"/>
          <w:sz w:val="32"/>
          <w:szCs w:val="32"/>
        </w:rPr>
        <w:t xml:space="preserve"> – Introduction</w:t>
      </w:r>
    </w:p>
    <w:p w:rsidR="00607886" w:rsidRDefault="00607886" w:rsidP="00607886">
      <w:pPr>
        <w:pStyle w:val="ListParagraph"/>
        <w:rPr>
          <w:rFonts w:ascii="Arial" w:hAnsi="Arial" w:cs="Arial"/>
          <w:b/>
          <w:sz w:val="32"/>
          <w:szCs w:val="32"/>
          <w:u w:val="single"/>
        </w:rPr>
      </w:pPr>
    </w:p>
    <w:p w:rsidR="00607886" w:rsidRPr="009D6B9C" w:rsidRDefault="00EB66B3" w:rsidP="009D6B9C">
      <w:pPr>
        <w:pStyle w:val="ListParagraph"/>
        <w:numPr>
          <w:ilvl w:val="0"/>
          <w:numId w:val="1"/>
        </w:numPr>
        <w:rPr>
          <w:rFonts w:ascii="Arial" w:hAnsi="Arial" w:cs="Arial"/>
          <w:b/>
          <w:sz w:val="32"/>
          <w:szCs w:val="32"/>
          <w:u w:val="single"/>
        </w:rPr>
      </w:pPr>
      <w:r>
        <w:rPr>
          <w:rFonts w:ascii="Arial" w:hAnsi="Arial" w:cs="Arial"/>
          <w:b/>
          <w:sz w:val="32"/>
          <w:szCs w:val="32"/>
          <w:u w:val="single"/>
        </w:rPr>
        <w:t>Page 6</w:t>
      </w:r>
      <w:r w:rsidR="00607886">
        <w:rPr>
          <w:rFonts w:ascii="Arial" w:hAnsi="Arial" w:cs="Arial"/>
          <w:sz w:val="32"/>
          <w:szCs w:val="32"/>
        </w:rPr>
        <w:t xml:space="preserve"> – </w:t>
      </w:r>
      <w:r w:rsidR="001D429F">
        <w:rPr>
          <w:rFonts w:ascii="Arial" w:hAnsi="Arial" w:cs="Arial"/>
          <w:sz w:val="32"/>
          <w:szCs w:val="32"/>
        </w:rPr>
        <w:t>Variations in Contracts</w:t>
      </w:r>
    </w:p>
    <w:p w:rsidR="00607886" w:rsidRPr="00607886" w:rsidRDefault="00607886" w:rsidP="00607886">
      <w:pPr>
        <w:pStyle w:val="ListParagraph"/>
        <w:rPr>
          <w:rFonts w:ascii="Arial" w:hAnsi="Arial" w:cs="Arial"/>
          <w:b/>
          <w:sz w:val="32"/>
          <w:szCs w:val="32"/>
          <w:u w:val="single"/>
        </w:rPr>
      </w:pPr>
    </w:p>
    <w:p w:rsidR="00EB66B3" w:rsidRPr="00EB66B3" w:rsidRDefault="00CC17A5" w:rsidP="00EB66B3">
      <w:pPr>
        <w:pStyle w:val="ListParagraph"/>
        <w:numPr>
          <w:ilvl w:val="0"/>
          <w:numId w:val="1"/>
        </w:numPr>
        <w:rPr>
          <w:rFonts w:ascii="Arial" w:hAnsi="Arial" w:cs="Arial"/>
          <w:b/>
          <w:sz w:val="32"/>
          <w:szCs w:val="32"/>
          <w:u w:val="single"/>
        </w:rPr>
      </w:pPr>
      <w:r>
        <w:rPr>
          <w:rFonts w:ascii="Arial" w:hAnsi="Arial" w:cs="Arial"/>
          <w:b/>
          <w:sz w:val="32"/>
          <w:szCs w:val="32"/>
          <w:u w:val="single"/>
        </w:rPr>
        <w:t>Page 8</w:t>
      </w:r>
      <w:r w:rsidR="00607886">
        <w:rPr>
          <w:rFonts w:ascii="Arial" w:hAnsi="Arial" w:cs="Arial"/>
          <w:b/>
          <w:sz w:val="32"/>
          <w:szCs w:val="32"/>
          <w:u w:val="single"/>
        </w:rPr>
        <w:t xml:space="preserve"> </w:t>
      </w:r>
      <w:r w:rsidR="00607886">
        <w:rPr>
          <w:rFonts w:ascii="Arial" w:hAnsi="Arial" w:cs="Arial"/>
          <w:sz w:val="32"/>
          <w:szCs w:val="32"/>
        </w:rPr>
        <w:t>– Conclusion</w:t>
      </w:r>
    </w:p>
    <w:p w:rsidR="00EB66B3" w:rsidRPr="00EB66B3" w:rsidRDefault="00EB66B3" w:rsidP="00EB66B3">
      <w:pPr>
        <w:pStyle w:val="ListParagraph"/>
        <w:rPr>
          <w:rFonts w:ascii="Arial" w:hAnsi="Arial" w:cs="Arial"/>
          <w:b/>
          <w:sz w:val="32"/>
          <w:szCs w:val="32"/>
          <w:u w:val="single"/>
        </w:rPr>
      </w:pPr>
    </w:p>
    <w:p w:rsidR="00EB66B3" w:rsidRPr="00EB66B3" w:rsidRDefault="00EB66B3" w:rsidP="00EB66B3">
      <w:pPr>
        <w:pStyle w:val="ListParagraph"/>
        <w:numPr>
          <w:ilvl w:val="0"/>
          <w:numId w:val="1"/>
        </w:numPr>
        <w:rPr>
          <w:rFonts w:ascii="Arial" w:hAnsi="Arial" w:cs="Arial"/>
          <w:b/>
          <w:sz w:val="32"/>
          <w:szCs w:val="32"/>
          <w:u w:val="single"/>
        </w:rPr>
      </w:pPr>
      <w:r>
        <w:rPr>
          <w:rFonts w:ascii="Arial" w:hAnsi="Arial" w:cs="Arial"/>
          <w:b/>
          <w:sz w:val="32"/>
          <w:szCs w:val="32"/>
          <w:u w:val="single"/>
        </w:rPr>
        <w:t>Page 9</w:t>
      </w:r>
      <w:r>
        <w:rPr>
          <w:rFonts w:ascii="Arial" w:hAnsi="Arial" w:cs="Arial"/>
          <w:b/>
          <w:sz w:val="32"/>
          <w:szCs w:val="32"/>
        </w:rPr>
        <w:t xml:space="preserve"> </w:t>
      </w:r>
      <w:r>
        <w:rPr>
          <w:rFonts w:ascii="Arial" w:hAnsi="Arial" w:cs="Arial"/>
          <w:sz w:val="32"/>
          <w:szCs w:val="32"/>
        </w:rPr>
        <w:t>– List of Figures</w:t>
      </w:r>
    </w:p>
    <w:p w:rsidR="00607886" w:rsidRPr="00607886" w:rsidRDefault="00607886" w:rsidP="00607886">
      <w:pPr>
        <w:pStyle w:val="ListParagraph"/>
        <w:rPr>
          <w:rFonts w:ascii="Arial" w:hAnsi="Arial" w:cs="Arial"/>
          <w:b/>
          <w:sz w:val="32"/>
          <w:szCs w:val="32"/>
          <w:u w:val="single"/>
        </w:rPr>
      </w:pPr>
    </w:p>
    <w:p w:rsidR="00607886" w:rsidRPr="009D6B9C" w:rsidRDefault="00EB66B3" w:rsidP="0036016D">
      <w:pPr>
        <w:pStyle w:val="ListParagraph"/>
        <w:numPr>
          <w:ilvl w:val="0"/>
          <w:numId w:val="1"/>
        </w:numPr>
        <w:rPr>
          <w:rFonts w:ascii="Arial" w:hAnsi="Arial" w:cs="Arial"/>
          <w:b/>
          <w:sz w:val="32"/>
          <w:szCs w:val="32"/>
          <w:u w:val="single"/>
        </w:rPr>
      </w:pPr>
      <w:r>
        <w:rPr>
          <w:rFonts w:ascii="Arial" w:hAnsi="Arial" w:cs="Arial"/>
          <w:b/>
          <w:sz w:val="32"/>
          <w:szCs w:val="32"/>
          <w:u w:val="single"/>
        </w:rPr>
        <w:t>Page 10</w:t>
      </w:r>
      <w:r w:rsidR="00607886">
        <w:rPr>
          <w:rFonts w:ascii="Arial" w:hAnsi="Arial" w:cs="Arial"/>
          <w:sz w:val="32"/>
          <w:szCs w:val="32"/>
        </w:rPr>
        <w:t xml:space="preserve"> – List of References</w:t>
      </w:r>
    </w:p>
    <w:p w:rsidR="009D6B9C" w:rsidRPr="009D6B9C" w:rsidRDefault="009D6B9C" w:rsidP="009D6B9C">
      <w:pPr>
        <w:pStyle w:val="ListParagraph"/>
        <w:rPr>
          <w:rFonts w:ascii="Arial" w:hAnsi="Arial" w:cs="Arial"/>
          <w:b/>
          <w:sz w:val="32"/>
          <w:szCs w:val="32"/>
          <w:u w:val="single"/>
        </w:rPr>
      </w:pPr>
    </w:p>
    <w:p w:rsidR="009D6B9C" w:rsidRPr="0036016D" w:rsidRDefault="00EB66B3" w:rsidP="0036016D">
      <w:pPr>
        <w:pStyle w:val="ListParagraph"/>
        <w:numPr>
          <w:ilvl w:val="0"/>
          <w:numId w:val="1"/>
        </w:numPr>
        <w:rPr>
          <w:rFonts w:ascii="Arial" w:hAnsi="Arial" w:cs="Arial"/>
          <w:b/>
          <w:sz w:val="32"/>
          <w:szCs w:val="32"/>
          <w:u w:val="single"/>
        </w:rPr>
      </w:pPr>
      <w:r>
        <w:rPr>
          <w:rFonts w:ascii="Arial" w:hAnsi="Arial" w:cs="Arial"/>
          <w:b/>
          <w:sz w:val="32"/>
          <w:szCs w:val="32"/>
          <w:u w:val="single"/>
        </w:rPr>
        <w:t>Page 11</w:t>
      </w:r>
      <w:r w:rsidR="009D6B9C">
        <w:rPr>
          <w:rFonts w:ascii="Arial" w:hAnsi="Arial" w:cs="Arial"/>
          <w:sz w:val="32"/>
          <w:szCs w:val="32"/>
        </w:rPr>
        <w:t xml:space="preserve"> - Appendices</w:t>
      </w:r>
    </w:p>
    <w:p w:rsidR="00607886" w:rsidRDefault="00607886" w:rsidP="00607886">
      <w:pPr>
        <w:rPr>
          <w:rFonts w:ascii="Arial" w:hAnsi="Arial" w:cs="Arial"/>
          <w:b/>
          <w:sz w:val="32"/>
          <w:szCs w:val="32"/>
          <w:u w:val="single"/>
        </w:rPr>
      </w:pPr>
    </w:p>
    <w:p w:rsidR="00607886" w:rsidRDefault="00607886" w:rsidP="00607886">
      <w:pPr>
        <w:rPr>
          <w:rFonts w:ascii="Arial" w:hAnsi="Arial" w:cs="Arial"/>
          <w:b/>
          <w:sz w:val="32"/>
          <w:szCs w:val="32"/>
          <w:u w:val="single"/>
        </w:rPr>
      </w:pPr>
    </w:p>
    <w:p w:rsidR="00F26833" w:rsidRDefault="00F26833" w:rsidP="00607886">
      <w:pPr>
        <w:rPr>
          <w:rFonts w:ascii="Arial" w:hAnsi="Arial" w:cs="Arial"/>
          <w:b/>
          <w:sz w:val="32"/>
          <w:szCs w:val="32"/>
          <w:u w:val="single"/>
        </w:rPr>
      </w:pPr>
    </w:p>
    <w:p w:rsidR="00F26833" w:rsidRDefault="00F26833" w:rsidP="00607886">
      <w:pPr>
        <w:rPr>
          <w:rFonts w:ascii="Arial" w:hAnsi="Arial" w:cs="Arial"/>
          <w:b/>
          <w:sz w:val="32"/>
          <w:szCs w:val="32"/>
          <w:u w:val="single"/>
        </w:rPr>
      </w:pPr>
    </w:p>
    <w:p w:rsidR="002F6E62" w:rsidRDefault="002F6E62" w:rsidP="00607886">
      <w:pPr>
        <w:rPr>
          <w:rFonts w:ascii="Arial" w:hAnsi="Arial" w:cs="Arial"/>
          <w:b/>
          <w:sz w:val="32"/>
          <w:szCs w:val="32"/>
          <w:u w:val="single"/>
        </w:rPr>
        <w:sectPr w:rsidR="002F6E62" w:rsidSect="00C42546">
          <w:pgSz w:w="11906" w:h="16838"/>
          <w:pgMar w:top="1440" w:right="1440" w:bottom="1440" w:left="1440" w:header="708" w:footer="708" w:gutter="0"/>
          <w:pgNumType w:start="3"/>
          <w:cols w:space="708"/>
          <w:docGrid w:linePitch="360"/>
        </w:sectPr>
      </w:pPr>
    </w:p>
    <w:p w:rsidR="002D0AA4" w:rsidRDefault="00F26833" w:rsidP="002D0AA4">
      <w:pPr>
        <w:jc w:val="center"/>
        <w:rPr>
          <w:rFonts w:ascii="Arial" w:hAnsi="Arial" w:cs="Arial"/>
          <w:b/>
          <w:u w:val="single"/>
        </w:rPr>
      </w:pPr>
      <w:r>
        <w:rPr>
          <w:rFonts w:ascii="Arial" w:hAnsi="Arial" w:cs="Arial"/>
          <w:b/>
          <w:u w:val="single"/>
        </w:rPr>
        <w:lastRenderedPageBreak/>
        <w:t>Introduction</w:t>
      </w:r>
    </w:p>
    <w:p w:rsidR="002D0AA4" w:rsidRDefault="002D0AA4" w:rsidP="002D0AA4">
      <w:pPr>
        <w:rPr>
          <w:rFonts w:ascii="Arial" w:hAnsi="Arial" w:cs="Arial"/>
        </w:rPr>
      </w:pPr>
      <w:r>
        <w:rPr>
          <w:rFonts w:ascii="Arial" w:hAnsi="Arial" w:cs="Arial"/>
        </w:rPr>
        <w:t>By 2016, the construction industry in the UK was said to be worth roughly 105 billion pounds (Statista, 2019)</w:t>
      </w:r>
      <w:r w:rsidR="006B6B35">
        <w:rPr>
          <w:rFonts w:ascii="Arial" w:hAnsi="Arial" w:cs="Arial"/>
        </w:rPr>
        <w:t xml:space="preserve"> covering a</w:t>
      </w:r>
      <w:r>
        <w:rPr>
          <w:rFonts w:ascii="Arial" w:hAnsi="Arial" w:cs="Arial"/>
        </w:rPr>
        <w:t xml:space="preserve"> vast array o</w:t>
      </w:r>
      <w:r w:rsidR="006B6B35">
        <w:rPr>
          <w:rFonts w:ascii="Arial" w:hAnsi="Arial" w:cs="Arial"/>
        </w:rPr>
        <w:t xml:space="preserve">f schemes across many sectors.  Studies however show that a minority of construction projects are completed on time or budget, with many corporations employing contract administrators to oversee the processes involved with the non-site aspects.  Depending on the type of agreement, they initiate procedures defined in the contracts </w:t>
      </w:r>
      <w:r w:rsidR="007266D4">
        <w:rPr>
          <w:rFonts w:ascii="Arial" w:hAnsi="Arial" w:cs="Arial"/>
        </w:rPr>
        <w:t>designed to limit delays and overspend and to also compensate parties when unforeseen events occur during construction schemes.</w:t>
      </w:r>
    </w:p>
    <w:p w:rsidR="007266D4" w:rsidRPr="002D0AA4" w:rsidRDefault="007266D4" w:rsidP="007266D4">
      <w:pPr>
        <w:ind w:firstLine="720"/>
        <w:rPr>
          <w:rFonts w:ascii="Arial" w:hAnsi="Arial" w:cs="Arial"/>
          <w:b/>
          <w:u w:val="single"/>
        </w:rPr>
      </w:pPr>
      <w:r>
        <w:rPr>
          <w:rFonts w:ascii="Arial" w:hAnsi="Arial" w:cs="Arial"/>
        </w:rPr>
        <w:t xml:space="preserve">This report will describe the </w:t>
      </w:r>
      <w:r w:rsidR="00AF2E93">
        <w:rPr>
          <w:rFonts w:ascii="Arial" w:hAnsi="Arial" w:cs="Arial"/>
        </w:rPr>
        <w:t xml:space="preserve">proceedings and actions taken by a contract administrator following an unforeseen event occurring that could result in a variation of the contract terms. </w:t>
      </w:r>
    </w:p>
    <w:p w:rsidR="009225E5" w:rsidRDefault="009225E5" w:rsidP="00F26833">
      <w:pPr>
        <w:rPr>
          <w:rFonts w:ascii="Arial" w:hAnsi="Arial" w:cs="Arial"/>
        </w:rPr>
      </w:pPr>
    </w:p>
    <w:p w:rsidR="00321C6E" w:rsidRDefault="00321C6E" w:rsidP="00F26833">
      <w:pPr>
        <w:rPr>
          <w:rFonts w:ascii="Arial" w:hAnsi="Arial" w:cs="Arial"/>
        </w:rPr>
      </w:pPr>
    </w:p>
    <w:p w:rsidR="00321C6E" w:rsidRDefault="00321C6E" w:rsidP="00F26833">
      <w:pPr>
        <w:rPr>
          <w:rFonts w:ascii="Arial" w:hAnsi="Arial" w:cs="Arial"/>
        </w:rPr>
      </w:pPr>
    </w:p>
    <w:p w:rsidR="002F6E62" w:rsidRDefault="002F6E62" w:rsidP="007D3C6E">
      <w:pPr>
        <w:rPr>
          <w:rFonts w:ascii="Arial" w:hAnsi="Arial" w:cs="Arial"/>
          <w:b/>
          <w:u w:val="single"/>
        </w:rPr>
      </w:pPr>
    </w:p>
    <w:p w:rsidR="002F6E62" w:rsidRDefault="002F6E62" w:rsidP="002F6E62">
      <w:pPr>
        <w:jc w:val="center"/>
        <w:rPr>
          <w:rFonts w:ascii="Arial" w:hAnsi="Arial" w:cs="Arial"/>
          <w:b/>
          <w:u w:val="single"/>
        </w:rPr>
      </w:pPr>
    </w:p>
    <w:p w:rsidR="00321C6E" w:rsidRDefault="00321C6E" w:rsidP="00F26833">
      <w:pPr>
        <w:rPr>
          <w:rFonts w:ascii="Arial" w:hAnsi="Arial" w:cs="Arial"/>
        </w:rPr>
      </w:pPr>
    </w:p>
    <w:p w:rsidR="00365476" w:rsidRDefault="00365476" w:rsidP="00F26833">
      <w:pPr>
        <w:rPr>
          <w:rFonts w:ascii="Arial" w:hAnsi="Arial" w:cs="Arial"/>
        </w:rPr>
      </w:pPr>
    </w:p>
    <w:p w:rsidR="00365476" w:rsidRDefault="00365476" w:rsidP="00F26833">
      <w:pPr>
        <w:rPr>
          <w:rFonts w:ascii="Arial" w:hAnsi="Arial" w:cs="Arial"/>
        </w:rPr>
      </w:pPr>
    </w:p>
    <w:p w:rsidR="00365476" w:rsidRDefault="00365476" w:rsidP="00F26833">
      <w:pPr>
        <w:rPr>
          <w:rFonts w:ascii="Arial" w:hAnsi="Arial" w:cs="Arial"/>
        </w:rPr>
      </w:pPr>
    </w:p>
    <w:p w:rsidR="00365476" w:rsidRDefault="00365476" w:rsidP="00F26833">
      <w:pPr>
        <w:rPr>
          <w:rFonts w:ascii="Arial" w:hAnsi="Arial" w:cs="Arial"/>
        </w:rPr>
      </w:pPr>
    </w:p>
    <w:p w:rsidR="00365476" w:rsidRDefault="00365476" w:rsidP="00F26833">
      <w:pPr>
        <w:rPr>
          <w:rFonts w:ascii="Arial" w:hAnsi="Arial" w:cs="Arial"/>
        </w:rPr>
      </w:pPr>
    </w:p>
    <w:p w:rsidR="00365476" w:rsidRDefault="00365476" w:rsidP="00F26833">
      <w:pPr>
        <w:rPr>
          <w:rFonts w:ascii="Arial" w:hAnsi="Arial" w:cs="Arial"/>
        </w:rPr>
      </w:pPr>
    </w:p>
    <w:p w:rsidR="00365476" w:rsidRDefault="00365476" w:rsidP="00F26833">
      <w:pPr>
        <w:rPr>
          <w:rFonts w:ascii="Arial" w:hAnsi="Arial" w:cs="Arial"/>
        </w:rPr>
      </w:pPr>
    </w:p>
    <w:p w:rsidR="00365476" w:rsidRDefault="00365476" w:rsidP="00F26833">
      <w:pPr>
        <w:rPr>
          <w:rFonts w:ascii="Arial" w:hAnsi="Arial" w:cs="Arial"/>
        </w:rPr>
      </w:pPr>
    </w:p>
    <w:p w:rsidR="00365476" w:rsidRDefault="00365476" w:rsidP="00F26833">
      <w:pPr>
        <w:rPr>
          <w:rFonts w:ascii="Arial" w:hAnsi="Arial" w:cs="Arial"/>
        </w:rPr>
      </w:pPr>
    </w:p>
    <w:p w:rsidR="00365476" w:rsidRDefault="00365476" w:rsidP="00F26833">
      <w:pPr>
        <w:rPr>
          <w:rFonts w:ascii="Arial" w:hAnsi="Arial" w:cs="Arial"/>
        </w:rPr>
      </w:pPr>
    </w:p>
    <w:p w:rsidR="0036016D" w:rsidRDefault="0036016D" w:rsidP="0036016D">
      <w:pPr>
        <w:rPr>
          <w:rFonts w:ascii="Arial" w:hAnsi="Arial" w:cs="Arial"/>
        </w:rPr>
      </w:pPr>
    </w:p>
    <w:p w:rsidR="007D3C6E" w:rsidRDefault="007D3C6E" w:rsidP="0036016D">
      <w:pPr>
        <w:jc w:val="center"/>
        <w:rPr>
          <w:rFonts w:ascii="Arial" w:hAnsi="Arial" w:cs="Arial"/>
          <w:b/>
          <w:u w:val="single"/>
        </w:rPr>
      </w:pPr>
    </w:p>
    <w:p w:rsidR="007D3C6E" w:rsidRDefault="007D3C6E" w:rsidP="0036016D">
      <w:pPr>
        <w:jc w:val="center"/>
        <w:rPr>
          <w:rFonts w:ascii="Arial" w:hAnsi="Arial" w:cs="Arial"/>
          <w:b/>
          <w:u w:val="single"/>
        </w:rPr>
      </w:pPr>
    </w:p>
    <w:p w:rsidR="007D3C6E" w:rsidRDefault="007D3C6E" w:rsidP="0036016D">
      <w:pPr>
        <w:jc w:val="center"/>
        <w:rPr>
          <w:rFonts w:ascii="Arial" w:hAnsi="Arial" w:cs="Arial"/>
          <w:b/>
          <w:u w:val="single"/>
        </w:rPr>
      </w:pPr>
    </w:p>
    <w:p w:rsidR="007D3C6E" w:rsidRDefault="007D3C6E" w:rsidP="0036016D">
      <w:pPr>
        <w:jc w:val="center"/>
        <w:rPr>
          <w:rFonts w:ascii="Arial" w:hAnsi="Arial" w:cs="Arial"/>
          <w:b/>
          <w:u w:val="single"/>
        </w:rPr>
      </w:pPr>
    </w:p>
    <w:p w:rsidR="007D3C6E" w:rsidRDefault="007D3C6E" w:rsidP="0036016D">
      <w:pPr>
        <w:jc w:val="center"/>
        <w:rPr>
          <w:rFonts w:ascii="Arial" w:hAnsi="Arial" w:cs="Arial"/>
          <w:b/>
          <w:u w:val="single"/>
        </w:rPr>
      </w:pPr>
    </w:p>
    <w:p w:rsidR="007D3C6E" w:rsidRDefault="007D3C6E" w:rsidP="0036016D">
      <w:pPr>
        <w:jc w:val="center"/>
        <w:rPr>
          <w:rFonts w:ascii="Arial" w:hAnsi="Arial" w:cs="Arial"/>
          <w:b/>
          <w:u w:val="single"/>
        </w:rPr>
      </w:pPr>
    </w:p>
    <w:p w:rsidR="007D3C6E" w:rsidRDefault="007D3C6E" w:rsidP="00FE4395">
      <w:pPr>
        <w:rPr>
          <w:rFonts w:ascii="Arial" w:hAnsi="Arial" w:cs="Arial"/>
          <w:b/>
          <w:u w:val="single"/>
        </w:rPr>
      </w:pPr>
    </w:p>
    <w:p w:rsidR="00FE4395" w:rsidRDefault="00FE4395" w:rsidP="00FE4395">
      <w:pPr>
        <w:jc w:val="center"/>
        <w:rPr>
          <w:rFonts w:ascii="Arial" w:hAnsi="Arial" w:cs="Arial"/>
          <w:b/>
          <w:u w:val="single"/>
        </w:rPr>
      </w:pPr>
      <w:r>
        <w:rPr>
          <w:rFonts w:ascii="Arial" w:hAnsi="Arial" w:cs="Arial"/>
          <w:b/>
          <w:u w:val="single"/>
        </w:rPr>
        <w:lastRenderedPageBreak/>
        <w:t>Variations in Contracts</w:t>
      </w:r>
    </w:p>
    <w:p w:rsidR="0049378A" w:rsidRDefault="00ED0673" w:rsidP="00FE4395">
      <w:pPr>
        <w:rPr>
          <w:rFonts w:ascii="Arial" w:hAnsi="Arial" w:cs="Arial"/>
        </w:rPr>
      </w:pPr>
      <w:r>
        <w:rPr>
          <w:rFonts w:ascii="Arial" w:hAnsi="Arial" w:cs="Arial"/>
        </w:rPr>
        <w:t>Clause 16 of the NEC</w:t>
      </w:r>
      <w:r w:rsidR="00451E5A">
        <w:rPr>
          <w:rFonts w:ascii="Arial" w:hAnsi="Arial" w:cs="Arial"/>
        </w:rPr>
        <w:t xml:space="preserve"> (New Engineering Contract)</w:t>
      </w:r>
      <w:r>
        <w:rPr>
          <w:rFonts w:ascii="Arial" w:hAnsi="Arial" w:cs="Arial"/>
        </w:rPr>
        <w:t xml:space="preserve"> contract </w:t>
      </w:r>
      <w:r w:rsidR="001D429F">
        <w:rPr>
          <w:rFonts w:ascii="Arial" w:hAnsi="Arial" w:cs="Arial"/>
        </w:rPr>
        <w:t xml:space="preserve">outlines </w:t>
      </w:r>
      <w:r>
        <w:rPr>
          <w:rFonts w:ascii="Arial" w:hAnsi="Arial" w:cs="Arial"/>
        </w:rPr>
        <w:t xml:space="preserve">the </w:t>
      </w:r>
      <w:r w:rsidR="001D429F">
        <w:rPr>
          <w:rFonts w:ascii="Arial" w:hAnsi="Arial" w:cs="Arial"/>
        </w:rPr>
        <w:t xml:space="preserve">processes for dealing with unforeseen events that take place on a </w:t>
      </w:r>
      <w:r w:rsidR="007A7ED1">
        <w:rPr>
          <w:rFonts w:ascii="Arial" w:hAnsi="Arial" w:cs="Arial"/>
        </w:rPr>
        <w:t xml:space="preserve">construction site.  </w:t>
      </w:r>
      <w:r w:rsidR="002C335F">
        <w:rPr>
          <w:rFonts w:ascii="Arial" w:hAnsi="Arial" w:cs="Arial"/>
        </w:rPr>
        <w:t>This mechanism can initiated by either the contractor or client</w:t>
      </w:r>
      <w:r w:rsidR="007A7ED1">
        <w:rPr>
          <w:rFonts w:ascii="Arial" w:hAnsi="Arial" w:cs="Arial"/>
        </w:rPr>
        <w:t>, but is usually started by the submission of an ‘Early Warning’</w:t>
      </w:r>
      <w:r w:rsidR="00295595">
        <w:rPr>
          <w:rFonts w:ascii="Arial" w:hAnsi="Arial" w:cs="Arial"/>
        </w:rPr>
        <w:t xml:space="preserve">.  A </w:t>
      </w:r>
      <w:r w:rsidR="0048561E">
        <w:rPr>
          <w:rFonts w:ascii="Arial" w:hAnsi="Arial" w:cs="Arial"/>
        </w:rPr>
        <w:t>contract administrator</w:t>
      </w:r>
      <w:r w:rsidR="00414636">
        <w:rPr>
          <w:rFonts w:ascii="Arial" w:hAnsi="Arial" w:cs="Arial"/>
        </w:rPr>
        <w:t xml:space="preserve"> (CA)</w:t>
      </w:r>
      <w:r w:rsidR="0048561E">
        <w:rPr>
          <w:rFonts w:ascii="Arial" w:hAnsi="Arial" w:cs="Arial"/>
        </w:rPr>
        <w:t xml:space="preserve"> would be responsible for issuing the necessary forms to the contractor’s representat</w:t>
      </w:r>
      <w:r w:rsidR="009D6B9C">
        <w:rPr>
          <w:rFonts w:ascii="Arial" w:hAnsi="Arial" w:cs="Arial"/>
        </w:rPr>
        <w:t>ive prior for works starting (see appendix 1).</w:t>
      </w:r>
      <w:r w:rsidR="003F6742">
        <w:rPr>
          <w:rFonts w:ascii="Arial" w:hAnsi="Arial" w:cs="Arial"/>
        </w:rPr>
        <w:t xml:space="preserve">  Once completed the </w:t>
      </w:r>
      <w:r w:rsidR="00414636">
        <w:rPr>
          <w:rFonts w:ascii="Arial" w:hAnsi="Arial" w:cs="Arial"/>
        </w:rPr>
        <w:t xml:space="preserve">CA </w:t>
      </w:r>
      <w:r w:rsidR="003F6742">
        <w:rPr>
          <w:rFonts w:ascii="Arial" w:hAnsi="Arial" w:cs="Arial"/>
        </w:rPr>
        <w:t>should then receive and revi</w:t>
      </w:r>
      <w:r w:rsidR="000451C7">
        <w:rPr>
          <w:rFonts w:ascii="Arial" w:hAnsi="Arial" w:cs="Arial"/>
        </w:rPr>
        <w:t>ew the form which should providing in depth details of the</w:t>
      </w:r>
      <w:r w:rsidR="003F6742">
        <w:rPr>
          <w:rFonts w:ascii="Arial" w:hAnsi="Arial" w:cs="Arial"/>
        </w:rPr>
        <w:t xml:space="preserve"> issue which </w:t>
      </w:r>
      <w:r w:rsidR="0054712D">
        <w:rPr>
          <w:rFonts w:ascii="Arial" w:hAnsi="Arial" w:cs="Arial"/>
        </w:rPr>
        <w:t>has the potential to</w:t>
      </w:r>
      <w:r w:rsidR="003F6742">
        <w:rPr>
          <w:rFonts w:ascii="Arial" w:hAnsi="Arial" w:cs="Arial"/>
        </w:rPr>
        <w:t xml:space="preserve"> either delay the scheme, increase the price of the works or impact on the final quality of</w:t>
      </w:r>
      <w:r w:rsidR="006A3109">
        <w:rPr>
          <w:rFonts w:ascii="Arial" w:hAnsi="Arial" w:cs="Arial"/>
        </w:rPr>
        <w:t xml:space="preserve"> the project.  The Early Warning system “allows those that might help avoid or mitigate any negative effects </w:t>
      </w:r>
      <w:r w:rsidR="00414636">
        <w:rPr>
          <w:rFonts w:ascii="Arial" w:hAnsi="Arial" w:cs="Arial"/>
        </w:rPr>
        <w:t>of the event to get together to work out how to do so”</w:t>
      </w:r>
      <w:r w:rsidR="000451C7">
        <w:rPr>
          <w:rFonts w:ascii="Arial" w:hAnsi="Arial" w:cs="Arial"/>
        </w:rPr>
        <w:t xml:space="preserve"> (Patterson 2015).  All Early Warnings issued and received should be logged by the CA in a risk register </w:t>
      </w:r>
      <w:r w:rsidR="006B6C0F">
        <w:rPr>
          <w:rFonts w:ascii="Arial" w:hAnsi="Arial" w:cs="Arial"/>
        </w:rPr>
        <w:t>as and when they are received</w:t>
      </w:r>
      <w:r w:rsidR="001F7850">
        <w:rPr>
          <w:rFonts w:ascii="Arial" w:hAnsi="Arial" w:cs="Arial"/>
        </w:rPr>
        <w:t xml:space="preserve"> and best practice dictates that regular meetings between the client and contractor should be organised in order to discuss the risks a</w:t>
      </w:r>
      <w:r w:rsidR="0049378A">
        <w:rPr>
          <w:rFonts w:ascii="Arial" w:hAnsi="Arial" w:cs="Arial"/>
        </w:rPr>
        <w:t>nd mitigate and prioritise them.</w:t>
      </w:r>
    </w:p>
    <w:p w:rsidR="0054712D" w:rsidRDefault="0054712D" w:rsidP="00FE4395">
      <w:pPr>
        <w:rPr>
          <w:rFonts w:ascii="Arial" w:hAnsi="Arial" w:cs="Arial"/>
        </w:rPr>
      </w:pPr>
      <w:r>
        <w:rPr>
          <w:rFonts w:ascii="Arial" w:hAnsi="Arial" w:cs="Arial"/>
        </w:rPr>
        <w:tab/>
        <w:t>Early Warnings may materialise to actual difficulties on construction sites at which point a Compens</w:t>
      </w:r>
      <w:r w:rsidR="00B45A48">
        <w:rPr>
          <w:rFonts w:ascii="Arial" w:hAnsi="Arial" w:cs="Arial"/>
        </w:rPr>
        <w:t>ation Event</w:t>
      </w:r>
      <w:r w:rsidR="00F47D15">
        <w:rPr>
          <w:rFonts w:ascii="Arial" w:hAnsi="Arial" w:cs="Arial"/>
        </w:rPr>
        <w:t xml:space="preserve"> (CE)</w:t>
      </w:r>
      <w:r w:rsidR="00B45A48">
        <w:rPr>
          <w:rFonts w:ascii="Arial" w:hAnsi="Arial" w:cs="Arial"/>
        </w:rPr>
        <w:t xml:space="preserve"> must be submitted (see appendix 2), although many may be resolved or mitigated without the need for further work.  Under the NEC contract 19 situations are outlined</w:t>
      </w:r>
      <w:r w:rsidR="00C41835">
        <w:rPr>
          <w:rFonts w:ascii="Arial" w:hAnsi="Arial" w:cs="Arial"/>
        </w:rPr>
        <w:t xml:space="preserve"> in </w:t>
      </w:r>
      <w:r w:rsidR="00B45A48">
        <w:rPr>
          <w:rFonts w:ascii="Arial" w:hAnsi="Arial" w:cs="Arial"/>
        </w:rPr>
        <w:t xml:space="preserve">which </w:t>
      </w:r>
      <w:r w:rsidR="00C41835">
        <w:rPr>
          <w:rFonts w:ascii="Arial" w:hAnsi="Arial" w:cs="Arial"/>
        </w:rPr>
        <w:t xml:space="preserve">can give clients or contractors opportunity to raise a </w:t>
      </w:r>
      <w:r w:rsidR="00F47D15">
        <w:rPr>
          <w:rFonts w:ascii="Arial" w:hAnsi="Arial" w:cs="Arial"/>
        </w:rPr>
        <w:t>CE</w:t>
      </w:r>
      <w:r w:rsidR="00C41835">
        <w:rPr>
          <w:rFonts w:ascii="Arial" w:hAnsi="Arial" w:cs="Arial"/>
        </w:rPr>
        <w:t xml:space="preserve">.  </w:t>
      </w:r>
      <w:r w:rsidR="00F563E0">
        <w:rPr>
          <w:rFonts w:ascii="Arial" w:hAnsi="Arial" w:cs="Arial"/>
        </w:rPr>
        <w:t>While many will be raised by the contractor, “the most common reason is 60.1(1) which is a Project Manager instructing something that is a change to the Works Information” (Hide 2019), accounting for rough</w:t>
      </w:r>
      <w:r w:rsidR="00F47D15">
        <w:rPr>
          <w:rFonts w:ascii="Arial" w:hAnsi="Arial" w:cs="Arial"/>
        </w:rPr>
        <w:t>ly</w:t>
      </w:r>
      <w:r w:rsidR="00F563E0">
        <w:rPr>
          <w:rFonts w:ascii="Arial" w:hAnsi="Arial" w:cs="Arial"/>
        </w:rPr>
        <w:t xml:space="preserve"> three quar</w:t>
      </w:r>
      <w:r w:rsidR="00F47D15">
        <w:rPr>
          <w:rFonts w:ascii="Arial" w:hAnsi="Arial" w:cs="Arial"/>
        </w:rPr>
        <w:t>ters of all CE’</w:t>
      </w:r>
      <w:r w:rsidR="00F563E0">
        <w:rPr>
          <w:rFonts w:ascii="Arial" w:hAnsi="Arial" w:cs="Arial"/>
        </w:rPr>
        <w:t>s.</w:t>
      </w:r>
      <w:r w:rsidR="00AA0648">
        <w:rPr>
          <w:rFonts w:ascii="Arial" w:hAnsi="Arial" w:cs="Arial"/>
        </w:rPr>
        <w:t xml:space="preserve">  These can be termed as Project Manager’s Instructions (PMI).</w:t>
      </w:r>
      <w:r w:rsidR="00F563E0">
        <w:rPr>
          <w:rFonts w:ascii="Arial" w:hAnsi="Arial" w:cs="Arial"/>
        </w:rPr>
        <w:t xml:space="preserve">  It is the responsibility </w:t>
      </w:r>
      <w:r w:rsidR="00F47D15">
        <w:rPr>
          <w:rFonts w:ascii="Arial" w:hAnsi="Arial" w:cs="Arial"/>
        </w:rPr>
        <w:t xml:space="preserve">of the CA </w:t>
      </w:r>
      <w:r w:rsidR="00F563E0">
        <w:rPr>
          <w:rFonts w:ascii="Arial" w:hAnsi="Arial" w:cs="Arial"/>
        </w:rPr>
        <w:t>to oversee the issuing</w:t>
      </w:r>
      <w:r w:rsidR="00F47D15">
        <w:rPr>
          <w:rFonts w:ascii="Arial" w:hAnsi="Arial" w:cs="Arial"/>
        </w:rPr>
        <w:t xml:space="preserve"> and accepting</w:t>
      </w:r>
      <w:r w:rsidR="00F563E0">
        <w:rPr>
          <w:rFonts w:ascii="Arial" w:hAnsi="Arial" w:cs="Arial"/>
        </w:rPr>
        <w:t xml:space="preserve"> of such notices.</w:t>
      </w:r>
    </w:p>
    <w:p w:rsidR="00F47D15" w:rsidRDefault="00F47D15" w:rsidP="00FE4395">
      <w:pPr>
        <w:rPr>
          <w:rFonts w:ascii="Arial" w:hAnsi="Arial" w:cs="Arial"/>
        </w:rPr>
      </w:pPr>
      <w:r>
        <w:rPr>
          <w:rFonts w:ascii="Arial" w:hAnsi="Arial" w:cs="Arial"/>
        </w:rPr>
        <w:tab/>
        <w:t xml:space="preserve">Further clauses in the NEC contract provide govern the specific process for dealing with CE’s </w:t>
      </w:r>
      <w:r w:rsidR="00CA54B1">
        <w:rPr>
          <w:rFonts w:ascii="Arial" w:hAnsi="Arial" w:cs="Arial"/>
        </w:rPr>
        <w:t xml:space="preserve">which </w:t>
      </w:r>
      <w:r w:rsidR="00D139C1">
        <w:rPr>
          <w:rFonts w:ascii="Arial" w:hAnsi="Arial" w:cs="Arial"/>
        </w:rPr>
        <w:t>the C</w:t>
      </w:r>
      <w:r w:rsidR="00696221">
        <w:rPr>
          <w:rFonts w:ascii="Arial" w:hAnsi="Arial" w:cs="Arial"/>
        </w:rPr>
        <w:t xml:space="preserve">A must facilitate and </w:t>
      </w:r>
      <w:r w:rsidR="00A27D85">
        <w:rPr>
          <w:rFonts w:ascii="Arial" w:hAnsi="Arial" w:cs="Arial"/>
        </w:rPr>
        <w:t>monitor.  The process is instigated</w:t>
      </w:r>
      <w:r w:rsidR="00696221">
        <w:rPr>
          <w:rFonts w:ascii="Arial" w:hAnsi="Arial" w:cs="Arial"/>
        </w:rPr>
        <w:t xml:space="preserve"> by the submission of the CE at the ‘notification’ stage</w:t>
      </w:r>
      <w:r w:rsidR="00A27D85">
        <w:rPr>
          <w:rFonts w:ascii="Arial" w:hAnsi="Arial" w:cs="Arial"/>
        </w:rPr>
        <w:t xml:space="preserve">, </w:t>
      </w:r>
      <w:r w:rsidR="00B73268">
        <w:rPr>
          <w:rFonts w:ascii="Arial" w:hAnsi="Arial" w:cs="Arial"/>
        </w:rPr>
        <w:t>dictated by Clause 61</w:t>
      </w:r>
      <w:r w:rsidR="00A37F17">
        <w:rPr>
          <w:rFonts w:ascii="Arial" w:hAnsi="Arial" w:cs="Arial"/>
        </w:rPr>
        <w:t xml:space="preserve"> in the contract.  </w:t>
      </w:r>
      <w:r w:rsidR="00B73268">
        <w:rPr>
          <w:rFonts w:ascii="Arial" w:hAnsi="Arial" w:cs="Arial"/>
        </w:rPr>
        <w:t xml:space="preserve">It is also stipulated that a contractor must raise the event within eight weeks of the matter arising as prevents </w:t>
      </w:r>
      <w:r w:rsidR="00B7733A">
        <w:rPr>
          <w:rFonts w:ascii="Arial" w:hAnsi="Arial" w:cs="Arial"/>
        </w:rPr>
        <w:t>“stockpiling of claims until the end of the project” (</w:t>
      </w:r>
      <w:proofErr w:type="spellStart"/>
      <w:r w:rsidR="00B7733A">
        <w:rPr>
          <w:rFonts w:ascii="Arial" w:hAnsi="Arial" w:cs="Arial"/>
        </w:rPr>
        <w:t>Ramskill</w:t>
      </w:r>
      <w:proofErr w:type="spellEnd"/>
      <w:r w:rsidR="00B7733A">
        <w:rPr>
          <w:rFonts w:ascii="Arial" w:hAnsi="Arial" w:cs="Arial"/>
        </w:rPr>
        <w:t xml:space="preserve"> Martin 2016).</w:t>
      </w:r>
      <w:r w:rsidR="00B73268">
        <w:rPr>
          <w:rFonts w:ascii="Arial" w:hAnsi="Arial" w:cs="Arial"/>
        </w:rPr>
        <w:t xml:space="preserve"> </w:t>
      </w:r>
      <w:r w:rsidR="00B7733A">
        <w:rPr>
          <w:rFonts w:ascii="Arial" w:hAnsi="Arial" w:cs="Arial"/>
        </w:rPr>
        <w:t xml:space="preserve"> </w:t>
      </w:r>
      <w:r w:rsidR="00A37F17">
        <w:rPr>
          <w:rFonts w:ascii="Arial" w:hAnsi="Arial" w:cs="Arial"/>
        </w:rPr>
        <w:t>U</w:t>
      </w:r>
      <w:r w:rsidR="00A27D85">
        <w:rPr>
          <w:rFonts w:ascii="Arial" w:hAnsi="Arial" w:cs="Arial"/>
        </w:rPr>
        <w:t xml:space="preserve">pon the receipt of the </w:t>
      </w:r>
      <w:r w:rsidR="00A37F17">
        <w:rPr>
          <w:rFonts w:ascii="Arial" w:hAnsi="Arial" w:cs="Arial"/>
        </w:rPr>
        <w:t>notice, the CA will assess the claim and dismiss it if no incidents has not yet occurred, they believe the issue has been caused by the contractors conduct or if they think it will not have a detrimental effect on cost or timescale.</w:t>
      </w:r>
      <w:r w:rsidR="000F160B">
        <w:rPr>
          <w:rFonts w:ascii="Arial" w:hAnsi="Arial" w:cs="Arial"/>
        </w:rPr>
        <w:t xml:space="preserve">  </w:t>
      </w:r>
      <w:r w:rsidR="00B73268">
        <w:rPr>
          <w:rFonts w:ascii="Arial" w:hAnsi="Arial" w:cs="Arial"/>
        </w:rPr>
        <w:t>On occasions where the CE has been raised by the employer, the CA must alter the Works Information at this point to reflect the reality of the situation.</w:t>
      </w:r>
    </w:p>
    <w:p w:rsidR="00B7733A" w:rsidRDefault="00B7733A" w:rsidP="00FE4395">
      <w:pPr>
        <w:rPr>
          <w:rFonts w:ascii="Arial" w:hAnsi="Arial" w:cs="Arial"/>
        </w:rPr>
      </w:pPr>
      <w:r>
        <w:rPr>
          <w:rFonts w:ascii="Arial" w:hAnsi="Arial" w:cs="Arial"/>
        </w:rPr>
        <w:tab/>
        <w:t>At the Quotation stage</w:t>
      </w:r>
      <w:r w:rsidR="000F160B">
        <w:rPr>
          <w:rFonts w:ascii="Arial" w:hAnsi="Arial" w:cs="Arial"/>
        </w:rPr>
        <w:t>, elucidated by Clause 62,</w:t>
      </w:r>
      <w:r w:rsidR="009C47AC">
        <w:rPr>
          <w:rFonts w:ascii="Arial" w:hAnsi="Arial" w:cs="Arial"/>
        </w:rPr>
        <w:t xml:space="preserve"> the party that submitted the CE must then also provide a quotation outlini</w:t>
      </w:r>
      <w:r w:rsidR="000F160B">
        <w:rPr>
          <w:rFonts w:ascii="Arial" w:hAnsi="Arial" w:cs="Arial"/>
        </w:rPr>
        <w:t xml:space="preserve">ng the extra associated costs within 3 weeks of the CA requesting it, although this can be extended if agreed by the client.  Upon receipt of the quotation, the CA must reply within 2 weeks, which can similarly be elongated.  Their response must follow those described in the contract </w:t>
      </w:r>
      <w:r w:rsidR="002B3E6B">
        <w:rPr>
          <w:rFonts w:ascii="Arial" w:hAnsi="Arial" w:cs="Arial"/>
        </w:rPr>
        <w:t xml:space="preserve">and they can either accept or decline the quotation, instruct that the quotation has not been communicated correctly or process has not been followed so they must resubmit or that the CA will </w:t>
      </w:r>
      <w:r w:rsidR="00E544BA">
        <w:rPr>
          <w:rFonts w:ascii="Arial" w:hAnsi="Arial" w:cs="Arial"/>
        </w:rPr>
        <w:t xml:space="preserve">now assess the event themselves.  </w:t>
      </w:r>
    </w:p>
    <w:p w:rsidR="00E36EB1" w:rsidRDefault="00E36EB1" w:rsidP="00FE4395">
      <w:pPr>
        <w:rPr>
          <w:rFonts w:ascii="Arial" w:hAnsi="Arial" w:cs="Arial"/>
        </w:rPr>
      </w:pPr>
      <w:r>
        <w:rPr>
          <w:rFonts w:ascii="Arial" w:hAnsi="Arial" w:cs="Arial"/>
        </w:rPr>
        <w:tab/>
        <w:t xml:space="preserve">If the client maintains that the quotation is reasonable the procedure progresses onto the assessment </w:t>
      </w:r>
      <w:r w:rsidR="00B7640F">
        <w:rPr>
          <w:rFonts w:ascii="Arial" w:hAnsi="Arial" w:cs="Arial"/>
        </w:rPr>
        <w:t>phase.  Here the CA must review</w:t>
      </w:r>
      <w:r w:rsidR="000D7ED6">
        <w:rPr>
          <w:rFonts w:ascii="Arial" w:hAnsi="Arial" w:cs="Arial"/>
        </w:rPr>
        <w:t xml:space="preserve"> the CE</w:t>
      </w:r>
      <w:r w:rsidR="00AD3C78">
        <w:rPr>
          <w:rFonts w:ascii="Arial" w:hAnsi="Arial" w:cs="Arial"/>
        </w:rPr>
        <w:t xml:space="preserve"> based on the events effect on the actual cost of the whole scheme, the forecasted cost of the project and the completion date.  This stage should be carried out with the mantra that “neither party should be disadvantaged or should unfairly gain from the happening of the compensation event” (Evans 2013).  </w:t>
      </w:r>
    </w:p>
    <w:p w:rsidR="00AD3C78" w:rsidRDefault="00AD3C78" w:rsidP="00FE4395">
      <w:pPr>
        <w:rPr>
          <w:rFonts w:ascii="Arial" w:hAnsi="Arial" w:cs="Arial"/>
        </w:rPr>
      </w:pPr>
      <w:r>
        <w:rPr>
          <w:rFonts w:ascii="Arial" w:hAnsi="Arial" w:cs="Arial"/>
        </w:rPr>
        <w:lastRenderedPageBreak/>
        <w:tab/>
      </w:r>
      <w:r w:rsidR="00BA15A0">
        <w:rPr>
          <w:rFonts w:ascii="Arial" w:hAnsi="Arial" w:cs="Arial"/>
        </w:rPr>
        <w:t xml:space="preserve">The final step involves of the ‘implementation’ of the CE at which point the contractor in conjunction with the CA adjusts the programme accordingly and the contractor physically proceeds with work detailed in the quotation.  </w:t>
      </w:r>
      <w:r w:rsidR="00CD1F39">
        <w:rPr>
          <w:rFonts w:ascii="Arial" w:hAnsi="Arial" w:cs="Arial"/>
        </w:rPr>
        <w:t xml:space="preserve">From this point onwards the CE cannot be altered by either party and its conditions must be adhered to.  </w:t>
      </w:r>
    </w:p>
    <w:p w:rsidR="00CC17A5" w:rsidRDefault="00CC17A5" w:rsidP="00FE4395">
      <w:pPr>
        <w:rPr>
          <w:rFonts w:ascii="Arial" w:hAnsi="Arial" w:cs="Arial"/>
        </w:rPr>
      </w:pPr>
      <w:r>
        <w:rPr>
          <w:rFonts w:ascii="Arial" w:hAnsi="Arial" w:cs="Arial"/>
        </w:rPr>
        <w:tab/>
        <w:t>The CA would perform a similar role when administering a JCT</w:t>
      </w:r>
      <w:r w:rsidR="00451E5A">
        <w:rPr>
          <w:rFonts w:ascii="Arial" w:hAnsi="Arial" w:cs="Arial"/>
        </w:rPr>
        <w:t xml:space="preserve"> (Joint Contracts Tribunal)</w:t>
      </w:r>
      <w:r>
        <w:rPr>
          <w:rFonts w:ascii="Arial" w:hAnsi="Arial" w:cs="Arial"/>
        </w:rPr>
        <w:t xml:space="preserve"> contract although it deals with claims of lost time and costs separately, with ‘relevant events’ relating to time and ‘relevant matters’ applying to </w:t>
      </w:r>
      <w:r w:rsidR="00451E5A">
        <w:rPr>
          <w:rFonts w:ascii="Arial" w:hAnsi="Arial" w:cs="Arial"/>
        </w:rPr>
        <w:t xml:space="preserve">financial aspects.  </w:t>
      </w:r>
      <w:r>
        <w:rPr>
          <w:rFonts w:ascii="Arial" w:hAnsi="Arial" w:cs="Arial"/>
        </w:rPr>
        <w:t xml:space="preserve"> </w:t>
      </w:r>
    </w:p>
    <w:p w:rsidR="00CD1F39" w:rsidRDefault="00CD1F39" w:rsidP="00FE4395">
      <w:pPr>
        <w:rPr>
          <w:rFonts w:ascii="Arial" w:hAnsi="Arial" w:cs="Arial"/>
        </w:rPr>
      </w:pPr>
      <w:r>
        <w:rPr>
          <w:rFonts w:ascii="Arial" w:hAnsi="Arial" w:cs="Arial"/>
        </w:rPr>
        <w:tab/>
      </w:r>
    </w:p>
    <w:p w:rsidR="00F563E0" w:rsidRDefault="00F563E0" w:rsidP="00FE4395">
      <w:pPr>
        <w:rPr>
          <w:rFonts w:ascii="Arial" w:hAnsi="Arial" w:cs="Arial"/>
        </w:rPr>
      </w:pPr>
      <w:r>
        <w:rPr>
          <w:rFonts w:ascii="Arial" w:hAnsi="Arial" w:cs="Arial"/>
        </w:rPr>
        <w:tab/>
      </w:r>
    </w:p>
    <w:p w:rsidR="0049378A" w:rsidRPr="0049378A" w:rsidRDefault="0049378A" w:rsidP="00FE4395">
      <w:pPr>
        <w:rPr>
          <w:rFonts w:ascii="Arial" w:hAnsi="Arial" w:cs="Arial"/>
        </w:rPr>
      </w:pPr>
      <w:r>
        <w:rPr>
          <w:rFonts w:ascii="Arial" w:hAnsi="Arial" w:cs="Arial"/>
        </w:rPr>
        <w:tab/>
      </w:r>
    </w:p>
    <w:p w:rsidR="007D3C6E" w:rsidRDefault="007D3C6E" w:rsidP="0036016D">
      <w:pPr>
        <w:jc w:val="center"/>
        <w:rPr>
          <w:rFonts w:ascii="Arial" w:hAnsi="Arial" w:cs="Arial"/>
          <w:b/>
          <w:u w:val="single"/>
        </w:rPr>
      </w:pPr>
    </w:p>
    <w:p w:rsidR="007D3C6E" w:rsidRDefault="007D3C6E" w:rsidP="0036016D">
      <w:pPr>
        <w:jc w:val="center"/>
        <w:rPr>
          <w:rFonts w:ascii="Arial" w:hAnsi="Arial" w:cs="Arial"/>
          <w:b/>
          <w:u w:val="single"/>
        </w:rPr>
      </w:pPr>
    </w:p>
    <w:p w:rsidR="007D3C6E" w:rsidRDefault="007D3C6E" w:rsidP="0036016D">
      <w:pPr>
        <w:jc w:val="center"/>
        <w:rPr>
          <w:rFonts w:ascii="Arial" w:hAnsi="Arial" w:cs="Arial"/>
          <w:b/>
          <w:u w:val="single"/>
        </w:rPr>
      </w:pPr>
    </w:p>
    <w:p w:rsidR="007D3C6E" w:rsidRDefault="007D3C6E" w:rsidP="0036016D">
      <w:pPr>
        <w:jc w:val="center"/>
        <w:rPr>
          <w:rFonts w:ascii="Arial" w:hAnsi="Arial" w:cs="Arial"/>
          <w:b/>
          <w:u w:val="single"/>
        </w:rPr>
      </w:pPr>
    </w:p>
    <w:p w:rsidR="007D3C6E" w:rsidRDefault="007D3C6E" w:rsidP="0036016D">
      <w:pPr>
        <w:jc w:val="center"/>
        <w:rPr>
          <w:rFonts w:ascii="Arial" w:hAnsi="Arial" w:cs="Arial"/>
          <w:b/>
          <w:u w:val="single"/>
        </w:rPr>
      </w:pPr>
    </w:p>
    <w:p w:rsidR="007D3C6E" w:rsidRDefault="007D3C6E" w:rsidP="0036016D">
      <w:pPr>
        <w:jc w:val="center"/>
        <w:rPr>
          <w:rFonts w:ascii="Arial" w:hAnsi="Arial" w:cs="Arial"/>
          <w:b/>
          <w:u w:val="single"/>
        </w:rPr>
      </w:pPr>
    </w:p>
    <w:p w:rsidR="007A7ED1" w:rsidRDefault="007A7ED1" w:rsidP="0036016D">
      <w:pPr>
        <w:jc w:val="center"/>
        <w:rPr>
          <w:rFonts w:ascii="Arial" w:hAnsi="Arial" w:cs="Arial"/>
          <w:b/>
          <w:u w:val="single"/>
        </w:rPr>
      </w:pPr>
    </w:p>
    <w:p w:rsidR="007A7ED1" w:rsidRDefault="007A7ED1" w:rsidP="0036016D">
      <w:pPr>
        <w:jc w:val="center"/>
        <w:rPr>
          <w:rFonts w:ascii="Arial" w:hAnsi="Arial" w:cs="Arial"/>
          <w:b/>
          <w:u w:val="single"/>
        </w:rPr>
      </w:pPr>
    </w:p>
    <w:p w:rsidR="007A7ED1" w:rsidRDefault="007A7ED1" w:rsidP="0036016D">
      <w:pPr>
        <w:jc w:val="center"/>
        <w:rPr>
          <w:rFonts w:ascii="Arial" w:hAnsi="Arial" w:cs="Arial"/>
          <w:b/>
          <w:u w:val="single"/>
        </w:rPr>
      </w:pPr>
    </w:p>
    <w:p w:rsidR="007A7ED1" w:rsidRDefault="007A7ED1" w:rsidP="0036016D">
      <w:pPr>
        <w:jc w:val="center"/>
        <w:rPr>
          <w:rFonts w:ascii="Arial" w:hAnsi="Arial" w:cs="Arial"/>
          <w:b/>
          <w:u w:val="single"/>
        </w:rPr>
      </w:pPr>
    </w:p>
    <w:p w:rsidR="007A7ED1" w:rsidRDefault="007A7ED1" w:rsidP="0036016D">
      <w:pPr>
        <w:jc w:val="center"/>
        <w:rPr>
          <w:rFonts w:ascii="Arial" w:hAnsi="Arial" w:cs="Arial"/>
          <w:b/>
          <w:u w:val="single"/>
        </w:rPr>
      </w:pPr>
    </w:p>
    <w:p w:rsidR="007A7ED1" w:rsidRDefault="007A7ED1" w:rsidP="0036016D">
      <w:pPr>
        <w:jc w:val="center"/>
        <w:rPr>
          <w:rFonts w:ascii="Arial" w:hAnsi="Arial" w:cs="Arial"/>
          <w:b/>
          <w:u w:val="single"/>
        </w:rPr>
      </w:pPr>
    </w:p>
    <w:p w:rsidR="007A7ED1" w:rsidRDefault="007A7ED1" w:rsidP="0036016D">
      <w:pPr>
        <w:jc w:val="center"/>
        <w:rPr>
          <w:rFonts w:ascii="Arial" w:hAnsi="Arial" w:cs="Arial"/>
          <w:b/>
          <w:u w:val="single"/>
        </w:rPr>
      </w:pPr>
    </w:p>
    <w:p w:rsidR="007A7ED1" w:rsidRDefault="007A7ED1" w:rsidP="0036016D">
      <w:pPr>
        <w:jc w:val="center"/>
        <w:rPr>
          <w:rFonts w:ascii="Arial" w:hAnsi="Arial" w:cs="Arial"/>
          <w:b/>
          <w:u w:val="single"/>
        </w:rPr>
      </w:pPr>
    </w:p>
    <w:p w:rsidR="007A7ED1" w:rsidRDefault="007A7ED1" w:rsidP="0036016D">
      <w:pPr>
        <w:jc w:val="center"/>
        <w:rPr>
          <w:rFonts w:ascii="Arial" w:hAnsi="Arial" w:cs="Arial"/>
          <w:b/>
          <w:u w:val="single"/>
        </w:rPr>
      </w:pPr>
    </w:p>
    <w:p w:rsidR="007A7ED1" w:rsidRDefault="007A7ED1" w:rsidP="0036016D">
      <w:pPr>
        <w:jc w:val="center"/>
        <w:rPr>
          <w:rFonts w:ascii="Arial" w:hAnsi="Arial" w:cs="Arial"/>
          <w:b/>
          <w:u w:val="single"/>
        </w:rPr>
      </w:pPr>
    </w:p>
    <w:p w:rsidR="007A7ED1" w:rsidRDefault="007A7ED1" w:rsidP="0036016D">
      <w:pPr>
        <w:jc w:val="center"/>
        <w:rPr>
          <w:rFonts w:ascii="Arial" w:hAnsi="Arial" w:cs="Arial"/>
          <w:b/>
          <w:u w:val="single"/>
        </w:rPr>
      </w:pPr>
    </w:p>
    <w:p w:rsidR="007A7ED1" w:rsidRDefault="007A7ED1" w:rsidP="0036016D">
      <w:pPr>
        <w:jc w:val="center"/>
        <w:rPr>
          <w:rFonts w:ascii="Arial" w:hAnsi="Arial" w:cs="Arial"/>
          <w:b/>
          <w:u w:val="single"/>
        </w:rPr>
      </w:pPr>
    </w:p>
    <w:p w:rsidR="007A7ED1" w:rsidRDefault="007A7ED1" w:rsidP="0036016D">
      <w:pPr>
        <w:jc w:val="center"/>
        <w:rPr>
          <w:rFonts w:ascii="Arial" w:hAnsi="Arial" w:cs="Arial"/>
          <w:b/>
          <w:u w:val="single"/>
        </w:rPr>
      </w:pPr>
    </w:p>
    <w:p w:rsidR="007A7ED1" w:rsidRDefault="007A7ED1" w:rsidP="0036016D">
      <w:pPr>
        <w:jc w:val="center"/>
        <w:rPr>
          <w:rFonts w:ascii="Arial" w:hAnsi="Arial" w:cs="Arial"/>
          <w:b/>
          <w:u w:val="single"/>
        </w:rPr>
      </w:pPr>
    </w:p>
    <w:p w:rsidR="007A7ED1" w:rsidRDefault="007A7ED1" w:rsidP="0036016D">
      <w:pPr>
        <w:jc w:val="center"/>
        <w:rPr>
          <w:rFonts w:ascii="Arial" w:hAnsi="Arial" w:cs="Arial"/>
          <w:b/>
          <w:u w:val="single"/>
        </w:rPr>
      </w:pPr>
    </w:p>
    <w:p w:rsidR="007A7ED1" w:rsidRDefault="007A7ED1" w:rsidP="0036016D">
      <w:pPr>
        <w:jc w:val="center"/>
        <w:rPr>
          <w:rFonts w:ascii="Arial" w:hAnsi="Arial" w:cs="Arial"/>
          <w:b/>
          <w:u w:val="single"/>
        </w:rPr>
      </w:pPr>
    </w:p>
    <w:p w:rsidR="007A7ED1" w:rsidRDefault="007A7ED1" w:rsidP="0036016D">
      <w:pPr>
        <w:jc w:val="center"/>
        <w:rPr>
          <w:rFonts w:ascii="Arial" w:hAnsi="Arial" w:cs="Arial"/>
          <w:b/>
          <w:u w:val="single"/>
        </w:rPr>
      </w:pPr>
    </w:p>
    <w:p w:rsidR="001E567E" w:rsidRDefault="001E567E" w:rsidP="001E567E">
      <w:pPr>
        <w:rPr>
          <w:rFonts w:ascii="Arial" w:hAnsi="Arial" w:cs="Arial"/>
          <w:b/>
          <w:u w:val="single"/>
        </w:rPr>
      </w:pPr>
    </w:p>
    <w:p w:rsidR="00451E5A" w:rsidRDefault="00365476" w:rsidP="001E567E">
      <w:pPr>
        <w:jc w:val="center"/>
        <w:rPr>
          <w:rFonts w:ascii="Arial" w:hAnsi="Arial" w:cs="Arial"/>
          <w:b/>
          <w:u w:val="single"/>
        </w:rPr>
      </w:pPr>
      <w:r w:rsidRPr="00365476">
        <w:rPr>
          <w:rFonts w:ascii="Arial" w:hAnsi="Arial" w:cs="Arial"/>
          <w:b/>
          <w:u w:val="single"/>
        </w:rPr>
        <w:lastRenderedPageBreak/>
        <w:t>Conclusion</w:t>
      </w:r>
    </w:p>
    <w:p w:rsidR="00AA0648" w:rsidRPr="00AA0648" w:rsidRDefault="00F140F5" w:rsidP="00AA0648">
      <w:pPr>
        <w:rPr>
          <w:rFonts w:ascii="Arial" w:hAnsi="Arial" w:cs="Arial"/>
        </w:rPr>
      </w:pPr>
      <w:r>
        <w:rPr>
          <w:rFonts w:ascii="Arial" w:hAnsi="Arial" w:cs="Arial"/>
        </w:rPr>
        <w:t xml:space="preserve">A contract administrator role is vital for the smooth progression of all construction projects and their duties can include a wide variety of </w:t>
      </w:r>
      <w:r w:rsidR="0052438A">
        <w:rPr>
          <w:rFonts w:ascii="Arial" w:hAnsi="Arial" w:cs="Arial"/>
        </w:rPr>
        <w:t>functions.  However, the most vital and contentious must be the governance of the contracts variations as disagreements are commonplace</w:t>
      </w:r>
      <w:r w:rsidR="00233B01">
        <w:rPr>
          <w:rFonts w:ascii="Arial" w:hAnsi="Arial" w:cs="Arial"/>
        </w:rPr>
        <w:t xml:space="preserve"> and can lead to litigation such as </w:t>
      </w:r>
      <w:r w:rsidR="00233B01">
        <w:rPr>
          <w:rFonts w:ascii="Arial" w:hAnsi="Arial" w:cs="Arial"/>
          <w:i/>
        </w:rPr>
        <w:t xml:space="preserve">Henry Boot Construction Ltd v Alstom Combined Cycles </w:t>
      </w:r>
      <w:r w:rsidR="00233B01">
        <w:rPr>
          <w:rFonts w:ascii="Arial" w:hAnsi="Arial" w:cs="Arial"/>
        </w:rPr>
        <w:t>(1999).</w:t>
      </w:r>
      <w:r w:rsidR="0052438A">
        <w:rPr>
          <w:rFonts w:ascii="Arial" w:hAnsi="Arial" w:cs="Arial"/>
        </w:rPr>
        <w:t xml:space="preserve"> </w:t>
      </w:r>
      <w:r w:rsidR="00233B01">
        <w:rPr>
          <w:rFonts w:ascii="Arial" w:hAnsi="Arial" w:cs="Arial"/>
        </w:rPr>
        <w:t xml:space="preserve"> This is despite</w:t>
      </w:r>
      <w:r w:rsidR="0052438A">
        <w:rPr>
          <w:rFonts w:ascii="Arial" w:hAnsi="Arial" w:cs="Arial"/>
        </w:rPr>
        <w:t xml:space="preserve"> the NEC su</w:t>
      </w:r>
      <w:r w:rsidR="00233B01">
        <w:rPr>
          <w:rFonts w:ascii="Arial" w:hAnsi="Arial" w:cs="Arial"/>
        </w:rPr>
        <w:t xml:space="preserve">ite of contract’s principle aim of creating a more collaborative atmosphere.  </w:t>
      </w:r>
    </w:p>
    <w:p w:rsidR="00321C6E" w:rsidRDefault="00321C6E" w:rsidP="00F26833">
      <w:pPr>
        <w:rPr>
          <w:rFonts w:ascii="Arial" w:hAnsi="Arial" w:cs="Arial"/>
        </w:rPr>
      </w:pPr>
    </w:p>
    <w:p w:rsidR="00321C6E" w:rsidRDefault="00321C6E" w:rsidP="00F26833">
      <w:pPr>
        <w:rPr>
          <w:rFonts w:ascii="Arial" w:hAnsi="Arial" w:cs="Arial"/>
        </w:rPr>
      </w:pPr>
    </w:p>
    <w:p w:rsidR="00321C6E" w:rsidRDefault="00321C6E" w:rsidP="00F26833">
      <w:pPr>
        <w:rPr>
          <w:rFonts w:ascii="Arial" w:hAnsi="Arial" w:cs="Arial"/>
        </w:rPr>
      </w:pPr>
    </w:p>
    <w:p w:rsidR="00321C6E" w:rsidRDefault="00321C6E" w:rsidP="00F26833">
      <w:pPr>
        <w:rPr>
          <w:rFonts w:ascii="Arial" w:hAnsi="Arial" w:cs="Arial"/>
        </w:rPr>
      </w:pPr>
    </w:p>
    <w:p w:rsidR="00321C6E" w:rsidRDefault="00321C6E" w:rsidP="00F26833">
      <w:pPr>
        <w:rPr>
          <w:rFonts w:ascii="Arial" w:hAnsi="Arial" w:cs="Arial"/>
        </w:rPr>
      </w:pPr>
    </w:p>
    <w:p w:rsidR="00321C6E" w:rsidRDefault="00321C6E" w:rsidP="00F26833">
      <w:pPr>
        <w:rPr>
          <w:rFonts w:ascii="Arial" w:hAnsi="Arial" w:cs="Arial"/>
        </w:rPr>
      </w:pPr>
    </w:p>
    <w:p w:rsidR="00321C6E" w:rsidRDefault="00321C6E" w:rsidP="00F26833">
      <w:pPr>
        <w:rPr>
          <w:rFonts w:ascii="Arial" w:hAnsi="Arial" w:cs="Arial"/>
        </w:rPr>
      </w:pPr>
    </w:p>
    <w:p w:rsidR="00321C6E" w:rsidRDefault="00321C6E" w:rsidP="00F26833">
      <w:pPr>
        <w:rPr>
          <w:rFonts w:ascii="Arial" w:hAnsi="Arial" w:cs="Arial"/>
        </w:rPr>
      </w:pPr>
    </w:p>
    <w:p w:rsidR="00321C6E" w:rsidRDefault="00321C6E" w:rsidP="00F26833">
      <w:pPr>
        <w:rPr>
          <w:rFonts w:ascii="Arial" w:hAnsi="Arial" w:cs="Arial"/>
        </w:rPr>
      </w:pPr>
    </w:p>
    <w:p w:rsidR="00321C6E" w:rsidRDefault="00321C6E" w:rsidP="00F26833">
      <w:pPr>
        <w:rPr>
          <w:rFonts w:ascii="Arial" w:hAnsi="Arial" w:cs="Arial"/>
        </w:rPr>
      </w:pPr>
    </w:p>
    <w:p w:rsidR="00321C6E" w:rsidRDefault="00321C6E" w:rsidP="00F26833">
      <w:pPr>
        <w:rPr>
          <w:rFonts w:ascii="Arial" w:hAnsi="Arial" w:cs="Arial"/>
        </w:rPr>
      </w:pPr>
    </w:p>
    <w:p w:rsidR="00321C6E" w:rsidRDefault="00321C6E" w:rsidP="00F26833">
      <w:pPr>
        <w:rPr>
          <w:rFonts w:ascii="Arial" w:hAnsi="Arial" w:cs="Arial"/>
        </w:rPr>
      </w:pPr>
    </w:p>
    <w:p w:rsidR="00321C6E" w:rsidRDefault="00321C6E" w:rsidP="00F26833">
      <w:pPr>
        <w:rPr>
          <w:rFonts w:ascii="Arial" w:hAnsi="Arial" w:cs="Arial"/>
        </w:rPr>
      </w:pPr>
    </w:p>
    <w:p w:rsidR="00321C6E" w:rsidRDefault="00321C6E" w:rsidP="00F26833">
      <w:pPr>
        <w:rPr>
          <w:rFonts w:ascii="Arial" w:hAnsi="Arial" w:cs="Arial"/>
        </w:rPr>
      </w:pPr>
    </w:p>
    <w:p w:rsidR="00321C6E" w:rsidRDefault="00321C6E" w:rsidP="00F26833">
      <w:pPr>
        <w:rPr>
          <w:rFonts w:ascii="Arial" w:hAnsi="Arial" w:cs="Arial"/>
        </w:rPr>
      </w:pPr>
    </w:p>
    <w:p w:rsidR="00321C6E" w:rsidRDefault="00321C6E" w:rsidP="00F26833">
      <w:pPr>
        <w:rPr>
          <w:rFonts w:ascii="Arial" w:hAnsi="Arial" w:cs="Arial"/>
        </w:rPr>
      </w:pPr>
    </w:p>
    <w:p w:rsidR="00321C6E" w:rsidRDefault="00321C6E" w:rsidP="00F26833">
      <w:pPr>
        <w:rPr>
          <w:rFonts w:ascii="Arial" w:hAnsi="Arial" w:cs="Arial"/>
        </w:rPr>
      </w:pPr>
    </w:p>
    <w:p w:rsidR="00321C6E" w:rsidRDefault="00321C6E" w:rsidP="00F26833">
      <w:pPr>
        <w:rPr>
          <w:rFonts w:ascii="Arial" w:hAnsi="Arial" w:cs="Arial"/>
        </w:rPr>
      </w:pPr>
    </w:p>
    <w:p w:rsidR="00321C6E" w:rsidRDefault="00321C6E" w:rsidP="00F26833">
      <w:pPr>
        <w:rPr>
          <w:rFonts w:ascii="Arial" w:hAnsi="Arial" w:cs="Arial"/>
        </w:rPr>
      </w:pPr>
    </w:p>
    <w:p w:rsidR="00321C6E" w:rsidRDefault="00321C6E" w:rsidP="00F26833">
      <w:pPr>
        <w:rPr>
          <w:rFonts w:ascii="Arial" w:hAnsi="Arial" w:cs="Arial"/>
        </w:rPr>
      </w:pPr>
    </w:p>
    <w:p w:rsidR="00321C6E" w:rsidRDefault="00321C6E" w:rsidP="00F26833">
      <w:pPr>
        <w:rPr>
          <w:rFonts w:ascii="Arial" w:hAnsi="Arial" w:cs="Arial"/>
        </w:rPr>
      </w:pPr>
    </w:p>
    <w:p w:rsidR="00321C6E" w:rsidRDefault="00321C6E" w:rsidP="00F26833">
      <w:pPr>
        <w:rPr>
          <w:rFonts w:ascii="Arial" w:hAnsi="Arial" w:cs="Arial"/>
        </w:rPr>
      </w:pPr>
    </w:p>
    <w:p w:rsidR="00350868" w:rsidRDefault="00350868" w:rsidP="00350868">
      <w:pPr>
        <w:rPr>
          <w:rFonts w:ascii="Arial" w:hAnsi="Arial" w:cs="Arial"/>
        </w:rPr>
      </w:pPr>
    </w:p>
    <w:p w:rsidR="007A7ED1" w:rsidRDefault="007A7ED1" w:rsidP="00350868">
      <w:pPr>
        <w:jc w:val="center"/>
        <w:rPr>
          <w:rFonts w:ascii="Arial" w:hAnsi="Arial" w:cs="Arial"/>
          <w:b/>
          <w:u w:val="single"/>
        </w:rPr>
      </w:pPr>
    </w:p>
    <w:p w:rsidR="007A7ED1" w:rsidRDefault="007A7ED1" w:rsidP="00350868">
      <w:pPr>
        <w:jc w:val="center"/>
        <w:rPr>
          <w:rFonts w:ascii="Arial" w:hAnsi="Arial" w:cs="Arial"/>
          <w:b/>
          <w:u w:val="single"/>
        </w:rPr>
      </w:pPr>
    </w:p>
    <w:p w:rsidR="007A7ED1" w:rsidRDefault="007A7ED1" w:rsidP="00350868">
      <w:pPr>
        <w:jc w:val="center"/>
        <w:rPr>
          <w:rFonts w:ascii="Arial" w:hAnsi="Arial" w:cs="Arial"/>
          <w:b/>
          <w:u w:val="single"/>
        </w:rPr>
      </w:pPr>
    </w:p>
    <w:p w:rsidR="007A7ED1" w:rsidRDefault="007A7ED1" w:rsidP="00350868">
      <w:pPr>
        <w:jc w:val="center"/>
        <w:rPr>
          <w:rFonts w:ascii="Arial" w:hAnsi="Arial" w:cs="Arial"/>
          <w:b/>
          <w:u w:val="single"/>
        </w:rPr>
      </w:pPr>
    </w:p>
    <w:p w:rsidR="00321C6E" w:rsidRDefault="00321C6E" w:rsidP="001E567E">
      <w:pPr>
        <w:jc w:val="center"/>
        <w:rPr>
          <w:rFonts w:ascii="Arial" w:hAnsi="Arial" w:cs="Arial"/>
          <w:b/>
          <w:u w:val="single"/>
        </w:rPr>
      </w:pPr>
      <w:r>
        <w:rPr>
          <w:rFonts w:ascii="Arial" w:hAnsi="Arial" w:cs="Arial"/>
          <w:b/>
          <w:u w:val="single"/>
        </w:rPr>
        <w:lastRenderedPageBreak/>
        <w:t>List of Figures</w:t>
      </w:r>
    </w:p>
    <w:p w:rsidR="0036016D" w:rsidRDefault="0036016D" w:rsidP="0036016D">
      <w:pPr>
        <w:pStyle w:val="ListParagraph"/>
        <w:numPr>
          <w:ilvl w:val="0"/>
          <w:numId w:val="2"/>
        </w:numPr>
        <w:rPr>
          <w:rFonts w:ascii="Arial" w:hAnsi="Arial" w:cs="Arial"/>
        </w:rPr>
      </w:pPr>
      <w:r>
        <w:rPr>
          <w:rFonts w:ascii="Arial" w:hAnsi="Arial" w:cs="Arial"/>
        </w:rPr>
        <w:t>Cover</w:t>
      </w:r>
      <w:r w:rsidRPr="00321C6E">
        <w:rPr>
          <w:rFonts w:ascii="Arial" w:hAnsi="Arial" w:cs="Arial"/>
        </w:rPr>
        <w:t xml:space="preserve"> page top: </w:t>
      </w:r>
      <w:r>
        <w:rPr>
          <w:rFonts w:ascii="Arial" w:hAnsi="Arial" w:cs="Arial"/>
        </w:rPr>
        <w:t xml:space="preserve">UCL (2019), </w:t>
      </w:r>
      <w:r>
        <w:rPr>
          <w:rFonts w:ascii="Arial" w:hAnsi="Arial" w:cs="Arial"/>
          <w:i/>
        </w:rPr>
        <w:t xml:space="preserve">View of Contract and parties shaking hands, </w:t>
      </w:r>
      <w:hyperlink r:id="rId10" w:history="1">
        <w:r w:rsidRPr="007D150C">
          <w:rPr>
            <w:rStyle w:val="Hyperlink"/>
            <w:rFonts w:ascii="Arial" w:hAnsi="Arial" w:cs="Arial"/>
          </w:rPr>
          <w:t>https://www.ucl.ac.uk/laws/events/2018/nov/drafting-legal-clauses-commercial-contracts</w:t>
        </w:r>
      </w:hyperlink>
    </w:p>
    <w:p w:rsidR="0036016D" w:rsidRPr="001A25FC" w:rsidRDefault="007D3C6E" w:rsidP="0036016D">
      <w:pPr>
        <w:pStyle w:val="ListParagraph"/>
        <w:numPr>
          <w:ilvl w:val="0"/>
          <w:numId w:val="2"/>
        </w:numPr>
        <w:rPr>
          <w:rFonts w:ascii="Arial" w:hAnsi="Arial" w:cs="Arial"/>
        </w:rPr>
      </w:pPr>
      <w:r>
        <w:rPr>
          <w:rFonts w:ascii="Arial" w:hAnsi="Arial" w:cs="Arial"/>
        </w:rPr>
        <w:t xml:space="preserve">Cover page bottom: Authors own collection (2018), </w:t>
      </w:r>
      <w:r>
        <w:rPr>
          <w:rFonts w:ascii="Arial" w:hAnsi="Arial" w:cs="Arial"/>
          <w:i/>
        </w:rPr>
        <w:t>View of Works taking place on a water main,</w:t>
      </w:r>
      <w:r>
        <w:rPr>
          <w:rFonts w:ascii="Arial" w:hAnsi="Arial" w:cs="Arial"/>
        </w:rPr>
        <w:t xml:space="preserve"> UK</w:t>
      </w:r>
      <w:r>
        <w:rPr>
          <w:rFonts w:ascii="Arial" w:hAnsi="Arial" w:cs="Arial"/>
          <w:i/>
        </w:rPr>
        <w:t xml:space="preserve"> </w:t>
      </w:r>
    </w:p>
    <w:p w:rsidR="005D172A" w:rsidRDefault="005D172A" w:rsidP="005D172A">
      <w:pPr>
        <w:rPr>
          <w:rFonts w:ascii="Arial" w:hAnsi="Arial" w:cs="Arial"/>
        </w:rPr>
      </w:pPr>
    </w:p>
    <w:p w:rsidR="005D172A" w:rsidRDefault="005D172A" w:rsidP="005D172A">
      <w:pPr>
        <w:rPr>
          <w:rFonts w:ascii="Arial" w:hAnsi="Arial" w:cs="Arial"/>
        </w:rPr>
      </w:pPr>
    </w:p>
    <w:p w:rsidR="005D172A" w:rsidRDefault="005D172A" w:rsidP="005D172A">
      <w:pPr>
        <w:rPr>
          <w:rFonts w:ascii="Arial" w:hAnsi="Arial" w:cs="Arial"/>
        </w:rPr>
      </w:pPr>
    </w:p>
    <w:p w:rsidR="005D172A" w:rsidRDefault="005D172A" w:rsidP="005D172A">
      <w:pPr>
        <w:rPr>
          <w:rFonts w:ascii="Arial" w:hAnsi="Arial" w:cs="Arial"/>
        </w:rPr>
      </w:pPr>
    </w:p>
    <w:p w:rsidR="005D172A" w:rsidRDefault="005D172A" w:rsidP="005D172A">
      <w:pPr>
        <w:rPr>
          <w:rFonts w:ascii="Arial" w:hAnsi="Arial" w:cs="Arial"/>
        </w:rPr>
      </w:pPr>
    </w:p>
    <w:p w:rsidR="005D172A" w:rsidRDefault="005D172A" w:rsidP="005D172A">
      <w:pPr>
        <w:rPr>
          <w:rFonts w:ascii="Arial" w:hAnsi="Arial" w:cs="Arial"/>
        </w:rPr>
      </w:pPr>
    </w:p>
    <w:p w:rsidR="005D172A" w:rsidRDefault="005D172A" w:rsidP="005D172A">
      <w:pPr>
        <w:rPr>
          <w:rFonts w:ascii="Arial" w:hAnsi="Arial" w:cs="Arial"/>
        </w:rPr>
      </w:pPr>
    </w:p>
    <w:p w:rsidR="0036016D" w:rsidRDefault="0036016D" w:rsidP="0036016D">
      <w:pPr>
        <w:rPr>
          <w:rFonts w:ascii="Arial" w:hAnsi="Arial" w:cs="Arial"/>
        </w:rPr>
      </w:pPr>
    </w:p>
    <w:p w:rsidR="0036016D" w:rsidRDefault="0036016D" w:rsidP="0036016D">
      <w:pPr>
        <w:jc w:val="center"/>
        <w:rPr>
          <w:rFonts w:ascii="Arial" w:hAnsi="Arial" w:cs="Arial"/>
          <w:b/>
          <w:u w:val="single"/>
        </w:rPr>
      </w:pPr>
    </w:p>
    <w:p w:rsidR="0036016D" w:rsidRDefault="0036016D" w:rsidP="0036016D">
      <w:pPr>
        <w:jc w:val="center"/>
        <w:rPr>
          <w:rFonts w:ascii="Arial" w:hAnsi="Arial" w:cs="Arial"/>
          <w:b/>
          <w:u w:val="single"/>
        </w:rPr>
      </w:pPr>
    </w:p>
    <w:p w:rsidR="0036016D" w:rsidRDefault="0036016D" w:rsidP="0036016D">
      <w:pPr>
        <w:jc w:val="center"/>
        <w:rPr>
          <w:rFonts w:ascii="Arial" w:hAnsi="Arial" w:cs="Arial"/>
          <w:b/>
          <w:u w:val="single"/>
        </w:rPr>
      </w:pPr>
    </w:p>
    <w:p w:rsidR="0036016D" w:rsidRDefault="0036016D" w:rsidP="0036016D">
      <w:pPr>
        <w:jc w:val="center"/>
        <w:rPr>
          <w:rFonts w:ascii="Arial" w:hAnsi="Arial" w:cs="Arial"/>
          <w:b/>
          <w:u w:val="single"/>
        </w:rPr>
      </w:pPr>
    </w:p>
    <w:p w:rsidR="0036016D" w:rsidRDefault="0036016D" w:rsidP="0036016D">
      <w:pPr>
        <w:jc w:val="center"/>
        <w:rPr>
          <w:rFonts w:ascii="Arial" w:hAnsi="Arial" w:cs="Arial"/>
          <w:b/>
          <w:u w:val="single"/>
        </w:rPr>
      </w:pPr>
    </w:p>
    <w:p w:rsidR="0036016D" w:rsidRDefault="0036016D" w:rsidP="0036016D">
      <w:pPr>
        <w:jc w:val="center"/>
        <w:rPr>
          <w:rFonts w:ascii="Arial" w:hAnsi="Arial" w:cs="Arial"/>
          <w:b/>
          <w:u w:val="single"/>
        </w:rPr>
      </w:pPr>
    </w:p>
    <w:p w:rsidR="0036016D" w:rsidRDefault="0036016D" w:rsidP="0036016D">
      <w:pPr>
        <w:jc w:val="center"/>
        <w:rPr>
          <w:rFonts w:ascii="Arial" w:hAnsi="Arial" w:cs="Arial"/>
          <w:b/>
          <w:u w:val="single"/>
        </w:rPr>
      </w:pPr>
    </w:p>
    <w:p w:rsidR="0036016D" w:rsidRDefault="0036016D" w:rsidP="0036016D">
      <w:pPr>
        <w:jc w:val="center"/>
        <w:rPr>
          <w:rFonts w:ascii="Arial" w:hAnsi="Arial" w:cs="Arial"/>
          <w:b/>
          <w:u w:val="single"/>
        </w:rPr>
      </w:pPr>
    </w:p>
    <w:p w:rsidR="0036016D" w:rsidRDefault="0036016D" w:rsidP="0036016D">
      <w:pPr>
        <w:jc w:val="center"/>
        <w:rPr>
          <w:rFonts w:ascii="Arial" w:hAnsi="Arial" w:cs="Arial"/>
          <w:b/>
          <w:u w:val="single"/>
        </w:rPr>
      </w:pPr>
    </w:p>
    <w:p w:rsidR="0036016D" w:rsidRDefault="0036016D" w:rsidP="0036016D">
      <w:pPr>
        <w:jc w:val="center"/>
        <w:rPr>
          <w:rFonts w:ascii="Arial" w:hAnsi="Arial" w:cs="Arial"/>
          <w:b/>
          <w:u w:val="single"/>
        </w:rPr>
      </w:pPr>
    </w:p>
    <w:p w:rsidR="009D6B9C" w:rsidRDefault="009D6B9C" w:rsidP="009D6B9C">
      <w:pPr>
        <w:rPr>
          <w:rFonts w:ascii="Arial" w:hAnsi="Arial" w:cs="Arial"/>
          <w:b/>
          <w:u w:val="single"/>
        </w:rPr>
      </w:pPr>
    </w:p>
    <w:p w:rsidR="00B45A48" w:rsidRDefault="00B45A48" w:rsidP="009D6B9C">
      <w:pPr>
        <w:rPr>
          <w:rFonts w:ascii="Arial" w:hAnsi="Arial" w:cs="Arial"/>
          <w:b/>
          <w:u w:val="single"/>
        </w:rPr>
      </w:pPr>
    </w:p>
    <w:p w:rsidR="00EB66B3" w:rsidRDefault="00EB66B3" w:rsidP="009D6B9C">
      <w:pPr>
        <w:jc w:val="center"/>
        <w:rPr>
          <w:rFonts w:ascii="Arial" w:hAnsi="Arial" w:cs="Arial"/>
          <w:b/>
          <w:u w:val="single"/>
        </w:rPr>
      </w:pPr>
    </w:p>
    <w:p w:rsidR="00EB66B3" w:rsidRDefault="00EB66B3" w:rsidP="009D6B9C">
      <w:pPr>
        <w:jc w:val="center"/>
        <w:rPr>
          <w:rFonts w:ascii="Arial" w:hAnsi="Arial" w:cs="Arial"/>
          <w:b/>
          <w:u w:val="single"/>
        </w:rPr>
      </w:pPr>
    </w:p>
    <w:p w:rsidR="00EB66B3" w:rsidRDefault="00EB66B3" w:rsidP="009D6B9C">
      <w:pPr>
        <w:jc w:val="center"/>
        <w:rPr>
          <w:rFonts w:ascii="Arial" w:hAnsi="Arial" w:cs="Arial"/>
          <w:b/>
          <w:u w:val="single"/>
        </w:rPr>
      </w:pPr>
    </w:p>
    <w:p w:rsidR="00EB66B3" w:rsidRDefault="00EB66B3" w:rsidP="009D6B9C">
      <w:pPr>
        <w:jc w:val="center"/>
        <w:rPr>
          <w:rFonts w:ascii="Arial" w:hAnsi="Arial" w:cs="Arial"/>
          <w:b/>
          <w:u w:val="single"/>
        </w:rPr>
      </w:pPr>
    </w:p>
    <w:p w:rsidR="00EB66B3" w:rsidRDefault="00EB66B3" w:rsidP="009D6B9C">
      <w:pPr>
        <w:jc w:val="center"/>
        <w:rPr>
          <w:rFonts w:ascii="Arial" w:hAnsi="Arial" w:cs="Arial"/>
          <w:b/>
          <w:u w:val="single"/>
        </w:rPr>
      </w:pPr>
    </w:p>
    <w:p w:rsidR="00EB66B3" w:rsidRDefault="00EB66B3" w:rsidP="009D6B9C">
      <w:pPr>
        <w:jc w:val="center"/>
        <w:rPr>
          <w:rFonts w:ascii="Arial" w:hAnsi="Arial" w:cs="Arial"/>
          <w:b/>
          <w:u w:val="single"/>
        </w:rPr>
      </w:pPr>
    </w:p>
    <w:p w:rsidR="00FD46AD" w:rsidRDefault="00FD46AD" w:rsidP="001E567E">
      <w:pPr>
        <w:jc w:val="center"/>
        <w:rPr>
          <w:rFonts w:ascii="Arial" w:hAnsi="Arial" w:cs="Arial"/>
          <w:b/>
          <w:u w:val="single"/>
        </w:rPr>
      </w:pPr>
    </w:p>
    <w:p w:rsidR="00FD46AD" w:rsidRDefault="00FD46AD" w:rsidP="001E567E">
      <w:pPr>
        <w:jc w:val="center"/>
        <w:rPr>
          <w:rFonts w:ascii="Arial" w:hAnsi="Arial" w:cs="Arial"/>
          <w:b/>
          <w:u w:val="single"/>
        </w:rPr>
      </w:pPr>
    </w:p>
    <w:p w:rsidR="00E201D7" w:rsidRDefault="005D172A" w:rsidP="001E567E">
      <w:pPr>
        <w:jc w:val="center"/>
        <w:rPr>
          <w:rFonts w:ascii="Arial" w:hAnsi="Arial" w:cs="Arial"/>
          <w:b/>
          <w:u w:val="single"/>
        </w:rPr>
      </w:pPr>
      <w:r>
        <w:rPr>
          <w:rFonts w:ascii="Arial" w:hAnsi="Arial" w:cs="Arial"/>
          <w:b/>
          <w:u w:val="single"/>
        </w:rPr>
        <w:lastRenderedPageBreak/>
        <w:t>List of References</w:t>
      </w:r>
    </w:p>
    <w:p w:rsidR="00DB0F5C" w:rsidRDefault="00DB0F5C" w:rsidP="00350868">
      <w:pPr>
        <w:pStyle w:val="ListParagraph"/>
        <w:numPr>
          <w:ilvl w:val="0"/>
          <w:numId w:val="5"/>
        </w:numPr>
        <w:rPr>
          <w:rFonts w:ascii="Arial" w:hAnsi="Arial" w:cs="Arial"/>
        </w:rPr>
      </w:pPr>
      <w:r>
        <w:rPr>
          <w:rFonts w:ascii="Arial" w:hAnsi="Arial" w:cs="Arial"/>
        </w:rPr>
        <w:t xml:space="preserve">Evans (2013), </w:t>
      </w:r>
      <w:r>
        <w:rPr>
          <w:rFonts w:ascii="Arial" w:hAnsi="Arial" w:cs="Arial"/>
          <w:i/>
        </w:rPr>
        <w:t xml:space="preserve">NEC3 compensation events – a practical guide, </w:t>
      </w:r>
      <w:r>
        <w:rPr>
          <w:rFonts w:ascii="Arial" w:hAnsi="Arial" w:cs="Arial"/>
        </w:rPr>
        <w:t>Steven C Evans Ltd, UK</w:t>
      </w:r>
    </w:p>
    <w:p w:rsidR="00650DF3" w:rsidRDefault="00650DF3" w:rsidP="00DB0F5C">
      <w:pPr>
        <w:pStyle w:val="ListParagraph"/>
        <w:numPr>
          <w:ilvl w:val="0"/>
          <w:numId w:val="5"/>
        </w:numPr>
        <w:rPr>
          <w:rFonts w:ascii="Arial" w:hAnsi="Arial" w:cs="Arial"/>
        </w:rPr>
      </w:pPr>
      <w:r>
        <w:rPr>
          <w:rFonts w:ascii="Arial" w:hAnsi="Arial" w:cs="Arial"/>
        </w:rPr>
        <w:t xml:space="preserve">Evans (2019), </w:t>
      </w:r>
      <w:r>
        <w:rPr>
          <w:rFonts w:ascii="Arial" w:hAnsi="Arial" w:cs="Arial"/>
          <w:i/>
        </w:rPr>
        <w:t>NEC3 ECC – Early Wa</w:t>
      </w:r>
      <w:r w:rsidR="00DB0F5C">
        <w:rPr>
          <w:rFonts w:ascii="Arial" w:hAnsi="Arial" w:cs="Arial"/>
          <w:i/>
        </w:rPr>
        <w:t>rning</w:t>
      </w:r>
      <w:r w:rsidR="00DB0F5C">
        <w:rPr>
          <w:rFonts w:ascii="Arial" w:hAnsi="Arial" w:cs="Arial"/>
        </w:rPr>
        <w:t xml:space="preserve">, </w:t>
      </w:r>
      <w:hyperlink r:id="rId11" w:history="1">
        <w:r w:rsidR="00DB0F5C" w:rsidRPr="00E63329">
          <w:rPr>
            <w:rStyle w:val="Hyperlink"/>
            <w:rFonts w:ascii="Arial" w:hAnsi="Arial" w:cs="Arial"/>
          </w:rPr>
          <w:t>http://www.stevencevans.com/nec3-ecc-early-warning/</w:t>
        </w:r>
      </w:hyperlink>
      <w:r w:rsidR="00DB0F5C">
        <w:rPr>
          <w:rFonts w:ascii="Arial" w:hAnsi="Arial" w:cs="Arial"/>
        </w:rPr>
        <w:t>, UK</w:t>
      </w:r>
    </w:p>
    <w:p w:rsidR="00350868" w:rsidRPr="00F563E0" w:rsidRDefault="00350868" w:rsidP="00350868">
      <w:pPr>
        <w:pStyle w:val="ListParagraph"/>
        <w:numPr>
          <w:ilvl w:val="0"/>
          <w:numId w:val="5"/>
        </w:numPr>
        <w:rPr>
          <w:rFonts w:ascii="Arial" w:hAnsi="Arial" w:cs="Arial"/>
          <w:i/>
        </w:rPr>
      </w:pPr>
      <w:r>
        <w:rPr>
          <w:rFonts w:ascii="Arial" w:hAnsi="Arial" w:cs="Arial"/>
        </w:rPr>
        <w:t xml:space="preserve">Hide (2019), </w:t>
      </w:r>
      <w:r w:rsidRPr="00350868">
        <w:rPr>
          <w:rFonts w:ascii="Arial" w:hAnsi="Arial" w:cs="Arial"/>
          <w:i/>
        </w:rPr>
        <w:t>EEC Clause 16 – Early Warnings</w:t>
      </w:r>
      <w:r>
        <w:rPr>
          <w:rFonts w:ascii="Arial" w:hAnsi="Arial" w:cs="Arial"/>
          <w:i/>
        </w:rPr>
        <w:t xml:space="preserve">, </w:t>
      </w:r>
      <w:hyperlink r:id="rId12" w:history="1">
        <w:r w:rsidRPr="00E63329">
          <w:rPr>
            <w:rStyle w:val="Hyperlink"/>
            <w:rFonts w:ascii="Arial" w:hAnsi="Arial" w:cs="Arial"/>
          </w:rPr>
          <w:t>https://gmhplanning.co.uk/nec-guidance-notes/nec3-ecc-clause-16-early-warnings/</w:t>
        </w:r>
      </w:hyperlink>
      <w:r>
        <w:rPr>
          <w:rFonts w:ascii="Arial" w:hAnsi="Arial" w:cs="Arial"/>
        </w:rPr>
        <w:t>, UK</w:t>
      </w:r>
    </w:p>
    <w:p w:rsidR="00F563E0" w:rsidRPr="00650DF3" w:rsidRDefault="00F563E0" w:rsidP="00F563E0">
      <w:pPr>
        <w:pStyle w:val="ListParagraph"/>
        <w:numPr>
          <w:ilvl w:val="0"/>
          <w:numId w:val="5"/>
        </w:numPr>
        <w:rPr>
          <w:rFonts w:ascii="Arial" w:hAnsi="Arial" w:cs="Arial"/>
          <w:i/>
        </w:rPr>
      </w:pPr>
      <w:r>
        <w:rPr>
          <w:rFonts w:ascii="Arial" w:hAnsi="Arial" w:cs="Arial"/>
        </w:rPr>
        <w:t xml:space="preserve">Hide (2019), </w:t>
      </w:r>
      <w:r w:rsidRPr="00F563E0">
        <w:rPr>
          <w:rFonts w:ascii="Arial" w:hAnsi="Arial" w:cs="Arial"/>
          <w:i/>
        </w:rPr>
        <w:t>ECC Clause 60.1 – Compensation Events,</w:t>
      </w:r>
      <w:r>
        <w:rPr>
          <w:rFonts w:ascii="Arial" w:hAnsi="Arial" w:cs="Arial"/>
        </w:rPr>
        <w:t xml:space="preserve"> </w:t>
      </w:r>
      <w:hyperlink r:id="rId13" w:history="1">
        <w:r w:rsidRPr="00D23CE1">
          <w:rPr>
            <w:rStyle w:val="Hyperlink"/>
            <w:rFonts w:ascii="Arial" w:hAnsi="Arial" w:cs="Arial"/>
          </w:rPr>
          <w:t>https://gmhplanning.co.uk/nec-guidance-notes/ecc-clause-60-1-compensation-events/</w:t>
        </w:r>
      </w:hyperlink>
      <w:r>
        <w:rPr>
          <w:rFonts w:ascii="Arial" w:hAnsi="Arial" w:cs="Arial"/>
        </w:rPr>
        <w:t>, UK</w:t>
      </w:r>
    </w:p>
    <w:p w:rsidR="00650DF3" w:rsidRPr="00350868" w:rsidRDefault="00650DF3" w:rsidP="00650DF3">
      <w:pPr>
        <w:pStyle w:val="ListParagraph"/>
        <w:numPr>
          <w:ilvl w:val="0"/>
          <w:numId w:val="5"/>
        </w:numPr>
        <w:rPr>
          <w:rFonts w:ascii="Arial" w:hAnsi="Arial" w:cs="Arial"/>
          <w:i/>
        </w:rPr>
      </w:pPr>
      <w:r>
        <w:rPr>
          <w:rFonts w:ascii="Arial" w:hAnsi="Arial" w:cs="Arial"/>
        </w:rPr>
        <w:t xml:space="preserve">Patterson (2015), </w:t>
      </w:r>
      <w:r>
        <w:rPr>
          <w:rFonts w:ascii="Arial" w:hAnsi="Arial" w:cs="Arial"/>
          <w:i/>
        </w:rPr>
        <w:t>Making the most of your Early Warnings – sorting out your TQs and RFIs</w:t>
      </w:r>
      <w:proofErr w:type="gramStart"/>
      <w:r>
        <w:rPr>
          <w:rFonts w:ascii="Arial" w:hAnsi="Arial" w:cs="Arial"/>
          <w:i/>
        </w:rPr>
        <w:t>… .</w:t>
      </w:r>
      <w:proofErr w:type="gramEnd"/>
      <w:r>
        <w:rPr>
          <w:rFonts w:ascii="Arial" w:hAnsi="Arial" w:cs="Arial"/>
          <w:i/>
        </w:rPr>
        <w:t xml:space="preserve">and what about Opportunities?, </w:t>
      </w:r>
      <w:r>
        <w:rPr>
          <w:rFonts w:ascii="Arial" w:hAnsi="Arial" w:cs="Arial"/>
        </w:rPr>
        <w:t>NEC, UK</w:t>
      </w:r>
    </w:p>
    <w:p w:rsidR="00350868" w:rsidRDefault="00350868" w:rsidP="00350868">
      <w:pPr>
        <w:pStyle w:val="ListParagraph"/>
        <w:numPr>
          <w:ilvl w:val="0"/>
          <w:numId w:val="5"/>
        </w:numPr>
        <w:rPr>
          <w:rFonts w:ascii="Arial" w:hAnsi="Arial" w:cs="Arial"/>
        </w:rPr>
      </w:pPr>
      <w:proofErr w:type="spellStart"/>
      <w:r>
        <w:rPr>
          <w:rFonts w:ascii="Arial" w:hAnsi="Arial" w:cs="Arial"/>
        </w:rPr>
        <w:t>Ramskill</w:t>
      </w:r>
      <w:proofErr w:type="spellEnd"/>
      <w:r>
        <w:rPr>
          <w:rFonts w:ascii="Arial" w:hAnsi="Arial" w:cs="Arial"/>
        </w:rPr>
        <w:t xml:space="preserve"> Martin (2016), </w:t>
      </w:r>
      <w:r>
        <w:rPr>
          <w:rFonts w:ascii="Arial" w:hAnsi="Arial" w:cs="Arial"/>
          <w:i/>
        </w:rPr>
        <w:t xml:space="preserve">Early Warning Notices, </w:t>
      </w:r>
      <w:hyperlink r:id="rId14" w:history="1">
        <w:r w:rsidRPr="00E63329">
          <w:rPr>
            <w:rStyle w:val="Hyperlink"/>
            <w:rFonts w:ascii="Arial" w:hAnsi="Arial" w:cs="Arial"/>
          </w:rPr>
          <w:t>http://ramskillmartin.co.uk/article/early-warning-notices/</w:t>
        </w:r>
      </w:hyperlink>
      <w:r>
        <w:rPr>
          <w:rFonts w:ascii="Arial" w:hAnsi="Arial" w:cs="Arial"/>
        </w:rPr>
        <w:t>, UK</w:t>
      </w:r>
    </w:p>
    <w:p w:rsidR="00B73268" w:rsidRDefault="00B73268" w:rsidP="00B73268">
      <w:pPr>
        <w:pStyle w:val="ListParagraph"/>
        <w:numPr>
          <w:ilvl w:val="0"/>
          <w:numId w:val="5"/>
        </w:numPr>
        <w:rPr>
          <w:rFonts w:ascii="Arial" w:hAnsi="Arial" w:cs="Arial"/>
        </w:rPr>
      </w:pPr>
      <w:proofErr w:type="spellStart"/>
      <w:r>
        <w:rPr>
          <w:rFonts w:ascii="Arial" w:hAnsi="Arial" w:cs="Arial"/>
        </w:rPr>
        <w:t>Ramskill</w:t>
      </w:r>
      <w:proofErr w:type="spellEnd"/>
      <w:r>
        <w:rPr>
          <w:rFonts w:ascii="Arial" w:hAnsi="Arial" w:cs="Arial"/>
        </w:rPr>
        <w:t xml:space="preserve"> Martin (2016), </w:t>
      </w:r>
      <w:r w:rsidRPr="00B73268">
        <w:rPr>
          <w:rFonts w:ascii="Arial" w:hAnsi="Arial" w:cs="Arial"/>
          <w:i/>
        </w:rPr>
        <w:t>Notification of Compensation Events,</w:t>
      </w:r>
      <w:r>
        <w:rPr>
          <w:rFonts w:ascii="Arial" w:hAnsi="Arial" w:cs="Arial"/>
        </w:rPr>
        <w:t xml:space="preserve"> </w:t>
      </w:r>
      <w:hyperlink r:id="rId15" w:history="1">
        <w:r w:rsidRPr="00D23CE1">
          <w:rPr>
            <w:rStyle w:val="Hyperlink"/>
            <w:rFonts w:ascii="Arial" w:hAnsi="Arial" w:cs="Arial"/>
          </w:rPr>
          <w:t>http://ramskillmartin.co.uk/article/notification-of-compensation-events/</w:t>
        </w:r>
      </w:hyperlink>
      <w:r>
        <w:rPr>
          <w:rFonts w:ascii="Arial" w:hAnsi="Arial" w:cs="Arial"/>
        </w:rPr>
        <w:t>, UK</w:t>
      </w:r>
    </w:p>
    <w:p w:rsidR="00350868" w:rsidRPr="00DB0F5C" w:rsidRDefault="00350868" w:rsidP="00DB0F5C">
      <w:pPr>
        <w:pStyle w:val="ListParagraph"/>
        <w:numPr>
          <w:ilvl w:val="0"/>
          <w:numId w:val="5"/>
        </w:numPr>
        <w:rPr>
          <w:rFonts w:ascii="Arial" w:hAnsi="Arial" w:cs="Arial"/>
        </w:rPr>
      </w:pPr>
      <w:r>
        <w:rPr>
          <w:rFonts w:ascii="Arial" w:hAnsi="Arial" w:cs="Arial"/>
        </w:rPr>
        <w:t xml:space="preserve">Statista (2019), </w:t>
      </w:r>
      <w:r>
        <w:rPr>
          <w:rFonts w:ascii="Arial" w:hAnsi="Arial" w:cs="Arial"/>
          <w:i/>
        </w:rPr>
        <w:t xml:space="preserve">Construction Industry in the UK – Statistics &amp; Facts, </w:t>
      </w:r>
      <w:hyperlink r:id="rId16" w:history="1">
        <w:r w:rsidRPr="00E63329">
          <w:rPr>
            <w:rStyle w:val="Hyperlink"/>
            <w:rFonts w:ascii="Arial" w:hAnsi="Arial" w:cs="Arial"/>
          </w:rPr>
          <w:t>https://www.statista.com/topics/3797/construction-industry-in-the-uk/</w:t>
        </w:r>
      </w:hyperlink>
      <w:r>
        <w:rPr>
          <w:rFonts w:ascii="Arial" w:hAnsi="Arial" w:cs="Arial"/>
        </w:rPr>
        <w:t>, UK</w:t>
      </w:r>
    </w:p>
    <w:p w:rsidR="00E201D7" w:rsidRPr="00E201D7" w:rsidRDefault="00E201D7" w:rsidP="00E201D7">
      <w:pPr>
        <w:rPr>
          <w:rFonts w:ascii="Arial" w:hAnsi="Arial" w:cs="Arial"/>
        </w:rPr>
      </w:pPr>
    </w:p>
    <w:p w:rsidR="00803213" w:rsidRDefault="00803213" w:rsidP="005D172A">
      <w:pPr>
        <w:jc w:val="center"/>
        <w:rPr>
          <w:rFonts w:ascii="Arial" w:hAnsi="Arial" w:cs="Arial"/>
          <w:b/>
          <w:u w:val="single"/>
        </w:rPr>
      </w:pPr>
    </w:p>
    <w:p w:rsidR="00803213" w:rsidRDefault="00803213" w:rsidP="005D172A">
      <w:pPr>
        <w:jc w:val="center"/>
        <w:rPr>
          <w:rFonts w:ascii="Arial" w:hAnsi="Arial" w:cs="Arial"/>
          <w:b/>
          <w:u w:val="single"/>
        </w:rPr>
      </w:pPr>
    </w:p>
    <w:p w:rsidR="00803213" w:rsidRDefault="00803213" w:rsidP="005D172A">
      <w:pPr>
        <w:jc w:val="center"/>
        <w:rPr>
          <w:rFonts w:ascii="Arial" w:hAnsi="Arial" w:cs="Arial"/>
          <w:b/>
          <w:u w:val="single"/>
        </w:rPr>
      </w:pPr>
    </w:p>
    <w:p w:rsidR="00803213" w:rsidRDefault="00803213" w:rsidP="005D172A">
      <w:pPr>
        <w:jc w:val="center"/>
        <w:rPr>
          <w:rFonts w:ascii="Arial" w:hAnsi="Arial" w:cs="Arial"/>
          <w:b/>
          <w:u w:val="single"/>
        </w:rPr>
      </w:pPr>
    </w:p>
    <w:p w:rsidR="00803213" w:rsidRDefault="00803213" w:rsidP="005D172A">
      <w:pPr>
        <w:jc w:val="center"/>
        <w:rPr>
          <w:rFonts w:ascii="Arial" w:hAnsi="Arial" w:cs="Arial"/>
          <w:b/>
          <w:u w:val="single"/>
        </w:rPr>
      </w:pPr>
    </w:p>
    <w:p w:rsidR="00803213" w:rsidRDefault="00803213" w:rsidP="005D172A">
      <w:pPr>
        <w:jc w:val="center"/>
        <w:rPr>
          <w:rFonts w:ascii="Arial" w:hAnsi="Arial" w:cs="Arial"/>
          <w:b/>
          <w:u w:val="single"/>
        </w:rPr>
      </w:pPr>
    </w:p>
    <w:p w:rsidR="00803213" w:rsidRDefault="00803213" w:rsidP="005D172A">
      <w:pPr>
        <w:jc w:val="center"/>
        <w:rPr>
          <w:rFonts w:ascii="Arial" w:hAnsi="Arial" w:cs="Arial"/>
          <w:b/>
          <w:u w:val="single"/>
        </w:rPr>
      </w:pPr>
    </w:p>
    <w:p w:rsidR="00803213" w:rsidRDefault="00803213" w:rsidP="005D172A">
      <w:pPr>
        <w:jc w:val="center"/>
        <w:rPr>
          <w:rFonts w:ascii="Arial" w:hAnsi="Arial" w:cs="Arial"/>
          <w:b/>
          <w:u w:val="single"/>
        </w:rPr>
      </w:pPr>
    </w:p>
    <w:p w:rsidR="00803213" w:rsidRDefault="00803213" w:rsidP="005D172A">
      <w:pPr>
        <w:jc w:val="center"/>
        <w:rPr>
          <w:rFonts w:ascii="Arial" w:hAnsi="Arial" w:cs="Arial"/>
          <w:b/>
          <w:u w:val="single"/>
        </w:rPr>
      </w:pPr>
    </w:p>
    <w:p w:rsidR="00803213" w:rsidRDefault="00803213" w:rsidP="005D172A">
      <w:pPr>
        <w:jc w:val="center"/>
        <w:rPr>
          <w:rFonts w:ascii="Arial" w:hAnsi="Arial" w:cs="Arial"/>
          <w:b/>
          <w:u w:val="single"/>
        </w:rPr>
      </w:pPr>
    </w:p>
    <w:p w:rsidR="00EB66B3" w:rsidRDefault="00EB66B3" w:rsidP="00295595">
      <w:pPr>
        <w:jc w:val="center"/>
        <w:rPr>
          <w:rFonts w:ascii="Arial" w:hAnsi="Arial" w:cs="Arial"/>
          <w:b/>
          <w:u w:val="single"/>
        </w:rPr>
      </w:pPr>
    </w:p>
    <w:p w:rsidR="00EB66B3" w:rsidRDefault="00EB66B3" w:rsidP="00295595">
      <w:pPr>
        <w:jc w:val="center"/>
        <w:rPr>
          <w:rFonts w:ascii="Arial" w:hAnsi="Arial" w:cs="Arial"/>
          <w:b/>
          <w:u w:val="single"/>
        </w:rPr>
      </w:pPr>
    </w:p>
    <w:p w:rsidR="00EB66B3" w:rsidRDefault="00EB66B3" w:rsidP="00295595">
      <w:pPr>
        <w:jc w:val="center"/>
        <w:rPr>
          <w:rFonts w:ascii="Arial" w:hAnsi="Arial" w:cs="Arial"/>
          <w:b/>
          <w:u w:val="single"/>
        </w:rPr>
      </w:pPr>
    </w:p>
    <w:p w:rsidR="00EB66B3" w:rsidRDefault="00EB66B3" w:rsidP="00295595">
      <w:pPr>
        <w:jc w:val="center"/>
        <w:rPr>
          <w:rFonts w:ascii="Arial" w:hAnsi="Arial" w:cs="Arial"/>
          <w:b/>
          <w:u w:val="single"/>
        </w:rPr>
      </w:pPr>
    </w:p>
    <w:p w:rsidR="00EB66B3" w:rsidRDefault="00EB66B3" w:rsidP="00295595">
      <w:pPr>
        <w:jc w:val="center"/>
        <w:rPr>
          <w:rFonts w:ascii="Arial" w:hAnsi="Arial" w:cs="Arial"/>
          <w:b/>
          <w:u w:val="single"/>
        </w:rPr>
      </w:pPr>
    </w:p>
    <w:p w:rsidR="00EB66B3" w:rsidRDefault="00EB66B3" w:rsidP="00295595">
      <w:pPr>
        <w:jc w:val="center"/>
        <w:rPr>
          <w:rFonts w:ascii="Arial" w:hAnsi="Arial" w:cs="Arial"/>
          <w:b/>
          <w:u w:val="single"/>
        </w:rPr>
      </w:pPr>
    </w:p>
    <w:p w:rsidR="00EB66B3" w:rsidRDefault="00EB66B3" w:rsidP="00295595">
      <w:pPr>
        <w:jc w:val="center"/>
        <w:rPr>
          <w:rFonts w:ascii="Arial" w:hAnsi="Arial" w:cs="Arial"/>
          <w:b/>
          <w:u w:val="single"/>
        </w:rPr>
      </w:pPr>
    </w:p>
    <w:p w:rsidR="00EB66B3" w:rsidRDefault="00EB66B3" w:rsidP="00295595">
      <w:pPr>
        <w:jc w:val="center"/>
        <w:rPr>
          <w:rFonts w:ascii="Arial" w:hAnsi="Arial" w:cs="Arial"/>
          <w:b/>
          <w:u w:val="single"/>
        </w:rPr>
      </w:pPr>
    </w:p>
    <w:p w:rsidR="00EB66B3" w:rsidRDefault="00EB66B3" w:rsidP="00295595">
      <w:pPr>
        <w:jc w:val="center"/>
        <w:rPr>
          <w:rFonts w:ascii="Arial" w:hAnsi="Arial" w:cs="Arial"/>
          <w:b/>
          <w:u w:val="single"/>
        </w:rPr>
      </w:pPr>
    </w:p>
    <w:p w:rsidR="00295595" w:rsidRDefault="00295595" w:rsidP="00295595">
      <w:pPr>
        <w:jc w:val="center"/>
        <w:rPr>
          <w:rFonts w:ascii="Arial" w:hAnsi="Arial" w:cs="Arial"/>
          <w:b/>
          <w:u w:val="single"/>
        </w:rPr>
      </w:pPr>
      <w:r>
        <w:rPr>
          <w:rFonts w:ascii="Arial" w:hAnsi="Arial" w:cs="Arial"/>
          <w:b/>
          <w:u w:val="single"/>
        </w:rPr>
        <w:lastRenderedPageBreak/>
        <w:t>Appendices</w:t>
      </w:r>
    </w:p>
    <w:p w:rsidR="00295595" w:rsidRPr="00295595" w:rsidRDefault="009D6B9C" w:rsidP="00295595">
      <w:pPr>
        <w:pStyle w:val="ListParagraph"/>
        <w:numPr>
          <w:ilvl w:val="0"/>
          <w:numId w:val="6"/>
        </w:numPr>
        <w:rPr>
          <w:rFonts w:ascii="Arial" w:hAnsi="Arial" w:cs="Arial"/>
          <w:b/>
          <w:u w:val="single"/>
        </w:rPr>
      </w:pPr>
      <w:r>
        <w:rPr>
          <w:rFonts w:ascii="Arial" w:hAnsi="Arial" w:cs="Arial"/>
        </w:rPr>
        <w:t xml:space="preserve">Appendix 1: </w:t>
      </w:r>
      <w:r w:rsidR="00295595">
        <w:rPr>
          <w:rFonts w:ascii="Arial" w:hAnsi="Arial" w:cs="Arial"/>
        </w:rPr>
        <w:t xml:space="preserve">DCWW (2019), </w:t>
      </w:r>
      <w:r w:rsidR="00295595">
        <w:rPr>
          <w:rFonts w:ascii="Arial" w:hAnsi="Arial" w:cs="Arial"/>
          <w:i/>
        </w:rPr>
        <w:t xml:space="preserve">Example of an Early Warning notice, </w:t>
      </w:r>
      <w:proofErr w:type="spellStart"/>
      <w:r w:rsidR="00295595">
        <w:rPr>
          <w:rFonts w:ascii="Arial" w:hAnsi="Arial" w:cs="Arial"/>
        </w:rPr>
        <w:t>Dwr</w:t>
      </w:r>
      <w:proofErr w:type="spellEnd"/>
      <w:r w:rsidR="00295595">
        <w:rPr>
          <w:rFonts w:ascii="Arial" w:hAnsi="Arial" w:cs="Arial"/>
        </w:rPr>
        <w:t xml:space="preserve"> </w:t>
      </w:r>
      <w:proofErr w:type="spellStart"/>
      <w:r w:rsidR="00295595">
        <w:rPr>
          <w:rFonts w:ascii="Arial" w:hAnsi="Arial" w:cs="Arial"/>
        </w:rPr>
        <w:t>Cymru</w:t>
      </w:r>
      <w:proofErr w:type="spellEnd"/>
      <w:r w:rsidR="00295595">
        <w:rPr>
          <w:rFonts w:ascii="Arial" w:hAnsi="Arial" w:cs="Arial"/>
        </w:rPr>
        <w:t xml:space="preserve"> Welsh Water, UK:</w:t>
      </w:r>
    </w:p>
    <w:p w:rsidR="00B45A48" w:rsidRDefault="009D6B9C" w:rsidP="00B45A48">
      <w:pPr>
        <w:jc w:val="center"/>
        <w:rPr>
          <w:rFonts w:ascii="Arial" w:hAnsi="Arial" w:cs="Arial"/>
          <w:b/>
          <w:u w:val="single"/>
        </w:rPr>
      </w:pPr>
      <w:r>
        <w:rPr>
          <w:noProof/>
          <w:lang w:eastAsia="en-GB"/>
        </w:rPr>
        <w:drawing>
          <wp:inline distT="0" distB="0" distL="0" distR="0" wp14:anchorId="12A1D2B8" wp14:editId="4534E620">
            <wp:extent cx="7907693" cy="6042660"/>
            <wp:effectExtent l="0" t="952"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rot="5400000">
                      <a:off x="0" y="0"/>
                      <a:ext cx="7916569" cy="6049443"/>
                    </a:xfrm>
                    <a:prstGeom prst="rect">
                      <a:avLst/>
                    </a:prstGeom>
                  </pic:spPr>
                </pic:pic>
              </a:graphicData>
            </a:graphic>
          </wp:inline>
        </w:drawing>
      </w:r>
    </w:p>
    <w:p w:rsidR="00B45A48" w:rsidRDefault="00B45A48" w:rsidP="009D6B9C">
      <w:pPr>
        <w:jc w:val="center"/>
        <w:rPr>
          <w:rFonts w:ascii="Arial" w:hAnsi="Arial" w:cs="Arial"/>
          <w:b/>
          <w:u w:val="single"/>
        </w:rPr>
      </w:pPr>
    </w:p>
    <w:p w:rsidR="009D6B9C" w:rsidRPr="009D6B9C" w:rsidRDefault="009D6B9C" w:rsidP="009D6B9C">
      <w:pPr>
        <w:pStyle w:val="ListParagraph"/>
        <w:numPr>
          <w:ilvl w:val="0"/>
          <w:numId w:val="6"/>
        </w:numPr>
        <w:rPr>
          <w:rFonts w:ascii="Arial" w:hAnsi="Arial" w:cs="Arial"/>
          <w:b/>
          <w:u w:val="single"/>
        </w:rPr>
      </w:pPr>
      <w:r>
        <w:rPr>
          <w:rFonts w:ascii="Arial" w:hAnsi="Arial" w:cs="Arial"/>
        </w:rPr>
        <w:t xml:space="preserve">Appendix 2: DCWW (2019), </w:t>
      </w:r>
      <w:r>
        <w:rPr>
          <w:rFonts w:ascii="Arial" w:hAnsi="Arial" w:cs="Arial"/>
          <w:i/>
        </w:rPr>
        <w:t xml:space="preserve">Example of a Compensation event notice, </w:t>
      </w:r>
      <w:proofErr w:type="spellStart"/>
      <w:r>
        <w:rPr>
          <w:rFonts w:ascii="Arial" w:hAnsi="Arial" w:cs="Arial"/>
        </w:rPr>
        <w:t>Dwr</w:t>
      </w:r>
      <w:proofErr w:type="spellEnd"/>
      <w:r>
        <w:rPr>
          <w:rFonts w:ascii="Arial" w:hAnsi="Arial" w:cs="Arial"/>
        </w:rPr>
        <w:t xml:space="preserve"> </w:t>
      </w:r>
      <w:proofErr w:type="spellStart"/>
      <w:r>
        <w:rPr>
          <w:rFonts w:ascii="Arial" w:hAnsi="Arial" w:cs="Arial"/>
        </w:rPr>
        <w:t>Cymru</w:t>
      </w:r>
      <w:proofErr w:type="spellEnd"/>
      <w:r>
        <w:rPr>
          <w:rFonts w:ascii="Arial" w:hAnsi="Arial" w:cs="Arial"/>
        </w:rPr>
        <w:t xml:space="preserve"> Welsh Water, UK:</w:t>
      </w:r>
    </w:p>
    <w:p w:rsidR="009D6B9C" w:rsidRPr="009D6B9C" w:rsidRDefault="009D6B9C" w:rsidP="009D6B9C">
      <w:pPr>
        <w:jc w:val="center"/>
        <w:rPr>
          <w:rFonts w:ascii="Arial" w:hAnsi="Arial" w:cs="Arial"/>
          <w:b/>
          <w:u w:val="single"/>
        </w:rPr>
      </w:pPr>
      <w:r>
        <w:rPr>
          <w:noProof/>
          <w:lang w:eastAsia="en-GB"/>
        </w:rPr>
        <w:drawing>
          <wp:inline distT="0" distB="0" distL="0" distR="0" wp14:anchorId="3F032E3A" wp14:editId="28711155">
            <wp:extent cx="7551264" cy="6020708"/>
            <wp:effectExtent l="3175"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rot="5400000">
                      <a:off x="0" y="0"/>
                      <a:ext cx="7573972" cy="6038814"/>
                    </a:xfrm>
                    <a:prstGeom prst="rect">
                      <a:avLst/>
                    </a:prstGeom>
                  </pic:spPr>
                </pic:pic>
              </a:graphicData>
            </a:graphic>
          </wp:inline>
        </w:drawing>
      </w:r>
    </w:p>
    <w:sectPr w:rsidR="009D6B9C" w:rsidRPr="009D6B9C">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75B3" w:rsidRDefault="007475B3" w:rsidP="00C42546">
      <w:pPr>
        <w:spacing w:after="0" w:line="240" w:lineRule="auto"/>
      </w:pPr>
      <w:r>
        <w:separator/>
      </w:r>
    </w:p>
  </w:endnote>
  <w:endnote w:type="continuationSeparator" w:id="0">
    <w:p w:rsidR="007475B3" w:rsidRDefault="007475B3" w:rsidP="00C425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25940255"/>
      <w:docPartObj>
        <w:docPartGallery w:val="Page Numbers (Bottom of Page)"/>
        <w:docPartUnique/>
      </w:docPartObj>
    </w:sdtPr>
    <w:sdtEndPr>
      <w:rPr>
        <w:noProof/>
      </w:rPr>
    </w:sdtEndPr>
    <w:sdtContent>
      <w:p w:rsidR="00B5212A" w:rsidRDefault="00B5212A">
        <w:pPr>
          <w:pStyle w:val="Footer"/>
        </w:pPr>
        <w:r>
          <w:fldChar w:fldCharType="begin"/>
        </w:r>
        <w:r>
          <w:instrText xml:space="preserve"> PAGE   \* MERGEFORMAT </w:instrText>
        </w:r>
        <w:r>
          <w:fldChar w:fldCharType="separate"/>
        </w:r>
        <w:r w:rsidR="00D06A99">
          <w:rPr>
            <w:noProof/>
          </w:rPr>
          <w:t>12</w:t>
        </w:r>
        <w:r>
          <w:rPr>
            <w:noProof/>
          </w:rPr>
          <w:fldChar w:fldCharType="end"/>
        </w:r>
      </w:p>
    </w:sdtContent>
  </w:sdt>
  <w:p w:rsidR="00B5212A" w:rsidRDefault="00B521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75B3" w:rsidRDefault="007475B3" w:rsidP="00C42546">
      <w:pPr>
        <w:spacing w:after="0" w:line="240" w:lineRule="auto"/>
      </w:pPr>
      <w:r>
        <w:separator/>
      </w:r>
    </w:p>
  </w:footnote>
  <w:footnote w:type="continuationSeparator" w:id="0">
    <w:p w:rsidR="007475B3" w:rsidRDefault="007475B3" w:rsidP="00C425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E7F38"/>
    <w:multiLevelType w:val="hybridMultilevel"/>
    <w:tmpl w:val="8FCAA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8D53D0"/>
    <w:multiLevelType w:val="hybridMultilevel"/>
    <w:tmpl w:val="65BE8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F37AA2"/>
    <w:multiLevelType w:val="hybridMultilevel"/>
    <w:tmpl w:val="CCB83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F34C12"/>
    <w:multiLevelType w:val="hybridMultilevel"/>
    <w:tmpl w:val="3C3C4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ED7657"/>
    <w:multiLevelType w:val="hybridMultilevel"/>
    <w:tmpl w:val="DEE8240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B4F34AC"/>
    <w:multiLevelType w:val="hybridMultilevel"/>
    <w:tmpl w:val="01C40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3"/>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4"/>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D7C"/>
    <w:rsid w:val="00037C0F"/>
    <w:rsid w:val="000451C7"/>
    <w:rsid w:val="00051A94"/>
    <w:rsid w:val="0006317A"/>
    <w:rsid w:val="000873A5"/>
    <w:rsid w:val="000D7ED6"/>
    <w:rsid w:val="000E147F"/>
    <w:rsid w:val="000E49B5"/>
    <w:rsid w:val="000F160B"/>
    <w:rsid w:val="00120E56"/>
    <w:rsid w:val="00152D20"/>
    <w:rsid w:val="00186921"/>
    <w:rsid w:val="001911D3"/>
    <w:rsid w:val="001A25FC"/>
    <w:rsid w:val="001D429F"/>
    <w:rsid w:val="001E567E"/>
    <w:rsid w:val="001F7850"/>
    <w:rsid w:val="00233B01"/>
    <w:rsid w:val="00295595"/>
    <w:rsid w:val="002B1D7C"/>
    <w:rsid w:val="002B3E6B"/>
    <w:rsid w:val="002C335F"/>
    <w:rsid w:val="002D0AA4"/>
    <w:rsid w:val="002D51D1"/>
    <w:rsid w:val="002E3F06"/>
    <w:rsid w:val="002F5FC5"/>
    <w:rsid w:val="002F6E62"/>
    <w:rsid w:val="00314EF2"/>
    <w:rsid w:val="00321C6E"/>
    <w:rsid w:val="0032740B"/>
    <w:rsid w:val="00350868"/>
    <w:rsid w:val="0036016D"/>
    <w:rsid w:val="00365476"/>
    <w:rsid w:val="00367E68"/>
    <w:rsid w:val="0039301D"/>
    <w:rsid w:val="003A2E63"/>
    <w:rsid w:val="003B68E3"/>
    <w:rsid w:val="003B77EA"/>
    <w:rsid w:val="003E586A"/>
    <w:rsid w:val="003F6742"/>
    <w:rsid w:val="00414636"/>
    <w:rsid w:val="0042268C"/>
    <w:rsid w:val="00451E5A"/>
    <w:rsid w:val="00465B5B"/>
    <w:rsid w:val="00483CB6"/>
    <w:rsid w:val="0048561E"/>
    <w:rsid w:val="0049378A"/>
    <w:rsid w:val="004A30E0"/>
    <w:rsid w:val="004C490A"/>
    <w:rsid w:val="004D467F"/>
    <w:rsid w:val="004D5453"/>
    <w:rsid w:val="00500199"/>
    <w:rsid w:val="005159EA"/>
    <w:rsid w:val="0052438A"/>
    <w:rsid w:val="0054712D"/>
    <w:rsid w:val="005546F1"/>
    <w:rsid w:val="00576561"/>
    <w:rsid w:val="005A2587"/>
    <w:rsid w:val="005C6E1B"/>
    <w:rsid w:val="005D172A"/>
    <w:rsid w:val="005F730D"/>
    <w:rsid w:val="00607886"/>
    <w:rsid w:val="00623EFC"/>
    <w:rsid w:val="006468AD"/>
    <w:rsid w:val="00650DF3"/>
    <w:rsid w:val="00657584"/>
    <w:rsid w:val="00681FA9"/>
    <w:rsid w:val="00696221"/>
    <w:rsid w:val="006977D1"/>
    <w:rsid w:val="006A3109"/>
    <w:rsid w:val="006B6B35"/>
    <w:rsid w:val="006B6C0F"/>
    <w:rsid w:val="006C1C68"/>
    <w:rsid w:val="006C29E0"/>
    <w:rsid w:val="006F3E45"/>
    <w:rsid w:val="006F4597"/>
    <w:rsid w:val="0070030F"/>
    <w:rsid w:val="007266D4"/>
    <w:rsid w:val="00745922"/>
    <w:rsid w:val="007475B3"/>
    <w:rsid w:val="00752179"/>
    <w:rsid w:val="00780B00"/>
    <w:rsid w:val="007A7ED1"/>
    <w:rsid w:val="007D3C6E"/>
    <w:rsid w:val="007E110B"/>
    <w:rsid w:val="007E142B"/>
    <w:rsid w:val="007E19C8"/>
    <w:rsid w:val="0080103D"/>
    <w:rsid w:val="00803213"/>
    <w:rsid w:val="00820E85"/>
    <w:rsid w:val="00837BD7"/>
    <w:rsid w:val="00861789"/>
    <w:rsid w:val="008758A3"/>
    <w:rsid w:val="008950C5"/>
    <w:rsid w:val="008A3206"/>
    <w:rsid w:val="008E05BE"/>
    <w:rsid w:val="009225E5"/>
    <w:rsid w:val="00984B5D"/>
    <w:rsid w:val="009B148C"/>
    <w:rsid w:val="009B5732"/>
    <w:rsid w:val="009C47AC"/>
    <w:rsid w:val="009D6B9C"/>
    <w:rsid w:val="009E17B1"/>
    <w:rsid w:val="009E679D"/>
    <w:rsid w:val="009F64ED"/>
    <w:rsid w:val="00A005D2"/>
    <w:rsid w:val="00A140F0"/>
    <w:rsid w:val="00A27D85"/>
    <w:rsid w:val="00A37F17"/>
    <w:rsid w:val="00A40D06"/>
    <w:rsid w:val="00A47735"/>
    <w:rsid w:val="00A70685"/>
    <w:rsid w:val="00AA0648"/>
    <w:rsid w:val="00AB1AD0"/>
    <w:rsid w:val="00AD2BFA"/>
    <w:rsid w:val="00AD3C78"/>
    <w:rsid w:val="00AF2E93"/>
    <w:rsid w:val="00B2128E"/>
    <w:rsid w:val="00B45A48"/>
    <w:rsid w:val="00B5212A"/>
    <w:rsid w:val="00B73268"/>
    <w:rsid w:val="00B7640F"/>
    <w:rsid w:val="00B7733A"/>
    <w:rsid w:val="00BA15A0"/>
    <w:rsid w:val="00BA6B43"/>
    <w:rsid w:val="00C00AAC"/>
    <w:rsid w:val="00C05D32"/>
    <w:rsid w:val="00C26121"/>
    <w:rsid w:val="00C35426"/>
    <w:rsid w:val="00C41835"/>
    <w:rsid w:val="00C42546"/>
    <w:rsid w:val="00C52E82"/>
    <w:rsid w:val="00C77474"/>
    <w:rsid w:val="00CA54B1"/>
    <w:rsid w:val="00CC17A5"/>
    <w:rsid w:val="00CD1F39"/>
    <w:rsid w:val="00CD4218"/>
    <w:rsid w:val="00D06A99"/>
    <w:rsid w:val="00D139C1"/>
    <w:rsid w:val="00D14EE3"/>
    <w:rsid w:val="00DA5745"/>
    <w:rsid w:val="00DB0C3F"/>
    <w:rsid w:val="00DB0F5C"/>
    <w:rsid w:val="00DB6A16"/>
    <w:rsid w:val="00DE2E27"/>
    <w:rsid w:val="00DE47FC"/>
    <w:rsid w:val="00E06452"/>
    <w:rsid w:val="00E201D7"/>
    <w:rsid w:val="00E36EB1"/>
    <w:rsid w:val="00E522F1"/>
    <w:rsid w:val="00E544BA"/>
    <w:rsid w:val="00E551DD"/>
    <w:rsid w:val="00E634F3"/>
    <w:rsid w:val="00EA20D4"/>
    <w:rsid w:val="00EB66B3"/>
    <w:rsid w:val="00ED0673"/>
    <w:rsid w:val="00F140F5"/>
    <w:rsid w:val="00F26833"/>
    <w:rsid w:val="00F47D15"/>
    <w:rsid w:val="00F504FE"/>
    <w:rsid w:val="00F563E0"/>
    <w:rsid w:val="00FB6222"/>
    <w:rsid w:val="00FD46AD"/>
    <w:rsid w:val="00FE43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8158FD2F-86D5-4031-A4DE-3DB38E05A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7886"/>
    <w:pPr>
      <w:ind w:left="720"/>
      <w:contextualSpacing/>
    </w:pPr>
  </w:style>
  <w:style w:type="character" w:styleId="Hyperlink">
    <w:name w:val="Hyperlink"/>
    <w:basedOn w:val="DefaultParagraphFont"/>
    <w:uiPriority w:val="99"/>
    <w:unhideWhenUsed/>
    <w:rsid w:val="00321C6E"/>
    <w:rPr>
      <w:color w:val="0563C1" w:themeColor="hyperlink"/>
      <w:u w:val="single"/>
    </w:rPr>
  </w:style>
  <w:style w:type="paragraph" w:styleId="Header">
    <w:name w:val="header"/>
    <w:basedOn w:val="Normal"/>
    <w:link w:val="HeaderChar"/>
    <w:uiPriority w:val="99"/>
    <w:unhideWhenUsed/>
    <w:rsid w:val="00C425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2546"/>
  </w:style>
  <w:style w:type="paragraph" w:styleId="Footer">
    <w:name w:val="footer"/>
    <w:basedOn w:val="Normal"/>
    <w:link w:val="FooterChar"/>
    <w:uiPriority w:val="99"/>
    <w:unhideWhenUsed/>
    <w:rsid w:val="00C425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2546"/>
  </w:style>
  <w:style w:type="table" w:styleId="TableGrid">
    <w:name w:val="Table Grid"/>
    <w:basedOn w:val="TableNormal"/>
    <w:uiPriority w:val="39"/>
    <w:rsid w:val="005001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gmhplanning.co.uk/nec-guidance-notes/ecc-clause-60-1-compensation-events/" TargetMode="Externa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gmhplanning.co.uk/nec-guidance-notes/nec3-ecc-clause-16-early-warnings/" TargetMode="Externa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yperlink" Target="https://www.statista.com/topics/3797/construction-industry-in-the-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tevencevans.com/nec3-ecc-early-warning/" TargetMode="External"/><Relationship Id="rId5" Type="http://schemas.openxmlformats.org/officeDocument/2006/relationships/webSettings" Target="webSettings.xml"/><Relationship Id="rId15" Type="http://schemas.openxmlformats.org/officeDocument/2006/relationships/hyperlink" Target="http://ramskillmartin.co.uk/article/notification-of-compensation-events/" TargetMode="External"/><Relationship Id="rId10" Type="http://schemas.openxmlformats.org/officeDocument/2006/relationships/hyperlink" Target="https://www.ucl.ac.uk/laws/events/2018/nov/drafting-legal-clauses-commercial-contracts"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ramskillmartin.co.uk/article/early-warning-noti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7BE108-FFA6-4B43-BCC0-70B1A85DF7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1231</Words>
  <Characters>7017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Welsh Water</Company>
  <LinksUpToDate>false</LinksUpToDate>
  <CharactersWithSpaces>8232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Cullen James</dc:creator>
  <cp:keywords/>
  <dc:description/>
  <cp:lastModifiedBy>James Cullen (P151951)</cp:lastModifiedBy>
  <cp:revision>2</cp:revision>
  <dcterms:created xsi:type="dcterms:W3CDTF">2019-03-07T12:34:00Z</dcterms:created>
  <dcterms:modified xsi:type="dcterms:W3CDTF">2019-03-07T12:34:00Z</dcterms:modified>
</cp:coreProperties>
</file>