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FC703" w14:textId="29F11FB5" w:rsidR="003B2BEE" w:rsidRPr="00403CC7" w:rsidRDefault="003B2BEE" w:rsidP="003B2BEE">
      <w:pPr>
        <w:rPr>
          <w:rFonts w:ascii="Times New Roman" w:hAnsi="Times New Roman" w:cs="Times New Roman"/>
          <w:b/>
          <w:bCs/>
          <w:sz w:val="32"/>
          <w:szCs w:val="32"/>
        </w:rPr>
      </w:pPr>
      <w:r w:rsidRPr="00403CC7">
        <w:rPr>
          <w:rFonts w:ascii="Times New Roman" w:hAnsi="Times New Roman" w:cs="Times New Roman"/>
          <w:b/>
          <w:bCs/>
          <w:sz w:val="32"/>
          <w:szCs w:val="32"/>
        </w:rPr>
        <w:t>‘</w:t>
      </w:r>
      <w:r w:rsidR="00945195" w:rsidRPr="00403CC7">
        <w:rPr>
          <w:rFonts w:ascii="Times New Roman" w:hAnsi="Times New Roman" w:cs="Times New Roman"/>
          <w:b/>
          <w:bCs/>
          <w:sz w:val="32"/>
          <w:szCs w:val="32"/>
        </w:rPr>
        <w:t>A</w:t>
      </w:r>
      <w:r w:rsidRPr="00403CC7">
        <w:rPr>
          <w:rFonts w:ascii="Times New Roman" w:hAnsi="Times New Roman" w:cs="Times New Roman"/>
          <w:b/>
          <w:bCs/>
          <w:sz w:val="32"/>
          <w:szCs w:val="32"/>
        </w:rPr>
        <w:t xml:space="preserve">nthropomorphism </w:t>
      </w:r>
      <w:r w:rsidR="00945195" w:rsidRPr="00403CC7">
        <w:rPr>
          <w:rFonts w:ascii="Times New Roman" w:hAnsi="Times New Roman" w:cs="Times New Roman"/>
          <w:b/>
          <w:bCs/>
          <w:sz w:val="32"/>
          <w:szCs w:val="32"/>
        </w:rPr>
        <w:t>and the shared language of dogs and humans’</w:t>
      </w:r>
    </w:p>
    <w:p w14:paraId="2239FBB6" w14:textId="581CA424" w:rsidR="003B2BEE" w:rsidRPr="00403CC7" w:rsidRDefault="003B2BEE" w:rsidP="003B2BEE">
      <w:pPr>
        <w:rPr>
          <w:rFonts w:ascii="Times New Roman" w:hAnsi="Times New Roman" w:cs="Times New Roman"/>
          <w:b/>
          <w:bCs/>
          <w:sz w:val="32"/>
          <w:szCs w:val="32"/>
        </w:rPr>
      </w:pPr>
      <w:r w:rsidRPr="00403CC7">
        <w:rPr>
          <w:rFonts w:ascii="Times New Roman" w:hAnsi="Times New Roman" w:cs="Times New Roman"/>
          <w:b/>
          <w:bCs/>
          <w:sz w:val="32"/>
          <w:szCs w:val="32"/>
        </w:rPr>
        <w:t>Dr Rebekah Humphreys (University of Wales Trinity Saint David, Lampeter, UK)</w:t>
      </w:r>
    </w:p>
    <w:p w14:paraId="335D8CEE" w14:textId="3EAF63E4" w:rsidR="003B2BEE" w:rsidRPr="00403CC7" w:rsidRDefault="004A26F6" w:rsidP="003B2BEE">
      <w:pPr>
        <w:spacing w:after="0" w:line="240" w:lineRule="auto"/>
        <w:rPr>
          <w:rFonts w:ascii="Times New Roman" w:eastAsia="Times New Roman" w:hAnsi="Times New Roman" w:cs="Times New Roman"/>
          <w:b/>
          <w:sz w:val="32"/>
          <w:szCs w:val="32"/>
        </w:rPr>
      </w:pPr>
      <w:r w:rsidRPr="00403CC7">
        <w:rPr>
          <w:rFonts w:ascii="Times New Roman" w:eastAsia="Times New Roman" w:hAnsi="Times New Roman" w:cs="Times New Roman"/>
          <w:b/>
          <w:sz w:val="32"/>
          <w:szCs w:val="32"/>
        </w:rPr>
        <w:t>Abstract</w:t>
      </w:r>
    </w:p>
    <w:p w14:paraId="182CF691" w14:textId="016A0B41" w:rsidR="004A26F6" w:rsidRPr="00403CC7" w:rsidRDefault="004A26F6" w:rsidP="004A26F6">
      <w:pPr>
        <w:rPr>
          <w:rFonts w:asciiTheme="majorBidi" w:hAnsiTheme="majorBidi" w:cstheme="majorBidi"/>
          <w:sz w:val="28"/>
          <w:szCs w:val="28"/>
        </w:rPr>
      </w:pPr>
      <w:r w:rsidRPr="00403CC7">
        <w:rPr>
          <w:rFonts w:asciiTheme="majorBidi" w:hAnsiTheme="majorBidi" w:cstheme="majorBidi"/>
          <w:sz w:val="28"/>
          <w:szCs w:val="28"/>
        </w:rPr>
        <w:t xml:space="preserve">The aim of this paper is to draw together themes in the literature on the topic of anthropomorphism (particularly in relation to methodological disdain and the problematic claim that anthropomorphic language-use with regards to animal mentality is unjustified): these themes include inter-species meaningful communication, scepticism, shared language, trust and reciprocity, and the role of the body in relation to animal mentality. </w:t>
      </w:r>
    </w:p>
    <w:p w14:paraId="0FFBC543" w14:textId="77777777" w:rsidR="004A26F6" w:rsidRPr="00403CC7" w:rsidRDefault="004A26F6" w:rsidP="004A26F6">
      <w:pPr>
        <w:rPr>
          <w:rFonts w:asciiTheme="majorBidi" w:hAnsiTheme="majorBidi" w:cstheme="majorBidi"/>
          <w:sz w:val="28"/>
          <w:szCs w:val="28"/>
        </w:rPr>
      </w:pPr>
      <w:r w:rsidRPr="00403CC7">
        <w:rPr>
          <w:rFonts w:asciiTheme="majorBidi" w:hAnsiTheme="majorBidi" w:cstheme="majorBidi"/>
          <w:sz w:val="28"/>
          <w:szCs w:val="28"/>
        </w:rPr>
        <w:t xml:space="preserve">Further, problems concerning animal consciousness and the possibility and acquisition of knowledge of such consciousness will be reinterpreted (presented differently from the current literature) and found to be problems concerning something of quite a different nature; that is, problems concerning language and the description of animal mentality. The work of Vicki Hearne and Mark Rowlands will be drawn on to provide examples of inter-species shared language. </w:t>
      </w:r>
    </w:p>
    <w:p w14:paraId="48CB51BD" w14:textId="77777777" w:rsidR="004A26F6" w:rsidRPr="00403CC7" w:rsidRDefault="004A26F6" w:rsidP="004A26F6">
      <w:pPr>
        <w:rPr>
          <w:rFonts w:asciiTheme="majorBidi" w:hAnsiTheme="majorBidi" w:cstheme="majorBidi"/>
          <w:sz w:val="28"/>
          <w:szCs w:val="28"/>
        </w:rPr>
      </w:pPr>
      <w:r w:rsidRPr="00403CC7">
        <w:rPr>
          <w:rFonts w:asciiTheme="majorBidi" w:hAnsiTheme="majorBidi" w:cstheme="majorBidi"/>
          <w:sz w:val="28"/>
          <w:szCs w:val="28"/>
        </w:rPr>
        <w:t xml:space="preserve">The paper concludes that anthropomorphism cannot be avoided for the very reason that it is necessarily in operation whenever we describe the mental life of other than human animals in a way that avoids mechano-morphism. Our folk psychology of other animals plays a role here in our description of animal mentality, just as it does in our description of human mental states (see, for example, Andrews, 2011), as does our immediate, direct or non-inferential knowledge of the feelings of others (whether human or nonhuman). </w:t>
      </w:r>
    </w:p>
    <w:p w14:paraId="3B0B948E" w14:textId="77777777" w:rsidR="004A26F6" w:rsidRPr="00403CC7" w:rsidRDefault="004A26F6" w:rsidP="004A26F6">
      <w:pPr>
        <w:rPr>
          <w:rFonts w:asciiTheme="majorBidi" w:hAnsiTheme="majorBidi" w:cstheme="majorBidi"/>
          <w:sz w:val="28"/>
          <w:szCs w:val="28"/>
        </w:rPr>
      </w:pPr>
      <w:r w:rsidRPr="00403CC7">
        <w:rPr>
          <w:rFonts w:asciiTheme="majorBidi" w:hAnsiTheme="majorBidi" w:cstheme="majorBidi"/>
          <w:sz w:val="28"/>
          <w:szCs w:val="28"/>
        </w:rPr>
        <w:t xml:space="preserve">Overall, this paper will examine key issues relevant to anthropomorphic practice in order to work towards constructing an adequate ontology of a lifeworld with animals. It will also suggest the moral implications of that construction because a new, more adequate way of seeing the world (a world of complex, communicating, suffering animals) has moral consequences. </w:t>
      </w:r>
    </w:p>
    <w:p w14:paraId="464EDDB5" w14:textId="77777777" w:rsidR="004A26F6" w:rsidRDefault="004A26F6" w:rsidP="004A26F6"/>
    <w:p w14:paraId="1B92BA79" w14:textId="59F8A84E" w:rsidR="003B2BEE" w:rsidRPr="00403CC7" w:rsidRDefault="003B2BEE" w:rsidP="003B2BEE">
      <w:pPr>
        <w:spacing w:after="0" w:line="240" w:lineRule="auto"/>
        <w:rPr>
          <w:rFonts w:ascii="Times New Roman" w:eastAsia="Times New Roman" w:hAnsi="Times New Roman" w:cs="Times New Roman"/>
          <w:b/>
          <w:sz w:val="28"/>
          <w:szCs w:val="28"/>
        </w:rPr>
      </w:pPr>
      <w:r w:rsidRPr="00403CC7">
        <w:rPr>
          <w:rFonts w:ascii="Times New Roman" w:eastAsia="Times New Roman" w:hAnsi="Times New Roman" w:cs="Times New Roman"/>
          <w:b/>
          <w:sz w:val="28"/>
          <w:szCs w:val="28"/>
        </w:rPr>
        <w:t>Animal Consciousness: a problem concerning description and language</w:t>
      </w:r>
    </w:p>
    <w:p w14:paraId="26A3763B" w14:textId="67FB7D96" w:rsidR="003B2BEE" w:rsidRPr="00403CC7" w:rsidRDefault="003B2BEE" w:rsidP="003B2BEE">
      <w:pPr>
        <w:spacing w:after="0" w:line="240" w:lineRule="auto"/>
        <w:jc w:val="center"/>
        <w:rPr>
          <w:rFonts w:ascii="Times New Roman" w:eastAsia="Times New Roman" w:hAnsi="Times New Roman" w:cs="Times New Roman"/>
          <w:bCs/>
          <w:sz w:val="28"/>
          <w:szCs w:val="28"/>
        </w:rPr>
      </w:pPr>
    </w:p>
    <w:p w14:paraId="360DE0A0" w14:textId="0D658D15" w:rsidR="003B2BEE" w:rsidRPr="00403CC7" w:rsidRDefault="003B2BEE" w:rsidP="003B2BEE">
      <w:pPr>
        <w:spacing w:after="0" w:line="240" w:lineRule="auto"/>
        <w:rPr>
          <w:rFonts w:ascii="Times New Roman" w:eastAsia="Times New Roman" w:hAnsi="Times New Roman" w:cs="Times New Roman"/>
          <w:bCs/>
          <w:sz w:val="28"/>
          <w:szCs w:val="28"/>
        </w:rPr>
      </w:pPr>
      <w:r w:rsidRPr="00403CC7">
        <w:rPr>
          <w:rFonts w:ascii="Times New Roman" w:eastAsia="Times New Roman" w:hAnsi="Times New Roman" w:cs="Times New Roman"/>
          <w:bCs/>
          <w:sz w:val="28"/>
          <w:szCs w:val="28"/>
        </w:rPr>
        <w:t xml:space="preserve">‘Argument about whether signing chimps really are using a language… will not be settled by observation of them, because what counts as language cannot be settled that way. Nor can it be settled by definition. We know… that cows </w:t>
      </w:r>
      <w:r w:rsidRPr="00403CC7">
        <w:rPr>
          <w:rFonts w:ascii="Times New Roman" w:eastAsia="Times New Roman" w:hAnsi="Times New Roman" w:cs="Times New Roman"/>
          <w:bCs/>
          <w:sz w:val="28"/>
          <w:szCs w:val="28"/>
        </w:rPr>
        <w:lastRenderedPageBreak/>
        <w:t>communicate to one another when they moo, but nobody thinks they are speaking or that ‘moo’ is another word in a cow language… What it is for something to be a word has proved to be a very difficult question to answer and there is great controversy over it, not only in philosophy but in the natural sciences where there has been a long argument over whether chimps who have learnt to sign have learnt language’ (Gaita, 2002, pp.112-13).</w:t>
      </w:r>
    </w:p>
    <w:p w14:paraId="3A5DC81D" w14:textId="3AD2E5C4" w:rsidR="003B2BEE" w:rsidRPr="00403CC7" w:rsidRDefault="003B2BEE" w:rsidP="003B2BEE">
      <w:pPr>
        <w:spacing w:after="0" w:line="240" w:lineRule="auto"/>
        <w:rPr>
          <w:rFonts w:ascii="Times New Roman" w:eastAsia="Times New Roman" w:hAnsi="Times New Roman" w:cs="Times New Roman"/>
          <w:b/>
          <w:sz w:val="28"/>
          <w:szCs w:val="28"/>
        </w:rPr>
      </w:pPr>
    </w:p>
    <w:p w14:paraId="67087B83" w14:textId="12798631" w:rsidR="003B2BEE" w:rsidRPr="00403CC7" w:rsidRDefault="003B2BEE" w:rsidP="003B2BEE">
      <w:pPr>
        <w:spacing w:after="0" w:line="240" w:lineRule="auto"/>
        <w:rPr>
          <w:rFonts w:ascii="Times New Roman" w:eastAsia="Times New Roman" w:hAnsi="Times New Roman" w:cs="Times New Roman"/>
          <w:b/>
          <w:sz w:val="28"/>
          <w:szCs w:val="28"/>
        </w:rPr>
      </w:pPr>
      <w:r w:rsidRPr="00403CC7">
        <w:rPr>
          <w:rFonts w:ascii="Times New Roman" w:eastAsia="Times New Roman" w:hAnsi="Times New Roman" w:cs="Times New Roman"/>
          <w:b/>
          <w:sz w:val="28"/>
          <w:szCs w:val="28"/>
        </w:rPr>
        <w:t>Redefining Language: bodily behaviours as syntactical</w:t>
      </w:r>
    </w:p>
    <w:p w14:paraId="3327A5FF" w14:textId="77777777" w:rsidR="003B2BEE" w:rsidRPr="00403CC7" w:rsidRDefault="003B2BEE" w:rsidP="003B2BEE">
      <w:pPr>
        <w:spacing w:after="0" w:line="240" w:lineRule="auto"/>
        <w:rPr>
          <w:rFonts w:ascii="Times New Roman" w:eastAsia="Times New Roman" w:hAnsi="Times New Roman" w:cs="Times New Roman"/>
          <w:b/>
          <w:sz w:val="28"/>
          <w:szCs w:val="28"/>
        </w:rPr>
      </w:pPr>
    </w:p>
    <w:p w14:paraId="19CFA493" w14:textId="1CFC23A7" w:rsidR="003B2BEE" w:rsidRPr="00403CC7" w:rsidRDefault="003B2BEE" w:rsidP="003B2BEE">
      <w:pPr>
        <w:spacing w:after="0" w:line="240" w:lineRule="auto"/>
        <w:rPr>
          <w:rFonts w:ascii="Times New Roman" w:eastAsia="Times New Roman" w:hAnsi="Times New Roman" w:cs="Times New Roman"/>
          <w:bCs/>
          <w:sz w:val="28"/>
          <w:szCs w:val="28"/>
        </w:rPr>
      </w:pPr>
      <w:r w:rsidRPr="00403CC7">
        <w:rPr>
          <w:rFonts w:ascii="Times New Roman" w:eastAsia="Times New Roman" w:hAnsi="Times New Roman" w:cs="Times New Roman"/>
          <w:bCs/>
          <w:sz w:val="28"/>
          <w:szCs w:val="28"/>
        </w:rPr>
        <w:t>‘Calling anything in the exchanges between horses and humans or among horses syntactical as well as semantical is problematic, I know… but I have come think of syntax as prior to semantics, or of semantics as requiring syntax, since even a gesture or utterance consisting of a single counter, such as “stop” is meaningful only in context of what comes before and after, and there are rules about what can come before and after, rules there is no reason not to call grammatical. There are vast conceptual differences between what people can do with language and what even chimps and gorillas can do, but worrying about preserving the word “syntax” for use in discussions of parsing human sentences will never enable us to understand them’ (Hearne, 1986, p.153).</w:t>
      </w:r>
    </w:p>
    <w:p w14:paraId="0FF08A53" w14:textId="19F73EAA" w:rsidR="003B2BEE" w:rsidRPr="00403CC7" w:rsidRDefault="003B2BEE" w:rsidP="003B2BEE">
      <w:pPr>
        <w:spacing w:after="0" w:line="240" w:lineRule="auto"/>
        <w:rPr>
          <w:rFonts w:ascii="Times New Roman" w:eastAsia="Times New Roman" w:hAnsi="Times New Roman" w:cs="Times New Roman"/>
          <w:bCs/>
          <w:sz w:val="28"/>
          <w:szCs w:val="28"/>
        </w:rPr>
      </w:pPr>
    </w:p>
    <w:p w14:paraId="0C0DADB2" w14:textId="43802FA0" w:rsidR="003B2BEE" w:rsidRPr="00403CC7" w:rsidRDefault="003B2BEE" w:rsidP="003B2BEE">
      <w:pPr>
        <w:spacing w:after="0" w:line="240" w:lineRule="auto"/>
        <w:rPr>
          <w:rFonts w:ascii="Times New Roman" w:eastAsia="Times New Roman" w:hAnsi="Times New Roman" w:cs="Times New Roman"/>
          <w:bCs/>
          <w:sz w:val="28"/>
          <w:szCs w:val="28"/>
        </w:rPr>
      </w:pPr>
      <w:r w:rsidRPr="00403CC7">
        <w:rPr>
          <w:rFonts w:ascii="Times New Roman" w:eastAsia="Times New Roman" w:hAnsi="Times New Roman" w:cs="Times New Roman"/>
          <w:bCs/>
          <w:sz w:val="28"/>
          <w:szCs w:val="28"/>
        </w:rPr>
        <w:t>‘Even in the case of what appears to be a gesture or signal consisting of a single counter, as when Belle barks to be let out to run, the bark or tail-wagging or door-scratching is meaningless without what goes before and after … in certain ways, in a rule-governed sequence. If she scratches at the door and then settles… to her food dish, which is near the door, the scratching is neither syntactical or [sic] semantic. And relationships require syntax…’ (Hearne, 1986, p.97).</w:t>
      </w:r>
    </w:p>
    <w:p w14:paraId="2B022E6E" w14:textId="77777777" w:rsidR="003B2BEE" w:rsidRPr="00403CC7" w:rsidRDefault="003B2BEE" w:rsidP="003B2BEE">
      <w:pPr>
        <w:spacing w:after="0" w:line="240" w:lineRule="auto"/>
        <w:rPr>
          <w:rFonts w:ascii="Times New Roman" w:eastAsia="Times New Roman" w:hAnsi="Times New Roman" w:cs="Times New Roman"/>
          <w:b/>
          <w:sz w:val="28"/>
          <w:szCs w:val="28"/>
        </w:rPr>
      </w:pPr>
    </w:p>
    <w:p w14:paraId="00CD3848" w14:textId="4CC6C823" w:rsidR="003B2BEE" w:rsidRPr="00403CC7" w:rsidRDefault="003B2BEE" w:rsidP="003B2BEE">
      <w:pPr>
        <w:spacing w:after="0" w:line="240" w:lineRule="auto"/>
        <w:rPr>
          <w:rFonts w:ascii="Times New Roman" w:eastAsia="Times New Roman" w:hAnsi="Times New Roman" w:cs="Times New Roman"/>
          <w:bCs/>
          <w:sz w:val="28"/>
          <w:szCs w:val="28"/>
        </w:rPr>
      </w:pPr>
      <w:r w:rsidRPr="00403CC7">
        <w:rPr>
          <w:rFonts w:ascii="Times New Roman" w:eastAsia="Times New Roman" w:hAnsi="Times New Roman" w:cs="Times New Roman"/>
          <w:bCs/>
          <w:sz w:val="28"/>
          <w:szCs w:val="28"/>
        </w:rPr>
        <w:t>‘Now there are all sorts of new ways our language can be projected. I have her retrieve things besides her dumbbell. Perhaps I have her retrieve Uncle Albert. Retrieving can become carrying messages. I can teach a directed retrieve, having her retrieve things I haven’t thrown. I can, that is, use “Fetch” to name things, in somewhat the way we use “this” and “that” to name things’ (Ibid., p.74).</w:t>
      </w:r>
    </w:p>
    <w:p w14:paraId="5827F6E1" w14:textId="77777777" w:rsidR="003B2BEE" w:rsidRPr="00403CC7" w:rsidRDefault="003B2BEE" w:rsidP="003B2BEE">
      <w:pPr>
        <w:spacing w:after="0" w:line="240" w:lineRule="auto"/>
        <w:rPr>
          <w:rFonts w:ascii="Times New Roman" w:eastAsia="Times New Roman" w:hAnsi="Times New Roman" w:cs="Times New Roman"/>
          <w:bCs/>
          <w:sz w:val="28"/>
          <w:szCs w:val="28"/>
        </w:rPr>
      </w:pPr>
    </w:p>
    <w:p w14:paraId="67F34F3E" w14:textId="64C417A4" w:rsidR="003B2BEE" w:rsidRPr="00403CC7" w:rsidRDefault="003B2BEE" w:rsidP="003B2BEE">
      <w:pPr>
        <w:spacing w:after="0" w:line="240" w:lineRule="auto"/>
        <w:rPr>
          <w:rFonts w:ascii="Times New Roman" w:eastAsia="Times New Roman" w:hAnsi="Times New Roman" w:cs="Times New Roman"/>
          <w:bCs/>
          <w:sz w:val="28"/>
          <w:szCs w:val="28"/>
        </w:rPr>
      </w:pPr>
      <w:r w:rsidRPr="00403CC7">
        <w:rPr>
          <w:rFonts w:ascii="Times New Roman" w:eastAsia="Times New Roman" w:hAnsi="Times New Roman" w:cs="Times New Roman"/>
          <w:bCs/>
          <w:sz w:val="28"/>
          <w:szCs w:val="28"/>
        </w:rPr>
        <w:t>‘[H]orses have their own grammar of time. They can’t say anything that requires past, present or future tense, but that doesn’t mean that without us they live in eternity, in the present tense only. Their concept of time might be expressed by saying that the names of their tenses are “not yet, here and gone.” You can’t make appointments with such tenses, but you can remember, and you can anticipate the future with no little anxiety…’ (Hearne, 1986, pp.164-65).</w:t>
      </w:r>
    </w:p>
    <w:p w14:paraId="088996DD" w14:textId="77777777" w:rsidR="003B2BEE" w:rsidRPr="00403CC7" w:rsidRDefault="003B2BEE" w:rsidP="003B2BEE">
      <w:pPr>
        <w:spacing w:after="0" w:line="240" w:lineRule="auto"/>
        <w:rPr>
          <w:rFonts w:ascii="Times New Roman" w:eastAsia="Times New Roman" w:hAnsi="Times New Roman" w:cs="Times New Roman"/>
          <w:bCs/>
          <w:sz w:val="28"/>
          <w:szCs w:val="28"/>
        </w:rPr>
      </w:pPr>
    </w:p>
    <w:p w14:paraId="03D0D6CA" w14:textId="79ADDC9A" w:rsidR="003B2BEE" w:rsidRPr="00403CC7" w:rsidRDefault="003B2BEE" w:rsidP="003B2BEE">
      <w:pPr>
        <w:spacing w:after="0" w:line="240" w:lineRule="auto"/>
        <w:rPr>
          <w:rFonts w:ascii="Times New Roman" w:eastAsia="Times New Roman" w:hAnsi="Times New Roman" w:cs="Times New Roman"/>
          <w:b/>
          <w:sz w:val="28"/>
          <w:szCs w:val="28"/>
        </w:rPr>
      </w:pPr>
      <w:r w:rsidRPr="00403CC7">
        <w:rPr>
          <w:rFonts w:ascii="Times New Roman" w:eastAsia="Times New Roman" w:hAnsi="Times New Roman" w:cs="Times New Roman"/>
          <w:b/>
          <w:sz w:val="28"/>
          <w:szCs w:val="28"/>
        </w:rPr>
        <w:t>Language: the last bastion of human-exceptionalism?</w:t>
      </w:r>
    </w:p>
    <w:p w14:paraId="1DF50937" w14:textId="77777777" w:rsidR="003B2BEE" w:rsidRPr="00403CC7" w:rsidRDefault="003B2BEE" w:rsidP="003B2BEE">
      <w:pPr>
        <w:spacing w:after="0" w:line="240" w:lineRule="auto"/>
        <w:rPr>
          <w:rFonts w:ascii="Times New Roman" w:eastAsia="Times New Roman" w:hAnsi="Times New Roman" w:cs="Times New Roman"/>
          <w:b/>
          <w:sz w:val="28"/>
          <w:szCs w:val="28"/>
        </w:rPr>
      </w:pPr>
    </w:p>
    <w:p w14:paraId="0205FA2B" w14:textId="6FBE28BD" w:rsidR="00C6765A" w:rsidRPr="00403CC7" w:rsidRDefault="003B2BEE">
      <w:pPr>
        <w:rPr>
          <w:rFonts w:ascii="Times New Roman" w:hAnsi="Times New Roman" w:cs="Times New Roman"/>
          <w:sz w:val="28"/>
          <w:szCs w:val="28"/>
        </w:rPr>
      </w:pPr>
      <w:r w:rsidRPr="00403CC7">
        <w:rPr>
          <w:rFonts w:ascii="Times New Roman" w:hAnsi="Times New Roman" w:cs="Times New Roman"/>
          <w:sz w:val="28"/>
          <w:szCs w:val="28"/>
        </w:rPr>
        <w:t>‘If we consider… the size and kind of the social space created by language …. and if we describe the integrity of a language as the physical, intellectual and spiritual distance talking enables the speaker… to travel… then it looks very much as though the dog and the horse (who are neurologically simpler organisms than chimpanzees and whose linguistic codes appear simpler) have a greater command of language than chimpanzees… The dog/dog trainer language is more primitive… than the chimpanzee’s… but I can go a lot farther with my dog than I can with a… Nazi’ (Hearne, 1986, p.42).</w:t>
      </w:r>
    </w:p>
    <w:p w14:paraId="2DA3818A" w14:textId="3713F975" w:rsidR="00C6765A" w:rsidRPr="00403CC7" w:rsidRDefault="003B2BEE" w:rsidP="00403CC7">
      <w:pPr>
        <w:rPr>
          <w:rFonts w:ascii="Times New Roman" w:eastAsia="Times New Roman" w:hAnsi="Times New Roman" w:cs="Times New Roman"/>
          <w:sz w:val="28"/>
          <w:szCs w:val="28"/>
        </w:rPr>
      </w:pPr>
      <w:r w:rsidRPr="00403CC7">
        <w:rPr>
          <w:rFonts w:ascii="Times New Roman" w:eastAsia="Times New Roman" w:hAnsi="Times New Roman" w:cs="Times New Roman"/>
          <w:sz w:val="28"/>
          <w:szCs w:val="28"/>
        </w:rPr>
        <w:t>‘[T]he possibility of our living together in any meaningful way—in contrast to him being stuck out in the back garden and forgotten—was provided by him learning a language. This… gave his life a structure it otherwise could not have had [otherwise would not have had in a domestic, human setting] and</w:t>
      </w:r>
      <w:sdt>
        <w:sdtPr>
          <w:rPr>
            <w:rFonts w:ascii="Times New Roman" w:hAnsi="Times New Roman" w:cs="Times New Roman"/>
            <w:sz w:val="28"/>
            <w:szCs w:val="28"/>
          </w:rPr>
          <w:tag w:val="goog_rdk_86"/>
          <w:id w:val="1625575296"/>
        </w:sdtPr>
        <w:sdtEndPr/>
        <w:sdtContent>
          <w:r w:rsidRPr="00403CC7">
            <w:rPr>
              <w:rFonts w:ascii="Times New Roman" w:eastAsia="Times New Roman" w:hAnsi="Times New Roman" w:cs="Times New Roman"/>
              <w:sz w:val="28"/>
              <w:szCs w:val="28"/>
            </w:rPr>
            <w:t>,</w:t>
          </w:r>
        </w:sdtContent>
      </w:sdt>
      <w:r w:rsidRPr="00403CC7">
        <w:rPr>
          <w:rFonts w:ascii="Times New Roman" w:eastAsia="Times New Roman" w:hAnsi="Times New Roman" w:cs="Times New Roman"/>
          <w:sz w:val="28"/>
          <w:szCs w:val="28"/>
        </w:rPr>
        <w:t xml:space="preserve"> because of this</w:t>
      </w:r>
      <w:sdt>
        <w:sdtPr>
          <w:rPr>
            <w:rFonts w:ascii="Times New Roman" w:hAnsi="Times New Roman" w:cs="Times New Roman"/>
            <w:sz w:val="28"/>
            <w:szCs w:val="28"/>
          </w:rPr>
          <w:tag w:val="goog_rdk_87"/>
          <w:id w:val="722957067"/>
        </w:sdtPr>
        <w:sdtEndPr/>
        <w:sdtContent>
          <w:r w:rsidRPr="00403CC7">
            <w:rPr>
              <w:rFonts w:ascii="Times New Roman" w:eastAsia="Times New Roman" w:hAnsi="Times New Roman" w:cs="Times New Roman"/>
              <w:sz w:val="28"/>
              <w:szCs w:val="28"/>
            </w:rPr>
            <w:t>,</w:t>
          </w:r>
        </w:sdtContent>
      </w:sdt>
      <w:r w:rsidRPr="00403CC7">
        <w:rPr>
          <w:rFonts w:ascii="Times New Roman" w:eastAsia="Times New Roman" w:hAnsi="Times New Roman" w:cs="Times New Roman"/>
          <w:sz w:val="28"/>
          <w:szCs w:val="28"/>
        </w:rPr>
        <w:t xml:space="preserve"> revealed a canvas of possibilities it otherwise could not have contained. Brenin learned a language, and given that he was going to be living in a human world… this language set him free’ (Rowlands, 2008, p.36).</w:t>
      </w:r>
    </w:p>
    <w:p w14:paraId="3A359F92" w14:textId="77777777" w:rsidR="00C6765A" w:rsidRDefault="00C6765A">
      <w:pPr>
        <w:rPr>
          <w:rFonts w:ascii="Times New Roman" w:eastAsia="Times New Roman" w:hAnsi="Times New Roman" w:cs="Times New Roman"/>
          <w:b/>
          <w:bCs/>
          <w:sz w:val="24"/>
          <w:szCs w:val="24"/>
        </w:rPr>
      </w:pPr>
    </w:p>
    <w:p w14:paraId="5541F6CB" w14:textId="74AD5F80" w:rsidR="003B2BEE" w:rsidRPr="003B2BEE" w:rsidRDefault="003B2BEE">
      <w:pPr>
        <w:rPr>
          <w:rFonts w:ascii="Times New Roman" w:eastAsia="Times New Roman" w:hAnsi="Times New Roman" w:cs="Times New Roman"/>
          <w:b/>
          <w:bCs/>
          <w:sz w:val="24"/>
          <w:szCs w:val="24"/>
        </w:rPr>
      </w:pPr>
      <w:r w:rsidRPr="003B2BEE">
        <w:rPr>
          <w:rFonts w:ascii="Times New Roman" w:eastAsia="Times New Roman" w:hAnsi="Times New Roman" w:cs="Times New Roman"/>
          <w:b/>
          <w:bCs/>
          <w:sz w:val="24"/>
          <w:szCs w:val="24"/>
        </w:rPr>
        <w:t>Key references</w:t>
      </w:r>
    </w:p>
    <w:p w14:paraId="1DAD71B8"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Andrews, Kristin, ‘Beyond Anthropomorphism: Attributing Psychological Properties to Animals, in </w:t>
      </w:r>
      <w:r w:rsidRPr="000D2B73">
        <w:rPr>
          <w:rFonts w:ascii="Times New Roman" w:eastAsia="Times New Roman" w:hAnsi="Times New Roman" w:cs="Times New Roman"/>
          <w:i/>
          <w:iCs/>
          <w:sz w:val="24"/>
          <w:szCs w:val="24"/>
        </w:rPr>
        <w:t>Wellbeing International: WBI Studies Repository</w:t>
      </w:r>
      <w:r w:rsidRPr="000D2B73">
        <w:rPr>
          <w:rFonts w:ascii="Times New Roman" w:eastAsia="Times New Roman" w:hAnsi="Times New Roman" w:cs="Times New Roman"/>
          <w:sz w:val="24"/>
          <w:szCs w:val="24"/>
        </w:rPr>
        <w:t xml:space="preserve">, 2011, 1-48. </w:t>
      </w:r>
    </w:p>
    <w:p w14:paraId="21F057BE"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Gaita, Raimond, </w:t>
      </w:r>
      <w:r w:rsidRPr="000D2B73">
        <w:rPr>
          <w:rFonts w:ascii="Times New Roman" w:eastAsia="Times New Roman" w:hAnsi="Times New Roman" w:cs="Times New Roman"/>
          <w:i/>
          <w:iCs/>
          <w:sz w:val="24"/>
          <w:szCs w:val="24"/>
        </w:rPr>
        <w:t>The Philosopher’s Dog</w:t>
      </w:r>
      <w:r w:rsidRPr="000D2B73">
        <w:rPr>
          <w:rFonts w:ascii="Times New Roman" w:eastAsia="Times New Roman" w:hAnsi="Times New Roman" w:cs="Times New Roman"/>
          <w:sz w:val="24"/>
          <w:szCs w:val="24"/>
        </w:rPr>
        <w:t>, (London: Routledge, 2002).</w:t>
      </w:r>
    </w:p>
    <w:p w14:paraId="1C62DAD5"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Hearne, Vicki, </w:t>
      </w:r>
      <w:r w:rsidRPr="000D2B73">
        <w:rPr>
          <w:rFonts w:ascii="Times New Roman" w:eastAsia="Times New Roman" w:hAnsi="Times New Roman" w:cs="Times New Roman"/>
          <w:i/>
          <w:iCs/>
          <w:sz w:val="24"/>
          <w:szCs w:val="24"/>
        </w:rPr>
        <w:t>Adam’s Task: Calling Animals by Name</w:t>
      </w:r>
      <w:r w:rsidRPr="000D2B73">
        <w:rPr>
          <w:rFonts w:ascii="Times New Roman" w:eastAsia="Times New Roman" w:hAnsi="Times New Roman" w:cs="Times New Roman"/>
          <w:sz w:val="24"/>
          <w:szCs w:val="24"/>
        </w:rPr>
        <w:t xml:space="preserve"> (New York: Alfred A. Knopf, 1986).</w:t>
      </w:r>
    </w:p>
    <w:p w14:paraId="1771E9CF"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Kiley-Worthington, Marthe, </w:t>
      </w:r>
      <w:r w:rsidRPr="000D2B73">
        <w:rPr>
          <w:rFonts w:ascii="Times New Roman" w:eastAsia="Times New Roman" w:hAnsi="Times New Roman" w:cs="Times New Roman"/>
          <w:i/>
          <w:iCs/>
          <w:sz w:val="24"/>
          <w:szCs w:val="24"/>
        </w:rPr>
        <w:t>Horse Watch: What it is to be Equine</w:t>
      </w:r>
      <w:r w:rsidRPr="000D2B73">
        <w:rPr>
          <w:rFonts w:ascii="Times New Roman" w:eastAsia="Times New Roman" w:hAnsi="Times New Roman" w:cs="Times New Roman"/>
          <w:sz w:val="24"/>
          <w:szCs w:val="24"/>
        </w:rPr>
        <w:t xml:space="preserve"> (London; J.A. Allen, 2005). </w:t>
      </w:r>
    </w:p>
    <w:p w14:paraId="0823682B"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Rowlands, Mark, </w:t>
      </w:r>
      <w:r w:rsidRPr="000D2B73">
        <w:rPr>
          <w:rFonts w:ascii="Times New Roman" w:eastAsia="Times New Roman" w:hAnsi="Times New Roman" w:cs="Times New Roman"/>
          <w:i/>
          <w:iCs/>
          <w:sz w:val="24"/>
          <w:szCs w:val="24"/>
        </w:rPr>
        <w:t>The Philosopher and the Wolf: Lessons from the Wild on Love, Death and Happiness</w:t>
      </w:r>
      <w:r w:rsidRPr="000D2B73">
        <w:rPr>
          <w:rFonts w:ascii="Times New Roman" w:eastAsia="Times New Roman" w:hAnsi="Times New Roman" w:cs="Times New Roman"/>
          <w:sz w:val="24"/>
          <w:szCs w:val="24"/>
        </w:rPr>
        <w:t xml:space="preserve"> (London: Granta, 2008).</w:t>
      </w:r>
    </w:p>
    <w:p w14:paraId="515FF56A" w14:textId="77777777" w:rsidR="000D2B73" w:rsidRPr="000D2B73" w:rsidRDefault="000D2B73" w:rsidP="000D2B73">
      <w:pPr>
        <w:numPr>
          <w:ilvl w:val="0"/>
          <w:numId w:val="1"/>
        </w:numPr>
        <w:rPr>
          <w:rFonts w:ascii="Times New Roman" w:eastAsia="Times New Roman" w:hAnsi="Times New Roman" w:cs="Times New Roman"/>
          <w:sz w:val="24"/>
          <w:szCs w:val="24"/>
        </w:rPr>
      </w:pPr>
      <w:r w:rsidRPr="000D2B73">
        <w:rPr>
          <w:rFonts w:ascii="Times New Roman" w:eastAsia="Times New Roman" w:hAnsi="Times New Roman" w:cs="Times New Roman"/>
          <w:sz w:val="24"/>
          <w:szCs w:val="24"/>
        </w:rPr>
        <w:t xml:space="preserve">Savage-Rumbaugh, Sue, Stuart G. Shanker and Talbot J. Taylor, </w:t>
      </w:r>
      <w:r w:rsidRPr="000D2B73">
        <w:rPr>
          <w:rFonts w:ascii="Times New Roman" w:eastAsia="Times New Roman" w:hAnsi="Times New Roman" w:cs="Times New Roman"/>
          <w:i/>
          <w:iCs/>
          <w:sz w:val="24"/>
          <w:szCs w:val="24"/>
        </w:rPr>
        <w:t xml:space="preserve">Apes, Language and the Human Mind </w:t>
      </w:r>
      <w:r w:rsidRPr="000D2B73">
        <w:rPr>
          <w:rFonts w:ascii="Times New Roman" w:eastAsia="Times New Roman" w:hAnsi="Times New Roman" w:cs="Times New Roman"/>
          <w:sz w:val="24"/>
          <w:szCs w:val="24"/>
        </w:rPr>
        <w:t>(Oxford: Oxford University Press, 1998).</w:t>
      </w:r>
    </w:p>
    <w:p w14:paraId="3C7D041C" w14:textId="77777777" w:rsidR="003B2BEE" w:rsidRDefault="003B2BEE">
      <w:pPr>
        <w:rPr>
          <w:rFonts w:ascii="Times New Roman" w:eastAsia="Times New Roman" w:hAnsi="Times New Roman" w:cs="Times New Roman"/>
          <w:sz w:val="24"/>
          <w:szCs w:val="24"/>
        </w:rPr>
      </w:pPr>
    </w:p>
    <w:p w14:paraId="35EFC57B" w14:textId="349FFAA2" w:rsidR="003B2BEE" w:rsidRPr="003B2BEE" w:rsidRDefault="003B2BEE">
      <w:pPr>
        <w:rPr>
          <w:rFonts w:ascii="Times New Roman" w:hAnsi="Times New Roman" w:cs="Times New Roman"/>
          <w:sz w:val="24"/>
          <w:szCs w:val="24"/>
        </w:rPr>
      </w:pPr>
    </w:p>
    <w:sectPr w:rsidR="003B2BEE" w:rsidRPr="003B2BE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01494" w14:textId="77777777" w:rsidR="004875FC" w:rsidRDefault="004875FC" w:rsidP="000D2B73">
      <w:pPr>
        <w:spacing w:after="0" w:line="240" w:lineRule="auto"/>
      </w:pPr>
      <w:r>
        <w:separator/>
      </w:r>
    </w:p>
  </w:endnote>
  <w:endnote w:type="continuationSeparator" w:id="0">
    <w:p w14:paraId="3D9047E1" w14:textId="77777777" w:rsidR="004875FC" w:rsidRDefault="004875FC" w:rsidP="000D2B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7181357"/>
      <w:docPartObj>
        <w:docPartGallery w:val="Page Numbers (Bottom of Page)"/>
        <w:docPartUnique/>
      </w:docPartObj>
    </w:sdtPr>
    <w:sdtEndPr>
      <w:rPr>
        <w:noProof/>
      </w:rPr>
    </w:sdtEndPr>
    <w:sdtContent>
      <w:p w14:paraId="37D7A4E9" w14:textId="3242C51F" w:rsidR="000D2B73" w:rsidRDefault="000D2B7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404040" w14:textId="77777777" w:rsidR="000D2B73" w:rsidRDefault="000D2B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19EBB6" w14:textId="77777777" w:rsidR="004875FC" w:rsidRDefault="004875FC" w:rsidP="000D2B73">
      <w:pPr>
        <w:spacing w:after="0" w:line="240" w:lineRule="auto"/>
      </w:pPr>
      <w:r>
        <w:separator/>
      </w:r>
    </w:p>
  </w:footnote>
  <w:footnote w:type="continuationSeparator" w:id="0">
    <w:p w14:paraId="1520FDC1" w14:textId="77777777" w:rsidR="004875FC" w:rsidRDefault="004875FC" w:rsidP="000D2B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5611"/>
    <w:multiLevelType w:val="hybridMultilevel"/>
    <w:tmpl w:val="3A60C2C0"/>
    <w:lvl w:ilvl="0" w:tplc="DCF6530E">
      <w:start w:val="1"/>
      <w:numFmt w:val="bullet"/>
      <w:lvlText w:val="•"/>
      <w:lvlJc w:val="left"/>
      <w:pPr>
        <w:tabs>
          <w:tab w:val="num" w:pos="720"/>
        </w:tabs>
        <w:ind w:left="720" w:hanging="360"/>
      </w:pPr>
      <w:rPr>
        <w:rFonts w:ascii="Arial" w:hAnsi="Arial" w:hint="default"/>
      </w:rPr>
    </w:lvl>
    <w:lvl w:ilvl="1" w:tplc="A9B036EE" w:tentative="1">
      <w:start w:val="1"/>
      <w:numFmt w:val="bullet"/>
      <w:lvlText w:val="•"/>
      <w:lvlJc w:val="left"/>
      <w:pPr>
        <w:tabs>
          <w:tab w:val="num" w:pos="1440"/>
        </w:tabs>
        <w:ind w:left="1440" w:hanging="360"/>
      </w:pPr>
      <w:rPr>
        <w:rFonts w:ascii="Arial" w:hAnsi="Arial" w:hint="default"/>
      </w:rPr>
    </w:lvl>
    <w:lvl w:ilvl="2" w:tplc="B86E0CF0" w:tentative="1">
      <w:start w:val="1"/>
      <w:numFmt w:val="bullet"/>
      <w:lvlText w:val="•"/>
      <w:lvlJc w:val="left"/>
      <w:pPr>
        <w:tabs>
          <w:tab w:val="num" w:pos="2160"/>
        </w:tabs>
        <w:ind w:left="2160" w:hanging="360"/>
      </w:pPr>
      <w:rPr>
        <w:rFonts w:ascii="Arial" w:hAnsi="Arial" w:hint="default"/>
      </w:rPr>
    </w:lvl>
    <w:lvl w:ilvl="3" w:tplc="9A46F0E0" w:tentative="1">
      <w:start w:val="1"/>
      <w:numFmt w:val="bullet"/>
      <w:lvlText w:val="•"/>
      <w:lvlJc w:val="left"/>
      <w:pPr>
        <w:tabs>
          <w:tab w:val="num" w:pos="2880"/>
        </w:tabs>
        <w:ind w:left="2880" w:hanging="360"/>
      </w:pPr>
      <w:rPr>
        <w:rFonts w:ascii="Arial" w:hAnsi="Arial" w:hint="default"/>
      </w:rPr>
    </w:lvl>
    <w:lvl w:ilvl="4" w:tplc="5F5A8E30" w:tentative="1">
      <w:start w:val="1"/>
      <w:numFmt w:val="bullet"/>
      <w:lvlText w:val="•"/>
      <w:lvlJc w:val="left"/>
      <w:pPr>
        <w:tabs>
          <w:tab w:val="num" w:pos="3600"/>
        </w:tabs>
        <w:ind w:left="3600" w:hanging="360"/>
      </w:pPr>
      <w:rPr>
        <w:rFonts w:ascii="Arial" w:hAnsi="Arial" w:hint="default"/>
      </w:rPr>
    </w:lvl>
    <w:lvl w:ilvl="5" w:tplc="60946838" w:tentative="1">
      <w:start w:val="1"/>
      <w:numFmt w:val="bullet"/>
      <w:lvlText w:val="•"/>
      <w:lvlJc w:val="left"/>
      <w:pPr>
        <w:tabs>
          <w:tab w:val="num" w:pos="4320"/>
        </w:tabs>
        <w:ind w:left="4320" w:hanging="360"/>
      </w:pPr>
      <w:rPr>
        <w:rFonts w:ascii="Arial" w:hAnsi="Arial" w:hint="default"/>
      </w:rPr>
    </w:lvl>
    <w:lvl w:ilvl="6" w:tplc="AD6CBA9C" w:tentative="1">
      <w:start w:val="1"/>
      <w:numFmt w:val="bullet"/>
      <w:lvlText w:val="•"/>
      <w:lvlJc w:val="left"/>
      <w:pPr>
        <w:tabs>
          <w:tab w:val="num" w:pos="5040"/>
        </w:tabs>
        <w:ind w:left="5040" w:hanging="360"/>
      </w:pPr>
      <w:rPr>
        <w:rFonts w:ascii="Arial" w:hAnsi="Arial" w:hint="default"/>
      </w:rPr>
    </w:lvl>
    <w:lvl w:ilvl="7" w:tplc="674EB50E" w:tentative="1">
      <w:start w:val="1"/>
      <w:numFmt w:val="bullet"/>
      <w:lvlText w:val="•"/>
      <w:lvlJc w:val="left"/>
      <w:pPr>
        <w:tabs>
          <w:tab w:val="num" w:pos="5760"/>
        </w:tabs>
        <w:ind w:left="5760" w:hanging="360"/>
      </w:pPr>
      <w:rPr>
        <w:rFonts w:ascii="Arial" w:hAnsi="Arial" w:hint="default"/>
      </w:rPr>
    </w:lvl>
    <w:lvl w:ilvl="8" w:tplc="8D4296D0" w:tentative="1">
      <w:start w:val="1"/>
      <w:numFmt w:val="bullet"/>
      <w:lvlText w:val="•"/>
      <w:lvlJc w:val="left"/>
      <w:pPr>
        <w:tabs>
          <w:tab w:val="num" w:pos="6480"/>
        </w:tabs>
        <w:ind w:left="6480" w:hanging="360"/>
      </w:pPr>
      <w:rPr>
        <w:rFonts w:ascii="Arial" w:hAnsi="Arial" w:hint="default"/>
      </w:rPr>
    </w:lvl>
  </w:abstractNum>
  <w:num w:numId="1" w16cid:durableId="1767194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BEE"/>
    <w:rsid w:val="000D2B73"/>
    <w:rsid w:val="003B2BEE"/>
    <w:rsid w:val="00403CC7"/>
    <w:rsid w:val="00470D3E"/>
    <w:rsid w:val="004875FC"/>
    <w:rsid w:val="004A26F6"/>
    <w:rsid w:val="00727977"/>
    <w:rsid w:val="008320A8"/>
    <w:rsid w:val="00945195"/>
    <w:rsid w:val="009522F0"/>
    <w:rsid w:val="00AD2005"/>
    <w:rsid w:val="00B27F7B"/>
    <w:rsid w:val="00B51F09"/>
    <w:rsid w:val="00C6765A"/>
    <w:rsid w:val="00DC0318"/>
    <w:rsid w:val="00E169DE"/>
    <w:rsid w:val="00E853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7744"/>
  <w15:chartTrackingRefBased/>
  <w15:docId w15:val="{113363B8-70FB-45E2-94DB-49BAC6C2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BEE"/>
    <w:rPr>
      <w:rFonts w:ascii="Calibri" w:eastAsia="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2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B73"/>
    <w:rPr>
      <w:rFonts w:ascii="Calibri" w:eastAsia="Calibri" w:hAnsi="Calibri" w:cs="Calibri"/>
      <w:lang w:eastAsia="en-GB"/>
    </w:rPr>
  </w:style>
  <w:style w:type="paragraph" w:styleId="Footer">
    <w:name w:val="footer"/>
    <w:basedOn w:val="Normal"/>
    <w:link w:val="FooterChar"/>
    <w:uiPriority w:val="99"/>
    <w:unhideWhenUsed/>
    <w:rsid w:val="000D2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B73"/>
    <w:rPr>
      <w:rFonts w:ascii="Calibri" w:eastAsia="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33496">
      <w:bodyDiv w:val="1"/>
      <w:marLeft w:val="0"/>
      <w:marRight w:val="0"/>
      <w:marTop w:val="0"/>
      <w:marBottom w:val="0"/>
      <w:divBdr>
        <w:top w:val="none" w:sz="0" w:space="0" w:color="auto"/>
        <w:left w:val="none" w:sz="0" w:space="0" w:color="auto"/>
        <w:bottom w:val="none" w:sz="0" w:space="0" w:color="auto"/>
        <w:right w:val="none" w:sz="0" w:space="0" w:color="auto"/>
      </w:divBdr>
      <w:divsChild>
        <w:div w:id="397944061">
          <w:marLeft w:val="360"/>
          <w:marRight w:val="0"/>
          <w:marTop w:val="200"/>
          <w:marBottom w:val="0"/>
          <w:divBdr>
            <w:top w:val="none" w:sz="0" w:space="0" w:color="auto"/>
            <w:left w:val="none" w:sz="0" w:space="0" w:color="auto"/>
            <w:bottom w:val="none" w:sz="0" w:space="0" w:color="auto"/>
            <w:right w:val="none" w:sz="0" w:space="0" w:color="auto"/>
          </w:divBdr>
        </w:div>
        <w:div w:id="1635020575">
          <w:marLeft w:val="360"/>
          <w:marRight w:val="0"/>
          <w:marTop w:val="200"/>
          <w:marBottom w:val="0"/>
          <w:divBdr>
            <w:top w:val="none" w:sz="0" w:space="0" w:color="auto"/>
            <w:left w:val="none" w:sz="0" w:space="0" w:color="auto"/>
            <w:bottom w:val="none" w:sz="0" w:space="0" w:color="auto"/>
            <w:right w:val="none" w:sz="0" w:space="0" w:color="auto"/>
          </w:divBdr>
        </w:div>
        <w:div w:id="385494344">
          <w:marLeft w:val="360"/>
          <w:marRight w:val="0"/>
          <w:marTop w:val="200"/>
          <w:marBottom w:val="0"/>
          <w:divBdr>
            <w:top w:val="none" w:sz="0" w:space="0" w:color="auto"/>
            <w:left w:val="none" w:sz="0" w:space="0" w:color="auto"/>
            <w:bottom w:val="none" w:sz="0" w:space="0" w:color="auto"/>
            <w:right w:val="none" w:sz="0" w:space="0" w:color="auto"/>
          </w:divBdr>
        </w:div>
        <w:div w:id="431316154">
          <w:marLeft w:val="360"/>
          <w:marRight w:val="0"/>
          <w:marTop w:val="200"/>
          <w:marBottom w:val="0"/>
          <w:divBdr>
            <w:top w:val="none" w:sz="0" w:space="0" w:color="auto"/>
            <w:left w:val="none" w:sz="0" w:space="0" w:color="auto"/>
            <w:bottom w:val="none" w:sz="0" w:space="0" w:color="auto"/>
            <w:right w:val="none" w:sz="0" w:space="0" w:color="auto"/>
          </w:divBdr>
        </w:div>
        <w:div w:id="1021974907">
          <w:marLeft w:val="360"/>
          <w:marRight w:val="0"/>
          <w:marTop w:val="200"/>
          <w:marBottom w:val="0"/>
          <w:divBdr>
            <w:top w:val="none" w:sz="0" w:space="0" w:color="auto"/>
            <w:left w:val="none" w:sz="0" w:space="0" w:color="auto"/>
            <w:bottom w:val="none" w:sz="0" w:space="0" w:color="auto"/>
            <w:right w:val="none" w:sz="0" w:space="0" w:color="auto"/>
          </w:divBdr>
        </w:div>
        <w:div w:id="207696795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998</Words>
  <Characters>5691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Rebekah Humphreys</cp:lastModifiedBy>
  <cp:revision>11</cp:revision>
  <dcterms:created xsi:type="dcterms:W3CDTF">2023-01-31T13:22:00Z</dcterms:created>
  <dcterms:modified xsi:type="dcterms:W3CDTF">2023-10-27T09:51:00Z</dcterms:modified>
</cp:coreProperties>
</file>