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29D44A" w14:textId="77777777" w:rsidR="00FC710C" w:rsidRPr="00FC710C" w:rsidRDefault="00FC710C" w:rsidP="00FC710C">
      <w:pPr>
        <w:rPr>
          <w:b/>
          <w:bCs/>
        </w:rPr>
      </w:pPr>
      <w:r w:rsidRPr="00FC710C">
        <w:rPr>
          <w:b/>
          <w:bCs/>
        </w:rPr>
        <w:t>Using Psychological Theories to Support Adults Over 65 in a Dementia Care Home</w:t>
      </w:r>
    </w:p>
    <w:p w14:paraId="60C21A56" w14:textId="04507C04" w:rsidR="00FC710C" w:rsidRPr="00FC710C" w:rsidRDefault="00FC710C" w:rsidP="00FC710C">
      <w:r w:rsidRPr="00FC710C">
        <w:t>Older adults who live in dementia care homes often face many psychological challenges. They may feel confused, anxious, lonely</w:t>
      </w:r>
      <w:r>
        <w:t xml:space="preserve"> and</w:t>
      </w:r>
      <w:r w:rsidRPr="00FC710C">
        <w:t xml:space="preserve"> frustrated. Their memory loss can make daily life harder, and this can affect their mood and behaviour. Health and social care professionals therefore need to understand the emotional world of older adults, not just their medical needs. Psychological theories can help staff understand why older adults think, feel, and behave in certain ways. </w:t>
      </w:r>
      <w:r>
        <w:t>I will be looking at</w:t>
      </w:r>
      <w:r w:rsidRPr="00FC710C">
        <w:t xml:space="preserve"> Erikson’s Psychosocial Theory and Freud’s Psychodynamic Theory can support people aged 65 and over who are living with dementia. It also shows how these theories can be used in a dementia care home, the challenges staff may face, and how these challenges can be managed.</w:t>
      </w:r>
    </w:p>
    <w:p w14:paraId="11792E09" w14:textId="77777777" w:rsidR="00FC710C" w:rsidRPr="00FC710C" w:rsidRDefault="00FC710C" w:rsidP="00FC710C">
      <w:r w:rsidRPr="00FC710C">
        <w:t xml:space="preserve">Erikson’s Psychosocial Theory explains human development across eight stages. The final stage is called “Integrity vs Despair,” which usually begins at age 65. In this stage, older adults think about their </w:t>
      </w:r>
      <w:proofErr w:type="gramStart"/>
      <w:r w:rsidRPr="00FC710C">
        <w:t>life as a whole</w:t>
      </w:r>
      <w:proofErr w:type="gramEnd"/>
      <w:r w:rsidRPr="00FC710C">
        <w:t xml:space="preserve">. If they feel proud of what they achieved, they experience a sense of integrity. They feel at peace, wise, and satisfied. If they feel regret or believe they made many mistakes, they may experience despair. This can lead to sadness, low mood, or fear of death. Erikson suggested that this stage is important because a person’s emotional wellbeing in later life depends on whether they can accept their past (Erikson, 1982). Even though dementia affects memory, many older adults still remember emotions from earlier life. Research shows that supporting older adults to reflect on memories can help them feel more positive and valued (Westerhof &amp; Bohlmeijer, 2014). More recent studies also show that older adults who feel connected to their identity and life story cope better emotionally (Van der </w:t>
      </w:r>
      <w:proofErr w:type="spellStart"/>
      <w:r w:rsidRPr="00FC710C">
        <w:t>Kaap-Deeder</w:t>
      </w:r>
      <w:proofErr w:type="spellEnd"/>
      <w:r w:rsidRPr="00FC710C">
        <w:t xml:space="preserve"> et al., 2021).</w:t>
      </w:r>
    </w:p>
    <w:p w14:paraId="70E7CC1C" w14:textId="77777777" w:rsidR="00FC710C" w:rsidRPr="00FC710C" w:rsidRDefault="00FC710C" w:rsidP="00FC710C">
      <w:r w:rsidRPr="00FC710C">
        <w:t>Freud’s Psychodynamic Theory focuses on the unconscious mind. Freud believed that people have hidden thoughts and feelings that influence their behaviour, even if they are not aware of them. His theory includes the id, ego, and superego, which represent instinct, rational thinking, and moral values. Freud suggested that people develop ways to protect themselves from emotional pain, known as defence mechanisms. These include denial, repression, and regression. For example, when older adults face stress or loss, they may become more child-like or avoid talking about difficult topics. Modern psychodynamic ideas suggest that older adults may revisit unresolved emotions from their past during times of big life changes, such as moving into a care home (Jacobs, 2012). Research shows that psychodynamic approaches can support emotional wellbeing in older adults by helping them feel understood and safe (Crawford et al., 2025).</w:t>
      </w:r>
    </w:p>
    <w:p w14:paraId="078E3AE6" w14:textId="77777777" w:rsidR="00FC710C" w:rsidRPr="00FC710C" w:rsidRDefault="00FC710C" w:rsidP="00FC710C">
      <w:r w:rsidRPr="00FC710C">
        <w:lastRenderedPageBreak/>
        <w:t>Erikson’s theory can be very helpful in a dementia care home. One main approach linked to this theory is reminiscence therapy. This involves helping residents talk about their memories using photos, music, or objects from their past. Reminiscence therapy is effective because it supports the search for meaning and identity, which is central in Erikson’s final developmental stage. A large review found that reminiscence therapy improves mood, increases wellbeing, and reduces depression in older adults (Wang, 2007). More recent research shows that reminiscence therapy can reduce agitation and improve relationships between staff and residents with dementia (Shin et al., 2023; Xu et al., 2023).</w:t>
      </w:r>
    </w:p>
    <w:p w14:paraId="76762C3E" w14:textId="77777777" w:rsidR="00FC710C" w:rsidRPr="00FC710C" w:rsidRDefault="00FC710C" w:rsidP="00FC710C">
      <w:r w:rsidRPr="00FC710C">
        <w:t xml:space="preserve">Life story work is another useful tool. This involves creating a book or folder containing important memories, photos, and past experiences of the resident. Life story books help staff understand who the person was before dementia. For example, if a resident used to enjoy gardening, staff </w:t>
      </w:r>
      <w:proofErr w:type="gramStart"/>
      <w:r w:rsidRPr="00FC710C">
        <w:t>can</w:t>
      </w:r>
      <w:proofErr w:type="gramEnd"/>
      <w:r w:rsidRPr="00FC710C">
        <w:t xml:space="preserve"> offer gardening-related activities or conversations. This supports a sense of identity and integrity. Studies show that life story work improves communication between staff and residents and helps residents feel more understood (McKeown et al., 2006).</w:t>
      </w:r>
    </w:p>
    <w:p w14:paraId="2E8C4A8C" w14:textId="77777777" w:rsidR="00FC710C" w:rsidRPr="00FC710C" w:rsidRDefault="00FC710C" w:rsidP="00FC710C">
      <w:r w:rsidRPr="00FC710C">
        <w:t>Supporting autonomy is also important in Erikson’s theory. When residents can make small choices, such as choosing clothes or deciding when to eat, they feel more in control. This protects dignity and reduces despair. Social activities also fit with Erikson’s ideas, as positive social contact helps residents feel valued.</w:t>
      </w:r>
    </w:p>
    <w:p w14:paraId="5714B8CC" w14:textId="77777777" w:rsidR="00FC710C" w:rsidRPr="00FC710C" w:rsidRDefault="00FC710C" w:rsidP="00FC710C">
      <w:r w:rsidRPr="00FC710C">
        <w:t>There are challenges in using Erikson’s theory. Some residents may find it difficult to remember past events, especially if their dementia is advanced. Talking about the past may also bring up painful emotions. Staff may feel they do not have enough time to carry out reminiscence activities. To manage these challenges, staff can keep sessions short, gentle, and flexible. Sensory reminders such as music or familiar smells can help trigger memories without causing stress. Staff training can help carers recognise when a resident is becoming upset and how to respond calmly. Families can also help create life story books, reducing pressure on staff.</w:t>
      </w:r>
    </w:p>
    <w:p w14:paraId="51023F14" w14:textId="77777777" w:rsidR="00FC710C" w:rsidRPr="00FC710C" w:rsidRDefault="00FC710C" w:rsidP="00FC710C">
      <w:r w:rsidRPr="00FC710C">
        <w:t>Freud’s theory can also guide dementia care. One important idea from psychodynamic theory is that behaviour has meaning. When a resident becomes agitated, aggressive, or withdrawn, this may reflect an underlying emotion, such as fear, sadness, or confusion. For example, a resident who refuses personal care may feel embarrassed or frightened rather than simply being “difficult.” Understanding this helps staff respond with kindness and empathy rather than frustration. Research suggests that when staff consider the emotional meaning behind behaviour, residents show fewer behavioural symptoms (Evans, 2010).</w:t>
      </w:r>
    </w:p>
    <w:p w14:paraId="5E3ABB5B" w14:textId="77777777" w:rsidR="00FC710C" w:rsidRPr="00FC710C" w:rsidRDefault="00FC710C" w:rsidP="00FC710C">
      <w:r w:rsidRPr="00FC710C">
        <w:lastRenderedPageBreak/>
        <w:t>Psychodynamic theory also highlights the importance of relationships. For people with dementia, relationships with carers can provide a sense of safety and stability. A consistent, calm relationship helps the resident feel protected. This can reduce anxiety and improve cooperation. Modern studies show that psychodynamic approaches can help older adults feel supported and improve emotional wellbeing, even though they may not always be more effective than other approaches (Crawford et al., 2025).</w:t>
      </w:r>
    </w:p>
    <w:p w14:paraId="0E326AC7" w14:textId="77777777" w:rsidR="00FC710C" w:rsidRPr="00FC710C" w:rsidRDefault="00FC710C" w:rsidP="00FC710C">
      <w:r w:rsidRPr="00FC710C">
        <w:t>Defence mechanisms are another key area. Many residents may deny their illness because accepting it feels too painful. Others may become passive or dependent, which is a form of regression. Instead of forcing independence, staff can gently encourage participation while still offering emotional comfort. Understanding defence mechanisms helps staff respond more compassionately.</w:t>
      </w:r>
    </w:p>
    <w:p w14:paraId="3F370A2B" w14:textId="77777777" w:rsidR="00FC710C" w:rsidRPr="00FC710C" w:rsidRDefault="00FC710C" w:rsidP="00FC710C">
      <w:r w:rsidRPr="00FC710C">
        <w:t>Reflective practice is a practical psychodynamic tool used in many care settings. Caring for people with dementia can be emotionally demanding. Staff may feel stressed, tired, or upset. Reflective sessions allow staff to talk about their feelings in a safe space. This helps them understand how their emotions affect their work. It also improves teamwork and reduces burnout. Research shows that reflective practice improves staff wellbeing and leads to more patient-centred care (Boud et al., 2013).</w:t>
      </w:r>
    </w:p>
    <w:p w14:paraId="3D8DDE1A" w14:textId="77777777" w:rsidR="00FC710C" w:rsidRPr="00FC710C" w:rsidRDefault="00FC710C" w:rsidP="00FC710C">
      <w:r w:rsidRPr="00FC710C">
        <w:t>There are challenges when using psychodynamic theory. Some staff may feel the theory is too complicated or too time-consuming. Residents with severe dementia may not be able to express their emotions clearly. To overcome these challenges, training should be simple, using real-life examples. Managers can encourage reflective practice during regular team meetings rather than adding extra sessions. Staff can also be supported through supervision and emotional support.</w:t>
      </w:r>
    </w:p>
    <w:p w14:paraId="068E540E" w14:textId="77777777" w:rsidR="00FC710C" w:rsidRPr="00FC710C" w:rsidRDefault="00FC710C" w:rsidP="00FC710C">
      <w:r w:rsidRPr="00FC710C">
        <w:t>Both Erikson’s and Freud’s theories offer important insights for dementia care. Erikson helps staff understand how older adults search for meaning and identity. Freud helps staff understand the deeper reasons behind behaviours and emotions. Using both theories together encourages a person-centred approach. Staff learn to see each resident not just as someone with dementia, but as a whole person with a rich life history and emotional needs. However, applying these theories requires time, training, and empathy. Adaptations are often needed for residents with severe cognitive decline.</w:t>
      </w:r>
    </w:p>
    <w:p w14:paraId="1D3B50F0" w14:textId="77777777" w:rsidR="00FC710C" w:rsidRPr="00FC710C" w:rsidRDefault="00FC710C" w:rsidP="00FC710C">
      <w:r w:rsidRPr="00FC710C">
        <w:t>Overall, psychological theories can improve the quality of care in dementia homes. Erikson’s theory supports dignity, identity, and life review. Freud’s theory helps staff understand emotional needs and hidden feelings. When used thoughtfully, these theories help professionals provide more sensitive and effective care.</w:t>
      </w:r>
    </w:p>
    <w:p w14:paraId="079CD557" w14:textId="1EB2521D" w:rsidR="00FC710C" w:rsidRPr="00FC710C" w:rsidRDefault="00FC710C" w:rsidP="00FC710C"/>
    <w:p w14:paraId="26B12F64" w14:textId="77777777" w:rsidR="00FC710C" w:rsidRPr="00FC710C" w:rsidRDefault="00FC710C" w:rsidP="00FC710C">
      <w:pPr>
        <w:rPr>
          <w:b/>
          <w:bCs/>
        </w:rPr>
      </w:pPr>
      <w:r w:rsidRPr="00FC710C">
        <w:rPr>
          <w:b/>
          <w:bCs/>
        </w:rPr>
        <w:lastRenderedPageBreak/>
        <w:t>References</w:t>
      </w:r>
    </w:p>
    <w:p w14:paraId="680E71B0" w14:textId="77777777" w:rsidR="00FC710C" w:rsidRPr="00FC710C" w:rsidRDefault="00FC710C" w:rsidP="00FC710C">
      <w:pPr>
        <w:rPr>
          <w:sz w:val="22"/>
          <w:szCs w:val="22"/>
        </w:rPr>
      </w:pPr>
      <w:r w:rsidRPr="00FC710C">
        <w:rPr>
          <w:sz w:val="22"/>
          <w:szCs w:val="22"/>
        </w:rPr>
        <w:t xml:space="preserve">Boud, D., Keogh, R. &amp; Walker, D. (2013) </w:t>
      </w:r>
      <w:r w:rsidRPr="00FC710C">
        <w:rPr>
          <w:i/>
          <w:iCs/>
          <w:sz w:val="22"/>
          <w:szCs w:val="22"/>
        </w:rPr>
        <w:t>Reflection: Turning experience into learning</w:t>
      </w:r>
      <w:r w:rsidRPr="00FC710C">
        <w:rPr>
          <w:sz w:val="22"/>
          <w:szCs w:val="22"/>
        </w:rPr>
        <w:t>. London: Routledge.</w:t>
      </w:r>
    </w:p>
    <w:p w14:paraId="7B4A1C6C" w14:textId="77777777" w:rsidR="00FC710C" w:rsidRPr="00FC710C" w:rsidRDefault="00FC710C" w:rsidP="00FC710C">
      <w:pPr>
        <w:rPr>
          <w:sz w:val="22"/>
          <w:szCs w:val="22"/>
        </w:rPr>
      </w:pPr>
      <w:r w:rsidRPr="00FC710C">
        <w:rPr>
          <w:sz w:val="22"/>
          <w:szCs w:val="22"/>
        </w:rPr>
        <w:br/>
        <w:t xml:space="preserve">Crawford, C. et al. (2025) ‘Psychodynamic and psychoanalytic psychotherapy in the older population: A systematic review’, </w:t>
      </w:r>
      <w:r w:rsidRPr="00FC710C">
        <w:rPr>
          <w:i/>
          <w:iCs/>
          <w:sz w:val="22"/>
          <w:szCs w:val="22"/>
        </w:rPr>
        <w:t>Journal of Contemporary Psychotherapy</w:t>
      </w:r>
      <w:r w:rsidRPr="00FC710C">
        <w:rPr>
          <w:sz w:val="22"/>
          <w:szCs w:val="22"/>
        </w:rPr>
        <w:t>.</w:t>
      </w:r>
    </w:p>
    <w:p w14:paraId="2EC4C982" w14:textId="77777777" w:rsidR="00FC710C" w:rsidRPr="00FC710C" w:rsidRDefault="00FC710C" w:rsidP="00FC710C">
      <w:pPr>
        <w:rPr>
          <w:sz w:val="22"/>
          <w:szCs w:val="22"/>
        </w:rPr>
      </w:pPr>
      <w:r w:rsidRPr="00FC710C">
        <w:rPr>
          <w:sz w:val="22"/>
          <w:szCs w:val="22"/>
        </w:rPr>
        <w:br/>
        <w:t xml:space="preserve">Erikson, E.H. (1982) </w:t>
      </w:r>
      <w:r w:rsidRPr="00FC710C">
        <w:rPr>
          <w:i/>
          <w:iCs/>
          <w:sz w:val="22"/>
          <w:szCs w:val="22"/>
        </w:rPr>
        <w:t>The Life Cycle Completed</w:t>
      </w:r>
      <w:r w:rsidRPr="00FC710C">
        <w:rPr>
          <w:sz w:val="22"/>
          <w:szCs w:val="22"/>
        </w:rPr>
        <w:t>. New York: Norton.</w:t>
      </w:r>
    </w:p>
    <w:p w14:paraId="393C3C65" w14:textId="77777777" w:rsidR="00FC710C" w:rsidRPr="00FC710C" w:rsidRDefault="00FC710C" w:rsidP="00FC710C">
      <w:pPr>
        <w:rPr>
          <w:sz w:val="22"/>
          <w:szCs w:val="22"/>
        </w:rPr>
      </w:pPr>
      <w:r w:rsidRPr="00FC710C">
        <w:rPr>
          <w:sz w:val="22"/>
          <w:szCs w:val="22"/>
        </w:rPr>
        <w:br/>
        <w:t xml:space="preserve">Evans, S. (2010) ‘Understanding behaviour in dementia care’, </w:t>
      </w:r>
      <w:r w:rsidRPr="00FC710C">
        <w:rPr>
          <w:i/>
          <w:iCs/>
          <w:sz w:val="22"/>
          <w:szCs w:val="22"/>
        </w:rPr>
        <w:t>Nursing Older People</w:t>
      </w:r>
      <w:r w:rsidRPr="00FC710C">
        <w:rPr>
          <w:sz w:val="22"/>
          <w:szCs w:val="22"/>
        </w:rPr>
        <w:t>, 22(9), pp. 31–36.</w:t>
      </w:r>
    </w:p>
    <w:p w14:paraId="44E3E244" w14:textId="77777777" w:rsidR="00FC710C" w:rsidRPr="00FC710C" w:rsidRDefault="00FC710C" w:rsidP="00FC710C">
      <w:pPr>
        <w:rPr>
          <w:sz w:val="22"/>
          <w:szCs w:val="22"/>
        </w:rPr>
      </w:pPr>
      <w:r w:rsidRPr="00FC710C">
        <w:rPr>
          <w:sz w:val="22"/>
          <w:szCs w:val="22"/>
        </w:rPr>
        <w:br/>
        <w:t xml:space="preserve">Jacobs, M. (2012) </w:t>
      </w:r>
      <w:r w:rsidRPr="00FC710C">
        <w:rPr>
          <w:i/>
          <w:iCs/>
          <w:sz w:val="22"/>
          <w:szCs w:val="22"/>
        </w:rPr>
        <w:t>Psychodynamic Counselling in Action</w:t>
      </w:r>
      <w:r w:rsidRPr="00FC710C">
        <w:rPr>
          <w:sz w:val="22"/>
          <w:szCs w:val="22"/>
        </w:rPr>
        <w:t>. London: Sage.</w:t>
      </w:r>
    </w:p>
    <w:p w14:paraId="4E1978D1" w14:textId="77777777" w:rsidR="00FC710C" w:rsidRPr="00FC710C" w:rsidRDefault="00FC710C" w:rsidP="00FC710C">
      <w:pPr>
        <w:rPr>
          <w:sz w:val="22"/>
          <w:szCs w:val="22"/>
        </w:rPr>
      </w:pPr>
      <w:r w:rsidRPr="00FC710C">
        <w:rPr>
          <w:sz w:val="22"/>
          <w:szCs w:val="22"/>
        </w:rPr>
        <w:br/>
        <w:t xml:space="preserve">McKeown, J. et al. (2006) ‘Life story work in dementia care’, </w:t>
      </w:r>
      <w:r w:rsidRPr="00FC710C">
        <w:rPr>
          <w:i/>
          <w:iCs/>
          <w:sz w:val="22"/>
          <w:szCs w:val="22"/>
        </w:rPr>
        <w:t>Journal of Advanced Nursing</w:t>
      </w:r>
      <w:r w:rsidRPr="00FC710C">
        <w:rPr>
          <w:sz w:val="22"/>
          <w:szCs w:val="22"/>
        </w:rPr>
        <w:t>, 55(2), pp. 237–247.</w:t>
      </w:r>
    </w:p>
    <w:p w14:paraId="32C42A22" w14:textId="77777777" w:rsidR="00FC710C" w:rsidRPr="00FC710C" w:rsidRDefault="00FC710C" w:rsidP="00FC710C">
      <w:pPr>
        <w:rPr>
          <w:sz w:val="22"/>
          <w:szCs w:val="22"/>
        </w:rPr>
      </w:pPr>
      <w:r w:rsidRPr="00FC710C">
        <w:rPr>
          <w:sz w:val="22"/>
          <w:szCs w:val="22"/>
        </w:rPr>
        <w:br/>
        <w:t xml:space="preserve">Shin, J. et al. (2023) ‘Reminiscence therapy for elderly quality of life’, </w:t>
      </w:r>
      <w:r w:rsidRPr="00FC710C">
        <w:rPr>
          <w:i/>
          <w:iCs/>
          <w:sz w:val="22"/>
          <w:szCs w:val="22"/>
        </w:rPr>
        <w:t>BMC Geriatrics</w:t>
      </w:r>
      <w:r w:rsidRPr="00FC710C">
        <w:rPr>
          <w:sz w:val="22"/>
          <w:szCs w:val="22"/>
        </w:rPr>
        <w:t>, 23(420).</w:t>
      </w:r>
    </w:p>
    <w:p w14:paraId="1B6A3D11" w14:textId="77777777" w:rsidR="00FC710C" w:rsidRPr="00FC710C" w:rsidRDefault="00FC710C" w:rsidP="00FC710C">
      <w:pPr>
        <w:rPr>
          <w:sz w:val="22"/>
          <w:szCs w:val="22"/>
        </w:rPr>
      </w:pPr>
      <w:r w:rsidRPr="00FC710C">
        <w:rPr>
          <w:sz w:val="22"/>
          <w:szCs w:val="22"/>
        </w:rPr>
        <w:br/>
        <w:t xml:space="preserve">Van der </w:t>
      </w:r>
      <w:proofErr w:type="spellStart"/>
      <w:r w:rsidRPr="00FC710C">
        <w:rPr>
          <w:sz w:val="22"/>
          <w:szCs w:val="22"/>
        </w:rPr>
        <w:t>Kaap-Deeder</w:t>
      </w:r>
      <w:proofErr w:type="spellEnd"/>
      <w:r w:rsidRPr="00FC710C">
        <w:rPr>
          <w:sz w:val="22"/>
          <w:szCs w:val="22"/>
        </w:rPr>
        <w:t xml:space="preserve">, J. et al. (2021) ‘Ego integrity and wellbeing in older adults’, </w:t>
      </w:r>
      <w:r w:rsidRPr="00FC710C">
        <w:rPr>
          <w:i/>
          <w:iCs/>
          <w:sz w:val="22"/>
          <w:szCs w:val="22"/>
        </w:rPr>
        <w:t>European Journal of Ageing</w:t>
      </w:r>
      <w:r w:rsidRPr="00FC710C">
        <w:rPr>
          <w:sz w:val="22"/>
          <w:szCs w:val="22"/>
        </w:rPr>
        <w:t>, 19, pp. 117–129.</w:t>
      </w:r>
    </w:p>
    <w:p w14:paraId="2E793DF1" w14:textId="77777777" w:rsidR="00FC710C" w:rsidRPr="00FC710C" w:rsidRDefault="00FC710C" w:rsidP="00FC710C">
      <w:pPr>
        <w:rPr>
          <w:sz w:val="22"/>
          <w:szCs w:val="22"/>
        </w:rPr>
      </w:pPr>
      <w:r w:rsidRPr="00FC710C">
        <w:rPr>
          <w:sz w:val="22"/>
          <w:szCs w:val="22"/>
        </w:rPr>
        <w:br/>
        <w:t xml:space="preserve">Wang, J. (2007) ‘Group reminiscence therapy for older adults’, </w:t>
      </w:r>
      <w:r w:rsidRPr="00FC710C">
        <w:rPr>
          <w:i/>
          <w:iCs/>
          <w:sz w:val="22"/>
          <w:szCs w:val="22"/>
        </w:rPr>
        <w:t>Aging &amp; Mental Health</w:t>
      </w:r>
      <w:r w:rsidRPr="00FC710C">
        <w:rPr>
          <w:sz w:val="22"/>
          <w:szCs w:val="22"/>
        </w:rPr>
        <w:t>, 11(6), pp. 622–627.</w:t>
      </w:r>
    </w:p>
    <w:p w14:paraId="7673DF6C" w14:textId="55B57C95" w:rsidR="00FC710C" w:rsidRPr="00FC710C" w:rsidRDefault="00FC710C" w:rsidP="00FC710C">
      <w:pPr>
        <w:rPr>
          <w:sz w:val="22"/>
          <w:szCs w:val="22"/>
        </w:rPr>
      </w:pPr>
      <w:r w:rsidRPr="00FC710C">
        <w:rPr>
          <w:sz w:val="22"/>
          <w:szCs w:val="22"/>
        </w:rPr>
        <w:br/>
        <w:t xml:space="preserve">Xu, L. et al. (2023) ‘Effects of reminiscence therapy among older adults’, </w:t>
      </w:r>
      <w:r w:rsidRPr="00FC710C">
        <w:rPr>
          <w:i/>
          <w:iCs/>
          <w:sz w:val="22"/>
          <w:szCs w:val="22"/>
        </w:rPr>
        <w:t>Journal of Aging Studies</w:t>
      </w:r>
      <w:r w:rsidRPr="00FC710C">
        <w:rPr>
          <w:sz w:val="22"/>
          <w:szCs w:val="22"/>
        </w:rPr>
        <w:t>.</w:t>
      </w:r>
    </w:p>
    <w:p w14:paraId="46DF7CC1" w14:textId="77777777" w:rsidR="00FC710C" w:rsidRDefault="00FC710C"/>
    <w:sectPr w:rsidR="00FC710C">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0BBBFE" w14:textId="77777777" w:rsidR="00453C71" w:rsidRDefault="00453C71" w:rsidP="00FC710C">
      <w:pPr>
        <w:spacing w:after="0" w:line="240" w:lineRule="auto"/>
      </w:pPr>
      <w:r>
        <w:separator/>
      </w:r>
    </w:p>
  </w:endnote>
  <w:endnote w:type="continuationSeparator" w:id="0">
    <w:p w14:paraId="6D8ECD60" w14:textId="77777777" w:rsidR="00453C71" w:rsidRDefault="00453C71" w:rsidP="00FC7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09825" w14:textId="77777777" w:rsidR="00453C71" w:rsidRDefault="00453C71" w:rsidP="00FC710C">
      <w:pPr>
        <w:spacing w:after="0" w:line="240" w:lineRule="auto"/>
      </w:pPr>
      <w:r>
        <w:separator/>
      </w:r>
    </w:p>
  </w:footnote>
  <w:footnote w:type="continuationSeparator" w:id="0">
    <w:p w14:paraId="2F034DE2" w14:textId="77777777" w:rsidR="00453C71" w:rsidRDefault="00453C71" w:rsidP="00FC71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9E1BC" w14:textId="0044B585" w:rsidR="00FC710C" w:rsidRDefault="00FC710C">
    <w:pPr>
      <w:pStyle w:val="Header"/>
    </w:pPr>
    <w:r w:rsidRPr="00FC710C">
      <w:t>2421072</w:t>
    </w:r>
  </w:p>
  <w:p w14:paraId="48A7159C" w14:textId="4EDB7DB3" w:rsidR="00FC710C" w:rsidRDefault="00FC710C">
    <w:pPr>
      <w:pStyle w:val="Header"/>
    </w:pPr>
    <w:r>
      <w:t xml:space="preserve">Nusrat Batul </w:t>
    </w:r>
  </w:p>
  <w:p w14:paraId="13F7603F" w14:textId="30544C51" w:rsidR="00FC710C" w:rsidRDefault="00FC710C">
    <w:pPr>
      <w:pStyle w:val="Header"/>
    </w:pPr>
    <w:r>
      <w:t xml:space="preserve">Psychology in Health and Social care </w:t>
    </w:r>
  </w:p>
  <w:p w14:paraId="0863F5A4" w14:textId="79392971" w:rsidR="00FC710C" w:rsidRDefault="00FC710C">
    <w:pPr>
      <w:pStyle w:val="Header"/>
    </w:pPr>
    <w:r>
      <w:t>LCHS4010</w:t>
    </w:r>
  </w:p>
  <w:p w14:paraId="5F3D4BDC" w14:textId="77777777" w:rsidR="00FC710C" w:rsidRDefault="00FC710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10C"/>
    <w:rsid w:val="000B41F7"/>
    <w:rsid w:val="00453C71"/>
    <w:rsid w:val="00FC71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3F220"/>
  <w15:chartTrackingRefBased/>
  <w15:docId w15:val="{CEDBC57D-F921-469E-ACC6-3018E70D5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71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C71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C71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71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71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71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71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71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71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1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71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71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71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71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71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71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71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710C"/>
    <w:rPr>
      <w:rFonts w:eastAsiaTheme="majorEastAsia" w:cstheme="majorBidi"/>
      <w:color w:val="272727" w:themeColor="text1" w:themeTint="D8"/>
    </w:rPr>
  </w:style>
  <w:style w:type="paragraph" w:styleId="Title">
    <w:name w:val="Title"/>
    <w:basedOn w:val="Normal"/>
    <w:next w:val="Normal"/>
    <w:link w:val="TitleChar"/>
    <w:uiPriority w:val="10"/>
    <w:qFormat/>
    <w:rsid w:val="00FC71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71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71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71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710C"/>
    <w:pPr>
      <w:spacing w:before="160"/>
      <w:jc w:val="center"/>
    </w:pPr>
    <w:rPr>
      <w:i/>
      <w:iCs/>
      <w:color w:val="404040" w:themeColor="text1" w:themeTint="BF"/>
    </w:rPr>
  </w:style>
  <w:style w:type="character" w:customStyle="1" w:styleId="QuoteChar">
    <w:name w:val="Quote Char"/>
    <w:basedOn w:val="DefaultParagraphFont"/>
    <w:link w:val="Quote"/>
    <w:uiPriority w:val="29"/>
    <w:rsid w:val="00FC710C"/>
    <w:rPr>
      <w:i/>
      <w:iCs/>
      <w:color w:val="404040" w:themeColor="text1" w:themeTint="BF"/>
    </w:rPr>
  </w:style>
  <w:style w:type="paragraph" w:styleId="ListParagraph">
    <w:name w:val="List Paragraph"/>
    <w:basedOn w:val="Normal"/>
    <w:uiPriority w:val="34"/>
    <w:qFormat/>
    <w:rsid w:val="00FC710C"/>
    <w:pPr>
      <w:ind w:left="720"/>
      <w:contextualSpacing/>
    </w:pPr>
  </w:style>
  <w:style w:type="character" w:styleId="IntenseEmphasis">
    <w:name w:val="Intense Emphasis"/>
    <w:basedOn w:val="DefaultParagraphFont"/>
    <w:uiPriority w:val="21"/>
    <w:qFormat/>
    <w:rsid w:val="00FC710C"/>
    <w:rPr>
      <w:i/>
      <w:iCs/>
      <w:color w:val="0F4761" w:themeColor="accent1" w:themeShade="BF"/>
    </w:rPr>
  </w:style>
  <w:style w:type="paragraph" w:styleId="IntenseQuote">
    <w:name w:val="Intense Quote"/>
    <w:basedOn w:val="Normal"/>
    <w:next w:val="Normal"/>
    <w:link w:val="IntenseQuoteChar"/>
    <w:uiPriority w:val="30"/>
    <w:qFormat/>
    <w:rsid w:val="00FC71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710C"/>
    <w:rPr>
      <w:i/>
      <w:iCs/>
      <w:color w:val="0F4761" w:themeColor="accent1" w:themeShade="BF"/>
    </w:rPr>
  </w:style>
  <w:style w:type="character" w:styleId="IntenseReference">
    <w:name w:val="Intense Reference"/>
    <w:basedOn w:val="DefaultParagraphFont"/>
    <w:uiPriority w:val="32"/>
    <w:qFormat/>
    <w:rsid w:val="00FC710C"/>
    <w:rPr>
      <w:b/>
      <w:bCs/>
      <w:smallCaps/>
      <w:color w:val="0F4761" w:themeColor="accent1" w:themeShade="BF"/>
      <w:spacing w:val="5"/>
    </w:rPr>
  </w:style>
  <w:style w:type="paragraph" w:styleId="Header">
    <w:name w:val="header"/>
    <w:basedOn w:val="Normal"/>
    <w:link w:val="HeaderChar"/>
    <w:uiPriority w:val="99"/>
    <w:unhideWhenUsed/>
    <w:rsid w:val="00FC71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710C"/>
  </w:style>
  <w:style w:type="paragraph" w:styleId="Footer">
    <w:name w:val="footer"/>
    <w:basedOn w:val="Normal"/>
    <w:link w:val="FooterChar"/>
    <w:uiPriority w:val="99"/>
    <w:unhideWhenUsed/>
    <w:rsid w:val="00FC71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71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1415</Words>
  <Characters>8071</Characters>
  <Application>Microsoft Office Word</Application>
  <DocSecurity>0</DocSecurity>
  <Lines>67</Lines>
  <Paragraphs>18</Paragraphs>
  <ScaleCrop>false</ScaleCrop>
  <Company/>
  <LinksUpToDate>false</LinksUpToDate>
  <CharactersWithSpaces>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Nusrat</dc:creator>
  <cp:keywords/>
  <dc:description/>
  <cp:lastModifiedBy>Aiman</cp:lastModifiedBy>
  <cp:revision>1</cp:revision>
  <dcterms:created xsi:type="dcterms:W3CDTF">2025-11-15T19:15:00Z</dcterms:created>
  <dcterms:modified xsi:type="dcterms:W3CDTF">2025-11-15T19:23:00Z</dcterms:modified>
</cp:coreProperties>
</file>