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ind w:right="531"/>
        <w:jc w:val="center"/>
        <w:rPr>
          <w:sz w:val="24"/>
          <w:szCs w:val="24"/>
        </w:rPr>
      </w:pPr>
      <w:r w:rsidDel="00000000" w:rsidR="00000000" w:rsidRPr="00000000">
        <w:rPr>
          <w:sz w:val="24"/>
          <w:szCs w:val="24"/>
          <w:rtl w:val="0"/>
        </w:rPr>
        <w:t xml:space="preserve">Consider the impact of current policing practice on local communities, and assess the extent of the police’s role in fostering and maintaining community cohesion. Your answer should be based on academic research, although you may make reference to relevant case studies.</w:t>
      </w:r>
    </w:p>
    <w:p w:rsidR="00000000" w:rsidDel="00000000" w:rsidP="00000000" w:rsidRDefault="00000000" w:rsidRPr="00000000" w14:paraId="00000002">
      <w:pPr>
        <w:spacing w:line="360" w:lineRule="auto"/>
        <w:ind w:right="531"/>
        <w:jc w:val="both"/>
        <w:rPr>
          <w:sz w:val="24"/>
          <w:szCs w:val="24"/>
        </w:rPr>
      </w:pPr>
      <w:r w:rsidDel="00000000" w:rsidR="00000000" w:rsidRPr="00000000">
        <w:rPr>
          <w:rtl w:val="0"/>
        </w:rPr>
      </w:r>
    </w:p>
    <w:p w:rsidR="00000000" w:rsidDel="00000000" w:rsidP="00000000" w:rsidRDefault="00000000" w:rsidRPr="00000000" w14:paraId="00000003">
      <w:pPr>
        <w:spacing w:line="360" w:lineRule="auto"/>
        <w:ind w:right="531"/>
        <w:jc w:val="both"/>
        <w:rPr>
          <w:sz w:val="24"/>
          <w:szCs w:val="24"/>
        </w:rPr>
      </w:pPr>
      <w:r w:rsidDel="00000000" w:rsidR="00000000" w:rsidRPr="00000000">
        <w:rPr>
          <w:sz w:val="24"/>
          <w:szCs w:val="24"/>
          <w:rtl w:val="0"/>
        </w:rPr>
        <w:t xml:space="preserve">The idea of community cohesion is centred around inclusivity and integration within communities. A cohesive community provides a sense of belonging to its members, where strong and positive relationships have been developed regardless of their individual background and circumstances, and is built on the foundations of a shared vision. Community cohesion acts to increase the safety of communities by working together with local policing to take action against issues that matter in the neighbourhood for a better quality of life. Given the fact that community cohesion focuses on groups of people within specific local areas, it demands a community orientated approach. Neighbourhood policing was developed around the idea of  community participation in policing to establish cohesion. For the purposes of neighbourhood policing a “neighbourhood” is defined as local agreements between communities, local authorities, police, police authorities and partner organisations (NPIA, 2010). This essay will assess the role of neighbourhood policing in fostering and maintaining community cohesion. </w:t>
      </w:r>
    </w:p>
    <w:p w:rsidR="00000000" w:rsidDel="00000000" w:rsidP="00000000" w:rsidRDefault="00000000" w:rsidRPr="00000000" w14:paraId="00000004">
      <w:pPr>
        <w:spacing w:line="360" w:lineRule="auto"/>
        <w:ind w:right="531"/>
        <w:jc w:val="both"/>
        <w:rPr>
          <w:sz w:val="24"/>
          <w:szCs w:val="24"/>
        </w:rPr>
      </w:pPr>
      <w:r w:rsidDel="00000000" w:rsidR="00000000" w:rsidRPr="00000000">
        <w:rPr>
          <w:rtl w:val="0"/>
        </w:rPr>
      </w:r>
    </w:p>
    <w:p w:rsidR="00000000" w:rsidDel="00000000" w:rsidP="00000000" w:rsidRDefault="00000000" w:rsidRPr="00000000" w14:paraId="00000005">
      <w:pPr>
        <w:spacing w:line="360" w:lineRule="auto"/>
        <w:ind w:right="531"/>
        <w:jc w:val="both"/>
        <w:rPr>
          <w:sz w:val="24"/>
          <w:szCs w:val="24"/>
        </w:rPr>
      </w:pPr>
      <w:r w:rsidDel="00000000" w:rsidR="00000000" w:rsidRPr="00000000">
        <w:rPr>
          <w:sz w:val="24"/>
          <w:szCs w:val="24"/>
          <w:rtl w:val="0"/>
        </w:rPr>
        <w:t xml:space="preserve">The phrase ‘community cohesion’ established its presence in policing practice following a number of riots and disturbances in Northern England in 2001 and </w:t>
      </w:r>
      <w:r w:rsidDel="00000000" w:rsidR="00000000" w:rsidRPr="00000000">
        <w:rPr>
          <w:sz w:val="24"/>
          <w:szCs w:val="24"/>
          <w:highlight w:val="white"/>
          <w:rtl w:val="0"/>
        </w:rPr>
        <w:t xml:space="preserve">the subsequent Report of the Independent Review Team (the ‘Cantle Report’, 2001). The riots initiated a movement from disorder on the streets of Oldham, Bradford and Burnley to public bodies being required to show progress on ‘performance indicators’ around Community Cohesion (LGA, 2002). The report highlighted that policies and practices to deal with such instances were centred around separation and separate development, rather than mediation and working together. It demanded the need for changes that would improve community relations and build a sense of mutual trust, with community cohesion at the forefront. Community cohesion is key in understanding and responding to the changing dynamics of diversity. It attempts to mediate relationships between different community interests by breaking down barriers and building on acceptance for better integration. Community cohesion challenges separation through demanding members to interact with each other to bring them together in an attempt to reduce the suspicions and hostility that may exist between them. Fear grows through ignorance and community cohesion exists in policing practice today to reduce this. </w:t>
      </w:r>
      <w:r w:rsidDel="00000000" w:rsidR="00000000" w:rsidRPr="00000000">
        <w:rPr>
          <w:rtl w:val="0"/>
        </w:rPr>
      </w:r>
    </w:p>
    <w:p w:rsidR="00000000" w:rsidDel="00000000" w:rsidP="00000000" w:rsidRDefault="00000000" w:rsidRPr="00000000" w14:paraId="00000006">
      <w:pPr>
        <w:spacing w:line="360" w:lineRule="auto"/>
        <w:ind w:right="531"/>
        <w:jc w:val="both"/>
        <w:rPr>
          <w:sz w:val="24"/>
          <w:szCs w:val="24"/>
        </w:rPr>
      </w:pPr>
      <w:r w:rsidDel="00000000" w:rsidR="00000000" w:rsidRPr="00000000">
        <w:rPr>
          <w:rtl w:val="0"/>
        </w:rPr>
      </w:r>
    </w:p>
    <w:p w:rsidR="00000000" w:rsidDel="00000000" w:rsidP="00000000" w:rsidRDefault="00000000" w:rsidRPr="00000000" w14:paraId="00000007">
      <w:pPr>
        <w:spacing w:line="360" w:lineRule="auto"/>
        <w:ind w:right="531"/>
        <w:jc w:val="both"/>
        <w:rPr>
          <w:sz w:val="24"/>
          <w:szCs w:val="24"/>
        </w:rPr>
      </w:pPr>
      <w:r w:rsidDel="00000000" w:rsidR="00000000" w:rsidRPr="00000000">
        <w:rPr>
          <w:sz w:val="24"/>
          <w:szCs w:val="24"/>
          <w:rtl w:val="0"/>
        </w:rPr>
        <w:t xml:space="preserve">The broken windows theory, first introduced in a seminal article by Wilson and Kelling in 1982, is strongly linked to community cohesion and the development of policing practice in communities. The term ‘broken windows’ is used as a metaphor for disorder and anti-social behaviour within communities </w:t>
      </w:r>
      <w:r w:rsidDel="00000000" w:rsidR="00000000" w:rsidRPr="00000000">
        <w:rPr>
          <w:sz w:val="24"/>
          <w:szCs w:val="24"/>
          <w:rtl w:val="0"/>
        </w:rPr>
        <w:t xml:space="preserve">where serious crime begins to develop if signs of incivility in a community are visible (Wilson and Kelling, 1982). Concisely, signs of misbehaviour in any neighbourhood, regardless of the make-up, that is tolerated or left ‘unrepaired’, can encourage further disorder that leads to more serious crime. </w:t>
      </w:r>
      <w:r w:rsidDel="00000000" w:rsidR="00000000" w:rsidRPr="00000000">
        <w:rPr>
          <w:sz w:val="24"/>
          <w:szCs w:val="24"/>
          <w:rtl w:val="0"/>
        </w:rPr>
        <w:t xml:space="preserve">Disorder increases fear within neighbourhoods, leading members to withdraw from the community which consequently, decreases participation in informal social control.</w:t>
      </w:r>
      <w:r w:rsidDel="00000000" w:rsidR="00000000" w:rsidRPr="00000000">
        <w:rPr>
          <w:sz w:val="24"/>
          <w:szCs w:val="24"/>
          <w:rtl w:val="0"/>
        </w:rPr>
        <w:t xml:space="preserve"> Unrepaired broken windows may be regarded as a signal that people are unconcerned so repeatedly carrying out this type of behaviour comes at no cost. The police can play a key role in disrupting the process of broken windows by </w:t>
      </w:r>
      <w:r w:rsidDel="00000000" w:rsidR="00000000" w:rsidRPr="00000000">
        <w:rPr>
          <w:sz w:val="24"/>
          <w:szCs w:val="24"/>
          <w:rtl w:val="0"/>
        </w:rPr>
        <w:t xml:space="preserve">focusing in on</w:t>
      </w:r>
      <w:r w:rsidDel="00000000" w:rsidR="00000000" w:rsidRPr="00000000">
        <w:rPr>
          <w:sz w:val="24"/>
          <w:szCs w:val="24"/>
          <w:rtl w:val="0"/>
        </w:rPr>
        <w:t xml:space="preserve"> the disorder to help reduce fear for members of the community. In turn, police intervention can help build communities' confidence to take control of their neighbourhood, thus achieving a sense of cohesiveness and preventing the seriousness of the disorder escalating. The foundations of the broken windows theory remains relevant in policing in the UK today. Neighbourhood policing utilises a problem-oriented approach, where police work collaboratively with local communities to identify and address the underlying causes of recurring problems otherwise known as broken windows. Moreover, attention should also be given to the NPCC Policing Vision 2025 where there is a key focus on preventing crime and more specifically, anti-social behaviour, as well as emphasises on the link between communities and the police is crucial to tackling threats to community cohesion and harmony. </w:t>
      </w:r>
    </w:p>
    <w:p w:rsidR="00000000" w:rsidDel="00000000" w:rsidP="00000000" w:rsidRDefault="00000000" w:rsidRPr="00000000" w14:paraId="00000008">
      <w:pPr>
        <w:spacing w:line="360" w:lineRule="auto"/>
        <w:ind w:right="531"/>
        <w:jc w:val="both"/>
        <w:rPr>
          <w:sz w:val="24"/>
          <w:szCs w:val="24"/>
        </w:rPr>
      </w:pPr>
      <w:r w:rsidDel="00000000" w:rsidR="00000000" w:rsidRPr="00000000">
        <w:rPr>
          <w:rtl w:val="0"/>
        </w:rPr>
      </w:r>
    </w:p>
    <w:p w:rsidR="00000000" w:rsidDel="00000000" w:rsidP="00000000" w:rsidRDefault="00000000" w:rsidRPr="00000000" w14:paraId="00000009">
      <w:pPr>
        <w:spacing w:line="360" w:lineRule="auto"/>
        <w:ind w:right="531"/>
        <w:jc w:val="both"/>
        <w:rPr>
          <w:sz w:val="24"/>
          <w:szCs w:val="24"/>
        </w:rPr>
      </w:pPr>
      <w:r w:rsidDel="00000000" w:rsidR="00000000" w:rsidRPr="00000000">
        <w:rPr>
          <w:sz w:val="24"/>
          <w:szCs w:val="24"/>
          <w:rtl w:val="0"/>
        </w:rPr>
        <w:t xml:space="preserve">Research suggests that communities with low levels of cohesiveness often share the following common features: deprivation, isolation, population churn and decline in manufacturing (NPIA, 2010). Deprivation is the most commonly assumed characteristic of low cohesiveness as it is associated with how affluent the area is. Essentially, it is believed that the less affluent the area, the lower the level of community cohesion. Isolation is related to an area's rural urban classification where physical barriers or access to major services may impact on a sense of belonging and minimal interaction. Population churn can cause unsettlement in communities as its dynamics change frequently resulting in less cohesiveness as there are fewer opportunities to develop relationships over time. Lastly, a decline in manufacturing impacts on stability which in turn can cause deviations. However, it is worth noting that the list is not definitive and individuals personal characteristics do not affect cohesion negatively. Police must ensure that their practice avoids stereotyping and that working on equality and diversity will naturally result in increased community cohesion (NPIA, 2010). Communities with low cohesiveness can be identified through the activity of community mapping. This helps police “identify the different communities that are in a neighbourhood” (College of Policing, 2019) in order to help tailor the approach to community engagement appropriately. Community mapping is a key component of neighbourhood policing to build relationships and ensure that any quality of life issues receive the most appropriate response. </w:t>
      </w:r>
    </w:p>
    <w:p w:rsidR="00000000" w:rsidDel="00000000" w:rsidP="00000000" w:rsidRDefault="00000000" w:rsidRPr="00000000" w14:paraId="0000000A">
      <w:pPr>
        <w:spacing w:line="360" w:lineRule="auto"/>
        <w:ind w:right="531"/>
        <w:jc w:val="both"/>
        <w:rPr>
          <w:sz w:val="24"/>
          <w:szCs w:val="24"/>
        </w:rPr>
      </w:pPr>
      <w:r w:rsidDel="00000000" w:rsidR="00000000" w:rsidRPr="00000000">
        <w:rPr>
          <w:rtl w:val="0"/>
        </w:rPr>
      </w:r>
    </w:p>
    <w:p w:rsidR="00000000" w:rsidDel="00000000" w:rsidP="00000000" w:rsidRDefault="00000000" w:rsidRPr="00000000" w14:paraId="0000000B">
      <w:pPr>
        <w:spacing w:line="360" w:lineRule="auto"/>
        <w:ind w:right="531"/>
        <w:jc w:val="both"/>
        <w:rPr>
          <w:sz w:val="24"/>
          <w:szCs w:val="24"/>
        </w:rPr>
      </w:pPr>
      <w:r w:rsidDel="00000000" w:rsidR="00000000" w:rsidRPr="00000000">
        <w:rPr>
          <w:sz w:val="24"/>
          <w:szCs w:val="24"/>
          <w:rtl w:val="0"/>
        </w:rPr>
        <w:t xml:space="preserve">The participation of the community in policing was long established before neighbourhood policing was introduced (Rawlings, 2002, p.15). Neighbourhood policing is at its most effective when it is a shared undertaking with the local community. Two-way communication can ascertain a neighbourhood's specific needs and priorities in which a collaborative approach between the police, the community and other agencies can put measures into place to prevent and control crime, thus reducing fear in communities. The support and use of a neighbourhood policing model remains relevant and valuable in current policing practice. The purpose of neighbourhood policing in the present day is to provide communities with: access to policing or other relevant services; influence over priorities in their community; joining action and interventions to solve problems; and answers that provide sustainable solutions (NPIA, 2010). Respectively, neighbourhood policing has a critical role to play in fostering and maintaining community cohesion. Cohesion occurs when communities feel safe and secure, in addition to feeling that they are treated fairly and without prejudice. Therefore, the role of the police is to gain the trust and confidence of that particular community comprehensively. </w:t>
      </w:r>
    </w:p>
    <w:p w:rsidR="00000000" w:rsidDel="00000000" w:rsidP="00000000" w:rsidRDefault="00000000" w:rsidRPr="00000000" w14:paraId="0000000C">
      <w:pPr>
        <w:spacing w:line="360" w:lineRule="auto"/>
        <w:ind w:right="531"/>
        <w:jc w:val="both"/>
        <w:rPr>
          <w:sz w:val="24"/>
          <w:szCs w:val="24"/>
        </w:rPr>
      </w:pPr>
      <w:r w:rsidDel="00000000" w:rsidR="00000000" w:rsidRPr="00000000">
        <w:rPr>
          <w:rtl w:val="0"/>
        </w:rPr>
      </w:r>
    </w:p>
    <w:p w:rsidR="00000000" w:rsidDel="00000000" w:rsidP="00000000" w:rsidRDefault="00000000" w:rsidRPr="00000000" w14:paraId="0000000D">
      <w:pPr>
        <w:spacing w:line="360" w:lineRule="auto"/>
        <w:ind w:right="531"/>
        <w:jc w:val="both"/>
        <w:rPr>
          <w:sz w:val="24"/>
          <w:szCs w:val="24"/>
        </w:rPr>
      </w:pPr>
      <w:r w:rsidDel="00000000" w:rsidR="00000000" w:rsidRPr="00000000">
        <w:rPr>
          <w:sz w:val="24"/>
          <w:szCs w:val="24"/>
          <w:rtl w:val="0"/>
        </w:rPr>
        <w:t xml:space="preserve">Despite best efforts, tension in communities can never be fully avoided, regardless of attempts to build cohesion between different groups. Community tension arises from community dynamics where mistrust between groups such as ethnic or faith groups, urban and rural dwellers, new arrivals and long-term residents, or along inter-generational lines exists (NPIA, 2010). Tension can lead to conflict which in turn can lead to segregation. Where tensions exist, cohesion is threatened. Local trends and ‘hot spots’ need to be monitored in order for police to intervene early and implement activities and resources that will prevent crime and disorder. Hot spots policing tends to involve increasing visible patrols or employing problem solving strategies to reduce crime and antisocial behaviour as well as build public confidence. These are key components of neighbourhood policing. </w:t>
      </w:r>
    </w:p>
    <w:p w:rsidR="00000000" w:rsidDel="00000000" w:rsidP="00000000" w:rsidRDefault="00000000" w:rsidRPr="00000000" w14:paraId="0000000E">
      <w:pPr>
        <w:spacing w:line="360" w:lineRule="auto"/>
        <w:ind w:right="531"/>
        <w:jc w:val="both"/>
        <w:rPr>
          <w:sz w:val="24"/>
          <w:szCs w:val="24"/>
        </w:rPr>
      </w:pPr>
      <w:r w:rsidDel="00000000" w:rsidR="00000000" w:rsidRPr="00000000">
        <w:rPr>
          <w:rtl w:val="0"/>
        </w:rPr>
      </w:r>
    </w:p>
    <w:p w:rsidR="00000000" w:rsidDel="00000000" w:rsidP="00000000" w:rsidRDefault="00000000" w:rsidRPr="00000000" w14:paraId="0000000F">
      <w:pPr>
        <w:spacing w:line="360" w:lineRule="auto"/>
        <w:ind w:right="531"/>
        <w:jc w:val="both"/>
        <w:rPr>
          <w:sz w:val="24"/>
          <w:szCs w:val="24"/>
        </w:rPr>
      </w:pPr>
      <w:r w:rsidDel="00000000" w:rsidR="00000000" w:rsidRPr="00000000">
        <w:rPr>
          <w:sz w:val="24"/>
          <w:szCs w:val="24"/>
          <w:rtl w:val="0"/>
        </w:rPr>
        <w:t xml:space="preserve">Spatial displacement is a common concern of hot spot policing, causing challenges for this to be implemented and have positive outcomes. Essentially, spatial displacement is the movement of crime from a treatment area where targeted police activity is high to an area nearby. The College of Policing (2022) acknowledges that hot spot policing is “an effective crime reduction strategy, but only modestly” as it works to deter some crime, such as drug offending, but not all, like property crime. </w:t>
      </w:r>
      <w:r w:rsidDel="00000000" w:rsidR="00000000" w:rsidRPr="00000000">
        <w:rPr>
          <w:sz w:val="24"/>
          <w:szCs w:val="24"/>
          <w:highlight w:val="white"/>
          <w:rtl w:val="0"/>
        </w:rPr>
        <w:t xml:space="preserve">There is also the consequence that hot spot policing can be potentially damaging to the communities it targets (Kochel, 2011, p.361) and can undermine collective efficacy and social control in neighbourhoods (Rosenbaum, 2006, p.249). </w:t>
      </w:r>
      <w:r w:rsidDel="00000000" w:rsidR="00000000" w:rsidRPr="00000000">
        <w:rPr>
          <w:sz w:val="24"/>
          <w:szCs w:val="24"/>
          <w:rtl w:val="0"/>
        </w:rPr>
        <w:t xml:space="preserve">However, recent evidence has proven that targeted visible presence in communities can result in further reduction of crime and disorder in nearby locations. Police visibility, and more specifically the tactic of foot patrolling, is preferred by the public as a method to reduce the opportunity for crime to be committed as it gives them a sense of security, thus improving public confidence and perceptions of the police </w:t>
      </w:r>
      <w:r w:rsidDel="00000000" w:rsidR="00000000" w:rsidRPr="00000000">
        <w:rPr>
          <w:sz w:val="24"/>
          <w:szCs w:val="24"/>
          <w:highlight w:val="white"/>
          <w:rtl w:val="0"/>
        </w:rPr>
        <w:t xml:space="preserve">(Walker and Katz, 2002, p.87)</w:t>
      </w:r>
      <w:r w:rsidDel="00000000" w:rsidR="00000000" w:rsidRPr="00000000">
        <w:rPr>
          <w:sz w:val="24"/>
          <w:szCs w:val="24"/>
          <w:rtl w:val="0"/>
        </w:rPr>
        <w:t xml:space="preserve">. Foot patrols are most effective when used in combination with community engagement and problem solving, it is not adequate enough on its own. Random or reactive patrols are unlikely to have the same effect, hence the need for knowledge of hot spots.</w:t>
      </w:r>
    </w:p>
    <w:p w:rsidR="00000000" w:rsidDel="00000000" w:rsidP="00000000" w:rsidRDefault="00000000" w:rsidRPr="00000000" w14:paraId="00000010">
      <w:pPr>
        <w:spacing w:line="360" w:lineRule="auto"/>
        <w:ind w:right="531"/>
        <w:jc w:val="both"/>
        <w:rPr>
          <w:sz w:val="24"/>
          <w:szCs w:val="24"/>
        </w:rPr>
      </w:pPr>
      <w:r w:rsidDel="00000000" w:rsidR="00000000" w:rsidRPr="00000000">
        <w:rPr>
          <w:rtl w:val="0"/>
        </w:rPr>
      </w:r>
    </w:p>
    <w:p w:rsidR="00000000" w:rsidDel="00000000" w:rsidP="00000000" w:rsidRDefault="00000000" w:rsidRPr="00000000" w14:paraId="00000011">
      <w:pPr>
        <w:spacing w:line="360" w:lineRule="auto"/>
        <w:ind w:right="531"/>
        <w:jc w:val="both"/>
        <w:rPr>
          <w:sz w:val="24"/>
          <w:szCs w:val="24"/>
        </w:rPr>
      </w:pPr>
      <w:r w:rsidDel="00000000" w:rsidR="00000000" w:rsidRPr="00000000">
        <w:rPr>
          <w:sz w:val="24"/>
          <w:szCs w:val="24"/>
          <w:rtl w:val="0"/>
        </w:rPr>
        <w:t xml:space="preserve">Community mapping is critical for neighbourhood policing to be effective. Community mapping is the process of identifying the different communities living in a particular area. Local Authorities are tasked with doing this and should share this with local partners in order to develop cohesive neighbourhoods. It is key to helping police tailor community engagement appropriately, building on arrangements and opportunities that already exist, as well as deciding what cohesive initiatives need to be implemented to break down barriers and minimise both present and possible divides (College of Policing, 2019). Community mapping can be both valuable and challenging. Although it enables both police and members to contribute to local development for safer communities, the knowledge is only representative at the time, especially where transient groups are concerned. Ongoing monitoring of measures and known predictors of cohesion to identify trends and any emerging problems is required, especially where tension may arise. Multi-agency tension monitoring involves reviewing signs of problems with cohesion in a bid to ensure a timely response that prevents escalation into more serious disorder. Multi-agency tension monitoring  includes the local authority, police and key partners from the statutory and voluntary sector. Delivering neighbourhood policing successfully requires community engagement. A partnership approach is a key ingredient of community engagement to mitigate tension, improve feelings of safety and empower communities to feel confident that they too can solve local problems. More recently, </w:t>
      </w:r>
      <w:r w:rsidDel="00000000" w:rsidR="00000000" w:rsidRPr="00000000">
        <w:rPr>
          <w:sz w:val="24"/>
          <w:szCs w:val="24"/>
          <w:rtl w:val="0"/>
        </w:rPr>
        <w:t xml:space="preserve">partnership working has become a progressively more prominent feature of policing practice to reduce crime in order to build cohesion at various levels to achieve the ultimate goal of improving the quality of life in communities. </w:t>
      </w:r>
      <w:r w:rsidDel="00000000" w:rsidR="00000000" w:rsidRPr="00000000">
        <w:rPr>
          <w:rtl w:val="0"/>
        </w:rPr>
      </w:r>
    </w:p>
    <w:p w:rsidR="00000000" w:rsidDel="00000000" w:rsidP="00000000" w:rsidRDefault="00000000" w:rsidRPr="00000000" w14:paraId="00000012">
      <w:pPr>
        <w:spacing w:line="360" w:lineRule="auto"/>
        <w:ind w:right="531"/>
        <w:jc w:val="both"/>
        <w:rPr>
          <w:sz w:val="24"/>
          <w:szCs w:val="24"/>
        </w:rPr>
      </w:pPr>
      <w:r w:rsidDel="00000000" w:rsidR="00000000" w:rsidRPr="00000000">
        <w:rPr>
          <w:rtl w:val="0"/>
        </w:rPr>
      </w:r>
    </w:p>
    <w:p w:rsidR="00000000" w:rsidDel="00000000" w:rsidP="00000000" w:rsidRDefault="00000000" w:rsidRPr="00000000" w14:paraId="00000013">
      <w:pPr>
        <w:spacing w:line="360" w:lineRule="auto"/>
        <w:ind w:right="531"/>
        <w:jc w:val="both"/>
        <w:rPr>
          <w:sz w:val="24"/>
          <w:szCs w:val="24"/>
        </w:rPr>
      </w:pPr>
      <w:r w:rsidDel="00000000" w:rsidR="00000000" w:rsidRPr="00000000">
        <w:rPr>
          <w:sz w:val="24"/>
          <w:szCs w:val="24"/>
          <w:rtl w:val="0"/>
        </w:rPr>
        <w:t xml:space="preserve">The purpose of neighbourhood policing would cease to function without the active support of the communities they serve. The combination of community engagement, targeted foot patrol and collaborative problem solving has been proven to increase public confidence in the police and trust in their actions. The confidence cycle shows the necessary links between community engagement and increased public confidence. The stronger the links, the greater the likelihood of the public to cooperate which in turn, enriches intelligence collection (College of Policing, 2013). Those communities where the process of the cycle is instilled, will have greater trust and confidence in the police as well as as a collective, enabling cohesiveness and a reduction in crime and disorder. </w:t>
      </w:r>
    </w:p>
    <w:p w:rsidR="00000000" w:rsidDel="00000000" w:rsidP="00000000" w:rsidRDefault="00000000" w:rsidRPr="00000000" w14:paraId="00000014">
      <w:pPr>
        <w:spacing w:line="360" w:lineRule="auto"/>
        <w:ind w:right="531"/>
        <w:jc w:val="both"/>
        <w:rPr>
          <w:sz w:val="24"/>
          <w:szCs w:val="24"/>
        </w:rPr>
      </w:pPr>
      <w:r w:rsidDel="00000000" w:rsidR="00000000" w:rsidRPr="00000000">
        <w:rPr>
          <w:rtl w:val="0"/>
        </w:rPr>
      </w:r>
    </w:p>
    <w:p w:rsidR="00000000" w:rsidDel="00000000" w:rsidP="00000000" w:rsidRDefault="00000000" w:rsidRPr="00000000" w14:paraId="00000015">
      <w:pPr>
        <w:spacing w:line="360" w:lineRule="auto"/>
        <w:ind w:right="531"/>
        <w:jc w:val="both"/>
        <w:rPr>
          <w:sz w:val="24"/>
          <w:szCs w:val="24"/>
        </w:rPr>
      </w:pPr>
      <w:r w:rsidDel="00000000" w:rsidR="00000000" w:rsidRPr="00000000">
        <w:rPr>
          <w:sz w:val="24"/>
          <w:szCs w:val="24"/>
          <w:rtl w:val="0"/>
        </w:rPr>
        <w:t xml:space="preserve">Conclusively,  the relationship between the public and the police is critical in order to gain a better understanding of communities needs, threats and risks as well as to foster trust and confidence in policing activity. </w:t>
      </w:r>
      <w:r w:rsidDel="00000000" w:rsidR="00000000" w:rsidRPr="00000000">
        <w:rPr>
          <w:sz w:val="24"/>
          <w:szCs w:val="24"/>
          <w:highlight w:val="white"/>
          <w:rtl w:val="0"/>
        </w:rPr>
        <w:t xml:space="preserve">Effective community engagement, targeted foot patrols and collaborative problem solving all play a significant role in establishing community cohesion as it not only wins public trust for cooperation with the police, but also encourages communities to come together to fight crime and disorder in order to live a better quality of life. Neighbourhood policing practice functions to support communities and develop positive relationships between the police and the community they service so members feel safe and secure. </w:t>
      </w:r>
      <w:r w:rsidDel="00000000" w:rsidR="00000000" w:rsidRPr="00000000">
        <w:rPr>
          <w:rtl w:val="0"/>
        </w:rPr>
      </w:r>
    </w:p>
    <w:p w:rsidR="00000000" w:rsidDel="00000000" w:rsidP="00000000" w:rsidRDefault="00000000" w:rsidRPr="00000000" w14:paraId="00000016">
      <w:pPr>
        <w:spacing w:line="360" w:lineRule="auto"/>
        <w:ind w:right="531"/>
        <w:jc w:val="both"/>
        <w:rPr>
          <w:sz w:val="24"/>
          <w:szCs w:val="24"/>
        </w:rPr>
      </w:pPr>
      <w:r w:rsidDel="00000000" w:rsidR="00000000" w:rsidRPr="00000000">
        <w:rPr>
          <w:rtl w:val="0"/>
        </w:rPr>
      </w:r>
    </w:p>
    <w:p w:rsidR="00000000" w:rsidDel="00000000" w:rsidP="00000000" w:rsidRDefault="00000000" w:rsidRPr="00000000" w14:paraId="00000017">
      <w:pPr>
        <w:spacing w:line="360" w:lineRule="auto"/>
        <w:ind w:right="531"/>
        <w:jc w:val="both"/>
        <w:rPr>
          <w:sz w:val="24"/>
          <w:szCs w:val="24"/>
        </w:rPr>
      </w:pPr>
      <w:r w:rsidDel="00000000" w:rsidR="00000000" w:rsidRPr="00000000">
        <w:rPr>
          <w:sz w:val="24"/>
          <w:szCs w:val="24"/>
          <w:rtl w:val="0"/>
        </w:rPr>
        <w:t xml:space="preserve">Word count: 1914</w:t>
      </w:r>
    </w:p>
    <w:p w:rsidR="00000000" w:rsidDel="00000000" w:rsidP="00000000" w:rsidRDefault="00000000" w:rsidRPr="00000000" w14:paraId="00000018">
      <w:pPr>
        <w:spacing w:line="276" w:lineRule="auto"/>
        <w:ind w:right="531"/>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9">
      <w:pPr>
        <w:spacing w:line="276" w:lineRule="auto"/>
        <w:ind w:right="531"/>
        <w:jc w:val="both"/>
        <w:rPr>
          <w:sz w:val="24"/>
          <w:szCs w:val="24"/>
        </w:rPr>
      </w:pPr>
      <w:r w:rsidDel="00000000" w:rsidR="00000000" w:rsidRPr="00000000">
        <w:rPr>
          <w:sz w:val="24"/>
          <w:szCs w:val="24"/>
          <w:rtl w:val="0"/>
        </w:rPr>
        <w:t xml:space="preserve">Bibliography:</w:t>
      </w:r>
    </w:p>
    <w:p w:rsidR="00000000" w:rsidDel="00000000" w:rsidP="00000000" w:rsidRDefault="00000000" w:rsidRPr="00000000" w14:paraId="0000001A">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1B">
      <w:pPr>
        <w:spacing w:line="276" w:lineRule="auto"/>
        <w:ind w:right="531"/>
        <w:jc w:val="both"/>
        <w:rPr>
          <w:sz w:val="24"/>
          <w:szCs w:val="24"/>
        </w:rPr>
      </w:pPr>
      <w:r w:rsidDel="00000000" w:rsidR="00000000" w:rsidRPr="00000000">
        <w:rPr>
          <w:sz w:val="24"/>
          <w:szCs w:val="24"/>
          <w:rtl w:val="0"/>
        </w:rPr>
        <w:t xml:space="preserve">Cantle, T. (2001) </w:t>
      </w:r>
      <w:r w:rsidDel="00000000" w:rsidR="00000000" w:rsidRPr="00000000">
        <w:rPr>
          <w:i w:val="1"/>
          <w:sz w:val="24"/>
          <w:szCs w:val="24"/>
          <w:rtl w:val="0"/>
        </w:rPr>
        <w:t xml:space="preserve">Community Cohesion: A report of the independent review team. </w:t>
      </w:r>
      <w:r w:rsidDel="00000000" w:rsidR="00000000" w:rsidRPr="00000000">
        <w:rPr>
          <w:sz w:val="24"/>
          <w:szCs w:val="24"/>
          <w:rtl w:val="0"/>
        </w:rPr>
        <w:t xml:space="preserve">Available at: </w:t>
      </w:r>
      <w:hyperlink r:id="rId6">
        <w:r w:rsidDel="00000000" w:rsidR="00000000" w:rsidRPr="00000000">
          <w:rPr>
            <w:sz w:val="24"/>
            <w:szCs w:val="24"/>
            <w:u w:val="single"/>
            <w:rtl w:val="0"/>
          </w:rPr>
          <w:t xml:space="preserve">https://tedcantle.co.uk/pdf/communitycohesion%20cantlereport.pdf</w:t>
        </w:r>
      </w:hyperlink>
      <w:r w:rsidDel="00000000" w:rsidR="00000000" w:rsidRPr="00000000">
        <w:rPr>
          <w:sz w:val="24"/>
          <w:szCs w:val="24"/>
          <w:rtl w:val="0"/>
        </w:rPr>
        <w:t xml:space="preserve"> (Accessed: 16th February 2023). </w:t>
      </w:r>
    </w:p>
    <w:p w:rsidR="00000000" w:rsidDel="00000000" w:rsidP="00000000" w:rsidRDefault="00000000" w:rsidRPr="00000000" w14:paraId="0000001C">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1D">
      <w:pPr>
        <w:spacing w:line="276" w:lineRule="auto"/>
        <w:ind w:right="531"/>
        <w:jc w:val="both"/>
        <w:rPr>
          <w:sz w:val="24"/>
          <w:szCs w:val="24"/>
        </w:rPr>
      </w:pPr>
      <w:r w:rsidDel="00000000" w:rsidR="00000000" w:rsidRPr="00000000">
        <w:rPr>
          <w:sz w:val="24"/>
          <w:szCs w:val="24"/>
          <w:rtl w:val="0"/>
        </w:rPr>
        <w:t xml:space="preserve">College of Policing (2013) </w:t>
      </w:r>
      <w:r w:rsidDel="00000000" w:rsidR="00000000" w:rsidRPr="00000000">
        <w:rPr>
          <w:i w:val="1"/>
          <w:sz w:val="24"/>
          <w:szCs w:val="24"/>
          <w:rtl w:val="0"/>
        </w:rPr>
        <w:t xml:space="preserve">Engagement and Communication. </w:t>
      </w:r>
      <w:r w:rsidDel="00000000" w:rsidR="00000000" w:rsidRPr="00000000">
        <w:rPr>
          <w:sz w:val="24"/>
          <w:szCs w:val="24"/>
          <w:rtl w:val="0"/>
        </w:rPr>
        <w:t xml:space="preserve">Available at: </w:t>
      </w:r>
      <w:hyperlink r:id="rId7">
        <w:r w:rsidDel="00000000" w:rsidR="00000000" w:rsidRPr="00000000">
          <w:rPr>
            <w:sz w:val="24"/>
            <w:szCs w:val="24"/>
            <w:u w:val="single"/>
            <w:rtl w:val="0"/>
          </w:rPr>
          <w:t xml:space="preserve">https://www.college.police.uk/app/engagement-and-communication/engagement</w:t>
        </w:r>
      </w:hyperlink>
      <w:r w:rsidDel="00000000" w:rsidR="00000000" w:rsidRPr="00000000">
        <w:rPr>
          <w:sz w:val="24"/>
          <w:szCs w:val="24"/>
          <w:rtl w:val="0"/>
        </w:rPr>
        <w:t xml:space="preserve"> (Accessed: 28 February 2023). </w:t>
      </w:r>
    </w:p>
    <w:p w:rsidR="00000000" w:rsidDel="00000000" w:rsidP="00000000" w:rsidRDefault="00000000" w:rsidRPr="00000000" w14:paraId="0000001E">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1F">
      <w:pPr>
        <w:spacing w:line="276" w:lineRule="auto"/>
        <w:ind w:right="531"/>
        <w:jc w:val="both"/>
        <w:rPr>
          <w:sz w:val="24"/>
          <w:szCs w:val="24"/>
        </w:rPr>
      </w:pPr>
      <w:r w:rsidDel="00000000" w:rsidR="00000000" w:rsidRPr="00000000">
        <w:rPr>
          <w:sz w:val="24"/>
          <w:szCs w:val="24"/>
          <w:rtl w:val="0"/>
        </w:rPr>
        <w:t xml:space="preserve">College of Policing (2019) </w:t>
      </w:r>
      <w:r w:rsidDel="00000000" w:rsidR="00000000" w:rsidRPr="00000000">
        <w:rPr>
          <w:i w:val="1"/>
          <w:sz w:val="24"/>
          <w:szCs w:val="24"/>
          <w:rtl w:val="0"/>
        </w:rPr>
        <w:t xml:space="preserve">Neighbourhood Policing Guidelines. </w:t>
      </w:r>
      <w:r w:rsidDel="00000000" w:rsidR="00000000" w:rsidRPr="00000000">
        <w:rPr>
          <w:sz w:val="24"/>
          <w:szCs w:val="24"/>
          <w:rtl w:val="0"/>
        </w:rPr>
        <w:t xml:space="preserve">Available at: </w:t>
      </w:r>
      <w:hyperlink r:id="rId8">
        <w:r w:rsidDel="00000000" w:rsidR="00000000" w:rsidRPr="00000000">
          <w:rPr>
            <w:sz w:val="24"/>
            <w:szCs w:val="24"/>
            <w:u w:val="single"/>
            <w:rtl w:val="0"/>
          </w:rPr>
          <w:t xml:space="preserve">https://assets.college.police.uk/s3fs-public/2020-10/NPG_supporting_material_frontline%20(1).pdf</w:t>
        </w:r>
      </w:hyperlink>
      <w:r w:rsidDel="00000000" w:rsidR="00000000" w:rsidRPr="00000000">
        <w:rPr>
          <w:sz w:val="24"/>
          <w:szCs w:val="24"/>
          <w:rtl w:val="0"/>
        </w:rPr>
        <w:t xml:space="preserve"> (Accessed: 17th February 2023). </w:t>
      </w:r>
    </w:p>
    <w:p w:rsidR="00000000" w:rsidDel="00000000" w:rsidP="00000000" w:rsidRDefault="00000000" w:rsidRPr="00000000" w14:paraId="00000020">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21">
      <w:pPr>
        <w:spacing w:line="276" w:lineRule="auto"/>
        <w:ind w:right="531"/>
        <w:jc w:val="both"/>
        <w:rPr>
          <w:sz w:val="24"/>
          <w:szCs w:val="24"/>
        </w:rPr>
      </w:pPr>
      <w:r w:rsidDel="00000000" w:rsidR="00000000" w:rsidRPr="00000000">
        <w:rPr>
          <w:sz w:val="24"/>
          <w:szCs w:val="24"/>
          <w:rtl w:val="0"/>
        </w:rPr>
        <w:t xml:space="preserve">College of Policing (2022) </w:t>
      </w:r>
      <w:r w:rsidDel="00000000" w:rsidR="00000000" w:rsidRPr="00000000">
        <w:rPr>
          <w:i w:val="1"/>
          <w:sz w:val="24"/>
          <w:szCs w:val="24"/>
          <w:rtl w:val="0"/>
        </w:rPr>
        <w:t xml:space="preserve">Hot spots policing. </w:t>
      </w:r>
      <w:r w:rsidDel="00000000" w:rsidR="00000000" w:rsidRPr="00000000">
        <w:rPr>
          <w:sz w:val="24"/>
          <w:szCs w:val="24"/>
          <w:rtl w:val="0"/>
        </w:rPr>
        <w:t xml:space="preserve">Available at: </w:t>
      </w:r>
      <w:hyperlink r:id="rId9">
        <w:r w:rsidDel="00000000" w:rsidR="00000000" w:rsidRPr="00000000">
          <w:rPr>
            <w:sz w:val="24"/>
            <w:szCs w:val="24"/>
            <w:u w:val="single"/>
            <w:rtl w:val="0"/>
          </w:rPr>
          <w:t xml:space="preserve">https://www.college.police.uk/guidance/hot-spots-policing</w:t>
        </w:r>
      </w:hyperlink>
      <w:r w:rsidDel="00000000" w:rsidR="00000000" w:rsidRPr="00000000">
        <w:rPr>
          <w:sz w:val="24"/>
          <w:szCs w:val="24"/>
          <w:rtl w:val="0"/>
        </w:rPr>
        <w:t xml:space="preserve"> (Accessed: 18th February 2023). </w:t>
      </w:r>
    </w:p>
    <w:p w:rsidR="00000000" w:rsidDel="00000000" w:rsidP="00000000" w:rsidRDefault="00000000" w:rsidRPr="00000000" w14:paraId="00000022">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23">
      <w:pPr>
        <w:spacing w:line="276" w:lineRule="auto"/>
        <w:ind w:right="531"/>
        <w:jc w:val="both"/>
        <w:rPr>
          <w:sz w:val="24"/>
          <w:szCs w:val="24"/>
        </w:rPr>
      </w:pPr>
      <w:r w:rsidDel="00000000" w:rsidR="00000000" w:rsidRPr="00000000">
        <w:rPr>
          <w:sz w:val="24"/>
          <w:szCs w:val="24"/>
          <w:rtl w:val="0"/>
        </w:rPr>
        <w:t xml:space="preserve">Kochel, T. (2011) ‘Constructing hotspots policing: Unexamined consequences for disadvantaged population and for police legitimacy’, </w:t>
      </w:r>
      <w:r w:rsidDel="00000000" w:rsidR="00000000" w:rsidRPr="00000000">
        <w:rPr>
          <w:i w:val="1"/>
          <w:sz w:val="24"/>
          <w:szCs w:val="24"/>
          <w:rtl w:val="0"/>
        </w:rPr>
        <w:t xml:space="preserve">Criminal Justice Policy Review</w:t>
      </w:r>
      <w:r w:rsidDel="00000000" w:rsidR="00000000" w:rsidRPr="00000000">
        <w:rPr>
          <w:sz w:val="24"/>
          <w:szCs w:val="24"/>
          <w:rtl w:val="0"/>
        </w:rPr>
        <w:t xml:space="preserve">, 22(3), pp. 350-374. </w:t>
      </w:r>
      <w:r w:rsidDel="00000000" w:rsidR="00000000" w:rsidRPr="00000000">
        <w:rPr>
          <w:rtl w:val="0"/>
        </w:rPr>
      </w:r>
    </w:p>
    <w:p w:rsidR="00000000" w:rsidDel="00000000" w:rsidP="00000000" w:rsidRDefault="00000000" w:rsidRPr="00000000" w14:paraId="00000024">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25">
      <w:pPr>
        <w:spacing w:line="276" w:lineRule="auto"/>
        <w:ind w:right="531"/>
        <w:jc w:val="both"/>
        <w:rPr>
          <w:sz w:val="24"/>
          <w:szCs w:val="24"/>
        </w:rPr>
      </w:pPr>
      <w:r w:rsidDel="00000000" w:rsidR="00000000" w:rsidRPr="00000000">
        <w:rPr>
          <w:sz w:val="24"/>
          <w:szCs w:val="24"/>
          <w:rtl w:val="0"/>
        </w:rPr>
        <w:t xml:space="preserve">Local Government Association (2002) </w:t>
      </w:r>
      <w:r w:rsidDel="00000000" w:rsidR="00000000" w:rsidRPr="00000000">
        <w:rPr>
          <w:i w:val="1"/>
          <w:sz w:val="24"/>
          <w:szCs w:val="24"/>
          <w:rtl w:val="0"/>
        </w:rPr>
        <w:t xml:space="preserve">Community Cohesion: An action guide. </w:t>
      </w:r>
      <w:r w:rsidDel="00000000" w:rsidR="00000000" w:rsidRPr="00000000">
        <w:rPr>
          <w:sz w:val="24"/>
          <w:szCs w:val="24"/>
          <w:rtl w:val="0"/>
        </w:rPr>
        <w:t xml:space="preserve">Available at: </w:t>
      </w:r>
      <w:hyperlink r:id="rId10">
        <w:r w:rsidDel="00000000" w:rsidR="00000000" w:rsidRPr="00000000">
          <w:rPr>
            <w:sz w:val="24"/>
            <w:szCs w:val="24"/>
            <w:u w:val="single"/>
            <w:rtl w:val="0"/>
          </w:rPr>
          <w:t xml:space="preserve">https://www.london.gov.uk/sites/default/files/communitycohesionactionguide.pdf</w:t>
        </w:r>
      </w:hyperlink>
      <w:r w:rsidDel="00000000" w:rsidR="00000000" w:rsidRPr="00000000">
        <w:rPr>
          <w:sz w:val="24"/>
          <w:szCs w:val="24"/>
          <w:rtl w:val="0"/>
        </w:rPr>
        <w:t xml:space="preserve"> (Accessed: 17th February 2023). </w:t>
      </w:r>
    </w:p>
    <w:p w:rsidR="00000000" w:rsidDel="00000000" w:rsidP="00000000" w:rsidRDefault="00000000" w:rsidRPr="00000000" w14:paraId="00000026">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27">
      <w:pPr>
        <w:spacing w:line="276" w:lineRule="auto"/>
        <w:ind w:right="531"/>
        <w:jc w:val="both"/>
        <w:rPr>
          <w:sz w:val="24"/>
          <w:szCs w:val="24"/>
        </w:rPr>
      </w:pPr>
      <w:r w:rsidDel="00000000" w:rsidR="00000000" w:rsidRPr="00000000">
        <w:rPr>
          <w:sz w:val="24"/>
          <w:szCs w:val="24"/>
          <w:rtl w:val="0"/>
        </w:rPr>
        <w:t xml:space="preserve">National Policing Improvement Agency (2010) </w:t>
      </w:r>
      <w:r w:rsidDel="00000000" w:rsidR="00000000" w:rsidRPr="00000000">
        <w:rPr>
          <w:i w:val="1"/>
          <w:sz w:val="24"/>
          <w:szCs w:val="24"/>
          <w:rtl w:val="0"/>
        </w:rPr>
        <w:t xml:space="preserve">Cohesion Guide. </w:t>
      </w:r>
      <w:r w:rsidDel="00000000" w:rsidR="00000000" w:rsidRPr="00000000">
        <w:rPr>
          <w:sz w:val="24"/>
          <w:szCs w:val="24"/>
          <w:rtl w:val="0"/>
        </w:rPr>
        <w:t xml:space="preserve">Available at: </w:t>
      </w:r>
      <w:hyperlink r:id="rId11">
        <w:r w:rsidDel="00000000" w:rsidR="00000000" w:rsidRPr="00000000">
          <w:rPr>
            <w:sz w:val="24"/>
            <w:szCs w:val="24"/>
            <w:u w:val="single"/>
            <w:rtl w:val="0"/>
          </w:rPr>
          <w:t xml:space="preserve">https://library.college.police.uk/docs/npia/CohesionGuide.pdf</w:t>
        </w:r>
      </w:hyperlink>
      <w:r w:rsidDel="00000000" w:rsidR="00000000" w:rsidRPr="00000000">
        <w:rPr>
          <w:sz w:val="24"/>
          <w:szCs w:val="24"/>
          <w:rtl w:val="0"/>
        </w:rPr>
        <w:t xml:space="preserve"> (Accessed: 16th February 2023). </w:t>
      </w:r>
    </w:p>
    <w:p w:rsidR="00000000" w:rsidDel="00000000" w:rsidP="00000000" w:rsidRDefault="00000000" w:rsidRPr="00000000" w14:paraId="00000028">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29">
      <w:pPr>
        <w:spacing w:line="276" w:lineRule="auto"/>
        <w:ind w:right="531"/>
        <w:jc w:val="both"/>
        <w:rPr>
          <w:sz w:val="24"/>
          <w:szCs w:val="24"/>
        </w:rPr>
      </w:pPr>
      <w:r w:rsidDel="00000000" w:rsidR="00000000" w:rsidRPr="00000000">
        <w:rPr>
          <w:sz w:val="24"/>
          <w:szCs w:val="24"/>
          <w:rtl w:val="0"/>
        </w:rPr>
        <w:t xml:space="preserve">Rawlings, P. (2002) </w:t>
      </w:r>
      <w:r w:rsidDel="00000000" w:rsidR="00000000" w:rsidRPr="00000000">
        <w:rPr>
          <w:i w:val="1"/>
          <w:sz w:val="24"/>
          <w:szCs w:val="24"/>
          <w:rtl w:val="0"/>
        </w:rPr>
        <w:t xml:space="preserve">Policing: A short history. </w:t>
      </w:r>
      <w:r w:rsidDel="00000000" w:rsidR="00000000" w:rsidRPr="00000000">
        <w:rPr>
          <w:sz w:val="24"/>
          <w:szCs w:val="24"/>
          <w:rtl w:val="0"/>
        </w:rPr>
        <w:t xml:space="preserve">Collumpton: Willian. </w:t>
      </w:r>
    </w:p>
    <w:p w:rsidR="00000000" w:rsidDel="00000000" w:rsidP="00000000" w:rsidRDefault="00000000" w:rsidRPr="00000000" w14:paraId="0000002A">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2B">
      <w:pPr>
        <w:spacing w:line="276" w:lineRule="auto"/>
        <w:ind w:right="531"/>
        <w:jc w:val="both"/>
        <w:rPr>
          <w:sz w:val="24"/>
          <w:szCs w:val="24"/>
        </w:rPr>
      </w:pPr>
      <w:r w:rsidDel="00000000" w:rsidR="00000000" w:rsidRPr="00000000">
        <w:rPr>
          <w:sz w:val="24"/>
          <w:szCs w:val="24"/>
          <w:rtl w:val="0"/>
        </w:rPr>
        <w:t xml:space="preserve">Rosenbaum, D. (2006) </w:t>
      </w:r>
      <w:r w:rsidDel="00000000" w:rsidR="00000000" w:rsidRPr="00000000">
        <w:rPr>
          <w:sz w:val="24"/>
          <w:szCs w:val="24"/>
          <w:rtl w:val="0"/>
        </w:rPr>
        <w:t xml:space="preserve">‘Critic The limits of hot spots policing’, in Weisburd, D. and Braga, A. (eds) </w:t>
      </w:r>
      <w:r w:rsidDel="00000000" w:rsidR="00000000" w:rsidRPr="00000000">
        <w:rPr>
          <w:i w:val="1"/>
          <w:sz w:val="24"/>
          <w:szCs w:val="24"/>
          <w:rtl w:val="0"/>
        </w:rPr>
        <w:t xml:space="preserve">Police Innovation: Contrasting Perspectives</w:t>
      </w:r>
      <w:r w:rsidDel="00000000" w:rsidR="00000000" w:rsidRPr="00000000">
        <w:rPr>
          <w:sz w:val="24"/>
          <w:szCs w:val="24"/>
          <w:rtl w:val="0"/>
        </w:rPr>
        <w:t xml:space="preserve">. Cambridge: Cambridge University Press. </w:t>
      </w:r>
      <w:r w:rsidDel="00000000" w:rsidR="00000000" w:rsidRPr="00000000">
        <w:rPr>
          <w:rtl w:val="0"/>
        </w:rPr>
      </w:r>
    </w:p>
    <w:p w:rsidR="00000000" w:rsidDel="00000000" w:rsidP="00000000" w:rsidRDefault="00000000" w:rsidRPr="00000000" w14:paraId="0000002C">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2D">
      <w:pPr>
        <w:spacing w:line="276" w:lineRule="auto"/>
        <w:ind w:right="531"/>
        <w:jc w:val="both"/>
        <w:rPr>
          <w:sz w:val="24"/>
          <w:szCs w:val="24"/>
        </w:rPr>
      </w:pPr>
      <w:r w:rsidDel="00000000" w:rsidR="00000000" w:rsidRPr="00000000">
        <w:rPr>
          <w:sz w:val="24"/>
          <w:szCs w:val="24"/>
          <w:rtl w:val="0"/>
        </w:rPr>
        <w:t xml:space="preserve">Walker, S. and Katz , C. (2002) </w:t>
      </w:r>
      <w:r w:rsidDel="00000000" w:rsidR="00000000" w:rsidRPr="00000000">
        <w:rPr>
          <w:i w:val="1"/>
          <w:sz w:val="24"/>
          <w:szCs w:val="24"/>
          <w:rtl w:val="0"/>
        </w:rPr>
        <w:t xml:space="preserve">The Police in America: An Introduction. </w:t>
      </w:r>
      <w:r w:rsidDel="00000000" w:rsidR="00000000" w:rsidRPr="00000000">
        <w:rPr>
          <w:sz w:val="24"/>
          <w:szCs w:val="24"/>
          <w:rtl w:val="0"/>
        </w:rPr>
        <w:t xml:space="preserve">Boston: McGraw-Hill. </w:t>
      </w:r>
      <w:r w:rsidDel="00000000" w:rsidR="00000000" w:rsidRPr="00000000">
        <w:rPr>
          <w:rtl w:val="0"/>
        </w:rPr>
      </w:r>
    </w:p>
    <w:p w:rsidR="00000000" w:rsidDel="00000000" w:rsidP="00000000" w:rsidRDefault="00000000" w:rsidRPr="00000000" w14:paraId="0000002E">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2F">
      <w:pPr>
        <w:spacing w:line="276" w:lineRule="auto"/>
        <w:ind w:right="531"/>
        <w:jc w:val="both"/>
        <w:rPr>
          <w:sz w:val="24"/>
          <w:szCs w:val="24"/>
        </w:rPr>
      </w:pPr>
      <w:r w:rsidDel="00000000" w:rsidR="00000000" w:rsidRPr="00000000">
        <w:rPr>
          <w:sz w:val="24"/>
          <w:szCs w:val="24"/>
          <w:rtl w:val="0"/>
        </w:rPr>
        <w:t xml:space="preserve">Wilson, J. and Kelling, G. (1982) </w:t>
      </w:r>
      <w:r w:rsidDel="00000000" w:rsidR="00000000" w:rsidRPr="00000000">
        <w:rPr>
          <w:i w:val="1"/>
          <w:sz w:val="24"/>
          <w:szCs w:val="24"/>
          <w:rtl w:val="0"/>
        </w:rPr>
        <w:t xml:space="preserve">Broken windows: The police and neighbourhood safety</w:t>
      </w:r>
      <w:r w:rsidDel="00000000" w:rsidR="00000000" w:rsidRPr="00000000">
        <w:rPr>
          <w:sz w:val="24"/>
          <w:szCs w:val="24"/>
          <w:rtl w:val="0"/>
        </w:rPr>
        <w:t xml:space="preserve">. The Atlantic. Available at: </w:t>
      </w:r>
      <w:hyperlink r:id="rId12">
        <w:r w:rsidDel="00000000" w:rsidR="00000000" w:rsidRPr="00000000">
          <w:rPr>
            <w:sz w:val="24"/>
            <w:szCs w:val="24"/>
            <w:u w:val="single"/>
            <w:rtl w:val="0"/>
          </w:rPr>
          <w:t xml:space="preserve">https://www.theatlantic.com/magazine/archive/1982/03/broken-windows/304465/</w:t>
        </w:r>
      </w:hyperlink>
      <w:r w:rsidDel="00000000" w:rsidR="00000000" w:rsidRPr="00000000">
        <w:rPr>
          <w:sz w:val="24"/>
          <w:szCs w:val="24"/>
          <w:rtl w:val="0"/>
        </w:rPr>
        <w:t xml:space="preserve"> </w:t>
      </w:r>
      <w:r w:rsidDel="00000000" w:rsidR="00000000" w:rsidRPr="00000000">
        <w:rPr>
          <w:sz w:val="24"/>
          <w:szCs w:val="24"/>
          <w:rtl w:val="0"/>
        </w:rPr>
        <w:t xml:space="preserve">(Accessed: 18th February 2023). </w:t>
      </w:r>
    </w:p>
    <w:p w:rsidR="00000000" w:rsidDel="00000000" w:rsidP="00000000" w:rsidRDefault="00000000" w:rsidRPr="00000000" w14:paraId="00000030">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31">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32">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33">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34">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35">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36">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37">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38">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39">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3A">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3B">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3C">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3D">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3E">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3F">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40">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41">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42">
      <w:pPr>
        <w:spacing w:after="160" w:line="240" w:lineRule="auto"/>
        <w:ind w:right="531"/>
        <w:jc w:val="center"/>
        <w:rPr>
          <w:sz w:val="24"/>
          <w:szCs w:val="24"/>
        </w:rPr>
      </w:pPr>
      <w:r w:rsidDel="00000000" w:rsidR="00000000" w:rsidRPr="00000000">
        <w:rPr>
          <w:sz w:val="24"/>
          <w:szCs w:val="24"/>
          <w:rtl w:val="0"/>
        </w:rPr>
        <w:t xml:space="preserve">Examine the potential impact of bias on police investigations, and outline how this can affect the willingness of communities to engage with police. Your answer must be based on academic research rather than personal experience, but you may make reference to relevant case studies.</w:t>
      </w:r>
    </w:p>
    <w:p w:rsidR="00000000" w:rsidDel="00000000" w:rsidP="00000000" w:rsidRDefault="00000000" w:rsidRPr="00000000" w14:paraId="00000043">
      <w:pPr>
        <w:spacing w:after="160" w:line="360" w:lineRule="auto"/>
        <w:ind w:right="531"/>
        <w:jc w:val="both"/>
        <w:rPr>
          <w:sz w:val="24"/>
          <w:szCs w:val="24"/>
        </w:rPr>
      </w:pPr>
      <w:r w:rsidDel="00000000" w:rsidR="00000000" w:rsidRPr="00000000">
        <w:rPr>
          <w:sz w:val="24"/>
          <w:szCs w:val="24"/>
          <w:rtl w:val="0"/>
        </w:rPr>
        <w:t xml:space="preserve">Community engagement is a problem solving approach to crime and disorder which requires collaboration between the police and the local community and is achieved through treating people fairly and considerately. The types of engagement between the police and community includes: as a victim, witness, suspect or defendant; structured participation such as attending a meeting or completing a questionnaire; unstructured participation by providing regular information to the police or engaging with young people; or informally through simply chatting in a non-policing context (College of Policing, 2018). Some communities will be more willing to engage with the police than others. Fairness and the perception of fairness are key to police legitimacy as well as to encouraging or discouraging effective engagement with communities (College of Policing, 2023). Accordingly, all aspects of policing, such as arrests, disposal decisions and the resolution of incidents, must be approached with fairness to increase institutional trust and enhance police legitimacy. In turn, this also has the capability to help efforts to reduce crime by encouraging greater respect for the law.</w:t>
      </w:r>
    </w:p>
    <w:p w:rsidR="00000000" w:rsidDel="00000000" w:rsidP="00000000" w:rsidRDefault="00000000" w:rsidRPr="00000000" w14:paraId="00000044">
      <w:pPr>
        <w:spacing w:after="160" w:line="360" w:lineRule="auto"/>
        <w:ind w:right="531"/>
        <w:jc w:val="both"/>
        <w:rPr>
          <w:sz w:val="24"/>
          <w:szCs w:val="24"/>
        </w:rPr>
      </w:pPr>
      <w:r w:rsidDel="00000000" w:rsidR="00000000" w:rsidRPr="00000000">
        <w:rPr>
          <w:sz w:val="24"/>
          <w:szCs w:val="24"/>
          <w:rtl w:val="0"/>
        </w:rPr>
        <w:t xml:space="preserve">When a crime is committed, police are tasked with gathering information and intelligence in order to make a professional judgement on the course of action. However, biases can too often have the potential to affect police investigations. It can influence the interpretation of evidence and decision making within the investigation process that can lead to unfair responses and wrongful convictions. Bias is widely recognised as “the </w:t>
      </w:r>
      <w:hyperlink r:id="rId13">
        <w:r w:rsidDel="00000000" w:rsidR="00000000" w:rsidRPr="00000000">
          <w:rPr>
            <w:sz w:val="24"/>
            <w:szCs w:val="24"/>
            <w:rtl w:val="0"/>
          </w:rPr>
          <w:t xml:space="preserve">action</w:t>
        </w:r>
      </w:hyperlink>
      <w:r w:rsidDel="00000000" w:rsidR="00000000" w:rsidRPr="00000000">
        <w:rPr>
          <w:sz w:val="24"/>
          <w:szCs w:val="24"/>
          <w:rtl w:val="0"/>
        </w:rPr>
        <w:t xml:space="preserve"> of </w:t>
      </w:r>
      <w:hyperlink r:id="rId14">
        <w:r w:rsidDel="00000000" w:rsidR="00000000" w:rsidRPr="00000000">
          <w:rPr>
            <w:sz w:val="24"/>
            <w:szCs w:val="24"/>
            <w:rtl w:val="0"/>
          </w:rPr>
          <w:t xml:space="preserve">supporting</w:t>
        </w:r>
      </w:hyperlink>
      <w:r w:rsidDel="00000000" w:rsidR="00000000" w:rsidRPr="00000000">
        <w:rPr>
          <w:sz w:val="24"/>
          <w:szCs w:val="24"/>
          <w:rtl w:val="0"/>
        </w:rPr>
        <w:t xml:space="preserve"> or </w:t>
      </w:r>
      <w:hyperlink r:id="rId15">
        <w:r w:rsidDel="00000000" w:rsidR="00000000" w:rsidRPr="00000000">
          <w:rPr>
            <w:sz w:val="24"/>
            <w:szCs w:val="24"/>
            <w:rtl w:val="0"/>
          </w:rPr>
          <w:t xml:space="preserve">opposing</w:t>
        </w:r>
      </w:hyperlink>
      <w:r w:rsidDel="00000000" w:rsidR="00000000" w:rsidRPr="00000000">
        <w:rPr>
          <w:sz w:val="24"/>
          <w:szCs w:val="24"/>
          <w:rtl w:val="0"/>
        </w:rPr>
        <w:t xml:space="preserve"> a </w:t>
      </w:r>
      <w:hyperlink r:id="rId16">
        <w:r w:rsidDel="00000000" w:rsidR="00000000" w:rsidRPr="00000000">
          <w:rPr>
            <w:sz w:val="24"/>
            <w:szCs w:val="24"/>
            <w:rtl w:val="0"/>
          </w:rPr>
          <w:t xml:space="preserve">particular</w:t>
        </w:r>
      </w:hyperlink>
      <w:r w:rsidDel="00000000" w:rsidR="00000000" w:rsidRPr="00000000">
        <w:rPr>
          <w:sz w:val="24"/>
          <w:szCs w:val="24"/>
          <w:rtl w:val="0"/>
        </w:rPr>
        <w:t xml:space="preserve"> </w:t>
      </w:r>
      <w:hyperlink r:id="rId17">
        <w:r w:rsidDel="00000000" w:rsidR="00000000" w:rsidRPr="00000000">
          <w:rPr>
            <w:sz w:val="24"/>
            <w:szCs w:val="24"/>
            <w:rtl w:val="0"/>
          </w:rPr>
          <w:t xml:space="preserve">person</w:t>
        </w:r>
      </w:hyperlink>
      <w:r w:rsidDel="00000000" w:rsidR="00000000" w:rsidRPr="00000000">
        <w:rPr>
          <w:sz w:val="24"/>
          <w:szCs w:val="24"/>
          <w:rtl w:val="0"/>
        </w:rPr>
        <w:t xml:space="preserve">, group or thing in an </w:t>
      </w:r>
      <w:hyperlink r:id="rId18">
        <w:r w:rsidDel="00000000" w:rsidR="00000000" w:rsidRPr="00000000">
          <w:rPr>
            <w:sz w:val="24"/>
            <w:szCs w:val="24"/>
            <w:rtl w:val="0"/>
          </w:rPr>
          <w:t xml:space="preserve">unfair</w:t>
        </w:r>
      </w:hyperlink>
      <w:r w:rsidDel="00000000" w:rsidR="00000000" w:rsidRPr="00000000">
        <w:rPr>
          <w:sz w:val="24"/>
          <w:szCs w:val="24"/>
          <w:rtl w:val="0"/>
        </w:rPr>
        <w:t xml:space="preserve"> way” (Oxford Dictionary, 2023). More specifically, in policing, bias is where officers take inappropriate action based upon his or her own personal or societal biases or stereotypes, of a presumed attribute such as race, ethnicity, gender, sexual orientation, religion, age and socio-economic status (Mason and Moran, 2019, p.2). Consequently, bias is considered as an obstacle for fostering trust and engagement between police and the community they serve. Minority groups tend to have less confidence in police and lower levels of trust (Murphy, 2013, p.186) due to the disillusionment of the police’s capacity to treat victims with fairness and respect. Nonetheless, police continue to hold negative perceptions, suspicions and stereotypes about some minorities (Miles-Johnson and Pickering, 2018, p.313). This mutual mistrust means that minority groups are less likely to engage with the police. </w:t>
      </w:r>
    </w:p>
    <w:p w:rsidR="00000000" w:rsidDel="00000000" w:rsidP="00000000" w:rsidRDefault="00000000" w:rsidRPr="00000000" w14:paraId="00000045">
      <w:pPr>
        <w:spacing w:after="160" w:line="360" w:lineRule="auto"/>
        <w:ind w:right="531"/>
        <w:jc w:val="both"/>
        <w:rPr>
          <w:sz w:val="24"/>
          <w:szCs w:val="24"/>
        </w:rPr>
      </w:pPr>
      <w:r w:rsidDel="00000000" w:rsidR="00000000" w:rsidRPr="00000000">
        <w:rPr>
          <w:sz w:val="24"/>
          <w:szCs w:val="24"/>
          <w:rtl w:val="0"/>
        </w:rPr>
        <w:t xml:space="preserve">Police bias can influence how an officer treats specific groups during encounters. Implicit (unconscious) and explicit (conscious) bias are the two types of bias which will be focused on in this discussion.  Implicit bias involves all of the subconscious feelings, perceptions, attitudes, and stereotypes that have developed as a result of prior influences and imprints (Devine et al, 2012, p.1270). Whereas, with explicit bias, individuals are aware of their prejudices and attitudes toward certain groups (Fridell, 2013, p.10). For the purpose of this discussion, the former will be focused on. With implicit bias, it only requires knowledge of a stereotype to produce discriminatory actions. To exemplify, </w:t>
      </w:r>
      <w:hyperlink r:id="rId19">
        <w:r w:rsidDel="00000000" w:rsidR="00000000" w:rsidRPr="00000000">
          <w:rPr>
            <w:sz w:val="24"/>
            <w:szCs w:val="24"/>
            <w:rtl w:val="0"/>
          </w:rPr>
          <w:t xml:space="preserve">Spencer et al.</w:t>
        </w:r>
      </w:hyperlink>
      <w:r w:rsidDel="00000000" w:rsidR="00000000" w:rsidRPr="00000000">
        <w:rPr>
          <w:sz w:val="24"/>
          <w:szCs w:val="24"/>
          <w:rtl w:val="0"/>
        </w:rPr>
        <w:t xml:space="preserve"> (2016) explain that “implicit biases can influence judgements through behavioural stereotypes, for example, linking race/ethnicity to aggression and sexuality differences, such as in lesbian, gay, bisexual, transgender, intersex and queer (LGBTIQ) people, to victimisation” which leads to negative consequences for those minorities. The individual may be unaware that biases, rather than the facts of a situation, are driving their decision-making, and its impact on wider community engagement. </w:t>
      </w:r>
    </w:p>
    <w:p w:rsidR="00000000" w:rsidDel="00000000" w:rsidP="00000000" w:rsidRDefault="00000000" w:rsidRPr="00000000" w14:paraId="00000046">
      <w:pPr>
        <w:spacing w:after="160" w:line="360" w:lineRule="auto"/>
        <w:ind w:right="531"/>
        <w:jc w:val="both"/>
        <w:rPr>
          <w:sz w:val="24"/>
          <w:szCs w:val="24"/>
        </w:rPr>
      </w:pPr>
      <w:r w:rsidDel="00000000" w:rsidR="00000000" w:rsidRPr="00000000">
        <w:rPr>
          <w:sz w:val="24"/>
          <w:szCs w:val="24"/>
          <w:rtl w:val="0"/>
        </w:rPr>
        <w:t xml:space="preserve">Police have been criticised since the 1980’s for their failure to acknowledge and address bias in their practice. For example, the Macpherson Report in 1999 uncovered major failings in the police investigation related to institutional racism whereby “unwitting prejudice and racist stereotyping” lead to racially discriminatory practice which disadvantaged ethnic minority people. Respectively, the report brought about recommendations about the way police recognise racist incidents and deal with racist crimes as well as improving community confidence. However, the Home Affairs Committee (2021) recently found that the  Macpherson report’s overall aim of “the elimination of racist prejudice and disadvantage, and the demonstration of fairness in all aspects of policing”, has still not been met. </w:t>
      </w:r>
    </w:p>
    <w:p w:rsidR="00000000" w:rsidDel="00000000" w:rsidP="00000000" w:rsidRDefault="00000000" w:rsidRPr="00000000" w14:paraId="00000047">
      <w:pPr>
        <w:spacing w:after="160" w:line="360" w:lineRule="auto"/>
        <w:ind w:right="531"/>
        <w:jc w:val="both"/>
        <w:rPr>
          <w:sz w:val="24"/>
          <w:szCs w:val="24"/>
        </w:rPr>
      </w:pPr>
      <w:r w:rsidDel="00000000" w:rsidR="00000000" w:rsidRPr="00000000">
        <w:rPr>
          <w:sz w:val="24"/>
          <w:szCs w:val="24"/>
          <w:rtl w:val="0"/>
        </w:rPr>
        <w:t xml:space="preserve">To demonstrate, it was revealed that “victims of hate crime are less likely to be satisfied with the outcome of a police investigation than they are in other crimes, and that some Black men and women still report that they have been treated as suspects not victims of crime” (Home Office Committee, 2021). This indicates that despite the Macpherson report leading to major changes in policing through its recommendations, there still remains an underlying cause of this behaviour occurring in investigations towards minority groups. It may be argued that implicit bias has a central role to play. Those in the force are not immune to the stereotypes and biases displayed in contemporary society as well as their own attitudes. For example, if we focus on the latter part of the aforementioned statement, an officer investigating a crime within the Black community may ask more persistent questions initially when responding, as they may subconsciously believe they are more likely to resist support, reinforcing stereotypes. This can lead to issues with disclosure which is crucial for gathering evidence in investigations. People are often unaware of using mental shortcuts to make sense of people and situations that might be new, different or unfamiliar (Quinton, 2011). These biases continue to cause issues of engagement and there is much to do to improve the relationship between the police and Black communities. </w:t>
      </w:r>
    </w:p>
    <w:p w:rsidR="00000000" w:rsidDel="00000000" w:rsidP="00000000" w:rsidRDefault="00000000" w:rsidRPr="00000000" w14:paraId="00000048">
      <w:pPr>
        <w:spacing w:after="160" w:line="360" w:lineRule="auto"/>
        <w:ind w:right="531"/>
        <w:jc w:val="both"/>
        <w:rPr>
          <w:sz w:val="24"/>
          <w:szCs w:val="24"/>
        </w:rPr>
      </w:pPr>
      <w:r w:rsidDel="00000000" w:rsidR="00000000" w:rsidRPr="00000000">
        <w:rPr>
          <w:sz w:val="24"/>
          <w:szCs w:val="24"/>
          <w:rtl w:val="0"/>
        </w:rPr>
        <w:t xml:space="preserve">In response to improving policing for Black people, the NPCC and College of Policing developed the Police Race Action Plan in 2022. Its aim is to give officers the tools they need to build trust and confidence with Black communities, as well as address any ingrained cultural biases that may be fuelling racial disparities across policing (NPCC and College of Policing, 2022). Workstream 1 under the plan focuses on developing a police service that is representative of Black people, as well as one which supports its Black officers. Research suggests that for Black groups, past experience, a history of racism, poor police-community relations and low levels of trust can generate a continuing expectation of racism and insensitive policing within BAME communities (Foster et al, 2005, p.64-5). As a direct response to this, the NPCC and College of Policing (2022) believe that introducing a mandatory training programme for all officers and staff on racism, anti-racism, Black history and its connection to policing will help improve an internal culture that promotes inclusivity and supports their development and progression. ​​This implies that such activities will improve policing response and effectiveness to support Black victims of crime, thus improving engagement. Moreover, the recruitment and progression of Black officers compliments this idea. Inclusionary strategies regarding recruitment proposes that “a police workforce that is representative of the community it serves will help ensure that the interests of all members of a community being policed will be considered during decision-making processes” (</w:t>
      </w:r>
      <w:hyperlink r:id="rId20">
        <w:r w:rsidDel="00000000" w:rsidR="00000000" w:rsidRPr="00000000">
          <w:rPr>
            <w:sz w:val="24"/>
            <w:szCs w:val="24"/>
            <w:rtl w:val="0"/>
          </w:rPr>
          <w:t xml:space="preserve">Bradbury and Kellough, 2011</w:t>
        </w:r>
      </w:hyperlink>
      <w:r w:rsidDel="00000000" w:rsidR="00000000" w:rsidRPr="00000000">
        <w:rPr>
          <w:sz w:val="24"/>
          <w:szCs w:val="24"/>
          <w:rtl w:val="0"/>
        </w:rPr>
        <w:t xml:space="preserve">, p.159). In combination, these actions have the capacity to mitigate the impact of bias and improve trust and confidence within Black communities. Educating officers provides them with an understanding of their personal role and the impact of their behaviours. Whilst recruitment and progression improves existing opportunities for Black people, ensuring they are properly represented within policing as well as identifying new points of contact and engagement. </w:t>
      </w:r>
    </w:p>
    <w:p w:rsidR="00000000" w:rsidDel="00000000" w:rsidP="00000000" w:rsidRDefault="00000000" w:rsidRPr="00000000" w14:paraId="00000049">
      <w:pPr>
        <w:spacing w:after="160" w:line="360" w:lineRule="auto"/>
        <w:ind w:right="531"/>
        <w:jc w:val="both"/>
        <w:rPr>
          <w:sz w:val="24"/>
          <w:szCs w:val="24"/>
        </w:rPr>
      </w:pPr>
      <w:r w:rsidDel="00000000" w:rsidR="00000000" w:rsidRPr="00000000">
        <w:rPr>
          <w:sz w:val="24"/>
          <w:szCs w:val="24"/>
          <w:rtl w:val="0"/>
        </w:rPr>
        <w:t xml:space="preserve">Conversely, although some forms of unconscious bias training are effective at raising awareness of an individual's implicit biases, there is no evidence that it changes behaviour (Atewologun, 2018). Bias cannot be mitigated by simply being aware of its existence. Police are required to use their discretion when making decisions. Stop-search is a typical example of where police officers need to use discretion. Where quick decisions are required, people tend to jump to conclusions based on prior similar experiences which can have a significant impact. Consequently, unconscious bias can affect the grounds used to justify a stop-search. Stereotypes of young black men being potentially more violent and involved in gang related activity, may impact police interactions and their perception of threat and subsequent actions (IOPC, 2021). Unconscious bias in these situations can disadvantage minority groups, depending on officers’ discretion (</w:t>
      </w:r>
      <w:hyperlink r:id="rId21">
        <w:r w:rsidDel="00000000" w:rsidR="00000000" w:rsidRPr="00000000">
          <w:rPr>
            <w:sz w:val="24"/>
            <w:szCs w:val="24"/>
            <w:rtl w:val="0"/>
          </w:rPr>
          <w:t xml:space="preserve">Miles-Johnson, 2016a</w:t>
        </w:r>
      </w:hyperlink>
      <w:r w:rsidDel="00000000" w:rsidR="00000000" w:rsidRPr="00000000">
        <w:rPr>
          <w:sz w:val="24"/>
          <w:szCs w:val="24"/>
          <w:rtl w:val="0"/>
        </w:rPr>
        <w:t xml:space="preserve">, p.610). Given the fact that in 2020, Black people were over nine and a half times more likely to be stopped and searched than White people (Home Office, 2020), it can be argued that these powers are still being used inappropriately. Although it can be difficult to prove, unconscious bias is often evidenced in the language used to record an officers ‘reasonable suspicion’ and where there are weak grounds for a stop search, it is more likely that other factors, such as stereotypes or bias, may have informed the decision (IOPC, 2021). The disproportionate use of stop search can have a significant impact on police investigations as well as on the willingness of communities to engage with them. Police legitimacy may be threatened if the police are perceived to be making unfair decisions which in turn can impact on a community's willingness to cooperate with the police. </w:t>
      </w:r>
      <w:r w:rsidDel="00000000" w:rsidR="00000000" w:rsidRPr="00000000">
        <w:rPr>
          <w:rtl w:val="0"/>
        </w:rPr>
      </w:r>
    </w:p>
    <w:p w:rsidR="00000000" w:rsidDel="00000000" w:rsidP="00000000" w:rsidRDefault="00000000" w:rsidRPr="00000000" w14:paraId="0000004A">
      <w:pPr>
        <w:spacing w:after="160" w:line="360" w:lineRule="auto"/>
        <w:ind w:right="531"/>
        <w:jc w:val="both"/>
        <w:rPr>
          <w:sz w:val="24"/>
          <w:szCs w:val="24"/>
        </w:rPr>
      </w:pPr>
      <w:r w:rsidDel="00000000" w:rsidR="00000000" w:rsidRPr="00000000">
        <w:rPr>
          <w:sz w:val="24"/>
          <w:szCs w:val="24"/>
          <w:rtl w:val="0"/>
        </w:rPr>
        <w:t xml:space="preserve">Although the Macpherson report focused specifically on race, the report also acted as the impetus for much wider workplace change across other identity strands (Jones, 2014). It resulted in attempts to rebuild fractured relationships with LGBT+ people, who were once persecuted by the police. The hypermasculine environment in policing and conformity to this is often considered to be influential on officers’ negative perceptions and treatment of groups, such as LGBT+ community. However, the progressive societal transformation, and public perceptions towards members of the LGBT+ community has influenced the behaviours and attitudes of police officers towards this group. The police have also made significant changes in policy and practice, particularly around hate crime, to protect LGBT+ people and eliminate bias further.  To exemplify, there has been significant improvement of hate crime reporting. In 2022, it was revealed that in the UK </w:t>
      </w:r>
      <w:r w:rsidDel="00000000" w:rsidR="00000000" w:rsidRPr="00000000">
        <w:rPr>
          <w:sz w:val="24"/>
          <w:szCs w:val="24"/>
          <w:rtl w:val="0"/>
        </w:rPr>
        <w:t xml:space="preserve">there was a 41% increase in reports of hate crime against LGBT+ people (Galop, 2022). This increase suggests an improvement in the trust of the LGBT+ community in the police as more people are coming forward. Moreover, this also demonstrates a shift in police culture and the homophobic attitudes which once dominated the force. </w:t>
      </w:r>
      <w:r w:rsidDel="00000000" w:rsidR="00000000" w:rsidRPr="00000000">
        <w:rPr>
          <w:sz w:val="24"/>
          <w:szCs w:val="24"/>
          <w:rtl w:val="0"/>
        </w:rPr>
        <w:t xml:space="preserve">The introduction of LGBT+ liaison officers has also had a positive impact on eliminating bias in police investigations and enhancing the willingness of the LGBT+ community to engage with the police. It supports the sharing of best practice, community information/intelligence which allows an opportunity to redress common barriers (MPS, 2020). The role is an invaluable initiative which signifies the change from historic police culture and policing objectives. It is fundamental to encourage reporting and achieving greater trust and confidence of LGBT+ people in the police service.</w:t>
      </w:r>
    </w:p>
    <w:p w:rsidR="00000000" w:rsidDel="00000000" w:rsidP="00000000" w:rsidRDefault="00000000" w:rsidRPr="00000000" w14:paraId="0000004B">
      <w:pPr>
        <w:spacing w:after="160" w:line="360" w:lineRule="auto"/>
        <w:ind w:right="531"/>
        <w:jc w:val="both"/>
        <w:rPr>
          <w:sz w:val="24"/>
          <w:szCs w:val="24"/>
        </w:rPr>
      </w:pPr>
      <w:r w:rsidDel="00000000" w:rsidR="00000000" w:rsidRPr="00000000">
        <w:rPr>
          <w:sz w:val="24"/>
          <w:szCs w:val="24"/>
          <w:rtl w:val="0"/>
        </w:rPr>
        <w:t xml:space="preserve">Nonetheless, patriarchal and heteronormative biases are still present throughout the police workforce. Despite the increased social acceptance of the LGBT+ community, Scraton and Chadwick (1996, p.301) argue that “once bias is institutionalised in any work setting, heterosexism and genderism become systematic and structured” which suggests that current police culture may still be plagued with negative perceptions and treatment of the LGBT+ community. This supports the findings of a recent survey which discovered that 44% of LGBT people expressed dissatisfaction with the way the police handled their report (​​Government Equalities Office, 2018). The LGBT+ community need to have confidence in the police that if they make the decision to report, that they will be met with a professional, empathetic and respectful response. However, Pickles (2020, p.749) acknowledges that “a reluctance of the wider police force to engage with LGBT+ people, due to the lack of confidence and knowledge in LGBT+ identity, indicates heteronormative biases within the police force” that consequently, results in the police not acting appropriately. It demonstrates that strategies that have been put in place to overcome this, lack effectiveness and understanding of inclusivity whilst reinforcing heterosexuality as the norm. It </w:t>
      </w:r>
      <w:r w:rsidDel="00000000" w:rsidR="00000000" w:rsidRPr="00000000">
        <w:rPr>
          <w:sz w:val="24"/>
          <w:szCs w:val="24"/>
          <w:rtl w:val="0"/>
        </w:rPr>
        <w:t xml:space="preserve">devalues LGBT+ communities and denies the opportunity </w:t>
      </w:r>
      <w:r w:rsidDel="00000000" w:rsidR="00000000" w:rsidRPr="00000000">
        <w:rPr>
          <w:sz w:val="24"/>
          <w:szCs w:val="24"/>
          <w:rtl w:val="0"/>
        </w:rPr>
        <w:t xml:space="preserve">for</w:t>
      </w:r>
      <w:r w:rsidDel="00000000" w:rsidR="00000000" w:rsidRPr="00000000">
        <w:rPr>
          <w:sz w:val="24"/>
          <w:szCs w:val="24"/>
          <w:rtl w:val="0"/>
        </w:rPr>
        <w:t xml:space="preserve"> the police to foster positive relations.</w:t>
      </w:r>
      <w:r w:rsidDel="00000000" w:rsidR="00000000" w:rsidRPr="00000000">
        <w:rPr>
          <w:rtl w:val="0"/>
        </w:rPr>
      </w:r>
    </w:p>
    <w:p w:rsidR="00000000" w:rsidDel="00000000" w:rsidP="00000000" w:rsidRDefault="00000000" w:rsidRPr="00000000" w14:paraId="0000004C">
      <w:pPr>
        <w:spacing w:after="160" w:line="360" w:lineRule="auto"/>
        <w:ind w:right="531"/>
        <w:jc w:val="both"/>
        <w:rPr>
          <w:sz w:val="24"/>
          <w:szCs w:val="24"/>
        </w:rPr>
      </w:pPr>
      <w:r w:rsidDel="00000000" w:rsidR="00000000" w:rsidRPr="00000000">
        <w:rPr>
          <w:sz w:val="24"/>
          <w:szCs w:val="24"/>
          <w:rtl w:val="0"/>
        </w:rPr>
        <w:t xml:space="preserve">To conclude, there has been some significant progress in reducing bias within police investigations in order to develop community engagement. The Macpherson report was particularly influential in driving such changes. To develop trust and engagement between the police and Black communities, better training has been implemented along with the development of a diverse police service. This has increased awareness and understanding of racism in order to help officers identify some of their personal biases and anticipate how these may affect their decision making. However, there is still a long way to go to eliminating racial bias in police investigations. Members of the black community are still frequently treated as suspects rather than victims due to mutual mistrust and stereotypes still exist around certain police powers such as stop search, impacting on investigations. Similarly, police bias in investigations towards LGBT+ communities has improved, resulting in the increase of reporting. Police culture has seen a shift in attitudes towards LGBT+ people. Despite this, there are still improvements to be made  as there is still a lack of skill, knowledge, or in some cases willingness to work with these communities to develop better reporting and disclosure.</w:t>
      </w:r>
    </w:p>
    <w:p w:rsidR="00000000" w:rsidDel="00000000" w:rsidP="00000000" w:rsidRDefault="00000000" w:rsidRPr="00000000" w14:paraId="0000004D">
      <w:pPr>
        <w:spacing w:after="160" w:line="360" w:lineRule="auto"/>
        <w:ind w:right="531"/>
        <w:jc w:val="both"/>
        <w:rPr>
          <w:sz w:val="24"/>
          <w:szCs w:val="24"/>
        </w:rPr>
      </w:pPr>
      <w:r w:rsidDel="00000000" w:rsidR="00000000" w:rsidRPr="00000000">
        <w:rPr>
          <w:sz w:val="24"/>
          <w:szCs w:val="24"/>
          <w:rtl w:val="0"/>
        </w:rPr>
        <w:t xml:space="preserve">Word count: 2191</w:t>
      </w:r>
    </w:p>
    <w:p w:rsidR="00000000" w:rsidDel="00000000" w:rsidP="00000000" w:rsidRDefault="00000000" w:rsidRPr="00000000" w14:paraId="0000004E">
      <w:pPr>
        <w:spacing w:after="160" w:line="276" w:lineRule="auto"/>
        <w:ind w:right="531"/>
        <w:rPr>
          <w:sz w:val="24"/>
          <w:szCs w:val="24"/>
        </w:rPr>
      </w:pPr>
      <w:r w:rsidDel="00000000" w:rsidR="00000000" w:rsidRPr="00000000">
        <w:rPr>
          <w:sz w:val="24"/>
          <w:szCs w:val="24"/>
          <w:rtl w:val="0"/>
        </w:rPr>
        <w:t xml:space="preserve">Bibliography:</w:t>
      </w:r>
    </w:p>
    <w:p w:rsidR="00000000" w:rsidDel="00000000" w:rsidP="00000000" w:rsidRDefault="00000000" w:rsidRPr="00000000" w14:paraId="0000004F">
      <w:pPr>
        <w:spacing w:after="160" w:line="276" w:lineRule="auto"/>
        <w:ind w:right="531"/>
        <w:rPr>
          <w:sz w:val="24"/>
          <w:szCs w:val="24"/>
        </w:rPr>
      </w:pPr>
      <w:r w:rsidDel="00000000" w:rsidR="00000000" w:rsidRPr="00000000">
        <w:rPr>
          <w:sz w:val="24"/>
          <w:szCs w:val="24"/>
          <w:rtl w:val="0"/>
        </w:rPr>
        <w:t xml:space="preserve">Atewologun, D., Cornish, T., and Tresh, F. (2018) </w:t>
      </w:r>
      <w:r w:rsidDel="00000000" w:rsidR="00000000" w:rsidRPr="00000000">
        <w:rPr>
          <w:i w:val="1"/>
          <w:sz w:val="24"/>
          <w:szCs w:val="24"/>
          <w:rtl w:val="0"/>
        </w:rPr>
        <w:t xml:space="preserve">Unconscious Bias Training: An assessment of the evidence for effectiveness. </w:t>
      </w:r>
      <w:r w:rsidDel="00000000" w:rsidR="00000000" w:rsidRPr="00000000">
        <w:rPr>
          <w:sz w:val="24"/>
          <w:szCs w:val="24"/>
          <w:rtl w:val="0"/>
        </w:rPr>
        <w:t xml:space="preserve">Available at: </w:t>
      </w:r>
      <w:hyperlink r:id="rId22">
        <w:r w:rsidDel="00000000" w:rsidR="00000000" w:rsidRPr="00000000">
          <w:rPr>
            <w:sz w:val="24"/>
            <w:szCs w:val="24"/>
            <w:u w:val="single"/>
            <w:rtl w:val="0"/>
          </w:rPr>
          <w:t xml:space="preserve">https://www.equalityhumanrights.com/sites/default/files/research-report-113-unconcious-bais-training-an-assessment-of-the-evidence-for-effectiveness-pdf.pdf</w:t>
        </w:r>
      </w:hyperlink>
      <w:r w:rsidDel="00000000" w:rsidR="00000000" w:rsidRPr="00000000">
        <w:rPr>
          <w:sz w:val="24"/>
          <w:szCs w:val="24"/>
          <w:rtl w:val="0"/>
        </w:rPr>
        <w:t xml:space="preserve"> (Access: 1 March 2023). </w:t>
      </w:r>
    </w:p>
    <w:p w:rsidR="00000000" w:rsidDel="00000000" w:rsidP="00000000" w:rsidRDefault="00000000" w:rsidRPr="00000000" w14:paraId="00000050">
      <w:pPr>
        <w:spacing w:after="160" w:line="276" w:lineRule="auto"/>
        <w:ind w:right="531"/>
        <w:rPr>
          <w:sz w:val="24"/>
          <w:szCs w:val="24"/>
        </w:rPr>
      </w:pPr>
      <w:hyperlink r:id="rId23">
        <w:r w:rsidDel="00000000" w:rsidR="00000000" w:rsidRPr="00000000">
          <w:rPr>
            <w:sz w:val="24"/>
            <w:szCs w:val="24"/>
            <w:rtl w:val="0"/>
          </w:rPr>
          <w:t xml:space="preserve">Bradbury, M. and Kellough, E. (2011</w:t>
        </w:r>
      </w:hyperlink>
      <w:r w:rsidDel="00000000" w:rsidR="00000000" w:rsidRPr="00000000">
        <w:rPr>
          <w:sz w:val="24"/>
          <w:szCs w:val="24"/>
          <w:rtl w:val="0"/>
        </w:rPr>
        <w:t xml:space="preserve">) ‘Representative bureaucracy: Assessing the evidence on active representation’,  </w:t>
      </w:r>
      <w:r w:rsidDel="00000000" w:rsidR="00000000" w:rsidRPr="00000000">
        <w:rPr>
          <w:i w:val="1"/>
          <w:sz w:val="24"/>
          <w:szCs w:val="24"/>
          <w:rtl w:val="0"/>
        </w:rPr>
        <w:t xml:space="preserve">The American Review of Public Administration,</w:t>
      </w:r>
      <w:r w:rsidDel="00000000" w:rsidR="00000000" w:rsidRPr="00000000">
        <w:rPr>
          <w:sz w:val="24"/>
          <w:szCs w:val="24"/>
          <w:rtl w:val="0"/>
        </w:rPr>
        <w:t xml:space="preserve"> 41, pp. 157–167. </w:t>
      </w:r>
    </w:p>
    <w:p w:rsidR="00000000" w:rsidDel="00000000" w:rsidP="00000000" w:rsidRDefault="00000000" w:rsidRPr="00000000" w14:paraId="00000051">
      <w:pPr>
        <w:spacing w:after="160" w:line="276" w:lineRule="auto"/>
        <w:ind w:right="531"/>
        <w:rPr>
          <w:sz w:val="24"/>
          <w:szCs w:val="24"/>
        </w:rPr>
      </w:pPr>
      <w:r w:rsidDel="00000000" w:rsidR="00000000" w:rsidRPr="00000000">
        <w:rPr>
          <w:sz w:val="24"/>
          <w:szCs w:val="24"/>
          <w:rtl w:val="0"/>
        </w:rPr>
        <w:t xml:space="preserve">College of Policing (2018) </w:t>
      </w:r>
      <w:r w:rsidDel="00000000" w:rsidR="00000000" w:rsidRPr="00000000">
        <w:rPr>
          <w:i w:val="1"/>
          <w:sz w:val="24"/>
          <w:szCs w:val="24"/>
          <w:rtl w:val="0"/>
        </w:rPr>
        <w:t xml:space="preserve">Neighbourhood Policing: Impact and Implementation. </w:t>
      </w:r>
      <w:r w:rsidDel="00000000" w:rsidR="00000000" w:rsidRPr="00000000">
        <w:rPr>
          <w:sz w:val="24"/>
          <w:szCs w:val="24"/>
          <w:rtl w:val="0"/>
        </w:rPr>
        <w:t xml:space="preserve">Available at: </w:t>
      </w:r>
      <w:hyperlink r:id="rId24">
        <w:r w:rsidDel="00000000" w:rsidR="00000000" w:rsidRPr="00000000">
          <w:rPr>
            <w:sz w:val="24"/>
            <w:szCs w:val="24"/>
            <w:u w:val="single"/>
            <w:rtl w:val="0"/>
          </w:rPr>
          <w:t xml:space="preserve">https://paas-s3-broker-prod-lon-6453d964-1d1a-432a-9260-5e0ba7d2fc51.s3.eu-west-2.amazonaws.com/s3fs-public/2021-02/np_rea_summary.pdf</w:t>
        </w:r>
      </w:hyperlink>
      <w:r w:rsidDel="00000000" w:rsidR="00000000" w:rsidRPr="00000000">
        <w:rPr>
          <w:sz w:val="24"/>
          <w:szCs w:val="24"/>
          <w:rtl w:val="0"/>
        </w:rPr>
        <w:t xml:space="preserve"> (Accessed: 28 February 2023). </w:t>
      </w:r>
    </w:p>
    <w:p w:rsidR="00000000" w:rsidDel="00000000" w:rsidP="00000000" w:rsidRDefault="00000000" w:rsidRPr="00000000" w14:paraId="00000052">
      <w:pPr>
        <w:spacing w:line="276" w:lineRule="auto"/>
        <w:ind w:right="531"/>
        <w:jc w:val="both"/>
        <w:rPr>
          <w:sz w:val="24"/>
          <w:szCs w:val="24"/>
        </w:rPr>
      </w:pPr>
      <w:r w:rsidDel="00000000" w:rsidR="00000000" w:rsidRPr="00000000">
        <w:rPr>
          <w:sz w:val="24"/>
          <w:szCs w:val="24"/>
          <w:rtl w:val="0"/>
        </w:rPr>
        <w:t xml:space="preserve">College of Policing (2013) </w:t>
      </w:r>
      <w:r w:rsidDel="00000000" w:rsidR="00000000" w:rsidRPr="00000000">
        <w:rPr>
          <w:i w:val="1"/>
          <w:sz w:val="24"/>
          <w:szCs w:val="24"/>
          <w:rtl w:val="0"/>
        </w:rPr>
        <w:t xml:space="preserve">Engagement and Communication. </w:t>
      </w:r>
      <w:r w:rsidDel="00000000" w:rsidR="00000000" w:rsidRPr="00000000">
        <w:rPr>
          <w:sz w:val="24"/>
          <w:szCs w:val="24"/>
          <w:rtl w:val="0"/>
        </w:rPr>
        <w:t xml:space="preserve">Available at: </w:t>
      </w:r>
      <w:hyperlink r:id="rId25">
        <w:r w:rsidDel="00000000" w:rsidR="00000000" w:rsidRPr="00000000">
          <w:rPr>
            <w:sz w:val="24"/>
            <w:szCs w:val="24"/>
            <w:u w:val="single"/>
            <w:rtl w:val="0"/>
          </w:rPr>
          <w:t xml:space="preserve">https://www.college.police.uk/app/engagement-and-communication/engagement</w:t>
        </w:r>
      </w:hyperlink>
      <w:r w:rsidDel="00000000" w:rsidR="00000000" w:rsidRPr="00000000">
        <w:rPr>
          <w:sz w:val="24"/>
          <w:szCs w:val="24"/>
          <w:rtl w:val="0"/>
        </w:rPr>
        <w:t xml:space="preserve"> (Accessed: 28 February 2023). </w:t>
      </w:r>
    </w:p>
    <w:p w:rsidR="00000000" w:rsidDel="00000000" w:rsidP="00000000" w:rsidRDefault="00000000" w:rsidRPr="00000000" w14:paraId="00000053">
      <w:pPr>
        <w:spacing w:line="276" w:lineRule="auto"/>
        <w:ind w:right="531"/>
        <w:jc w:val="both"/>
        <w:rPr>
          <w:sz w:val="24"/>
          <w:szCs w:val="24"/>
        </w:rPr>
      </w:pPr>
      <w:r w:rsidDel="00000000" w:rsidR="00000000" w:rsidRPr="00000000">
        <w:rPr>
          <w:rtl w:val="0"/>
        </w:rPr>
      </w:r>
    </w:p>
    <w:p w:rsidR="00000000" w:rsidDel="00000000" w:rsidP="00000000" w:rsidRDefault="00000000" w:rsidRPr="00000000" w14:paraId="00000054">
      <w:pPr>
        <w:spacing w:after="160" w:line="276" w:lineRule="auto"/>
        <w:ind w:right="531"/>
        <w:jc w:val="both"/>
        <w:rPr>
          <w:sz w:val="24"/>
          <w:szCs w:val="24"/>
        </w:rPr>
      </w:pPr>
      <w:r w:rsidDel="00000000" w:rsidR="00000000" w:rsidRPr="00000000">
        <w:rPr>
          <w:sz w:val="24"/>
          <w:szCs w:val="24"/>
          <w:rtl w:val="0"/>
        </w:rPr>
        <w:t xml:space="preserve">Devine, P., Forscher, P., Austin, A., and Cox, W. (2012) ‘Long-term reduction in implicit race bias: A prejudice habit breaking intervention’, </w:t>
      </w:r>
      <w:r w:rsidDel="00000000" w:rsidR="00000000" w:rsidRPr="00000000">
        <w:rPr>
          <w:i w:val="1"/>
          <w:sz w:val="24"/>
          <w:szCs w:val="24"/>
          <w:rtl w:val="0"/>
        </w:rPr>
        <w:t xml:space="preserve">Journal of Experimental Social Psychology</w:t>
      </w:r>
      <w:r w:rsidDel="00000000" w:rsidR="00000000" w:rsidRPr="00000000">
        <w:rPr>
          <w:sz w:val="24"/>
          <w:szCs w:val="24"/>
          <w:rtl w:val="0"/>
        </w:rPr>
        <w:t xml:space="preserve">, 48, pp. 1267-1278. </w:t>
      </w:r>
    </w:p>
    <w:p w:rsidR="00000000" w:rsidDel="00000000" w:rsidP="00000000" w:rsidRDefault="00000000" w:rsidRPr="00000000" w14:paraId="00000055">
      <w:pPr>
        <w:spacing w:after="160" w:line="276" w:lineRule="auto"/>
        <w:ind w:right="531"/>
        <w:jc w:val="both"/>
        <w:rPr>
          <w:sz w:val="24"/>
          <w:szCs w:val="24"/>
        </w:rPr>
      </w:pPr>
      <w:r w:rsidDel="00000000" w:rsidR="00000000" w:rsidRPr="00000000">
        <w:rPr>
          <w:sz w:val="24"/>
          <w:szCs w:val="24"/>
          <w:rtl w:val="0"/>
        </w:rPr>
        <w:t xml:space="preserve">Foster, J., Newburn, T., and Souhami, A. (2005) </w:t>
      </w:r>
      <w:r w:rsidDel="00000000" w:rsidR="00000000" w:rsidRPr="00000000">
        <w:rPr>
          <w:i w:val="1"/>
          <w:sz w:val="24"/>
          <w:szCs w:val="24"/>
          <w:rtl w:val="0"/>
        </w:rPr>
        <w:t xml:space="preserve">Assessing the impact of the Stephen Lawrence Inquiry. </w:t>
      </w:r>
      <w:r w:rsidDel="00000000" w:rsidR="00000000" w:rsidRPr="00000000">
        <w:rPr>
          <w:sz w:val="24"/>
          <w:szCs w:val="24"/>
          <w:rtl w:val="0"/>
        </w:rPr>
        <w:t xml:space="preserve">Available at: </w:t>
      </w:r>
      <w:hyperlink r:id="rId26">
        <w:r w:rsidDel="00000000" w:rsidR="00000000" w:rsidRPr="00000000">
          <w:rPr>
            <w:sz w:val="24"/>
            <w:szCs w:val="24"/>
            <w:u w:val="single"/>
            <w:rtl w:val="0"/>
          </w:rPr>
          <w:t xml:space="preserve">https://www.politieacademie.nl/kennisenonderzoek/kennis/mediatheek/PDF/45875.pdf</w:t>
        </w:r>
      </w:hyperlink>
      <w:r w:rsidDel="00000000" w:rsidR="00000000" w:rsidRPr="00000000">
        <w:rPr>
          <w:sz w:val="24"/>
          <w:szCs w:val="24"/>
          <w:rtl w:val="0"/>
        </w:rPr>
        <w:t xml:space="preserve"> (Accessed: 1 March 2023). </w:t>
      </w:r>
    </w:p>
    <w:p w:rsidR="00000000" w:rsidDel="00000000" w:rsidP="00000000" w:rsidRDefault="00000000" w:rsidRPr="00000000" w14:paraId="00000056">
      <w:pPr>
        <w:spacing w:after="160" w:line="276" w:lineRule="auto"/>
        <w:ind w:right="531"/>
        <w:jc w:val="both"/>
        <w:rPr>
          <w:sz w:val="24"/>
          <w:szCs w:val="24"/>
        </w:rPr>
      </w:pPr>
      <w:r w:rsidDel="00000000" w:rsidR="00000000" w:rsidRPr="00000000">
        <w:rPr>
          <w:sz w:val="24"/>
          <w:szCs w:val="24"/>
          <w:rtl w:val="0"/>
        </w:rPr>
        <w:t xml:space="preserve">Fridell, F. (2013) ‘This Is Not Your Grandparents’ Prejudice: The Implications of the Modern Science of Bias for Police Training’, </w:t>
      </w:r>
      <w:r w:rsidDel="00000000" w:rsidR="00000000" w:rsidRPr="00000000">
        <w:rPr>
          <w:i w:val="1"/>
          <w:sz w:val="24"/>
          <w:szCs w:val="24"/>
          <w:rtl w:val="0"/>
        </w:rPr>
        <w:t xml:space="preserve">Translational Criminology</w:t>
      </w:r>
      <w:r w:rsidDel="00000000" w:rsidR="00000000" w:rsidRPr="00000000">
        <w:rPr>
          <w:sz w:val="24"/>
          <w:szCs w:val="24"/>
          <w:rtl w:val="0"/>
        </w:rPr>
        <w:t xml:space="preserve">, pp. 10-11. </w:t>
      </w:r>
    </w:p>
    <w:p w:rsidR="00000000" w:rsidDel="00000000" w:rsidP="00000000" w:rsidRDefault="00000000" w:rsidRPr="00000000" w14:paraId="00000057">
      <w:pPr>
        <w:spacing w:after="160" w:line="276" w:lineRule="auto"/>
        <w:ind w:right="531"/>
        <w:jc w:val="both"/>
        <w:rPr>
          <w:i w:val="1"/>
          <w:sz w:val="24"/>
          <w:szCs w:val="24"/>
        </w:rPr>
      </w:pPr>
      <w:r w:rsidDel="00000000" w:rsidR="00000000" w:rsidRPr="00000000">
        <w:rPr>
          <w:sz w:val="24"/>
          <w:szCs w:val="24"/>
          <w:rtl w:val="0"/>
        </w:rPr>
        <w:t xml:space="preserve">GALOP (2022) </w:t>
      </w:r>
      <w:r w:rsidDel="00000000" w:rsidR="00000000" w:rsidRPr="00000000">
        <w:rPr>
          <w:i w:val="1"/>
          <w:sz w:val="24"/>
          <w:szCs w:val="24"/>
          <w:rtl w:val="0"/>
        </w:rPr>
        <w:t xml:space="preserve">Galop’s statement on the release of the 2021-2022 Official Statistics for Hate Crime. </w:t>
      </w:r>
      <w:r w:rsidDel="00000000" w:rsidR="00000000" w:rsidRPr="00000000">
        <w:rPr>
          <w:sz w:val="24"/>
          <w:szCs w:val="24"/>
          <w:rtl w:val="0"/>
        </w:rPr>
        <w:t xml:space="preserve">Available at: </w:t>
      </w:r>
      <w:hyperlink r:id="rId27">
        <w:r w:rsidDel="00000000" w:rsidR="00000000" w:rsidRPr="00000000">
          <w:rPr>
            <w:sz w:val="24"/>
            <w:szCs w:val="24"/>
            <w:u w:val="single"/>
            <w:rtl w:val="0"/>
          </w:rPr>
          <w:t xml:space="preserve">https://galop.org.uk/news/galops-statement-on-the-release-of-the-2021-2022-official-statistics-for-hate-crime/</w:t>
        </w:r>
      </w:hyperlink>
      <w:r w:rsidDel="00000000" w:rsidR="00000000" w:rsidRPr="00000000">
        <w:rPr>
          <w:sz w:val="24"/>
          <w:szCs w:val="24"/>
          <w:rtl w:val="0"/>
        </w:rPr>
        <w:t xml:space="preserve"> (Accessed: 1 March 2023). </w:t>
      </w:r>
      <w:r w:rsidDel="00000000" w:rsidR="00000000" w:rsidRPr="00000000">
        <w:rPr>
          <w:rtl w:val="0"/>
        </w:rPr>
      </w:r>
    </w:p>
    <w:p w:rsidR="00000000" w:rsidDel="00000000" w:rsidP="00000000" w:rsidRDefault="00000000" w:rsidRPr="00000000" w14:paraId="00000058">
      <w:pPr>
        <w:spacing w:after="160" w:line="276" w:lineRule="auto"/>
        <w:ind w:right="531"/>
        <w:jc w:val="both"/>
        <w:rPr>
          <w:i w:val="1"/>
          <w:sz w:val="24"/>
          <w:szCs w:val="24"/>
        </w:rPr>
      </w:pPr>
      <w:r w:rsidDel="00000000" w:rsidR="00000000" w:rsidRPr="00000000">
        <w:rPr>
          <w:sz w:val="24"/>
          <w:szCs w:val="24"/>
          <w:rtl w:val="0"/>
        </w:rPr>
        <w:t xml:space="preserve">Government Equalities Office (2018) </w:t>
      </w:r>
      <w:r w:rsidDel="00000000" w:rsidR="00000000" w:rsidRPr="00000000">
        <w:rPr>
          <w:i w:val="1"/>
          <w:sz w:val="24"/>
          <w:szCs w:val="24"/>
          <w:rtl w:val="0"/>
        </w:rPr>
        <w:t xml:space="preserve">National LGBT Survey. Available at: </w:t>
      </w:r>
      <w:hyperlink r:id="rId28">
        <w:r w:rsidDel="00000000" w:rsidR="00000000" w:rsidRPr="00000000">
          <w:rPr>
            <w:i w:val="1"/>
            <w:sz w:val="24"/>
            <w:szCs w:val="24"/>
            <w:u w:val="single"/>
            <w:rtl w:val="0"/>
          </w:rPr>
          <w:t xml:space="preserve">https://assets.publishing.service.gov.uk/government/uploads/system/uploads/attachment_data/file/722314/GEO-LGBT-Survey-Report.pdf</w:t>
        </w:r>
      </w:hyperlink>
      <w:r w:rsidDel="00000000" w:rsidR="00000000" w:rsidRPr="00000000">
        <w:rPr>
          <w:i w:val="1"/>
          <w:sz w:val="24"/>
          <w:szCs w:val="24"/>
          <w:rtl w:val="0"/>
        </w:rPr>
        <w:t xml:space="preserve"> (Accessed: 3 March 2023). </w:t>
      </w:r>
    </w:p>
    <w:p w:rsidR="00000000" w:rsidDel="00000000" w:rsidP="00000000" w:rsidRDefault="00000000" w:rsidRPr="00000000" w14:paraId="00000059">
      <w:pPr>
        <w:spacing w:after="160" w:line="276" w:lineRule="auto"/>
        <w:ind w:right="531"/>
        <w:jc w:val="both"/>
        <w:rPr>
          <w:sz w:val="24"/>
          <w:szCs w:val="24"/>
        </w:rPr>
      </w:pPr>
      <w:r w:rsidDel="00000000" w:rsidR="00000000" w:rsidRPr="00000000">
        <w:rPr>
          <w:sz w:val="24"/>
          <w:szCs w:val="24"/>
          <w:rtl w:val="0"/>
        </w:rPr>
        <w:t xml:space="preserve">Home Affairs Committee (2021) </w:t>
      </w:r>
      <w:r w:rsidDel="00000000" w:rsidR="00000000" w:rsidRPr="00000000">
        <w:rPr>
          <w:i w:val="1"/>
          <w:sz w:val="24"/>
          <w:szCs w:val="24"/>
          <w:rtl w:val="0"/>
        </w:rPr>
        <w:t xml:space="preserve">The Macpherson Report: Twenty-two years on. </w:t>
      </w:r>
      <w:r w:rsidDel="00000000" w:rsidR="00000000" w:rsidRPr="00000000">
        <w:rPr>
          <w:sz w:val="24"/>
          <w:szCs w:val="24"/>
          <w:rtl w:val="0"/>
        </w:rPr>
        <w:t xml:space="preserve">Available at: </w:t>
      </w:r>
      <w:hyperlink r:id="rId29">
        <w:r w:rsidDel="00000000" w:rsidR="00000000" w:rsidRPr="00000000">
          <w:rPr>
            <w:sz w:val="24"/>
            <w:szCs w:val="24"/>
            <w:u w:val="single"/>
            <w:rtl w:val="0"/>
          </w:rPr>
          <w:t xml:space="preserve">https://publications.parliament.uk/pa/cm5802/cmselect/cmhaff/139/13903.htm#:~:text=The%20Macpherson%20report%20found%20that,both%20individual%20and%20institutional%20level</w:t>
        </w:r>
      </w:hyperlink>
      <w:r w:rsidDel="00000000" w:rsidR="00000000" w:rsidRPr="00000000">
        <w:rPr>
          <w:sz w:val="24"/>
          <w:szCs w:val="24"/>
          <w:rtl w:val="0"/>
        </w:rPr>
        <w:t xml:space="preserve"> (Accessed: 2 March 2023). </w:t>
      </w:r>
    </w:p>
    <w:p w:rsidR="00000000" w:rsidDel="00000000" w:rsidP="00000000" w:rsidRDefault="00000000" w:rsidRPr="00000000" w14:paraId="0000005A">
      <w:pPr>
        <w:spacing w:after="160" w:line="276" w:lineRule="auto"/>
        <w:ind w:right="531"/>
        <w:jc w:val="both"/>
        <w:rPr>
          <w:sz w:val="24"/>
          <w:szCs w:val="24"/>
        </w:rPr>
      </w:pPr>
      <w:r w:rsidDel="00000000" w:rsidR="00000000" w:rsidRPr="00000000">
        <w:rPr>
          <w:sz w:val="24"/>
          <w:szCs w:val="24"/>
          <w:rtl w:val="0"/>
        </w:rPr>
        <w:t xml:space="preserve">Home Office (2020) </w:t>
      </w:r>
      <w:r w:rsidDel="00000000" w:rsidR="00000000" w:rsidRPr="00000000">
        <w:rPr>
          <w:i w:val="1"/>
          <w:sz w:val="24"/>
          <w:szCs w:val="24"/>
          <w:rtl w:val="0"/>
        </w:rPr>
        <w:t xml:space="preserve">Police Powers and Procedures. </w:t>
      </w:r>
      <w:r w:rsidDel="00000000" w:rsidR="00000000" w:rsidRPr="00000000">
        <w:rPr>
          <w:sz w:val="24"/>
          <w:szCs w:val="24"/>
          <w:rtl w:val="0"/>
        </w:rPr>
        <w:t xml:space="preserve">Available at: </w:t>
      </w:r>
      <w:hyperlink r:id="rId30">
        <w:r w:rsidDel="00000000" w:rsidR="00000000" w:rsidRPr="00000000">
          <w:rPr>
            <w:sz w:val="24"/>
            <w:szCs w:val="24"/>
            <w:u w:val="single"/>
            <w:rtl w:val="0"/>
          </w:rPr>
          <w:t xml:space="preserve">https://assets.publishing.service.gov.uk/government/uploads/system/uploads/attachment_data/file/935355/police-powers-procedures-mar20-hosb3120.pdf</w:t>
        </w:r>
      </w:hyperlink>
      <w:r w:rsidDel="00000000" w:rsidR="00000000" w:rsidRPr="00000000">
        <w:rPr>
          <w:sz w:val="24"/>
          <w:szCs w:val="24"/>
          <w:rtl w:val="0"/>
        </w:rPr>
        <w:t xml:space="preserve"> (Accessed: 1 March 2023). </w:t>
      </w:r>
    </w:p>
    <w:p w:rsidR="00000000" w:rsidDel="00000000" w:rsidP="00000000" w:rsidRDefault="00000000" w:rsidRPr="00000000" w14:paraId="0000005B">
      <w:pPr>
        <w:spacing w:after="160" w:line="276" w:lineRule="auto"/>
        <w:ind w:right="531"/>
        <w:jc w:val="both"/>
        <w:rPr>
          <w:sz w:val="24"/>
          <w:szCs w:val="24"/>
        </w:rPr>
      </w:pPr>
      <w:r w:rsidDel="00000000" w:rsidR="00000000" w:rsidRPr="00000000">
        <w:rPr>
          <w:sz w:val="24"/>
          <w:szCs w:val="24"/>
          <w:rtl w:val="0"/>
        </w:rPr>
        <w:t xml:space="preserve">Inspectorate of Constabulary and Fire &amp; Rescue Service (2021) </w:t>
      </w:r>
      <w:r w:rsidDel="00000000" w:rsidR="00000000" w:rsidRPr="00000000">
        <w:rPr>
          <w:i w:val="1"/>
          <w:sz w:val="24"/>
          <w:szCs w:val="24"/>
          <w:rtl w:val="0"/>
        </w:rPr>
        <w:t xml:space="preserve">Disproportionate use of police powers. </w:t>
      </w:r>
      <w:r w:rsidDel="00000000" w:rsidR="00000000" w:rsidRPr="00000000">
        <w:rPr>
          <w:sz w:val="24"/>
          <w:szCs w:val="24"/>
          <w:rtl w:val="0"/>
        </w:rPr>
        <w:t xml:space="preserve">Available at: </w:t>
      </w:r>
      <w:hyperlink r:id="rId31">
        <w:r w:rsidDel="00000000" w:rsidR="00000000" w:rsidRPr="00000000">
          <w:rPr>
            <w:sz w:val="24"/>
            <w:szCs w:val="24"/>
            <w:u w:val="single"/>
            <w:rtl w:val="0"/>
          </w:rPr>
          <w:t xml:space="preserve">https://www.justiceinspectorates.gov.uk/hmicfrs/wp-content/uploads/disproportionate-use-of-police-powers-spotlight-on-stop-search-and-use-of-force.pdf</w:t>
        </w:r>
      </w:hyperlink>
      <w:r w:rsidDel="00000000" w:rsidR="00000000" w:rsidRPr="00000000">
        <w:rPr>
          <w:sz w:val="24"/>
          <w:szCs w:val="24"/>
          <w:rtl w:val="0"/>
        </w:rPr>
        <w:t xml:space="preserve"> (Accessed: 2 March 2023). </w:t>
      </w:r>
    </w:p>
    <w:p w:rsidR="00000000" w:rsidDel="00000000" w:rsidP="00000000" w:rsidRDefault="00000000" w:rsidRPr="00000000" w14:paraId="0000005C">
      <w:pPr>
        <w:spacing w:after="160" w:line="276" w:lineRule="auto"/>
        <w:ind w:right="531"/>
        <w:jc w:val="both"/>
        <w:rPr>
          <w:sz w:val="24"/>
          <w:szCs w:val="24"/>
        </w:rPr>
      </w:pPr>
      <w:r w:rsidDel="00000000" w:rsidR="00000000" w:rsidRPr="00000000">
        <w:rPr>
          <w:sz w:val="24"/>
          <w:szCs w:val="24"/>
          <w:rtl w:val="0"/>
        </w:rPr>
        <w:t xml:space="preserve">Jones, M. (2014) </w:t>
      </w:r>
      <w:r w:rsidDel="00000000" w:rsidR="00000000" w:rsidRPr="00000000">
        <w:rPr>
          <w:i w:val="1"/>
          <w:sz w:val="24"/>
          <w:szCs w:val="24"/>
          <w:rtl w:val="0"/>
        </w:rPr>
        <w:t xml:space="preserve">Cultures of Difference: Examining the Career Experiences and Contributions of Lesbian, Gay and Bisexual Police Officers post-Macpherson</w:t>
      </w:r>
      <w:r w:rsidDel="00000000" w:rsidR="00000000" w:rsidRPr="00000000">
        <w:rPr>
          <w:sz w:val="24"/>
          <w:szCs w:val="24"/>
          <w:rtl w:val="0"/>
        </w:rPr>
        <w:t xml:space="preserve">. Unpublished PhD Thesis. Cardiff University. </w:t>
      </w:r>
    </w:p>
    <w:p w:rsidR="00000000" w:rsidDel="00000000" w:rsidP="00000000" w:rsidRDefault="00000000" w:rsidRPr="00000000" w14:paraId="0000005D">
      <w:pPr>
        <w:spacing w:after="160" w:line="276" w:lineRule="auto"/>
        <w:ind w:right="531"/>
        <w:rPr>
          <w:sz w:val="24"/>
          <w:szCs w:val="24"/>
        </w:rPr>
      </w:pPr>
      <w:r w:rsidDel="00000000" w:rsidR="00000000" w:rsidRPr="00000000">
        <w:rPr>
          <w:sz w:val="24"/>
          <w:szCs w:val="24"/>
          <w:rtl w:val="0"/>
        </w:rPr>
        <w:t xml:space="preserve">Mason, G. and Moran, L. (2019) ‘Bias Crime Policing: The Graveyard Shift’,</w:t>
      </w:r>
      <w:r w:rsidDel="00000000" w:rsidR="00000000" w:rsidRPr="00000000">
        <w:rPr>
          <w:i w:val="1"/>
          <w:sz w:val="24"/>
          <w:szCs w:val="24"/>
          <w:rtl w:val="0"/>
        </w:rPr>
        <w:t xml:space="preserve"> </w:t>
      </w:r>
      <w:hyperlink r:id="rId32">
        <w:r w:rsidDel="00000000" w:rsidR="00000000" w:rsidRPr="00000000">
          <w:rPr>
            <w:i w:val="1"/>
            <w:sz w:val="24"/>
            <w:szCs w:val="24"/>
            <w:rtl w:val="0"/>
          </w:rPr>
          <w:t xml:space="preserve">International Journal for Crime, Justice and Social Democracy</w:t>
        </w:r>
      </w:hyperlink>
      <w:r w:rsidDel="00000000" w:rsidR="00000000" w:rsidRPr="00000000">
        <w:rPr>
          <w:i w:val="1"/>
          <w:sz w:val="24"/>
          <w:szCs w:val="24"/>
          <w:rtl w:val="0"/>
        </w:rPr>
        <w:t xml:space="preserve">, </w:t>
      </w:r>
      <w:r w:rsidDel="00000000" w:rsidR="00000000" w:rsidRPr="00000000">
        <w:rPr>
          <w:sz w:val="24"/>
          <w:szCs w:val="24"/>
          <w:rtl w:val="0"/>
        </w:rPr>
        <w:t xml:space="preserve">8(2), pp. 1-16. </w:t>
      </w:r>
    </w:p>
    <w:p w:rsidR="00000000" w:rsidDel="00000000" w:rsidP="00000000" w:rsidRDefault="00000000" w:rsidRPr="00000000" w14:paraId="0000005E">
      <w:pPr>
        <w:spacing w:after="160" w:line="276" w:lineRule="auto"/>
        <w:ind w:right="531"/>
        <w:jc w:val="both"/>
        <w:rPr>
          <w:sz w:val="24"/>
          <w:szCs w:val="24"/>
        </w:rPr>
      </w:pPr>
      <w:hyperlink r:id="rId33">
        <w:r w:rsidDel="00000000" w:rsidR="00000000" w:rsidRPr="00000000">
          <w:rPr>
            <w:sz w:val="24"/>
            <w:szCs w:val="24"/>
            <w:rtl w:val="0"/>
          </w:rPr>
          <w:t xml:space="preserve">Miles-Johnson, T. (2016a</w:t>
        </w:r>
      </w:hyperlink>
      <w:r w:rsidDel="00000000" w:rsidR="00000000" w:rsidRPr="00000000">
        <w:rPr>
          <w:sz w:val="24"/>
          <w:szCs w:val="24"/>
          <w:rtl w:val="0"/>
        </w:rPr>
        <w:t xml:space="preserve">) ‘Perceptions of group value: How Australian transgender people view policing’, </w:t>
      </w:r>
      <w:r w:rsidDel="00000000" w:rsidR="00000000" w:rsidRPr="00000000">
        <w:rPr>
          <w:i w:val="1"/>
          <w:sz w:val="24"/>
          <w:szCs w:val="24"/>
          <w:rtl w:val="0"/>
        </w:rPr>
        <w:t xml:space="preserve">Policing and Society,</w:t>
      </w:r>
      <w:r w:rsidDel="00000000" w:rsidR="00000000" w:rsidRPr="00000000">
        <w:rPr>
          <w:sz w:val="24"/>
          <w:szCs w:val="24"/>
          <w:rtl w:val="0"/>
        </w:rPr>
        <w:t xml:space="preserve"> 26(6), pp. 605–626. DOI: 10.1080/10439463.2014.996563 </w:t>
      </w:r>
    </w:p>
    <w:p w:rsidR="00000000" w:rsidDel="00000000" w:rsidP="00000000" w:rsidRDefault="00000000" w:rsidRPr="00000000" w14:paraId="0000005F">
      <w:pPr>
        <w:spacing w:after="160" w:line="276" w:lineRule="auto"/>
        <w:ind w:right="531"/>
        <w:jc w:val="both"/>
        <w:rPr>
          <w:sz w:val="24"/>
          <w:szCs w:val="24"/>
        </w:rPr>
      </w:pPr>
      <w:r w:rsidDel="00000000" w:rsidR="00000000" w:rsidRPr="00000000">
        <w:rPr>
          <w:sz w:val="24"/>
          <w:szCs w:val="24"/>
          <w:rtl w:val="0"/>
        </w:rPr>
        <w:t xml:space="preserve">Miles-Johnson, T. and Pickering, S. (2018) ‘Police recruits and perceptions of trust in diverse groups’, </w:t>
      </w:r>
      <w:r w:rsidDel="00000000" w:rsidR="00000000" w:rsidRPr="00000000">
        <w:rPr>
          <w:i w:val="1"/>
          <w:sz w:val="24"/>
          <w:szCs w:val="24"/>
          <w:rtl w:val="0"/>
        </w:rPr>
        <w:t xml:space="preserve">Police Practice and Research,</w:t>
      </w:r>
      <w:r w:rsidDel="00000000" w:rsidR="00000000" w:rsidRPr="00000000">
        <w:rPr>
          <w:sz w:val="24"/>
          <w:szCs w:val="24"/>
          <w:rtl w:val="0"/>
        </w:rPr>
        <w:t xml:space="preserve"> 19(4), pp. 311–328. DOI: 10.1080/15614263.2017.1364162.</w:t>
      </w:r>
    </w:p>
    <w:p w:rsidR="00000000" w:rsidDel="00000000" w:rsidP="00000000" w:rsidRDefault="00000000" w:rsidRPr="00000000" w14:paraId="00000060">
      <w:pPr>
        <w:spacing w:after="160" w:line="276" w:lineRule="auto"/>
        <w:ind w:right="531"/>
        <w:rPr>
          <w:sz w:val="24"/>
          <w:szCs w:val="24"/>
        </w:rPr>
      </w:pPr>
      <w:r w:rsidDel="00000000" w:rsidR="00000000" w:rsidRPr="00000000">
        <w:rPr>
          <w:sz w:val="24"/>
          <w:szCs w:val="24"/>
          <w:rtl w:val="0"/>
        </w:rPr>
        <w:t xml:space="preserve">Murphy, K. (2013) ‘Policing at the margins: Fostering trust and cooperation among ethnic minority groups. Journal of Policing’,  </w:t>
      </w:r>
      <w:r w:rsidDel="00000000" w:rsidR="00000000" w:rsidRPr="00000000">
        <w:rPr>
          <w:i w:val="1"/>
          <w:sz w:val="24"/>
          <w:szCs w:val="24"/>
          <w:rtl w:val="0"/>
        </w:rPr>
        <w:t xml:space="preserve">Intelligence and Counter Terrorism</w:t>
      </w:r>
      <w:r w:rsidDel="00000000" w:rsidR="00000000" w:rsidRPr="00000000">
        <w:rPr>
          <w:sz w:val="24"/>
          <w:szCs w:val="24"/>
          <w:rtl w:val="0"/>
        </w:rPr>
        <w:t xml:space="preserve">, 8(2), pp. 184–199. DOI: 10.1080/18335330.2013.821733</w:t>
      </w:r>
    </w:p>
    <w:p w:rsidR="00000000" w:rsidDel="00000000" w:rsidP="00000000" w:rsidRDefault="00000000" w:rsidRPr="00000000" w14:paraId="00000061">
      <w:pPr>
        <w:spacing w:after="160" w:line="276" w:lineRule="auto"/>
        <w:ind w:right="531"/>
        <w:jc w:val="both"/>
        <w:rPr>
          <w:sz w:val="24"/>
          <w:szCs w:val="24"/>
        </w:rPr>
      </w:pPr>
      <w:r w:rsidDel="00000000" w:rsidR="00000000" w:rsidRPr="00000000">
        <w:rPr>
          <w:sz w:val="24"/>
          <w:szCs w:val="24"/>
          <w:rtl w:val="0"/>
        </w:rPr>
        <w:t xml:space="preserve">NPCC and College of Policing (2022) </w:t>
      </w:r>
      <w:r w:rsidDel="00000000" w:rsidR="00000000" w:rsidRPr="00000000">
        <w:rPr>
          <w:i w:val="1"/>
          <w:sz w:val="24"/>
          <w:szCs w:val="24"/>
          <w:rtl w:val="0"/>
        </w:rPr>
        <w:t xml:space="preserve">Policing Vision 2025. </w:t>
      </w:r>
      <w:r w:rsidDel="00000000" w:rsidR="00000000" w:rsidRPr="00000000">
        <w:rPr>
          <w:sz w:val="24"/>
          <w:szCs w:val="24"/>
          <w:rtl w:val="0"/>
        </w:rPr>
        <w:t xml:space="preserve">Available at: </w:t>
      </w:r>
      <w:hyperlink r:id="rId34">
        <w:r w:rsidDel="00000000" w:rsidR="00000000" w:rsidRPr="00000000">
          <w:rPr>
            <w:sz w:val="24"/>
            <w:szCs w:val="24"/>
            <w:u w:val="single"/>
            <w:rtl w:val="0"/>
          </w:rPr>
          <w:t xml:space="preserve">https://assets.college.police.uk/s3fs-public/policing_vision_2025.pdf</w:t>
        </w:r>
      </w:hyperlink>
      <w:r w:rsidDel="00000000" w:rsidR="00000000" w:rsidRPr="00000000">
        <w:rPr>
          <w:sz w:val="24"/>
          <w:szCs w:val="24"/>
          <w:rtl w:val="0"/>
        </w:rPr>
        <w:t xml:space="preserve"> (Accessed: 2 March 2023). </w:t>
      </w:r>
    </w:p>
    <w:p w:rsidR="00000000" w:rsidDel="00000000" w:rsidP="00000000" w:rsidRDefault="00000000" w:rsidRPr="00000000" w14:paraId="00000062">
      <w:pPr>
        <w:spacing w:after="160" w:line="276" w:lineRule="auto"/>
        <w:ind w:right="531"/>
        <w:rPr>
          <w:sz w:val="24"/>
          <w:szCs w:val="24"/>
        </w:rPr>
      </w:pPr>
      <w:r w:rsidDel="00000000" w:rsidR="00000000" w:rsidRPr="00000000">
        <w:rPr>
          <w:sz w:val="24"/>
          <w:szCs w:val="24"/>
          <w:rtl w:val="0"/>
        </w:rPr>
        <w:t xml:space="preserve">Oxford Dictionary (2023) </w:t>
      </w:r>
      <w:r w:rsidDel="00000000" w:rsidR="00000000" w:rsidRPr="00000000">
        <w:rPr>
          <w:i w:val="1"/>
          <w:sz w:val="24"/>
          <w:szCs w:val="24"/>
          <w:rtl w:val="0"/>
        </w:rPr>
        <w:t xml:space="preserve">Definition of Bias (noun). </w:t>
      </w:r>
      <w:r w:rsidDel="00000000" w:rsidR="00000000" w:rsidRPr="00000000">
        <w:rPr>
          <w:sz w:val="24"/>
          <w:szCs w:val="24"/>
          <w:rtl w:val="0"/>
        </w:rPr>
        <w:t xml:space="preserve">Available at: </w:t>
      </w:r>
      <w:hyperlink r:id="rId35">
        <w:r w:rsidDel="00000000" w:rsidR="00000000" w:rsidRPr="00000000">
          <w:rPr>
            <w:sz w:val="24"/>
            <w:szCs w:val="24"/>
            <w:u w:val="single"/>
            <w:rtl w:val="0"/>
          </w:rPr>
          <w:t xml:space="preserve">https://www.oxfordlearnersdictionaries.com/definition/english/bias_1#:~:text=%2F%CB%88ba%C9%AA%C9%99s%2F,not%20based%20on%20fair%20judgement</w:t>
        </w:r>
      </w:hyperlink>
      <w:r w:rsidDel="00000000" w:rsidR="00000000" w:rsidRPr="00000000">
        <w:rPr>
          <w:sz w:val="24"/>
          <w:szCs w:val="24"/>
          <w:rtl w:val="0"/>
        </w:rPr>
        <w:t xml:space="preserve"> (Accessed: 28 February 2023). </w:t>
      </w:r>
    </w:p>
    <w:p w:rsidR="00000000" w:rsidDel="00000000" w:rsidP="00000000" w:rsidRDefault="00000000" w:rsidRPr="00000000" w14:paraId="00000063">
      <w:pPr>
        <w:spacing w:after="160" w:line="276" w:lineRule="auto"/>
        <w:ind w:right="531"/>
        <w:jc w:val="both"/>
        <w:rPr>
          <w:sz w:val="24"/>
          <w:szCs w:val="24"/>
        </w:rPr>
      </w:pPr>
      <w:r w:rsidDel="00000000" w:rsidR="00000000" w:rsidRPr="00000000">
        <w:rPr>
          <w:sz w:val="24"/>
          <w:szCs w:val="24"/>
          <w:rtl w:val="0"/>
        </w:rPr>
        <w:t xml:space="preserve">Pickles, J. (2020) ‘Policing hate and bridging communities: a qualitative evaluation of relations between LGBT+ people and the police within the North East of England’, </w:t>
      </w:r>
      <w:r w:rsidDel="00000000" w:rsidR="00000000" w:rsidRPr="00000000">
        <w:rPr>
          <w:i w:val="1"/>
          <w:sz w:val="24"/>
          <w:szCs w:val="24"/>
          <w:rtl w:val="0"/>
        </w:rPr>
        <w:t xml:space="preserve">Policing and Society,</w:t>
      </w:r>
      <w:r w:rsidDel="00000000" w:rsidR="00000000" w:rsidRPr="00000000">
        <w:rPr>
          <w:sz w:val="24"/>
          <w:szCs w:val="24"/>
          <w:rtl w:val="0"/>
        </w:rPr>
        <w:t xml:space="preserve"> 30(7), pp. 741-759, DOI: </w:t>
      </w:r>
      <w:hyperlink r:id="rId36">
        <w:r w:rsidDel="00000000" w:rsidR="00000000" w:rsidRPr="00000000">
          <w:rPr>
            <w:sz w:val="24"/>
            <w:szCs w:val="24"/>
            <w:u w:val="single"/>
            <w:rtl w:val="0"/>
          </w:rPr>
          <w:t xml:space="preserve">10.1080/10439463.2019.1588269</w:t>
        </w:r>
      </w:hyperlink>
      <w:r w:rsidDel="00000000" w:rsidR="00000000" w:rsidRPr="00000000">
        <w:rPr>
          <w:rtl w:val="0"/>
        </w:rPr>
      </w:r>
    </w:p>
    <w:p w:rsidR="00000000" w:rsidDel="00000000" w:rsidP="00000000" w:rsidRDefault="00000000" w:rsidRPr="00000000" w14:paraId="00000064">
      <w:pPr>
        <w:spacing w:after="160" w:line="276" w:lineRule="auto"/>
        <w:ind w:right="531"/>
        <w:rPr>
          <w:sz w:val="24"/>
          <w:szCs w:val="24"/>
        </w:rPr>
      </w:pPr>
      <w:r w:rsidDel="00000000" w:rsidR="00000000" w:rsidRPr="00000000">
        <w:rPr>
          <w:sz w:val="24"/>
          <w:szCs w:val="24"/>
          <w:rtl w:val="0"/>
        </w:rPr>
        <w:t xml:space="preserve">Quinton, P. (2011) ‘The formation of suspicions: Police stop and search practices in England and Wales’, </w:t>
      </w:r>
      <w:r w:rsidDel="00000000" w:rsidR="00000000" w:rsidRPr="00000000">
        <w:rPr>
          <w:i w:val="1"/>
          <w:sz w:val="24"/>
          <w:szCs w:val="24"/>
          <w:rtl w:val="0"/>
        </w:rPr>
        <w:t xml:space="preserve">Policing &amp; Society</w:t>
      </w:r>
      <w:r w:rsidDel="00000000" w:rsidR="00000000" w:rsidRPr="00000000">
        <w:rPr>
          <w:sz w:val="24"/>
          <w:szCs w:val="24"/>
          <w:rtl w:val="0"/>
        </w:rPr>
        <w:t xml:space="preserve">, 21, pp. 357-368. DOI: 10.1080/10439463.2011.610193.</w:t>
      </w:r>
    </w:p>
    <w:p w:rsidR="00000000" w:rsidDel="00000000" w:rsidP="00000000" w:rsidRDefault="00000000" w:rsidRPr="00000000" w14:paraId="00000065">
      <w:pPr>
        <w:spacing w:after="160" w:line="276" w:lineRule="auto"/>
        <w:ind w:right="531"/>
        <w:jc w:val="both"/>
        <w:rPr>
          <w:sz w:val="24"/>
          <w:szCs w:val="24"/>
        </w:rPr>
      </w:pPr>
      <w:r w:rsidDel="00000000" w:rsidR="00000000" w:rsidRPr="00000000">
        <w:rPr>
          <w:sz w:val="24"/>
          <w:szCs w:val="24"/>
          <w:rtl w:val="0"/>
        </w:rPr>
        <w:t xml:space="preserve">Scraton, P. and Chadwick, K. (1996) ‘The theoretical and political priorities of critical criminology’, in McLaughlin, E., Muncie, J., and Hughes, G. (eds.) </w:t>
      </w:r>
      <w:r w:rsidDel="00000000" w:rsidR="00000000" w:rsidRPr="00000000">
        <w:rPr>
          <w:i w:val="1"/>
          <w:sz w:val="24"/>
          <w:szCs w:val="24"/>
          <w:rtl w:val="0"/>
        </w:rPr>
        <w:t xml:space="preserve">Criminological Perspectives: Essential Readings,</w:t>
      </w:r>
      <w:r w:rsidDel="00000000" w:rsidR="00000000" w:rsidRPr="00000000">
        <w:rPr>
          <w:sz w:val="24"/>
          <w:szCs w:val="24"/>
          <w:rtl w:val="0"/>
        </w:rPr>
        <w:t xml:space="preserve"> 2nd Edition. London: Sage. </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mdpi.com/2076-0760/10/2/70#B9-socsci-10-00070" TargetMode="External"/><Relationship Id="rId22" Type="http://schemas.openxmlformats.org/officeDocument/2006/relationships/hyperlink" Target="https://www.equalityhumanrights.com/sites/default/files/research-report-113-unconcious-bais-training-an-assessment-of-the-evidence-for-effectiveness-pdf.pdf" TargetMode="External"/><Relationship Id="rId21" Type="http://schemas.openxmlformats.org/officeDocument/2006/relationships/hyperlink" Target="https://www.mdpi.com/2076-0760/10/2/70#B46-socsci-10-00070" TargetMode="External"/><Relationship Id="rId24" Type="http://schemas.openxmlformats.org/officeDocument/2006/relationships/hyperlink" Target="https://paas-s3-broker-prod-lon-6453d964-1d1a-432a-9260-5e0ba7d2fc51.s3.eu-west-2.amazonaws.com/s3fs-public/2021-02/np_rea_summary.pdf" TargetMode="External"/><Relationship Id="rId23" Type="http://schemas.openxmlformats.org/officeDocument/2006/relationships/hyperlink" Target="https://www.mdpi.com/2076-0760/10/2/70#B9-socsci-10-0007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ollege.police.uk/guidance/hot-spots-policing" TargetMode="External"/><Relationship Id="rId26" Type="http://schemas.openxmlformats.org/officeDocument/2006/relationships/hyperlink" Target="https://www.politieacademie.nl/kennisenonderzoek/kennis/mediatheek/PDF/45875.pdf" TargetMode="External"/><Relationship Id="rId25" Type="http://schemas.openxmlformats.org/officeDocument/2006/relationships/hyperlink" Target="https://www.college.police.uk/app/engagement-and-communication/engagement" TargetMode="External"/><Relationship Id="rId28" Type="http://schemas.openxmlformats.org/officeDocument/2006/relationships/hyperlink" Target="https://assets.publishing.service.gov.uk/government/uploads/system/uploads/attachment_data/file/722314/GEO-LGBT-Survey-Report.pdf" TargetMode="External"/><Relationship Id="rId27" Type="http://schemas.openxmlformats.org/officeDocument/2006/relationships/hyperlink" Target="https://galop.org.uk/news/galops-statement-on-the-release-of-the-2021-2022-official-statistics-for-hate-crime/" TargetMode="External"/><Relationship Id="rId5" Type="http://schemas.openxmlformats.org/officeDocument/2006/relationships/styles" Target="styles.xml"/><Relationship Id="rId6" Type="http://schemas.openxmlformats.org/officeDocument/2006/relationships/hyperlink" Target="https://tedcantle.co.uk/pdf/communitycohesion%20cantlereport.pdf" TargetMode="External"/><Relationship Id="rId29" Type="http://schemas.openxmlformats.org/officeDocument/2006/relationships/hyperlink" Target="https://publications.parliament.uk/pa/cm5802/cmselect/cmhaff/139/13903.htm#:~:text=The%20Macpherson%20report%20found%20that,both%20individual%20and%20institutional%20level" TargetMode="External"/><Relationship Id="rId7" Type="http://schemas.openxmlformats.org/officeDocument/2006/relationships/hyperlink" Target="https://www.college.police.uk/app/engagement-and-communication/engagement" TargetMode="External"/><Relationship Id="rId8" Type="http://schemas.openxmlformats.org/officeDocument/2006/relationships/hyperlink" Target="https://assets.college.police.uk/s3fs-public/2020-10/NPG_supporting_material_frontline%20(1).pdf" TargetMode="External"/><Relationship Id="rId31" Type="http://schemas.openxmlformats.org/officeDocument/2006/relationships/hyperlink" Target="https://www.justiceinspectorates.gov.uk/hmicfrs/wp-content/uploads/disproportionate-use-of-police-powers-spotlight-on-stop-search-and-use-of-force.pdf" TargetMode="External"/><Relationship Id="rId30" Type="http://schemas.openxmlformats.org/officeDocument/2006/relationships/hyperlink" Target="https://assets.publishing.service.gov.uk/government/uploads/system/uploads/attachment_data/file/935355/police-powers-procedures-mar20-hosb3120.pdf" TargetMode="External"/><Relationship Id="rId11" Type="http://schemas.openxmlformats.org/officeDocument/2006/relationships/hyperlink" Target="https://library.college.police.uk/docs/npia/CohesionGuide.pdf" TargetMode="External"/><Relationship Id="rId33" Type="http://schemas.openxmlformats.org/officeDocument/2006/relationships/hyperlink" Target="https://www.mdpi.com/2076-0760/10/2/70#B46-socsci-10-00070" TargetMode="External"/><Relationship Id="rId10" Type="http://schemas.openxmlformats.org/officeDocument/2006/relationships/hyperlink" Target="https://www.london.gov.uk/sites/default/files/communitycohesionactionguide.pdf" TargetMode="External"/><Relationship Id="rId32" Type="http://schemas.openxmlformats.org/officeDocument/2006/relationships/hyperlink" Target="https://www.proquest.com/pubidlinkhandler/sng/pubtitle/International+Journal+for+Crime,+Justice+and+Social+Democracy/$N/4425140/OpenView/2268346730/$B/DF496E00A0F04271PQ/1" TargetMode="External"/><Relationship Id="rId13" Type="http://schemas.openxmlformats.org/officeDocument/2006/relationships/hyperlink" Target="https://dictionary.cambridge.org/dictionary/english/action" TargetMode="External"/><Relationship Id="rId35" Type="http://schemas.openxmlformats.org/officeDocument/2006/relationships/hyperlink" Target="https://www.oxfordlearnersdictionaries.com/definition/english/bias_1#:~:text=%2F%CB%88ba%C9%AA%C9%99s%2F,not%20based%20on%20fair%20judgement" TargetMode="External"/><Relationship Id="rId12" Type="http://schemas.openxmlformats.org/officeDocument/2006/relationships/hyperlink" Target="https://www.theatlantic.com/magazine/archive/1982/03/broken-windows/304465/" TargetMode="External"/><Relationship Id="rId34" Type="http://schemas.openxmlformats.org/officeDocument/2006/relationships/hyperlink" Target="https://assets.college.police.uk/s3fs-public/policing_vision_2025.pdf" TargetMode="External"/><Relationship Id="rId15" Type="http://schemas.openxmlformats.org/officeDocument/2006/relationships/hyperlink" Target="https://dictionary.cambridge.org/dictionary/english/oppose" TargetMode="External"/><Relationship Id="rId14" Type="http://schemas.openxmlformats.org/officeDocument/2006/relationships/hyperlink" Target="https://dictionary.cambridge.org/dictionary/english/supporting" TargetMode="External"/><Relationship Id="rId36" Type="http://schemas.openxmlformats.org/officeDocument/2006/relationships/hyperlink" Target="https://doi.org/10.1080/10439463.2019.1588269" TargetMode="External"/><Relationship Id="rId17" Type="http://schemas.openxmlformats.org/officeDocument/2006/relationships/hyperlink" Target="https://dictionary.cambridge.org/dictionary/english/person" TargetMode="External"/><Relationship Id="rId16" Type="http://schemas.openxmlformats.org/officeDocument/2006/relationships/hyperlink" Target="https://dictionary.cambridge.org/dictionary/english/particular" TargetMode="External"/><Relationship Id="rId19" Type="http://schemas.openxmlformats.org/officeDocument/2006/relationships/hyperlink" Target="https://www.mdpi.com/2076-0760/10/2/70#B74-socsci-10-00070" TargetMode="External"/><Relationship Id="rId18" Type="http://schemas.openxmlformats.org/officeDocument/2006/relationships/hyperlink" Target="https://dictionary.cambridge.org/dictionary/english/unfai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