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37802833"/>
        <w:docPartObj>
          <w:docPartGallery w:val="Cover Pages"/>
          <w:docPartUnique/>
        </w:docPartObj>
      </w:sdtPr>
      <w:sdtEndPr>
        <w:rPr>
          <w:rFonts w:ascii="Times New Roman" w:eastAsia="SimSun" w:hAnsi="Times New Roman" w:cs="Times New Roman"/>
          <w:b/>
          <w:bCs/>
          <w:sz w:val="36"/>
          <w:szCs w:val="36"/>
        </w:rPr>
      </w:sdtEndPr>
      <w:sdtContent>
        <w:p w14:paraId="68233422" w14:textId="554AEF27" w:rsidR="00BE5DAB" w:rsidRDefault="00BE5DAB">
          <w:pPr>
            <w:pStyle w:val="NoSpacing"/>
          </w:pPr>
          <w:r>
            <w:rPr>
              <w:noProof/>
            </w:rPr>
            <mc:AlternateContent>
              <mc:Choice Requires="wpg">
                <w:drawing>
                  <wp:anchor distT="0" distB="0" distL="114300" distR="114300" simplePos="0" relativeHeight="251661312" behindDoc="1" locked="0" layoutInCell="1" allowOverlap="1" wp14:anchorId="2993EB79" wp14:editId="2ABD42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0-14T00:00:00Z">
                                      <w:dateFormat w:val="M/d/yyyy"/>
                                      <w:lid w:val="en-US"/>
                                      <w:storeMappedDataAs w:val="dateTime"/>
                                      <w:calendar w:val="gregorian"/>
                                    </w:date>
                                  </w:sdtPr>
                                  <w:sdtEndPr/>
                                  <w:sdtContent>
                                    <w:p w14:paraId="6B4FC4C3" w14:textId="755E0D3B" w:rsidR="00BE5DAB" w:rsidRDefault="00833529">
                                      <w:pPr>
                                        <w:pStyle w:val="NoSpacing"/>
                                        <w:jc w:val="right"/>
                                        <w:rPr>
                                          <w:color w:val="FFFFFF" w:themeColor="background1"/>
                                          <w:sz w:val="28"/>
                                          <w:szCs w:val="28"/>
                                        </w:rPr>
                                      </w:pPr>
                                      <w:r>
                                        <w:rPr>
                                          <w:color w:val="FFFFFF" w:themeColor="background1"/>
                                          <w:sz w:val="28"/>
                                          <w:szCs w:val="28"/>
                                        </w:rPr>
                                        <w:t>10/14/2021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0" name="Group 40"/>
                              <wpg:cNvGrpSpPr>
                                <a:grpSpLocks noChangeAspect="1"/>
                              </wpg:cNvGrpSpPr>
                              <wpg:grpSpPr>
                                <a:xfrm>
                                  <a:off x="80645" y="4826972"/>
                                  <a:ext cx="1306273" cy="2505863"/>
                                  <a:chOff x="80645" y="4649964"/>
                                  <a:chExt cx="874712" cy="1677988"/>
                                </a:xfrm>
                              </wpg:grpSpPr>
                              <wps:wsp>
                                <wps:cNvPr id="4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93EB79" id="Group 23"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bad01MkAACNBAEA&#10;DgAAAAAAAAAAAAAAAAAuAgAAZHJzL2Uyb0RvYy54bWxQSwECLQAUAAYACAAAACEAT/eVMt0AAAAG&#10;AQAADwAAAAAAAAAAAAAAAACtJgAAZHJzL2Rvd25yZXYueG1sUEsFBgAAAAAEAAQA8wAAALcnAAAA&#10;AA==&#10;">
                    <v:rect id="Rectangle 2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FXqxgAAANsAAAAPAAAAZHJzL2Rvd25yZXYueG1sRI9Ba8JA&#10;FITvhf6H5RV6q5uGI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0rhV6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0-14T00:00:00Z">
                                <w:dateFormat w:val="M/d/yyyy"/>
                                <w:lid w:val="en-US"/>
                                <w:storeMappedDataAs w:val="dateTime"/>
                                <w:calendar w:val="gregorian"/>
                              </w:date>
                            </w:sdtPr>
                            <w:sdtEndPr/>
                            <w:sdtContent>
                              <w:p w14:paraId="6B4FC4C3" w14:textId="755E0D3B" w:rsidR="00BE5DAB" w:rsidRDefault="00833529">
                                <w:pPr>
                                  <w:pStyle w:val="NoSpacing"/>
                                  <w:jc w:val="right"/>
                                  <w:rPr>
                                    <w:color w:val="FFFFFF" w:themeColor="background1"/>
                                    <w:sz w:val="28"/>
                                    <w:szCs w:val="28"/>
                                  </w:rPr>
                                </w:pPr>
                                <w:r>
                                  <w:rPr>
                                    <w:color w:val="FFFFFF" w:themeColor="background1"/>
                                    <w:sz w:val="28"/>
                                    <w:szCs w:val="28"/>
                                  </w:rPr>
                                  <w:t>10/14/2021</w:t>
                                </w:r>
                              </w:p>
                            </w:sdtContent>
                          </w:sdt>
                        </w:txbxContent>
                      </v:textbox>
                    </v:shape>
                    <v:group id="Group 2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QCFvwAAANsAAAAPAAAAZHJzL2Rvd25yZXYueG1sRE/LisIw&#10;FN0L8w/hDrizaS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AGXQCF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VkLxAAAANsAAAAPAAAAZHJzL2Rvd25yZXYueG1sRI9La8Mw&#10;EITvgfwHsYHeErku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JjJWQv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68wgAAANsAAAAPAAAAZHJzL2Rvd25yZXYueG1sRI9Ra8Iw&#10;FIXfhf2HcAe+yEx1Q0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vF/68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r9AwwAAANsAAAAPAAAAZHJzL2Rvd25yZXYueG1sRI9BSwMx&#10;FITvQv9DeAVvNlul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kmq/Q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nZPxwAAANsAAAAPAAAAZHJzL2Rvd25yZXYueG1sRI9Ba8JA&#10;FITvQv/D8gq9SN00BZ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DE+dk/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JcowQAAANsAAAAPAAAAZHJzL2Rvd25yZXYueG1sRE/Pa8Iw&#10;FL4P/B/CE7zNVAX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JeYlyj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XFFxQAAANsAAAAPAAAAZHJzL2Rvd25yZXYueG1sRI9Ba8JA&#10;FITvBf/D8gre6qYK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BG3XFF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SyxwAAANsAAAAPAAAAZHJzL2Rvd25yZXYueG1sRI9bawIx&#10;FITfBf9DOIW+aVYp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Cb7JL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4O1xQAAANsAAAAPAAAAZHJzL2Rvd25yZXYueG1sRI9PawIx&#10;FMTvBb9DeAVvNdtuE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AG94O1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dwkxAAAANsAAAAPAAAAZHJzL2Rvd25yZXYueG1sRI9Bi8Iw&#10;FITvgv8hPMGbpisq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AOR3CT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vKsxQAAANsAAAAPAAAAZHJzL2Rvd25yZXYueG1sRI9BawIx&#10;FITvhf6H8ApeRLMtpe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BiTvKs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xF0wAAAANsAAAAPAAAAZHJzL2Rvd25yZXYueG1sRE9ba8Iw&#10;FH4X9h/CGezNphMm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ysRd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bzHwwAAANsAAAAPAAAAZHJzL2Rvd25yZXYueG1sRI9PawIx&#10;FMTvgt8hvII3N7tCpd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1pG8x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39B65F4C" wp14:editId="2472AC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A7AED9" w14:textId="381E817C" w:rsidR="00BE5DAB" w:rsidRDefault="0083352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E5DAB">
                                      <w:rPr>
                                        <w:color w:val="4472C4" w:themeColor="accent1"/>
                                        <w:sz w:val="26"/>
                                        <w:szCs w:val="26"/>
                                      </w:rPr>
                                      <w:t>Osama Zeyad Alhusen (2014492)</w:t>
                                    </w:r>
                                  </w:sdtContent>
                                </w:sdt>
                              </w:p>
                              <w:p w14:paraId="55A2A798" w14:textId="0714D957" w:rsidR="00BE5DAB" w:rsidRDefault="00BE5DAB">
                                <w:pPr>
                                  <w:pStyle w:val="NoSpacing"/>
                                  <w:rPr>
                                    <w:color w:val="4472C4" w:themeColor="accent1"/>
                                    <w:sz w:val="26"/>
                                    <w:szCs w:val="26"/>
                                  </w:rPr>
                                </w:pPr>
                                <w:r>
                                  <w:rPr>
                                    <w:color w:val="4472C4" w:themeColor="accent1"/>
                                    <w:sz w:val="26"/>
                                    <w:szCs w:val="26"/>
                                  </w:rPr>
                                  <w:t>Submission ID:2014492</w:t>
                                </w:r>
                              </w:p>
                              <w:p w14:paraId="45E2A2F1" w14:textId="77777777" w:rsidR="00BE5DAB" w:rsidRPr="00BE5DAB" w:rsidRDefault="00BE5DAB">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B65F4C" id="_x0000_t202" coordsize="21600,21600" o:spt="202" path="m,l,21600r21600,l21600,xe">
                    <v:stroke joinstyle="miter"/>
                    <v:path gradientshapeok="t" o:connecttype="rect"/>
                  </v:shapetype>
                  <v:shape id="Text Box 52"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6i+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cc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NeovnMCAABbBQAADgAAAAAAAAAAAAAA&#10;AAAuAgAAZHJzL2Uyb0RvYy54bWxQSwECLQAUAAYACAAAACEA0UvQbtkAAAAEAQAADwAAAAAAAAAA&#10;AAAAAADNBAAAZHJzL2Rvd25yZXYueG1sUEsFBgAAAAAEAAQA8wAAANMFAAAAAA==&#10;" filled="f" stroked="f" strokeweight=".5pt">
                    <v:textbox style="mso-fit-shape-to-text:t" inset="0,0,0,0">
                      <w:txbxContent>
                        <w:p w14:paraId="33A7AED9" w14:textId="381E817C" w:rsidR="00BE5DAB" w:rsidRDefault="0083352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E5DAB">
                                <w:rPr>
                                  <w:color w:val="4472C4" w:themeColor="accent1"/>
                                  <w:sz w:val="26"/>
                                  <w:szCs w:val="26"/>
                                </w:rPr>
                                <w:t>Osama Zeyad Alhusen (2014492)</w:t>
                              </w:r>
                            </w:sdtContent>
                          </w:sdt>
                        </w:p>
                        <w:p w14:paraId="55A2A798" w14:textId="0714D957" w:rsidR="00BE5DAB" w:rsidRDefault="00BE5DAB">
                          <w:pPr>
                            <w:pStyle w:val="NoSpacing"/>
                            <w:rPr>
                              <w:color w:val="4472C4" w:themeColor="accent1"/>
                              <w:sz w:val="26"/>
                              <w:szCs w:val="26"/>
                            </w:rPr>
                          </w:pPr>
                          <w:r>
                            <w:rPr>
                              <w:color w:val="4472C4" w:themeColor="accent1"/>
                              <w:sz w:val="26"/>
                              <w:szCs w:val="26"/>
                            </w:rPr>
                            <w:t>Submission ID:2014492</w:t>
                          </w:r>
                        </w:p>
                        <w:p w14:paraId="45E2A2F1" w14:textId="77777777" w:rsidR="00BE5DAB" w:rsidRPr="00BE5DAB" w:rsidRDefault="00BE5DAB">
                          <w:pPr>
                            <w:pStyle w:val="NoSpacing"/>
                            <w:rPr>
                              <w:color w:val="4472C4" w:themeColor="accent1"/>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E42D07F" wp14:editId="444575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3" name="Text Box 5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26108" w14:textId="0DCC75CE" w:rsidR="00BE5DAB" w:rsidRDefault="0083352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E5DA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42D07F" id="Text Box 53" o:spid="_x0000_s105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ExPeQ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CZiExPeQIAAFwFAAAOAAAAAAAA&#10;AAAAAAAAAC4CAABkcnMvZTJvRG9jLnhtbFBLAQItABQABgAIAAAAIQDIz6gV2AAAAAUBAAAPAAAA&#10;AAAAAAAAAAAAANMEAABkcnMvZG93bnJldi54bWxQSwUGAAAAAAQABADzAAAA2AUAAAAA&#10;" filled="f" stroked="f" strokeweight=".5pt">
                    <v:textbox style="mso-fit-shape-to-text:t" inset="0,0,0,0">
                      <w:txbxContent>
                        <w:p w14:paraId="16026108" w14:textId="0DCC75CE" w:rsidR="00BE5DAB" w:rsidRDefault="0083352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E5DAB">
                                <w:rPr>
                                  <w:color w:val="404040" w:themeColor="text1" w:themeTint="BF"/>
                                  <w:sz w:val="36"/>
                                  <w:szCs w:val="36"/>
                                </w:rPr>
                                <w:t xml:space="preserve">     </w:t>
                              </w:r>
                            </w:sdtContent>
                          </w:sdt>
                        </w:p>
                      </w:txbxContent>
                    </v:textbox>
                    <w10:wrap anchorx="page" anchory="page"/>
                  </v:shape>
                </w:pict>
              </mc:Fallback>
            </mc:AlternateContent>
          </w:r>
        </w:p>
        <w:p w14:paraId="7A1E1589" w14:textId="37C4EEE6" w:rsidR="00BE5DAB" w:rsidRDefault="00BE5DAB">
          <w:pPr>
            <w:rPr>
              <w:rFonts w:ascii="Times New Roman" w:eastAsia="SimSun" w:hAnsi="Times New Roman" w:cs="Times New Roman"/>
              <w:b/>
              <w:bCs/>
              <w:sz w:val="36"/>
              <w:szCs w:val="36"/>
            </w:rPr>
          </w:pPr>
          <w:r>
            <w:rPr>
              <w:rFonts w:ascii="Times New Roman" w:eastAsia="SimSun" w:hAnsi="Times New Roman" w:cs="Times New Roman"/>
              <w:b/>
              <w:bCs/>
              <w:sz w:val="36"/>
              <w:szCs w:val="36"/>
            </w:rPr>
            <w:br w:type="page"/>
          </w:r>
        </w:p>
      </w:sdtContent>
    </w:sdt>
    <w:p w14:paraId="1C2456C9" w14:textId="2165E94E" w:rsidR="00BE5DAB" w:rsidRDefault="00BD6BEC" w:rsidP="00BE5DAB">
      <w:pPr>
        <w:spacing w:line="240" w:lineRule="auto"/>
        <w:jc w:val="both"/>
        <w:rPr>
          <w:rFonts w:ascii="Times New Roman" w:eastAsia="SimSun" w:hAnsi="Times New Roman" w:cs="Times New Roman"/>
          <w:b/>
          <w:bCs/>
          <w:sz w:val="36"/>
          <w:szCs w:val="36"/>
        </w:rPr>
      </w:pPr>
      <w:r>
        <w:rPr>
          <w:rFonts w:ascii="Times New Roman" w:eastAsia="SimSun" w:hAnsi="Times New Roman" w:cs="Times New Roman"/>
          <w:b/>
          <w:bCs/>
          <w:sz w:val="36"/>
          <w:szCs w:val="36"/>
        </w:rPr>
        <w:lastRenderedPageBreak/>
        <w:t xml:space="preserve">Supervisor: Tushara Belendran </w:t>
      </w:r>
    </w:p>
    <w:p w14:paraId="5DB41E51" w14:textId="6CC7A1C4" w:rsidR="00BD6BEC" w:rsidRDefault="00BD6BEC" w:rsidP="00BE5DAB">
      <w:pPr>
        <w:spacing w:line="240" w:lineRule="auto"/>
        <w:jc w:val="both"/>
        <w:rPr>
          <w:rFonts w:ascii="Times New Roman" w:eastAsia="SimSun" w:hAnsi="Times New Roman" w:cs="Times New Roman"/>
          <w:b/>
          <w:bCs/>
          <w:sz w:val="36"/>
          <w:szCs w:val="36"/>
        </w:rPr>
      </w:pPr>
      <w:r>
        <w:rPr>
          <w:rFonts w:ascii="Times New Roman" w:eastAsia="SimSun" w:hAnsi="Times New Roman" w:cs="Times New Roman"/>
          <w:b/>
          <w:bCs/>
          <w:sz w:val="36"/>
          <w:szCs w:val="36"/>
        </w:rPr>
        <w:t xml:space="preserve">Submitted: Osama Zeyad Alhusen </w:t>
      </w:r>
    </w:p>
    <w:p w14:paraId="4195C866" w14:textId="77777777" w:rsidR="00BD6BEC" w:rsidRDefault="00BD6BEC" w:rsidP="00BE5DAB">
      <w:pPr>
        <w:spacing w:line="240" w:lineRule="auto"/>
        <w:jc w:val="both"/>
        <w:rPr>
          <w:rFonts w:ascii="Times New Roman" w:eastAsia="SimSun" w:hAnsi="Times New Roman" w:cs="Times New Roman"/>
          <w:b/>
          <w:bCs/>
          <w:sz w:val="36"/>
          <w:szCs w:val="36"/>
        </w:rPr>
      </w:pPr>
    </w:p>
    <w:p w14:paraId="25506E58" w14:textId="19A5DC25" w:rsidR="00BE5DAB" w:rsidRDefault="00BE5DAB" w:rsidP="00BE5DAB">
      <w:pPr>
        <w:spacing w:line="240" w:lineRule="auto"/>
        <w:jc w:val="both"/>
        <w:rPr>
          <w:rFonts w:ascii="Times New Roman" w:eastAsia="SimSun" w:hAnsi="Times New Roman" w:cs="Times New Roman"/>
          <w:b/>
          <w:bCs/>
          <w:sz w:val="36"/>
          <w:szCs w:val="36"/>
        </w:rPr>
      </w:pPr>
    </w:p>
    <w:p w14:paraId="0AFB376F" w14:textId="628A5572" w:rsidR="00BE5DAB" w:rsidRDefault="00BE5DAB" w:rsidP="00BE5DAB">
      <w:pPr>
        <w:spacing w:line="240" w:lineRule="auto"/>
        <w:jc w:val="both"/>
        <w:rPr>
          <w:rFonts w:ascii="Times New Roman" w:eastAsia="SimSun" w:hAnsi="Times New Roman" w:cs="Times New Roman"/>
          <w:b/>
          <w:bCs/>
          <w:sz w:val="36"/>
          <w:szCs w:val="36"/>
        </w:rPr>
      </w:pPr>
    </w:p>
    <w:p w14:paraId="6FFCD220" w14:textId="5115FC0D" w:rsidR="00BE5DAB" w:rsidRDefault="00BE5DAB" w:rsidP="00BE5DAB">
      <w:pPr>
        <w:spacing w:line="240" w:lineRule="auto"/>
        <w:jc w:val="both"/>
        <w:rPr>
          <w:rFonts w:ascii="Times New Roman" w:eastAsia="SimSun" w:hAnsi="Times New Roman" w:cs="Times New Roman"/>
          <w:b/>
          <w:bCs/>
          <w:sz w:val="36"/>
          <w:szCs w:val="36"/>
        </w:rPr>
      </w:pPr>
    </w:p>
    <w:p w14:paraId="53736440" w14:textId="0CD9C9D0" w:rsidR="00BE5DAB" w:rsidRDefault="00BE5DAB" w:rsidP="00BE5DAB">
      <w:pPr>
        <w:spacing w:line="240" w:lineRule="auto"/>
        <w:jc w:val="both"/>
        <w:rPr>
          <w:rFonts w:ascii="Times New Roman" w:eastAsia="SimSun" w:hAnsi="Times New Roman" w:cs="Times New Roman"/>
          <w:b/>
          <w:bCs/>
          <w:sz w:val="36"/>
          <w:szCs w:val="36"/>
        </w:rPr>
      </w:pPr>
    </w:p>
    <w:p w14:paraId="1A1FECE2" w14:textId="55CF560B" w:rsidR="00BE5DAB" w:rsidRDefault="00BE5DAB" w:rsidP="00BE5DAB">
      <w:pPr>
        <w:spacing w:line="240" w:lineRule="auto"/>
        <w:jc w:val="both"/>
        <w:rPr>
          <w:rFonts w:ascii="Times New Roman" w:eastAsia="SimSun" w:hAnsi="Times New Roman" w:cs="Times New Roman"/>
          <w:b/>
          <w:bCs/>
          <w:sz w:val="36"/>
          <w:szCs w:val="36"/>
        </w:rPr>
      </w:pPr>
    </w:p>
    <w:p w14:paraId="0E24C9D4" w14:textId="345F77B9" w:rsidR="00BE5DAB" w:rsidRDefault="00BE5DAB" w:rsidP="00BE5DAB">
      <w:pPr>
        <w:spacing w:line="240" w:lineRule="auto"/>
        <w:jc w:val="both"/>
        <w:rPr>
          <w:rFonts w:ascii="Times New Roman" w:eastAsia="SimSun" w:hAnsi="Times New Roman" w:cs="Times New Roman"/>
          <w:b/>
          <w:bCs/>
          <w:sz w:val="36"/>
          <w:szCs w:val="36"/>
        </w:rPr>
      </w:pPr>
    </w:p>
    <w:p w14:paraId="4D80C667" w14:textId="60484139" w:rsidR="00BE5DAB" w:rsidRDefault="00BE5DAB" w:rsidP="00BE5DAB">
      <w:pPr>
        <w:spacing w:line="240" w:lineRule="auto"/>
        <w:jc w:val="both"/>
        <w:rPr>
          <w:rFonts w:ascii="Times New Roman" w:eastAsia="SimSun" w:hAnsi="Times New Roman" w:cs="Times New Roman"/>
          <w:b/>
          <w:bCs/>
          <w:sz w:val="36"/>
          <w:szCs w:val="36"/>
        </w:rPr>
      </w:pPr>
    </w:p>
    <w:p w14:paraId="4EFAFF73" w14:textId="0E26AD28" w:rsidR="00BE5DAB" w:rsidRDefault="00BE5DAB" w:rsidP="00BE5DAB">
      <w:pPr>
        <w:spacing w:line="240" w:lineRule="auto"/>
        <w:jc w:val="both"/>
        <w:rPr>
          <w:rFonts w:ascii="Times New Roman" w:eastAsia="SimSun" w:hAnsi="Times New Roman" w:cs="Times New Roman"/>
          <w:b/>
          <w:bCs/>
          <w:sz w:val="36"/>
          <w:szCs w:val="36"/>
        </w:rPr>
      </w:pPr>
    </w:p>
    <w:p w14:paraId="7CCD8ADB" w14:textId="7454DDA7" w:rsidR="00BE5DAB" w:rsidRDefault="00BE5DAB" w:rsidP="00BE5DAB">
      <w:pPr>
        <w:spacing w:line="240" w:lineRule="auto"/>
        <w:jc w:val="both"/>
        <w:rPr>
          <w:rFonts w:ascii="Times New Roman" w:eastAsia="SimSun" w:hAnsi="Times New Roman" w:cs="Times New Roman"/>
          <w:b/>
          <w:bCs/>
          <w:sz w:val="36"/>
          <w:szCs w:val="36"/>
        </w:rPr>
      </w:pPr>
    </w:p>
    <w:p w14:paraId="76C857A9" w14:textId="7ED7E24E" w:rsidR="00BE5DAB" w:rsidRDefault="00BE5DAB" w:rsidP="00BE5DAB">
      <w:pPr>
        <w:spacing w:line="240" w:lineRule="auto"/>
        <w:jc w:val="both"/>
        <w:rPr>
          <w:rFonts w:ascii="Times New Roman" w:eastAsia="SimSun" w:hAnsi="Times New Roman" w:cs="Times New Roman"/>
          <w:b/>
          <w:bCs/>
          <w:sz w:val="36"/>
          <w:szCs w:val="36"/>
        </w:rPr>
      </w:pPr>
    </w:p>
    <w:p w14:paraId="3B11CA8A" w14:textId="3493E1E1" w:rsidR="00BE5DAB" w:rsidRDefault="00BE5DAB" w:rsidP="00BE5DAB">
      <w:pPr>
        <w:spacing w:line="240" w:lineRule="auto"/>
        <w:jc w:val="both"/>
        <w:rPr>
          <w:rFonts w:ascii="Times New Roman" w:eastAsia="SimSun" w:hAnsi="Times New Roman" w:cs="Times New Roman"/>
          <w:b/>
          <w:bCs/>
          <w:sz w:val="36"/>
          <w:szCs w:val="36"/>
        </w:rPr>
      </w:pPr>
    </w:p>
    <w:p w14:paraId="284D5519" w14:textId="39C66A30" w:rsidR="00BE5DAB" w:rsidRDefault="00BE5DAB" w:rsidP="00BE5DAB">
      <w:pPr>
        <w:spacing w:line="240" w:lineRule="auto"/>
        <w:jc w:val="both"/>
        <w:rPr>
          <w:rFonts w:ascii="Times New Roman" w:eastAsia="SimSun" w:hAnsi="Times New Roman" w:cs="Times New Roman"/>
          <w:b/>
          <w:bCs/>
          <w:sz w:val="36"/>
          <w:szCs w:val="36"/>
        </w:rPr>
      </w:pPr>
    </w:p>
    <w:p w14:paraId="0BE47F91" w14:textId="57FEA621" w:rsidR="00BE5DAB" w:rsidRDefault="00BE5DAB" w:rsidP="00BE5DAB">
      <w:pPr>
        <w:spacing w:line="240" w:lineRule="auto"/>
        <w:jc w:val="both"/>
        <w:rPr>
          <w:rFonts w:ascii="Times New Roman" w:eastAsia="SimSun" w:hAnsi="Times New Roman" w:cs="Times New Roman"/>
          <w:b/>
          <w:bCs/>
          <w:sz w:val="36"/>
          <w:szCs w:val="36"/>
        </w:rPr>
      </w:pPr>
    </w:p>
    <w:p w14:paraId="5F3832A1" w14:textId="09FB20E2" w:rsidR="00BE5DAB" w:rsidRDefault="00BE5DAB" w:rsidP="00BE5DAB">
      <w:pPr>
        <w:spacing w:line="240" w:lineRule="auto"/>
        <w:jc w:val="both"/>
        <w:rPr>
          <w:rFonts w:ascii="Times New Roman" w:eastAsia="SimSun" w:hAnsi="Times New Roman" w:cs="Times New Roman"/>
          <w:b/>
          <w:bCs/>
          <w:sz w:val="36"/>
          <w:szCs w:val="36"/>
        </w:rPr>
      </w:pPr>
    </w:p>
    <w:p w14:paraId="02294224" w14:textId="03DB0FDC" w:rsidR="00BE5DAB" w:rsidRDefault="00BE5DAB" w:rsidP="00BE5DAB">
      <w:pPr>
        <w:spacing w:line="240" w:lineRule="auto"/>
        <w:jc w:val="both"/>
        <w:rPr>
          <w:rFonts w:ascii="Times New Roman" w:eastAsia="SimSun" w:hAnsi="Times New Roman" w:cs="Times New Roman"/>
          <w:b/>
          <w:bCs/>
          <w:sz w:val="36"/>
          <w:szCs w:val="36"/>
        </w:rPr>
      </w:pPr>
    </w:p>
    <w:p w14:paraId="05FC27EB" w14:textId="3594274C" w:rsidR="00BE5DAB" w:rsidRDefault="00BE5DAB" w:rsidP="00BE5DAB">
      <w:pPr>
        <w:spacing w:line="240" w:lineRule="auto"/>
        <w:jc w:val="both"/>
        <w:rPr>
          <w:rFonts w:ascii="Times New Roman" w:eastAsia="SimSun" w:hAnsi="Times New Roman" w:cs="Times New Roman"/>
          <w:b/>
          <w:bCs/>
          <w:sz w:val="36"/>
          <w:szCs w:val="36"/>
        </w:rPr>
      </w:pPr>
    </w:p>
    <w:p w14:paraId="0FB45D64" w14:textId="156F7C8E" w:rsidR="00BE5DAB" w:rsidRDefault="00BE5DAB" w:rsidP="00BE5DAB">
      <w:pPr>
        <w:spacing w:line="240" w:lineRule="auto"/>
        <w:jc w:val="both"/>
        <w:rPr>
          <w:rFonts w:ascii="Times New Roman" w:eastAsia="SimSun" w:hAnsi="Times New Roman" w:cs="Times New Roman"/>
          <w:b/>
          <w:bCs/>
          <w:sz w:val="36"/>
          <w:szCs w:val="36"/>
        </w:rPr>
      </w:pPr>
    </w:p>
    <w:p w14:paraId="710A020A" w14:textId="27FD2B27" w:rsidR="00BE5DAB" w:rsidRDefault="00BE5DAB" w:rsidP="00BE5DAB">
      <w:pPr>
        <w:spacing w:line="240" w:lineRule="auto"/>
        <w:jc w:val="both"/>
        <w:rPr>
          <w:rFonts w:ascii="Times New Roman" w:eastAsia="SimSun" w:hAnsi="Times New Roman" w:cs="Times New Roman"/>
          <w:b/>
          <w:bCs/>
          <w:sz w:val="36"/>
          <w:szCs w:val="36"/>
        </w:rPr>
      </w:pPr>
    </w:p>
    <w:p w14:paraId="366D31D6" w14:textId="161DC133" w:rsidR="00BE5DAB" w:rsidRDefault="00BE5DAB" w:rsidP="00BE5DAB">
      <w:pPr>
        <w:spacing w:line="240" w:lineRule="auto"/>
        <w:jc w:val="both"/>
        <w:rPr>
          <w:rFonts w:ascii="Times New Roman" w:eastAsia="SimSun" w:hAnsi="Times New Roman" w:cs="Times New Roman"/>
          <w:b/>
          <w:bCs/>
          <w:sz w:val="36"/>
          <w:szCs w:val="36"/>
        </w:rPr>
      </w:pPr>
    </w:p>
    <w:p w14:paraId="0E898EEE" w14:textId="4E3D0C4A" w:rsidR="00BE5DAB" w:rsidRDefault="00BE5DAB" w:rsidP="00BE5DAB">
      <w:pPr>
        <w:spacing w:line="240" w:lineRule="auto"/>
        <w:jc w:val="both"/>
        <w:rPr>
          <w:rFonts w:ascii="Times New Roman" w:eastAsia="SimSun" w:hAnsi="Times New Roman" w:cs="Times New Roman"/>
          <w:b/>
          <w:bCs/>
          <w:sz w:val="36"/>
          <w:szCs w:val="36"/>
        </w:rPr>
      </w:pPr>
    </w:p>
    <w:p w14:paraId="170D45D5" w14:textId="733CB2C6" w:rsidR="00BE5DAB" w:rsidRDefault="00BE5DAB" w:rsidP="00BE5DAB">
      <w:pPr>
        <w:spacing w:line="240" w:lineRule="auto"/>
        <w:jc w:val="both"/>
        <w:rPr>
          <w:rFonts w:ascii="Times New Roman" w:eastAsia="SimSun" w:hAnsi="Times New Roman" w:cs="Times New Roman"/>
          <w:b/>
          <w:bCs/>
          <w:sz w:val="36"/>
          <w:szCs w:val="36"/>
        </w:rPr>
      </w:pPr>
    </w:p>
    <w:p w14:paraId="7AA3512F" w14:textId="666E70A2" w:rsidR="00BE5DAB" w:rsidRDefault="00BE5DAB" w:rsidP="00BE5DAB">
      <w:pPr>
        <w:spacing w:line="240" w:lineRule="auto"/>
        <w:jc w:val="both"/>
        <w:rPr>
          <w:rFonts w:ascii="Times New Roman" w:eastAsia="SimSun" w:hAnsi="Times New Roman" w:cs="Times New Roman"/>
          <w:b/>
          <w:bCs/>
          <w:sz w:val="36"/>
          <w:szCs w:val="36"/>
        </w:rPr>
      </w:pPr>
    </w:p>
    <w:p w14:paraId="35E3DABB" w14:textId="77777777" w:rsidR="00BE5DAB" w:rsidRPr="00BE5DAB" w:rsidRDefault="00BE5DAB" w:rsidP="00BE5DAB">
      <w:pPr>
        <w:spacing w:line="240" w:lineRule="auto"/>
        <w:jc w:val="both"/>
        <w:rPr>
          <w:rFonts w:ascii="Times New Roman" w:eastAsia="SimSun" w:hAnsi="Times New Roman" w:cs="Times New Roman"/>
          <w:b/>
          <w:bCs/>
          <w:sz w:val="36"/>
          <w:szCs w:val="36"/>
        </w:rPr>
      </w:pPr>
    </w:p>
    <w:p w14:paraId="6F2D1C15" w14:textId="44701FD7" w:rsidR="00BE5DAB" w:rsidRPr="00BE5DAB" w:rsidRDefault="00BE5DAB" w:rsidP="00BE5DAB">
      <w:pPr>
        <w:spacing w:line="240" w:lineRule="auto"/>
        <w:jc w:val="center"/>
        <w:rPr>
          <w:rFonts w:ascii="Times New Roman" w:eastAsia="SimSun" w:hAnsi="Times New Roman" w:cs="Times New Roman"/>
          <w:b/>
          <w:bCs/>
          <w:sz w:val="36"/>
          <w:szCs w:val="36"/>
        </w:rPr>
      </w:pPr>
      <w:r w:rsidRPr="00BE5DAB">
        <w:rPr>
          <w:rFonts w:ascii="Times New Roman" w:eastAsia="SimSun" w:hAnsi="Times New Roman" w:cs="Times New Roman"/>
          <w:b/>
          <w:bCs/>
          <w:sz w:val="36"/>
          <w:szCs w:val="36"/>
        </w:rPr>
        <w:t>Influence of Culturally and Religiously Motived Boycotts: The Case of Middle Eastern Consumers Who Live in London</w:t>
      </w:r>
    </w:p>
    <w:p w14:paraId="309B4073" w14:textId="77777777" w:rsidR="00BE5DAB" w:rsidRPr="00BE5DAB" w:rsidRDefault="00BE5DAB" w:rsidP="00BE5DAB">
      <w:pPr>
        <w:spacing w:line="240" w:lineRule="auto"/>
        <w:jc w:val="center"/>
        <w:rPr>
          <w:rFonts w:ascii="Times New Roman" w:eastAsia="SimSun" w:hAnsi="Times New Roman" w:cs="Times New Roman"/>
          <w:b/>
          <w:bCs/>
          <w:i/>
          <w:iCs/>
          <w:sz w:val="32"/>
          <w:szCs w:val="32"/>
        </w:rPr>
      </w:pPr>
    </w:p>
    <w:p w14:paraId="4F044821" w14:textId="77777777" w:rsidR="00BE5DAB" w:rsidRPr="00BE5DAB" w:rsidRDefault="00BE5DAB" w:rsidP="00BE5DAB">
      <w:pPr>
        <w:spacing w:line="240" w:lineRule="auto"/>
        <w:jc w:val="center"/>
        <w:rPr>
          <w:rFonts w:ascii="Times New Roman" w:eastAsia="SimSun" w:hAnsi="Times New Roman" w:cs="Times New Roman"/>
          <w:b/>
          <w:bCs/>
          <w:i/>
          <w:iCs/>
          <w:sz w:val="32"/>
          <w:szCs w:val="32"/>
        </w:rPr>
      </w:pPr>
    </w:p>
    <w:p w14:paraId="724FF759" w14:textId="5179FD22" w:rsidR="00BE5DAB" w:rsidRPr="00BE5DAB" w:rsidRDefault="00BE5DAB" w:rsidP="00BE5DAB">
      <w:pPr>
        <w:spacing w:line="240" w:lineRule="auto"/>
        <w:jc w:val="center"/>
        <w:rPr>
          <w:rFonts w:ascii="Times New Roman" w:eastAsia="SimSun" w:hAnsi="Times New Roman" w:cs="Times New Roman"/>
          <w:b/>
          <w:bCs/>
          <w:i/>
          <w:iCs/>
          <w:sz w:val="28"/>
          <w:szCs w:val="28"/>
        </w:rPr>
      </w:pPr>
      <w:r w:rsidRPr="00BE5DAB">
        <w:rPr>
          <w:rFonts w:ascii="Times New Roman" w:eastAsia="SimSun" w:hAnsi="Times New Roman" w:cs="Times New Roman"/>
          <w:b/>
          <w:bCs/>
          <w:i/>
          <w:iCs/>
          <w:sz w:val="28"/>
          <w:szCs w:val="28"/>
        </w:rPr>
        <w:t>Submitted By</w:t>
      </w:r>
    </w:p>
    <w:p w14:paraId="00D0F79D" w14:textId="347FB861" w:rsidR="00BE5DAB" w:rsidRPr="00BE5DAB" w:rsidRDefault="00BD6BEC" w:rsidP="00BE5DAB">
      <w:pPr>
        <w:spacing w:line="24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Osama Alhusen </w:t>
      </w:r>
    </w:p>
    <w:p w14:paraId="6BB7F343" w14:textId="77777777" w:rsidR="00BE5DAB" w:rsidRPr="00BE5DAB" w:rsidRDefault="00BE5DAB" w:rsidP="00BE5DAB">
      <w:pPr>
        <w:spacing w:line="240" w:lineRule="auto"/>
        <w:jc w:val="center"/>
        <w:rPr>
          <w:rFonts w:ascii="Times New Roman" w:eastAsia="Calibri" w:hAnsi="Times New Roman" w:cs="Times New Roman"/>
          <w:sz w:val="24"/>
          <w:szCs w:val="24"/>
        </w:rPr>
      </w:pPr>
    </w:p>
    <w:p w14:paraId="0AFC3825" w14:textId="72874C4F" w:rsidR="00BE5DAB" w:rsidRPr="00BE5DAB" w:rsidRDefault="00BE5DAB" w:rsidP="00BE5DAB">
      <w:pPr>
        <w:spacing w:line="240" w:lineRule="auto"/>
        <w:jc w:val="center"/>
        <w:rPr>
          <w:rFonts w:ascii="Times New Roman" w:eastAsia="SimSun" w:hAnsi="Times New Roman" w:cs="Times New Roman"/>
          <w:b/>
          <w:bCs/>
          <w:i/>
          <w:iCs/>
          <w:sz w:val="28"/>
          <w:szCs w:val="28"/>
        </w:rPr>
      </w:pPr>
      <w:r w:rsidRPr="00BE5DAB">
        <w:rPr>
          <w:rFonts w:ascii="Times New Roman" w:eastAsia="SimSun" w:hAnsi="Times New Roman" w:cs="Times New Roman"/>
          <w:b/>
          <w:bCs/>
          <w:i/>
          <w:iCs/>
          <w:sz w:val="28"/>
          <w:szCs w:val="28"/>
        </w:rPr>
        <w:t xml:space="preserve">A Thesis Submitted to the University of </w:t>
      </w:r>
      <w:r w:rsidR="00BD6BEC">
        <w:rPr>
          <w:rFonts w:ascii="Times New Roman" w:eastAsia="SimSun" w:hAnsi="Times New Roman" w:cs="Times New Roman"/>
          <w:b/>
          <w:bCs/>
          <w:i/>
          <w:iCs/>
          <w:sz w:val="28"/>
          <w:szCs w:val="28"/>
        </w:rPr>
        <w:t>Wales trinity saint David</w:t>
      </w:r>
      <w:r w:rsidRPr="00BE5DAB">
        <w:rPr>
          <w:rFonts w:ascii="Times New Roman" w:eastAsia="SimSun" w:hAnsi="Times New Roman" w:cs="Times New Roman"/>
          <w:b/>
          <w:bCs/>
          <w:i/>
          <w:iCs/>
          <w:sz w:val="28"/>
          <w:szCs w:val="28"/>
        </w:rPr>
        <w:t xml:space="preserve"> for the Degree of</w:t>
      </w:r>
    </w:p>
    <w:p w14:paraId="4B065DAA" w14:textId="5AA7F907" w:rsidR="00BE5DAB" w:rsidRPr="00BE5DAB" w:rsidRDefault="00BE5DAB" w:rsidP="00BD6BEC">
      <w:pPr>
        <w:spacing w:line="240" w:lineRule="auto"/>
        <w:jc w:val="center"/>
        <w:rPr>
          <w:rFonts w:ascii="Times New Roman" w:eastAsia="SimSun" w:hAnsi="Times New Roman" w:cs="Times New Roman"/>
          <w:b/>
          <w:bCs/>
          <w:i/>
          <w:iCs/>
          <w:sz w:val="28"/>
          <w:szCs w:val="28"/>
        </w:rPr>
      </w:pPr>
      <w:r w:rsidRPr="00BE5DAB">
        <w:rPr>
          <w:rFonts w:ascii="Times New Roman" w:eastAsia="SimSun" w:hAnsi="Times New Roman" w:cs="Times New Roman"/>
          <w:b/>
          <w:bCs/>
          <w:i/>
          <w:iCs/>
          <w:sz w:val="28"/>
          <w:szCs w:val="28"/>
        </w:rPr>
        <w:t>Master’s degree</w:t>
      </w:r>
    </w:p>
    <w:p w14:paraId="4E440D9C" w14:textId="77777777" w:rsidR="00BE5DAB" w:rsidRPr="00BE5DAB" w:rsidRDefault="00BE5DAB" w:rsidP="00BE5DAB">
      <w:pPr>
        <w:spacing w:line="240" w:lineRule="auto"/>
        <w:jc w:val="center"/>
        <w:rPr>
          <w:rFonts w:ascii="Times New Roman" w:eastAsia="SimSun" w:hAnsi="Times New Roman" w:cs="Times New Roman"/>
          <w:b/>
          <w:bCs/>
          <w:i/>
          <w:iCs/>
          <w:sz w:val="28"/>
          <w:szCs w:val="28"/>
        </w:rPr>
      </w:pPr>
    </w:p>
    <w:p w14:paraId="23CB051F" w14:textId="77777777" w:rsidR="00BE5DAB" w:rsidRPr="00BE5DAB" w:rsidRDefault="00BE5DAB" w:rsidP="00BE5DAB">
      <w:pPr>
        <w:spacing w:line="240" w:lineRule="auto"/>
        <w:jc w:val="center"/>
        <w:rPr>
          <w:rFonts w:ascii="Times New Roman" w:eastAsia="SimSun" w:hAnsi="Times New Roman" w:cs="Times New Roman"/>
          <w:b/>
          <w:bCs/>
          <w:i/>
          <w:iCs/>
          <w:sz w:val="28"/>
          <w:szCs w:val="28"/>
        </w:rPr>
      </w:pPr>
      <w:r w:rsidRPr="00BE5DAB">
        <w:rPr>
          <w:rFonts w:ascii="Times New Roman" w:eastAsia="SimSun" w:hAnsi="Times New Roman" w:cs="Times New Roman"/>
          <w:b/>
          <w:bCs/>
          <w:i/>
          <w:iCs/>
          <w:sz w:val="28"/>
          <w:szCs w:val="28"/>
        </w:rPr>
        <w:t>2021</w:t>
      </w:r>
    </w:p>
    <w:p w14:paraId="3E903BDF"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E55AA09"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768F4CE"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084855D" w14:textId="79097441" w:rsid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ABDE555" w14:textId="6213FAAB" w:rsidR="00BD6BEC" w:rsidRDefault="00BD6BEC"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38457A6" w14:textId="772359DC" w:rsidR="00BD6BEC" w:rsidRDefault="00BD6BEC"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23B55F8" w14:textId="595DC71C" w:rsidR="00BD6BEC" w:rsidRDefault="00BD6BEC"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DAC69F7" w14:textId="5A6A1F0A" w:rsidR="00BD6BEC" w:rsidRDefault="00BD6BEC"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9972E5E" w14:textId="66557540"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77FFEAD" w14:textId="045A184E"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F6319B8" w14:textId="67DE4FDA"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6AA5E3F" w14:textId="60EE80FC"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8D7252E" w14:textId="30BA2330"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FE4BB3B" w14:textId="34EFBB9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BFD9FE5" w14:textId="7BEC0BEC"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9926721" w14:textId="708B2358"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4D7D650" w14:textId="074591E8"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E4A2987" w14:textId="77777777" w:rsidR="00833529" w:rsidRPr="00833529" w:rsidRDefault="00833529" w:rsidP="00833529">
      <w:pPr>
        <w:spacing w:after="120" w:line="240" w:lineRule="auto"/>
        <w:rPr>
          <w:rFonts w:ascii="Arial" w:eastAsia="Times New Roman" w:hAnsi="Arial" w:cs="Arial"/>
          <w:b/>
          <w:sz w:val="24"/>
          <w:szCs w:val="24"/>
          <w:lang w:eastAsia="en-GB"/>
        </w:rPr>
      </w:pPr>
    </w:p>
    <w:p w14:paraId="3E27FE9A" w14:textId="77777777" w:rsidR="00833529" w:rsidRPr="00833529" w:rsidRDefault="00833529" w:rsidP="00833529">
      <w:pPr>
        <w:spacing w:after="0" w:line="240" w:lineRule="auto"/>
        <w:jc w:val="center"/>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University of Wales: Trinity Saint David</w:t>
      </w:r>
    </w:p>
    <w:p w14:paraId="1F5F3CA1" w14:textId="77777777" w:rsidR="00833529" w:rsidRPr="00833529" w:rsidRDefault="00833529" w:rsidP="00833529">
      <w:pPr>
        <w:spacing w:after="0" w:line="240" w:lineRule="auto"/>
        <w:jc w:val="center"/>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E-Thesis Deposit Agreement</w:t>
      </w:r>
    </w:p>
    <w:p w14:paraId="23A5A86F" w14:textId="77777777" w:rsidR="00833529" w:rsidRPr="00833529" w:rsidRDefault="00833529" w:rsidP="00833529">
      <w:pPr>
        <w:spacing w:after="0" w:line="240" w:lineRule="auto"/>
        <w:rPr>
          <w:rFonts w:ascii="Arial" w:eastAsia="Times New Roman" w:hAnsi="Arial" w:cs="Arial"/>
          <w:b/>
          <w:sz w:val="24"/>
          <w:szCs w:val="24"/>
          <w:lang w:eastAsia="en-GB"/>
        </w:rPr>
      </w:pPr>
    </w:p>
    <w:p w14:paraId="253B69CA"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Details of the Work</w:t>
      </w:r>
    </w:p>
    <w:p w14:paraId="73563E73"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I would like to deposit the following item in the digital repository maintained by the University, and/or in any other repository authorized for use by the University:</w:t>
      </w:r>
    </w:p>
    <w:p w14:paraId="4EA6BA56" w14:textId="77777777" w:rsidR="00833529" w:rsidRPr="00833529" w:rsidRDefault="00833529" w:rsidP="00833529">
      <w:pPr>
        <w:spacing w:after="0" w:line="240" w:lineRule="auto"/>
        <w:rPr>
          <w:rFonts w:ascii="Arial" w:eastAsia="Times New Roman" w:hAnsi="Arial" w:cs="Arial"/>
          <w:sz w:val="24"/>
          <w:szCs w:val="24"/>
          <w:lang w:eastAsia="en-GB"/>
        </w:rPr>
      </w:pPr>
    </w:p>
    <w:p w14:paraId="6D47591F" w14:textId="77777777" w:rsidR="00833529" w:rsidRPr="00833529" w:rsidRDefault="00833529" w:rsidP="00833529">
      <w:pPr>
        <w:spacing w:after="0" w:line="240" w:lineRule="auto"/>
        <w:jc w:val="center"/>
        <w:rPr>
          <w:rFonts w:ascii="Times New Roman" w:eastAsia="SimSun" w:hAnsi="Times New Roman" w:cs="Times New Roman"/>
          <w:b/>
          <w:bCs/>
          <w:sz w:val="36"/>
          <w:szCs w:val="36"/>
        </w:rPr>
      </w:pPr>
      <w:r w:rsidRPr="00833529">
        <w:rPr>
          <w:rFonts w:ascii="Arial" w:eastAsia="Times New Roman" w:hAnsi="Arial" w:cs="Arial"/>
          <w:b/>
          <w:sz w:val="24"/>
          <w:szCs w:val="24"/>
          <w:lang w:eastAsia="en-GB"/>
        </w:rPr>
        <w:t>Title</w:t>
      </w:r>
      <w:r w:rsidRPr="00833529">
        <w:rPr>
          <w:rFonts w:ascii="Arial" w:eastAsia="Times New Roman" w:hAnsi="Arial" w:cs="Arial"/>
          <w:sz w:val="24"/>
          <w:szCs w:val="24"/>
          <w:lang w:eastAsia="en-GB"/>
        </w:rPr>
        <w:t xml:space="preserve"> …………………</w:t>
      </w:r>
      <w:r w:rsidRPr="00833529">
        <w:rPr>
          <w:rFonts w:ascii="Times New Roman" w:eastAsia="SimSun" w:hAnsi="Times New Roman" w:cs="Times New Roman"/>
          <w:b/>
          <w:bCs/>
          <w:sz w:val="36"/>
          <w:szCs w:val="36"/>
        </w:rPr>
        <w:t xml:space="preserve">Influence of Culturally and Religiously Motived Boycotts: The Case of Middle Eastern Consumers </w:t>
      </w:r>
      <w:proofErr w:type="gramStart"/>
      <w:r w:rsidRPr="00833529">
        <w:rPr>
          <w:rFonts w:ascii="Times New Roman" w:eastAsia="SimSun" w:hAnsi="Times New Roman" w:cs="Times New Roman"/>
          <w:b/>
          <w:bCs/>
          <w:sz w:val="36"/>
          <w:szCs w:val="36"/>
        </w:rPr>
        <w:t>who</w:t>
      </w:r>
      <w:proofErr w:type="gramEnd"/>
      <w:r w:rsidRPr="00833529">
        <w:rPr>
          <w:rFonts w:ascii="Times New Roman" w:eastAsia="SimSun" w:hAnsi="Times New Roman" w:cs="Times New Roman"/>
          <w:b/>
          <w:bCs/>
          <w:sz w:val="36"/>
          <w:szCs w:val="36"/>
        </w:rPr>
        <w:t xml:space="preserve"> Live in London</w:t>
      </w:r>
    </w:p>
    <w:p w14:paraId="6532D8F8"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w:t>
      </w:r>
    </w:p>
    <w:p w14:paraId="6ABA92B5"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w:t>
      </w:r>
    </w:p>
    <w:p w14:paraId="129B2A2F" w14:textId="77777777" w:rsidR="00833529" w:rsidRPr="00833529" w:rsidRDefault="00833529" w:rsidP="00833529">
      <w:pPr>
        <w:spacing w:after="0" w:line="240" w:lineRule="auto"/>
        <w:rPr>
          <w:rFonts w:ascii="Arial" w:eastAsia="Times New Roman" w:hAnsi="Arial" w:cs="Arial"/>
          <w:sz w:val="24"/>
          <w:szCs w:val="24"/>
          <w:lang w:eastAsia="en-GB"/>
        </w:rPr>
      </w:pPr>
    </w:p>
    <w:p w14:paraId="65AE0D49"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1409CE8" w14:textId="77777777" w:rsidR="00833529" w:rsidRPr="00833529" w:rsidRDefault="00833529" w:rsidP="00833529">
      <w:pPr>
        <w:spacing w:after="0" w:line="240" w:lineRule="auto"/>
        <w:rPr>
          <w:rFonts w:ascii="Arial" w:eastAsia="Times New Roman" w:hAnsi="Arial" w:cs="Arial"/>
          <w:sz w:val="24"/>
          <w:szCs w:val="24"/>
          <w:lang w:eastAsia="en-GB"/>
        </w:rPr>
      </w:pPr>
    </w:p>
    <w:p w14:paraId="06D065FF"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I agree that the University of Wales: Trinity Saint David may electronically store, </w:t>
      </w:r>
      <w:proofErr w:type="gramStart"/>
      <w:r w:rsidRPr="00833529">
        <w:rPr>
          <w:rFonts w:ascii="Arial" w:eastAsia="Times New Roman" w:hAnsi="Arial" w:cs="Arial"/>
          <w:sz w:val="24"/>
          <w:szCs w:val="24"/>
          <w:lang w:eastAsia="en-GB"/>
        </w:rPr>
        <w:t>copy</w:t>
      </w:r>
      <w:proofErr w:type="gramEnd"/>
      <w:r w:rsidRPr="00833529">
        <w:rPr>
          <w:rFonts w:ascii="Arial" w:eastAsia="Times New Roman" w:hAnsi="Arial" w:cs="Arial"/>
          <w:sz w:val="24"/>
          <w:szCs w:val="24"/>
          <w:lang w:eastAsia="en-GB"/>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3E5A8D4" w14:textId="77777777" w:rsidR="00833529" w:rsidRPr="00833529" w:rsidRDefault="00833529" w:rsidP="00833529">
      <w:pPr>
        <w:spacing w:after="0" w:line="240" w:lineRule="auto"/>
        <w:rPr>
          <w:rFonts w:ascii="Arial" w:eastAsia="Times New Roman" w:hAnsi="Arial" w:cs="Arial"/>
          <w:sz w:val="24"/>
          <w:szCs w:val="24"/>
          <w:lang w:eastAsia="en-GB"/>
        </w:rPr>
      </w:pPr>
    </w:p>
    <w:p w14:paraId="1C8A818B"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UW: TSD Digital Repository</w:t>
      </w:r>
    </w:p>
    <w:p w14:paraId="089871A3" w14:textId="77777777" w:rsidR="00833529" w:rsidRPr="00833529" w:rsidRDefault="00833529" w:rsidP="00833529">
      <w:p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I understand that work deposited in the digital repository will be accessible to a wide variety of people and institutions, including automated agents and search engines via the World Wide Web.</w:t>
      </w:r>
    </w:p>
    <w:p w14:paraId="5B4C4045" w14:textId="77777777" w:rsidR="00833529" w:rsidRPr="00833529" w:rsidRDefault="00833529" w:rsidP="00833529">
      <w:pPr>
        <w:spacing w:after="0" w:line="240" w:lineRule="auto"/>
        <w:rPr>
          <w:rFonts w:ascii="Arial" w:eastAsia="Times New Roman" w:hAnsi="Arial" w:cs="Arial"/>
          <w:sz w:val="24"/>
          <w:szCs w:val="24"/>
          <w:lang w:eastAsia="en-GB"/>
        </w:rPr>
      </w:pPr>
    </w:p>
    <w:p w14:paraId="174A90E7" w14:textId="77777777" w:rsidR="00833529" w:rsidRPr="00833529" w:rsidRDefault="00833529" w:rsidP="00833529">
      <w:pPr>
        <w:spacing w:after="0" w:line="240" w:lineRule="auto"/>
        <w:rPr>
          <w:rFonts w:ascii="Arial" w:eastAsia="Times New Roman" w:hAnsi="Arial" w:cs="Arial"/>
          <w:color w:val="FF0000"/>
          <w:sz w:val="24"/>
          <w:szCs w:val="24"/>
          <w:lang w:eastAsia="en-GB"/>
        </w:rPr>
      </w:pPr>
      <w:r w:rsidRPr="00833529">
        <w:rPr>
          <w:rFonts w:ascii="Arial" w:eastAsia="Times New Roman" w:hAnsi="Arial" w:cs="Arial"/>
          <w:sz w:val="24"/>
          <w:szCs w:val="24"/>
          <w:lang w:eastAsia="en-GB"/>
        </w:rPr>
        <w:t>I understand that once the Work is deposited, the item and its metadata may be incorporated into public access catalogues or services, such as national databases of electronic theses.</w:t>
      </w:r>
    </w:p>
    <w:p w14:paraId="22A5AEBC" w14:textId="77777777" w:rsidR="00833529" w:rsidRPr="00833529" w:rsidRDefault="00833529" w:rsidP="00833529">
      <w:pPr>
        <w:spacing w:after="0" w:line="240" w:lineRule="auto"/>
        <w:rPr>
          <w:rFonts w:ascii="Arial" w:eastAsia="Times New Roman" w:hAnsi="Arial" w:cs="Arial"/>
          <w:color w:val="FF0000"/>
          <w:sz w:val="24"/>
          <w:szCs w:val="24"/>
          <w:lang w:eastAsia="en-GB"/>
        </w:rPr>
      </w:pPr>
    </w:p>
    <w:p w14:paraId="492D1A58" w14:textId="77777777" w:rsidR="00833529" w:rsidRPr="00833529" w:rsidRDefault="00833529" w:rsidP="00833529">
      <w:pPr>
        <w:spacing w:after="0" w:line="240" w:lineRule="auto"/>
        <w:ind w:left="-720" w:right="-334"/>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ab/>
        <w:t>I agree as follows:</w:t>
      </w:r>
    </w:p>
    <w:p w14:paraId="625876B6"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833529">
            <w:rPr>
              <w:rFonts w:ascii="Arial" w:eastAsia="Times New Roman" w:hAnsi="Arial" w:cs="Arial"/>
              <w:sz w:val="24"/>
              <w:szCs w:val="24"/>
              <w:lang w:eastAsia="en-GB"/>
            </w:rPr>
            <w:t>University</w:t>
          </w:r>
        </w:smartTag>
        <w:r w:rsidRPr="00833529">
          <w:rPr>
            <w:rFonts w:ascii="Arial" w:eastAsia="Times New Roman" w:hAnsi="Arial" w:cs="Arial"/>
            <w:sz w:val="24"/>
            <w:szCs w:val="24"/>
            <w:lang w:eastAsia="en-GB"/>
          </w:rPr>
          <w:t xml:space="preserve"> of </w:t>
        </w:r>
        <w:smartTag w:uri="urn:schemas-microsoft-com:office:smarttags" w:element="PlaceName">
          <w:r w:rsidRPr="00833529">
            <w:rPr>
              <w:rFonts w:ascii="Arial" w:eastAsia="Times New Roman" w:hAnsi="Arial" w:cs="Arial"/>
              <w:sz w:val="24"/>
              <w:szCs w:val="24"/>
              <w:lang w:eastAsia="en-GB"/>
            </w:rPr>
            <w:t>Wales</w:t>
          </w:r>
        </w:smartTag>
      </w:smartTag>
      <w:r w:rsidRPr="00833529">
        <w:rPr>
          <w:rFonts w:ascii="Arial" w:eastAsia="Times New Roman" w:hAnsi="Arial" w:cs="Arial"/>
          <w:sz w:val="24"/>
          <w:szCs w:val="24"/>
          <w:lang w:eastAsia="en-GB"/>
        </w:rPr>
        <w:t>: Trinity Saint David the right to make available the Work in the way described above.</w:t>
      </w:r>
    </w:p>
    <w:p w14:paraId="76CF0EAA"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That the electronic copy of the Work deposited in the digital repository and covered by this agreement, is identical in content to the paper copy of the Work.</w:t>
      </w:r>
    </w:p>
    <w:p w14:paraId="007274D7"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That I have exercised reasonable care to ensure that the Work is original, and to the best of my knowledge, does not breach any laws including those relating to defamation, </w:t>
      </w:r>
      <w:proofErr w:type="gramStart"/>
      <w:r w:rsidRPr="00833529">
        <w:rPr>
          <w:rFonts w:ascii="Arial" w:eastAsia="Times New Roman" w:hAnsi="Arial" w:cs="Arial"/>
          <w:sz w:val="24"/>
          <w:szCs w:val="24"/>
          <w:lang w:eastAsia="en-GB"/>
        </w:rPr>
        <w:t>libel</w:t>
      </w:r>
      <w:proofErr w:type="gramEnd"/>
      <w:r w:rsidRPr="00833529">
        <w:rPr>
          <w:rFonts w:ascii="Arial" w:eastAsia="Times New Roman" w:hAnsi="Arial" w:cs="Arial"/>
          <w:sz w:val="24"/>
          <w:szCs w:val="24"/>
          <w:lang w:eastAsia="en-GB"/>
        </w:rPr>
        <w:t xml:space="preserve"> and copyright.</w:t>
      </w:r>
    </w:p>
    <w:p w14:paraId="41F910EE"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33529">
        <w:rPr>
          <w:rFonts w:ascii="Arial" w:eastAsia="Times New Roman" w:hAnsi="Arial" w:cs="Arial"/>
          <w:i/>
          <w:sz w:val="24"/>
          <w:szCs w:val="24"/>
          <w:lang w:eastAsia="en-GB"/>
        </w:rPr>
        <w:t>or</w:t>
      </w:r>
      <w:r w:rsidRPr="00833529">
        <w:rPr>
          <w:rFonts w:ascii="Arial" w:eastAsia="Times New Roman" w:hAnsi="Arial" w:cs="Arial"/>
          <w:sz w:val="24"/>
          <w:szCs w:val="24"/>
          <w:lang w:eastAsia="en-GB"/>
        </w:rPr>
        <w:t xml:space="preserve"> that I have </w:t>
      </w:r>
      <w:r w:rsidRPr="00833529">
        <w:rPr>
          <w:rFonts w:ascii="Arial" w:eastAsia="Times New Roman" w:hAnsi="Arial" w:cs="Arial"/>
          <w:sz w:val="24"/>
          <w:szCs w:val="24"/>
          <w:lang w:eastAsia="en-GB"/>
        </w:rPr>
        <w:lastRenderedPageBreak/>
        <w:t>identified and removed that material for which adequate permission has not been obtained and which will be inaccessible via the digital repository</w:t>
      </w:r>
    </w:p>
    <w:p w14:paraId="0B0B567A"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That </w:t>
      </w:r>
      <w:smartTag w:uri="urn:schemas-microsoft-com:office:smarttags" w:element="place">
        <w:smartTag w:uri="urn:schemas-microsoft-com:office:smarttags" w:element="PlaceType">
          <w:r w:rsidRPr="00833529">
            <w:rPr>
              <w:rFonts w:ascii="Arial" w:eastAsia="Times New Roman" w:hAnsi="Arial" w:cs="Arial"/>
              <w:sz w:val="24"/>
              <w:szCs w:val="24"/>
              <w:lang w:eastAsia="en-GB"/>
            </w:rPr>
            <w:t>University</w:t>
          </w:r>
        </w:smartTag>
        <w:r w:rsidRPr="00833529">
          <w:rPr>
            <w:rFonts w:ascii="Arial" w:eastAsia="Times New Roman" w:hAnsi="Arial" w:cs="Arial"/>
            <w:sz w:val="24"/>
            <w:szCs w:val="24"/>
            <w:lang w:eastAsia="en-GB"/>
          </w:rPr>
          <w:t xml:space="preserve"> of </w:t>
        </w:r>
        <w:smartTag w:uri="urn:schemas-microsoft-com:office:smarttags" w:element="PlaceName">
          <w:r w:rsidRPr="00833529">
            <w:rPr>
              <w:rFonts w:ascii="Arial" w:eastAsia="Times New Roman" w:hAnsi="Arial" w:cs="Arial"/>
              <w:sz w:val="24"/>
              <w:szCs w:val="24"/>
              <w:lang w:eastAsia="en-GB"/>
            </w:rPr>
            <w:t>Wales</w:t>
          </w:r>
        </w:smartTag>
      </w:smartTag>
      <w:r w:rsidRPr="00833529">
        <w:rPr>
          <w:rFonts w:ascii="Arial" w:eastAsia="Times New Roman" w:hAnsi="Arial" w:cs="Arial"/>
          <w:sz w:val="24"/>
          <w:szCs w:val="24"/>
          <w:lang w:eastAsia="en-GB"/>
        </w:rPr>
        <w:t>: Trinity Saint David does not hold any obligation to take legal action on behalf of the Depositor, or other rights holders, in the event of a breach of intellectual property rights, or any other right, in the material deposited.</w:t>
      </w:r>
    </w:p>
    <w:p w14:paraId="4D01475C" w14:textId="77777777" w:rsidR="00833529" w:rsidRPr="00833529" w:rsidRDefault="00833529" w:rsidP="00833529">
      <w:pPr>
        <w:numPr>
          <w:ilvl w:val="0"/>
          <w:numId w:val="14"/>
        </w:numPr>
        <w:spacing w:after="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451B6160" w14:textId="77777777" w:rsidR="00833529" w:rsidRPr="00833529" w:rsidRDefault="00833529" w:rsidP="00833529">
      <w:pPr>
        <w:spacing w:after="0" w:line="240" w:lineRule="auto"/>
        <w:rPr>
          <w:rFonts w:ascii="Arial" w:eastAsia="Times New Roman" w:hAnsi="Arial" w:cs="Arial"/>
          <w:sz w:val="24"/>
          <w:szCs w:val="24"/>
          <w:lang w:eastAsia="en-GB"/>
        </w:rPr>
      </w:pPr>
    </w:p>
    <w:p w14:paraId="46736841" w14:textId="77777777" w:rsidR="00833529" w:rsidRPr="00833529" w:rsidRDefault="00833529" w:rsidP="00833529">
      <w:pPr>
        <w:spacing w:after="0" w:line="240" w:lineRule="auto"/>
        <w:jc w:val="both"/>
        <w:rPr>
          <w:rFonts w:ascii="Arial" w:eastAsia="Times New Roman" w:hAnsi="Arial" w:cs="Arial"/>
          <w:sz w:val="24"/>
          <w:szCs w:val="24"/>
          <w:lang w:eastAsia="en-GB"/>
        </w:rPr>
      </w:pPr>
    </w:p>
    <w:p w14:paraId="54737149" w14:textId="77777777" w:rsidR="00833529" w:rsidRPr="00833529" w:rsidRDefault="00833529" w:rsidP="00833529">
      <w:pPr>
        <w:spacing w:after="0" w:line="240" w:lineRule="auto"/>
        <w:jc w:val="both"/>
        <w:rPr>
          <w:rFonts w:ascii="Arial" w:eastAsia="Times New Roman" w:hAnsi="Arial" w:cs="Arial"/>
          <w:sz w:val="24"/>
          <w:szCs w:val="24"/>
          <w:lang w:eastAsia="en-GB"/>
        </w:rPr>
      </w:pPr>
    </w:p>
    <w:p w14:paraId="6BCDD808" w14:textId="6FD4CE34" w:rsidR="00833529" w:rsidRPr="00833529" w:rsidRDefault="00833529" w:rsidP="00833529">
      <w:pPr>
        <w:spacing w:after="0" w:line="240" w:lineRule="auto"/>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Signature ……………………………</w:t>
      </w:r>
      <w:bookmarkStart w:id="0" w:name="_Hlk85222793"/>
      <w:r w:rsidRPr="00833529">
        <w:rPr>
          <w:rFonts w:ascii="Arial" w:eastAsia="Times New Roman" w:hAnsi="Arial" w:cs="Arial"/>
          <w:b/>
          <w:noProof/>
          <w:sz w:val="24"/>
          <w:szCs w:val="24"/>
          <w:lang w:eastAsia="en-GB"/>
        </w:rPr>
        <w:drawing>
          <wp:inline distT="0" distB="0" distL="0" distR="0" wp14:anchorId="4ABD759E" wp14:editId="5942B98A">
            <wp:extent cx="5731510" cy="1283970"/>
            <wp:effectExtent l="0" t="0" r="2540" b="0"/>
            <wp:docPr id="55" name="Picture 5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283970"/>
                    </a:xfrm>
                    <a:prstGeom prst="rect">
                      <a:avLst/>
                    </a:prstGeom>
                    <a:noFill/>
                  </pic:spPr>
                </pic:pic>
              </a:graphicData>
            </a:graphic>
          </wp:inline>
        </w:drawing>
      </w:r>
      <w:bookmarkEnd w:id="0"/>
      <w:r w:rsidRPr="00833529">
        <w:rPr>
          <w:rFonts w:ascii="Arial" w:eastAsia="Times New Roman" w:hAnsi="Arial" w:cs="Arial"/>
          <w:b/>
          <w:sz w:val="24"/>
          <w:szCs w:val="24"/>
          <w:lang w:eastAsia="en-GB"/>
        </w:rPr>
        <w:t xml:space="preserve">………………………….  </w:t>
      </w:r>
    </w:p>
    <w:p w14:paraId="52E594EE"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p>
    <w:p w14:paraId="4C8F4933"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p>
    <w:p w14:paraId="2FF80218"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Date ………14/10/2021</w:t>
      </w:r>
    </w:p>
    <w:p w14:paraId="58752105" w14:textId="77777777" w:rsidR="00833529" w:rsidRPr="00833529" w:rsidRDefault="00833529" w:rsidP="00833529">
      <w:pPr>
        <w:spacing w:after="0" w:line="240" w:lineRule="auto"/>
        <w:outlineLvl w:val="0"/>
        <w:rPr>
          <w:rFonts w:ascii="Arial" w:eastAsia="Times New Roman" w:hAnsi="Arial" w:cs="Arial"/>
          <w:b/>
          <w:sz w:val="24"/>
          <w:szCs w:val="24"/>
          <w:lang w:eastAsia="en-GB"/>
        </w:rPr>
      </w:pPr>
      <w:r w:rsidRPr="00833529">
        <w:rPr>
          <w:rFonts w:ascii="Arial" w:eastAsia="Times New Roman" w:hAnsi="Arial" w:cs="Arial"/>
          <w:b/>
          <w:sz w:val="24"/>
          <w:szCs w:val="24"/>
          <w:lang w:eastAsia="en-GB"/>
        </w:rPr>
        <w:t>………</w:t>
      </w:r>
    </w:p>
    <w:p w14:paraId="20808F8A" w14:textId="77777777" w:rsidR="00833529" w:rsidRPr="00833529" w:rsidRDefault="00833529" w:rsidP="00833529">
      <w:pPr>
        <w:spacing w:after="0" w:line="240" w:lineRule="auto"/>
        <w:rPr>
          <w:rFonts w:ascii="Arial" w:eastAsia="Times New Roman" w:hAnsi="Arial" w:cs="Arial"/>
          <w:b/>
          <w:sz w:val="24"/>
          <w:szCs w:val="24"/>
          <w:lang w:eastAsia="en-GB"/>
        </w:rPr>
      </w:pPr>
    </w:p>
    <w:p w14:paraId="12FB38C4" w14:textId="77777777"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5F15CB0" w14:textId="777DCA30"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FC2961D" w14:textId="5705A7FB"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F0A3309" w14:textId="1554947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8D196C3" w14:textId="4B91B3B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FA9785C" w14:textId="1B1F27AE"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541FF54" w14:textId="1FECE713"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E698829" w14:textId="119978F2"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7C18C8B" w14:textId="673985EA"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4D33E8C" w14:textId="571340D9"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8ABA352" w14:textId="0BA53624"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C1AC324" w14:textId="09BD2189"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7BC3600" w14:textId="4A705E70"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3E3D09E" w14:textId="65C726B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4265610" w14:textId="6DC07422"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B3431C5" w14:textId="6C65F7F4"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EE63DFC" w14:textId="01E4A738"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BEFCB70" w14:textId="795C5516"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679197E" w14:textId="77777777" w:rsidR="00833529" w:rsidRPr="00833529" w:rsidRDefault="00833529" w:rsidP="00833529">
      <w:pPr>
        <w:spacing w:after="120" w:line="240" w:lineRule="auto"/>
        <w:rPr>
          <w:rFonts w:ascii="Arial" w:eastAsia="Times New Roman" w:hAnsi="Arial" w:cs="Arial"/>
          <w:b/>
          <w:sz w:val="24"/>
          <w:szCs w:val="24"/>
          <w:lang w:eastAsia="en-GB"/>
        </w:rPr>
      </w:pPr>
    </w:p>
    <w:p w14:paraId="7ED3E211"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833529">
        <w:rPr>
          <w:rFonts w:ascii="Arial" w:eastAsia="Times New Roman" w:hAnsi="Arial" w:cs="Arial"/>
          <w:noProof/>
          <w:sz w:val="24"/>
          <w:szCs w:val="24"/>
          <w:lang w:eastAsia="en-GB"/>
        </w:rPr>
        <w:drawing>
          <wp:inline distT="0" distB="0" distL="0" distR="0" wp14:anchorId="52400684" wp14:editId="7D46CCB7">
            <wp:extent cx="1862455" cy="758825"/>
            <wp:effectExtent l="0" t="0" r="0" b="0"/>
            <wp:docPr id="56" name="Picture 56"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58825"/>
                    </a:xfrm>
                    <a:prstGeom prst="rect">
                      <a:avLst/>
                    </a:prstGeom>
                    <a:noFill/>
                    <a:ln>
                      <a:noFill/>
                    </a:ln>
                  </pic:spPr>
                </pic:pic>
              </a:graphicData>
            </a:graphic>
          </wp:inline>
        </w:drawing>
      </w:r>
    </w:p>
    <w:p w14:paraId="2194AA94"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833529">
        <w:rPr>
          <w:rFonts w:ascii="Arial" w:eastAsia="Times New Roman" w:hAnsi="Arial" w:cs="Arial"/>
          <w:b/>
          <w:sz w:val="24"/>
          <w:szCs w:val="24"/>
          <w:lang w:eastAsia="en-GB"/>
        </w:rPr>
        <w:t>Master’s Degrees by Examination and Dissertation</w:t>
      </w:r>
    </w:p>
    <w:p w14:paraId="5F60A1BE"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833529">
        <w:rPr>
          <w:rFonts w:ascii="Arial" w:eastAsia="Times New Roman" w:hAnsi="Arial" w:cs="Arial"/>
          <w:b/>
          <w:sz w:val="24"/>
          <w:szCs w:val="24"/>
          <w:lang w:eastAsia="en-GB"/>
        </w:rPr>
        <w:t>Declaration Form</w:t>
      </w:r>
      <w:r w:rsidRPr="00833529">
        <w:rPr>
          <w:rFonts w:ascii="Arial" w:eastAsia="Times New Roman" w:hAnsi="Arial" w:cs="Arial"/>
          <w:sz w:val="24"/>
          <w:szCs w:val="24"/>
          <w:lang w:eastAsia="en-GB"/>
        </w:rPr>
        <w:t>.</w:t>
      </w:r>
    </w:p>
    <w:p w14:paraId="1929D5C9"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1. This work has not previously been accepted in substance for any degree and is not being concurrently submitted in candidature for any degree.</w:t>
      </w:r>
    </w:p>
    <w:p w14:paraId="74FB38BD"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Signed…….………………………………………………………………………...</w:t>
      </w:r>
    </w:p>
    <w:p w14:paraId="64BC97C1"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Date ………………………………………………………………………………...</w:t>
      </w:r>
    </w:p>
    <w:p w14:paraId="3216B2F0"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  </w:t>
      </w:r>
    </w:p>
    <w:p w14:paraId="2BDB6347"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2. This dissertation is being submitted in partial fulfilment of the requirements for the degree of </w:t>
      </w:r>
      <w:proofErr w:type="gramStart"/>
      <w:r w:rsidRPr="00833529">
        <w:rPr>
          <w:rFonts w:ascii="Arial" w:eastAsia="Times New Roman" w:hAnsi="Arial" w:cs="Arial"/>
          <w:sz w:val="24"/>
          <w:szCs w:val="24"/>
          <w:lang w:eastAsia="en-GB"/>
        </w:rPr>
        <w:t>Master in Business Administration</w:t>
      </w:r>
      <w:proofErr w:type="gramEnd"/>
      <w:r w:rsidRPr="00833529">
        <w:rPr>
          <w:rFonts w:ascii="Arial" w:eastAsia="Times New Roman" w:hAnsi="Arial" w:cs="Arial"/>
          <w:sz w:val="24"/>
          <w:szCs w:val="24"/>
          <w:lang w:eastAsia="en-GB"/>
        </w:rPr>
        <w:t>.</w:t>
      </w:r>
    </w:p>
    <w:p w14:paraId="1A7C5637"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proofErr w:type="gramStart"/>
      <w:r w:rsidRPr="00833529">
        <w:rPr>
          <w:rFonts w:ascii="Arial" w:eastAsia="Times New Roman" w:hAnsi="Arial" w:cs="Arial"/>
          <w:sz w:val="24"/>
          <w:szCs w:val="24"/>
          <w:lang w:eastAsia="en-GB"/>
        </w:rPr>
        <w:t>Signed  …</w:t>
      </w:r>
      <w:proofErr w:type="gramEnd"/>
      <w:r w:rsidRPr="00833529">
        <w:rPr>
          <w:rFonts w:ascii="Arial" w:eastAsia="Times New Roman" w:hAnsi="Arial" w:cs="Arial"/>
          <w:sz w:val="24"/>
          <w:szCs w:val="24"/>
          <w:lang w:eastAsia="en-GB"/>
        </w:rPr>
        <w:t>………………………………………………………………………….</w:t>
      </w:r>
    </w:p>
    <w:p w14:paraId="2F043108"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proofErr w:type="gramStart"/>
      <w:r w:rsidRPr="00833529">
        <w:rPr>
          <w:rFonts w:ascii="Arial" w:eastAsia="Times New Roman" w:hAnsi="Arial" w:cs="Arial"/>
          <w:sz w:val="24"/>
          <w:szCs w:val="24"/>
          <w:lang w:eastAsia="en-GB"/>
        </w:rPr>
        <w:t>Date  …</w:t>
      </w:r>
      <w:proofErr w:type="gramEnd"/>
      <w:r w:rsidRPr="00833529">
        <w:rPr>
          <w:rFonts w:ascii="Arial" w:eastAsia="Times New Roman" w:hAnsi="Arial" w:cs="Arial"/>
          <w:sz w:val="24"/>
          <w:szCs w:val="24"/>
          <w:lang w:eastAsia="en-GB"/>
        </w:rPr>
        <w:t>………………………………………………………………..…………...</w:t>
      </w:r>
    </w:p>
    <w:p w14:paraId="4ED9CA76"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 3. This dissertation is the result of my own independent work/investigation, except where otherwise stated.</w:t>
      </w:r>
    </w:p>
    <w:p w14:paraId="1438E072"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Other sources are acknowledged by footnotes giving explicit references. </w:t>
      </w:r>
    </w:p>
    <w:p w14:paraId="65072524"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A bibliography is appended.</w:t>
      </w:r>
    </w:p>
    <w:p w14:paraId="5E28CAF7"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Signed candidate:  ……………</w:t>
      </w:r>
      <w:r w:rsidRPr="00833529">
        <w:rPr>
          <w:rFonts w:ascii="Arial" w:eastAsia="Times New Roman" w:hAnsi="Arial" w:cs="Arial"/>
          <w:noProof/>
          <w:sz w:val="24"/>
          <w:szCs w:val="24"/>
          <w:lang w:eastAsia="en-GB"/>
        </w:rPr>
        <w:drawing>
          <wp:inline distT="0" distB="0" distL="0" distR="0" wp14:anchorId="202895B9" wp14:editId="50049CD1">
            <wp:extent cx="5742940" cy="1286510"/>
            <wp:effectExtent l="0" t="0" r="0" b="0"/>
            <wp:docPr id="57" name="Picture 57" descr="Shap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Picture 57" descr="Shape&#10;&#10;Description automatically generated with medium confidence"/>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2940" cy="1286510"/>
                    </a:xfrm>
                    <a:prstGeom prst="rect">
                      <a:avLst/>
                    </a:prstGeom>
                    <a:noFill/>
                  </pic:spPr>
                </pic:pic>
              </a:graphicData>
            </a:graphic>
          </wp:inline>
        </w:drawing>
      </w:r>
      <w:r w:rsidRPr="00833529">
        <w:rPr>
          <w:rFonts w:ascii="Arial" w:eastAsia="Times New Roman" w:hAnsi="Arial" w:cs="Arial"/>
          <w:sz w:val="24"/>
          <w:szCs w:val="24"/>
          <w:lang w:eastAsia="en-GB"/>
        </w:rPr>
        <w:t>………………………………….……………….</w:t>
      </w:r>
    </w:p>
    <w:p w14:paraId="5DFF4D5B"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Date:  …………14/10/2021………………………………………….……………………….</w:t>
      </w:r>
    </w:p>
    <w:p w14:paraId="26477DEB"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0"/>
          <w:szCs w:val="20"/>
          <w:lang w:eastAsia="en-GB"/>
        </w:rPr>
      </w:pPr>
      <w:r w:rsidRPr="00833529">
        <w:rPr>
          <w:rFonts w:ascii="Arial" w:eastAsia="Times New Roman" w:hAnsi="Arial" w:cs="Arial"/>
          <w:sz w:val="24"/>
          <w:szCs w:val="24"/>
          <w:lang w:eastAsia="en-GB"/>
        </w:rPr>
        <w:t xml:space="preserve">  </w:t>
      </w:r>
    </w:p>
    <w:p w14:paraId="1FB65C64"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4. I hereby give consent for my dissertation, if accepted, to be available for </w:t>
      </w:r>
      <w:proofErr w:type="gramStart"/>
      <w:r w:rsidRPr="00833529">
        <w:rPr>
          <w:rFonts w:ascii="Arial" w:eastAsia="Times New Roman" w:hAnsi="Arial" w:cs="Arial"/>
          <w:sz w:val="24"/>
          <w:szCs w:val="24"/>
          <w:lang w:eastAsia="en-GB"/>
        </w:rPr>
        <w:t>photocopying,  inter</w:t>
      </w:r>
      <w:proofErr w:type="gramEnd"/>
      <w:r w:rsidRPr="00833529">
        <w:rPr>
          <w:rFonts w:ascii="Arial" w:eastAsia="Times New Roman" w:hAnsi="Arial" w:cs="Arial"/>
          <w:sz w:val="24"/>
          <w:szCs w:val="24"/>
          <w:lang w:eastAsia="en-GB"/>
        </w:rPr>
        <w:t xml:space="preserve">- library loan, and for deposit in the University’s digital repository </w:t>
      </w:r>
    </w:p>
    <w:p w14:paraId="32032EC3"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lastRenderedPageBreak/>
        <w:t>Signed (candidate)………………………</w:t>
      </w:r>
      <w:r w:rsidRPr="00833529">
        <w:rPr>
          <w:rFonts w:ascii="Arial" w:eastAsia="Times New Roman" w:hAnsi="Arial" w:cs="Arial"/>
          <w:noProof/>
          <w:sz w:val="24"/>
          <w:szCs w:val="24"/>
          <w:lang w:eastAsia="en-GB"/>
        </w:rPr>
        <w:drawing>
          <wp:inline distT="0" distB="0" distL="0" distR="0" wp14:anchorId="5C00EA1F" wp14:editId="2A228C31">
            <wp:extent cx="5742940" cy="1286510"/>
            <wp:effectExtent l="0" t="0" r="0" b="0"/>
            <wp:docPr id="58" name="Picture 58" descr="Shap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Picture 58" descr="Shape&#10;&#10;Description automatically generated with medium confidence"/>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2940" cy="1286510"/>
                    </a:xfrm>
                    <a:prstGeom prst="rect">
                      <a:avLst/>
                    </a:prstGeom>
                    <a:noFill/>
                  </pic:spPr>
                </pic:pic>
              </a:graphicData>
            </a:graphic>
          </wp:inline>
        </w:drawing>
      </w:r>
      <w:r w:rsidRPr="00833529">
        <w:rPr>
          <w:rFonts w:ascii="Arial" w:eastAsia="Times New Roman" w:hAnsi="Arial" w:cs="Arial"/>
          <w:sz w:val="24"/>
          <w:szCs w:val="24"/>
          <w:lang w:eastAsia="en-GB"/>
        </w:rPr>
        <w:t>……………….………….…………...</w:t>
      </w:r>
    </w:p>
    <w:p w14:paraId="3F25BECA"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Date…………14/10/2021……………………………………….…………….…………</w:t>
      </w:r>
      <w:proofErr w:type="gramStart"/>
      <w:r w:rsidRPr="00833529">
        <w:rPr>
          <w:rFonts w:ascii="Arial" w:eastAsia="Times New Roman" w:hAnsi="Arial" w:cs="Arial"/>
          <w:sz w:val="24"/>
          <w:szCs w:val="24"/>
          <w:lang w:eastAsia="en-GB"/>
        </w:rPr>
        <w:t>…..</w:t>
      </w:r>
      <w:proofErr w:type="gramEnd"/>
    </w:p>
    <w:p w14:paraId="26151DF5"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b/>
          <w:sz w:val="24"/>
          <w:szCs w:val="24"/>
          <w:lang w:eastAsia="en-GB"/>
        </w:rPr>
        <w:t>Supervisor’s Declaration</w:t>
      </w:r>
      <w:r w:rsidRPr="00833529">
        <w:rPr>
          <w:rFonts w:ascii="Arial" w:eastAsia="Times New Roman" w:hAnsi="Arial" w:cs="Arial"/>
          <w:sz w:val="24"/>
          <w:szCs w:val="24"/>
          <w:lang w:eastAsia="en-GB"/>
        </w:rPr>
        <w:t>.</w:t>
      </w:r>
    </w:p>
    <w:p w14:paraId="132AF9ED"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I am satisfied that this work is the result of the student’s own efforts.</w:t>
      </w:r>
    </w:p>
    <w:p w14:paraId="72C2BC3B"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833529">
        <w:rPr>
          <w:rFonts w:ascii="Arial" w:eastAsia="Times New Roman" w:hAnsi="Arial" w:cs="Arial"/>
          <w:sz w:val="24"/>
          <w:szCs w:val="24"/>
          <w:lang w:eastAsia="en-GB"/>
        </w:rPr>
        <w:t xml:space="preserve">Signed:  </w:t>
      </w:r>
      <w:proofErr w:type="spellStart"/>
      <w:r w:rsidRPr="00833529">
        <w:rPr>
          <w:rFonts w:ascii="Arial" w:eastAsia="Times New Roman" w:hAnsi="Arial" w:cs="Arial"/>
          <w:sz w:val="24"/>
          <w:szCs w:val="24"/>
          <w:lang w:eastAsia="en-GB"/>
        </w:rPr>
        <w:t>Tushara</w:t>
      </w:r>
      <w:proofErr w:type="spellEnd"/>
      <w:r w:rsidRPr="00833529">
        <w:rPr>
          <w:rFonts w:ascii="Arial" w:eastAsia="Times New Roman" w:hAnsi="Arial" w:cs="Arial"/>
          <w:sz w:val="24"/>
          <w:szCs w:val="24"/>
          <w:lang w:eastAsia="en-GB"/>
        </w:rPr>
        <w:t xml:space="preserve"> </w:t>
      </w:r>
      <w:proofErr w:type="spellStart"/>
      <w:r w:rsidRPr="00833529">
        <w:rPr>
          <w:rFonts w:ascii="Arial" w:eastAsia="Times New Roman" w:hAnsi="Arial" w:cs="Arial"/>
          <w:sz w:val="24"/>
          <w:szCs w:val="24"/>
          <w:lang w:eastAsia="en-GB"/>
        </w:rPr>
        <w:t>Balendran</w:t>
      </w:r>
      <w:proofErr w:type="spellEnd"/>
      <w:r w:rsidRPr="00833529">
        <w:rPr>
          <w:rFonts w:ascii="Arial" w:eastAsia="Times New Roman" w:hAnsi="Arial" w:cs="Arial"/>
          <w:sz w:val="24"/>
          <w:szCs w:val="24"/>
          <w:lang w:eastAsia="en-GB"/>
        </w:rPr>
        <w:t xml:space="preserve"> ………………………………………………………………………</w:t>
      </w:r>
      <w:proofErr w:type="gramStart"/>
      <w:r w:rsidRPr="00833529">
        <w:rPr>
          <w:rFonts w:ascii="Arial" w:eastAsia="Times New Roman" w:hAnsi="Arial" w:cs="Arial"/>
          <w:sz w:val="24"/>
          <w:szCs w:val="24"/>
          <w:lang w:eastAsia="en-GB"/>
        </w:rPr>
        <w:t>…..</w:t>
      </w:r>
      <w:proofErr w:type="gramEnd"/>
    </w:p>
    <w:p w14:paraId="33BC1A0C" w14:textId="77777777" w:rsidR="00833529" w:rsidRPr="00833529" w:rsidRDefault="00833529" w:rsidP="00833529">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eastAsia="en-GB"/>
        </w:rPr>
      </w:pPr>
      <w:r w:rsidRPr="00833529">
        <w:rPr>
          <w:rFonts w:ascii="Arial" w:eastAsia="Times New Roman" w:hAnsi="Arial" w:cs="Arial"/>
          <w:sz w:val="24"/>
          <w:szCs w:val="24"/>
          <w:lang w:eastAsia="en-GB"/>
        </w:rPr>
        <w:t>Date:  14/10/2021……………………………………………………………………………...</w:t>
      </w:r>
    </w:p>
    <w:p w14:paraId="6639362F" w14:textId="3BE09964"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26975E2" w14:textId="12DC2FCD"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4229701" w14:textId="77777777"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7F99DE4" w14:textId="3E2B2771"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894FE62" w14:textId="26EFB165"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4754795" w14:textId="3247FB71"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E85EF80" w14:textId="4341C5FC"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D552F22" w14:textId="57FE1C58"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A923283" w14:textId="65A89D8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0B16C37" w14:textId="019137BA"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B138175" w14:textId="765A49C2"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0CC7E22" w14:textId="400F8C22"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FADFC4D" w14:textId="0A6900FB"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957541A" w14:textId="26426F1F"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DADAD89" w14:textId="77777777"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F84FE0F" w14:textId="3C135985" w:rsidR="00833529"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D5E1583" w14:textId="77777777" w:rsidR="00833529" w:rsidRPr="00BE5DAB" w:rsidRDefault="00833529"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3A06413"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B2C24DC" w14:textId="77777777" w:rsidR="00BE5DAB" w:rsidRPr="00BE5DAB" w:rsidRDefault="00BE5DAB" w:rsidP="00BE5DAB">
      <w:pPr>
        <w:spacing w:before="14" w:after="14" w:line="360" w:lineRule="auto"/>
        <w:jc w:val="both"/>
        <w:outlineLvl w:val="1"/>
        <w:rPr>
          <w:rFonts w:ascii="Times New Roman" w:eastAsia="Calibri" w:hAnsi="Times New Roman" w:cs="Times New Roman"/>
          <w:b/>
          <w:bCs/>
          <w:sz w:val="28"/>
          <w:szCs w:val="28"/>
        </w:rPr>
      </w:pPr>
      <w:r w:rsidRPr="00BE5DAB">
        <w:rPr>
          <w:rFonts w:ascii="Times New Roman" w:eastAsia="Calibri" w:hAnsi="Times New Roman" w:cs="Times New Roman"/>
          <w:b/>
          <w:bCs/>
          <w:sz w:val="28"/>
          <w:szCs w:val="28"/>
        </w:rPr>
        <w:lastRenderedPageBreak/>
        <w:t>Acknowledgement</w:t>
      </w:r>
    </w:p>
    <w:p w14:paraId="178F04C9"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It is important to acknowledge the people who positively influenced this work as the work will never reach this point without them. I would like, first and foremost, to acknowledge the efforts of my direct supervisor who provided this work with her attention and time. The work will never reach this stage without her wisdom and guidance. Therefore, I am grateful for everything she has done thus far. I am also grateful to my wife who supported me throughout this journey as she allowed this journey to be less problematic.</w:t>
      </w:r>
    </w:p>
    <w:p w14:paraId="64B7460B"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6070895"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DB3EF72"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AF5B8D1"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FBFD995"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E0AF0AF" w14:textId="77777777" w:rsidR="00BE5DAB" w:rsidRPr="00BE5DAB" w:rsidRDefault="00BE5DAB" w:rsidP="00BE5DAB">
      <w:pPr>
        <w:adjustRightInd w:val="0"/>
        <w:spacing w:before="240" w:after="480" w:line="240" w:lineRule="auto"/>
        <w:jc w:val="both"/>
        <w:outlineLvl w:val="0"/>
        <w:rPr>
          <w:rFonts w:ascii="Times New Roman" w:eastAsia="Calibri" w:hAnsi="Times New Roman" w:cs="Times New Roman"/>
          <w:b/>
          <w:bCs/>
          <w:sz w:val="28"/>
          <w:szCs w:val="28"/>
        </w:rPr>
      </w:pPr>
      <w:r w:rsidRPr="00BE5DAB">
        <w:rPr>
          <w:rFonts w:ascii="Times New Roman" w:eastAsia="Calibri" w:hAnsi="Times New Roman" w:cs="Times New Roman"/>
          <w:b/>
          <w:bCs/>
          <w:sz w:val="28"/>
          <w:szCs w:val="28"/>
        </w:rPr>
        <w:t>Table of Contents</w:t>
      </w:r>
    </w:p>
    <w:p w14:paraId="14C05553" w14:textId="77777777" w:rsidR="00BE5DAB" w:rsidRPr="00BE5DAB" w:rsidRDefault="00BE5DAB" w:rsidP="00BE5DAB">
      <w:pPr>
        <w:tabs>
          <w:tab w:val="right" w:leader="underscore" w:pos="8948"/>
        </w:tabs>
        <w:spacing w:before="120" w:after="120" w:line="240" w:lineRule="auto"/>
        <w:jc w:val="both"/>
        <w:rPr>
          <w:rFonts w:ascii="Times New Roman" w:eastAsia="Calibri" w:hAnsi="Times New Roman" w:cs="Times New Roman"/>
          <w:lang w:eastAsia="en-GB"/>
        </w:rPr>
      </w:pPr>
      <w:r w:rsidRPr="00BE5DAB">
        <w:rPr>
          <w:rFonts w:ascii="Times New Roman" w:eastAsia="Calibri" w:hAnsi="Times New Roman" w:cs="Times New Roman"/>
          <w:bCs/>
          <w:caps/>
          <w:sz w:val="24"/>
          <w:szCs w:val="24"/>
        </w:rPr>
        <w:fldChar w:fldCharType="begin"/>
      </w:r>
      <w:r w:rsidRPr="00BE5DAB">
        <w:rPr>
          <w:rFonts w:ascii="Times New Roman" w:eastAsia="Calibri" w:hAnsi="Times New Roman" w:cs="Times New Roman"/>
          <w:bCs/>
          <w:caps/>
          <w:sz w:val="24"/>
          <w:szCs w:val="24"/>
        </w:rPr>
        <w:instrText xml:space="preserve"> TOC \o "1-4" \h \z \t "Heading 5,2,#Prelim,9" </w:instrText>
      </w:r>
      <w:r w:rsidRPr="00BE5DAB">
        <w:rPr>
          <w:rFonts w:ascii="Times New Roman" w:eastAsia="Calibri" w:hAnsi="Times New Roman" w:cs="Times New Roman"/>
          <w:bCs/>
          <w:caps/>
          <w:sz w:val="24"/>
          <w:szCs w:val="24"/>
        </w:rPr>
        <w:fldChar w:fldCharType="separate"/>
      </w:r>
      <w:hyperlink r:id="rId9" w:anchor="_Toc9281715" w:history="1">
        <w:r w:rsidRPr="00BE5DAB">
          <w:rPr>
            <w:rFonts w:ascii="Times New Roman" w:eastAsia="Calibri" w:hAnsi="Times New Roman" w:cs="Times New Roman"/>
            <w:color w:val="0000FF"/>
            <w:u w:val="single"/>
          </w:rPr>
          <w:t>Abstract</w:t>
        </w:r>
        <w:r w:rsidRPr="00BE5DAB">
          <w:rPr>
            <w:rFonts w:ascii="Times New Roman" w:eastAsia="Calibri" w:hAnsi="Times New Roman" w:cs="Times New Roman"/>
            <w:color w:val="0000FF"/>
            <w:u w:val="single"/>
          </w:rPr>
          <w:tab/>
        </w:r>
        <w:r w:rsidRPr="00BE5DAB">
          <w:rPr>
            <w:rFonts w:ascii="Times New Roman" w:eastAsia="Calibri" w:hAnsi="Times New Roman" w:cs="Times New Roman"/>
            <w:color w:val="0000FF"/>
            <w:u w:val="single"/>
          </w:rPr>
          <w:fldChar w:fldCharType="begin"/>
        </w:r>
        <w:r w:rsidRPr="00BE5DAB">
          <w:rPr>
            <w:rFonts w:ascii="Times New Roman" w:eastAsia="Calibri" w:hAnsi="Times New Roman" w:cs="Times New Roman"/>
            <w:color w:val="0000FF"/>
            <w:u w:val="single"/>
          </w:rPr>
          <w:instrText xml:space="preserve"> PAGEREF _Toc9281715 \h </w:instrText>
        </w:r>
        <w:r w:rsidRPr="00BE5DAB">
          <w:rPr>
            <w:rFonts w:ascii="Times New Roman" w:eastAsia="Calibri" w:hAnsi="Times New Roman" w:cs="Times New Roman"/>
            <w:color w:val="0000FF"/>
            <w:u w:val="single"/>
          </w:rPr>
        </w:r>
        <w:r w:rsidRPr="00BE5DAB">
          <w:rPr>
            <w:rFonts w:ascii="Times New Roman" w:eastAsia="Calibri" w:hAnsi="Times New Roman" w:cs="Times New Roman"/>
            <w:color w:val="0000FF"/>
            <w:u w:val="single"/>
          </w:rPr>
          <w:fldChar w:fldCharType="separate"/>
        </w:r>
        <w:r w:rsidRPr="00BE5DAB">
          <w:rPr>
            <w:rFonts w:ascii="Times New Roman" w:eastAsia="Calibri" w:hAnsi="Times New Roman" w:cs="Times New Roman"/>
            <w:color w:val="0000FF"/>
            <w:u w:val="single"/>
          </w:rPr>
          <w:t>i</w:t>
        </w:r>
        <w:r w:rsidRPr="00BE5DAB">
          <w:rPr>
            <w:rFonts w:ascii="Times New Roman" w:eastAsia="Calibri" w:hAnsi="Times New Roman" w:cs="Times New Roman"/>
            <w:color w:val="0000FF"/>
            <w:u w:val="single"/>
          </w:rPr>
          <w:fldChar w:fldCharType="end"/>
        </w:r>
      </w:hyperlink>
    </w:p>
    <w:p w14:paraId="31960C46"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rPr>
      </w:pPr>
      <w:hyperlink r:id="rId10" w:anchor="_Toc9281719" w:history="1">
        <w:r w:rsidR="00BE5DAB" w:rsidRPr="00BE5DAB">
          <w:rPr>
            <w:rFonts w:ascii="Times New Roman" w:eastAsia="Calibri" w:hAnsi="Times New Roman" w:cs="Times New Roman"/>
            <w:color w:val="0000FF"/>
            <w:u w:val="single"/>
          </w:rPr>
          <w:t>List of Tables</w:t>
        </w:r>
        <w:r w:rsidR="00BE5DAB" w:rsidRPr="00BE5DAB">
          <w:rPr>
            <w:rFonts w:ascii="Times New Roman" w:eastAsia="Calibri" w:hAnsi="Times New Roman" w:cs="Times New Roman"/>
            <w:color w:val="0000FF"/>
            <w:u w:val="single"/>
          </w:rPr>
          <w:tab/>
        </w:r>
        <w:r w:rsidR="00BE5DAB" w:rsidRPr="00BE5DAB">
          <w:rPr>
            <w:rFonts w:ascii="Times New Roman" w:eastAsia="Calibri" w:hAnsi="Times New Roman" w:cs="Times New Roman"/>
            <w:color w:val="0000FF"/>
            <w:u w:val="single"/>
          </w:rPr>
          <w:fldChar w:fldCharType="begin"/>
        </w:r>
        <w:r w:rsidR="00BE5DAB" w:rsidRPr="00BE5DAB">
          <w:rPr>
            <w:rFonts w:ascii="Times New Roman" w:eastAsia="Calibri" w:hAnsi="Times New Roman" w:cs="Times New Roman"/>
            <w:color w:val="0000FF"/>
            <w:u w:val="single"/>
          </w:rPr>
          <w:instrText xml:space="preserve"> PAGEREF _Toc9281715 \h </w:instrText>
        </w:r>
        <w:r w:rsidR="00BE5DAB" w:rsidRPr="00BE5DAB">
          <w:rPr>
            <w:rFonts w:ascii="Times New Roman" w:eastAsia="Calibri" w:hAnsi="Times New Roman" w:cs="Times New Roman"/>
            <w:color w:val="0000FF"/>
            <w:u w:val="single"/>
          </w:rPr>
        </w:r>
        <w:r w:rsidR="00BE5DAB" w:rsidRPr="00BE5DAB">
          <w:rPr>
            <w:rFonts w:ascii="Times New Roman" w:eastAsia="Calibri" w:hAnsi="Times New Roman" w:cs="Times New Roman"/>
            <w:color w:val="0000FF"/>
            <w:u w:val="single"/>
          </w:rPr>
          <w:fldChar w:fldCharType="separate"/>
        </w:r>
        <w:r w:rsidR="00BE5DAB" w:rsidRPr="00BE5DAB">
          <w:rPr>
            <w:rFonts w:ascii="Times New Roman" w:eastAsia="Calibri" w:hAnsi="Times New Roman" w:cs="Times New Roman"/>
            <w:color w:val="0000FF"/>
            <w:u w:val="single"/>
          </w:rPr>
          <w:t>ii</w:t>
        </w:r>
        <w:r w:rsidR="00BE5DAB" w:rsidRPr="00BE5DAB">
          <w:rPr>
            <w:rFonts w:ascii="Times New Roman" w:eastAsia="Calibri" w:hAnsi="Times New Roman" w:cs="Times New Roman"/>
            <w:color w:val="0000FF"/>
            <w:u w:val="single"/>
          </w:rPr>
          <w:fldChar w:fldCharType="end"/>
        </w:r>
      </w:hyperlink>
    </w:p>
    <w:p w14:paraId="646198F8"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lang w:eastAsia="en-GB"/>
        </w:rPr>
      </w:pPr>
      <w:hyperlink r:id="rId11" w:anchor="_Toc9281719" w:history="1">
        <w:r w:rsidR="00BE5DAB" w:rsidRPr="00BE5DAB">
          <w:rPr>
            <w:rFonts w:ascii="Times New Roman" w:eastAsia="Calibri" w:hAnsi="Times New Roman" w:cs="Times New Roman"/>
            <w:color w:val="0000FF"/>
            <w:u w:val="single"/>
          </w:rPr>
          <w:t>List of Figures</w:t>
        </w:r>
        <w:r w:rsidR="00BE5DAB" w:rsidRPr="00BE5DAB">
          <w:rPr>
            <w:rFonts w:ascii="Times New Roman" w:eastAsia="Calibri" w:hAnsi="Times New Roman" w:cs="Times New Roman"/>
            <w:color w:val="0000FF"/>
            <w:u w:val="single"/>
          </w:rPr>
          <w:tab/>
        </w:r>
        <w:r w:rsidR="00BE5DAB" w:rsidRPr="00BE5DAB">
          <w:rPr>
            <w:rFonts w:ascii="Times New Roman" w:eastAsia="Calibri" w:hAnsi="Times New Roman" w:cs="Times New Roman"/>
            <w:color w:val="0000FF"/>
            <w:u w:val="single"/>
          </w:rPr>
          <w:fldChar w:fldCharType="begin"/>
        </w:r>
        <w:r w:rsidR="00BE5DAB" w:rsidRPr="00BE5DAB">
          <w:rPr>
            <w:rFonts w:ascii="Times New Roman" w:eastAsia="Calibri" w:hAnsi="Times New Roman" w:cs="Times New Roman"/>
            <w:color w:val="0000FF"/>
            <w:u w:val="single"/>
          </w:rPr>
          <w:instrText xml:space="preserve"> PAGEREF _Toc9281715 \h </w:instrText>
        </w:r>
        <w:r w:rsidR="00BE5DAB" w:rsidRPr="00BE5DAB">
          <w:rPr>
            <w:rFonts w:ascii="Times New Roman" w:eastAsia="Calibri" w:hAnsi="Times New Roman" w:cs="Times New Roman"/>
            <w:color w:val="0000FF"/>
            <w:u w:val="single"/>
          </w:rPr>
        </w:r>
        <w:r w:rsidR="00BE5DAB" w:rsidRPr="00BE5DAB">
          <w:rPr>
            <w:rFonts w:ascii="Times New Roman" w:eastAsia="Calibri" w:hAnsi="Times New Roman" w:cs="Times New Roman"/>
            <w:color w:val="0000FF"/>
            <w:u w:val="single"/>
          </w:rPr>
          <w:fldChar w:fldCharType="separate"/>
        </w:r>
        <w:r w:rsidR="00BE5DAB" w:rsidRPr="00BE5DAB">
          <w:rPr>
            <w:rFonts w:ascii="Times New Roman" w:eastAsia="Calibri" w:hAnsi="Times New Roman" w:cs="Times New Roman"/>
            <w:color w:val="0000FF"/>
            <w:u w:val="single"/>
          </w:rPr>
          <w:t>ii</w:t>
        </w:r>
        <w:r w:rsidR="00BE5DAB" w:rsidRPr="00BE5DAB">
          <w:rPr>
            <w:rFonts w:ascii="Times New Roman" w:eastAsia="Calibri" w:hAnsi="Times New Roman" w:cs="Times New Roman"/>
            <w:color w:val="0000FF"/>
            <w:u w:val="single"/>
          </w:rPr>
          <w:fldChar w:fldCharType="end"/>
        </w:r>
      </w:hyperlink>
    </w:p>
    <w:p w14:paraId="0F363D23"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lang w:eastAsia="en-GB"/>
        </w:rPr>
      </w:pPr>
      <w:hyperlink r:id="rId12" w:anchor="_Toc9281720" w:history="1">
        <w:r w:rsidR="00BE5DAB" w:rsidRPr="00BE5DAB">
          <w:rPr>
            <w:rFonts w:ascii="Times New Roman" w:eastAsia="Calibri" w:hAnsi="Times New Roman" w:cs="Times New Roman"/>
            <w:color w:val="0000FF"/>
            <w:u w:val="single"/>
          </w:rPr>
          <w:t>Abbreviations</w:t>
        </w:r>
        <w:r w:rsidR="00BE5DAB" w:rsidRPr="00BE5DAB">
          <w:rPr>
            <w:rFonts w:ascii="Times New Roman" w:eastAsia="Calibri" w:hAnsi="Times New Roman" w:cs="Times New Roman"/>
            <w:color w:val="0000FF"/>
            <w:u w:val="single"/>
          </w:rPr>
          <w:tab/>
        </w:r>
        <w:r w:rsidR="00BE5DAB" w:rsidRPr="00BE5DAB">
          <w:rPr>
            <w:rFonts w:ascii="Times New Roman" w:eastAsia="Calibri" w:hAnsi="Times New Roman" w:cs="Times New Roman"/>
            <w:color w:val="0000FF"/>
            <w:u w:val="single"/>
          </w:rPr>
          <w:fldChar w:fldCharType="begin"/>
        </w:r>
        <w:r w:rsidR="00BE5DAB" w:rsidRPr="00BE5DAB">
          <w:rPr>
            <w:rFonts w:ascii="Times New Roman" w:eastAsia="Calibri" w:hAnsi="Times New Roman" w:cs="Times New Roman"/>
            <w:color w:val="0000FF"/>
            <w:u w:val="single"/>
          </w:rPr>
          <w:instrText xml:space="preserve"> PAGEREF _Toc9281720 \h </w:instrText>
        </w:r>
        <w:r w:rsidR="00BE5DAB" w:rsidRPr="00BE5DAB">
          <w:rPr>
            <w:rFonts w:ascii="Times New Roman" w:eastAsia="Calibri" w:hAnsi="Times New Roman" w:cs="Times New Roman"/>
            <w:color w:val="0000FF"/>
            <w:u w:val="single"/>
          </w:rPr>
        </w:r>
        <w:r w:rsidR="00BE5DAB" w:rsidRPr="00BE5DAB">
          <w:rPr>
            <w:rFonts w:ascii="Times New Roman" w:eastAsia="Calibri" w:hAnsi="Times New Roman" w:cs="Times New Roman"/>
            <w:color w:val="0000FF"/>
            <w:u w:val="single"/>
          </w:rPr>
          <w:fldChar w:fldCharType="separate"/>
        </w:r>
        <w:r w:rsidR="00BE5DAB" w:rsidRPr="00BE5DAB">
          <w:rPr>
            <w:rFonts w:ascii="Times New Roman" w:eastAsia="Calibri" w:hAnsi="Times New Roman" w:cs="Times New Roman"/>
            <w:color w:val="0000FF"/>
            <w:u w:val="single"/>
          </w:rPr>
          <w:t>iii</w:t>
        </w:r>
        <w:r w:rsidR="00BE5DAB" w:rsidRPr="00BE5DAB">
          <w:rPr>
            <w:rFonts w:ascii="Times New Roman" w:eastAsia="Calibri" w:hAnsi="Times New Roman" w:cs="Times New Roman"/>
            <w:color w:val="0000FF"/>
            <w:u w:val="single"/>
          </w:rPr>
          <w:fldChar w:fldCharType="end"/>
        </w:r>
      </w:hyperlink>
    </w:p>
    <w:p w14:paraId="2ED40F6E"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lang w:eastAsia="en-GB"/>
        </w:rPr>
      </w:pPr>
      <w:hyperlink r:id="rId13" w:anchor="_Toc9281723" w:history="1">
        <w:r w:rsidR="00BE5DAB" w:rsidRPr="00BE5DAB">
          <w:rPr>
            <w:rFonts w:ascii="Times New Roman" w:eastAsia="Calibri" w:hAnsi="Times New Roman" w:cs="Times New Roman"/>
            <w:b/>
            <w:caps/>
            <w:color w:val="0000FF"/>
            <w:u w:val="single"/>
          </w:rPr>
          <w:t>Chapter 1: Introduction</w:t>
        </w:r>
        <w:r w:rsidR="00BE5DAB" w:rsidRPr="00BE5DAB">
          <w:rPr>
            <w:rFonts w:ascii="Times New Roman" w:eastAsia="Calibri" w:hAnsi="Times New Roman" w:cs="Times New Roman"/>
            <w:b/>
            <w:caps/>
            <w:color w:val="0000FF"/>
            <w:u w:val="single"/>
          </w:rPr>
          <w:tab/>
        </w:r>
      </w:hyperlink>
    </w:p>
    <w:p w14:paraId="1860ACC8"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rPr>
      </w:pPr>
      <w:hyperlink r:id="rId14" w:anchor="_Toc9281725" w:history="1">
        <w:r w:rsidR="00BE5DAB" w:rsidRPr="00BE5DAB">
          <w:rPr>
            <w:rFonts w:ascii="Times New Roman" w:eastAsia="Calibri" w:hAnsi="Times New Roman" w:cs="Times New Roman"/>
            <w:color w:val="0000FF"/>
            <w:u w:val="single"/>
          </w:rPr>
          <w:t>1.1 Background of the Study</w:t>
        </w:r>
        <w:r w:rsidR="00BE5DAB" w:rsidRPr="00BE5DAB">
          <w:rPr>
            <w:rFonts w:ascii="Times New Roman" w:eastAsia="Calibri" w:hAnsi="Times New Roman" w:cs="Times New Roman"/>
            <w:color w:val="0000FF"/>
            <w:u w:val="single"/>
          </w:rPr>
          <w:tab/>
        </w:r>
      </w:hyperlink>
    </w:p>
    <w:p w14:paraId="4FD12283"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zh-CN"/>
        </w:rPr>
      </w:pPr>
      <w:r w:rsidRPr="00BE5DAB">
        <w:rPr>
          <w:rFonts w:ascii="Times New Roman" w:eastAsia="Calibri" w:hAnsi="Times New Roman" w:cs="Times New Roman"/>
          <w:lang w:eastAsia="zh-CN"/>
        </w:rPr>
        <w:t>1.2 Rationale of this Thesis</w:t>
      </w:r>
      <w:r w:rsidRPr="00BE5DAB">
        <w:rPr>
          <w:rFonts w:ascii="Times New Roman" w:eastAsia="Calibri" w:hAnsi="Times New Roman" w:cs="Times New Roman"/>
        </w:rPr>
        <w:tab/>
      </w:r>
    </w:p>
    <w:p w14:paraId="2525DBBA"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zh-CN"/>
        </w:rPr>
      </w:pPr>
      <w:r w:rsidRPr="00BE5DAB">
        <w:rPr>
          <w:rFonts w:ascii="Times New Roman" w:eastAsia="Calibri" w:hAnsi="Times New Roman" w:cs="Times New Roman"/>
          <w:lang w:eastAsia="zh-CN"/>
        </w:rPr>
        <w:t>1.3 Research Aim, Objectives, and Questionss</w:t>
      </w:r>
      <w:r w:rsidRPr="00BE5DAB">
        <w:rPr>
          <w:rFonts w:ascii="Times New Roman" w:eastAsia="Calibri" w:hAnsi="Times New Roman" w:cs="Times New Roman"/>
        </w:rPr>
        <w:tab/>
      </w:r>
    </w:p>
    <w:p w14:paraId="386B23C5"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lang w:eastAsia="en-GB"/>
        </w:rPr>
      </w:pPr>
      <w:hyperlink r:id="rId15" w:anchor="_Toc9281730" w:history="1">
        <w:r w:rsidR="00BE5DAB" w:rsidRPr="00BE5DAB">
          <w:rPr>
            <w:rFonts w:ascii="Times New Roman" w:eastAsia="Calibri" w:hAnsi="Times New Roman" w:cs="Times New Roman"/>
            <w:color w:val="0000FF"/>
            <w:u w:val="single"/>
          </w:rPr>
          <w:t>1.3.1 Research Aim</w:t>
        </w:r>
        <w:r w:rsidR="00BE5DAB" w:rsidRPr="00BE5DAB">
          <w:rPr>
            <w:rFonts w:ascii="Times New Roman" w:eastAsia="Calibri" w:hAnsi="Times New Roman" w:cs="Times New Roman"/>
            <w:color w:val="0000FF"/>
            <w:u w:val="single"/>
          </w:rPr>
          <w:tab/>
        </w:r>
      </w:hyperlink>
    </w:p>
    <w:p w14:paraId="01481510"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rPr>
      </w:pPr>
      <w:hyperlink r:id="rId16" w:anchor="_Toc9281731" w:history="1">
        <w:r w:rsidR="00BE5DAB" w:rsidRPr="00BE5DAB">
          <w:rPr>
            <w:rFonts w:ascii="Times New Roman" w:eastAsia="Calibri" w:hAnsi="Times New Roman" w:cs="Times New Roman"/>
            <w:color w:val="0000FF"/>
            <w:u w:val="single"/>
          </w:rPr>
          <w:t>1.3.2  Research Objectives</w:t>
        </w:r>
        <w:r w:rsidR="00BE5DAB" w:rsidRPr="00BE5DAB">
          <w:rPr>
            <w:rFonts w:ascii="Times New Roman" w:eastAsia="Calibri" w:hAnsi="Times New Roman" w:cs="Times New Roman"/>
            <w:color w:val="0000FF"/>
            <w:u w:val="single"/>
          </w:rPr>
          <w:tab/>
        </w:r>
      </w:hyperlink>
    </w:p>
    <w:p w14:paraId="455CA7C8"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zh-CN"/>
        </w:rPr>
      </w:pPr>
      <w:r w:rsidRPr="00BE5DAB">
        <w:rPr>
          <w:rFonts w:ascii="Times New Roman" w:eastAsia="Calibri" w:hAnsi="Times New Roman" w:cs="Times New Roman"/>
          <w:lang w:eastAsia="zh-CN"/>
        </w:rPr>
        <w:t>1.3.3 Research Questions</w:t>
      </w:r>
      <w:r w:rsidRPr="00BE5DAB">
        <w:rPr>
          <w:rFonts w:ascii="Times New Roman" w:eastAsia="Calibri" w:hAnsi="Times New Roman" w:cs="Times New Roman"/>
        </w:rPr>
        <w:tab/>
      </w:r>
    </w:p>
    <w:p w14:paraId="0E9D7A81"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lang w:eastAsia="en-GB"/>
        </w:rPr>
      </w:pPr>
      <w:hyperlink r:id="rId17" w:anchor="_Toc9281740" w:history="1">
        <w:r w:rsidR="00BE5DAB" w:rsidRPr="00BE5DAB">
          <w:rPr>
            <w:rFonts w:ascii="Times New Roman" w:eastAsia="Calibri" w:hAnsi="Times New Roman" w:cs="Times New Roman"/>
            <w:b/>
            <w:caps/>
            <w:color w:val="0000FF"/>
            <w:u w:val="single"/>
          </w:rPr>
          <w:t xml:space="preserve">Chapter 2: </w:t>
        </w:r>
        <w:r w:rsidR="00BE5DAB" w:rsidRPr="00BE5DAB">
          <w:rPr>
            <w:rFonts w:ascii="Times New Roman" w:eastAsia="Calibri" w:hAnsi="Times New Roman" w:cs="Times New Roman"/>
            <w:b/>
            <w:bCs/>
            <w:caps/>
            <w:color w:val="0000FF"/>
            <w:u w:val="single"/>
          </w:rPr>
          <w:t>Literature Review</w:t>
        </w:r>
        <w:r w:rsidR="00BE5DAB" w:rsidRPr="00BE5DAB">
          <w:rPr>
            <w:rFonts w:ascii="Times New Roman" w:eastAsia="Calibri" w:hAnsi="Times New Roman" w:cs="Times New Roman"/>
            <w:b/>
            <w:caps/>
            <w:color w:val="0000FF"/>
            <w:u w:val="single"/>
          </w:rPr>
          <w:tab/>
        </w:r>
      </w:hyperlink>
    </w:p>
    <w:p w14:paraId="4A715372" w14:textId="77777777" w:rsidR="00BE5DAB" w:rsidRPr="00BE5DAB" w:rsidRDefault="00833529" w:rsidP="00BE5DAB">
      <w:pPr>
        <w:tabs>
          <w:tab w:val="right" w:leader="underscore" w:pos="8948"/>
        </w:tabs>
        <w:spacing w:before="120" w:after="100" w:line="240" w:lineRule="auto"/>
        <w:ind w:right="567"/>
        <w:jc w:val="both"/>
        <w:rPr>
          <w:rFonts w:ascii="Calibri" w:eastAsia="DengXian" w:hAnsi="Calibri" w:cs="Arial"/>
          <w:color w:val="0000FF"/>
          <w:sz w:val="24"/>
          <w:u w:val="single"/>
        </w:rPr>
      </w:pPr>
      <w:hyperlink r:id="rId18" w:anchor="_Toc9281742" w:history="1">
        <w:r w:rsidR="00BE5DAB" w:rsidRPr="00BE5DAB">
          <w:rPr>
            <w:rFonts w:ascii="Times New Roman" w:eastAsia="DengXian" w:hAnsi="Times New Roman" w:cs="Times New Roman"/>
            <w:color w:val="0000FF"/>
            <w:u w:val="single"/>
          </w:rPr>
          <w:t xml:space="preserve">2.1 </w:t>
        </w:r>
        <w:r w:rsidR="00BE5DAB" w:rsidRPr="00BE5DAB">
          <w:rPr>
            <w:rFonts w:ascii="Times New Roman" w:eastAsia="SimSun" w:hAnsi="Times New Roman" w:cs="Times New Roman"/>
            <w:color w:val="0000FF"/>
            <w:u w:val="single"/>
            <w:lang w:eastAsia="en-GB" w:bidi="ar"/>
          </w:rPr>
          <w:t>Definition of Boycott</w:t>
        </w:r>
        <w:r w:rsidR="00BE5DAB" w:rsidRPr="00BE5DAB">
          <w:rPr>
            <w:rFonts w:ascii="Times New Roman" w:eastAsia="DengXian" w:hAnsi="Times New Roman" w:cs="Times New Roman"/>
            <w:color w:val="0000FF"/>
            <w:u w:val="single"/>
          </w:rPr>
          <w:tab/>
        </w:r>
      </w:hyperlink>
    </w:p>
    <w:p w14:paraId="789B192C" w14:textId="77777777" w:rsidR="00BE5DAB" w:rsidRPr="00BE5DAB" w:rsidRDefault="00833529" w:rsidP="00BE5DAB">
      <w:pPr>
        <w:tabs>
          <w:tab w:val="right" w:leader="underscore" w:pos="8948"/>
        </w:tabs>
        <w:spacing w:before="120" w:after="100" w:line="240" w:lineRule="auto"/>
        <w:ind w:right="567"/>
        <w:jc w:val="both"/>
        <w:rPr>
          <w:rFonts w:ascii="Calibri" w:eastAsia="Calibri" w:hAnsi="Calibri" w:cs="Arial"/>
          <w:sz w:val="24"/>
        </w:rPr>
      </w:pPr>
      <w:hyperlink r:id="rId19" w:anchor="_Toc9281743" w:history="1">
        <w:r w:rsidR="00BE5DAB" w:rsidRPr="00BE5DAB">
          <w:rPr>
            <w:rFonts w:ascii="Times New Roman" w:eastAsia="Calibri" w:hAnsi="Times New Roman" w:cs="Times New Roman"/>
            <w:color w:val="0000FF"/>
            <w:u w:val="single"/>
          </w:rPr>
          <w:t>2.2</w:t>
        </w:r>
        <w:r w:rsidR="00BE5DAB" w:rsidRPr="00BE5DAB">
          <w:rPr>
            <w:rFonts w:ascii="Times New Roman" w:eastAsia="SimSun" w:hAnsi="Times New Roman" w:cs="Times New Roman"/>
            <w:color w:val="0000FF"/>
            <w:u w:val="single"/>
          </w:rPr>
          <w:t xml:space="preserve"> </w:t>
        </w:r>
        <w:r w:rsidR="00BE5DAB" w:rsidRPr="00BE5DAB">
          <w:rPr>
            <w:rFonts w:ascii="Times New Roman" w:eastAsia="SimSun" w:hAnsi="Times New Roman" w:cs="Times New Roman"/>
            <w:color w:val="0000FF"/>
            <w:u w:val="single"/>
            <w:lang w:eastAsia="en-GB" w:bidi="ar"/>
          </w:rPr>
          <w:t>Categories of Boycott</w:t>
        </w:r>
        <w:r w:rsidR="00BE5DAB" w:rsidRPr="00BE5DAB">
          <w:rPr>
            <w:rFonts w:ascii="Times New Roman" w:eastAsia="Calibri" w:hAnsi="Times New Roman" w:cs="Times New Roman"/>
            <w:color w:val="0000FF"/>
            <w:u w:val="single"/>
          </w:rPr>
          <w:tab/>
        </w:r>
      </w:hyperlink>
    </w:p>
    <w:p w14:paraId="7121A83D" w14:textId="77777777" w:rsidR="00BE5DAB" w:rsidRPr="00BE5DAB" w:rsidRDefault="00833529" w:rsidP="00BE5DAB">
      <w:pPr>
        <w:tabs>
          <w:tab w:val="right" w:leader="underscore" w:pos="8948"/>
        </w:tabs>
        <w:spacing w:before="120" w:after="100" w:line="240" w:lineRule="auto"/>
        <w:ind w:right="567"/>
        <w:jc w:val="both"/>
        <w:rPr>
          <w:rFonts w:ascii="Calibri" w:eastAsia="Calibri" w:hAnsi="Calibri" w:cs="Arial"/>
          <w:color w:val="0000FF"/>
          <w:sz w:val="24"/>
          <w:u w:val="single"/>
        </w:rPr>
      </w:pPr>
      <w:hyperlink r:id="rId20" w:anchor="_Toc9281776" w:history="1">
        <w:r w:rsidR="00BE5DAB" w:rsidRPr="00BE5DAB">
          <w:rPr>
            <w:rFonts w:ascii="Times New Roman" w:eastAsia="DengXian" w:hAnsi="Times New Roman" w:cs="Times New Roman"/>
            <w:color w:val="0000FF"/>
            <w:u w:val="single"/>
            <w:lang w:eastAsia="zh-CN"/>
          </w:rPr>
          <w:t>2.3 Triggers for Boycott</w:t>
        </w:r>
        <w:r w:rsidR="00BE5DAB" w:rsidRPr="00BE5DAB">
          <w:rPr>
            <w:rFonts w:ascii="Times New Roman" w:eastAsia="Calibri" w:hAnsi="Times New Roman" w:cs="Times New Roman"/>
            <w:color w:val="0000FF"/>
            <w:u w:val="single"/>
          </w:rPr>
          <w:tab/>
        </w:r>
      </w:hyperlink>
    </w:p>
    <w:p w14:paraId="334024B9"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color w:val="0000FF"/>
          <w:u w:val="single"/>
        </w:rPr>
      </w:pPr>
      <w:hyperlink r:id="rId21" w:anchor="_Toc9281776" w:history="1">
        <w:r w:rsidR="00BE5DAB" w:rsidRPr="00BE5DAB">
          <w:rPr>
            <w:rFonts w:ascii="Times New Roman" w:eastAsia="TimesNewRomanMTStd" w:hAnsi="Times New Roman" w:cs="Times New Roman"/>
            <w:color w:val="0000FF"/>
            <w:u w:val="single"/>
          </w:rPr>
          <w:t xml:space="preserve">2.3.1 </w:t>
        </w:r>
        <w:r w:rsidR="00BE5DAB" w:rsidRPr="00BE5DAB">
          <w:rPr>
            <w:rFonts w:ascii="Times New Roman" w:eastAsia="SimSun" w:hAnsi="Times New Roman" w:cs="Times New Roman"/>
            <w:color w:val="0000FF"/>
            <w:u w:val="single"/>
            <w:lang w:eastAsia="zh-CN" w:bidi="ar"/>
          </w:rPr>
          <w:t>Religion as Trigger for Boycott</w:t>
        </w:r>
        <w:r w:rsidR="00BE5DAB" w:rsidRPr="00BE5DAB">
          <w:rPr>
            <w:rFonts w:ascii="Times New Roman" w:eastAsia="Calibri" w:hAnsi="Times New Roman" w:cs="Times New Roman"/>
            <w:color w:val="0000FF"/>
            <w:u w:val="single"/>
          </w:rPr>
          <w:tab/>
        </w:r>
      </w:hyperlink>
    </w:p>
    <w:p w14:paraId="3ECD8AB9"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color w:val="0000FF"/>
          <w:u w:val="single"/>
        </w:rPr>
      </w:pPr>
      <w:hyperlink r:id="rId22" w:anchor="_Toc9281776" w:history="1">
        <w:r w:rsidR="00BE5DAB" w:rsidRPr="00BE5DAB">
          <w:rPr>
            <w:rFonts w:ascii="Times New Roman" w:eastAsia="TimesNewRomanMTStd" w:hAnsi="Times New Roman" w:cs="Times New Roman"/>
            <w:color w:val="0000FF"/>
            <w:u w:val="single"/>
          </w:rPr>
          <w:t xml:space="preserve">2.3.2 </w:t>
        </w:r>
        <w:r w:rsidR="00BE5DAB" w:rsidRPr="00BE5DAB">
          <w:rPr>
            <w:rFonts w:ascii="Times New Roman" w:eastAsia="SimSun" w:hAnsi="Times New Roman" w:cs="Times New Roman"/>
            <w:color w:val="0000FF"/>
            <w:u w:val="single"/>
            <w:lang w:eastAsia="zh-CN"/>
          </w:rPr>
          <w:t xml:space="preserve">Economy </w:t>
        </w:r>
        <w:r w:rsidR="00BE5DAB" w:rsidRPr="00BE5DAB">
          <w:rPr>
            <w:rFonts w:ascii="Times New Roman" w:eastAsia="SimSun" w:hAnsi="Times New Roman" w:cs="Times New Roman"/>
            <w:color w:val="0000FF"/>
            <w:u w:val="single"/>
            <w:lang w:eastAsia="zh-CN" w:bidi="ar"/>
          </w:rPr>
          <w:t>as Trigger for Boycott</w:t>
        </w:r>
        <w:r w:rsidR="00BE5DAB" w:rsidRPr="00BE5DAB">
          <w:rPr>
            <w:rFonts w:ascii="Times New Roman" w:eastAsia="Calibri" w:hAnsi="Times New Roman" w:cs="Times New Roman"/>
            <w:color w:val="0000FF"/>
            <w:u w:val="single"/>
          </w:rPr>
          <w:tab/>
        </w:r>
      </w:hyperlink>
    </w:p>
    <w:p w14:paraId="6E4FB9EA"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color w:val="0000FF"/>
          <w:u w:val="single"/>
        </w:rPr>
      </w:pPr>
      <w:hyperlink r:id="rId23" w:anchor="_Toc9281776" w:history="1">
        <w:r w:rsidR="00BE5DAB" w:rsidRPr="00BE5DAB">
          <w:rPr>
            <w:rFonts w:ascii="Times New Roman" w:eastAsia="TimesNewRomanMTStd" w:hAnsi="Times New Roman" w:cs="Times New Roman"/>
            <w:color w:val="0000FF"/>
            <w:u w:val="single"/>
          </w:rPr>
          <w:t xml:space="preserve">2.3.3 </w:t>
        </w:r>
        <w:r w:rsidR="00BE5DAB" w:rsidRPr="00BE5DAB">
          <w:rPr>
            <w:rFonts w:ascii="Times New Roman" w:eastAsia="SimSun" w:hAnsi="Times New Roman" w:cs="Times New Roman"/>
            <w:color w:val="0000FF"/>
            <w:u w:val="single"/>
            <w:lang w:eastAsia="zh-CN"/>
          </w:rPr>
          <w:t>War as Trigger for Boycott</w:t>
        </w:r>
        <w:r w:rsidR="00BE5DAB" w:rsidRPr="00BE5DAB">
          <w:rPr>
            <w:rFonts w:ascii="Times New Roman" w:eastAsia="Calibri" w:hAnsi="Times New Roman" w:cs="Times New Roman"/>
            <w:color w:val="0000FF"/>
            <w:u w:val="single"/>
          </w:rPr>
          <w:tab/>
        </w:r>
      </w:hyperlink>
    </w:p>
    <w:p w14:paraId="039C36A1" w14:textId="77777777" w:rsidR="00BE5DAB" w:rsidRPr="00BE5DAB" w:rsidRDefault="00833529" w:rsidP="00BE5DAB">
      <w:pPr>
        <w:tabs>
          <w:tab w:val="right" w:leader="underscore" w:pos="8948"/>
        </w:tabs>
        <w:spacing w:before="120" w:after="100" w:line="240" w:lineRule="auto"/>
        <w:ind w:right="567"/>
        <w:jc w:val="both"/>
        <w:rPr>
          <w:rFonts w:ascii="Times New Roman" w:eastAsia="TimesNewRomanMTStd" w:hAnsi="Times New Roman" w:cs="Times New Roman"/>
          <w:color w:val="0000FF"/>
          <w:u w:val="single"/>
        </w:rPr>
      </w:pPr>
      <w:hyperlink r:id="rId24" w:anchor="_Toc9281776" w:history="1">
        <w:r w:rsidR="00BE5DAB" w:rsidRPr="00BE5DAB">
          <w:rPr>
            <w:rFonts w:ascii="Times New Roman" w:eastAsia="TimesNewRomanMTStd" w:hAnsi="Times New Roman" w:cs="Times New Roman"/>
            <w:color w:val="0000FF"/>
            <w:u w:val="single"/>
          </w:rPr>
          <w:t xml:space="preserve">2.3.4 </w:t>
        </w:r>
        <w:r w:rsidR="00BE5DAB" w:rsidRPr="00BE5DAB">
          <w:rPr>
            <w:rFonts w:ascii="Times New Roman" w:eastAsia="TimesNewRomanMTStd" w:hAnsi="Times New Roman" w:cs="Times New Roman"/>
            <w:color w:val="0000FF"/>
            <w:u w:val="single"/>
            <w:lang w:eastAsia="zh-CN"/>
          </w:rPr>
          <w:t>Culture as Trigger for Boycott</w:t>
        </w:r>
        <w:r w:rsidR="00BE5DAB" w:rsidRPr="00BE5DAB">
          <w:rPr>
            <w:rFonts w:ascii="Times New Roman" w:eastAsia="Calibri" w:hAnsi="Times New Roman" w:cs="Times New Roman"/>
            <w:color w:val="0000FF"/>
            <w:u w:val="single"/>
          </w:rPr>
          <w:tab/>
        </w:r>
      </w:hyperlink>
    </w:p>
    <w:p w14:paraId="1AE87244"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color w:val="0000FF"/>
          <w:u w:val="single"/>
        </w:rPr>
      </w:pPr>
      <w:hyperlink r:id="rId25" w:anchor="_Toc9281776" w:history="1">
        <w:r w:rsidR="00BE5DAB" w:rsidRPr="00BE5DAB">
          <w:rPr>
            <w:rFonts w:ascii="Times New Roman" w:eastAsia="TimesNewRomanMTStd" w:hAnsi="Times New Roman" w:cs="Times New Roman"/>
            <w:color w:val="0000FF"/>
            <w:u w:val="single"/>
          </w:rPr>
          <w:t xml:space="preserve">2.4 </w:t>
        </w:r>
        <w:r w:rsidR="00BE5DAB" w:rsidRPr="00BE5DAB">
          <w:rPr>
            <w:rFonts w:ascii="Times New Roman" w:eastAsia="SimSun" w:hAnsi="Times New Roman" w:cs="Times New Roman"/>
            <w:color w:val="0000FF"/>
            <w:u w:val="single"/>
            <w:lang w:eastAsia="zh-CN" w:bidi="ar"/>
          </w:rPr>
          <w:t>Middle Eastern People in the UK</w:t>
        </w:r>
        <w:r w:rsidR="00BE5DAB" w:rsidRPr="00BE5DAB">
          <w:rPr>
            <w:rFonts w:ascii="Times New Roman" w:eastAsia="Calibri" w:hAnsi="Times New Roman" w:cs="Times New Roman"/>
            <w:color w:val="0000FF"/>
            <w:u w:val="single"/>
          </w:rPr>
          <w:tab/>
        </w:r>
      </w:hyperlink>
    </w:p>
    <w:p w14:paraId="627461E2" w14:textId="77777777" w:rsidR="00BE5DAB" w:rsidRPr="00BE5DAB" w:rsidRDefault="00BE5DAB" w:rsidP="00BE5DAB">
      <w:pPr>
        <w:tabs>
          <w:tab w:val="right" w:leader="underscore" w:pos="8948"/>
        </w:tabs>
        <w:spacing w:before="120" w:after="100" w:line="240" w:lineRule="auto"/>
        <w:ind w:right="567"/>
        <w:jc w:val="both"/>
        <w:rPr>
          <w:rFonts w:ascii="Times New Roman" w:eastAsia="SimSun" w:hAnsi="Times New Roman" w:cs="Times New Roman"/>
          <w:color w:val="0000FF"/>
          <w:u w:val="single"/>
          <w:lang w:eastAsia="zh-CN"/>
        </w:rPr>
      </w:pPr>
      <w:r w:rsidRPr="00BE5DAB">
        <w:rPr>
          <w:rFonts w:ascii="Times New Roman" w:eastAsia="SimSun" w:hAnsi="Times New Roman" w:cs="Times New Roman"/>
          <w:color w:val="0000FF"/>
          <w:u w:val="single"/>
          <w:lang w:eastAsia="zh-CN"/>
        </w:rPr>
        <w:t>2.5 Brand Loyalty</w:t>
      </w:r>
      <w:r w:rsidRPr="00BE5DAB">
        <w:rPr>
          <w:rFonts w:ascii="Times New Roman" w:eastAsia="Calibri" w:hAnsi="Times New Roman" w:cs="Times New Roman"/>
        </w:rPr>
        <w:tab/>
      </w:r>
    </w:p>
    <w:p w14:paraId="25DC0A5F" w14:textId="77777777" w:rsidR="00BE5DAB" w:rsidRPr="00BE5DAB" w:rsidRDefault="00BE5DAB" w:rsidP="00BE5DAB">
      <w:pPr>
        <w:tabs>
          <w:tab w:val="right" w:leader="underscore" w:pos="8948"/>
        </w:tabs>
        <w:spacing w:before="120" w:after="100" w:line="240" w:lineRule="auto"/>
        <w:ind w:right="567"/>
        <w:jc w:val="both"/>
        <w:rPr>
          <w:rFonts w:ascii="Calibri" w:eastAsia="Calibri" w:hAnsi="Calibri" w:cs="Arial"/>
          <w:sz w:val="24"/>
        </w:rPr>
      </w:pPr>
      <w:r w:rsidRPr="00BE5DAB">
        <w:rPr>
          <w:rFonts w:ascii="Times New Roman" w:eastAsia="SimSun" w:hAnsi="Times New Roman" w:cs="Times New Roman"/>
          <w:color w:val="0000FF"/>
          <w:u w:val="single"/>
          <w:lang w:eastAsia="zh-CN"/>
        </w:rPr>
        <w:lastRenderedPageBreak/>
        <w:t>2.6 Keller’ Brand Equity Model</w:t>
      </w:r>
      <w:r w:rsidRPr="00BE5DAB">
        <w:rPr>
          <w:rFonts w:ascii="Times New Roman" w:eastAsia="Calibri" w:hAnsi="Times New Roman" w:cs="Times New Roman"/>
        </w:rPr>
        <w:tab/>
      </w:r>
    </w:p>
    <w:p w14:paraId="0586AE3D" w14:textId="77777777" w:rsidR="00BE5DAB" w:rsidRPr="00BE5DAB" w:rsidRDefault="00BE5DAB" w:rsidP="00BE5DAB">
      <w:pPr>
        <w:tabs>
          <w:tab w:val="right" w:leader="underscore" w:pos="8948"/>
        </w:tabs>
        <w:spacing w:before="120" w:after="100" w:line="240" w:lineRule="auto"/>
        <w:ind w:right="567"/>
        <w:jc w:val="both"/>
        <w:rPr>
          <w:rFonts w:ascii="Calibri" w:eastAsia="SimSun" w:hAnsi="Calibri" w:cs="Arial"/>
          <w:color w:val="0000FF"/>
          <w:sz w:val="24"/>
          <w:u w:val="single"/>
          <w:lang w:eastAsia="zh-CN"/>
        </w:rPr>
      </w:pPr>
      <w:r w:rsidRPr="00BE5DAB">
        <w:rPr>
          <w:rFonts w:ascii="Times New Roman" w:eastAsia="SimSun" w:hAnsi="Times New Roman" w:cs="Times New Roman"/>
          <w:color w:val="0000FF"/>
          <w:u w:val="single"/>
          <w:lang w:eastAsia="zh-CN"/>
        </w:rPr>
        <w:t>2.7 Conceptual Framework of this Research</w:t>
      </w:r>
      <w:r w:rsidRPr="00BE5DAB">
        <w:rPr>
          <w:rFonts w:ascii="Times New Roman" w:eastAsia="Calibri" w:hAnsi="Times New Roman" w:cs="Times New Roman"/>
        </w:rPr>
        <w:tab/>
      </w:r>
    </w:p>
    <w:p w14:paraId="1AD717D4" w14:textId="77777777" w:rsidR="00BE5DAB" w:rsidRPr="00BE5DAB" w:rsidRDefault="00833529" w:rsidP="00BE5DAB">
      <w:pPr>
        <w:tabs>
          <w:tab w:val="right" w:leader="underscore" w:pos="8948"/>
        </w:tabs>
        <w:spacing w:before="120" w:after="120" w:line="240" w:lineRule="auto"/>
        <w:jc w:val="both"/>
        <w:rPr>
          <w:rFonts w:ascii="Calibri" w:eastAsia="Calibri" w:hAnsi="Calibri" w:cs="Arial"/>
          <w:b/>
          <w:sz w:val="24"/>
          <w:lang w:eastAsia="en-GB"/>
        </w:rPr>
      </w:pPr>
      <w:hyperlink r:id="rId26" w:anchor="_Toc9281777" w:history="1">
        <w:r w:rsidR="00BE5DAB" w:rsidRPr="00BE5DAB">
          <w:rPr>
            <w:rFonts w:ascii="Times New Roman" w:eastAsia="Calibri" w:hAnsi="Times New Roman" w:cs="Times New Roman"/>
            <w:b/>
            <w:caps/>
            <w:color w:val="0000FF"/>
            <w:u w:val="single"/>
          </w:rPr>
          <w:t xml:space="preserve">Chapter 3: </w:t>
        </w:r>
        <w:r w:rsidR="00BE5DAB" w:rsidRPr="00BE5DAB">
          <w:rPr>
            <w:rFonts w:ascii="Times New Roman" w:eastAsia="Calibri" w:hAnsi="Times New Roman" w:cs="Times New Roman"/>
            <w:b/>
            <w:bCs/>
            <w:caps/>
            <w:color w:val="0000FF"/>
            <w:u w:val="single"/>
          </w:rPr>
          <w:t>Research Methodology</w:t>
        </w:r>
        <w:r w:rsidR="00BE5DAB" w:rsidRPr="00BE5DAB">
          <w:rPr>
            <w:rFonts w:ascii="Times New Roman" w:eastAsia="Calibri" w:hAnsi="Times New Roman" w:cs="Times New Roman"/>
            <w:b/>
            <w:caps/>
            <w:color w:val="0000FF"/>
            <w:u w:val="single"/>
          </w:rPr>
          <w:tab/>
        </w:r>
      </w:hyperlink>
    </w:p>
    <w:p w14:paraId="48B9E64C"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lang w:eastAsia="en-GB"/>
        </w:rPr>
      </w:pPr>
      <w:hyperlink r:id="rId27" w:anchor="_Toc9281779" w:history="1">
        <w:r w:rsidR="00BE5DAB" w:rsidRPr="00BE5DAB">
          <w:rPr>
            <w:rFonts w:ascii="Times New Roman" w:eastAsia="DengXian" w:hAnsi="Times New Roman" w:cs="Times New Roman"/>
            <w:color w:val="0000FF"/>
            <w:u w:val="single"/>
            <w:lang w:eastAsia="zh-CN"/>
          </w:rPr>
          <w:t>3.1</w:t>
        </w:r>
        <w:r w:rsidR="00BE5DAB" w:rsidRPr="00BE5DAB">
          <w:rPr>
            <w:rFonts w:ascii="Times New Roman" w:eastAsia="DengXian" w:hAnsi="Times New Roman" w:cs="Times New Roman"/>
            <w:color w:val="0000FF"/>
            <w:u w:val="single"/>
            <w:lang w:val="en-US" w:eastAsia="zh-CN"/>
          </w:rPr>
          <w:t xml:space="preserve"> </w:t>
        </w:r>
        <w:r w:rsidR="00BE5DAB" w:rsidRPr="00BE5DAB">
          <w:rPr>
            <w:rFonts w:ascii="Times New Roman" w:eastAsia="Calibri" w:hAnsi="Times New Roman" w:cs="Times New Roman"/>
            <w:color w:val="0000FF"/>
            <w:u w:val="single"/>
            <w:lang w:eastAsia="zh-CN"/>
          </w:rPr>
          <w:t>Philosophy of this Research</w:t>
        </w:r>
        <w:r w:rsidR="00BE5DAB" w:rsidRPr="00BE5DAB">
          <w:rPr>
            <w:rFonts w:ascii="Times New Roman" w:eastAsia="Calibri" w:hAnsi="Times New Roman" w:cs="Times New Roman"/>
            <w:color w:val="0000FF"/>
            <w:u w:val="single"/>
          </w:rPr>
          <w:tab/>
        </w:r>
      </w:hyperlink>
    </w:p>
    <w:p w14:paraId="1EC4D9FD" w14:textId="77777777" w:rsidR="00BE5DAB" w:rsidRPr="00BE5DAB" w:rsidRDefault="00833529" w:rsidP="00BE5DAB">
      <w:pPr>
        <w:tabs>
          <w:tab w:val="right" w:leader="underscore" w:pos="8948"/>
        </w:tabs>
        <w:spacing w:before="120" w:after="100" w:line="240" w:lineRule="auto"/>
        <w:ind w:right="567"/>
        <w:jc w:val="both"/>
        <w:rPr>
          <w:rFonts w:ascii="Times New Roman" w:eastAsia="Calibri" w:hAnsi="Times New Roman" w:cs="Times New Roman"/>
          <w:lang w:eastAsia="en-GB"/>
        </w:rPr>
      </w:pPr>
      <w:hyperlink r:id="rId28" w:anchor="_Toc9281780" w:history="1">
        <w:r w:rsidR="00BE5DAB" w:rsidRPr="00BE5DAB">
          <w:rPr>
            <w:rFonts w:ascii="Times New Roman" w:eastAsia="Calibri" w:hAnsi="Times New Roman" w:cs="Times New Roman"/>
            <w:color w:val="0000FF"/>
            <w:u w:val="single"/>
          </w:rPr>
          <w:t xml:space="preserve">3.2 </w:t>
        </w:r>
        <w:r w:rsidR="00BE5DAB" w:rsidRPr="00BE5DAB">
          <w:rPr>
            <w:rFonts w:ascii="Times New Roman" w:eastAsia="Calibri" w:hAnsi="Times New Roman" w:cs="Times New Roman"/>
            <w:color w:val="0000FF"/>
            <w:u w:val="single"/>
            <w:lang w:eastAsia="zh-CN"/>
          </w:rPr>
          <w:t>Approach to Theory Developmen</w:t>
        </w:r>
      </w:hyperlink>
      <w:r w:rsidR="00BE5DAB" w:rsidRPr="00BE5DAB">
        <w:rPr>
          <w:rFonts w:ascii="Times New Roman" w:eastAsia="Calibri" w:hAnsi="Times New Roman" w:cs="Times New Roman"/>
        </w:rPr>
        <w:t>t</w:t>
      </w:r>
      <w:r w:rsidR="00BE5DAB" w:rsidRPr="00BE5DAB">
        <w:rPr>
          <w:rFonts w:ascii="Times New Roman" w:eastAsia="Calibri" w:hAnsi="Times New Roman" w:cs="Times New Roman"/>
        </w:rPr>
        <w:tab/>
      </w:r>
    </w:p>
    <w:p w14:paraId="00EB735D" w14:textId="77777777" w:rsidR="00BE5DAB" w:rsidRPr="00BE5DAB" w:rsidRDefault="00833529" w:rsidP="00BE5DAB">
      <w:pPr>
        <w:tabs>
          <w:tab w:val="right" w:leader="underscore" w:pos="8948"/>
        </w:tabs>
        <w:spacing w:before="120" w:after="100" w:line="240" w:lineRule="auto"/>
        <w:ind w:right="567"/>
        <w:jc w:val="both"/>
        <w:rPr>
          <w:rFonts w:ascii="Calibri" w:eastAsia="Calibri" w:hAnsi="Calibri" w:cs="Arial"/>
          <w:sz w:val="24"/>
        </w:rPr>
      </w:pPr>
      <w:hyperlink r:id="rId29" w:anchor="_Toc9281793" w:history="1">
        <w:r w:rsidR="00BE5DAB" w:rsidRPr="00BE5DAB">
          <w:rPr>
            <w:rFonts w:ascii="Times New Roman" w:eastAsia="Calibri" w:hAnsi="Times New Roman" w:cs="Times New Roman"/>
            <w:color w:val="0000FF"/>
            <w:u w:val="single"/>
          </w:rPr>
          <w:t xml:space="preserve">3.3 </w:t>
        </w:r>
        <w:r w:rsidR="00BE5DAB" w:rsidRPr="00BE5DAB">
          <w:rPr>
            <w:rFonts w:ascii="Times New Roman" w:eastAsia="Calibri" w:hAnsi="Times New Roman" w:cs="Times New Roman"/>
            <w:color w:val="0000FF"/>
            <w:u w:val="single"/>
            <w:lang w:eastAsia="zh-CN"/>
          </w:rPr>
          <w:t>Methodological Choice</w:t>
        </w:r>
        <w:r w:rsidR="00BE5DAB" w:rsidRPr="00BE5DAB">
          <w:rPr>
            <w:rFonts w:ascii="Times New Roman" w:eastAsia="Calibri" w:hAnsi="Times New Roman" w:cs="Times New Roman"/>
            <w:color w:val="0000FF"/>
            <w:u w:val="single"/>
          </w:rPr>
          <w:tab/>
        </w:r>
      </w:hyperlink>
    </w:p>
    <w:p w14:paraId="63B56FF4" w14:textId="77777777" w:rsidR="00BE5DAB" w:rsidRPr="00BE5DAB" w:rsidRDefault="00BE5DAB" w:rsidP="00BE5DAB">
      <w:pPr>
        <w:tabs>
          <w:tab w:val="right" w:leader="underscore" w:pos="8948"/>
        </w:tabs>
        <w:spacing w:before="120" w:after="100" w:line="240" w:lineRule="auto"/>
        <w:ind w:right="567"/>
        <w:jc w:val="both"/>
        <w:rPr>
          <w:rFonts w:ascii="Calibri" w:eastAsia="Calibri" w:hAnsi="Calibri" w:cs="Arial"/>
          <w:sz w:val="24"/>
        </w:rPr>
      </w:pPr>
      <w:r w:rsidRPr="00BE5DAB">
        <w:rPr>
          <w:rFonts w:ascii="Times New Roman" w:eastAsia="Calibri" w:hAnsi="Times New Roman" w:cs="Times New Roman"/>
          <w:lang w:eastAsia="en-ZW"/>
        </w:rPr>
        <w:t>3.4 Research strategy</w:t>
      </w:r>
      <w:r w:rsidRPr="00BE5DAB">
        <w:rPr>
          <w:rFonts w:ascii="Times New Roman" w:eastAsia="Calibri" w:hAnsi="Times New Roman" w:cs="Times New Roman"/>
        </w:rPr>
        <w:tab/>
      </w:r>
    </w:p>
    <w:p w14:paraId="4294D42F"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3.5 Population and Sample of this Research</w:t>
      </w:r>
      <w:r w:rsidRPr="00BE5DAB">
        <w:rPr>
          <w:rFonts w:ascii="Times New Roman" w:eastAsia="Calibri" w:hAnsi="Times New Roman" w:cs="Times New Roman"/>
          <w:lang w:eastAsia="en-ZW"/>
        </w:rPr>
        <w:tab/>
      </w:r>
    </w:p>
    <w:p w14:paraId="629CEDA2"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3.5.1 Population of this Research</w:t>
      </w:r>
      <w:r w:rsidRPr="00BE5DAB">
        <w:rPr>
          <w:rFonts w:ascii="Times New Roman" w:eastAsia="Calibri" w:hAnsi="Times New Roman" w:cs="Times New Roman"/>
          <w:lang w:eastAsia="en-ZW"/>
        </w:rPr>
        <w:tab/>
      </w:r>
    </w:p>
    <w:p w14:paraId="39554288"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3.5.2 Sample of this Research</w:t>
      </w:r>
      <w:r w:rsidRPr="00BE5DAB">
        <w:rPr>
          <w:rFonts w:ascii="Times New Roman" w:eastAsia="Calibri" w:hAnsi="Times New Roman" w:cs="Times New Roman"/>
          <w:lang w:eastAsia="en-ZW"/>
        </w:rPr>
        <w:tab/>
      </w:r>
    </w:p>
    <w:p w14:paraId="16E63DB7"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3.6 Rationale for the Selection of the Research Sampling Approaches</w:t>
      </w:r>
      <w:r w:rsidRPr="00BE5DAB">
        <w:rPr>
          <w:rFonts w:ascii="Times New Roman" w:eastAsia="Calibri" w:hAnsi="Times New Roman" w:cs="Times New Roman"/>
          <w:lang w:eastAsia="en-ZW"/>
        </w:rPr>
        <w:tab/>
      </w:r>
    </w:p>
    <w:p w14:paraId="19DA54F3"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3.7 Rationale for Using Questionnaire</w:t>
      </w:r>
      <w:r w:rsidRPr="00BE5DAB">
        <w:rPr>
          <w:rFonts w:ascii="Times New Roman" w:eastAsia="Calibri" w:hAnsi="Times New Roman" w:cs="Times New Roman"/>
          <w:lang w:eastAsia="en-ZW"/>
        </w:rPr>
        <w:tab/>
      </w:r>
    </w:p>
    <w:p w14:paraId="67F99BFB"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3.8 The Data Collection Stage</w:t>
      </w:r>
      <w:r w:rsidRPr="00BE5DAB">
        <w:rPr>
          <w:rFonts w:ascii="Times New Roman" w:eastAsia="Calibri" w:hAnsi="Times New Roman" w:cs="Times New Roman"/>
          <w:lang w:eastAsia="en-ZW"/>
        </w:rPr>
        <w:tab/>
      </w:r>
    </w:p>
    <w:p w14:paraId="6DE1E4BE"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3.9 Process of Distributing the Questionnaires of this Research</w:t>
      </w:r>
      <w:r w:rsidRPr="00BE5DAB">
        <w:rPr>
          <w:rFonts w:ascii="Times New Roman" w:eastAsia="Calibri" w:hAnsi="Times New Roman" w:cs="Times New Roman"/>
          <w:lang w:eastAsia="en-ZW"/>
        </w:rPr>
        <w:tab/>
      </w:r>
    </w:p>
    <w:p w14:paraId="0E1130D5"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ZW"/>
        </w:rPr>
      </w:pPr>
      <w:r w:rsidRPr="00BE5DAB">
        <w:rPr>
          <w:rFonts w:ascii="Times New Roman" w:eastAsia="Calibri" w:hAnsi="Times New Roman" w:cs="Times New Roman"/>
          <w:lang w:eastAsia="en-ZW"/>
        </w:rPr>
        <w:t>3.10 Limitations</w:t>
      </w:r>
      <w:r w:rsidRPr="00BE5DAB">
        <w:rPr>
          <w:rFonts w:ascii="Times New Roman" w:eastAsia="Calibri" w:hAnsi="Times New Roman" w:cs="Times New Roman"/>
          <w:lang w:eastAsia="en-ZW"/>
        </w:rPr>
        <w:tab/>
      </w:r>
    </w:p>
    <w:p w14:paraId="448B0CC2"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b/>
          <w:caps/>
        </w:rPr>
      </w:pPr>
      <w:hyperlink r:id="rId30" w:anchor="_Toc9281795" w:history="1">
        <w:r w:rsidR="00BE5DAB" w:rsidRPr="00BE5DAB">
          <w:rPr>
            <w:rFonts w:ascii="Times New Roman" w:eastAsia="Calibri" w:hAnsi="Times New Roman" w:cs="Times New Roman"/>
            <w:b/>
            <w:caps/>
            <w:color w:val="0000FF"/>
            <w:u w:val="single"/>
          </w:rPr>
          <w:t xml:space="preserve">Chapter 4: </w:t>
        </w:r>
        <w:r w:rsidR="00BE5DAB" w:rsidRPr="00BE5DAB">
          <w:rPr>
            <w:rFonts w:ascii="Times New Roman" w:eastAsia="Calibri" w:hAnsi="Times New Roman" w:cs="Times New Roman"/>
            <w:b/>
            <w:bCs/>
            <w:caps/>
            <w:color w:val="0000FF"/>
            <w:u w:val="single"/>
          </w:rPr>
          <w:t>Discussion</w:t>
        </w:r>
        <w:r w:rsidR="00BE5DAB" w:rsidRPr="00BE5DAB">
          <w:rPr>
            <w:rFonts w:ascii="Times New Roman" w:eastAsia="Calibri" w:hAnsi="Times New Roman" w:cs="Times New Roman"/>
            <w:b/>
            <w:caps/>
            <w:color w:val="0000FF"/>
            <w:u w:val="single"/>
          </w:rPr>
          <w:tab/>
        </w:r>
      </w:hyperlink>
    </w:p>
    <w:p w14:paraId="25753CDA"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GB"/>
        </w:rPr>
      </w:pPr>
      <w:r w:rsidRPr="00BE5DAB">
        <w:rPr>
          <w:rFonts w:ascii="Times New Roman" w:eastAsia="Calibri" w:hAnsi="Times New Roman" w:cs="Times New Roman"/>
        </w:rPr>
        <w:t>4.0 Introduction</w:t>
      </w:r>
      <w:r w:rsidRPr="00BE5DAB">
        <w:rPr>
          <w:rFonts w:ascii="Times New Roman" w:eastAsia="Calibri" w:hAnsi="Times New Roman" w:cs="Times New Roman"/>
        </w:rPr>
        <w:tab/>
      </w:r>
    </w:p>
    <w:p w14:paraId="1DAC50E3"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 First Section: Personal Information of Participants</w:t>
      </w:r>
      <w:r w:rsidRPr="00BE5DAB">
        <w:rPr>
          <w:rFonts w:ascii="Times New Roman" w:eastAsia="Calibri" w:hAnsi="Times New Roman" w:cs="Times New Roman"/>
        </w:rPr>
        <w:tab/>
      </w:r>
    </w:p>
    <w:p w14:paraId="76A7D832"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4.1.1 Age</w:t>
      </w:r>
      <w:r w:rsidRPr="00BE5DAB">
        <w:rPr>
          <w:rFonts w:ascii="Times New Roman" w:eastAsia="Calibri" w:hAnsi="Times New Roman" w:cs="Times New Roman"/>
        </w:rPr>
        <w:tab/>
      </w:r>
    </w:p>
    <w:p w14:paraId="201DFE29"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4.1.2 Gender</w:t>
      </w:r>
      <w:r w:rsidRPr="00BE5DAB">
        <w:rPr>
          <w:rFonts w:ascii="Times New Roman" w:eastAsia="Calibri" w:hAnsi="Times New Roman" w:cs="Times New Roman"/>
        </w:rPr>
        <w:tab/>
      </w:r>
    </w:p>
    <w:p w14:paraId="39AC3872"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4.1.3 Religion</w:t>
      </w:r>
      <w:r w:rsidRPr="00BE5DAB">
        <w:rPr>
          <w:rFonts w:ascii="Times New Roman" w:eastAsia="Calibri" w:hAnsi="Times New Roman" w:cs="Times New Roman"/>
        </w:rPr>
        <w:tab/>
      </w:r>
    </w:p>
    <w:p w14:paraId="1EFE472E"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4.1.4 Country of Origin</w:t>
      </w:r>
      <w:r w:rsidRPr="00BE5DAB">
        <w:rPr>
          <w:rFonts w:ascii="Times New Roman" w:eastAsia="Calibri" w:hAnsi="Times New Roman" w:cs="Times New Roman"/>
        </w:rPr>
        <w:tab/>
      </w:r>
    </w:p>
    <w:p w14:paraId="1BFD7A6B"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4.1.5 Country of Birth</w:t>
      </w:r>
      <w:r w:rsidRPr="00BE5DAB">
        <w:rPr>
          <w:rFonts w:ascii="Times New Roman" w:eastAsia="Calibri" w:hAnsi="Times New Roman" w:cs="Times New Roman"/>
        </w:rPr>
        <w:tab/>
      </w:r>
    </w:p>
    <w:p w14:paraId="664E1204"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4.1.6 Number of Years for Staying in the UK</w:t>
      </w:r>
      <w:r w:rsidRPr="00BE5DAB">
        <w:rPr>
          <w:rFonts w:ascii="Times New Roman" w:eastAsia="Calibri" w:hAnsi="Times New Roman" w:cs="Times New Roman"/>
        </w:rPr>
        <w:tab/>
      </w:r>
    </w:p>
    <w:p w14:paraId="5C1617AA"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4.1.7 Visiting Country of Origin</w:t>
      </w:r>
      <w:r w:rsidRPr="00BE5DAB">
        <w:rPr>
          <w:rFonts w:ascii="Times New Roman" w:eastAsia="Calibri" w:hAnsi="Times New Roman" w:cs="Times New Roman"/>
        </w:rPr>
        <w:tab/>
      </w:r>
    </w:p>
    <w:p w14:paraId="5696CA65"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4.2 Discussion of the First Section</w:t>
      </w:r>
      <w:r w:rsidRPr="00BE5DAB">
        <w:rPr>
          <w:rFonts w:ascii="Times New Roman" w:eastAsia="Calibri" w:hAnsi="Times New Roman" w:cs="Times New Roman"/>
        </w:rPr>
        <w:tab/>
      </w:r>
    </w:p>
    <w:p w14:paraId="71DF6545"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 xml:space="preserve">4.3 Second Section: </w:t>
      </w:r>
      <w:r w:rsidRPr="00BE5DAB">
        <w:rPr>
          <w:rFonts w:ascii="Times New Roman" w:eastAsia="Calibri" w:hAnsi="Times New Roman" w:cs="Times New Roman"/>
          <w:lang w:eastAsia="en-GB"/>
        </w:rPr>
        <w:t>Consumer Behaviour</w:t>
      </w:r>
      <w:r w:rsidRPr="00BE5DAB">
        <w:rPr>
          <w:rFonts w:ascii="Times New Roman" w:eastAsia="Calibri" w:hAnsi="Times New Roman" w:cs="Times New Roman"/>
        </w:rPr>
        <w:tab/>
      </w:r>
    </w:p>
    <w:p w14:paraId="223D0D71"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4.3.1 Influence of Religious/Political Views on the Daily Life of Participants</w:t>
      </w:r>
      <w:r w:rsidRPr="00BE5DAB">
        <w:rPr>
          <w:rFonts w:ascii="Times New Roman" w:eastAsia="Calibri" w:hAnsi="Times New Roman" w:cs="Times New Roman"/>
        </w:rPr>
        <w:tab/>
      </w:r>
    </w:p>
    <w:p w14:paraId="1B3967D1"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4.3.2 Buying Certain Products Frequently by Participants</w:t>
      </w:r>
      <w:r w:rsidRPr="00BE5DAB">
        <w:rPr>
          <w:rFonts w:ascii="Times New Roman" w:eastAsia="Calibri" w:hAnsi="Times New Roman" w:cs="Times New Roman"/>
        </w:rPr>
        <w:tab/>
      </w:r>
    </w:p>
    <w:p w14:paraId="04508682"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4.3.3 Reason for Buying Certain Products by Participants</w:t>
      </w:r>
      <w:r w:rsidRPr="00BE5DAB">
        <w:rPr>
          <w:rFonts w:ascii="Times New Roman" w:eastAsia="Calibri" w:hAnsi="Times New Roman" w:cs="Times New Roman"/>
        </w:rPr>
        <w:tab/>
      </w:r>
    </w:p>
    <w:p w14:paraId="2044EAF1"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4.3.4 Factors for Brand Loyalty</w:t>
      </w:r>
      <w:r w:rsidRPr="00BE5DAB">
        <w:rPr>
          <w:rFonts w:ascii="Times New Roman" w:eastAsia="Calibri" w:hAnsi="Times New Roman" w:cs="Times New Roman"/>
        </w:rPr>
        <w:tab/>
      </w:r>
    </w:p>
    <w:p w14:paraId="0EF5DE7E"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4.3.5 Buying Brands from Country of Origin</w:t>
      </w:r>
      <w:r w:rsidRPr="00BE5DAB">
        <w:rPr>
          <w:rFonts w:ascii="Times New Roman" w:eastAsia="Calibri" w:hAnsi="Times New Roman" w:cs="Times New Roman"/>
        </w:rPr>
        <w:tab/>
      </w:r>
    </w:p>
    <w:p w14:paraId="0965516E"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4.3.6 Reasons for Switching Between Brands by Participants</w:t>
      </w:r>
      <w:r w:rsidRPr="00BE5DAB">
        <w:rPr>
          <w:rFonts w:ascii="Times New Roman" w:eastAsia="Calibri" w:hAnsi="Times New Roman" w:cs="Times New Roman"/>
        </w:rPr>
        <w:tab/>
      </w:r>
    </w:p>
    <w:p w14:paraId="0EF1B1A5"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4.3.7 Influence of Family/Friends on Buying Behaviour of Participants</w:t>
      </w:r>
      <w:r w:rsidRPr="00BE5DAB">
        <w:rPr>
          <w:rFonts w:ascii="Times New Roman" w:eastAsia="Calibri" w:hAnsi="Times New Roman" w:cs="Times New Roman"/>
        </w:rPr>
        <w:tab/>
      </w:r>
    </w:p>
    <w:p w14:paraId="6938C1C2"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4.3.8 Influence of Living Abroad on Participants’ Buying Habits</w:t>
      </w:r>
      <w:r w:rsidRPr="00BE5DAB">
        <w:rPr>
          <w:rFonts w:ascii="Times New Roman" w:eastAsia="Calibri" w:hAnsi="Times New Roman" w:cs="Times New Roman"/>
        </w:rPr>
        <w:tab/>
      </w:r>
    </w:p>
    <w:p w14:paraId="416E1FDF"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4.4 Discussion of the Third Section</w:t>
      </w:r>
      <w:r w:rsidRPr="00BE5DAB">
        <w:rPr>
          <w:rFonts w:ascii="Times New Roman" w:eastAsia="Calibri" w:hAnsi="Times New Roman" w:cs="Times New Roman"/>
        </w:rPr>
        <w:tab/>
      </w:r>
    </w:p>
    <w:p w14:paraId="38C9732C"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 xml:space="preserve">4.5 Third Section: </w:t>
      </w:r>
      <w:r w:rsidRPr="00BE5DAB">
        <w:rPr>
          <w:rFonts w:ascii="Times New Roman" w:eastAsia="Calibri" w:hAnsi="Times New Roman" w:cs="Times New Roman"/>
          <w:lang w:eastAsia="en-GB"/>
        </w:rPr>
        <w:t>Views of Participants Regarding Key Political and Religious Events</w:t>
      </w:r>
      <w:r w:rsidRPr="00BE5DAB">
        <w:rPr>
          <w:rFonts w:ascii="Times New Roman" w:eastAsia="Calibri" w:hAnsi="Times New Roman" w:cs="Times New Roman"/>
        </w:rPr>
        <w:tab/>
      </w:r>
    </w:p>
    <w:p w14:paraId="23542B90"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lang w:eastAsia="en-GB"/>
        </w:rPr>
      </w:pPr>
      <w:r w:rsidRPr="00BE5DAB">
        <w:rPr>
          <w:rFonts w:ascii="Times New Roman" w:eastAsia="Calibri" w:hAnsi="Times New Roman" w:cs="Times New Roman"/>
        </w:rPr>
        <w:lastRenderedPageBreak/>
        <w:t xml:space="preserve">4.5.1 </w:t>
      </w:r>
      <w:r w:rsidRPr="00BE5DAB">
        <w:rPr>
          <w:rFonts w:ascii="Times New Roman" w:eastAsia="Calibri" w:hAnsi="Times New Roman" w:cs="Times New Roman"/>
          <w:lang w:eastAsia="en-GB"/>
        </w:rPr>
        <w:t>Boycotting Brands Before</w:t>
      </w:r>
      <w:r w:rsidRPr="00BE5DAB">
        <w:rPr>
          <w:rFonts w:ascii="Times New Roman" w:eastAsia="Calibri" w:hAnsi="Times New Roman" w:cs="Times New Roman"/>
        </w:rPr>
        <w:tab/>
      </w:r>
    </w:p>
    <w:p w14:paraId="6F17FF36"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4.5.1 Reasons for Boycotting Certain Brands</w:t>
      </w:r>
      <w:r w:rsidRPr="00BE5DAB">
        <w:rPr>
          <w:rFonts w:ascii="Times New Roman" w:eastAsia="Calibri" w:hAnsi="Times New Roman" w:cs="Times New Roman"/>
        </w:rPr>
        <w:tab/>
      </w:r>
    </w:p>
    <w:p w14:paraId="06A6BAE6"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4.5.1 Influence of Political/Religious Conflicts on Consumer Behaviour</w:t>
      </w:r>
      <w:r w:rsidRPr="00BE5DAB">
        <w:rPr>
          <w:rFonts w:ascii="Times New Roman" w:eastAsia="Calibri" w:hAnsi="Times New Roman" w:cs="Times New Roman"/>
        </w:rPr>
        <w:tab/>
      </w:r>
    </w:p>
    <w:p w14:paraId="455CBBD5"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4.5.1 Influence of Political/Religious Conflicts on Consumer Behaviour on Participant’s Boycott/Loyal to a Brand/Company</w:t>
      </w:r>
      <w:r w:rsidRPr="00BE5DAB">
        <w:rPr>
          <w:rFonts w:ascii="Times New Roman" w:eastAsia="Calibri" w:hAnsi="Times New Roman" w:cs="Times New Roman"/>
        </w:rPr>
        <w:tab/>
      </w:r>
    </w:p>
    <w:p w14:paraId="119EAFA7"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4.6 Discussion of the Fifth Section</w:t>
      </w:r>
      <w:r w:rsidRPr="00BE5DAB">
        <w:rPr>
          <w:rFonts w:ascii="Times New Roman" w:eastAsia="Calibri" w:hAnsi="Times New Roman" w:cs="Times New Roman"/>
        </w:rPr>
        <w:tab/>
      </w:r>
    </w:p>
    <w:p w14:paraId="0FC541E8"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b/>
          <w:caps/>
        </w:rPr>
      </w:pPr>
      <w:hyperlink r:id="rId31" w:anchor="_Toc9281866" w:history="1">
        <w:r w:rsidR="00BE5DAB" w:rsidRPr="00BE5DAB">
          <w:rPr>
            <w:rFonts w:ascii="Times New Roman" w:eastAsia="Calibri" w:hAnsi="Times New Roman" w:cs="Times New Roman"/>
            <w:b/>
            <w:caps/>
            <w:color w:val="0000FF"/>
            <w:u w:val="single"/>
          </w:rPr>
          <w:t>Chapter 5: Chapter Five: Findings, Recommendations, and Further Research</w:t>
        </w:r>
        <w:r w:rsidR="00BE5DAB" w:rsidRPr="00BE5DAB">
          <w:rPr>
            <w:rFonts w:ascii="Times New Roman" w:eastAsia="Calibri" w:hAnsi="Times New Roman" w:cs="Times New Roman"/>
            <w:b/>
            <w:caps/>
            <w:color w:val="0000FF"/>
            <w:u w:val="single"/>
          </w:rPr>
          <w:tab/>
        </w:r>
      </w:hyperlink>
    </w:p>
    <w:p w14:paraId="1D7E2984"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5.1 Findings</w:t>
      </w:r>
      <w:r w:rsidRPr="00BE5DAB">
        <w:rPr>
          <w:rFonts w:ascii="Times New Roman" w:eastAsia="Calibri" w:hAnsi="Times New Roman" w:cs="Times New Roman"/>
        </w:rPr>
        <w:tab/>
      </w:r>
    </w:p>
    <w:p w14:paraId="0C0B6454"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5.2 Recommendations</w:t>
      </w:r>
      <w:r w:rsidRPr="00BE5DAB">
        <w:rPr>
          <w:rFonts w:ascii="Times New Roman" w:eastAsia="Calibri" w:hAnsi="Times New Roman" w:cs="Times New Roman"/>
        </w:rPr>
        <w:tab/>
      </w:r>
    </w:p>
    <w:p w14:paraId="2C14A6E9" w14:textId="77777777" w:rsidR="00BE5DAB" w:rsidRPr="00BE5DAB" w:rsidRDefault="00BE5DAB" w:rsidP="00BE5DAB">
      <w:pPr>
        <w:tabs>
          <w:tab w:val="right" w:leader="underscore" w:pos="8948"/>
        </w:tabs>
        <w:spacing w:before="120" w:after="100" w:line="240" w:lineRule="auto"/>
        <w:ind w:right="567"/>
        <w:jc w:val="both"/>
        <w:rPr>
          <w:rFonts w:ascii="Times New Roman" w:eastAsia="Calibri" w:hAnsi="Times New Roman" w:cs="Times New Roman"/>
        </w:rPr>
      </w:pPr>
      <w:r w:rsidRPr="00BE5DAB">
        <w:rPr>
          <w:rFonts w:ascii="Times New Roman" w:eastAsia="Calibri" w:hAnsi="Times New Roman" w:cs="Times New Roman"/>
        </w:rPr>
        <w:t>5.3 Further Research</w:t>
      </w:r>
      <w:r w:rsidRPr="00BE5DAB">
        <w:rPr>
          <w:rFonts w:ascii="Times New Roman" w:eastAsia="Calibri" w:hAnsi="Times New Roman" w:cs="Times New Roman"/>
        </w:rPr>
        <w:tab/>
      </w:r>
    </w:p>
    <w:p w14:paraId="2F53FB8F" w14:textId="77777777" w:rsidR="00BE5DAB" w:rsidRPr="00BE5DAB" w:rsidRDefault="00833529" w:rsidP="00BE5DAB">
      <w:pPr>
        <w:tabs>
          <w:tab w:val="right" w:leader="underscore" w:pos="8948"/>
        </w:tabs>
        <w:spacing w:before="120" w:after="120" w:line="240" w:lineRule="auto"/>
        <w:jc w:val="both"/>
        <w:rPr>
          <w:rFonts w:ascii="Calibri" w:eastAsia="Calibri" w:hAnsi="Calibri" w:cs="Arial"/>
          <w:color w:val="0000FF"/>
          <w:sz w:val="24"/>
          <w:u w:val="single"/>
        </w:rPr>
      </w:pPr>
      <w:hyperlink r:id="rId32" w:anchor="_Toc9281898" w:history="1">
        <w:r w:rsidR="00BE5DAB" w:rsidRPr="00BE5DAB">
          <w:rPr>
            <w:rFonts w:ascii="Times New Roman" w:eastAsia="SimSun" w:hAnsi="Times New Roman" w:cs="Times New Roman"/>
            <w:b/>
            <w:caps/>
            <w:color w:val="0000FF"/>
            <w:u w:val="single"/>
            <w:lang w:eastAsia="zh-CN"/>
          </w:rPr>
          <w:t>References</w:t>
        </w:r>
        <w:r w:rsidR="00BE5DAB" w:rsidRPr="00BE5DAB">
          <w:rPr>
            <w:rFonts w:ascii="Times New Roman" w:eastAsia="Calibri" w:hAnsi="Times New Roman" w:cs="Times New Roman"/>
            <w:color w:val="0000FF"/>
            <w:u w:val="single"/>
          </w:rPr>
          <w:tab/>
        </w:r>
      </w:hyperlink>
    </w:p>
    <w:p w14:paraId="43E6584B" w14:textId="77777777" w:rsidR="00BE5DAB" w:rsidRPr="00BE5DAB" w:rsidRDefault="00833529" w:rsidP="00BE5DAB">
      <w:pPr>
        <w:tabs>
          <w:tab w:val="right" w:leader="underscore" w:pos="8948"/>
        </w:tabs>
        <w:spacing w:before="120" w:after="120" w:line="240" w:lineRule="auto"/>
        <w:jc w:val="both"/>
        <w:rPr>
          <w:rFonts w:ascii="Times New Roman" w:eastAsia="Calibri" w:hAnsi="Times New Roman" w:cs="Times New Roman"/>
          <w:color w:val="0000FF"/>
          <w:sz w:val="24"/>
          <w:szCs w:val="24"/>
          <w:u w:val="single"/>
          <w:lang w:eastAsia="en-GB"/>
        </w:rPr>
      </w:pPr>
      <w:hyperlink r:id="rId33" w:anchor="_Toc9281898" w:history="1">
        <w:r w:rsidR="00BE5DAB" w:rsidRPr="00BE5DAB">
          <w:rPr>
            <w:rFonts w:ascii="Times New Roman" w:eastAsia="SimSun" w:hAnsi="Times New Roman" w:cs="Times New Roman"/>
            <w:b/>
            <w:caps/>
            <w:color w:val="0000FF"/>
            <w:u w:val="single"/>
            <w:lang w:eastAsia="zh-CN"/>
          </w:rPr>
          <w:t>Appendices</w:t>
        </w:r>
        <w:r w:rsidR="00BE5DAB" w:rsidRPr="00BE5DAB">
          <w:rPr>
            <w:rFonts w:ascii="Times New Roman" w:eastAsia="Calibri" w:hAnsi="Times New Roman" w:cs="Times New Roman"/>
            <w:color w:val="0000FF"/>
            <w:u w:val="single"/>
          </w:rPr>
          <w:tab/>
        </w:r>
      </w:hyperlink>
    </w:p>
    <w:p w14:paraId="76D609B0" w14:textId="77777777" w:rsidR="00BE5DAB" w:rsidRPr="00BE5DAB" w:rsidRDefault="00BE5DAB" w:rsidP="00BE5DAB">
      <w:pPr>
        <w:spacing w:line="240" w:lineRule="auto"/>
        <w:jc w:val="both"/>
        <w:rPr>
          <w:rFonts w:ascii="Calibri" w:eastAsia="Calibri" w:hAnsi="Calibri" w:cs="Arial"/>
          <w:b/>
          <w:bCs/>
          <w:sz w:val="24"/>
        </w:rPr>
      </w:pPr>
      <w:r w:rsidRPr="00BE5DAB">
        <w:rPr>
          <w:rFonts w:ascii="Times New Roman" w:eastAsia="Calibri" w:hAnsi="Times New Roman" w:cs="Times New Roman"/>
          <w:bCs/>
          <w:caps/>
          <w:sz w:val="24"/>
          <w:szCs w:val="24"/>
        </w:rPr>
        <w:fldChar w:fldCharType="end"/>
      </w:r>
    </w:p>
    <w:p w14:paraId="0C3E99FB"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8A5DB2B" w14:textId="77777777" w:rsidR="00BE5DAB" w:rsidRPr="00BE5DAB" w:rsidRDefault="00BE5DAB" w:rsidP="00BE5DAB">
      <w:pPr>
        <w:spacing w:line="240" w:lineRule="auto"/>
        <w:jc w:val="both"/>
        <w:rPr>
          <w:rFonts w:ascii="Times New Roman" w:eastAsia="Calibri" w:hAnsi="Times New Roman" w:cs="Times New Roman"/>
          <w:b/>
          <w:bCs/>
          <w:sz w:val="24"/>
          <w:szCs w:val="24"/>
        </w:rPr>
      </w:pPr>
      <w:r w:rsidRPr="00BE5DAB">
        <w:rPr>
          <w:rFonts w:ascii="Times New Roman" w:eastAsia="Calibri" w:hAnsi="Times New Roman" w:cs="Times New Roman"/>
          <w:b/>
          <w:bCs/>
          <w:sz w:val="24"/>
          <w:szCs w:val="24"/>
        </w:rPr>
        <w:t>List of Tables</w:t>
      </w:r>
    </w:p>
    <w:p w14:paraId="6DD5E82B"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 Frequency of Participants Categories by Age</w:t>
      </w:r>
    </w:p>
    <w:p w14:paraId="4238BADF"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4.2: Frequency of Participants Categorized by Gender</w:t>
      </w:r>
    </w:p>
    <w:p w14:paraId="1565E397"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4.3: Frequency of Participants Categories by Religion</w:t>
      </w:r>
    </w:p>
    <w:p w14:paraId="00D8E4E3"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4.4: Frequency of Participants Categories by Country of Origin</w:t>
      </w:r>
    </w:p>
    <w:p w14:paraId="1BD18174"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4.5: Frequency of Participants Categories by Country of Birth</w:t>
      </w:r>
    </w:p>
    <w:p w14:paraId="4F600054"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4.6: Frequency of Participants Categories by Number of Years for Staying in the UK</w:t>
      </w:r>
    </w:p>
    <w:p w14:paraId="30F97CE8"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4.7: Frequency of Participants Categories by Visiting Country of Origin</w:t>
      </w:r>
    </w:p>
    <w:p w14:paraId="6E399F1A"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4.8: Frequency of Participants Categorised by their Views on Whether Religious and Politics Views Have Influence on their Daily Life</w:t>
      </w:r>
    </w:p>
    <w:p w14:paraId="3399ABF2"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4.9: Frequency of Participants Categorized by the Frequency of Buying Certain Products</w:t>
      </w:r>
    </w:p>
    <w:p w14:paraId="2966345D"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4.10: Frequency of Participants Categorised by Reasons for Buying Certain Products</w:t>
      </w:r>
    </w:p>
    <w:p w14:paraId="50F39845"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4.11: Frequency of Participants Categorized by Factors for Brand Loyalty</w:t>
      </w:r>
    </w:p>
    <w:p w14:paraId="2C2569A8"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4.12: Frequency of Participants Categorized by How Often they Buy Products from Country of Origin</w:t>
      </w:r>
    </w:p>
    <w:p w14:paraId="32531CA9"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4.13: Frequency of Participants Categorized by How Easy they Switch Between Brands</w:t>
      </w:r>
    </w:p>
    <w:p w14:paraId="397F55F0"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4.14: Frequency of Participants Categorized by Reasons for Switching Between Brands</w:t>
      </w:r>
    </w:p>
    <w:p w14:paraId="6510AA28"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4.15: Frequency of Participants Categorized by Reasons for Switching Between Brands</w:t>
      </w:r>
    </w:p>
    <w:p w14:paraId="4B5CB5CB"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4.16: Frequency of Participants Categorized by Whether Living Abroad Influenced Participants’ Buying Habits</w:t>
      </w:r>
    </w:p>
    <w:p w14:paraId="3EB710DA"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4.17: Frequency of Participants Categorized by Boycotting Participation</w:t>
      </w:r>
      <w:r w:rsidRPr="00BE5DAB">
        <w:rPr>
          <w:rFonts w:ascii="Times New Roman" w:eastAsia="Calibri" w:hAnsi="Times New Roman" w:cs="Times New Roman"/>
          <w:sz w:val="20"/>
          <w:szCs w:val="20"/>
        </w:rPr>
        <w:tab/>
      </w:r>
    </w:p>
    <w:p w14:paraId="100E4873"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4.18: Frequency of Participants Categorized by Reasons for Boycotting a Brand</w:t>
      </w:r>
    </w:p>
    <w:p w14:paraId="0EFE21AC"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Table 4.19: Frequency of Participants Categorized by the Influence of Political/Religious views on Participants' Consumer Behaviour</w:t>
      </w:r>
    </w:p>
    <w:p w14:paraId="3FE14D7F" w14:textId="7E1EF6CD" w:rsid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lastRenderedPageBreak/>
        <w:t>Table 4.20: Frequency of Participants Categorized by Influence of Political/Religious Views on Consumer Behaviou</w:t>
      </w:r>
      <w:r w:rsidR="00BD6BEC">
        <w:rPr>
          <w:rFonts w:ascii="Times New Roman" w:eastAsia="Calibri" w:hAnsi="Times New Roman" w:cs="Times New Roman"/>
          <w:sz w:val="20"/>
          <w:szCs w:val="20"/>
        </w:rPr>
        <w:t>r.</w:t>
      </w:r>
    </w:p>
    <w:p w14:paraId="46541856" w14:textId="77777777" w:rsidR="00BD6BEC" w:rsidRPr="00BE5DAB" w:rsidRDefault="00BD6BEC" w:rsidP="00BE5DAB">
      <w:pPr>
        <w:spacing w:line="240" w:lineRule="auto"/>
        <w:jc w:val="both"/>
        <w:rPr>
          <w:rFonts w:ascii="Times New Roman" w:eastAsia="Calibri" w:hAnsi="Times New Roman" w:cs="Times New Roman"/>
          <w:sz w:val="20"/>
          <w:szCs w:val="20"/>
        </w:rPr>
      </w:pPr>
    </w:p>
    <w:p w14:paraId="21FCB9B8" w14:textId="77777777" w:rsidR="00BE5DAB" w:rsidRPr="00BE5DAB" w:rsidRDefault="00BE5DAB" w:rsidP="00BE5DAB">
      <w:pPr>
        <w:spacing w:line="240" w:lineRule="auto"/>
        <w:jc w:val="both"/>
        <w:rPr>
          <w:rFonts w:ascii="Times New Roman" w:eastAsia="Calibri" w:hAnsi="Times New Roman" w:cs="Times New Roman"/>
          <w:b/>
          <w:bCs/>
          <w:sz w:val="20"/>
          <w:szCs w:val="20"/>
        </w:rPr>
      </w:pPr>
    </w:p>
    <w:p w14:paraId="776D8881" w14:textId="77777777" w:rsidR="00BE5DAB" w:rsidRPr="00BE5DAB" w:rsidRDefault="00BE5DAB" w:rsidP="00BE5DAB">
      <w:pPr>
        <w:spacing w:line="240" w:lineRule="auto"/>
        <w:jc w:val="both"/>
        <w:rPr>
          <w:rFonts w:ascii="Times New Roman" w:eastAsia="Calibri" w:hAnsi="Times New Roman" w:cs="Times New Roman"/>
          <w:b/>
          <w:bCs/>
          <w:sz w:val="20"/>
          <w:szCs w:val="20"/>
        </w:rPr>
      </w:pPr>
    </w:p>
    <w:p w14:paraId="401AB3B3" w14:textId="77777777" w:rsidR="00BE5DAB" w:rsidRPr="00BE5DAB" w:rsidRDefault="00BE5DAB" w:rsidP="00BE5DAB">
      <w:pPr>
        <w:spacing w:line="240" w:lineRule="auto"/>
        <w:jc w:val="both"/>
        <w:rPr>
          <w:rFonts w:ascii="Times New Roman" w:eastAsia="Calibri" w:hAnsi="Times New Roman" w:cs="Times New Roman"/>
          <w:b/>
          <w:bCs/>
          <w:sz w:val="20"/>
          <w:szCs w:val="20"/>
        </w:rPr>
      </w:pPr>
    </w:p>
    <w:p w14:paraId="5B6CB729" w14:textId="77777777" w:rsidR="00BE5DAB" w:rsidRPr="00BE5DAB" w:rsidRDefault="00BE5DAB" w:rsidP="00BE5DAB">
      <w:pPr>
        <w:spacing w:line="240" w:lineRule="auto"/>
        <w:jc w:val="both"/>
        <w:rPr>
          <w:rFonts w:ascii="Times New Roman" w:eastAsia="Calibri" w:hAnsi="Times New Roman" w:cs="Times New Roman"/>
          <w:b/>
          <w:bCs/>
          <w:sz w:val="24"/>
          <w:szCs w:val="24"/>
        </w:rPr>
      </w:pPr>
      <w:r w:rsidRPr="00BE5DAB">
        <w:rPr>
          <w:rFonts w:ascii="Times New Roman" w:eastAsia="Calibri" w:hAnsi="Times New Roman" w:cs="Times New Roman"/>
          <w:b/>
          <w:bCs/>
          <w:sz w:val="24"/>
          <w:szCs w:val="24"/>
        </w:rPr>
        <w:t>List of Figures</w:t>
      </w:r>
    </w:p>
    <w:p w14:paraId="74BB97A1"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2.1: Keller’s Brand Equity Model</w:t>
      </w:r>
    </w:p>
    <w:p w14:paraId="5BB4DF5E"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lang w:eastAsia="zh-CN"/>
        </w:rPr>
        <w:t>Figure 2.2: Conceptual Framework of this Thesis</w:t>
      </w:r>
    </w:p>
    <w:p w14:paraId="44E9F7EF"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 Percentage of Participants Based on the number of Based on Age Categories</w:t>
      </w:r>
    </w:p>
    <w:p w14:paraId="5ED95D0C"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4.2: Percentage of Participants Categorized by Gender</w:t>
      </w:r>
    </w:p>
    <w:p w14:paraId="53D36B4D"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4.3: Percentage of Participants Categorized by Religion</w:t>
      </w:r>
    </w:p>
    <w:p w14:paraId="70C84FEC"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4.4: Percentage of Participants Categories by Country of Origin</w:t>
      </w:r>
    </w:p>
    <w:p w14:paraId="4FAF009A"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4.5: Percentage of Participants Categories by Country of Birth</w:t>
      </w:r>
    </w:p>
    <w:p w14:paraId="07B6F522"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4.6: Percentage of Participants Categories by Number of Years for Staying in the UK</w:t>
      </w:r>
    </w:p>
    <w:p w14:paraId="10E6BD05"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4.7: Percentage of Participants Categories by Visiting Country of Origin</w:t>
      </w:r>
    </w:p>
    <w:p w14:paraId="7EEE2DF9"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4.8: Percentage of Participants Categorised by their Views on Whether Religious and Politics Views Have Influence on their Daily Life</w:t>
      </w:r>
    </w:p>
    <w:p w14:paraId="12669C66"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4.9: Percentage of Participants Categorized by the Frequency of Buying Certain Products</w:t>
      </w:r>
    </w:p>
    <w:p w14:paraId="058AC11C"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4.10: Percentage of Participants Categorized by Reasons for Buying Certain Products</w:t>
      </w:r>
    </w:p>
    <w:p w14:paraId="371F10A9"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4.11: Number of Participants Categorized by Factors for Brand Loyalty</w:t>
      </w:r>
    </w:p>
    <w:p w14:paraId="3DCEF3CB"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4.12: Percentage of Participants Categorized by How Often they Buy Products from Country of Origin</w:t>
      </w:r>
    </w:p>
    <w:p w14:paraId="476B88C3"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4.13: Percentage of Participants Categorized by How Easy they Switch Between Brands</w:t>
      </w:r>
    </w:p>
    <w:p w14:paraId="036A8EC3"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4.14: Percentage of Participants Categorized by Reasons for Switching Between Brands</w:t>
      </w:r>
    </w:p>
    <w:p w14:paraId="29F3943A"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4.15: Percentage of Participants Categorized by Reasons for Switching Between Brands</w:t>
      </w:r>
    </w:p>
    <w:p w14:paraId="008A3031"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4.16: Percentage of Participants Categorized by Whether Living Abroad Influenced Participants’ Buying Habits</w:t>
      </w:r>
    </w:p>
    <w:p w14:paraId="50678757"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4.17: Percentage of Participants Categorized by Boycotting Participation</w:t>
      </w:r>
      <w:r w:rsidRPr="00BE5DAB">
        <w:rPr>
          <w:rFonts w:ascii="Times New Roman" w:eastAsia="Calibri" w:hAnsi="Times New Roman" w:cs="Times New Roman"/>
          <w:sz w:val="20"/>
          <w:szCs w:val="20"/>
        </w:rPr>
        <w:tab/>
      </w:r>
    </w:p>
    <w:p w14:paraId="2EBFEFA5"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4.18: Percentage of Participants Categorized by Reasons for Boycotting a Brand</w:t>
      </w:r>
    </w:p>
    <w:p w14:paraId="1459667C"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4.19: Percentage of Participants Categorized by the Influence of Political/Religious views on Participants' Consumer Behaviour</w:t>
      </w:r>
    </w:p>
    <w:p w14:paraId="44BD58D8" w14:textId="77777777" w:rsidR="00BE5DAB" w:rsidRPr="00BE5DAB" w:rsidRDefault="00BE5DAB" w:rsidP="00BE5DAB">
      <w:pPr>
        <w:spacing w:line="240" w:lineRule="auto"/>
        <w:jc w:val="both"/>
        <w:rPr>
          <w:rFonts w:ascii="Times New Roman" w:eastAsia="Calibri" w:hAnsi="Times New Roman" w:cs="Times New Roman"/>
          <w:sz w:val="20"/>
          <w:szCs w:val="20"/>
        </w:rPr>
      </w:pPr>
      <w:r w:rsidRPr="00BE5DAB">
        <w:rPr>
          <w:rFonts w:ascii="Times New Roman" w:eastAsia="Calibri" w:hAnsi="Times New Roman" w:cs="Times New Roman"/>
          <w:sz w:val="20"/>
          <w:szCs w:val="20"/>
        </w:rPr>
        <w:t>Figure 4.20: Percentage of Participants Categorized by Influence of Political/Religious Views on Consumer Behaviour</w:t>
      </w:r>
    </w:p>
    <w:p w14:paraId="2F064058"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DDF3CB3"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8285281"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DF1F089"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5A59129"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5BBEA01E"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B119104"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BF5126F"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3D0E6D7"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3034C0FD"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2DC7F8D" w14:textId="77777777" w:rsidR="00BE5DAB" w:rsidRPr="00BE5DAB" w:rsidRDefault="00BE5DAB" w:rsidP="00BE5DAB">
      <w:pPr>
        <w:spacing w:before="14" w:after="14" w:line="360" w:lineRule="auto"/>
        <w:jc w:val="center"/>
        <w:outlineLvl w:val="1"/>
        <w:rPr>
          <w:rFonts w:ascii="Times New Roman" w:eastAsia="Calibri" w:hAnsi="Times New Roman" w:cs="Times New Roman"/>
          <w:b/>
          <w:bCs/>
          <w:sz w:val="28"/>
          <w:szCs w:val="28"/>
        </w:rPr>
      </w:pPr>
      <w:r w:rsidRPr="00BE5DAB">
        <w:rPr>
          <w:rFonts w:ascii="Times New Roman" w:eastAsia="Calibri" w:hAnsi="Times New Roman" w:cs="Times New Roman"/>
          <w:b/>
          <w:bCs/>
          <w:sz w:val="28"/>
          <w:szCs w:val="28"/>
        </w:rPr>
        <w:t>Abstract</w:t>
      </w:r>
    </w:p>
    <w:p w14:paraId="101635AB" w14:textId="77777777" w:rsidR="00BE5DAB" w:rsidRPr="00BE5DAB" w:rsidRDefault="00BE5DAB" w:rsidP="00BE5DAB">
      <w:pPr>
        <w:widowControl w:val="0"/>
        <w:autoSpaceDE w:val="0"/>
        <w:autoSpaceDN w:val="0"/>
        <w:spacing w:before="5" w:after="0" w:line="360" w:lineRule="auto"/>
        <w:ind w:rightChars="-446" w:right="-981"/>
        <w:jc w:val="both"/>
        <w:rPr>
          <w:rFonts w:ascii="Times New Roman" w:eastAsia="Cambria" w:hAnsi="Times New Roman" w:cs="Times New Roman"/>
          <w:sz w:val="21"/>
          <w:szCs w:val="24"/>
        </w:rPr>
      </w:pPr>
    </w:p>
    <w:p w14:paraId="3F1594E6"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Boycotting products/brands negatively influence </w:t>
      </w:r>
      <w:proofErr w:type="gramStart"/>
      <w:r w:rsidRPr="00BE5DAB">
        <w:rPr>
          <w:rFonts w:ascii="Times New Roman" w:eastAsia="SimSun" w:hAnsi="Times New Roman" w:cs="Times New Roman"/>
          <w:sz w:val="24"/>
          <w:szCs w:val="24"/>
          <w:lang w:eastAsia="zh-CN"/>
        </w:rPr>
        <w:t>them</w:t>
      </w:r>
      <w:proofErr w:type="gramEnd"/>
      <w:r w:rsidRPr="00BE5DAB">
        <w:rPr>
          <w:rFonts w:ascii="Times New Roman" w:eastAsia="SimSun" w:hAnsi="Times New Roman" w:cs="Times New Roman"/>
          <w:sz w:val="24"/>
          <w:szCs w:val="24"/>
          <w:lang w:eastAsia="zh-CN"/>
        </w:rPr>
        <w:t xml:space="preserve"> and it can lead some of them to lose market share or even shut down for good in extreme cases. Additionally, market competition and small differences between products reduced consumer loyalty towards </w:t>
      </w:r>
      <w:proofErr w:type="gramStart"/>
      <w:r w:rsidRPr="00BE5DAB">
        <w:rPr>
          <w:rFonts w:ascii="Times New Roman" w:eastAsia="SimSun" w:hAnsi="Times New Roman" w:cs="Times New Roman"/>
          <w:sz w:val="24"/>
          <w:szCs w:val="24"/>
          <w:lang w:eastAsia="zh-CN"/>
        </w:rPr>
        <w:t>products/brands generally speaking</w:t>
      </w:r>
      <w:proofErr w:type="gramEnd"/>
      <w:r w:rsidRPr="00BE5DAB">
        <w:rPr>
          <w:rFonts w:ascii="Times New Roman" w:eastAsia="SimSun" w:hAnsi="Times New Roman" w:cs="Times New Roman"/>
          <w:sz w:val="24"/>
          <w:szCs w:val="24"/>
          <w:lang w:eastAsia="zh-CN"/>
        </w:rPr>
        <w:t>.</w:t>
      </w:r>
    </w:p>
    <w:p w14:paraId="39FE02BD"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The number of Arabs who live in London is growing and therefore, they hold a purchasing power that can influence products/brands in a negative/positive manner. Therefore, it is critical to study this spectrum of sub-society and sub-culture. </w:t>
      </w:r>
    </w:p>
    <w:p w14:paraId="60BBD590"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This study seeks to study this spectrum of London society and identify the reasons that lead them to boycott products/brands. To achieve the aim of this study, a qualitative approach was applied to identify reasons for boycotting products/brands and the influence of boycotting on the loyalty level of Arab consumers. Forty-six Arab consumers participated in this study who belong to different genders, religions, age categories, and countries of origin.</w:t>
      </w:r>
    </w:p>
    <w:p w14:paraId="20FCEB67"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The outcomes of this study show that Arab consumers who live in London do not have strong attachments to certain brands and therefore, loyalty level is not strong. However, the availability of products plays a large role in consumer behaviour. This suggests that products/brands who want to compete in markets/areas that are dominated by Arab consumers must keep a strong supply of their products. In addition, the quality and taste of products must match Arab consumers’ expectations as they are also considered strong factors that drive the behaviour of Arab consumers.</w:t>
      </w:r>
    </w:p>
    <w:p w14:paraId="21DF8C16"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Most of the participants in this study have boycotted products/brands before, and all of them are willing to boycott brands if necessary. The lack of strong loyalty sense for products/brands along with any reasons that Arab consumers consider reasonable for boycotting provides insight on Arab consumer behaviour in London. </w:t>
      </w:r>
    </w:p>
    <w:p w14:paraId="180DEE47" w14:textId="77777777" w:rsidR="00BE5DAB" w:rsidRPr="00BE5DAB" w:rsidRDefault="00BE5DAB" w:rsidP="00BE5DAB">
      <w:pPr>
        <w:autoSpaceDE w:val="0"/>
        <w:autoSpaceDN w:val="0"/>
        <w:spacing w:after="0" w:line="240" w:lineRule="auto"/>
        <w:jc w:val="both"/>
        <w:rPr>
          <w:rFonts w:ascii="Times New Roman" w:eastAsia="SimSun" w:hAnsi="Times New Roman" w:cs="Times New Roman"/>
          <w:sz w:val="24"/>
          <w:szCs w:val="24"/>
          <w:lang w:eastAsia="zh-CN"/>
        </w:rPr>
      </w:pPr>
    </w:p>
    <w:p w14:paraId="697ADBCD"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94F48A7"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1A2E7D6"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41A4ED49"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6F2FDC9D"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1A2F5DBC"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262BC1F3"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77BC5A25"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b/>
          <w:bCs/>
          <w:sz w:val="24"/>
          <w:szCs w:val="24"/>
          <w:lang w:eastAsia="zh-CN" w:bidi="ar"/>
        </w:rPr>
      </w:pPr>
    </w:p>
    <w:p w14:paraId="0FDB399A" w14:textId="77777777" w:rsidR="00BE5DAB" w:rsidRPr="00BE5DAB" w:rsidRDefault="00BE5DAB" w:rsidP="00BE5DAB">
      <w:pPr>
        <w:spacing w:line="360" w:lineRule="auto"/>
        <w:jc w:val="center"/>
        <w:rPr>
          <w:rFonts w:ascii="Times New Roman" w:eastAsia="SimSun" w:hAnsi="Times New Roman" w:cs="Times New Roman"/>
          <w:b/>
          <w:bCs/>
          <w:sz w:val="28"/>
          <w:szCs w:val="28"/>
          <w:lang w:eastAsia="zh-CN" w:bidi="ar"/>
        </w:rPr>
      </w:pPr>
      <w:r w:rsidRPr="00BE5DAB">
        <w:rPr>
          <w:rFonts w:ascii="Times New Roman" w:eastAsia="SimSun" w:hAnsi="Times New Roman" w:cs="Times New Roman"/>
          <w:b/>
          <w:bCs/>
          <w:sz w:val="28"/>
          <w:szCs w:val="28"/>
          <w:lang w:eastAsia="zh-CN" w:bidi="ar"/>
        </w:rPr>
        <w:t>Chapter One: Introduction</w:t>
      </w:r>
    </w:p>
    <w:p w14:paraId="683D7BAB" w14:textId="77777777" w:rsidR="00BE5DAB" w:rsidRPr="00BE5DAB" w:rsidRDefault="00BE5DAB" w:rsidP="00BE5DAB">
      <w:pPr>
        <w:numPr>
          <w:ilvl w:val="1"/>
          <w:numId w:val="2"/>
        </w:numPr>
        <w:spacing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Background of this Research</w:t>
      </w:r>
    </w:p>
    <w:p w14:paraId="19BE4E34"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sz w:val="24"/>
          <w:szCs w:val="24"/>
          <w:lang w:eastAsia="zh-CN"/>
        </w:rPr>
        <w:t>The definition of the term ''Consumer Behaviour'' is ''</w:t>
      </w:r>
      <w:r w:rsidRPr="00BE5DAB">
        <w:rPr>
          <w:rFonts w:ascii="Times New Roman" w:eastAsia="SimSun" w:hAnsi="Times New Roman" w:cs="Times New Roman"/>
          <w:i/>
          <w:iCs/>
          <w:sz w:val="24"/>
          <w:szCs w:val="24"/>
          <w:lang w:eastAsia="zh-CN"/>
        </w:rPr>
        <w:t>the activities people undertake when obtaining, consuming, and disposing of products and services</w:t>
      </w:r>
      <w:r w:rsidRPr="00BE5DAB">
        <w:rPr>
          <w:rFonts w:ascii="Times New Roman" w:eastAsia="SimSun" w:hAnsi="Times New Roman" w:cs="Times New Roman"/>
          <w:sz w:val="24"/>
          <w:szCs w:val="24"/>
          <w:lang w:eastAsia="zh-CN"/>
        </w:rPr>
        <w:t>.'' (</w:t>
      </w:r>
      <w:proofErr w:type="spellStart"/>
      <w:r w:rsidRPr="00BE5DAB">
        <w:rPr>
          <w:rFonts w:ascii="Times New Roman" w:eastAsia="SimSun" w:hAnsi="Times New Roman" w:cs="Times New Roman"/>
          <w:sz w:val="24"/>
          <w:szCs w:val="24"/>
          <w:lang w:eastAsia="zh-CN"/>
        </w:rPr>
        <w:t>Andaleeb</w:t>
      </w:r>
      <w:proofErr w:type="spellEnd"/>
      <w:r w:rsidRPr="00BE5DAB">
        <w:rPr>
          <w:rFonts w:ascii="Times New Roman" w:eastAsia="SimSun" w:hAnsi="Times New Roman" w:cs="Times New Roman"/>
          <w:sz w:val="24"/>
          <w:szCs w:val="24"/>
          <w:lang w:eastAsia="zh-CN"/>
        </w:rPr>
        <w:t xml:space="preserve"> and </w:t>
      </w:r>
      <w:proofErr w:type="spellStart"/>
      <w:r w:rsidRPr="00BE5DAB">
        <w:rPr>
          <w:rFonts w:ascii="Times New Roman" w:eastAsia="SimSun" w:hAnsi="Times New Roman" w:cs="Times New Roman"/>
          <w:sz w:val="24"/>
          <w:szCs w:val="24"/>
          <w:lang w:eastAsia="zh-CN"/>
        </w:rPr>
        <w:t>Latiff</w:t>
      </w:r>
      <w:proofErr w:type="spellEnd"/>
      <w:r w:rsidRPr="00BE5DAB">
        <w:rPr>
          <w:rFonts w:ascii="Times New Roman" w:eastAsia="SimSun" w:hAnsi="Times New Roman" w:cs="Times New Roman"/>
          <w:sz w:val="24"/>
          <w:szCs w:val="24"/>
          <w:lang w:eastAsia="zh-CN"/>
        </w:rPr>
        <w:t xml:space="preserve">, 2016, P. 162). Studies have shown that purchase intention and consumer behaviour are affected by various factors, which can be divided into different factors, such as religious, social, cultural or any other demographic factors (e.g., Klein et al., 2004; </w:t>
      </w:r>
      <w:proofErr w:type="gramStart"/>
      <w:r w:rsidRPr="00BE5DAB">
        <w:rPr>
          <w:rFonts w:ascii="Times New Roman" w:eastAsia="SimSun" w:hAnsi="Times New Roman" w:cs="Times New Roman"/>
          <w:sz w:val="24"/>
          <w:szCs w:val="24"/>
          <w:lang w:eastAsia="zh-CN"/>
        </w:rPr>
        <w:t>Cant</w:t>
      </w:r>
      <w:proofErr w:type="gramEnd"/>
      <w:r w:rsidRPr="00BE5DAB">
        <w:rPr>
          <w:rFonts w:ascii="Times New Roman" w:eastAsia="SimSun" w:hAnsi="Times New Roman" w:cs="Times New Roman"/>
          <w:sz w:val="24"/>
          <w:szCs w:val="24"/>
          <w:lang w:eastAsia="zh-CN"/>
        </w:rPr>
        <w:t xml:space="preserve"> and Van Heerden, 2005; Ma et al., 2012; </w:t>
      </w:r>
      <w:proofErr w:type="spellStart"/>
      <w:r w:rsidRPr="00BE5DAB">
        <w:rPr>
          <w:rFonts w:ascii="Times New Roman" w:eastAsia="SimSun" w:hAnsi="Times New Roman" w:cs="Times New Roman"/>
          <w:sz w:val="24"/>
          <w:szCs w:val="24"/>
          <w:lang w:eastAsia="zh-CN"/>
        </w:rPr>
        <w:t>Gbadamosi</w:t>
      </w:r>
      <w:proofErr w:type="spellEnd"/>
      <w:r w:rsidRPr="00BE5DAB">
        <w:rPr>
          <w:rFonts w:ascii="Times New Roman" w:eastAsia="SimSun" w:hAnsi="Times New Roman" w:cs="Times New Roman"/>
          <w:sz w:val="24"/>
          <w:szCs w:val="24"/>
          <w:lang w:eastAsia="zh-CN"/>
        </w:rPr>
        <w:t>, 2017). Bukhari et al. (2020, p. 5) presented factors that influence consumer behaviour as follows</w:t>
      </w:r>
      <w:r w:rsidRPr="00BE5DAB">
        <w:rPr>
          <w:rFonts w:ascii="Times New Roman" w:eastAsia="SimSun" w:hAnsi="Times New Roman" w:cs="Times New Roman"/>
          <w:sz w:val="24"/>
          <w:szCs w:val="24"/>
          <w:lang w:eastAsia="zh-CN" w:bidi="ar"/>
        </w:rPr>
        <w:t>:</w:t>
      </w:r>
    </w:p>
    <w:p w14:paraId="34CAD6C4"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val="en-US" w:eastAsia="zh-CN"/>
        </w:rPr>
      </w:pPr>
    </w:p>
    <w:p w14:paraId="649DE7AE"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eastAsia="zh-CN"/>
        </w:rPr>
      </w:pPr>
      <w:r w:rsidRPr="00BE5DAB">
        <w:rPr>
          <w:rFonts w:ascii="Times New Roman" w:eastAsia="Cambria" w:hAnsi="Times New Roman" w:cs="Times New Roman"/>
          <w:sz w:val="20"/>
          <w:szCs w:val="20"/>
          <w:lang w:eastAsia="zh-CN"/>
        </w:rPr>
        <w:t>[there are]</w:t>
      </w:r>
      <w:r w:rsidRPr="00BE5DAB">
        <w:rPr>
          <w:rFonts w:ascii="Times New Roman" w:eastAsia="Cambria" w:hAnsi="Times New Roman" w:cs="Times New Roman"/>
          <w:i/>
          <w:iCs/>
          <w:sz w:val="20"/>
          <w:szCs w:val="20"/>
          <w:lang w:val="en-US" w:eastAsia="zh-CN"/>
        </w:rPr>
        <w:t xml:space="preserve"> several factors, which may influence consumers’ buying </w:t>
      </w:r>
      <w:proofErr w:type="spellStart"/>
      <w:r w:rsidRPr="00BE5DAB">
        <w:rPr>
          <w:rFonts w:ascii="Times New Roman" w:eastAsia="Cambria" w:hAnsi="Times New Roman" w:cs="Times New Roman"/>
          <w:i/>
          <w:iCs/>
          <w:sz w:val="20"/>
          <w:szCs w:val="20"/>
          <w:lang w:val="en-US" w:eastAsia="zh-CN"/>
        </w:rPr>
        <w:t>behaviour</w:t>
      </w:r>
      <w:proofErr w:type="spellEnd"/>
      <w:r w:rsidRPr="00BE5DAB">
        <w:rPr>
          <w:rFonts w:ascii="Times New Roman" w:eastAsia="Cambria" w:hAnsi="Times New Roman" w:cs="Times New Roman"/>
          <w:i/>
          <w:iCs/>
          <w:sz w:val="20"/>
          <w:szCs w:val="20"/>
          <w:lang w:val="en-US" w:eastAsia="zh-CN"/>
        </w:rPr>
        <w:t xml:space="preserve"> and their brand preferences for goods and services. Among these are cultural factors, social class, values and beliefs, interests, lifestyle, and personality. These factors are jointly referred to as psychographic variables, which play a considerable role in consumers’ preferences for products</w:t>
      </w:r>
    </w:p>
    <w:p w14:paraId="18CDED2F"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val="en-US" w:eastAsia="zh-CN"/>
        </w:rPr>
      </w:pPr>
    </w:p>
    <w:p w14:paraId="2F10D7ED"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sz w:val="24"/>
          <w:szCs w:val="24"/>
          <w:lang w:val="en-US" w:eastAsia="zh-CN"/>
        </w:rPr>
        <w:t xml:space="preserve">For instance, cultural factors have been tested, and research has found that cultural </w:t>
      </w:r>
      <w:r w:rsidRPr="00BE5DAB">
        <w:rPr>
          <w:rFonts w:ascii="Times New Roman" w:eastAsia="Cambria" w:hAnsi="Times New Roman" w:cs="Times New Roman"/>
          <w:sz w:val="24"/>
          <w:szCs w:val="24"/>
          <w:lang w:val="en-US" w:eastAsia="zh-CN"/>
        </w:rPr>
        <w:t xml:space="preserve">differences </w:t>
      </w:r>
      <w:r w:rsidRPr="00BE5DAB">
        <w:rPr>
          <w:rFonts w:ascii="Times New Roman" w:eastAsia="SimSun" w:hAnsi="Times New Roman" w:cs="Times New Roman"/>
          <w:sz w:val="24"/>
          <w:szCs w:val="24"/>
          <w:lang w:val="en-US" w:eastAsia="zh-CN"/>
        </w:rPr>
        <w:t xml:space="preserve">affect consumers’ perceptions of products/brands (Sung and </w:t>
      </w:r>
      <w:proofErr w:type="spellStart"/>
      <w:r w:rsidRPr="00BE5DAB">
        <w:rPr>
          <w:rFonts w:ascii="Times New Roman" w:eastAsia="SimSun" w:hAnsi="Times New Roman" w:cs="Times New Roman"/>
          <w:sz w:val="24"/>
          <w:szCs w:val="24"/>
          <w:lang w:val="en-US" w:eastAsia="zh-CN"/>
        </w:rPr>
        <w:t>Tinkham</w:t>
      </w:r>
      <w:proofErr w:type="spellEnd"/>
      <w:r w:rsidRPr="00BE5DAB">
        <w:rPr>
          <w:rFonts w:ascii="Times New Roman" w:eastAsia="SimSun" w:hAnsi="Times New Roman" w:cs="Times New Roman"/>
          <w:sz w:val="24"/>
          <w:szCs w:val="24"/>
          <w:lang w:val="en-US" w:eastAsia="zh-CN"/>
        </w:rPr>
        <w:t>, 2005). Culture has a direct effect on how consumers evaluate the quality of a company's brand or service (</w:t>
      </w:r>
      <w:proofErr w:type="spellStart"/>
      <w:r w:rsidRPr="00BE5DAB">
        <w:rPr>
          <w:rFonts w:ascii="Times New Roman" w:eastAsia="SimSun" w:hAnsi="Times New Roman" w:cs="Times New Roman"/>
          <w:sz w:val="24"/>
          <w:szCs w:val="24"/>
          <w:lang w:val="en-US" w:eastAsia="zh-CN"/>
        </w:rPr>
        <w:t>Malai</w:t>
      </w:r>
      <w:proofErr w:type="spellEnd"/>
      <w:r w:rsidRPr="00BE5DAB">
        <w:rPr>
          <w:rFonts w:ascii="Times New Roman" w:eastAsia="SimSun" w:hAnsi="Times New Roman" w:cs="Times New Roman"/>
          <w:sz w:val="24"/>
          <w:szCs w:val="24"/>
          <w:lang w:val="en-US" w:eastAsia="zh-CN"/>
        </w:rPr>
        <w:t xml:space="preserve"> and </w:t>
      </w:r>
      <w:proofErr w:type="spellStart"/>
      <w:r w:rsidRPr="00BE5DAB">
        <w:rPr>
          <w:rFonts w:ascii="Times New Roman" w:eastAsia="SimSun" w:hAnsi="Times New Roman" w:cs="Times New Roman"/>
          <w:sz w:val="24"/>
          <w:szCs w:val="24"/>
          <w:lang w:val="en-US" w:eastAsia="zh-CN"/>
        </w:rPr>
        <w:t>Speece</w:t>
      </w:r>
      <w:proofErr w:type="spellEnd"/>
      <w:r w:rsidRPr="00BE5DAB">
        <w:rPr>
          <w:rFonts w:ascii="Times New Roman" w:eastAsia="SimSun" w:hAnsi="Times New Roman" w:cs="Times New Roman"/>
          <w:sz w:val="24"/>
          <w:szCs w:val="24"/>
          <w:lang w:val="en-US" w:eastAsia="zh-CN"/>
        </w:rPr>
        <w:t xml:space="preserve">, 2005). </w:t>
      </w:r>
      <w:r w:rsidRPr="00BE5DAB">
        <w:rPr>
          <w:rFonts w:ascii="Times New Roman" w:eastAsia="SimSun" w:hAnsi="Times New Roman" w:cs="Times New Roman"/>
          <w:sz w:val="24"/>
          <w:szCs w:val="24"/>
          <w:lang w:eastAsia="zh-CN"/>
        </w:rPr>
        <w:t xml:space="preserve">Customer </w:t>
      </w:r>
      <w:r w:rsidRPr="00BE5DAB">
        <w:rPr>
          <w:rFonts w:ascii="Times New Roman" w:eastAsia="SimSun" w:hAnsi="Times New Roman" w:cs="Times New Roman"/>
          <w:sz w:val="24"/>
          <w:szCs w:val="24"/>
          <w:lang w:val="en-US" w:eastAsia="zh-CN"/>
        </w:rPr>
        <w:t>values are the result of ethnicity and the culture of society. Their significance to any consumer varies with economic and cultural conditions (Klein</w:t>
      </w:r>
      <w:r w:rsidRPr="00BE5DAB">
        <w:rPr>
          <w:rFonts w:ascii="Times New Roman" w:eastAsia="SimSun" w:hAnsi="Times New Roman" w:cs="Times New Roman"/>
          <w:sz w:val="24"/>
          <w:szCs w:val="24"/>
          <w:lang w:val="en-US" w:eastAsia="zh-CN" w:bidi="ar"/>
        </w:rPr>
        <w:t xml:space="preserve"> et al., 200</w:t>
      </w:r>
      <w:r w:rsidRPr="00BE5DAB">
        <w:rPr>
          <w:rFonts w:ascii="Times New Roman" w:eastAsia="SimSun" w:hAnsi="Times New Roman" w:cs="Times New Roman"/>
          <w:sz w:val="24"/>
          <w:szCs w:val="24"/>
          <w:lang w:eastAsia="zh-CN" w:bidi="ar"/>
        </w:rPr>
        <w:t>4</w:t>
      </w:r>
      <w:r w:rsidRPr="00BE5DAB">
        <w:rPr>
          <w:rFonts w:ascii="Times New Roman" w:eastAsia="SimSun" w:hAnsi="Times New Roman" w:cs="Times New Roman"/>
          <w:sz w:val="24"/>
          <w:szCs w:val="24"/>
          <w:lang w:val="en-US" w:eastAsia="zh-CN"/>
        </w:rPr>
        <w:t xml:space="preserve">). Therefore, their influence on consumer </w:t>
      </w:r>
      <w:proofErr w:type="spellStart"/>
      <w:r w:rsidRPr="00BE5DAB">
        <w:rPr>
          <w:rFonts w:ascii="Times New Roman" w:eastAsia="SimSun" w:hAnsi="Times New Roman" w:cs="Times New Roman"/>
          <w:sz w:val="24"/>
          <w:szCs w:val="24"/>
          <w:lang w:val="en-US" w:eastAsia="zh-CN"/>
        </w:rPr>
        <w:t>behaviour</w:t>
      </w:r>
      <w:proofErr w:type="spellEnd"/>
      <w:r w:rsidRPr="00BE5DAB">
        <w:rPr>
          <w:rFonts w:ascii="Times New Roman" w:eastAsia="SimSun" w:hAnsi="Times New Roman" w:cs="Times New Roman"/>
          <w:sz w:val="24"/>
          <w:szCs w:val="24"/>
          <w:lang w:val="en-US" w:eastAsia="zh-CN"/>
        </w:rPr>
        <w:t xml:space="preserve"> varies from one country/region to another</w:t>
      </w:r>
      <w:r w:rsidRPr="00BE5DAB">
        <w:rPr>
          <w:rFonts w:ascii="Times New Roman" w:eastAsia="SimSun" w:hAnsi="Times New Roman" w:cs="Times New Roman"/>
          <w:sz w:val="24"/>
          <w:szCs w:val="24"/>
          <w:lang w:val="en-US" w:eastAsia="zh-CN" w:bidi="ar"/>
        </w:rPr>
        <w:t xml:space="preserve">. </w:t>
      </w:r>
      <w:proofErr w:type="spellStart"/>
      <w:r w:rsidRPr="00BE5DAB">
        <w:rPr>
          <w:rFonts w:ascii="Times New Roman" w:eastAsia="SimSun" w:hAnsi="Times New Roman" w:cs="Times New Roman"/>
          <w:sz w:val="24"/>
          <w:szCs w:val="24"/>
          <w:lang w:val="en-US" w:eastAsia="zh-CN"/>
        </w:rPr>
        <w:t>Andaleeb</w:t>
      </w:r>
      <w:proofErr w:type="spellEnd"/>
      <w:r w:rsidRPr="00BE5DAB">
        <w:rPr>
          <w:rFonts w:ascii="Times New Roman" w:eastAsia="SimSun" w:hAnsi="Times New Roman" w:cs="Times New Roman"/>
          <w:sz w:val="24"/>
          <w:szCs w:val="24"/>
          <w:lang w:val="en-US" w:eastAsia="zh-CN"/>
        </w:rPr>
        <w:t xml:space="preserve"> and </w:t>
      </w:r>
      <w:proofErr w:type="spellStart"/>
      <w:r w:rsidRPr="00BE5DAB">
        <w:rPr>
          <w:rFonts w:ascii="Times New Roman" w:eastAsia="SimSun" w:hAnsi="Times New Roman" w:cs="Times New Roman"/>
          <w:sz w:val="24"/>
          <w:szCs w:val="24"/>
          <w:lang w:val="en-US" w:eastAsia="zh-CN"/>
        </w:rPr>
        <w:t>Latiff</w:t>
      </w:r>
      <w:proofErr w:type="spellEnd"/>
      <w:r w:rsidRPr="00BE5DAB">
        <w:rPr>
          <w:rFonts w:ascii="Times New Roman" w:eastAsia="SimSun" w:hAnsi="Times New Roman" w:cs="Times New Roman"/>
          <w:sz w:val="24"/>
          <w:szCs w:val="24"/>
          <w:lang w:eastAsia="zh-CN"/>
        </w:rPr>
        <w:t xml:space="preserve"> (</w:t>
      </w:r>
      <w:r w:rsidRPr="00BE5DAB">
        <w:rPr>
          <w:rFonts w:ascii="Times New Roman" w:eastAsia="SimSun" w:hAnsi="Times New Roman" w:cs="Times New Roman"/>
          <w:sz w:val="24"/>
          <w:szCs w:val="24"/>
          <w:lang w:val="en-US" w:eastAsia="zh-CN"/>
        </w:rPr>
        <w:t>2016</w:t>
      </w:r>
      <w:r w:rsidRPr="00BE5DAB">
        <w:rPr>
          <w:rFonts w:ascii="Times New Roman" w:eastAsia="SimSun" w:hAnsi="Times New Roman" w:cs="Times New Roman"/>
          <w:sz w:val="24"/>
          <w:szCs w:val="24"/>
          <w:lang w:eastAsia="zh-CN"/>
        </w:rPr>
        <w:t>, p. 168</w:t>
      </w:r>
      <w:r w:rsidRPr="00BE5DAB">
        <w:rPr>
          <w:rFonts w:ascii="Times New Roman" w:eastAsia="SimSun" w:hAnsi="Times New Roman" w:cs="Times New Roman"/>
          <w:sz w:val="24"/>
          <w:szCs w:val="24"/>
          <w:lang w:val="en-US" w:eastAsia="zh-CN" w:bidi="ar"/>
        </w:rPr>
        <w:t xml:space="preserve">) </w:t>
      </w:r>
      <w:r w:rsidRPr="00BE5DAB">
        <w:rPr>
          <w:rFonts w:ascii="Times New Roman" w:eastAsia="SimSun" w:hAnsi="Times New Roman" w:cs="Times New Roman"/>
          <w:sz w:val="24"/>
          <w:szCs w:val="24"/>
          <w:lang w:eastAsia="zh-CN"/>
        </w:rPr>
        <w:t>presented the definition of culture and its influence on consumers as follows</w:t>
      </w:r>
      <w:r w:rsidRPr="00BE5DAB">
        <w:rPr>
          <w:rFonts w:ascii="Times New Roman" w:eastAsia="SimSun" w:hAnsi="Times New Roman" w:cs="Times New Roman"/>
          <w:sz w:val="24"/>
          <w:szCs w:val="24"/>
          <w:lang w:eastAsia="zh-CN" w:bidi="ar"/>
        </w:rPr>
        <w:t>:</w:t>
      </w:r>
    </w:p>
    <w:p w14:paraId="34386D40"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val="en-US" w:eastAsia="zh-CN"/>
        </w:rPr>
      </w:pPr>
    </w:p>
    <w:p w14:paraId="73C3F508"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eastAsia="zh-CN"/>
        </w:rPr>
      </w:pPr>
      <w:r w:rsidRPr="00BE5DAB">
        <w:rPr>
          <w:rFonts w:ascii="Times New Roman" w:eastAsia="Cambria" w:hAnsi="Times New Roman" w:cs="Times New Roman"/>
          <w:i/>
          <w:iCs/>
          <w:sz w:val="20"/>
          <w:szCs w:val="20"/>
          <w:lang w:val="en-US" w:eastAsia="zh-CN"/>
        </w:rPr>
        <w:t xml:space="preserve">Culture is defined as a set of </w:t>
      </w:r>
      <w:proofErr w:type="spellStart"/>
      <w:r w:rsidRPr="00BE5DAB">
        <w:rPr>
          <w:rFonts w:ascii="Times New Roman" w:eastAsia="Cambria" w:hAnsi="Times New Roman" w:cs="Times New Roman"/>
          <w:i/>
          <w:iCs/>
          <w:sz w:val="20"/>
          <w:szCs w:val="20"/>
          <w:lang w:val="en-US" w:eastAsia="zh-CN"/>
        </w:rPr>
        <w:t>behaviours</w:t>
      </w:r>
      <w:proofErr w:type="spellEnd"/>
      <w:r w:rsidRPr="00BE5DAB">
        <w:rPr>
          <w:rFonts w:ascii="Times New Roman" w:eastAsia="Cambria" w:hAnsi="Times New Roman" w:cs="Times New Roman"/>
          <w:i/>
          <w:iCs/>
          <w:sz w:val="20"/>
          <w:szCs w:val="20"/>
          <w:lang w:val="en-US" w:eastAsia="zh-CN"/>
        </w:rPr>
        <w:t xml:space="preserve">, norms, customs, beliefs, and values evident and followed by a set of a social group. It is part of the external influences that impact a consumer. The cultural expectations of a social group influence the </w:t>
      </w:r>
      <w:proofErr w:type="spellStart"/>
      <w:r w:rsidRPr="00BE5DAB">
        <w:rPr>
          <w:rFonts w:ascii="Times New Roman" w:eastAsia="Cambria" w:hAnsi="Times New Roman" w:cs="Times New Roman"/>
          <w:i/>
          <w:iCs/>
          <w:sz w:val="20"/>
          <w:szCs w:val="20"/>
          <w:lang w:val="en-US" w:eastAsia="zh-CN"/>
        </w:rPr>
        <w:t>behavioural</w:t>
      </w:r>
      <w:proofErr w:type="spellEnd"/>
      <w:r w:rsidRPr="00BE5DAB">
        <w:rPr>
          <w:rFonts w:ascii="Times New Roman" w:eastAsia="Cambria" w:hAnsi="Times New Roman" w:cs="Times New Roman"/>
          <w:i/>
          <w:iCs/>
          <w:sz w:val="20"/>
          <w:szCs w:val="20"/>
          <w:lang w:val="en-US" w:eastAsia="zh-CN"/>
        </w:rPr>
        <w:t xml:space="preserve"> and decision-making process of a consumer. Culture is a problematic issue for many marketers since it is inherently nebulous and often difficult to understand.</w:t>
      </w:r>
    </w:p>
    <w:p w14:paraId="3F9C2A5E"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val="en-US" w:eastAsia="zh-CN"/>
        </w:rPr>
      </w:pPr>
    </w:p>
    <w:p w14:paraId="651238BB"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lastRenderedPageBreak/>
        <w:t xml:space="preserve">Values also influence the demands of consumers; it also influences the choices of services or products (Klein et al., 2004). For companies operating on an international scale, comprehending the impact of these values on purchasing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is very important for developing effective and more culturally informative marketing strategies (Rose, 2009). </w:t>
      </w:r>
    </w:p>
    <w:p w14:paraId="07173CF2"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In society, consumers' purchase intentions are affected by their social relationships (</w:t>
      </w:r>
      <w:proofErr w:type="gramStart"/>
      <w:r w:rsidRPr="00BE5DAB">
        <w:rPr>
          <w:rFonts w:ascii="Times New Roman" w:eastAsia="Cambria" w:hAnsi="Times New Roman" w:cs="Times New Roman"/>
          <w:sz w:val="24"/>
          <w:szCs w:val="24"/>
          <w:lang w:val="en-US" w:eastAsia="zh-CN"/>
        </w:rPr>
        <w:t>i.e.</w:t>
      </w:r>
      <w:proofErr w:type="gramEnd"/>
      <w:r w:rsidRPr="00BE5DAB">
        <w:rPr>
          <w:rFonts w:ascii="Times New Roman" w:eastAsia="Cambria" w:hAnsi="Times New Roman" w:cs="Times New Roman"/>
          <w:sz w:val="24"/>
          <w:szCs w:val="24"/>
          <w:lang w:val="en-US" w:eastAsia="zh-CN"/>
        </w:rPr>
        <w:t xml:space="preserve"> social capital) which can be family members, </w:t>
      </w:r>
      <w:proofErr w:type="spellStart"/>
      <w:r w:rsidRPr="00BE5DAB">
        <w:rPr>
          <w:rFonts w:ascii="Times New Roman" w:eastAsia="Cambria" w:hAnsi="Times New Roman" w:cs="Times New Roman"/>
          <w:sz w:val="24"/>
          <w:szCs w:val="24"/>
          <w:lang w:val="en-US" w:eastAsia="zh-CN"/>
        </w:rPr>
        <w:t>neighbours</w:t>
      </w:r>
      <w:proofErr w:type="spellEnd"/>
      <w:r w:rsidRPr="00BE5DAB">
        <w:rPr>
          <w:rFonts w:ascii="Times New Roman" w:eastAsia="Cambria" w:hAnsi="Times New Roman" w:cs="Times New Roman"/>
          <w:sz w:val="24"/>
          <w:szCs w:val="24"/>
          <w:lang w:val="en-US" w:eastAsia="zh-CN"/>
        </w:rPr>
        <w:t>, friends, or colleagues. People also create their identities through consumption (</w:t>
      </w:r>
      <w:proofErr w:type="spellStart"/>
      <w:r w:rsidRPr="00BE5DAB">
        <w:rPr>
          <w:rFonts w:ascii="Times New Roman" w:eastAsia="Cambria" w:hAnsi="Times New Roman" w:cs="Times New Roman"/>
          <w:sz w:val="24"/>
          <w:szCs w:val="24"/>
          <w:lang w:val="en-US" w:eastAsia="zh-CN"/>
        </w:rPr>
        <w:t>Richins</w:t>
      </w:r>
      <w:proofErr w:type="spellEnd"/>
      <w:r w:rsidRPr="00BE5DAB">
        <w:rPr>
          <w:rFonts w:ascii="Times New Roman" w:eastAsia="Cambria" w:hAnsi="Times New Roman" w:cs="Times New Roman"/>
          <w:sz w:val="24"/>
          <w:szCs w:val="24"/>
          <w:lang w:val="en-US" w:eastAsia="zh-CN"/>
        </w:rPr>
        <w:t xml:space="preserve">, 1994). We are what we own and possess, as was pointed out by </w:t>
      </w:r>
      <w:proofErr w:type="spellStart"/>
      <w:r w:rsidRPr="00BE5DAB">
        <w:rPr>
          <w:rFonts w:ascii="Times New Roman" w:eastAsia="Cambria" w:hAnsi="Times New Roman" w:cs="Times New Roman"/>
          <w:sz w:val="24"/>
          <w:szCs w:val="24"/>
          <w:lang w:val="en-US" w:eastAsia="zh-CN"/>
        </w:rPr>
        <w:t>Yuksel</w:t>
      </w:r>
      <w:proofErr w:type="spellEnd"/>
      <w:r w:rsidRPr="00BE5DAB">
        <w:rPr>
          <w:rFonts w:ascii="Times New Roman" w:eastAsia="Cambria" w:hAnsi="Times New Roman" w:cs="Times New Roman"/>
          <w:sz w:val="24"/>
          <w:szCs w:val="24"/>
          <w:lang w:val="en-US" w:eastAsia="zh-CN"/>
        </w:rPr>
        <w:t xml:space="preserve"> (2013). Therefore, the property does serve social purposes. For instance, belonging to a certain group, or community, or family (White and Dahl, 2007). Furthermore, different social classes will also lead to changes in consumer decisions and purchases (Williams, 2002). There is a correlation between brand use and group membership (Williams, 2002). </w:t>
      </w:r>
    </w:p>
    <w:p w14:paraId="2189CFAE"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For instance, the research investigated the influence of the hostility between Jewish and Arab consumers towards foreign products (Rose et al., 2009). The research found that the kinship or internal group between Arab-Israelis and other Arabs can influence how they feel and the level of hostility towards the UK. If emotions within the group may trigger hostility towards a country, it can also trigger hostility towards the country's products.</w:t>
      </w:r>
    </w:p>
    <w:p w14:paraId="3EF10FCA"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Religion is one of the factors that influenced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for a long time (</w:t>
      </w:r>
      <w:proofErr w:type="spellStart"/>
      <w:r w:rsidRPr="00BE5DAB">
        <w:rPr>
          <w:rFonts w:ascii="Times New Roman" w:eastAsia="Cambria" w:hAnsi="Times New Roman" w:cs="Times New Roman"/>
          <w:sz w:val="24"/>
          <w:szCs w:val="24"/>
          <w:lang w:val="en-US" w:eastAsia="zh-CN"/>
        </w:rPr>
        <w:t>Delener</w:t>
      </w:r>
      <w:proofErr w:type="spellEnd"/>
      <w:r w:rsidRPr="00BE5DAB">
        <w:rPr>
          <w:rFonts w:ascii="Times New Roman" w:eastAsia="Cambria" w:hAnsi="Times New Roman" w:cs="Times New Roman"/>
          <w:sz w:val="24"/>
          <w:szCs w:val="24"/>
          <w:lang w:val="en-US" w:eastAsia="zh-CN"/>
        </w:rPr>
        <w:t>, 1990; Al-</w:t>
      </w:r>
      <w:proofErr w:type="spellStart"/>
      <w:r w:rsidRPr="00BE5DAB">
        <w:rPr>
          <w:rFonts w:ascii="Times New Roman" w:eastAsia="Cambria" w:hAnsi="Times New Roman" w:cs="Times New Roman"/>
          <w:sz w:val="24"/>
          <w:szCs w:val="24"/>
          <w:lang w:val="en-US" w:eastAsia="zh-CN"/>
        </w:rPr>
        <w:t>Hyari</w:t>
      </w:r>
      <w:proofErr w:type="spellEnd"/>
      <w:r w:rsidRPr="00BE5DAB">
        <w:rPr>
          <w:rFonts w:ascii="Times New Roman" w:eastAsia="Cambria" w:hAnsi="Times New Roman" w:cs="Times New Roman"/>
          <w:sz w:val="24"/>
          <w:szCs w:val="24"/>
          <w:lang w:val="en-US" w:eastAsia="zh-CN"/>
        </w:rPr>
        <w:t xml:space="preserve"> et al., 2012). Demographic factors (e.g., education level, gender, age) can also influence consumer </w:t>
      </w:r>
      <w:r w:rsidRPr="00BE5DAB">
        <w:rPr>
          <w:rFonts w:ascii="Times New Roman" w:eastAsia="Cambria" w:hAnsi="Times New Roman" w:cs="Times New Roman"/>
          <w:sz w:val="24"/>
          <w:szCs w:val="24"/>
          <w:lang w:eastAsia="zh-CN"/>
        </w:rPr>
        <w:t>behaviour</w:t>
      </w:r>
      <w:r w:rsidRPr="00BE5DAB">
        <w:rPr>
          <w:rFonts w:ascii="Times New Roman" w:eastAsia="Cambria" w:hAnsi="Times New Roman" w:cs="Times New Roman"/>
          <w:sz w:val="24"/>
          <w:szCs w:val="24"/>
          <w:lang w:val="en-US" w:eastAsia="zh-CN"/>
        </w:rPr>
        <w:t xml:space="preserve">. For instance, gender. Women tend to participate in consumer politics. However, it is not clear whether this is the case for female consumers from the Middle East or not. UN Women’s Executive Director Michel Bachelet’s speech for the UN Agency for the Promotion of Gender Equality and the Empowerment of Women on the issue of women’s empowerment in the Middle East in the year 2011 pointed out that the political participation of women in the Middle East is rising in the East (UN Women, 2011). </w:t>
      </w:r>
    </w:p>
    <w:p w14:paraId="40F7A075"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There are two extremes of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namely: consumer loyalty and boycott. The term "animosity" is defined "</w:t>
      </w:r>
      <w:r w:rsidRPr="00BE5DAB">
        <w:rPr>
          <w:rFonts w:ascii="Times New Roman" w:eastAsia="Cambria" w:hAnsi="Times New Roman" w:cs="Times New Roman"/>
          <w:i/>
          <w:iCs/>
          <w:sz w:val="24"/>
          <w:szCs w:val="24"/>
          <w:lang w:val="en-US" w:eastAsia="zh-CN"/>
        </w:rPr>
        <w:t>as the remains of antipathy toward a particular country associated with previous or current military, political or economic actions that the consumer finds hard to forget and forgive</w:t>
      </w:r>
      <w:r w:rsidRPr="00BE5DAB">
        <w:rPr>
          <w:rFonts w:ascii="Times New Roman" w:eastAsia="Cambria" w:hAnsi="Times New Roman" w:cs="Times New Roman"/>
          <w:sz w:val="24"/>
          <w:szCs w:val="24"/>
          <w:lang w:val="en-US" w:eastAsia="zh-CN"/>
        </w:rPr>
        <w:t xml:space="preserve">" (Klein et al., 1998 cited in Matic and Pub, 2011, p. 461), which led to adopting extreme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w:t>
      </w:r>
    </w:p>
    <w:p w14:paraId="76D38DCE"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The definition of "animosity" reveals that there are three influences that lead consumers to remember a certain country negatively. These influences are current or previous economic, political, or military actions. </w:t>
      </w:r>
    </w:p>
    <w:p w14:paraId="2CF407DB"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lastRenderedPageBreak/>
        <w:t xml:space="preserve">Although boycotts can influence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in a significant manner, most studies related to understanding the phenomenon of boycotting certain product/brand was done in the field of politics and </w:t>
      </w:r>
      <w:proofErr w:type="spellStart"/>
      <w:r w:rsidRPr="00BE5DAB">
        <w:rPr>
          <w:rFonts w:ascii="Times New Roman" w:eastAsia="Cambria" w:hAnsi="Times New Roman" w:cs="Times New Roman"/>
          <w:sz w:val="24"/>
          <w:szCs w:val="24"/>
          <w:lang w:val="en-US" w:eastAsia="zh-CN"/>
        </w:rPr>
        <w:t>organisational</w:t>
      </w:r>
      <w:proofErr w:type="spellEnd"/>
      <w:r w:rsidRPr="00BE5DAB">
        <w:rPr>
          <w:rFonts w:ascii="Times New Roman" w:eastAsia="Cambria" w:hAnsi="Times New Roman" w:cs="Times New Roman"/>
          <w:sz w:val="24"/>
          <w:szCs w:val="24"/>
          <w:lang w:val="en-US" w:eastAsia="zh-CN"/>
        </w:rPr>
        <w:t xml:space="preserve">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rather than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Al-</w:t>
      </w:r>
      <w:proofErr w:type="spellStart"/>
      <w:r w:rsidRPr="00BE5DAB">
        <w:rPr>
          <w:rFonts w:ascii="Times New Roman" w:eastAsia="Cambria" w:hAnsi="Times New Roman" w:cs="Times New Roman"/>
          <w:sz w:val="24"/>
          <w:szCs w:val="24"/>
          <w:lang w:val="en-US" w:eastAsia="zh-CN"/>
        </w:rPr>
        <w:t>Hyari</w:t>
      </w:r>
      <w:proofErr w:type="spellEnd"/>
      <w:r w:rsidRPr="00BE5DAB">
        <w:rPr>
          <w:rFonts w:ascii="Times New Roman" w:eastAsia="Cambria" w:hAnsi="Times New Roman" w:cs="Times New Roman"/>
          <w:sz w:val="24"/>
          <w:szCs w:val="24"/>
          <w:lang w:val="en-US" w:eastAsia="zh-CN"/>
        </w:rPr>
        <w:t xml:space="preserve"> et al. (2012, p. 156) highlighted this issue as follow:</w:t>
      </w:r>
    </w:p>
    <w:p w14:paraId="28DE2551"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eastAsia="zh-CN"/>
        </w:rPr>
      </w:pPr>
    </w:p>
    <w:p w14:paraId="6D4A5636"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r w:rsidRPr="00BE5DAB">
        <w:rPr>
          <w:rFonts w:ascii="Times New Roman" w:eastAsia="Cambria" w:hAnsi="Times New Roman" w:cs="Times New Roman"/>
          <w:i/>
          <w:iCs/>
          <w:sz w:val="20"/>
          <w:szCs w:val="20"/>
          <w:lang w:eastAsia="zh-CN"/>
        </w:rPr>
        <w:t xml:space="preserve">Most studies of boycotts and consumer behaviour towards foreign products have been conducted in industrialised countries, according to a study by </w:t>
      </w:r>
      <w:proofErr w:type="spellStart"/>
      <w:r w:rsidRPr="00BE5DAB">
        <w:rPr>
          <w:rFonts w:ascii="Times New Roman" w:eastAsia="Cambria" w:hAnsi="Times New Roman" w:cs="Times New Roman"/>
          <w:i/>
          <w:iCs/>
          <w:sz w:val="20"/>
          <w:szCs w:val="20"/>
          <w:lang w:eastAsia="zh-CN"/>
        </w:rPr>
        <w:t>Roseetal</w:t>
      </w:r>
      <w:proofErr w:type="spellEnd"/>
      <w:r w:rsidRPr="00BE5DAB">
        <w:rPr>
          <w:rFonts w:ascii="Times New Roman" w:eastAsia="Cambria" w:hAnsi="Times New Roman" w:cs="Times New Roman"/>
          <w:i/>
          <w:iCs/>
          <w:sz w:val="20"/>
          <w:szCs w:val="20"/>
          <w:lang w:eastAsia="zh-CN"/>
        </w:rPr>
        <w:t xml:space="preserve">. (2009) and Klein et al. (2004). </w:t>
      </w:r>
      <w:proofErr w:type="spellStart"/>
      <w:r w:rsidRPr="00BE5DAB">
        <w:rPr>
          <w:rFonts w:ascii="Times New Roman" w:eastAsia="Cambria" w:hAnsi="Times New Roman" w:cs="Times New Roman"/>
          <w:i/>
          <w:iCs/>
          <w:sz w:val="20"/>
          <w:szCs w:val="20"/>
          <w:lang w:eastAsia="zh-CN"/>
        </w:rPr>
        <w:t>Ettenson</w:t>
      </w:r>
      <w:proofErr w:type="spellEnd"/>
      <w:r w:rsidRPr="00BE5DAB">
        <w:rPr>
          <w:rFonts w:ascii="Times New Roman" w:eastAsia="Cambria" w:hAnsi="Times New Roman" w:cs="Times New Roman"/>
          <w:i/>
          <w:iCs/>
          <w:sz w:val="20"/>
          <w:szCs w:val="20"/>
          <w:lang w:eastAsia="zh-CN"/>
        </w:rPr>
        <w:t xml:space="preserve"> and Klein (2005) suggest that relevant research on consumer boycotts has surprisingly been paid much more attention by political science and organisational behaviour rather than the field of consumer behaviour. Therefore, </w:t>
      </w:r>
      <w:proofErr w:type="gramStart"/>
      <w:r w:rsidRPr="00BE5DAB">
        <w:rPr>
          <w:rFonts w:ascii="Times New Roman" w:eastAsia="Cambria" w:hAnsi="Times New Roman" w:cs="Times New Roman"/>
          <w:i/>
          <w:iCs/>
          <w:sz w:val="20"/>
          <w:szCs w:val="20"/>
          <w:lang w:eastAsia="zh-CN"/>
        </w:rPr>
        <w:t>religious</w:t>
      </w:r>
      <w:proofErr w:type="gramEnd"/>
      <w:r w:rsidRPr="00BE5DAB">
        <w:rPr>
          <w:rFonts w:ascii="Times New Roman" w:eastAsia="Cambria" w:hAnsi="Times New Roman" w:cs="Times New Roman"/>
          <w:i/>
          <w:iCs/>
          <w:sz w:val="20"/>
          <w:szCs w:val="20"/>
          <w:lang w:eastAsia="zh-CN"/>
        </w:rPr>
        <w:t xml:space="preserve"> and cultural </w:t>
      </w:r>
      <w:r w:rsidRPr="00BE5DAB">
        <w:rPr>
          <w:rFonts w:ascii="Times New Roman" w:eastAsia="Cambria" w:hAnsi="Times New Roman" w:cs="Times New Roman"/>
          <w:i/>
          <w:iCs/>
          <w:sz w:val="20"/>
          <w:szCs w:val="20"/>
          <w:lang w:val="en-US" w:eastAsia="zh-CN"/>
        </w:rPr>
        <w:t xml:space="preserve">issues </w:t>
      </w:r>
      <w:r w:rsidRPr="00BE5DAB">
        <w:rPr>
          <w:rFonts w:ascii="Times New Roman" w:eastAsia="Cambria" w:hAnsi="Times New Roman" w:cs="Times New Roman"/>
          <w:i/>
          <w:iCs/>
          <w:sz w:val="20"/>
          <w:szCs w:val="20"/>
          <w:lang w:eastAsia="zh-CN"/>
        </w:rPr>
        <w:t>have been ignored as major drivers to participate in foreign products boycotts.</w:t>
      </w:r>
    </w:p>
    <w:p w14:paraId="57DA41E3"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eastAsia="zh-CN"/>
        </w:rPr>
      </w:pPr>
    </w:p>
    <w:p w14:paraId="6B1E8D6F"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SimSun" w:hAnsi="Times New Roman" w:cs="Times New Roman"/>
          <w:sz w:val="24"/>
          <w:szCs w:val="24"/>
          <w:lang w:eastAsia="zh-CN"/>
        </w:rPr>
        <w:t>T</w:t>
      </w:r>
      <w:r w:rsidRPr="00BE5DAB">
        <w:rPr>
          <w:rFonts w:ascii="Times New Roman" w:eastAsia="Cambria" w:hAnsi="Times New Roman" w:cs="Times New Roman"/>
          <w:sz w:val="24"/>
          <w:szCs w:val="24"/>
          <w:lang w:val="en-US" w:eastAsia="zh-CN"/>
        </w:rPr>
        <w:t>he term ''consumer animosity'' is defined as "strong negative emotions toward purchasing products from a disliked nation or group". There are four different types of consumer animosity; these are stability (</w:t>
      </w:r>
      <w:proofErr w:type="gramStart"/>
      <w:r w:rsidRPr="00BE5DAB">
        <w:rPr>
          <w:rFonts w:ascii="Times New Roman" w:eastAsia="Cambria" w:hAnsi="Times New Roman" w:cs="Times New Roman"/>
          <w:sz w:val="24"/>
          <w:szCs w:val="24"/>
          <w:lang w:val="en-US" w:eastAsia="zh-CN"/>
        </w:rPr>
        <w:t>e.g.</w:t>
      </w:r>
      <w:proofErr w:type="gramEnd"/>
      <w:r w:rsidRPr="00BE5DAB">
        <w:rPr>
          <w:rFonts w:ascii="Times New Roman" w:eastAsia="Cambria" w:hAnsi="Times New Roman" w:cs="Times New Roman"/>
          <w:sz w:val="24"/>
          <w:szCs w:val="24"/>
          <w:lang w:val="en-US" w:eastAsia="zh-CN"/>
        </w:rPr>
        <w:t xml:space="preserve"> Israeli and Arab), context (Danish products and Muslim consumers), and individuals and countries (Ang et al., 2004). Governments and companies must understand the size of their targeted audiences; </w:t>
      </w:r>
      <w:proofErr w:type="gramStart"/>
      <w:r w:rsidRPr="00BE5DAB">
        <w:rPr>
          <w:rFonts w:ascii="Times New Roman" w:eastAsia="Cambria" w:hAnsi="Times New Roman" w:cs="Times New Roman"/>
          <w:sz w:val="24"/>
          <w:szCs w:val="24"/>
          <w:lang w:val="en-US" w:eastAsia="zh-CN"/>
        </w:rPr>
        <w:t>take into account</w:t>
      </w:r>
      <w:proofErr w:type="gramEnd"/>
      <w:r w:rsidRPr="00BE5DAB">
        <w:rPr>
          <w:rFonts w:ascii="Times New Roman" w:eastAsia="Cambria" w:hAnsi="Times New Roman" w:cs="Times New Roman"/>
          <w:sz w:val="24"/>
          <w:szCs w:val="24"/>
          <w:lang w:val="en-US" w:eastAsia="zh-CN"/>
        </w:rPr>
        <w:t xml:space="preserve"> the animosity of consumers when formulating marketing plans.</w:t>
      </w:r>
    </w:p>
    <w:p w14:paraId="0E24D1B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Middle Eastern consumers, in the early years of this century, have boycotted specific countries and brands due to political, religious, and cultural events. As mentioned before, religious beliefs affect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w:t>
      </w:r>
      <w:proofErr w:type="spellStart"/>
      <w:r w:rsidRPr="00BE5DAB">
        <w:rPr>
          <w:rFonts w:ascii="Times New Roman" w:eastAsia="Cambria" w:hAnsi="Times New Roman" w:cs="Times New Roman"/>
          <w:sz w:val="24"/>
          <w:szCs w:val="24"/>
          <w:lang w:val="en-US" w:eastAsia="zh-CN"/>
        </w:rPr>
        <w:t>Essoo</w:t>
      </w:r>
      <w:proofErr w:type="spellEnd"/>
      <w:r w:rsidRPr="00BE5DAB">
        <w:rPr>
          <w:rFonts w:ascii="Times New Roman" w:eastAsia="Cambria" w:hAnsi="Times New Roman" w:cs="Times New Roman"/>
          <w:sz w:val="24"/>
          <w:szCs w:val="24"/>
          <w:lang w:val="en-US" w:eastAsia="zh-CN"/>
        </w:rPr>
        <w:t xml:space="preserve"> and </w:t>
      </w:r>
      <w:proofErr w:type="spellStart"/>
      <w:r w:rsidRPr="00BE5DAB">
        <w:rPr>
          <w:rFonts w:ascii="Times New Roman" w:eastAsia="Cambria" w:hAnsi="Times New Roman" w:cs="Times New Roman"/>
          <w:sz w:val="24"/>
          <w:szCs w:val="24"/>
          <w:lang w:val="en-US" w:eastAsia="zh-CN"/>
        </w:rPr>
        <w:t>Dibb</w:t>
      </w:r>
      <w:proofErr w:type="spellEnd"/>
      <w:r w:rsidRPr="00BE5DAB">
        <w:rPr>
          <w:rFonts w:ascii="Times New Roman" w:eastAsia="Cambria" w:hAnsi="Times New Roman" w:cs="Times New Roman"/>
          <w:sz w:val="24"/>
          <w:szCs w:val="24"/>
          <w:lang w:val="en-US" w:eastAsia="zh-CN"/>
        </w:rPr>
        <w:t xml:space="preserve">, 2004). Therefore, religious hatred is likely to affect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towards target brands (Hoffmann et al., 2011), which explains the boycott of Danish products by Muslim consumers in the year 2006 (Maamoun and Agarwal, 2008). </w:t>
      </w:r>
    </w:p>
    <w:p w14:paraId="358E0CA8"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This type of extreme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is loyalty. Therefore, marketers and academics have shown great interest in consumer loyalty. This is not only because companies with more loyal consumers have a higher share of the market, which can be associated with a higher return on investment, as Jensen and Hansen (2006) argued. Moreover, loyal customers are cheaper to keep as studies suggest (e.g., Hu, 2011) and because the level of consumer loyalty can trigger positive ''word-of-mouth'', loyal customers are unlikely to consider turning to compete/other brands. </w:t>
      </w:r>
    </w:p>
    <w:p w14:paraId="25886532"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When buying a brand becomes a common process, brand loyalty is based on the taste or unique preference of the brand. However, it is not yet clear how much consumer resistance of all types can damage brand loyalty, and whether it will affect this habitual buying cycle or loyalty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(Datta, 2003; Lien-</w:t>
      </w:r>
      <w:proofErr w:type="spellStart"/>
      <w:r w:rsidRPr="00BE5DAB">
        <w:rPr>
          <w:rFonts w:ascii="Times New Roman" w:eastAsia="Cambria" w:hAnsi="Times New Roman" w:cs="Times New Roman"/>
          <w:sz w:val="24"/>
          <w:szCs w:val="24"/>
          <w:lang w:val="en-US" w:eastAsia="zh-CN"/>
        </w:rPr>
        <w:t>Ti</w:t>
      </w:r>
      <w:proofErr w:type="spellEnd"/>
      <w:r w:rsidRPr="00BE5DAB">
        <w:rPr>
          <w:rFonts w:ascii="Times New Roman" w:eastAsia="Cambria" w:hAnsi="Times New Roman" w:cs="Times New Roman"/>
          <w:sz w:val="24"/>
          <w:szCs w:val="24"/>
          <w:lang w:val="en-US" w:eastAsia="zh-CN"/>
        </w:rPr>
        <w:t xml:space="preserve"> and Yu-</w:t>
      </w:r>
      <w:proofErr w:type="spellStart"/>
      <w:r w:rsidRPr="00BE5DAB">
        <w:rPr>
          <w:rFonts w:ascii="Times New Roman" w:eastAsia="Cambria" w:hAnsi="Times New Roman" w:cs="Times New Roman"/>
          <w:sz w:val="24"/>
          <w:szCs w:val="24"/>
          <w:lang w:val="en-US" w:eastAsia="zh-CN"/>
        </w:rPr>
        <w:t>Chungh</w:t>
      </w:r>
      <w:proofErr w:type="spellEnd"/>
      <w:r w:rsidRPr="00BE5DAB">
        <w:rPr>
          <w:rFonts w:ascii="Times New Roman" w:eastAsia="Cambria" w:hAnsi="Times New Roman" w:cs="Times New Roman"/>
          <w:sz w:val="24"/>
          <w:szCs w:val="24"/>
          <w:lang w:val="en-US" w:eastAsia="zh-CN"/>
        </w:rPr>
        <w:t xml:space="preserve">, 2006). </w:t>
      </w:r>
    </w:p>
    <w:p w14:paraId="7C9EF2AC"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Successful brands generate profit and wealth by attracting </w:t>
      </w:r>
      <w:proofErr w:type="gramStart"/>
      <w:r w:rsidRPr="00BE5DAB">
        <w:rPr>
          <w:rFonts w:ascii="Times New Roman" w:eastAsia="Cambria" w:hAnsi="Times New Roman" w:cs="Times New Roman"/>
          <w:sz w:val="24"/>
          <w:szCs w:val="24"/>
          <w:lang w:val="en-US" w:eastAsia="zh-CN"/>
        </w:rPr>
        <w:t>and also</w:t>
      </w:r>
      <w:proofErr w:type="gramEnd"/>
      <w:r w:rsidRPr="00BE5DAB">
        <w:rPr>
          <w:rFonts w:ascii="Times New Roman" w:eastAsia="Cambria" w:hAnsi="Times New Roman" w:cs="Times New Roman"/>
          <w:sz w:val="24"/>
          <w:szCs w:val="24"/>
          <w:lang w:val="en-US" w:eastAsia="zh-CN"/>
        </w:rPr>
        <w:t xml:space="preserve"> retaining consumers (Doyle, 1994). There is no doubt that customer loyalty is always the asset of any enterprise. However, </w:t>
      </w:r>
      <w:r w:rsidRPr="00BE5DAB">
        <w:rPr>
          <w:rFonts w:ascii="Times New Roman" w:eastAsia="Cambria" w:hAnsi="Times New Roman" w:cs="Times New Roman"/>
          <w:sz w:val="24"/>
          <w:szCs w:val="24"/>
          <w:lang w:val="en-US" w:eastAsia="zh-CN"/>
        </w:rPr>
        <w:lastRenderedPageBreak/>
        <w:t xml:space="preserve">marketers are right to focus on rising rebranding trends due to product dissatisfaction, price, or the existence of new goods or alternative product(s) (Datta, 2003). </w:t>
      </w:r>
    </w:p>
    <w:p w14:paraId="78D0A392"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In addition, the decline in brand loyalty is not only because consumers tend to try new brands, but also because quality has become the standard for all brands and no longer is it a differentiating factor (Martinez-Lopez et al., 2015). </w:t>
      </w:r>
      <w:proofErr w:type="gramStart"/>
      <w:r w:rsidRPr="00BE5DAB">
        <w:rPr>
          <w:rFonts w:ascii="Times New Roman" w:eastAsia="Cambria" w:hAnsi="Times New Roman" w:cs="Times New Roman"/>
          <w:sz w:val="24"/>
          <w:szCs w:val="24"/>
          <w:lang w:val="en-US" w:eastAsia="zh-CN"/>
        </w:rPr>
        <w:t>So</w:t>
      </w:r>
      <w:proofErr w:type="gramEnd"/>
      <w:r w:rsidRPr="00BE5DAB">
        <w:rPr>
          <w:rFonts w:ascii="Times New Roman" w:eastAsia="Cambria" w:hAnsi="Times New Roman" w:cs="Times New Roman"/>
          <w:sz w:val="24"/>
          <w:szCs w:val="24"/>
          <w:lang w:val="en-US" w:eastAsia="zh-CN"/>
        </w:rPr>
        <w:t xml:space="preserve"> changing a brand involves low risk, because the younger generations have different views on brands, not just based on risk aversion and quality only. Moreover, </w:t>
      </w:r>
      <w:proofErr w:type="spellStart"/>
      <w:r w:rsidRPr="00BE5DAB">
        <w:rPr>
          <w:rFonts w:ascii="Times New Roman" w:eastAsia="Cambria" w:hAnsi="Times New Roman" w:cs="Times New Roman"/>
          <w:sz w:val="24"/>
          <w:szCs w:val="24"/>
          <w:lang w:val="en-US" w:eastAsia="zh-CN"/>
        </w:rPr>
        <w:t>globalisation</w:t>
      </w:r>
      <w:proofErr w:type="spellEnd"/>
      <w:r w:rsidRPr="00BE5DAB">
        <w:rPr>
          <w:rFonts w:ascii="Times New Roman" w:eastAsia="Cambria" w:hAnsi="Times New Roman" w:cs="Times New Roman"/>
          <w:sz w:val="24"/>
          <w:szCs w:val="24"/>
          <w:lang w:val="en-US" w:eastAsia="zh-CN"/>
        </w:rPr>
        <w:t xml:space="preserve"> influenced the world, to the point that national borders continue to recede. For this reason, the number of </w:t>
      </w:r>
      <w:proofErr w:type="spellStart"/>
      <w:r w:rsidRPr="00BE5DAB">
        <w:rPr>
          <w:rFonts w:ascii="Times New Roman" w:eastAsia="Cambria" w:hAnsi="Times New Roman" w:cs="Times New Roman"/>
          <w:sz w:val="24"/>
          <w:szCs w:val="24"/>
          <w:lang w:val="en-US" w:eastAsia="zh-CN"/>
        </w:rPr>
        <w:t>organisations</w:t>
      </w:r>
      <w:proofErr w:type="spellEnd"/>
      <w:r w:rsidRPr="00BE5DAB">
        <w:rPr>
          <w:rFonts w:ascii="Times New Roman" w:eastAsia="Cambria" w:hAnsi="Times New Roman" w:cs="Times New Roman"/>
          <w:sz w:val="24"/>
          <w:szCs w:val="24"/>
          <w:lang w:val="en-US" w:eastAsia="zh-CN"/>
        </w:rPr>
        <w:t xml:space="preserve"> exploring expansion prospects abroad increases (</w:t>
      </w:r>
      <w:proofErr w:type="spellStart"/>
      <w:r w:rsidRPr="00BE5DAB">
        <w:rPr>
          <w:rFonts w:ascii="Times New Roman" w:eastAsia="Cambria" w:hAnsi="Times New Roman" w:cs="Times New Roman"/>
          <w:sz w:val="24"/>
          <w:szCs w:val="24"/>
          <w:lang w:val="en-US" w:eastAsia="zh-CN"/>
        </w:rPr>
        <w:t>Makarem</w:t>
      </w:r>
      <w:proofErr w:type="spellEnd"/>
      <w:r w:rsidRPr="00BE5DAB">
        <w:rPr>
          <w:rFonts w:ascii="Times New Roman" w:eastAsia="Cambria" w:hAnsi="Times New Roman" w:cs="Times New Roman"/>
          <w:sz w:val="24"/>
          <w:szCs w:val="24"/>
          <w:lang w:val="en-US" w:eastAsia="zh-CN"/>
        </w:rPr>
        <w:t xml:space="preserve"> and Jae, 2016). However, more and more people (consumers) are seeking to live far from their homeland (</w:t>
      </w:r>
      <w:proofErr w:type="spellStart"/>
      <w:r w:rsidRPr="00BE5DAB">
        <w:rPr>
          <w:rFonts w:ascii="Times New Roman" w:eastAsia="Cambria" w:hAnsi="Times New Roman" w:cs="Times New Roman"/>
          <w:sz w:val="24"/>
          <w:szCs w:val="24"/>
          <w:lang w:val="en-US" w:eastAsia="zh-CN"/>
        </w:rPr>
        <w:t>Sirkeci</w:t>
      </w:r>
      <w:proofErr w:type="spellEnd"/>
      <w:r w:rsidRPr="00BE5DAB">
        <w:rPr>
          <w:rFonts w:ascii="Times New Roman" w:eastAsia="Cambria" w:hAnsi="Times New Roman" w:cs="Times New Roman"/>
          <w:sz w:val="24"/>
          <w:szCs w:val="24"/>
          <w:lang w:val="en-US" w:eastAsia="zh-CN"/>
        </w:rPr>
        <w:t xml:space="preserve">, 2013). This study aims to examine the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of Middle Eastern consumers who </w:t>
      </w:r>
      <w:proofErr w:type="gramStart"/>
      <w:r w:rsidRPr="00BE5DAB">
        <w:rPr>
          <w:rFonts w:ascii="Times New Roman" w:eastAsia="Cambria" w:hAnsi="Times New Roman" w:cs="Times New Roman"/>
          <w:sz w:val="24"/>
          <w:szCs w:val="24"/>
          <w:lang w:val="en-US" w:eastAsia="zh-CN"/>
        </w:rPr>
        <w:t>are located in</w:t>
      </w:r>
      <w:proofErr w:type="gramEnd"/>
      <w:r w:rsidRPr="00BE5DAB">
        <w:rPr>
          <w:rFonts w:ascii="Times New Roman" w:eastAsia="Cambria" w:hAnsi="Times New Roman" w:cs="Times New Roman"/>
          <w:sz w:val="24"/>
          <w:szCs w:val="24"/>
          <w:lang w:val="en-US" w:eastAsia="zh-CN"/>
        </w:rPr>
        <w:t xml:space="preserve"> London and originally from the Middle East/Arab countries.</w:t>
      </w:r>
    </w:p>
    <w:p w14:paraId="7720183D"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254ED446" w14:textId="77777777" w:rsidR="00BE5DAB" w:rsidRPr="00BE5DAB" w:rsidRDefault="00BE5DAB" w:rsidP="00BE5DAB">
      <w:pPr>
        <w:widowControl w:val="0"/>
        <w:numPr>
          <w:ilvl w:val="1"/>
          <w:numId w:val="3"/>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Rationale of the Study</w:t>
      </w:r>
    </w:p>
    <w:p w14:paraId="5C323B7F"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Brand boycott is considered one of the serious threats that businesses could face (</w:t>
      </w:r>
      <w:proofErr w:type="spellStart"/>
      <w:r w:rsidRPr="00BE5DAB">
        <w:rPr>
          <w:rFonts w:ascii="Times New Roman" w:eastAsia="SimSun" w:hAnsi="Times New Roman" w:cs="Times New Roman"/>
          <w:sz w:val="24"/>
          <w:szCs w:val="24"/>
          <w:lang w:eastAsia="zh-CN"/>
        </w:rPr>
        <w:t>Diermeier</w:t>
      </w:r>
      <w:proofErr w:type="spellEnd"/>
      <w:r w:rsidRPr="00BE5DAB">
        <w:rPr>
          <w:rFonts w:ascii="Times New Roman" w:eastAsia="SimSun" w:hAnsi="Times New Roman" w:cs="Times New Roman"/>
          <w:sz w:val="24"/>
          <w:szCs w:val="24"/>
          <w:lang w:eastAsia="zh-CN"/>
        </w:rPr>
        <w:t xml:space="preserve">, 2012; </w:t>
      </w:r>
      <w:proofErr w:type="spellStart"/>
      <w:r w:rsidRPr="00BE5DAB">
        <w:rPr>
          <w:rFonts w:ascii="Times New Roman" w:eastAsia="SimSun" w:hAnsi="Times New Roman" w:cs="Times New Roman"/>
          <w:sz w:val="24"/>
          <w:szCs w:val="24"/>
          <w:lang w:eastAsia="zh-CN"/>
        </w:rPr>
        <w:t>Commetric</w:t>
      </w:r>
      <w:proofErr w:type="spellEnd"/>
      <w:r w:rsidRPr="00BE5DAB">
        <w:rPr>
          <w:rFonts w:ascii="Times New Roman" w:eastAsia="SimSun" w:hAnsi="Times New Roman" w:cs="Times New Roman"/>
          <w:sz w:val="24"/>
          <w:szCs w:val="24"/>
          <w:lang w:eastAsia="zh-CN"/>
        </w:rPr>
        <w:t>, 2019). This is the case as boycotts can hinder businesses from growing at the local and/or international level (Klein et al., 2004). Therefore, it is important to understand all aspects related to consumers to ensure that companies can predict the behaviour of their consumers or prospective consumers (</w:t>
      </w:r>
      <w:proofErr w:type="spellStart"/>
      <w:r w:rsidRPr="00BE5DAB">
        <w:rPr>
          <w:rFonts w:ascii="Times New Roman" w:eastAsia="SimSun" w:hAnsi="Times New Roman" w:cs="Times New Roman"/>
          <w:sz w:val="24"/>
          <w:szCs w:val="24"/>
          <w:lang w:eastAsia="zh-CN"/>
        </w:rPr>
        <w:t>Shankhdhar</w:t>
      </w:r>
      <w:proofErr w:type="spellEnd"/>
      <w:r w:rsidRPr="00BE5DAB">
        <w:rPr>
          <w:rFonts w:ascii="Times New Roman" w:eastAsia="SimSun" w:hAnsi="Times New Roman" w:cs="Times New Roman"/>
          <w:sz w:val="24"/>
          <w:szCs w:val="24"/>
          <w:lang w:eastAsia="zh-CN"/>
        </w:rPr>
        <w:t xml:space="preserve"> and Gupta, 2018). Many international companies face the threat of consumer boycott (John and Klein, 2003). In her article, </w:t>
      </w:r>
      <w:proofErr w:type="spellStart"/>
      <w:r w:rsidRPr="00BE5DAB">
        <w:rPr>
          <w:rFonts w:ascii="Times New Roman" w:eastAsia="SimSun" w:hAnsi="Times New Roman" w:cs="Times New Roman"/>
          <w:sz w:val="24"/>
          <w:szCs w:val="24"/>
          <w:lang w:eastAsia="zh-CN"/>
        </w:rPr>
        <w:t>Carlile</w:t>
      </w:r>
      <w:proofErr w:type="spellEnd"/>
      <w:r w:rsidRPr="00BE5DAB">
        <w:rPr>
          <w:rFonts w:ascii="Times New Roman" w:eastAsia="SimSun" w:hAnsi="Times New Roman" w:cs="Times New Roman"/>
          <w:sz w:val="24"/>
          <w:szCs w:val="24"/>
          <w:lang w:eastAsia="zh-CN"/>
        </w:rPr>
        <w:t xml:space="preserve"> (2021) listed some of the successful brand boycotts that happened in the past.</w:t>
      </w:r>
    </w:p>
    <w:p w14:paraId="0E216E93"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eastAsia="zh-CN"/>
        </w:rPr>
      </w:pPr>
      <w:r w:rsidRPr="00BE5DAB">
        <w:rPr>
          <w:rFonts w:ascii="Times New Roman" w:eastAsia="Cambria" w:hAnsi="Times New Roman" w:cs="Times New Roman"/>
          <w:sz w:val="24"/>
          <w:szCs w:val="24"/>
          <w:lang w:val="en-US" w:eastAsia="zh-CN"/>
        </w:rPr>
        <w:t xml:space="preserve">Although boycotts are significant for high management decisions, the research on the topic is not vast, Klein et al. (2004). But since the publishing of Klein et al.’s (2004) article, the literature related to boycotts has increased (e.g., Knudsen et al., 2008; Al- </w:t>
      </w:r>
      <w:proofErr w:type="spellStart"/>
      <w:r w:rsidRPr="00BE5DAB">
        <w:rPr>
          <w:rFonts w:ascii="Times New Roman" w:eastAsia="Cambria" w:hAnsi="Times New Roman" w:cs="Times New Roman"/>
          <w:sz w:val="24"/>
          <w:szCs w:val="24"/>
          <w:lang w:val="en-US" w:eastAsia="zh-CN"/>
        </w:rPr>
        <w:t>Hyari</w:t>
      </w:r>
      <w:proofErr w:type="spellEnd"/>
      <w:r w:rsidRPr="00BE5DAB">
        <w:rPr>
          <w:rFonts w:ascii="Times New Roman" w:eastAsia="Cambria" w:hAnsi="Times New Roman" w:cs="Times New Roman"/>
          <w:sz w:val="24"/>
          <w:szCs w:val="24"/>
          <w:lang w:val="en-US" w:eastAsia="zh-CN"/>
        </w:rPr>
        <w:t xml:space="preserve"> et al., 2012). This study adds further knowledge and contributes to the body of knowledge of consumer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through investigating the </w:t>
      </w:r>
      <w:proofErr w:type="spellStart"/>
      <w:r w:rsidRPr="00BE5DAB">
        <w:rPr>
          <w:rFonts w:ascii="Times New Roman" w:eastAsia="Cambria" w:hAnsi="Times New Roman" w:cs="Times New Roman"/>
          <w:sz w:val="24"/>
          <w:szCs w:val="24"/>
          <w:lang w:val="en-US" w:eastAsia="zh-CN"/>
        </w:rPr>
        <w:t>behaviour</w:t>
      </w:r>
      <w:proofErr w:type="spellEnd"/>
      <w:r w:rsidRPr="00BE5DAB">
        <w:rPr>
          <w:rFonts w:ascii="Times New Roman" w:eastAsia="Cambria" w:hAnsi="Times New Roman" w:cs="Times New Roman"/>
          <w:sz w:val="24"/>
          <w:szCs w:val="24"/>
          <w:lang w:val="en-US" w:eastAsia="zh-CN"/>
        </w:rPr>
        <w:t xml:space="preserve"> of Middle Eastern consumers living in London to identify the religious and social factors that lead them to boycott certain brands/shops. The study provides companies operating in London an insight into the reasons that may lead Arabs/Middle Easterners to boycott certain brands. Therefore, avoid them in case they want to win this spectrum of consumers in the long term.</w:t>
      </w:r>
    </w:p>
    <w:p w14:paraId="339BC569" w14:textId="77777777" w:rsidR="00BE5DAB" w:rsidRPr="00BE5DAB" w:rsidRDefault="00BE5DAB" w:rsidP="00BE5DAB">
      <w:pPr>
        <w:autoSpaceDE w:val="0"/>
        <w:autoSpaceDN w:val="0"/>
        <w:spacing w:after="0" w:line="360" w:lineRule="auto"/>
        <w:jc w:val="both"/>
        <w:rPr>
          <w:rFonts w:ascii="Times New Roman" w:eastAsia="SimSun" w:hAnsi="Times New Roman" w:cs="Times New Roman"/>
          <w:b/>
          <w:bCs/>
          <w:sz w:val="24"/>
          <w:szCs w:val="24"/>
          <w:lang w:eastAsia="zh-CN" w:bidi="ar"/>
        </w:rPr>
      </w:pPr>
    </w:p>
    <w:p w14:paraId="79F115F9" w14:textId="77777777" w:rsidR="00BE5DAB" w:rsidRPr="00BE5DAB" w:rsidRDefault="00BE5DAB" w:rsidP="00BE5DAB">
      <w:pPr>
        <w:widowControl w:val="0"/>
        <w:numPr>
          <w:ilvl w:val="1"/>
          <w:numId w:val="3"/>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Research Aims, Objectives, and Questions</w:t>
      </w:r>
    </w:p>
    <w:p w14:paraId="30E4E094" w14:textId="77777777" w:rsidR="00BE5DAB" w:rsidRPr="00BE5DAB" w:rsidRDefault="00BE5DAB" w:rsidP="00BE5DAB">
      <w:pPr>
        <w:widowControl w:val="0"/>
        <w:numPr>
          <w:ilvl w:val="2"/>
          <w:numId w:val="3"/>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Research Aim</w:t>
      </w:r>
    </w:p>
    <w:p w14:paraId="57884FA0" w14:textId="77777777" w:rsidR="00BE5DAB" w:rsidRPr="00BE5DAB" w:rsidRDefault="00BE5DAB" w:rsidP="00BE5DAB">
      <w:p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sz w:val="24"/>
          <w:szCs w:val="24"/>
          <w:lang w:eastAsia="zh-CN"/>
        </w:rPr>
        <w:lastRenderedPageBreak/>
        <w:t>This study seeks to identify the factors that lead Middle Eastern customers living in London to boycott certain products/brands.</w:t>
      </w:r>
    </w:p>
    <w:p w14:paraId="2363A05E" w14:textId="77777777" w:rsidR="00BE5DAB" w:rsidRPr="00BE5DAB" w:rsidRDefault="00BE5DAB" w:rsidP="00BE5DAB">
      <w:pPr>
        <w:autoSpaceDE w:val="0"/>
        <w:autoSpaceDN w:val="0"/>
        <w:spacing w:after="0" w:line="360" w:lineRule="auto"/>
        <w:jc w:val="both"/>
        <w:rPr>
          <w:rFonts w:ascii="Times New Roman" w:eastAsia="SimSun" w:hAnsi="Times New Roman" w:cs="Times New Roman"/>
          <w:b/>
          <w:bCs/>
          <w:sz w:val="24"/>
          <w:szCs w:val="24"/>
          <w:lang w:eastAsia="zh-CN" w:bidi="ar"/>
        </w:rPr>
      </w:pPr>
    </w:p>
    <w:p w14:paraId="400BF790" w14:textId="77777777" w:rsidR="00BE5DAB" w:rsidRPr="00BE5DAB" w:rsidRDefault="00BE5DAB" w:rsidP="00BE5DAB">
      <w:pPr>
        <w:widowControl w:val="0"/>
        <w:numPr>
          <w:ilvl w:val="2"/>
          <w:numId w:val="3"/>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Research Objectives</w:t>
      </w:r>
    </w:p>
    <w:p w14:paraId="262518BE"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Objective 1:</w:t>
      </w:r>
      <w:r w:rsidRPr="00BE5DAB">
        <w:rPr>
          <w:rFonts w:ascii="Times New Roman" w:eastAsia="SimSun" w:hAnsi="Times New Roman" w:cs="Times New Roman"/>
          <w:sz w:val="24"/>
          <w:szCs w:val="24"/>
          <w:lang w:eastAsia="zh-CN" w:bidi="ar"/>
        </w:rPr>
        <w:t xml:space="preserve"> Identify the factors that lead to the </w:t>
      </w:r>
      <w:r w:rsidRPr="00BE5DAB">
        <w:rPr>
          <w:rFonts w:ascii="Times New Roman" w:eastAsia="SimSun" w:hAnsi="Times New Roman" w:cs="Times New Roman"/>
          <w:sz w:val="24"/>
          <w:szCs w:val="24"/>
          <w:lang w:eastAsia="zh-CN"/>
        </w:rPr>
        <w:t xml:space="preserve">behaviour of </w:t>
      </w:r>
      <w:r w:rsidRPr="00BE5DAB">
        <w:rPr>
          <w:rFonts w:ascii="Times New Roman" w:eastAsia="SimSun" w:hAnsi="Times New Roman" w:cs="Times New Roman"/>
          <w:sz w:val="24"/>
          <w:szCs w:val="24"/>
          <w:lang w:eastAsia="zh-CN" w:bidi="ar"/>
        </w:rPr>
        <w:t>Middle Eastern customers living in London to build loyalty to certain brands.</w:t>
      </w:r>
    </w:p>
    <w:p w14:paraId="78330B29"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 xml:space="preserve">Objective 2: </w:t>
      </w:r>
      <w:r w:rsidRPr="00BE5DAB">
        <w:rPr>
          <w:rFonts w:ascii="Times New Roman" w:eastAsia="SimSun" w:hAnsi="Times New Roman" w:cs="Times New Roman"/>
          <w:sz w:val="24"/>
          <w:szCs w:val="24"/>
          <w:lang w:eastAsia="zh-CN" w:bidi="ar"/>
        </w:rPr>
        <w:t>Analyse the factors that lead Middle Eastern customers living in London to build animosity towards certain brands.</w:t>
      </w:r>
    </w:p>
    <w:p w14:paraId="59401170" w14:textId="77777777" w:rsidR="00BE5DAB" w:rsidRPr="00BE5DAB" w:rsidRDefault="00BE5DAB" w:rsidP="00BE5DAB">
      <w:pPr>
        <w:widowControl w:val="0"/>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 xml:space="preserve">Objective 3: </w:t>
      </w:r>
      <w:r w:rsidRPr="00BE5DAB">
        <w:rPr>
          <w:rFonts w:ascii="Times New Roman" w:eastAsia="SimSun" w:hAnsi="Times New Roman" w:cs="Times New Roman"/>
          <w:sz w:val="24"/>
          <w:szCs w:val="24"/>
          <w:lang w:eastAsia="zh-CN" w:bidi="ar"/>
        </w:rPr>
        <w:t>Investigate the factors that influence the buying behaviour of Middle Eastern consumers.</w:t>
      </w:r>
    </w:p>
    <w:p w14:paraId="09E9E51C"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6D071A77" w14:textId="77777777" w:rsidR="00BE5DAB" w:rsidRPr="00BE5DAB" w:rsidRDefault="00BE5DAB" w:rsidP="00BE5DAB">
      <w:pPr>
        <w:widowControl w:val="0"/>
        <w:numPr>
          <w:ilvl w:val="2"/>
          <w:numId w:val="3"/>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Research Questions</w:t>
      </w:r>
    </w:p>
    <w:p w14:paraId="448F4962"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 xml:space="preserve">Question 1: </w:t>
      </w:r>
      <w:r w:rsidRPr="00BE5DAB">
        <w:rPr>
          <w:rFonts w:ascii="Times New Roman" w:eastAsia="SimSun" w:hAnsi="Times New Roman" w:cs="Times New Roman"/>
          <w:sz w:val="24"/>
          <w:szCs w:val="24"/>
          <w:lang w:eastAsia="zh-CN" w:bidi="ar"/>
        </w:rPr>
        <w:t>What are the factors that lead Middle Eastern customers living in London to build loyalty to certain brands?</w:t>
      </w:r>
    </w:p>
    <w:p w14:paraId="47FEFBB5"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 xml:space="preserve">Question 2: </w:t>
      </w:r>
      <w:r w:rsidRPr="00BE5DAB">
        <w:rPr>
          <w:rFonts w:ascii="Times New Roman" w:eastAsia="SimSun" w:hAnsi="Times New Roman" w:cs="Times New Roman"/>
          <w:sz w:val="24"/>
          <w:szCs w:val="24"/>
          <w:lang w:eastAsia="zh-CN" w:bidi="ar"/>
        </w:rPr>
        <w:t>What are the factors that lead Middle Eastern customers living in London to build animosity towards certain brands?</w:t>
      </w:r>
    </w:p>
    <w:p w14:paraId="1C0B370E"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r w:rsidRPr="00BE5DAB">
        <w:rPr>
          <w:rFonts w:ascii="Times New Roman" w:eastAsia="SimSun" w:hAnsi="Times New Roman" w:cs="Times New Roman"/>
          <w:b/>
          <w:bCs/>
          <w:sz w:val="24"/>
          <w:szCs w:val="24"/>
          <w:lang w:eastAsia="zh-CN" w:bidi="ar"/>
        </w:rPr>
        <w:t xml:space="preserve">Question 3: </w:t>
      </w:r>
      <w:r w:rsidRPr="00BE5DAB">
        <w:rPr>
          <w:rFonts w:ascii="Times New Roman" w:eastAsia="SimSun" w:hAnsi="Times New Roman" w:cs="Times New Roman"/>
          <w:sz w:val="24"/>
          <w:szCs w:val="24"/>
          <w:lang w:eastAsia="zh-CN" w:bidi="ar"/>
        </w:rPr>
        <w:t>What are the factors that influence the buying behaviour of Middle Eastern consumers?</w:t>
      </w:r>
    </w:p>
    <w:p w14:paraId="754BE7EE"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7BF96298"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29486120"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58C2BE7F"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4212FEFB"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bidi="ar"/>
        </w:rPr>
      </w:pPr>
    </w:p>
    <w:p w14:paraId="6DCCABC9" w14:textId="77777777" w:rsidR="00BE5DAB" w:rsidRPr="00BE5DAB" w:rsidRDefault="00BE5DAB" w:rsidP="00BE5DAB">
      <w:pPr>
        <w:autoSpaceDE w:val="0"/>
        <w:autoSpaceDN w:val="0"/>
        <w:spacing w:after="0" w:line="360" w:lineRule="auto"/>
        <w:jc w:val="center"/>
        <w:rPr>
          <w:rFonts w:ascii="Times New Roman" w:eastAsia="SimSun" w:hAnsi="Times New Roman" w:cs="Times New Roman"/>
          <w:b/>
          <w:bCs/>
          <w:sz w:val="28"/>
          <w:szCs w:val="28"/>
          <w:lang w:val="en-US" w:eastAsia="en-GB" w:bidi="ar"/>
        </w:rPr>
      </w:pPr>
      <w:r w:rsidRPr="00BE5DAB">
        <w:rPr>
          <w:rFonts w:ascii="Times New Roman" w:eastAsia="SimSun" w:hAnsi="Times New Roman" w:cs="Times New Roman"/>
          <w:b/>
          <w:bCs/>
          <w:sz w:val="28"/>
          <w:szCs w:val="28"/>
          <w:lang w:val="en-US" w:eastAsia="en-GB" w:bidi="ar"/>
        </w:rPr>
        <w:t>Chapter Two: Literature Review</w:t>
      </w:r>
    </w:p>
    <w:p w14:paraId="5FE73E98" w14:textId="77777777" w:rsidR="00BE5DAB" w:rsidRPr="00BE5DAB" w:rsidRDefault="00BE5DAB" w:rsidP="00BE5DAB">
      <w:pPr>
        <w:autoSpaceDE w:val="0"/>
        <w:autoSpaceDN w:val="0"/>
        <w:spacing w:after="0" w:line="360" w:lineRule="auto"/>
        <w:jc w:val="center"/>
        <w:rPr>
          <w:rFonts w:ascii="Times New Roman" w:eastAsia="SimSun" w:hAnsi="Times New Roman" w:cs="Times New Roman"/>
          <w:b/>
          <w:bCs/>
          <w:sz w:val="24"/>
          <w:szCs w:val="24"/>
          <w:lang w:val="en-US" w:eastAsia="en-GB" w:bidi="ar"/>
        </w:rPr>
      </w:pPr>
    </w:p>
    <w:p w14:paraId="455941BB"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SimSun" w:hAnsi="Times New Roman" w:cs="Times New Roman"/>
          <w:b/>
          <w:bCs/>
          <w:sz w:val="24"/>
          <w:szCs w:val="24"/>
          <w:lang w:val="en-US" w:eastAsia="en-GB" w:bidi="ar"/>
        </w:rPr>
      </w:pPr>
      <w:r w:rsidRPr="00BE5DAB">
        <w:rPr>
          <w:rFonts w:ascii="Times New Roman" w:eastAsia="SimSun" w:hAnsi="Times New Roman" w:cs="Times New Roman"/>
          <w:b/>
          <w:bCs/>
          <w:sz w:val="24"/>
          <w:szCs w:val="24"/>
          <w:lang w:val="en-US" w:eastAsia="en-GB" w:bidi="ar"/>
        </w:rPr>
        <w:t>Definition of Boycott</w:t>
      </w:r>
    </w:p>
    <w:p w14:paraId="0C3B8E16" w14:textId="77777777" w:rsidR="00BE5DAB" w:rsidRPr="00BE5DAB" w:rsidRDefault="00BE5DAB" w:rsidP="00BE5DAB">
      <w:pPr>
        <w:autoSpaceDE w:val="0"/>
        <w:autoSpaceDN w:val="0"/>
        <w:adjustRightInd w:val="0"/>
        <w:spacing w:after="0" w:line="360" w:lineRule="auto"/>
        <w:jc w:val="both"/>
        <w:rPr>
          <w:rFonts w:ascii="Times New Roman" w:eastAsia="Calibri" w:hAnsi="Times New Roman" w:cs="Times New Roman"/>
          <w:sz w:val="24"/>
          <w:szCs w:val="24"/>
          <w:lang w:val="en-US" w:eastAsia="en-GB"/>
        </w:rPr>
      </w:pPr>
      <w:r w:rsidRPr="00BE5DAB">
        <w:rPr>
          <w:rFonts w:ascii="Times New Roman" w:eastAsia="Calibri" w:hAnsi="Times New Roman" w:cs="Times New Roman"/>
          <w:sz w:val="24"/>
          <w:szCs w:val="24"/>
          <w:lang w:val="en-US" w:eastAsia="en-GB"/>
        </w:rPr>
        <w:t xml:space="preserve">The term ''boycott'' is defined differently by various authors. For instance, the ''Encyclopedia of American Business'' defined ''boycotts'' as follows (Folsom and </w:t>
      </w:r>
      <w:proofErr w:type="spellStart"/>
      <w:r w:rsidRPr="00BE5DAB">
        <w:rPr>
          <w:rFonts w:ascii="Times New Roman" w:eastAsia="Calibri" w:hAnsi="Times New Roman" w:cs="Times New Roman"/>
          <w:sz w:val="24"/>
          <w:szCs w:val="24"/>
          <w:lang w:val="en-US" w:eastAsia="en-GB"/>
        </w:rPr>
        <w:t>Vandyne</w:t>
      </w:r>
      <w:proofErr w:type="spellEnd"/>
      <w:r w:rsidRPr="00BE5DAB">
        <w:rPr>
          <w:rFonts w:ascii="Times New Roman" w:eastAsia="Calibri" w:hAnsi="Times New Roman" w:cs="Times New Roman"/>
          <w:sz w:val="24"/>
          <w:szCs w:val="24"/>
          <w:lang w:val="en-US" w:eastAsia="en-GB"/>
        </w:rPr>
        <w:t>, 2011, P. 56):</w:t>
      </w:r>
    </w:p>
    <w:p w14:paraId="63C68BBA" w14:textId="77777777" w:rsidR="00BE5DAB" w:rsidRPr="00BE5DAB" w:rsidRDefault="00BE5DAB" w:rsidP="00BE5DAB">
      <w:pPr>
        <w:widowControl w:val="0"/>
        <w:autoSpaceDE w:val="0"/>
        <w:autoSpaceDN w:val="0"/>
        <w:spacing w:after="0" w:line="360" w:lineRule="auto"/>
        <w:ind w:right="746"/>
        <w:jc w:val="both"/>
        <w:rPr>
          <w:rFonts w:ascii="Times New Roman" w:eastAsia="Cambria" w:hAnsi="Times New Roman" w:cs="Times New Roman"/>
          <w:i/>
          <w:iCs/>
          <w:sz w:val="20"/>
          <w:szCs w:val="20"/>
          <w:lang w:val="en-US" w:eastAsia="en-GB"/>
        </w:rPr>
      </w:pPr>
    </w:p>
    <w:p w14:paraId="52EB3F14"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eastAsia="en-GB"/>
        </w:rPr>
      </w:pPr>
      <w:r w:rsidRPr="00BE5DAB">
        <w:rPr>
          <w:rFonts w:ascii="Times New Roman" w:eastAsia="Cambria" w:hAnsi="Times New Roman" w:cs="Times New Roman"/>
          <w:i/>
          <w:iCs/>
          <w:sz w:val="20"/>
          <w:szCs w:val="20"/>
          <w:lang w:val="en-US" w:eastAsia="en-GB"/>
        </w:rPr>
        <w:t xml:space="preserve">Boycotts are </w:t>
      </w:r>
      <w:proofErr w:type="spellStart"/>
      <w:r w:rsidRPr="00BE5DAB">
        <w:rPr>
          <w:rFonts w:ascii="Times New Roman" w:eastAsia="Cambria" w:hAnsi="Times New Roman" w:cs="Times New Roman"/>
          <w:i/>
          <w:iCs/>
          <w:sz w:val="20"/>
          <w:szCs w:val="20"/>
          <w:lang w:val="en-US" w:eastAsia="en-GB"/>
        </w:rPr>
        <w:t>organised</w:t>
      </w:r>
      <w:proofErr w:type="spellEnd"/>
      <w:r w:rsidRPr="00BE5DAB">
        <w:rPr>
          <w:rFonts w:ascii="Times New Roman" w:eastAsia="Cambria" w:hAnsi="Times New Roman" w:cs="Times New Roman"/>
          <w:i/>
          <w:iCs/>
          <w:sz w:val="20"/>
          <w:szCs w:val="20"/>
          <w:lang w:val="en-US" w:eastAsia="en-GB"/>
        </w:rPr>
        <w:t xml:space="preserve"> attempts to influence a company, </w:t>
      </w:r>
      <w:proofErr w:type="spellStart"/>
      <w:r w:rsidRPr="00BE5DAB">
        <w:rPr>
          <w:rFonts w:ascii="Times New Roman" w:eastAsia="Cambria" w:hAnsi="Times New Roman" w:cs="Times New Roman"/>
          <w:i/>
          <w:iCs/>
          <w:sz w:val="20"/>
          <w:szCs w:val="20"/>
          <w:lang w:val="en-US" w:eastAsia="en-GB"/>
        </w:rPr>
        <w:t>organisation</w:t>
      </w:r>
      <w:proofErr w:type="spellEnd"/>
      <w:r w:rsidRPr="00BE5DAB">
        <w:rPr>
          <w:rFonts w:ascii="Times New Roman" w:eastAsia="Cambria" w:hAnsi="Times New Roman" w:cs="Times New Roman"/>
          <w:i/>
          <w:iCs/>
          <w:sz w:val="20"/>
          <w:szCs w:val="20"/>
          <w:lang w:val="en-US" w:eastAsia="en-GB"/>
        </w:rPr>
        <w:t xml:space="preserve">, or government through refusal to </w:t>
      </w:r>
      <w:proofErr w:type="spellStart"/>
      <w:r w:rsidRPr="00BE5DAB">
        <w:rPr>
          <w:rFonts w:ascii="Times New Roman" w:eastAsia="Cambria" w:hAnsi="Times New Roman" w:cs="Times New Roman"/>
          <w:i/>
          <w:iCs/>
          <w:sz w:val="20"/>
          <w:szCs w:val="20"/>
          <w:lang w:val="en-US" w:eastAsia="en-GB"/>
        </w:rPr>
        <w:t>patronise</w:t>
      </w:r>
      <w:proofErr w:type="spellEnd"/>
      <w:r w:rsidRPr="00BE5DAB">
        <w:rPr>
          <w:rFonts w:ascii="Times New Roman" w:eastAsia="Cambria" w:hAnsi="Times New Roman" w:cs="Times New Roman"/>
          <w:i/>
          <w:iCs/>
          <w:sz w:val="20"/>
          <w:szCs w:val="20"/>
          <w:lang w:val="en-US" w:eastAsia="en-GB"/>
        </w:rPr>
        <w:t xml:space="preserve"> a business or other group. Boycotts are frequently used to affect business </w:t>
      </w:r>
      <w:proofErr w:type="spellStart"/>
      <w:r w:rsidRPr="00BE5DAB">
        <w:rPr>
          <w:rFonts w:ascii="Times New Roman" w:eastAsia="Cambria" w:hAnsi="Times New Roman" w:cs="Times New Roman"/>
          <w:i/>
          <w:iCs/>
          <w:sz w:val="20"/>
          <w:szCs w:val="20"/>
          <w:lang w:val="en-US" w:eastAsia="en-GB"/>
        </w:rPr>
        <w:t>practises</w:t>
      </w:r>
      <w:proofErr w:type="spellEnd"/>
      <w:r w:rsidRPr="00BE5DAB">
        <w:rPr>
          <w:rFonts w:ascii="Times New Roman" w:eastAsia="Cambria" w:hAnsi="Times New Roman" w:cs="Times New Roman"/>
          <w:i/>
          <w:iCs/>
          <w:sz w:val="20"/>
          <w:szCs w:val="20"/>
          <w:lang w:val="en-US" w:eastAsia="en-GB"/>
        </w:rPr>
        <w:t xml:space="preserve">. Sometimes boycotts are </w:t>
      </w:r>
      <w:proofErr w:type="spellStart"/>
      <w:r w:rsidRPr="00BE5DAB">
        <w:rPr>
          <w:rFonts w:ascii="Times New Roman" w:eastAsia="Cambria" w:hAnsi="Times New Roman" w:cs="Times New Roman"/>
          <w:i/>
          <w:iCs/>
          <w:sz w:val="20"/>
          <w:szCs w:val="20"/>
          <w:lang w:val="en-US" w:eastAsia="en-GB"/>
        </w:rPr>
        <w:t>organised</w:t>
      </w:r>
      <w:proofErr w:type="spellEnd"/>
      <w:r w:rsidRPr="00BE5DAB">
        <w:rPr>
          <w:rFonts w:ascii="Times New Roman" w:eastAsia="Cambria" w:hAnsi="Times New Roman" w:cs="Times New Roman"/>
          <w:i/>
          <w:iCs/>
          <w:sz w:val="20"/>
          <w:szCs w:val="20"/>
          <w:lang w:val="en-US" w:eastAsia="en-GB"/>
        </w:rPr>
        <w:t xml:space="preserve"> to challenge </w:t>
      </w:r>
      <w:proofErr w:type="spellStart"/>
      <w:r w:rsidRPr="00BE5DAB">
        <w:rPr>
          <w:rFonts w:ascii="Times New Roman" w:eastAsia="Cambria" w:hAnsi="Times New Roman" w:cs="Times New Roman"/>
          <w:i/>
          <w:iCs/>
          <w:sz w:val="20"/>
          <w:szCs w:val="20"/>
          <w:lang w:val="en-US" w:eastAsia="en-GB"/>
        </w:rPr>
        <w:t>labour</w:t>
      </w:r>
      <w:proofErr w:type="spellEnd"/>
      <w:r w:rsidRPr="00BE5DAB">
        <w:rPr>
          <w:rFonts w:ascii="Times New Roman" w:eastAsia="Cambria" w:hAnsi="Times New Roman" w:cs="Times New Roman"/>
          <w:i/>
          <w:iCs/>
          <w:sz w:val="20"/>
          <w:szCs w:val="20"/>
          <w:lang w:val="en-US" w:eastAsia="en-GB"/>
        </w:rPr>
        <w:t xml:space="preserve"> or environmental issues; other times they are used to sway social </w:t>
      </w:r>
      <w:proofErr w:type="spellStart"/>
      <w:r w:rsidRPr="00BE5DAB">
        <w:rPr>
          <w:rFonts w:ascii="Times New Roman" w:eastAsia="Cambria" w:hAnsi="Times New Roman" w:cs="Times New Roman"/>
          <w:i/>
          <w:iCs/>
          <w:sz w:val="20"/>
          <w:szCs w:val="20"/>
          <w:lang w:val="en-US" w:eastAsia="en-GB"/>
        </w:rPr>
        <w:t>practises</w:t>
      </w:r>
      <w:proofErr w:type="spellEnd"/>
      <w:r w:rsidRPr="00BE5DAB">
        <w:rPr>
          <w:rFonts w:ascii="Times New Roman" w:eastAsia="Cambria" w:hAnsi="Times New Roman" w:cs="Times New Roman"/>
          <w:i/>
          <w:iCs/>
          <w:sz w:val="20"/>
          <w:szCs w:val="20"/>
          <w:lang w:val="en-US" w:eastAsia="en-GB"/>
        </w:rPr>
        <w:t xml:space="preserve"> or policies.</w:t>
      </w:r>
    </w:p>
    <w:p w14:paraId="25DFBA4F" w14:textId="77777777" w:rsidR="00BE5DAB" w:rsidRPr="00BE5DAB" w:rsidRDefault="00BE5DAB" w:rsidP="00BE5DAB">
      <w:pPr>
        <w:autoSpaceDE w:val="0"/>
        <w:autoSpaceDN w:val="0"/>
        <w:spacing w:after="0" w:line="360" w:lineRule="auto"/>
        <w:jc w:val="both"/>
        <w:rPr>
          <w:rFonts w:ascii="Times New Roman" w:eastAsia="SimSun" w:hAnsi="Times New Roman" w:cs="Times New Roman"/>
          <w:b/>
          <w:bCs/>
          <w:sz w:val="24"/>
          <w:szCs w:val="24"/>
          <w:lang w:val="en-US" w:eastAsia="en-GB"/>
        </w:rPr>
      </w:pPr>
    </w:p>
    <w:p w14:paraId="12FB2C96"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Cambria" w:hAnsi="Times New Roman" w:cs="Times New Roman"/>
          <w:b/>
          <w:bCs/>
          <w:sz w:val="24"/>
          <w:szCs w:val="24"/>
          <w:lang w:val="en-US"/>
        </w:rPr>
      </w:pPr>
      <w:r w:rsidRPr="00BE5DAB">
        <w:rPr>
          <w:rFonts w:ascii="Times New Roman" w:eastAsia="SimSun" w:hAnsi="Times New Roman" w:cs="Times New Roman"/>
          <w:b/>
          <w:bCs/>
          <w:sz w:val="24"/>
          <w:szCs w:val="24"/>
          <w:lang w:val="en-US" w:eastAsia="en-GB" w:bidi="ar"/>
        </w:rPr>
        <w:t>Categories</w:t>
      </w:r>
      <w:r w:rsidRPr="00BE5DAB">
        <w:rPr>
          <w:rFonts w:ascii="Times New Roman" w:eastAsia="SimSun" w:hAnsi="Times New Roman" w:cs="Times New Roman"/>
          <w:b/>
          <w:bCs/>
          <w:sz w:val="24"/>
          <w:szCs w:val="24"/>
          <w:lang w:eastAsia="en-GB" w:bidi="ar"/>
        </w:rPr>
        <w:t xml:space="preserve"> of </w:t>
      </w:r>
      <w:r w:rsidRPr="00BE5DAB">
        <w:rPr>
          <w:rFonts w:ascii="Times New Roman" w:eastAsia="SimSun" w:hAnsi="Times New Roman" w:cs="Times New Roman"/>
          <w:b/>
          <w:bCs/>
          <w:sz w:val="24"/>
          <w:szCs w:val="24"/>
          <w:lang w:val="en-US" w:eastAsia="en-GB" w:bidi="ar"/>
        </w:rPr>
        <w:t xml:space="preserve">Boycott </w:t>
      </w:r>
    </w:p>
    <w:p w14:paraId="48EA3FB2" w14:textId="77777777" w:rsidR="00BE5DAB" w:rsidRPr="00BE5DAB" w:rsidRDefault="00BE5DAB" w:rsidP="00BE5DAB">
      <w:pPr>
        <w:autoSpaceDE w:val="0"/>
        <w:autoSpaceDN w:val="0"/>
        <w:adjustRightInd w:val="0"/>
        <w:spacing w:after="0" w:line="360" w:lineRule="auto"/>
        <w:jc w:val="both"/>
        <w:rPr>
          <w:rFonts w:ascii="Times New Roman" w:eastAsia="Calibri" w:hAnsi="Times New Roman" w:cs="Times New Roman"/>
          <w:sz w:val="24"/>
          <w:szCs w:val="24"/>
        </w:rPr>
      </w:pPr>
      <w:r w:rsidRPr="00BE5DAB">
        <w:rPr>
          <w:rFonts w:ascii="Times New Roman" w:eastAsia="Calibri" w:hAnsi="Times New Roman" w:cs="Times New Roman"/>
          <w:sz w:val="24"/>
          <w:szCs w:val="24"/>
        </w:rPr>
        <w:lastRenderedPageBreak/>
        <w:t>There are different categorizations for the term ''boycott'', each scholar provides categories that may differ from other scholars and the motivations behind it. Some consumers may feel at peace when they behave in a certain manner, one of which is to boycott certain brands. This behaviour is normally referred to as a ''</w:t>
      </w:r>
      <w:r w:rsidRPr="00BE5DAB">
        <w:rPr>
          <w:rFonts w:ascii="Times New Roman" w:eastAsia="Calibri" w:hAnsi="Times New Roman" w:cs="Times New Roman"/>
          <w:i/>
          <w:iCs/>
          <w:sz w:val="24"/>
          <w:szCs w:val="24"/>
        </w:rPr>
        <w:t>clean hands boycott</w:t>
      </w:r>
      <w:r w:rsidRPr="00BE5DAB">
        <w:rPr>
          <w:rFonts w:ascii="Times New Roman" w:eastAsia="Calibri" w:hAnsi="Times New Roman" w:cs="Times New Roman"/>
          <w:sz w:val="24"/>
          <w:szCs w:val="24"/>
        </w:rPr>
        <w:t>'' (Klein et al., 2002).</w:t>
      </w:r>
    </w:p>
    <w:p w14:paraId="5D9A7B42"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The term ''boycott'' could be categorised into two types based on their aims, namely: the direct boycott and the indirect boycott (</w:t>
      </w:r>
      <w:r w:rsidRPr="00BE5DAB">
        <w:rPr>
          <w:rFonts w:ascii="Times New Roman" w:eastAsia="SimSun" w:hAnsi="Times New Roman" w:cs="Times New Roman"/>
          <w:sz w:val="24"/>
          <w:szCs w:val="24"/>
          <w:lang w:eastAsia="zh-CN"/>
        </w:rPr>
        <w:t>Friedman, 1999)</w:t>
      </w:r>
      <w:r w:rsidRPr="00BE5DAB">
        <w:rPr>
          <w:rFonts w:ascii="Times New Roman" w:eastAsia="Cambria" w:hAnsi="Times New Roman" w:cs="Times New Roman"/>
          <w:sz w:val="24"/>
          <w:szCs w:val="24"/>
        </w:rPr>
        <w:t>. The direct boycott is the reaction to an act committed by a certain brand (</w:t>
      </w:r>
      <w:r w:rsidRPr="00BE5DAB">
        <w:rPr>
          <w:rFonts w:ascii="Times New Roman" w:eastAsia="SimSun" w:hAnsi="Times New Roman" w:cs="Times New Roman"/>
          <w:sz w:val="24"/>
          <w:szCs w:val="24"/>
          <w:lang w:eastAsia="zh-CN"/>
        </w:rPr>
        <w:t xml:space="preserve">Friedman, 1999; </w:t>
      </w:r>
      <w:r w:rsidRPr="00BE5DAB">
        <w:rPr>
          <w:rFonts w:ascii="Times New Roman" w:eastAsia="Cambria" w:hAnsi="Times New Roman" w:cs="Times New Roman"/>
          <w:sz w:val="24"/>
          <w:szCs w:val="24"/>
        </w:rPr>
        <w:t xml:space="preserve">Baron, 2003), and the </w:t>
      </w:r>
      <w:r w:rsidRPr="00BE5DAB">
        <w:rPr>
          <w:rFonts w:ascii="Times New Roman" w:eastAsia="SimSun" w:hAnsi="Times New Roman" w:cs="Times New Roman"/>
          <w:sz w:val="24"/>
          <w:szCs w:val="24"/>
          <w:lang w:eastAsia="zh-CN" w:bidi="ar"/>
        </w:rPr>
        <w:t xml:space="preserve">indirect </w:t>
      </w:r>
      <w:r w:rsidRPr="00BE5DAB">
        <w:rPr>
          <w:rFonts w:ascii="Times New Roman" w:eastAsia="Cambria" w:hAnsi="Times New Roman" w:cs="Times New Roman"/>
          <w:sz w:val="24"/>
          <w:szCs w:val="24"/>
        </w:rPr>
        <w:t xml:space="preserve">boycott is linked to a reaction to an act committed by a brand. However, rather than boycotting the brand, the consumer boycotts an intermediate brand to add pressure on the brand which committed the act (Garrett, 1986). </w:t>
      </w:r>
      <w:proofErr w:type="spellStart"/>
      <w:r w:rsidRPr="00BE5DAB">
        <w:rPr>
          <w:rFonts w:ascii="Times New Roman" w:eastAsia="Cambria" w:hAnsi="Times New Roman" w:cs="Times New Roman"/>
          <w:sz w:val="24"/>
          <w:szCs w:val="24"/>
        </w:rPr>
        <w:t>Öztürk</w:t>
      </w:r>
      <w:proofErr w:type="spellEnd"/>
      <w:r w:rsidRPr="00BE5DAB">
        <w:rPr>
          <w:rFonts w:ascii="Times New Roman" w:eastAsia="Cambria" w:hAnsi="Times New Roman" w:cs="Times New Roman"/>
          <w:sz w:val="24"/>
          <w:szCs w:val="24"/>
        </w:rPr>
        <w:t xml:space="preserve"> et al. (2019, P. 7) presented the two categories as follows:</w:t>
      </w:r>
    </w:p>
    <w:p w14:paraId="0A778CE3"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GB"/>
        </w:rPr>
      </w:pPr>
    </w:p>
    <w:p w14:paraId="2764A83F"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eastAsia="en-GB"/>
        </w:rPr>
      </w:pPr>
      <w:r w:rsidRPr="00BE5DAB">
        <w:rPr>
          <w:rFonts w:ascii="Times New Roman" w:eastAsia="Cambria" w:hAnsi="Times New Roman" w:cs="Times New Roman"/>
          <w:i/>
          <w:iCs/>
          <w:sz w:val="20"/>
          <w:szCs w:val="20"/>
          <w:lang w:eastAsia="en-GB"/>
        </w:rPr>
        <w:t>Consumer boycotts are discussed in two different approaches in the literature. The first approach classifies the boycotts directly, indirectly, and secondarily in terms of motivation to achieve the object. Indirect boycotts show consumers their reactions without buying any brand of a company or the entirety of their products. Indirect (surrogate) boycotts are the result of consumers deciding to boycott any organisation for not approving their activities</w:t>
      </w:r>
      <w:r w:rsidRPr="00BE5DAB">
        <w:rPr>
          <w:rFonts w:ascii="Times New Roman" w:eastAsia="Cambria" w:hAnsi="Times New Roman" w:cs="Times New Roman"/>
          <w:i/>
          <w:iCs/>
          <w:sz w:val="20"/>
          <w:szCs w:val="20"/>
          <w:lang w:val="en-US" w:eastAsia="en-GB"/>
        </w:rPr>
        <w:t>.</w:t>
      </w:r>
    </w:p>
    <w:p w14:paraId="5B97532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eastAsia="en-GB"/>
        </w:rPr>
      </w:pPr>
    </w:p>
    <w:p w14:paraId="575EBA77"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SimSun" w:hAnsi="Times New Roman" w:cs="Times New Roman"/>
          <w:b/>
          <w:bCs/>
          <w:sz w:val="24"/>
          <w:szCs w:val="24"/>
          <w:lang w:val="en-US" w:eastAsia="en-GB" w:bidi="ar"/>
        </w:rPr>
      </w:pPr>
      <w:r w:rsidRPr="00BE5DAB">
        <w:rPr>
          <w:rFonts w:ascii="Times New Roman" w:eastAsia="SimSun" w:hAnsi="Times New Roman" w:cs="Times New Roman"/>
          <w:b/>
          <w:bCs/>
          <w:sz w:val="24"/>
          <w:szCs w:val="24"/>
          <w:lang w:eastAsia="zh-CN" w:bidi="ar"/>
        </w:rPr>
        <w:t>Triggers for Boycott</w:t>
      </w:r>
    </w:p>
    <w:p w14:paraId="68244E41"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Boycotting a certain brand/company is an act that relies on various factors; some factors are personal (e.g., evaluating the boycott organisation and operation). For instance, evaluation of whether the campaign will gain publicity or not or whether the boycott will succeed or not (Al-</w:t>
      </w:r>
      <w:proofErr w:type="spellStart"/>
      <w:r w:rsidRPr="00BE5DAB">
        <w:rPr>
          <w:rFonts w:ascii="Times New Roman" w:eastAsia="Cambria" w:hAnsi="Times New Roman" w:cs="Times New Roman"/>
          <w:sz w:val="24"/>
          <w:szCs w:val="24"/>
        </w:rPr>
        <w:t>Serhan</w:t>
      </w:r>
      <w:proofErr w:type="spellEnd"/>
      <w:r w:rsidRPr="00BE5DAB">
        <w:rPr>
          <w:rFonts w:ascii="Times New Roman" w:eastAsia="Cambria" w:hAnsi="Times New Roman" w:cs="Times New Roman"/>
          <w:sz w:val="24"/>
          <w:szCs w:val="24"/>
        </w:rPr>
        <w:t xml:space="preserve"> and </w:t>
      </w:r>
      <w:proofErr w:type="spellStart"/>
      <w:r w:rsidRPr="00BE5DAB">
        <w:rPr>
          <w:rFonts w:ascii="Times New Roman" w:eastAsia="Cambria" w:hAnsi="Times New Roman" w:cs="Times New Roman"/>
          <w:sz w:val="24"/>
          <w:szCs w:val="24"/>
        </w:rPr>
        <w:t>Boukrami</w:t>
      </w:r>
      <w:proofErr w:type="spellEnd"/>
      <w:r w:rsidRPr="00BE5DAB">
        <w:rPr>
          <w:rFonts w:ascii="Times New Roman" w:eastAsia="Cambria" w:hAnsi="Times New Roman" w:cs="Times New Roman"/>
          <w:sz w:val="24"/>
          <w:szCs w:val="24"/>
        </w:rPr>
        <w:t>, 2015). Additionally, consumers who boycott may think that the act will attract more attention among other consumers who are willing to boycott the brand as well (</w:t>
      </w:r>
      <w:proofErr w:type="spellStart"/>
      <w:r w:rsidRPr="00BE5DAB">
        <w:rPr>
          <w:rFonts w:ascii="Times New Roman" w:eastAsia="Cambria" w:hAnsi="Times New Roman" w:cs="Times New Roman"/>
          <w:sz w:val="24"/>
          <w:szCs w:val="24"/>
        </w:rPr>
        <w:t>Balabanis</w:t>
      </w:r>
      <w:proofErr w:type="spellEnd"/>
      <w:r w:rsidRPr="00BE5DAB">
        <w:rPr>
          <w:rFonts w:ascii="Times New Roman" w:eastAsia="Cambria" w:hAnsi="Times New Roman" w:cs="Times New Roman"/>
          <w:sz w:val="24"/>
          <w:szCs w:val="24"/>
        </w:rPr>
        <w:t>, 2013).</w:t>
      </w:r>
    </w:p>
    <w:p w14:paraId="53DB0A73"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Individual judgement can also influence consumer judgement and behaviour as consumers tend to make such decisions when they become aware of an awful act from the company’s side.  Thus, the consumer decides to boycott a brand/company. </w:t>
      </w:r>
      <w:proofErr w:type="spellStart"/>
      <w:r w:rsidRPr="00BE5DAB">
        <w:rPr>
          <w:rFonts w:ascii="Times New Roman" w:eastAsia="Cambria" w:hAnsi="Times New Roman" w:cs="Times New Roman"/>
          <w:sz w:val="24"/>
          <w:szCs w:val="24"/>
        </w:rPr>
        <w:t>Cissé-Depardon</w:t>
      </w:r>
      <w:proofErr w:type="spellEnd"/>
      <w:r w:rsidRPr="00BE5DAB">
        <w:rPr>
          <w:rFonts w:ascii="Times New Roman" w:eastAsia="Cambria" w:hAnsi="Times New Roman" w:cs="Times New Roman"/>
          <w:sz w:val="24"/>
          <w:szCs w:val="24"/>
        </w:rPr>
        <w:t xml:space="preserve"> and </w:t>
      </w:r>
      <w:proofErr w:type="spellStart"/>
      <w:r w:rsidRPr="00BE5DAB">
        <w:rPr>
          <w:rFonts w:ascii="Times New Roman" w:eastAsia="Cambria" w:hAnsi="Times New Roman" w:cs="Times New Roman"/>
          <w:sz w:val="24"/>
          <w:szCs w:val="24"/>
        </w:rPr>
        <w:t>N'Goala</w:t>
      </w:r>
      <w:proofErr w:type="spellEnd"/>
      <w:r w:rsidRPr="00BE5DAB">
        <w:rPr>
          <w:rFonts w:ascii="Times New Roman" w:eastAsia="Cambria" w:hAnsi="Times New Roman" w:cs="Times New Roman"/>
          <w:sz w:val="24"/>
          <w:szCs w:val="24"/>
        </w:rPr>
        <w:t xml:space="preserve"> (2009, P. 45-46):</w:t>
      </w:r>
    </w:p>
    <w:p w14:paraId="152CBAC4"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7005B4A3"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r w:rsidRPr="00BE5DAB">
        <w:rPr>
          <w:rFonts w:ascii="Times New Roman" w:eastAsia="Cambria" w:hAnsi="Times New Roman" w:cs="Times New Roman"/>
          <w:i/>
          <w:iCs/>
          <w:sz w:val="20"/>
          <w:szCs w:val="20"/>
          <w:lang w:eastAsia="zh-CN"/>
        </w:rPr>
        <w:t>The decision to take part in a boycott also depends on how the consumer judges the act committed by the brand (…) the consumer’s decision is not limited to a comparison of the potential costs and benefits resulting from his personal involvement in the boycott.  It is based, above all, on the way the consumer judges the act committed by the company. The individual can indeed consider the act committed by the company intolerable, monstrous, shocking, outrageous, highly reprehensible and/or harmful to various parties (…) that outweigh the potential benefits he might receive in return.</w:t>
      </w:r>
    </w:p>
    <w:p w14:paraId="25EFBD57"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793F6A46"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rPr>
      </w:pPr>
      <w:r w:rsidRPr="00BE5DAB">
        <w:rPr>
          <w:rFonts w:ascii="Times New Roman" w:eastAsia="SimSun" w:hAnsi="Times New Roman" w:cs="Times New Roman"/>
          <w:sz w:val="24"/>
          <w:szCs w:val="24"/>
        </w:rPr>
        <w:t>Boycotting is related to the reduced trust in a brand/company (</w:t>
      </w:r>
      <w:proofErr w:type="spellStart"/>
      <w:r w:rsidRPr="00BE5DAB">
        <w:rPr>
          <w:rFonts w:ascii="Times New Roman" w:eastAsia="SimSun" w:hAnsi="Times New Roman" w:cs="Times New Roman"/>
          <w:sz w:val="24"/>
          <w:szCs w:val="24"/>
        </w:rPr>
        <w:t>Ropaul</w:t>
      </w:r>
      <w:proofErr w:type="spellEnd"/>
      <w:r w:rsidRPr="00BE5DAB">
        <w:rPr>
          <w:rFonts w:ascii="Times New Roman" w:eastAsia="SimSun" w:hAnsi="Times New Roman" w:cs="Times New Roman"/>
          <w:sz w:val="24"/>
          <w:szCs w:val="24"/>
        </w:rPr>
        <w:t xml:space="preserve">, 2016); consumers view the act of boycotting </w:t>
      </w:r>
      <w:proofErr w:type="gramStart"/>
      <w:r w:rsidRPr="00BE5DAB">
        <w:rPr>
          <w:rFonts w:ascii="Times New Roman" w:eastAsia="SimSun" w:hAnsi="Times New Roman" w:cs="Times New Roman"/>
          <w:sz w:val="24"/>
          <w:szCs w:val="24"/>
        </w:rPr>
        <w:t>as a way to</w:t>
      </w:r>
      <w:proofErr w:type="gramEnd"/>
      <w:r w:rsidRPr="00BE5DAB">
        <w:rPr>
          <w:rFonts w:ascii="Times New Roman" w:eastAsia="SimSun" w:hAnsi="Times New Roman" w:cs="Times New Roman"/>
          <w:sz w:val="24"/>
          <w:szCs w:val="24"/>
        </w:rPr>
        <w:t xml:space="preserve"> express their frustration regarding a company, which may lead </w:t>
      </w:r>
      <w:r w:rsidRPr="00BE5DAB">
        <w:rPr>
          <w:rFonts w:ascii="Times New Roman" w:eastAsia="Cambria" w:hAnsi="Times New Roman" w:cs="Times New Roman"/>
          <w:sz w:val="24"/>
          <w:szCs w:val="24"/>
        </w:rPr>
        <w:t xml:space="preserve">them </w:t>
      </w:r>
      <w:r w:rsidRPr="00BE5DAB">
        <w:rPr>
          <w:rFonts w:ascii="Times New Roman" w:eastAsia="SimSun" w:hAnsi="Times New Roman" w:cs="Times New Roman"/>
          <w:sz w:val="24"/>
          <w:szCs w:val="24"/>
        </w:rPr>
        <w:t>to</w:t>
      </w:r>
      <w:r w:rsidRPr="00BE5DAB">
        <w:rPr>
          <w:rFonts w:ascii="Times New Roman" w:eastAsia="SimSun" w:hAnsi="Times New Roman" w:cs="Times New Roman"/>
          <w:sz w:val="24"/>
          <w:szCs w:val="24"/>
          <w:lang w:val="en-US"/>
        </w:rPr>
        <w:t xml:space="preserve"> change their practices. This change in appeal may have purely economic value, such as </w:t>
      </w:r>
      <w:r w:rsidRPr="00BE5DAB">
        <w:rPr>
          <w:rFonts w:ascii="Times New Roman" w:eastAsia="SimSun" w:hAnsi="Times New Roman" w:cs="Times New Roman"/>
          <w:sz w:val="24"/>
          <w:szCs w:val="24"/>
        </w:rPr>
        <w:t>lowering prices (</w:t>
      </w:r>
      <w:proofErr w:type="spellStart"/>
      <w:r w:rsidRPr="00BE5DAB">
        <w:rPr>
          <w:rFonts w:ascii="Times New Roman" w:eastAsia="SimSun" w:hAnsi="Times New Roman" w:cs="Times New Roman"/>
          <w:sz w:val="24"/>
          <w:szCs w:val="24"/>
        </w:rPr>
        <w:t>Braunsberger</w:t>
      </w:r>
      <w:proofErr w:type="spellEnd"/>
      <w:r w:rsidRPr="00BE5DAB">
        <w:rPr>
          <w:rFonts w:ascii="Times New Roman" w:eastAsia="SimSun" w:hAnsi="Times New Roman" w:cs="Times New Roman"/>
          <w:sz w:val="24"/>
          <w:szCs w:val="24"/>
        </w:rPr>
        <w:t xml:space="preserve"> and Buckler, 2011) or ethical, political, environmental, and </w:t>
      </w:r>
      <w:r w:rsidRPr="00BE5DAB">
        <w:rPr>
          <w:rFonts w:ascii="Times New Roman" w:eastAsia="SimSun" w:hAnsi="Times New Roman" w:cs="Times New Roman"/>
          <w:sz w:val="24"/>
          <w:szCs w:val="24"/>
        </w:rPr>
        <w:lastRenderedPageBreak/>
        <w:t xml:space="preserve">social values (Caruana and Crane, 2008). If serious allegations were cast upon a company, consumers are more likely to join the act of boycott (John and Klein, 2003). </w:t>
      </w:r>
    </w:p>
    <w:p w14:paraId="10DCFE10"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rPr>
      </w:pPr>
      <w:r w:rsidRPr="00BE5DAB">
        <w:rPr>
          <w:rFonts w:ascii="Times New Roman" w:eastAsia="SimSun" w:hAnsi="Times New Roman" w:cs="Times New Roman"/>
          <w:sz w:val="24"/>
          <w:szCs w:val="24"/>
        </w:rPr>
        <w:t xml:space="preserve">It is </w:t>
      </w:r>
      <w:r w:rsidRPr="00BE5DAB">
        <w:rPr>
          <w:rFonts w:ascii="Times New Roman" w:eastAsia="Cambria" w:hAnsi="Times New Roman" w:cs="Times New Roman"/>
          <w:sz w:val="24"/>
          <w:szCs w:val="24"/>
        </w:rPr>
        <w:t xml:space="preserve">important </w:t>
      </w:r>
      <w:r w:rsidRPr="00BE5DAB">
        <w:rPr>
          <w:rFonts w:ascii="Times New Roman" w:eastAsia="SimSun" w:hAnsi="Times New Roman" w:cs="Times New Roman"/>
          <w:sz w:val="24"/>
          <w:szCs w:val="24"/>
        </w:rPr>
        <w:t>to note that the motivations that lead to civic expressions are not simple (Al-</w:t>
      </w:r>
      <w:proofErr w:type="spellStart"/>
      <w:r w:rsidRPr="00BE5DAB">
        <w:rPr>
          <w:rFonts w:ascii="Times New Roman" w:eastAsia="SimSun" w:hAnsi="Times New Roman" w:cs="Times New Roman"/>
          <w:sz w:val="24"/>
          <w:szCs w:val="24"/>
        </w:rPr>
        <w:t>Serhan</w:t>
      </w:r>
      <w:proofErr w:type="spellEnd"/>
      <w:r w:rsidRPr="00BE5DAB">
        <w:rPr>
          <w:rFonts w:ascii="Times New Roman" w:eastAsia="SimSun" w:hAnsi="Times New Roman" w:cs="Times New Roman"/>
          <w:sz w:val="24"/>
          <w:szCs w:val="24"/>
        </w:rPr>
        <w:t xml:space="preserve"> and </w:t>
      </w:r>
      <w:proofErr w:type="spellStart"/>
      <w:r w:rsidRPr="00BE5DAB">
        <w:rPr>
          <w:rFonts w:ascii="Times New Roman" w:eastAsia="SimSun" w:hAnsi="Times New Roman" w:cs="Times New Roman"/>
          <w:sz w:val="24"/>
          <w:szCs w:val="24"/>
        </w:rPr>
        <w:t>Boukrami</w:t>
      </w:r>
      <w:proofErr w:type="spellEnd"/>
      <w:r w:rsidRPr="00BE5DAB">
        <w:rPr>
          <w:rFonts w:ascii="Times New Roman" w:eastAsia="SimSun" w:hAnsi="Times New Roman" w:cs="Times New Roman"/>
          <w:sz w:val="24"/>
          <w:szCs w:val="24"/>
        </w:rPr>
        <w:t>, 2015). The act of boycotting is an expression of anger towards a company or an act of boosting self-esteem (Klein et al., 2004), or to boost someone’s sense of belonging (</w:t>
      </w:r>
      <w:hyperlink r:id="rId34" w:history="1">
        <w:r w:rsidRPr="00BE5DAB">
          <w:rPr>
            <w:rFonts w:ascii="Times New Roman" w:eastAsia="SimSun" w:hAnsi="Times New Roman" w:cs="Times New Roman"/>
            <w:color w:val="0000FF"/>
            <w:sz w:val="24"/>
            <w:szCs w:val="24"/>
            <w:u w:val="single"/>
          </w:rPr>
          <w:t>Farah</w:t>
        </w:r>
      </w:hyperlink>
      <w:r w:rsidRPr="00BE5DAB">
        <w:rPr>
          <w:rFonts w:ascii="Times New Roman" w:eastAsia="SimSun" w:hAnsi="Times New Roman" w:cs="Times New Roman"/>
          <w:sz w:val="24"/>
          <w:szCs w:val="24"/>
        </w:rPr>
        <w:t xml:space="preserve"> and </w:t>
      </w:r>
      <w:hyperlink r:id="rId35" w:history="1">
        <w:r w:rsidRPr="00BE5DAB">
          <w:rPr>
            <w:rFonts w:ascii="Times New Roman" w:eastAsia="SimSun" w:hAnsi="Times New Roman" w:cs="Times New Roman"/>
            <w:color w:val="0000FF"/>
            <w:sz w:val="24"/>
            <w:szCs w:val="24"/>
            <w:u w:val="single"/>
          </w:rPr>
          <w:t>Newman</w:t>
        </w:r>
      </w:hyperlink>
      <w:r w:rsidRPr="00BE5DAB">
        <w:rPr>
          <w:rFonts w:ascii="Times New Roman" w:eastAsia="SimSun" w:hAnsi="Times New Roman" w:cs="Times New Roman"/>
          <w:sz w:val="24"/>
          <w:szCs w:val="24"/>
          <w:lang w:eastAsia="zh-CN"/>
        </w:rPr>
        <w:t>, 2010</w:t>
      </w:r>
      <w:r w:rsidRPr="00BE5DAB">
        <w:rPr>
          <w:rFonts w:ascii="Times New Roman" w:eastAsia="SimSun" w:hAnsi="Times New Roman" w:cs="Times New Roman"/>
          <w:sz w:val="24"/>
          <w:szCs w:val="24"/>
        </w:rPr>
        <w:t>).</w:t>
      </w:r>
    </w:p>
    <w:p w14:paraId="090B5E65"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rPr>
      </w:pPr>
    </w:p>
    <w:p w14:paraId="1430ED1C" w14:textId="77777777" w:rsidR="00BE5DAB" w:rsidRPr="00BE5DAB" w:rsidRDefault="00BE5DAB" w:rsidP="00BE5DAB">
      <w:pPr>
        <w:widowControl w:val="0"/>
        <w:numPr>
          <w:ilvl w:val="2"/>
          <w:numId w:val="5"/>
        </w:numPr>
        <w:tabs>
          <w:tab w:val="left" w:pos="0"/>
        </w:tabs>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val="en-US" w:eastAsia="zh-CN" w:bidi="ar"/>
        </w:rPr>
        <w:t>Religion</w:t>
      </w:r>
      <w:r w:rsidRPr="00BE5DAB">
        <w:rPr>
          <w:rFonts w:ascii="Times New Roman" w:eastAsia="SimSun" w:hAnsi="Times New Roman" w:cs="Times New Roman"/>
          <w:b/>
          <w:bCs/>
          <w:sz w:val="24"/>
          <w:szCs w:val="24"/>
          <w:lang w:eastAsia="zh-CN" w:bidi="ar"/>
        </w:rPr>
        <w:t xml:space="preserve"> as Trigger for </w:t>
      </w:r>
      <w:r w:rsidRPr="00BE5DAB">
        <w:rPr>
          <w:rFonts w:ascii="Times New Roman" w:eastAsia="SimSun" w:hAnsi="Times New Roman" w:cs="Times New Roman"/>
          <w:b/>
          <w:bCs/>
          <w:sz w:val="24"/>
          <w:szCs w:val="24"/>
          <w:lang w:val="en-US" w:eastAsia="zh-CN" w:bidi="ar"/>
        </w:rPr>
        <w:t xml:space="preserve">Boycott </w:t>
      </w:r>
    </w:p>
    <w:p w14:paraId="3405094A" w14:textId="77777777" w:rsidR="00BE5DAB" w:rsidRPr="00BE5DAB" w:rsidRDefault="00BE5DAB" w:rsidP="00BE5DAB">
      <w:pPr>
        <w:widowControl w:val="0"/>
        <w:autoSpaceDE w:val="0"/>
        <w:autoSpaceDN w:val="0"/>
        <w:spacing w:before="1" w:after="0" w:line="360" w:lineRule="auto"/>
        <w:ind w:rightChars="-24" w:right="-53"/>
        <w:jc w:val="both"/>
        <w:rPr>
          <w:rFonts w:ascii="Times New Roman" w:eastAsia="SimSun" w:hAnsi="Times New Roman" w:cs="Times New Roman"/>
          <w:sz w:val="24"/>
          <w:szCs w:val="24"/>
          <w:lang w:val="en-US" w:eastAsia="zh-CN"/>
        </w:rPr>
      </w:pPr>
      <w:r w:rsidRPr="00BE5DAB">
        <w:rPr>
          <w:rFonts w:ascii="Times New Roman" w:eastAsia="SimSun" w:hAnsi="Times New Roman" w:cs="Times New Roman"/>
          <w:sz w:val="24"/>
          <w:szCs w:val="24"/>
          <w:lang w:eastAsia="zh-CN"/>
        </w:rPr>
        <w:t xml:space="preserve">There are approximately 1.9 billion Muslims in the world (World Population Review-A, 2021). Muslim Arabs represent around 423 million (World Population Review-B, 2021). This group of people represents </w:t>
      </w:r>
      <w:proofErr w:type="gramStart"/>
      <w:r w:rsidRPr="00BE5DAB">
        <w:rPr>
          <w:rFonts w:ascii="Times New Roman" w:eastAsia="SimSun" w:hAnsi="Times New Roman" w:cs="Times New Roman"/>
          <w:sz w:val="24"/>
          <w:szCs w:val="24"/>
          <w:lang w:eastAsia="zh-CN"/>
        </w:rPr>
        <w:t>a large number of</w:t>
      </w:r>
      <w:proofErr w:type="gramEnd"/>
      <w:r w:rsidRPr="00BE5DAB">
        <w:rPr>
          <w:rFonts w:ascii="Times New Roman" w:eastAsia="SimSun" w:hAnsi="Times New Roman" w:cs="Times New Roman"/>
          <w:sz w:val="24"/>
          <w:szCs w:val="24"/>
          <w:lang w:eastAsia="zh-CN"/>
        </w:rPr>
        <w:t xml:space="preserve"> consumer groups characterised by religion. </w:t>
      </w:r>
      <w:r w:rsidRPr="00BE5DAB">
        <w:rPr>
          <w:rFonts w:ascii="Times New Roman" w:eastAsia="SimSun" w:hAnsi="Times New Roman" w:cs="Times New Roman"/>
          <w:sz w:val="24"/>
          <w:szCs w:val="24"/>
          <w:lang w:val="en-US" w:eastAsia="zh-CN"/>
        </w:rPr>
        <w:t xml:space="preserve">The influence of religious beliefs on consumer </w:t>
      </w:r>
      <w:r w:rsidRPr="00BE5DAB">
        <w:rPr>
          <w:rFonts w:ascii="Times New Roman" w:eastAsia="SimSun" w:hAnsi="Times New Roman" w:cs="Times New Roman"/>
          <w:sz w:val="24"/>
          <w:szCs w:val="24"/>
          <w:lang w:eastAsia="zh-CN"/>
        </w:rPr>
        <w:t>behaviour</w:t>
      </w:r>
      <w:r w:rsidRPr="00BE5DAB">
        <w:rPr>
          <w:rFonts w:ascii="Times New Roman" w:eastAsia="SimSun" w:hAnsi="Times New Roman" w:cs="Times New Roman"/>
          <w:sz w:val="24"/>
          <w:szCs w:val="24"/>
          <w:lang w:val="en-US" w:eastAsia="zh-CN"/>
        </w:rPr>
        <w:t xml:space="preserve"> is identified by many articles in literature (e.g., Al-</w:t>
      </w:r>
      <w:proofErr w:type="spellStart"/>
      <w:r w:rsidRPr="00BE5DAB">
        <w:rPr>
          <w:rFonts w:ascii="Times New Roman" w:eastAsia="SimSun" w:hAnsi="Times New Roman" w:cs="Times New Roman"/>
          <w:sz w:val="24"/>
          <w:szCs w:val="24"/>
          <w:lang w:val="en-US" w:eastAsia="zh-CN"/>
        </w:rPr>
        <w:t>Hyari</w:t>
      </w:r>
      <w:proofErr w:type="spellEnd"/>
      <w:r w:rsidRPr="00BE5DAB">
        <w:rPr>
          <w:rFonts w:ascii="Times New Roman" w:eastAsia="SimSun" w:hAnsi="Times New Roman" w:cs="Times New Roman"/>
          <w:sz w:val="24"/>
          <w:szCs w:val="24"/>
          <w:lang w:val="en-US" w:eastAsia="zh-CN"/>
        </w:rPr>
        <w:t xml:space="preserve"> et al., 2012; Koku and </w:t>
      </w:r>
      <w:proofErr w:type="spellStart"/>
      <w:r w:rsidRPr="00BE5DAB">
        <w:rPr>
          <w:rFonts w:ascii="Times New Roman" w:eastAsia="SimSun" w:hAnsi="Times New Roman" w:cs="Times New Roman"/>
          <w:sz w:val="24"/>
          <w:szCs w:val="24"/>
          <w:lang w:val="en-US" w:eastAsia="zh-CN"/>
        </w:rPr>
        <w:t>Jusoh</w:t>
      </w:r>
      <w:proofErr w:type="spellEnd"/>
      <w:r w:rsidRPr="00BE5DAB">
        <w:rPr>
          <w:rFonts w:ascii="Times New Roman" w:eastAsia="SimSun" w:hAnsi="Times New Roman" w:cs="Times New Roman"/>
          <w:sz w:val="24"/>
          <w:szCs w:val="24"/>
          <w:lang w:val="en-US" w:eastAsia="zh-CN"/>
        </w:rPr>
        <w:t>, 2014; Abu-</w:t>
      </w:r>
      <w:proofErr w:type="spellStart"/>
      <w:r w:rsidRPr="00BE5DAB">
        <w:rPr>
          <w:rFonts w:ascii="Times New Roman" w:eastAsia="SimSun" w:hAnsi="Times New Roman" w:cs="Times New Roman"/>
          <w:sz w:val="24"/>
          <w:szCs w:val="24"/>
          <w:lang w:val="en-US" w:eastAsia="zh-CN"/>
        </w:rPr>
        <w:t>Alhaija</w:t>
      </w:r>
      <w:proofErr w:type="spellEnd"/>
      <w:r w:rsidRPr="00BE5DAB">
        <w:rPr>
          <w:rFonts w:ascii="Times New Roman" w:eastAsia="SimSun" w:hAnsi="Times New Roman" w:cs="Times New Roman"/>
          <w:sz w:val="24"/>
          <w:szCs w:val="24"/>
          <w:lang w:val="en-US" w:eastAsia="zh-CN"/>
        </w:rPr>
        <w:t xml:space="preserve"> et al., 2018).</w:t>
      </w:r>
    </w:p>
    <w:p w14:paraId="4042259D"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val="en-US" w:eastAsia="zh-CN"/>
        </w:rPr>
        <w:t>According to Al-</w:t>
      </w:r>
      <w:proofErr w:type="spellStart"/>
      <w:r w:rsidRPr="00BE5DAB">
        <w:rPr>
          <w:rFonts w:ascii="Times New Roman" w:eastAsia="SimSun" w:hAnsi="Times New Roman" w:cs="Times New Roman"/>
          <w:sz w:val="24"/>
          <w:szCs w:val="24"/>
          <w:lang w:val="en-US" w:eastAsia="zh-CN"/>
        </w:rPr>
        <w:t>Hyari</w:t>
      </w:r>
      <w:proofErr w:type="spellEnd"/>
      <w:r w:rsidRPr="00BE5DAB">
        <w:rPr>
          <w:rFonts w:ascii="Times New Roman" w:eastAsia="SimSun" w:hAnsi="Times New Roman" w:cs="Times New Roman"/>
          <w:sz w:val="24"/>
          <w:szCs w:val="24"/>
          <w:lang w:val="en-US" w:eastAsia="zh-CN"/>
        </w:rPr>
        <w:t xml:space="preserve"> et al. (2012), Islam reflects the attitudes and values of societies that believe in it.</w:t>
      </w:r>
      <w:r w:rsidRPr="00BE5DAB">
        <w:rPr>
          <w:rFonts w:ascii="Times New Roman" w:eastAsia="SimSun" w:hAnsi="Times New Roman" w:cs="Times New Roman"/>
          <w:sz w:val="24"/>
          <w:szCs w:val="24"/>
          <w:lang w:eastAsia="zh-CN"/>
        </w:rPr>
        <w:t xml:space="preserve"> The term ''religious animosity'' is defined as ''an </w:t>
      </w:r>
      <w:r w:rsidRPr="00BE5DAB">
        <w:rPr>
          <w:rFonts w:ascii="Times New Roman" w:eastAsia="SimSun" w:hAnsi="Times New Roman" w:cs="Times New Roman"/>
          <w:i/>
          <w:iCs/>
          <w:sz w:val="24"/>
          <w:szCs w:val="24"/>
          <w:lang w:eastAsia="zh-CN"/>
        </w:rPr>
        <w:t>individual’s intolerance and hostility toward another individual or nation because of religious differences</w:t>
      </w:r>
      <w:r w:rsidRPr="00BE5DAB">
        <w:rPr>
          <w:rFonts w:ascii="Times New Roman" w:eastAsia="SimSun" w:hAnsi="Times New Roman" w:cs="Times New Roman"/>
          <w:sz w:val="24"/>
          <w:szCs w:val="24"/>
          <w:lang w:eastAsia="zh-CN"/>
        </w:rPr>
        <w:t>'' (Al-</w:t>
      </w:r>
      <w:proofErr w:type="spellStart"/>
      <w:r w:rsidRPr="00BE5DAB">
        <w:rPr>
          <w:rFonts w:ascii="Times New Roman" w:eastAsia="SimSun" w:hAnsi="Times New Roman" w:cs="Times New Roman"/>
          <w:sz w:val="24"/>
          <w:szCs w:val="24"/>
          <w:lang w:eastAsia="zh-CN"/>
        </w:rPr>
        <w:t>Serhan</w:t>
      </w:r>
      <w:proofErr w:type="spellEnd"/>
      <w:r w:rsidRPr="00BE5DAB">
        <w:rPr>
          <w:rFonts w:ascii="Times New Roman" w:eastAsia="SimSun" w:hAnsi="Times New Roman" w:cs="Times New Roman"/>
          <w:sz w:val="24"/>
          <w:szCs w:val="24"/>
          <w:lang w:eastAsia="zh-CN"/>
        </w:rPr>
        <w:t xml:space="preserve"> and </w:t>
      </w:r>
      <w:proofErr w:type="spellStart"/>
      <w:r w:rsidRPr="00BE5DAB">
        <w:rPr>
          <w:rFonts w:ascii="Times New Roman" w:eastAsia="SimSun" w:hAnsi="Times New Roman" w:cs="Times New Roman"/>
          <w:sz w:val="24"/>
          <w:szCs w:val="24"/>
          <w:lang w:eastAsia="zh-CN"/>
        </w:rPr>
        <w:t>Boukrami</w:t>
      </w:r>
      <w:proofErr w:type="spellEnd"/>
      <w:r w:rsidRPr="00BE5DAB">
        <w:rPr>
          <w:rFonts w:ascii="Times New Roman" w:eastAsia="SimSun" w:hAnsi="Times New Roman" w:cs="Times New Roman"/>
          <w:sz w:val="24"/>
          <w:szCs w:val="24"/>
          <w:lang w:eastAsia="zh-CN"/>
        </w:rPr>
        <w:t>, 2015, P. 143). It is important to know that religion plays a large role in the lives of believers (</w:t>
      </w:r>
      <w:proofErr w:type="spellStart"/>
      <w:r w:rsidRPr="00BE5DAB">
        <w:rPr>
          <w:rFonts w:ascii="Times New Roman" w:eastAsia="SimSun" w:hAnsi="Times New Roman" w:cs="Times New Roman"/>
          <w:sz w:val="24"/>
          <w:szCs w:val="24"/>
          <w:lang w:eastAsia="zh-CN"/>
        </w:rPr>
        <w:t>Dekhil</w:t>
      </w:r>
      <w:proofErr w:type="spellEnd"/>
      <w:r w:rsidRPr="00BE5DAB">
        <w:rPr>
          <w:rFonts w:ascii="Times New Roman" w:eastAsia="SimSun" w:hAnsi="Times New Roman" w:cs="Times New Roman"/>
          <w:sz w:val="24"/>
          <w:szCs w:val="24"/>
          <w:lang w:eastAsia="zh-CN"/>
        </w:rPr>
        <w:t xml:space="preserve"> et al., 2017). Therefore, there is an association between consumer beliefs and behaviour.</w:t>
      </w:r>
    </w:p>
    <w:p w14:paraId="44A9C7AF"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Cambria" w:hAnsi="Times New Roman" w:cs="Times New Roman"/>
          <w:sz w:val="24"/>
          <w:szCs w:val="24"/>
          <w:lang w:eastAsia="zh-CN"/>
        </w:rPr>
        <w:t xml:space="preserve">Various </w:t>
      </w:r>
      <w:r w:rsidRPr="00BE5DAB">
        <w:rPr>
          <w:rFonts w:ascii="Times New Roman" w:eastAsia="SimSun" w:hAnsi="Times New Roman" w:cs="Times New Roman"/>
          <w:sz w:val="24"/>
          <w:szCs w:val="24"/>
          <w:lang w:eastAsia="zh-CN"/>
        </w:rPr>
        <w:t xml:space="preserve">scholars (e.g., </w:t>
      </w:r>
      <w:proofErr w:type="spellStart"/>
      <w:r w:rsidRPr="00BE5DAB">
        <w:rPr>
          <w:rFonts w:ascii="Times New Roman" w:eastAsia="SimSun" w:hAnsi="Times New Roman" w:cs="Times New Roman"/>
          <w:sz w:val="24"/>
          <w:szCs w:val="24"/>
          <w:lang w:eastAsia="zh-CN"/>
        </w:rPr>
        <w:t>Khraim</w:t>
      </w:r>
      <w:proofErr w:type="spellEnd"/>
      <w:r w:rsidRPr="00BE5DAB">
        <w:rPr>
          <w:rFonts w:ascii="Times New Roman" w:eastAsia="SimSun" w:hAnsi="Times New Roman" w:cs="Times New Roman"/>
          <w:sz w:val="24"/>
          <w:szCs w:val="24"/>
          <w:lang w:eastAsia="zh-CN"/>
        </w:rPr>
        <w:t xml:space="preserve">, 2010; </w:t>
      </w:r>
      <w:proofErr w:type="spellStart"/>
      <w:r w:rsidRPr="00BE5DAB">
        <w:rPr>
          <w:rFonts w:ascii="Times New Roman" w:eastAsia="SimSun" w:hAnsi="Times New Roman" w:cs="Times New Roman"/>
          <w:sz w:val="24"/>
          <w:szCs w:val="24"/>
          <w:lang w:eastAsia="zh-CN"/>
        </w:rPr>
        <w:t>Fianto</w:t>
      </w:r>
      <w:proofErr w:type="spellEnd"/>
      <w:r w:rsidRPr="00BE5DAB">
        <w:rPr>
          <w:rFonts w:ascii="Times New Roman" w:eastAsia="SimSun" w:hAnsi="Times New Roman" w:cs="Times New Roman"/>
          <w:sz w:val="24"/>
          <w:szCs w:val="24"/>
          <w:lang w:eastAsia="zh-CN"/>
        </w:rPr>
        <w:t xml:space="preserve"> et al., 2014; Abu-</w:t>
      </w:r>
      <w:proofErr w:type="spellStart"/>
      <w:r w:rsidRPr="00BE5DAB">
        <w:rPr>
          <w:rFonts w:ascii="Times New Roman" w:eastAsia="SimSun" w:hAnsi="Times New Roman" w:cs="Times New Roman"/>
          <w:sz w:val="24"/>
          <w:szCs w:val="24"/>
          <w:lang w:eastAsia="zh-CN"/>
        </w:rPr>
        <w:t>Alhaija</w:t>
      </w:r>
      <w:proofErr w:type="spellEnd"/>
      <w:r w:rsidRPr="00BE5DAB">
        <w:rPr>
          <w:rFonts w:ascii="Times New Roman" w:eastAsia="SimSun" w:hAnsi="Times New Roman" w:cs="Times New Roman"/>
          <w:sz w:val="24"/>
          <w:szCs w:val="24"/>
          <w:lang w:eastAsia="zh-CN"/>
        </w:rPr>
        <w:t xml:space="preserve"> et al., 2018) stated that most of the research associated with studying the influence of religion on consumer behaviour tends to address the Christian consumer rather than any other religion. Additionally, there is little (if any) research regarding the consumer behaviour associated with Islam as argued by Farah and El-Samad (2014). Thus, the significance of any future research regarding consumer behaviour of customers who believe in Islam. </w:t>
      </w:r>
    </w:p>
    <w:p w14:paraId="405E61A3"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p>
    <w:p w14:paraId="7FD4749D" w14:textId="77777777" w:rsidR="00BE5DAB" w:rsidRPr="00BE5DAB" w:rsidRDefault="00BE5DAB" w:rsidP="00BE5DAB">
      <w:pPr>
        <w:widowControl w:val="0"/>
        <w:numPr>
          <w:ilvl w:val="2"/>
          <w:numId w:val="5"/>
        </w:numPr>
        <w:tabs>
          <w:tab w:val="left" w:pos="0"/>
        </w:tabs>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rPr>
        <w:t xml:space="preserve">Economy </w:t>
      </w:r>
      <w:r w:rsidRPr="00BE5DAB">
        <w:rPr>
          <w:rFonts w:ascii="Times New Roman" w:eastAsia="SimSun" w:hAnsi="Times New Roman" w:cs="Times New Roman"/>
          <w:b/>
          <w:bCs/>
          <w:sz w:val="24"/>
          <w:szCs w:val="24"/>
          <w:lang w:eastAsia="zh-CN" w:bidi="ar"/>
        </w:rPr>
        <w:t xml:space="preserve">as Trigger for </w:t>
      </w:r>
      <w:r w:rsidRPr="00BE5DAB">
        <w:rPr>
          <w:rFonts w:ascii="Times New Roman" w:eastAsia="SimSun" w:hAnsi="Times New Roman" w:cs="Times New Roman"/>
          <w:b/>
          <w:bCs/>
          <w:sz w:val="24"/>
          <w:szCs w:val="24"/>
          <w:lang w:val="en-US" w:eastAsia="zh-CN" w:bidi="ar"/>
        </w:rPr>
        <w:t xml:space="preserve">Boycott </w:t>
      </w:r>
    </w:p>
    <w:p w14:paraId="148AB967"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Economical events may influence consumers’ views towards certain countries. For instance, consumers may possess animosity towards countries in the mindset of economic events (Matic and Pub, 2011), which is the outcome of political and commercial deals among two (or more) countries (Al-</w:t>
      </w:r>
      <w:proofErr w:type="spellStart"/>
      <w:r w:rsidRPr="00BE5DAB">
        <w:rPr>
          <w:rFonts w:ascii="Times New Roman" w:eastAsia="SimSun" w:hAnsi="Times New Roman" w:cs="Times New Roman"/>
          <w:sz w:val="24"/>
          <w:szCs w:val="24"/>
          <w:lang w:eastAsia="zh-CN"/>
        </w:rPr>
        <w:t>Serhan</w:t>
      </w:r>
      <w:proofErr w:type="spellEnd"/>
      <w:r w:rsidRPr="00BE5DAB">
        <w:rPr>
          <w:rFonts w:ascii="Times New Roman" w:eastAsia="SimSun" w:hAnsi="Times New Roman" w:cs="Times New Roman"/>
          <w:sz w:val="24"/>
          <w:szCs w:val="24"/>
          <w:lang w:eastAsia="zh-CN"/>
        </w:rPr>
        <w:t xml:space="preserve"> and </w:t>
      </w:r>
      <w:proofErr w:type="spellStart"/>
      <w:r w:rsidRPr="00BE5DAB">
        <w:rPr>
          <w:rFonts w:ascii="Times New Roman" w:eastAsia="SimSun" w:hAnsi="Times New Roman" w:cs="Times New Roman"/>
          <w:sz w:val="24"/>
          <w:szCs w:val="24"/>
          <w:lang w:eastAsia="zh-CN"/>
        </w:rPr>
        <w:t>Boukrami</w:t>
      </w:r>
      <w:proofErr w:type="spellEnd"/>
      <w:r w:rsidRPr="00BE5DAB">
        <w:rPr>
          <w:rFonts w:ascii="Times New Roman" w:eastAsia="SimSun" w:hAnsi="Times New Roman" w:cs="Times New Roman"/>
          <w:sz w:val="24"/>
          <w:szCs w:val="24"/>
          <w:lang w:eastAsia="zh-CN"/>
        </w:rPr>
        <w:t>, 2015). The outcome will be in the form of an economic crisis; this leads consumers from one country to build animosity towards branded/companies of the other country/countries. Additionally, economic sanctions may lead to economic animosity as well (</w:t>
      </w:r>
      <w:r w:rsidRPr="00BE5DAB">
        <w:rPr>
          <w:rFonts w:ascii="Times New Roman" w:eastAsia="Cambria" w:hAnsi="Times New Roman" w:cs="Times New Roman"/>
          <w:sz w:val="24"/>
          <w:szCs w:val="24"/>
          <w:lang w:eastAsia="zh-CN"/>
        </w:rPr>
        <w:t>Yu</w:t>
      </w:r>
      <w:r w:rsidRPr="00BE5DAB">
        <w:rPr>
          <w:rFonts w:ascii="Times New Roman" w:eastAsia="SimSun" w:hAnsi="Times New Roman" w:cs="Times New Roman"/>
          <w:sz w:val="24"/>
          <w:szCs w:val="24"/>
          <w:lang w:eastAsia="zh-CN"/>
        </w:rPr>
        <w:t xml:space="preserve"> et al., 2020). </w:t>
      </w:r>
    </w:p>
    <w:p w14:paraId="28F75C64"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p>
    <w:p w14:paraId="34A0361B" w14:textId="77777777" w:rsidR="00BE5DAB" w:rsidRPr="00BE5DAB" w:rsidRDefault="00BE5DAB" w:rsidP="00BE5DAB">
      <w:pPr>
        <w:widowControl w:val="0"/>
        <w:numPr>
          <w:ilvl w:val="2"/>
          <w:numId w:val="5"/>
        </w:numPr>
        <w:tabs>
          <w:tab w:val="left" w:pos="0"/>
        </w:tabs>
        <w:autoSpaceDE w:val="0"/>
        <w:autoSpaceDN w:val="0"/>
        <w:spacing w:after="0" w:line="360" w:lineRule="auto"/>
        <w:jc w:val="both"/>
        <w:rPr>
          <w:rFonts w:ascii="Times New Roman" w:eastAsia="SimSun" w:hAnsi="Times New Roman" w:cs="Times New Roman"/>
          <w:b/>
          <w:bCs/>
          <w:sz w:val="24"/>
          <w:szCs w:val="24"/>
          <w:lang w:eastAsia="zh-CN"/>
        </w:rPr>
      </w:pPr>
      <w:r w:rsidRPr="00BE5DAB">
        <w:rPr>
          <w:rFonts w:ascii="Times New Roman" w:eastAsia="SimSun" w:hAnsi="Times New Roman" w:cs="Times New Roman"/>
          <w:b/>
          <w:bCs/>
          <w:sz w:val="24"/>
          <w:szCs w:val="24"/>
          <w:lang w:eastAsia="zh-CN"/>
        </w:rPr>
        <w:t>War as Trigger for Boycott</w:t>
      </w:r>
    </w:p>
    <w:p w14:paraId="0148721E"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Military conflicts and wars can trigger animosity (</w:t>
      </w:r>
      <w:proofErr w:type="spellStart"/>
      <w:r w:rsidRPr="00BE5DAB">
        <w:rPr>
          <w:rFonts w:ascii="Times New Roman" w:eastAsia="SimSun" w:hAnsi="Times New Roman" w:cs="Times New Roman"/>
          <w:sz w:val="24"/>
          <w:szCs w:val="24"/>
          <w:lang w:eastAsia="zh-CN"/>
        </w:rPr>
        <w:t>Nes</w:t>
      </w:r>
      <w:proofErr w:type="spellEnd"/>
      <w:r w:rsidRPr="00BE5DAB">
        <w:rPr>
          <w:rFonts w:ascii="Times New Roman" w:eastAsia="SimSun" w:hAnsi="Times New Roman" w:cs="Times New Roman"/>
          <w:sz w:val="24"/>
          <w:szCs w:val="24"/>
          <w:lang w:eastAsia="zh-CN"/>
        </w:rPr>
        <w:t xml:space="preserve"> et al., 2012). For instance, there is a building animosity by Israeli consumers towards Palestinian products as the outcome of the ongoing conflicts between both parties (</w:t>
      </w:r>
      <w:proofErr w:type="spellStart"/>
      <w:r w:rsidRPr="00BE5DAB">
        <w:rPr>
          <w:rFonts w:ascii="Times New Roman" w:eastAsia="SimSun" w:hAnsi="Times New Roman" w:cs="Times New Roman"/>
          <w:sz w:val="24"/>
          <w:szCs w:val="24"/>
          <w:lang w:eastAsia="zh-CN"/>
        </w:rPr>
        <w:t>Dobers</w:t>
      </w:r>
      <w:proofErr w:type="spellEnd"/>
      <w:r w:rsidRPr="00BE5DAB">
        <w:rPr>
          <w:rFonts w:ascii="Times New Roman" w:eastAsia="SimSun" w:hAnsi="Times New Roman" w:cs="Times New Roman"/>
          <w:sz w:val="24"/>
          <w:szCs w:val="24"/>
          <w:lang w:eastAsia="zh-CN"/>
        </w:rPr>
        <w:t xml:space="preserve"> et al., 2018). The ongoing conflicts trigger many Arab countries to build animosity towards Israeli products and brands (Morrison, 2015).</w:t>
      </w:r>
    </w:p>
    <w:p w14:paraId="534EA73D"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p>
    <w:p w14:paraId="0B72ADCD" w14:textId="77777777" w:rsidR="00BE5DAB" w:rsidRPr="00BE5DAB" w:rsidRDefault="00BE5DAB" w:rsidP="00BE5DAB">
      <w:pPr>
        <w:widowControl w:val="0"/>
        <w:numPr>
          <w:ilvl w:val="2"/>
          <w:numId w:val="5"/>
        </w:numPr>
        <w:tabs>
          <w:tab w:val="left" w:pos="0"/>
        </w:tabs>
        <w:autoSpaceDE w:val="0"/>
        <w:autoSpaceDN w:val="0"/>
        <w:spacing w:after="0" w:line="360" w:lineRule="auto"/>
        <w:jc w:val="both"/>
        <w:rPr>
          <w:rFonts w:ascii="Times New Roman" w:eastAsia="SimSun" w:hAnsi="Times New Roman" w:cs="Times New Roman"/>
          <w:b/>
          <w:bCs/>
          <w:sz w:val="24"/>
          <w:szCs w:val="24"/>
          <w:lang w:eastAsia="zh-CN"/>
        </w:rPr>
      </w:pPr>
      <w:r w:rsidRPr="00BE5DAB">
        <w:rPr>
          <w:rFonts w:ascii="Times New Roman" w:eastAsia="SimSun" w:hAnsi="Times New Roman" w:cs="Times New Roman"/>
          <w:b/>
          <w:bCs/>
          <w:sz w:val="24"/>
          <w:szCs w:val="24"/>
          <w:lang w:eastAsia="zh-CN"/>
        </w:rPr>
        <w:t>Culture as Trigger for Boycott</w:t>
      </w:r>
    </w:p>
    <w:p w14:paraId="498239DC"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highlight w:val="yellow"/>
          <w:lang w:val="en-US"/>
        </w:rPr>
      </w:pPr>
      <w:r w:rsidRPr="00BE5DAB">
        <w:rPr>
          <w:rFonts w:ascii="Times New Roman" w:eastAsia="Cambria" w:hAnsi="Times New Roman" w:cs="Times New Roman"/>
          <w:sz w:val="24"/>
          <w:szCs w:val="24"/>
        </w:rPr>
        <w:t xml:space="preserve">Culture is one of the triggers that can influence consumers’ behaviour. For instance, the animosity that drives from culture may lead to a boycott of a brand/company. The term ''cultural animosity'' is defined as </w:t>
      </w:r>
      <w:r w:rsidRPr="00BE5DAB">
        <w:rPr>
          <w:rFonts w:ascii="Times New Roman" w:eastAsia="Cambria" w:hAnsi="Times New Roman" w:cs="Times New Roman"/>
          <w:sz w:val="24"/>
          <w:szCs w:val="24"/>
          <w:lang w:val="en-US"/>
        </w:rPr>
        <w:t>“</w:t>
      </w:r>
      <w:r w:rsidRPr="00BE5DAB">
        <w:rPr>
          <w:rFonts w:ascii="Times New Roman" w:eastAsia="Cambria" w:hAnsi="Times New Roman" w:cs="Times New Roman"/>
          <w:i/>
          <w:sz w:val="24"/>
          <w:szCs w:val="24"/>
          <w:lang w:val="en-US"/>
        </w:rPr>
        <w:t>one's intolerance of and antipathy toward another person or country</w:t>
      </w:r>
      <w:r w:rsidRPr="00BE5DAB">
        <w:rPr>
          <w:rFonts w:ascii="Times New Roman" w:eastAsia="Cambria" w:hAnsi="Times New Roman" w:cs="Times New Roman"/>
          <w:i/>
          <w:spacing w:val="1"/>
          <w:sz w:val="24"/>
          <w:szCs w:val="24"/>
          <w:lang w:val="en-US"/>
        </w:rPr>
        <w:t xml:space="preserve"> </w:t>
      </w:r>
      <w:r w:rsidRPr="00BE5DAB">
        <w:rPr>
          <w:rFonts w:ascii="Times New Roman" w:eastAsia="Cambria" w:hAnsi="Times New Roman" w:cs="Times New Roman"/>
          <w:i/>
          <w:sz w:val="24"/>
          <w:szCs w:val="24"/>
          <w:lang w:val="en-US"/>
        </w:rPr>
        <w:t>because of cultural differences</w:t>
      </w:r>
      <w:r w:rsidRPr="00BE5DAB">
        <w:rPr>
          <w:rFonts w:ascii="Times New Roman" w:eastAsia="Cambria" w:hAnsi="Times New Roman" w:cs="Times New Roman"/>
          <w:sz w:val="24"/>
          <w:szCs w:val="24"/>
          <w:lang w:val="en-US"/>
        </w:rPr>
        <w:t xml:space="preserve">” </w:t>
      </w:r>
      <w:r w:rsidRPr="00BE5DAB">
        <w:rPr>
          <w:rFonts w:ascii="Times New Roman" w:eastAsia="Cambria" w:hAnsi="Times New Roman" w:cs="Times New Roman"/>
          <w:sz w:val="24"/>
          <w:szCs w:val="24"/>
        </w:rPr>
        <w:t>(Al-</w:t>
      </w:r>
      <w:proofErr w:type="spellStart"/>
      <w:r w:rsidRPr="00BE5DAB">
        <w:rPr>
          <w:rFonts w:ascii="Times New Roman" w:eastAsia="Cambria" w:hAnsi="Times New Roman" w:cs="Times New Roman"/>
          <w:sz w:val="24"/>
          <w:szCs w:val="24"/>
        </w:rPr>
        <w:t>Serhan</w:t>
      </w:r>
      <w:proofErr w:type="spellEnd"/>
      <w:r w:rsidRPr="00BE5DAB">
        <w:rPr>
          <w:rFonts w:ascii="Times New Roman" w:eastAsia="Cambria" w:hAnsi="Times New Roman" w:cs="Times New Roman"/>
          <w:sz w:val="24"/>
          <w:szCs w:val="24"/>
        </w:rPr>
        <w:t xml:space="preserve"> and </w:t>
      </w:r>
      <w:proofErr w:type="spellStart"/>
      <w:r w:rsidRPr="00BE5DAB">
        <w:rPr>
          <w:rFonts w:ascii="Times New Roman" w:eastAsia="Cambria" w:hAnsi="Times New Roman" w:cs="Times New Roman"/>
          <w:sz w:val="24"/>
          <w:szCs w:val="24"/>
        </w:rPr>
        <w:t>Boukrami</w:t>
      </w:r>
      <w:proofErr w:type="spellEnd"/>
      <w:r w:rsidRPr="00BE5DAB">
        <w:rPr>
          <w:rFonts w:ascii="Times New Roman" w:eastAsia="Cambria" w:hAnsi="Times New Roman" w:cs="Times New Roman"/>
          <w:sz w:val="24"/>
          <w:szCs w:val="24"/>
        </w:rPr>
        <w:t>, 2015, P. 145). Cultural animosity is one of the various types of animosities, and like other animosities, cultural animosity can influence the behaviour of the consumers, namely: boycott a brand/company. International brands/companies can be affected by consumer behaviour who decided to boycott the brand (</w:t>
      </w:r>
      <w:proofErr w:type="spellStart"/>
      <w:r w:rsidRPr="00BE5DAB">
        <w:rPr>
          <w:rFonts w:ascii="Times New Roman" w:eastAsia="Cambria" w:hAnsi="Times New Roman" w:cs="Times New Roman"/>
          <w:sz w:val="24"/>
          <w:szCs w:val="24"/>
        </w:rPr>
        <w:t>Nijssen</w:t>
      </w:r>
      <w:proofErr w:type="spellEnd"/>
      <w:r w:rsidRPr="00BE5DAB">
        <w:rPr>
          <w:rFonts w:ascii="Times New Roman" w:eastAsia="Cambria" w:hAnsi="Times New Roman" w:cs="Times New Roman"/>
          <w:sz w:val="24"/>
          <w:szCs w:val="24"/>
        </w:rPr>
        <w:t xml:space="preserve"> and Douglas, 2004; </w:t>
      </w:r>
      <w:proofErr w:type="spellStart"/>
      <w:r w:rsidRPr="00BE5DAB">
        <w:rPr>
          <w:rFonts w:ascii="Times New Roman" w:eastAsia="Cambria" w:hAnsi="Times New Roman" w:cs="Times New Roman"/>
          <w:sz w:val="24"/>
          <w:szCs w:val="24"/>
        </w:rPr>
        <w:t>Aljarboa</w:t>
      </w:r>
      <w:proofErr w:type="spellEnd"/>
      <w:r w:rsidRPr="00BE5DAB">
        <w:rPr>
          <w:rFonts w:ascii="Times New Roman" w:eastAsia="Cambria" w:hAnsi="Times New Roman" w:cs="Times New Roman"/>
          <w:sz w:val="24"/>
          <w:szCs w:val="24"/>
        </w:rPr>
        <w:t>, 2014).</w:t>
      </w:r>
    </w:p>
    <w:p w14:paraId="23F2831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Cultural differences can end </w:t>
      </w:r>
      <w:r w:rsidRPr="00BE5DAB">
        <w:rPr>
          <w:rFonts w:ascii="Times New Roman" w:eastAsia="SimSun" w:hAnsi="Times New Roman" w:cs="Times New Roman"/>
          <w:sz w:val="24"/>
          <w:szCs w:val="24"/>
        </w:rPr>
        <w:t>with a military conflict between the two cultures if they collide (</w:t>
      </w:r>
      <w:proofErr w:type="spellStart"/>
      <w:r w:rsidRPr="00BE5DAB">
        <w:rPr>
          <w:rFonts w:ascii="Times New Roman" w:eastAsia="SimSun" w:hAnsi="Times New Roman" w:cs="Times New Roman"/>
          <w:sz w:val="24"/>
          <w:szCs w:val="24"/>
        </w:rPr>
        <w:t>Kalliny</w:t>
      </w:r>
      <w:proofErr w:type="spellEnd"/>
      <w:r w:rsidRPr="00BE5DAB">
        <w:rPr>
          <w:rFonts w:ascii="Times New Roman" w:eastAsia="SimSun" w:hAnsi="Times New Roman" w:cs="Times New Roman"/>
          <w:sz w:val="24"/>
          <w:szCs w:val="24"/>
        </w:rPr>
        <w:t xml:space="preserve"> et al., 2017). Th</w:t>
      </w:r>
      <w:r w:rsidRPr="00BE5DAB">
        <w:rPr>
          <w:rFonts w:ascii="Times New Roman" w:eastAsia="Cambria" w:hAnsi="Times New Roman" w:cs="Times New Roman"/>
          <w:sz w:val="24"/>
          <w:szCs w:val="24"/>
        </w:rPr>
        <w:t>erefore, cultural animosity could influence international brands/companies in different ways, one of which is the threat of boycotting from consumers who belong to the opposite culture (</w:t>
      </w:r>
      <w:proofErr w:type="spellStart"/>
      <w:r w:rsidRPr="00BE5DAB">
        <w:rPr>
          <w:rFonts w:ascii="Times New Roman" w:eastAsia="Cambria" w:hAnsi="Times New Roman" w:cs="Times New Roman"/>
          <w:sz w:val="24"/>
          <w:szCs w:val="24"/>
        </w:rPr>
        <w:t>Kalliny</w:t>
      </w:r>
      <w:proofErr w:type="spellEnd"/>
      <w:r w:rsidRPr="00BE5DAB">
        <w:rPr>
          <w:rFonts w:ascii="Times New Roman" w:eastAsia="Cambria" w:hAnsi="Times New Roman" w:cs="Times New Roman"/>
          <w:sz w:val="24"/>
          <w:szCs w:val="24"/>
        </w:rPr>
        <w:t xml:space="preserve"> et al., 2017).</w:t>
      </w:r>
    </w:p>
    <w:p w14:paraId="299BDEDA"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5BC10E56"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Middle Eastern People in the UK</w:t>
      </w:r>
    </w:p>
    <w:p w14:paraId="184FDB7A"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bidi="ar"/>
        </w:rPr>
        <w:t xml:space="preserve">In the city of London alone, more than four percent of its population is originally from the Middle East. </w:t>
      </w:r>
      <w:proofErr w:type="spellStart"/>
      <w:r w:rsidRPr="00BE5DAB">
        <w:rPr>
          <w:rFonts w:ascii="Times New Roman" w:eastAsia="SimSun" w:hAnsi="Times New Roman" w:cs="Times New Roman"/>
          <w:sz w:val="24"/>
          <w:szCs w:val="24"/>
          <w:lang w:eastAsia="zh-CN"/>
        </w:rPr>
        <w:t>Akram</w:t>
      </w:r>
      <w:proofErr w:type="spellEnd"/>
      <w:r w:rsidRPr="00BE5DAB">
        <w:rPr>
          <w:rFonts w:ascii="Times New Roman" w:eastAsia="SimSun" w:hAnsi="Times New Roman" w:cs="Times New Roman"/>
          <w:sz w:val="24"/>
          <w:szCs w:val="24"/>
          <w:lang w:eastAsia="zh-CN"/>
        </w:rPr>
        <w:t xml:space="preserve"> (2021) highlighted this fact as follows: </w:t>
      </w:r>
    </w:p>
    <w:p w14:paraId="4AA38FD1"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7FD11D1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r w:rsidRPr="00BE5DAB">
        <w:rPr>
          <w:rFonts w:ascii="Times New Roman" w:eastAsia="Cambria" w:hAnsi="Times New Roman" w:cs="Times New Roman"/>
          <w:i/>
          <w:iCs/>
          <w:sz w:val="20"/>
          <w:szCs w:val="20"/>
          <w:lang w:eastAsia="zh-CN"/>
        </w:rPr>
        <w:t>The centre is based in Kensington, the London borough with one of the highest proportions of people with Arab origins at 4.1 recent of its population – the highest proportion (7.2 percent) live in Westminster – according to analysis on the last 2011 census.</w:t>
      </w:r>
    </w:p>
    <w:p w14:paraId="1456D9B9"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62EB4F2B"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r w:rsidRPr="00BE5DAB">
        <w:rPr>
          <w:rFonts w:ascii="Times New Roman" w:eastAsia="Cambria" w:hAnsi="Times New Roman" w:cs="Times New Roman"/>
          <w:sz w:val="24"/>
          <w:szCs w:val="24"/>
          <w:lang w:eastAsia="zh-CN"/>
        </w:rPr>
        <w:t xml:space="preserve">The percentage of Middle Eastern people represents more than 360,000 people. </w:t>
      </w:r>
      <w:proofErr w:type="spellStart"/>
      <w:r w:rsidRPr="00BE5DAB">
        <w:rPr>
          <w:rFonts w:ascii="Times New Roman" w:eastAsia="SimSun" w:hAnsi="Times New Roman" w:cs="Times New Roman"/>
          <w:sz w:val="24"/>
          <w:szCs w:val="24"/>
          <w:lang w:eastAsia="zh-CN"/>
        </w:rPr>
        <w:t>Akram</w:t>
      </w:r>
      <w:proofErr w:type="spellEnd"/>
      <w:r w:rsidRPr="00BE5DAB">
        <w:rPr>
          <w:rFonts w:ascii="Times New Roman" w:eastAsia="SimSun" w:hAnsi="Times New Roman" w:cs="Times New Roman"/>
          <w:sz w:val="24"/>
          <w:szCs w:val="24"/>
          <w:lang w:eastAsia="zh-CN"/>
        </w:rPr>
        <w:t xml:space="preserve"> (2021) mentioned this fact as follows: </w:t>
      </w:r>
    </w:p>
    <w:p w14:paraId="784910F7"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261CC699"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r w:rsidRPr="00BE5DAB">
        <w:rPr>
          <w:rFonts w:ascii="Times New Roman" w:eastAsia="Cambria" w:hAnsi="Times New Roman" w:cs="Times New Roman"/>
          <w:i/>
          <w:iCs/>
          <w:sz w:val="20"/>
          <w:szCs w:val="20"/>
          <w:lang w:eastAsia="zh-CN"/>
        </w:rPr>
        <w:t>Through the census, it identified 240,545 people who ticked the 'Arab' box plus another 126,224 who self-identified as 'Arab African', 'White &amp; Arab', 'Moroccan', 'North African', 'Somali', 'Somalilander' or 'White and North African' through written responses.</w:t>
      </w:r>
    </w:p>
    <w:p w14:paraId="38FBA097"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284CA5DC"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Middle Easterners who arrive in the UK have created a new ethnic group that lives in concentrated areas in London, one of which is the area of Edgware Road, in the centre of </w:t>
      </w:r>
      <w:r w:rsidRPr="00BE5DAB">
        <w:rPr>
          <w:rFonts w:ascii="Times New Roman" w:eastAsia="Cambria" w:hAnsi="Times New Roman" w:cs="Times New Roman"/>
          <w:sz w:val="24"/>
          <w:szCs w:val="24"/>
          <w:lang w:eastAsia="zh-CN"/>
        </w:rPr>
        <w:lastRenderedPageBreak/>
        <w:t>London. In this area, one can notice that the shop signs are all bilingual (English language and Arabic language).  In his book, Oswald (1999, p. 312) defined ‘ethnicity’ as follows:</w:t>
      </w:r>
    </w:p>
    <w:p w14:paraId="1F83BD12"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1BF90E58"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r w:rsidRPr="00BE5DAB">
        <w:rPr>
          <w:rFonts w:ascii="Times New Roman" w:eastAsia="Cambria" w:hAnsi="Times New Roman" w:cs="Times New Roman"/>
          <w:i/>
          <w:iCs/>
          <w:sz w:val="20"/>
          <w:szCs w:val="20"/>
          <w:lang w:eastAsia="zh-CN"/>
        </w:rPr>
        <w:t>language, customs, representations of the past, religious beliefs, a sense of common origin, rules of comportment, behaviours that contrast with those of outsiders – all symbolise boundaries of inclusion and exclusion between social groups, levels and modes of belonging, leadership modalities and social identity.</w:t>
      </w:r>
    </w:p>
    <w:p w14:paraId="3CA7FF4A"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zh-CN"/>
        </w:rPr>
      </w:pPr>
    </w:p>
    <w:p w14:paraId="13F99200"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It is important to note that people who share the same Ethnocentrism background tend to share similar consumer behaviour, namely: they tend to buy products that are </w:t>
      </w:r>
      <w:proofErr w:type="gramStart"/>
      <w:r w:rsidRPr="00BE5DAB">
        <w:rPr>
          <w:rFonts w:ascii="Times New Roman" w:eastAsia="Cambria" w:hAnsi="Times New Roman" w:cs="Times New Roman"/>
          <w:sz w:val="24"/>
          <w:szCs w:val="24"/>
          <w:lang w:eastAsia="zh-CN"/>
        </w:rPr>
        <w:t>similar to</w:t>
      </w:r>
      <w:proofErr w:type="gramEnd"/>
      <w:r w:rsidRPr="00BE5DAB">
        <w:rPr>
          <w:rFonts w:ascii="Times New Roman" w:eastAsia="Cambria" w:hAnsi="Times New Roman" w:cs="Times New Roman"/>
          <w:sz w:val="24"/>
          <w:szCs w:val="24"/>
          <w:lang w:eastAsia="zh-CN"/>
        </w:rPr>
        <w:t xml:space="preserve"> the products that are common in their culture (</w:t>
      </w:r>
      <w:proofErr w:type="spellStart"/>
      <w:r w:rsidRPr="00BE5DAB">
        <w:rPr>
          <w:rFonts w:ascii="Times New Roman" w:eastAsia="Cambria" w:hAnsi="Times New Roman" w:cs="Times New Roman"/>
          <w:sz w:val="24"/>
          <w:szCs w:val="24"/>
          <w:lang w:eastAsia="zh-CN"/>
        </w:rPr>
        <w:t>Cutura</w:t>
      </w:r>
      <w:proofErr w:type="spellEnd"/>
      <w:r w:rsidRPr="00BE5DAB">
        <w:rPr>
          <w:rFonts w:ascii="Times New Roman" w:eastAsia="Cambria" w:hAnsi="Times New Roman" w:cs="Times New Roman"/>
          <w:sz w:val="24"/>
          <w:szCs w:val="24"/>
          <w:lang w:eastAsia="zh-CN"/>
        </w:rPr>
        <w:t xml:space="preserve">, 2013). Therefore, it is rational to expect Middle Eastern consumers who live in London to buy products that are </w:t>
      </w:r>
      <w:proofErr w:type="gramStart"/>
      <w:r w:rsidRPr="00BE5DAB">
        <w:rPr>
          <w:rFonts w:ascii="Times New Roman" w:eastAsia="Cambria" w:hAnsi="Times New Roman" w:cs="Times New Roman"/>
          <w:sz w:val="24"/>
          <w:szCs w:val="24"/>
          <w:lang w:eastAsia="zh-CN"/>
        </w:rPr>
        <w:t>similar to</w:t>
      </w:r>
      <w:proofErr w:type="gramEnd"/>
      <w:r w:rsidRPr="00BE5DAB">
        <w:rPr>
          <w:rFonts w:ascii="Times New Roman" w:eastAsia="Cambria" w:hAnsi="Times New Roman" w:cs="Times New Roman"/>
          <w:sz w:val="24"/>
          <w:szCs w:val="24"/>
          <w:lang w:eastAsia="zh-CN"/>
        </w:rPr>
        <w:t xml:space="preserve"> the products that are common in their cultures. Islam is the dominant religion of the Middle Eastern population (Statista Research Department, 2014). Therefore, it is rational to assume that </w:t>
      </w:r>
      <w:proofErr w:type="gramStart"/>
      <w:r w:rsidRPr="00BE5DAB">
        <w:rPr>
          <w:rFonts w:ascii="Times New Roman" w:eastAsia="Cambria" w:hAnsi="Times New Roman" w:cs="Times New Roman"/>
          <w:sz w:val="24"/>
          <w:szCs w:val="24"/>
          <w:lang w:eastAsia="zh-CN"/>
        </w:rPr>
        <w:t>the majority of</w:t>
      </w:r>
      <w:proofErr w:type="gramEnd"/>
      <w:r w:rsidRPr="00BE5DAB">
        <w:rPr>
          <w:rFonts w:ascii="Times New Roman" w:eastAsia="Cambria" w:hAnsi="Times New Roman" w:cs="Times New Roman"/>
          <w:sz w:val="24"/>
          <w:szCs w:val="24"/>
          <w:lang w:eastAsia="zh-CN"/>
        </w:rPr>
        <w:t xml:space="preserve"> the Middle Eastern people who live in London are Muslims (National Archives, 2015). This work aims to understand the consumer behaviour of the Middle Eastern community in London. Therefore, the religion and consideration of the community can help the study to identify the best questions and locations to address to collect capture an accurate image of what determines the behaviour of Middle Eastern consumers.  </w:t>
      </w:r>
    </w:p>
    <w:p w14:paraId="6862D4DA"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328C9AA5"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SimSun" w:hAnsi="Times New Roman" w:cs="Times New Roman"/>
          <w:b/>
          <w:bCs/>
          <w:sz w:val="24"/>
          <w:szCs w:val="24"/>
          <w:lang w:eastAsia="zh-CN" w:bidi="ar"/>
        </w:rPr>
      </w:pPr>
      <w:r w:rsidRPr="00BE5DAB">
        <w:rPr>
          <w:rFonts w:ascii="Times New Roman" w:eastAsia="SimSun" w:hAnsi="Times New Roman" w:cs="Times New Roman"/>
          <w:b/>
          <w:bCs/>
          <w:sz w:val="24"/>
          <w:szCs w:val="24"/>
          <w:lang w:eastAsia="zh-CN" w:bidi="ar"/>
        </w:rPr>
        <w:t>Brand Loyalty</w:t>
      </w:r>
    </w:p>
    <w:p w14:paraId="5715718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In the viewpoint of Shin et al. (2019) brand loyalty can be defined as the biased </w:t>
      </w:r>
      <w:r w:rsidRPr="00BE5DAB">
        <w:rPr>
          <w:rFonts w:ascii="Times New Roman" w:eastAsia="Cambria" w:hAnsi="Times New Roman" w:cs="Times New Roman"/>
          <w:sz w:val="24"/>
          <w:szCs w:val="24"/>
        </w:rPr>
        <w:t>behavioural</w:t>
      </w:r>
      <w:r w:rsidRPr="00BE5DAB">
        <w:rPr>
          <w:rFonts w:ascii="Times New Roman" w:eastAsia="Cambria" w:hAnsi="Times New Roman" w:cs="Times New Roman"/>
          <w:sz w:val="24"/>
          <w:szCs w:val="24"/>
          <w:lang w:val="en-US"/>
        </w:rPr>
        <w:t xml:space="preserve"> response expressed by individuals with some decision-making unit over a period related to a certain brand or bunch of available brands. The presence of a strong brand among the consumers results in achieving preference towards it by the consumers, thereby increasing brand loyalty. The loyal consumers for a brand are those who are unwilling to switch their preference over to other brands and feel comfortable and satisfied with the brand they prefer. Similarly, </w:t>
      </w:r>
      <w:proofErr w:type="spellStart"/>
      <w:r w:rsidRPr="00BE5DAB">
        <w:rPr>
          <w:rFonts w:ascii="Times New Roman" w:eastAsia="Cambria" w:hAnsi="Times New Roman" w:cs="Times New Roman"/>
          <w:sz w:val="24"/>
          <w:szCs w:val="24"/>
          <w:lang w:val="en-US"/>
        </w:rPr>
        <w:t>Susanti</w:t>
      </w:r>
      <w:proofErr w:type="spellEnd"/>
      <w:r w:rsidRPr="00BE5DAB">
        <w:rPr>
          <w:rFonts w:ascii="Times New Roman" w:eastAsia="Cambria" w:hAnsi="Times New Roman" w:cs="Times New Roman"/>
          <w:sz w:val="24"/>
          <w:szCs w:val="24"/>
          <w:lang w:val="en-US"/>
        </w:rPr>
        <w:t xml:space="preserve"> (2020) referred to brand loyalty as the result achieved through a brand trust which builds high-value relationships towards a specific brand. It is the result of customers’ trust towards a product that guides them to purchase the same product again in the future. By having high brand loyalty, a company benefits through having more brand awareness in the market as compared to its competitors.</w:t>
      </w:r>
    </w:p>
    <w:p w14:paraId="6CB1FE3E"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Fazal and Kanwal (2017) emphasised in their study that brand loyalty comprises two core elements, attitudinal </w:t>
      </w:r>
      <w:proofErr w:type="gramStart"/>
      <w:r w:rsidRPr="00BE5DAB">
        <w:rPr>
          <w:rFonts w:ascii="Times New Roman" w:eastAsia="Cambria" w:hAnsi="Times New Roman" w:cs="Times New Roman"/>
          <w:sz w:val="24"/>
          <w:szCs w:val="24"/>
          <w:lang w:eastAsia="zh-CN"/>
        </w:rPr>
        <w:t>loyalty</w:t>
      </w:r>
      <w:proofErr w:type="gramEnd"/>
      <w:r w:rsidRPr="00BE5DAB">
        <w:rPr>
          <w:rFonts w:ascii="Times New Roman" w:eastAsia="Cambria" w:hAnsi="Times New Roman" w:cs="Times New Roman"/>
          <w:sz w:val="24"/>
          <w:szCs w:val="24"/>
          <w:lang w:eastAsia="zh-CN"/>
        </w:rPr>
        <w:t xml:space="preserve"> and behavioural loyalty. Attitudinal loyalty refers to the buyer’s attitudes towards the brand and factors such as brand commitment, re-purchasing of the brand’s products and providing positive feedback influence attitudinal loyalty. While behavioural </w:t>
      </w:r>
      <w:r w:rsidRPr="00BE5DAB">
        <w:rPr>
          <w:rFonts w:ascii="Times New Roman" w:eastAsia="Cambria" w:hAnsi="Times New Roman" w:cs="Times New Roman"/>
          <w:sz w:val="24"/>
          <w:szCs w:val="24"/>
          <w:lang w:eastAsia="zh-CN"/>
        </w:rPr>
        <w:lastRenderedPageBreak/>
        <w:t>loyalty is mainly concerned with the repetitive purchasing behaviour of the consumers, the proportion of purchases made and the rate at which repetitive purchases of a brand’s products occurred. Furthermore, Akhtar et al. (2016) examined the impact of price, brand awareness and packaging on brand loyalty of consumers and reflected that brand loyalty is significantly influenced by each of these factors relatively. The study reflected that with an effective packaging of the products and high brand awareness, high brand loyalty is achieved, however, the price of the products has been found to have a weak relationship with brand loyalty and does not influence the preference of the consumers.</w:t>
      </w:r>
    </w:p>
    <w:p w14:paraId="0373906E"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In addition to this, </w:t>
      </w:r>
      <w:proofErr w:type="spellStart"/>
      <w:r w:rsidRPr="00BE5DAB">
        <w:rPr>
          <w:rFonts w:ascii="Times New Roman" w:eastAsia="Cambria" w:hAnsi="Times New Roman" w:cs="Times New Roman"/>
          <w:sz w:val="24"/>
          <w:szCs w:val="24"/>
          <w:lang w:eastAsia="zh-CN"/>
        </w:rPr>
        <w:t>TeTu</w:t>
      </w:r>
      <w:proofErr w:type="spellEnd"/>
      <w:r w:rsidRPr="00BE5DAB">
        <w:rPr>
          <w:rFonts w:ascii="Times New Roman" w:eastAsia="Cambria" w:hAnsi="Times New Roman" w:cs="Times New Roman"/>
          <w:sz w:val="24"/>
          <w:szCs w:val="24"/>
          <w:lang w:eastAsia="zh-CN"/>
        </w:rPr>
        <w:t xml:space="preserve">, Lin and Hsu (2013) investigated in their study the impact of customer commitment and brand image on brand loyalty and identified an evident relationship between them. It was emphasised in the study that the effective corporate brand image in the market influences brand loyalty positively and thus, it is necessary to maintain a high reputation within the competitive environment. Similarly, the commitment of the consumers towards a </w:t>
      </w:r>
      <w:proofErr w:type="gramStart"/>
      <w:r w:rsidRPr="00BE5DAB">
        <w:rPr>
          <w:rFonts w:ascii="Times New Roman" w:eastAsia="Cambria" w:hAnsi="Times New Roman" w:cs="Times New Roman"/>
          <w:sz w:val="24"/>
          <w:szCs w:val="24"/>
          <w:lang w:eastAsia="zh-CN"/>
        </w:rPr>
        <w:t>specific product results</w:t>
      </w:r>
      <w:proofErr w:type="gramEnd"/>
      <w:r w:rsidRPr="00BE5DAB">
        <w:rPr>
          <w:rFonts w:ascii="Times New Roman" w:eastAsia="Cambria" w:hAnsi="Times New Roman" w:cs="Times New Roman"/>
          <w:sz w:val="24"/>
          <w:szCs w:val="24"/>
          <w:lang w:eastAsia="zh-CN"/>
        </w:rPr>
        <w:t xml:space="preserve"> in repetitive purchasing behaviour from them, thereby inducing high brand loyalty from them. Moreover, </w:t>
      </w:r>
      <w:proofErr w:type="spellStart"/>
      <w:r w:rsidRPr="00BE5DAB">
        <w:rPr>
          <w:rFonts w:ascii="Times New Roman" w:eastAsia="Cambria" w:hAnsi="Times New Roman" w:cs="Times New Roman"/>
          <w:sz w:val="24"/>
          <w:szCs w:val="24"/>
          <w:lang w:eastAsia="zh-CN"/>
        </w:rPr>
        <w:t>Subaebasni</w:t>
      </w:r>
      <w:proofErr w:type="spellEnd"/>
      <w:r w:rsidRPr="00BE5DAB">
        <w:rPr>
          <w:rFonts w:ascii="Times New Roman" w:eastAsia="Cambria" w:hAnsi="Times New Roman" w:cs="Times New Roman"/>
          <w:sz w:val="24"/>
          <w:szCs w:val="24"/>
          <w:lang w:eastAsia="zh-CN"/>
        </w:rPr>
        <w:t xml:space="preserve">, </w:t>
      </w:r>
      <w:proofErr w:type="spellStart"/>
      <w:r w:rsidRPr="00BE5DAB">
        <w:rPr>
          <w:rFonts w:ascii="Times New Roman" w:eastAsia="Cambria" w:hAnsi="Times New Roman" w:cs="Times New Roman"/>
          <w:sz w:val="24"/>
          <w:szCs w:val="24"/>
          <w:lang w:eastAsia="zh-CN"/>
        </w:rPr>
        <w:t>Risnawaty</w:t>
      </w:r>
      <w:proofErr w:type="spellEnd"/>
      <w:r w:rsidRPr="00BE5DAB">
        <w:rPr>
          <w:rFonts w:ascii="Times New Roman" w:eastAsia="Cambria" w:hAnsi="Times New Roman" w:cs="Times New Roman"/>
          <w:sz w:val="24"/>
          <w:szCs w:val="24"/>
          <w:lang w:eastAsia="zh-CN"/>
        </w:rPr>
        <w:t xml:space="preserve"> and </w:t>
      </w:r>
      <w:proofErr w:type="spellStart"/>
      <w:r w:rsidRPr="00BE5DAB">
        <w:rPr>
          <w:rFonts w:ascii="Times New Roman" w:eastAsia="Cambria" w:hAnsi="Times New Roman" w:cs="Times New Roman"/>
          <w:sz w:val="24"/>
          <w:szCs w:val="24"/>
          <w:lang w:eastAsia="zh-CN"/>
        </w:rPr>
        <w:t>Wicaksono</w:t>
      </w:r>
      <w:proofErr w:type="spellEnd"/>
      <w:r w:rsidRPr="00BE5DAB">
        <w:rPr>
          <w:rFonts w:ascii="Times New Roman" w:eastAsia="Cambria" w:hAnsi="Times New Roman" w:cs="Times New Roman"/>
          <w:sz w:val="24"/>
          <w:szCs w:val="24"/>
          <w:lang w:eastAsia="zh-CN"/>
        </w:rPr>
        <w:t xml:space="preserve"> (2019) examined how the customer satisfaction and service quality offered by a brand’s products significantly impacts the brand loyalty of the consumers. Effective service quality and brand image influence customer satisfaction positively, which in turn enhances brand loyalty. When the customers are satisfied with the consumption of a brand’s product, their trust in the brand increases in terms of the quality and service offered. This impacts consumers’ minds and guides them for repetitive purchasing of the same brand’s products, thus strengthening relationships with the brand and improving brand loyalty.</w:t>
      </w:r>
    </w:p>
    <w:p w14:paraId="037881D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Ha et al. (2011) indicated in their study that advertising and marketing of products indirectly improve brand loyalty. The expenditures performed by a firm on the marketing improve the brand image and awareness of its products in the market. In the above discussions, it has been verified that these two factors positively influence brand loyalty for a firm, thus with high brand awareness in the market due to extensive advertising, the brand loyalty toward the firm’s products is influenced positively.</w:t>
      </w:r>
    </w:p>
    <w:p w14:paraId="4119B939"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12E38851"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Cambria" w:hAnsi="Times New Roman" w:cs="Times New Roman"/>
          <w:b/>
          <w:bCs/>
          <w:sz w:val="24"/>
          <w:szCs w:val="24"/>
          <w:lang w:eastAsia="zh-CN"/>
        </w:rPr>
      </w:pPr>
      <w:r w:rsidRPr="00BE5DAB">
        <w:rPr>
          <w:rFonts w:ascii="Times New Roman" w:eastAsia="Cambria" w:hAnsi="Times New Roman" w:cs="Times New Roman"/>
          <w:b/>
          <w:bCs/>
          <w:sz w:val="24"/>
          <w:szCs w:val="24"/>
          <w:lang w:eastAsia="zh-CN"/>
        </w:rPr>
        <w:t xml:space="preserve">Keller’ Brand Equity Model </w:t>
      </w:r>
    </w:p>
    <w:p w14:paraId="3DF13F4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Keller’s Brand Equity Model also known as the CBBE Model (Consumer-Based Brand Equity) proposed by Kevin Lane Keller proposed that for developing a strong brand, it is essential to assess the consumers’ perceptions towards the brand’s products (</w:t>
      </w:r>
      <w:proofErr w:type="spellStart"/>
      <w:r w:rsidRPr="00BE5DAB">
        <w:rPr>
          <w:rFonts w:ascii="Times New Roman" w:eastAsia="Cambria" w:hAnsi="Times New Roman" w:cs="Times New Roman"/>
          <w:sz w:val="24"/>
          <w:szCs w:val="24"/>
          <w:lang w:val="en-US"/>
        </w:rPr>
        <w:t>Chunling</w:t>
      </w:r>
      <w:proofErr w:type="spellEnd"/>
      <w:r w:rsidRPr="00BE5DAB">
        <w:rPr>
          <w:rFonts w:ascii="Times New Roman" w:eastAsia="Cambria" w:hAnsi="Times New Roman" w:cs="Times New Roman"/>
          <w:sz w:val="24"/>
          <w:szCs w:val="24"/>
          <w:lang w:val="en-US"/>
        </w:rPr>
        <w:t xml:space="preserve">, Ping and </w:t>
      </w:r>
      <w:proofErr w:type="spellStart"/>
      <w:r w:rsidRPr="00BE5DAB">
        <w:rPr>
          <w:rFonts w:ascii="Times New Roman" w:eastAsia="Cambria" w:hAnsi="Times New Roman" w:cs="Times New Roman"/>
          <w:sz w:val="24"/>
          <w:szCs w:val="24"/>
          <w:lang w:val="en-US"/>
        </w:rPr>
        <w:t>Haizhong</w:t>
      </w:r>
      <w:proofErr w:type="spellEnd"/>
      <w:r w:rsidRPr="00BE5DAB">
        <w:rPr>
          <w:rFonts w:ascii="Times New Roman" w:eastAsia="Cambria" w:hAnsi="Times New Roman" w:cs="Times New Roman"/>
          <w:sz w:val="24"/>
          <w:szCs w:val="24"/>
          <w:lang w:val="en-US"/>
        </w:rPr>
        <w:t xml:space="preserve">, 2008). The firm has the right to establish suitable and preferable experiences around the brand </w:t>
      </w:r>
      <w:r w:rsidRPr="00BE5DAB">
        <w:rPr>
          <w:rFonts w:ascii="Times New Roman" w:eastAsia="Cambria" w:hAnsi="Times New Roman" w:cs="Times New Roman"/>
          <w:sz w:val="24"/>
          <w:szCs w:val="24"/>
          <w:lang w:val="en-US"/>
        </w:rPr>
        <w:lastRenderedPageBreak/>
        <w:t xml:space="preserve">to persuade the consumers to have positive approach feelings, thoughts, </w:t>
      </w:r>
      <w:proofErr w:type="gramStart"/>
      <w:r w:rsidRPr="00BE5DAB">
        <w:rPr>
          <w:rFonts w:ascii="Times New Roman" w:eastAsia="Cambria" w:hAnsi="Times New Roman" w:cs="Times New Roman"/>
          <w:sz w:val="24"/>
          <w:szCs w:val="24"/>
          <w:lang w:val="en-US"/>
        </w:rPr>
        <w:t>perceptions</w:t>
      </w:r>
      <w:proofErr w:type="gramEnd"/>
      <w:r w:rsidRPr="00BE5DAB">
        <w:rPr>
          <w:rFonts w:ascii="Times New Roman" w:eastAsia="Cambria" w:hAnsi="Times New Roman" w:cs="Times New Roman"/>
          <w:sz w:val="24"/>
          <w:szCs w:val="24"/>
          <w:lang w:val="en-US"/>
        </w:rPr>
        <w:t xml:space="preserve"> and opinions towards the brand. When a firm has strong brand equity, the rate of repetitive purchases is likely to increase for the </w:t>
      </w:r>
      <w:proofErr w:type="gramStart"/>
      <w:r w:rsidRPr="00BE5DAB">
        <w:rPr>
          <w:rFonts w:ascii="Times New Roman" w:eastAsia="Cambria" w:hAnsi="Times New Roman" w:cs="Times New Roman"/>
          <w:sz w:val="24"/>
          <w:szCs w:val="24"/>
          <w:lang w:val="en-US"/>
        </w:rPr>
        <w:t>particular brand</w:t>
      </w:r>
      <w:proofErr w:type="gramEnd"/>
      <w:r w:rsidRPr="00BE5DAB">
        <w:rPr>
          <w:rFonts w:ascii="Times New Roman" w:eastAsia="Cambria" w:hAnsi="Times New Roman" w:cs="Times New Roman"/>
          <w:sz w:val="24"/>
          <w:szCs w:val="24"/>
          <w:lang w:val="en-US"/>
        </w:rPr>
        <w:t xml:space="preserve"> by the consumers, moreover, they would recommend the brand to more people, thereby making them loyal towards the brand and improving brand awareness as well. </w:t>
      </w:r>
    </w:p>
    <w:p w14:paraId="6B1554F1"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This model comprises four stages namely, brand identity, brand meaning, brand response and brand relationships as shown in the figure below.</w:t>
      </w:r>
    </w:p>
    <w:p w14:paraId="2C688CB3"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41EA7F47"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4"/>
          <w:szCs w:val="24"/>
          <w:lang w:eastAsia="zh-CN"/>
        </w:rPr>
      </w:pPr>
      <w:r w:rsidRPr="00BE5DAB">
        <w:rPr>
          <w:rFonts w:ascii="Times New Roman" w:eastAsia="Cambria" w:hAnsi="Times New Roman" w:cs="Times New Roman"/>
          <w:b/>
          <w:bCs/>
          <w:sz w:val="20"/>
          <w:szCs w:val="20"/>
          <w:lang w:val="en-US"/>
        </w:rPr>
        <w:t>Figure</w:t>
      </w:r>
      <w:r w:rsidRPr="00BE5DAB">
        <w:rPr>
          <w:rFonts w:ascii="Times New Roman" w:eastAsia="Cambria" w:hAnsi="Times New Roman" w:cs="Times New Roman"/>
          <w:b/>
          <w:bCs/>
          <w:sz w:val="20"/>
          <w:szCs w:val="20"/>
        </w:rPr>
        <w:t xml:space="preserve"> 2.1</w:t>
      </w:r>
      <w:r w:rsidRPr="00BE5DAB">
        <w:rPr>
          <w:rFonts w:ascii="Times New Roman" w:eastAsia="Cambria" w:hAnsi="Times New Roman" w:cs="Times New Roman"/>
          <w:b/>
          <w:bCs/>
          <w:sz w:val="20"/>
          <w:szCs w:val="20"/>
          <w:lang w:val="en-US"/>
        </w:rPr>
        <w:t xml:space="preserve">: Keller’s Brand Equity Model </w:t>
      </w:r>
    </w:p>
    <w:p w14:paraId="5C218EDF"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4"/>
          <w:szCs w:val="24"/>
          <w:lang w:val="en-US"/>
        </w:rPr>
      </w:pPr>
      <w:r w:rsidRPr="00BE5DAB">
        <w:rPr>
          <w:rFonts w:ascii="Times New Roman" w:eastAsia="Cambria" w:hAnsi="Times New Roman" w:cs="Times New Roman"/>
          <w:noProof/>
          <w:lang w:eastAsia="en-GB"/>
        </w:rPr>
        <w:drawing>
          <wp:inline distT="0" distB="0" distL="0" distR="0" wp14:anchorId="656C787C" wp14:editId="0D571CD8">
            <wp:extent cx="5734050" cy="1905000"/>
            <wp:effectExtent l="19050" t="19050" r="19050" b="19050"/>
            <wp:docPr id="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ia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4050" cy="1905000"/>
                    </a:xfrm>
                    <a:prstGeom prst="rect">
                      <a:avLst/>
                    </a:prstGeom>
                    <a:noFill/>
                    <a:ln w="9525" cmpd="sng">
                      <a:solidFill>
                        <a:srgbClr val="000000"/>
                      </a:solidFill>
                      <a:miter lim="800000"/>
                      <a:headEnd/>
                      <a:tailEnd/>
                    </a:ln>
                    <a:effectLst/>
                  </pic:spPr>
                </pic:pic>
              </a:graphicData>
            </a:graphic>
          </wp:inline>
        </w:drawing>
      </w:r>
    </w:p>
    <w:p w14:paraId="0E72F72D"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lang w:val="en-US"/>
        </w:rPr>
        <w:t xml:space="preserve">Source: </w:t>
      </w:r>
      <w:r w:rsidRPr="00BE5DAB">
        <w:rPr>
          <w:rFonts w:ascii="Times New Roman" w:eastAsia="Cambria" w:hAnsi="Times New Roman" w:cs="Times New Roman"/>
          <w:b/>
          <w:bCs/>
          <w:sz w:val="20"/>
          <w:szCs w:val="20"/>
        </w:rPr>
        <w:t>(</w:t>
      </w:r>
      <w:proofErr w:type="spellStart"/>
      <w:r w:rsidRPr="00BE5DAB">
        <w:rPr>
          <w:rFonts w:ascii="Times New Roman" w:eastAsia="Cambria" w:hAnsi="Times New Roman" w:cs="Times New Roman"/>
          <w:b/>
          <w:bCs/>
          <w:sz w:val="20"/>
          <w:szCs w:val="20"/>
          <w:lang w:val="en-US"/>
        </w:rPr>
        <w:t>Farjam</w:t>
      </w:r>
      <w:proofErr w:type="spellEnd"/>
      <w:r w:rsidRPr="00BE5DAB">
        <w:rPr>
          <w:rFonts w:ascii="Times New Roman" w:eastAsia="Cambria" w:hAnsi="Times New Roman" w:cs="Times New Roman"/>
          <w:b/>
          <w:bCs/>
          <w:sz w:val="20"/>
          <w:szCs w:val="20"/>
          <w:lang w:val="en-US"/>
        </w:rPr>
        <w:t xml:space="preserve"> and </w:t>
      </w:r>
      <w:proofErr w:type="spellStart"/>
      <w:r w:rsidRPr="00BE5DAB">
        <w:rPr>
          <w:rFonts w:ascii="Times New Roman" w:eastAsia="Cambria" w:hAnsi="Times New Roman" w:cs="Times New Roman"/>
          <w:b/>
          <w:bCs/>
          <w:sz w:val="20"/>
          <w:szCs w:val="20"/>
          <w:lang w:val="en-US"/>
        </w:rPr>
        <w:t>Hongyi</w:t>
      </w:r>
      <w:proofErr w:type="spellEnd"/>
      <w:r w:rsidRPr="00BE5DAB">
        <w:rPr>
          <w:rFonts w:ascii="Times New Roman" w:eastAsia="Cambria" w:hAnsi="Times New Roman" w:cs="Times New Roman"/>
          <w:b/>
          <w:bCs/>
          <w:sz w:val="20"/>
          <w:szCs w:val="20"/>
          <w:lang w:val="en-US"/>
        </w:rPr>
        <w:t>, 201</w:t>
      </w:r>
      <w:r w:rsidRPr="00BE5DAB">
        <w:rPr>
          <w:rFonts w:ascii="Times New Roman" w:eastAsia="Cambria" w:hAnsi="Times New Roman" w:cs="Times New Roman"/>
          <w:b/>
          <w:bCs/>
          <w:sz w:val="20"/>
          <w:szCs w:val="20"/>
        </w:rPr>
        <w:t>5)</w:t>
      </w:r>
    </w:p>
    <w:p w14:paraId="6B813DF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p>
    <w:p w14:paraId="5833AEB5"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The report from </w:t>
      </w:r>
      <w:proofErr w:type="spellStart"/>
      <w:r w:rsidRPr="00BE5DAB">
        <w:rPr>
          <w:rFonts w:ascii="Times New Roman" w:eastAsia="Cambria" w:hAnsi="Times New Roman" w:cs="Times New Roman"/>
          <w:sz w:val="24"/>
          <w:szCs w:val="24"/>
          <w:lang w:eastAsia="zh-CN"/>
        </w:rPr>
        <w:t>Iftahym</w:t>
      </w:r>
      <w:proofErr w:type="spellEnd"/>
      <w:r w:rsidRPr="00BE5DAB">
        <w:rPr>
          <w:rFonts w:ascii="Times New Roman" w:eastAsia="Cambria" w:hAnsi="Times New Roman" w:cs="Times New Roman"/>
          <w:sz w:val="24"/>
          <w:szCs w:val="24"/>
          <w:lang w:eastAsia="zh-CN"/>
        </w:rPr>
        <w:t xml:space="preserve"> et al. (2019) highlighted major shifts between the Middle Eastern consumer behaviour of KSA (Kingdom of Saudi Arabia) and UAE (United Arab Emirates). It has been indicated that the price sensitivity among the consumers belonging to Middle Eastern countries has risen evidently. In a survey conducted among 2000 consumers, more than 40% of the respondents emphasised on prices of the products more as compared to any other feature. Further, brand loyalty among Middle Eastern consumers is eroding due to price sensitivity among them, thus switching brands over to those which offer less prices is rising among consumers.</w:t>
      </w:r>
    </w:p>
    <w:p w14:paraId="51C23E94"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The initial step for enhancing brand loyalty is improving brand identity by raising awareness about the brand and its products through strategies such as marketing, </w:t>
      </w:r>
      <w:proofErr w:type="gramStart"/>
      <w:r w:rsidRPr="00BE5DAB">
        <w:rPr>
          <w:rFonts w:ascii="Times New Roman" w:eastAsia="Cambria" w:hAnsi="Times New Roman" w:cs="Times New Roman"/>
          <w:sz w:val="24"/>
          <w:szCs w:val="24"/>
          <w:lang w:eastAsia="zh-CN"/>
        </w:rPr>
        <w:t>promotions</w:t>
      </w:r>
      <w:proofErr w:type="gramEnd"/>
      <w:r w:rsidRPr="00BE5DAB">
        <w:rPr>
          <w:rFonts w:ascii="Times New Roman" w:eastAsia="Cambria" w:hAnsi="Times New Roman" w:cs="Times New Roman"/>
          <w:sz w:val="24"/>
          <w:szCs w:val="24"/>
          <w:lang w:eastAsia="zh-CN"/>
        </w:rPr>
        <w:t xml:space="preserve"> and advertising. In this regard, </w:t>
      </w:r>
      <w:proofErr w:type="spellStart"/>
      <w:r w:rsidRPr="00BE5DAB">
        <w:rPr>
          <w:rFonts w:ascii="Times New Roman" w:eastAsia="Cambria" w:hAnsi="Times New Roman" w:cs="Times New Roman"/>
          <w:sz w:val="24"/>
          <w:szCs w:val="24"/>
          <w:lang w:eastAsia="zh-CN"/>
        </w:rPr>
        <w:t>Busnaina</w:t>
      </w:r>
      <w:proofErr w:type="spellEnd"/>
      <w:r w:rsidRPr="00BE5DAB">
        <w:rPr>
          <w:rFonts w:ascii="Times New Roman" w:eastAsia="Cambria" w:hAnsi="Times New Roman" w:cs="Times New Roman"/>
          <w:sz w:val="24"/>
          <w:szCs w:val="24"/>
          <w:lang w:eastAsia="zh-CN"/>
        </w:rPr>
        <w:t xml:space="preserve"> (2014) highlighted that brand identity plays a crucial role in improving brand loyalty among Middle Eastern consumers related to fashion products. For instance, in the Arab countries, fashion brands such a Burberry, H&amp;M and Levi’s and GUESS had shown keen interest in raising their respective market gains through enhancing brand loyalty, however, Burberry was found to be </w:t>
      </w:r>
      <w:proofErr w:type="gramStart"/>
      <w:r w:rsidRPr="00BE5DAB">
        <w:rPr>
          <w:rFonts w:ascii="Times New Roman" w:eastAsia="Cambria" w:hAnsi="Times New Roman" w:cs="Times New Roman"/>
          <w:sz w:val="24"/>
          <w:szCs w:val="24"/>
          <w:lang w:eastAsia="zh-CN"/>
        </w:rPr>
        <w:t>a more preferable</w:t>
      </w:r>
      <w:proofErr w:type="gramEnd"/>
      <w:r w:rsidRPr="00BE5DAB">
        <w:rPr>
          <w:rFonts w:ascii="Times New Roman" w:eastAsia="Cambria" w:hAnsi="Times New Roman" w:cs="Times New Roman"/>
          <w:sz w:val="24"/>
          <w:szCs w:val="24"/>
          <w:lang w:eastAsia="zh-CN"/>
        </w:rPr>
        <w:t xml:space="preserve"> choice of the Arab consumers </w:t>
      </w:r>
      <w:r w:rsidRPr="00BE5DAB">
        <w:rPr>
          <w:rFonts w:ascii="Times New Roman" w:eastAsia="Cambria" w:hAnsi="Times New Roman" w:cs="Times New Roman"/>
          <w:sz w:val="24"/>
          <w:szCs w:val="24"/>
          <w:lang w:eastAsia="zh-CN"/>
        </w:rPr>
        <w:lastRenderedPageBreak/>
        <w:t xml:space="preserve">as the firm focussed on correct perceptions of the consumers along with raising proper brand awareness. The second step of the brand equity model focuses on brand meaning, which further guides to improve the performance and characteristics of the products. This includes the reliability, service quality, </w:t>
      </w:r>
      <w:proofErr w:type="gramStart"/>
      <w:r w:rsidRPr="00BE5DAB">
        <w:rPr>
          <w:rFonts w:ascii="Times New Roman" w:eastAsia="Cambria" w:hAnsi="Times New Roman" w:cs="Times New Roman"/>
          <w:sz w:val="24"/>
          <w:szCs w:val="24"/>
          <w:lang w:eastAsia="zh-CN"/>
        </w:rPr>
        <w:t>durability</w:t>
      </w:r>
      <w:proofErr w:type="gramEnd"/>
      <w:r w:rsidRPr="00BE5DAB">
        <w:rPr>
          <w:rFonts w:ascii="Times New Roman" w:eastAsia="Cambria" w:hAnsi="Times New Roman" w:cs="Times New Roman"/>
          <w:sz w:val="24"/>
          <w:szCs w:val="24"/>
          <w:lang w:eastAsia="zh-CN"/>
        </w:rPr>
        <w:t xml:space="preserve"> and efficiency of the brand. This can be supported by </w:t>
      </w:r>
      <w:proofErr w:type="spellStart"/>
      <w:r w:rsidRPr="00BE5DAB">
        <w:rPr>
          <w:rFonts w:ascii="Times New Roman" w:eastAsia="Cambria" w:hAnsi="Times New Roman" w:cs="Times New Roman"/>
          <w:sz w:val="24"/>
          <w:szCs w:val="24"/>
          <w:lang w:eastAsia="zh-CN"/>
        </w:rPr>
        <w:t>Alnasera</w:t>
      </w:r>
      <w:proofErr w:type="spellEnd"/>
      <w:r w:rsidRPr="00BE5DAB">
        <w:rPr>
          <w:rFonts w:ascii="Times New Roman" w:eastAsia="Cambria" w:hAnsi="Times New Roman" w:cs="Times New Roman"/>
          <w:sz w:val="24"/>
          <w:szCs w:val="24"/>
          <w:lang w:eastAsia="zh-CN"/>
        </w:rPr>
        <w:t xml:space="preserve">, Ghani and </w:t>
      </w:r>
      <w:proofErr w:type="spellStart"/>
      <w:r w:rsidRPr="00BE5DAB">
        <w:rPr>
          <w:rFonts w:ascii="Times New Roman" w:eastAsia="Cambria" w:hAnsi="Times New Roman" w:cs="Times New Roman"/>
          <w:sz w:val="24"/>
          <w:szCs w:val="24"/>
          <w:lang w:eastAsia="zh-CN"/>
        </w:rPr>
        <w:t>Rahi</w:t>
      </w:r>
      <w:proofErr w:type="spellEnd"/>
      <w:r w:rsidRPr="00BE5DAB">
        <w:rPr>
          <w:rFonts w:ascii="Times New Roman" w:eastAsia="Cambria" w:hAnsi="Times New Roman" w:cs="Times New Roman"/>
          <w:sz w:val="24"/>
          <w:szCs w:val="24"/>
          <w:lang w:eastAsia="zh-CN"/>
        </w:rPr>
        <w:t xml:space="preserve"> (2018) who indicated that the service quality offered by banks in Palestine influence consumer loyalty relatively, the higher the quality is provided by the firms, the more brand loyalty is likely to be enhanced.</w:t>
      </w:r>
    </w:p>
    <w:p w14:paraId="23E7920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Furthermore, the third step of the model highlights that the consumers review the products and respond towards them in two ways, by feelings and judgements. The feelings can be described as fun, warmth, security, self-respect, </w:t>
      </w:r>
      <w:proofErr w:type="gramStart"/>
      <w:r w:rsidRPr="00BE5DAB">
        <w:rPr>
          <w:rFonts w:ascii="Times New Roman" w:eastAsia="Cambria" w:hAnsi="Times New Roman" w:cs="Times New Roman"/>
          <w:sz w:val="24"/>
          <w:szCs w:val="24"/>
          <w:lang w:eastAsia="zh-CN"/>
        </w:rPr>
        <w:t>excitement</w:t>
      </w:r>
      <w:proofErr w:type="gramEnd"/>
      <w:r w:rsidRPr="00BE5DAB">
        <w:rPr>
          <w:rFonts w:ascii="Times New Roman" w:eastAsia="Cambria" w:hAnsi="Times New Roman" w:cs="Times New Roman"/>
          <w:sz w:val="24"/>
          <w:szCs w:val="24"/>
          <w:lang w:eastAsia="zh-CN"/>
        </w:rPr>
        <w:t xml:space="preserve"> and social approval. The judgements are made by the consumers based on four categories for the brand </w:t>
      </w:r>
      <w:proofErr w:type="gramStart"/>
      <w:r w:rsidRPr="00BE5DAB">
        <w:rPr>
          <w:rFonts w:ascii="Times New Roman" w:eastAsia="Cambria" w:hAnsi="Times New Roman" w:cs="Times New Roman"/>
          <w:sz w:val="24"/>
          <w:szCs w:val="24"/>
          <w:lang w:eastAsia="zh-CN"/>
        </w:rPr>
        <w:t>namely;</w:t>
      </w:r>
      <w:proofErr w:type="gramEnd"/>
      <w:r w:rsidRPr="00BE5DAB">
        <w:rPr>
          <w:rFonts w:ascii="Times New Roman" w:eastAsia="Cambria" w:hAnsi="Times New Roman" w:cs="Times New Roman"/>
          <w:sz w:val="24"/>
          <w:szCs w:val="24"/>
          <w:lang w:eastAsia="zh-CN"/>
        </w:rPr>
        <w:t xml:space="preserve"> quality, consideration, credibility and superiority. Thus, it becomes for the firms to examine the four categories and then adopt strategies for improving them to achieve higher brand loyalty. For instance, in the Egyptian food sector, </w:t>
      </w:r>
      <w:proofErr w:type="spellStart"/>
      <w:r w:rsidRPr="00BE5DAB">
        <w:rPr>
          <w:rFonts w:ascii="Times New Roman" w:eastAsia="Cambria" w:hAnsi="Times New Roman" w:cs="Times New Roman"/>
          <w:sz w:val="24"/>
          <w:szCs w:val="24"/>
          <w:lang w:eastAsia="zh-CN"/>
        </w:rPr>
        <w:t>Mo’Men</w:t>
      </w:r>
      <w:proofErr w:type="spellEnd"/>
      <w:r w:rsidRPr="00BE5DAB">
        <w:rPr>
          <w:rFonts w:ascii="Times New Roman" w:eastAsia="Cambria" w:hAnsi="Times New Roman" w:cs="Times New Roman"/>
          <w:sz w:val="24"/>
          <w:szCs w:val="24"/>
          <w:lang w:eastAsia="zh-CN"/>
        </w:rPr>
        <w:t xml:space="preserve"> Group, a restaurant chain has significantly improved their brand loyalty among the customers by identifying the correct experiences the consumers look out for and improve their quality service and performance for serving the consumers. This resulted in the firm gaining nearly 9.5 million customers a year in 2015 (Ammar, 2018).</w:t>
      </w:r>
    </w:p>
    <w:p w14:paraId="05D9DD5B"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The final step of the Keller Brand Equity Model is brand resonance, which is located at the top of the pyramid and is difficult to achieve. It can be divided into four categories namely, behavioural loyalty, attitudinal attachment, sense of community and active engagement. The primary aim for the firms should be to focus on each of the categories and strengthen them to achieve high brand loyalty and equity. For instance, </w:t>
      </w:r>
      <w:proofErr w:type="spellStart"/>
      <w:r w:rsidRPr="00BE5DAB">
        <w:rPr>
          <w:rFonts w:ascii="Times New Roman" w:eastAsia="Cambria" w:hAnsi="Times New Roman" w:cs="Times New Roman"/>
          <w:sz w:val="24"/>
          <w:szCs w:val="24"/>
          <w:lang w:eastAsia="zh-CN"/>
        </w:rPr>
        <w:t>Alamarai</w:t>
      </w:r>
      <w:proofErr w:type="spellEnd"/>
      <w:r w:rsidRPr="00BE5DAB">
        <w:rPr>
          <w:rFonts w:ascii="Times New Roman" w:eastAsia="Cambria" w:hAnsi="Times New Roman" w:cs="Times New Roman"/>
          <w:sz w:val="24"/>
          <w:szCs w:val="24"/>
          <w:lang w:eastAsia="zh-CN"/>
        </w:rPr>
        <w:t>, an international dairy company in Saudi Arabia has been consistently working upon its brand resonance which resulted in achieving the most loyal customers in Saudi by YouGov Customer Loyalty Rankings 2020 (YouGov, 2021).</w:t>
      </w:r>
    </w:p>
    <w:p w14:paraId="120D9220"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The difference between Aaker’s brand equity model as compared to that of Keller’s model lies in the accuracy of details provided by them. While Keller guides for building strong brand equity through a four-stage pyramidical process, Aaker describes each dimension of the brand equity in a general manner (Steenkamp, 2019). Furthermore, Keller’s brand equity model focuses on emotion, whereas Aaker’s model emphasises recognition and reflects drive recognition as the crucial part for influencing buying behaviour of consumers and their loyalty. The primary similarity between the models is that they suggest establishing brand equity. In addition to this, both models highlight brand awareness, brand loyalty, perceived </w:t>
      </w:r>
      <w:proofErr w:type="gramStart"/>
      <w:r w:rsidRPr="00BE5DAB">
        <w:rPr>
          <w:rFonts w:ascii="Times New Roman" w:eastAsia="Cambria" w:hAnsi="Times New Roman" w:cs="Times New Roman"/>
          <w:sz w:val="24"/>
          <w:szCs w:val="24"/>
          <w:lang w:eastAsia="zh-CN"/>
        </w:rPr>
        <w:t>quality</w:t>
      </w:r>
      <w:proofErr w:type="gramEnd"/>
      <w:r w:rsidRPr="00BE5DAB">
        <w:rPr>
          <w:rFonts w:ascii="Times New Roman" w:eastAsia="Cambria" w:hAnsi="Times New Roman" w:cs="Times New Roman"/>
          <w:sz w:val="24"/>
          <w:szCs w:val="24"/>
          <w:lang w:eastAsia="zh-CN"/>
        </w:rPr>
        <w:t xml:space="preserve"> and brand response in terms of brand associations as the elements/stages for achieving brand equity.</w:t>
      </w:r>
    </w:p>
    <w:p w14:paraId="2DAB9398"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2A49EA03" w14:textId="77777777" w:rsidR="00BE5DAB" w:rsidRPr="00BE5DAB" w:rsidRDefault="00BE5DAB" w:rsidP="00BE5DAB">
      <w:pPr>
        <w:widowControl w:val="0"/>
        <w:numPr>
          <w:ilvl w:val="2"/>
          <w:numId w:val="5"/>
        </w:numPr>
        <w:tabs>
          <w:tab w:val="left" w:pos="0"/>
        </w:tabs>
        <w:autoSpaceDE w:val="0"/>
        <w:autoSpaceDN w:val="0"/>
        <w:spacing w:after="0" w:line="360" w:lineRule="auto"/>
        <w:jc w:val="both"/>
        <w:rPr>
          <w:rFonts w:ascii="Times New Roman" w:eastAsia="Cambria" w:hAnsi="Times New Roman" w:cs="Times New Roman"/>
          <w:b/>
          <w:bCs/>
          <w:sz w:val="24"/>
          <w:szCs w:val="24"/>
          <w:lang w:eastAsia="zh-CN"/>
        </w:rPr>
      </w:pPr>
      <w:r w:rsidRPr="00BE5DAB">
        <w:rPr>
          <w:rFonts w:ascii="Times New Roman" w:eastAsia="Cambria" w:hAnsi="Times New Roman" w:cs="Times New Roman"/>
          <w:b/>
          <w:bCs/>
          <w:sz w:val="24"/>
          <w:szCs w:val="24"/>
          <w:lang w:eastAsia="zh-CN"/>
        </w:rPr>
        <w:t>Tricomponent Attitude Model</w:t>
      </w:r>
    </w:p>
    <w:p w14:paraId="70A34CFA"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In the viewpoint of </w:t>
      </w:r>
      <w:proofErr w:type="spellStart"/>
      <w:r w:rsidRPr="00BE5DAB">
        <w:rPr>
          <w:rFonts w:ascii="Times New Roman" w:eastAsia="Cambria" w:hAnsi="Times New Roman" w:cs="Times New Roman"/>
          <w:sz w:val="24"/>
          <w:szCs w:val="24"/>
          <w:lang w:eastAsia="zh-CN"/>
        </w:rPr>
        <w:t>Makanyeza</w:t>
      </w:r>
      <w:proofErr w:type="spellEnd"/>
      <w:r w:rsidRPr="00BE5DAB">
        <w:rPr>
          <w:rFonts w:ascii="Times New Roman" w:eastAsia="Cambria" w:hAnsi="Times New Roman" w:cs="Times New Roman"/>
          <w:sz w:val="24"/>
          <w:szCs w:val="24"/>
          <w:lang w:eastAsia="zh-CN"/>
        </w:rPr>
        <w:t xml:space="preserve"> (2014), the tricomponent attitude model is an effective framework for understanding the consumers’ different attitudes and their relationship with their buying behaviour. This model suggests that attitudes comprise of three components namely, conation, affect and cognition.  The conation element describes the behavioural intention of the consumers and their tendency for enacting a brand. Affect relates to the consumer’s feelings towards a brand/product and is recognised as the central element for determining the consumer’s predisposition. Cognition refers to the consumers’ perceptions and knowledge of a brand, acquired through different sources and direct experience with the product.</w:t>
      </w:r>
    </w:p>
    <w:p w14:paraId="43CD157F"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2DBE7A96" w14:textId="77777777" w:rsidR="00BE5DAB" w:rsidRPr="00BE5DAB" w:rsidRDefault="00BE5DAB" w:rsidP="00BE5DAB">
      <w:pPr>
        <w:widowControl w:val="0"/>
        <w:numPr>
          <w:ilvl w:val="1"/>
          <w:numId w:val="5"/>
        </w:numPr>
        <w:autoSpaceDE w:val="0"/>
        <w:autoSpaceDN w:val="0"/>
        <w:spacing w:after="0" w:line="360" w:lineRule="auto"/>
        <w:jc w:val="both"/>
        <w:rPr>
          <w:rFonts w:ascii="Times New Roman" w:eastAsia="Cambria" w:hAnsi="Times New Roman" w:cs="Times New Roman"/>
          <w:b/>
          <w:bCs/>
          <w:color w:val="262626" w:themeColor="text1" w:themeTint="D9"/>
          <w:sz w:val="24"/>
          <w:szCs w:val="24"/>
          <w:lang w:eastAsia="zh-CN"/>
        </w:rPr>
      </w:pPr>
      <w:r w:rsidRPr="00BE5DAB">
        <w:rPr>
          <w:rFonts w:ascii="Times New Roman" w:eastAsia="Cambria" w:hAnsi="Times New Roman" w:cs="Times New Roman"/>
          <w:b/>
          <w:bCs/>
          <w:color w:val="0000FF"/>
          <w:sz w:val="24"/>
          <w:szCs w:val="24"/>
          <w:lang w:eastAsia="zh-CN"/>
        </w:rPr>
        <w:t xml:space="preserve"> </w:t>
      </w:r>
      <w:r w:rsidRPr="00BE5DAB">
        <w:rPr>
          <w:rFonts w:ascii="Times New Roman" w:eastAsia="Cambria" w:hAnsi="Times New Roman" w:cs="Times New Roman"/>
          <w:b/>
          <w:bCs/>
          <w:color w:val="262626" w:themeColor="text1" w:themeTint="D9"/>
          <w:sz w:val="24"/>
          <w:szCs w:val="24"/>
          <w:lang w:eastAsia="zh-CN"/>
        </w:rPr>
        <w:t>Conceptual Framework of this Research</w:t>
      </w:r>
    </w:p>
    <w:p w14:paraId="7F7190F9" w14:textId="071D9E18" w:rsidR="00BE5DAB" w:rsidRPr="00BE5DAB" w:rsidRDefault="00BE5DAB" w:rsidP="00BE5DAB">
      <w:pPr>
        <w:autoSpaceDE w:val="0"/>
        <w:autoSpaceDN w:val="0"/>
        <w:spacing w:after="0" w:line="360" w:lineRule="auto"/>
        <w:jc w:val="both"/>
        <w:rPr>
          <w:rFonts w:ascii="Times New Roman" w:eastAsia="Cambria" w:hAnsi="Times New Roman" w:cs="Arial"/>
          <w:color w:val="262626" w:themeColor="text1" w:themeTint="D9"/>
          <w:sz w:val="24"/>
          <w:szCs w:val="24"/>
          <w:lang w:eastAsia="zh-CN"/>
        </w:rPr>
      </w:pPr>
      <w:r w:rsidRPr="00BE5DAB">
        <w:rPr>
          <w:rFonts w:ascii="Times New Roman" w:eastAsia="Cambria" w:hAnsi="Times New Roman" w:cs="Times New Roman"/>
          <w:color w:val="262626" w:themeColor="text1" w:themeTint="D9"/>
          <w:sz w:val="24"/>
          <w:szCs w:val="24"/>
          <w:lang w:eastAsia="zh-CN"/>
        </w:rPr>
        <w:t xml:space="preserve">This research seeks to identify the reasons that lead Arab consumers in London to boycott certain products/brands. </w:t>
      </w:r>
      <w:r w:rsidRPr="00BE5DAB">
        <w:rPr>
          <w:rFonts w:ascii="Times New Roman" w:eastAsia="Cambria" w:hAnsi="Times New Roman" w:cs="Arial"/>
          <w:color w:val="262626" w:themeColor="text1" w:themeTint="D9"/>
          <w:sz w:val="24"/>
          <w:szCs w:val="24"/>
          <w:lang w:eastAsia="zh-CN"/>
        </w:rPr>
        <w:t xml:space="preserve">The work identified four reasons to possess animosity, which leads consumers to boycott products/brands; the study identified these reasons in the previous subsections (see subsections 2.3.1 to 2.3.4). </w:t>
      </w:r>
      <w:r w:rsidRPr="00BE5DAB">
        <w:rPr>
          <w:rFonts w:ascii="Times New Roman" w:eastAsia="Cambria" w:hAnsi="Times New Roman" w:cs="Times New Roman"/>
          <w:color w:val="262626" w:themeColor="text1" w:themeTint="D9"/>
          <w:sz w:val="24"/>
          <w:szCs w:val="24"/>
          <w:lang w:eastAsia="zh-CN"/>
        </w:rPr>
        <w:t xml:space="preserve"> </w:t>
      </w:r>
      <w:r w:rsidRPr="00BE5DAB">
        <w:rPr>
          <w:rFonts w:ascii="Times New Roman" w:eastAsia="Cambria" w:hAnsi="Times New Roman" w:cs="Arial"/>
          <w:color w:val="262626" w:themeColor="text1" w:themeTint="D9"/>
          <w:sz w:val="24"/>
          <w:szCs w:val="24"/>
          <w:lang w:eastAsia="zh-CN"/>
        </w:rPr>
        <w:t xml:space="preserve">The study of </w:t>
      </w:r>
      <w:proofErr w:type="spellStart"/>
      <w:r w:rsidRPr="00BE5DAB">
        <w:rPr>
          <w:rFonts w:ascii="Times New Roman" w:eastAsia="Cambria" w:hAnsi="Times New Roman" w:cs="Arial"/>
          <w:color w:val="262626" w:themeColor="text1" w:themeTint="D9"/>
          <w:sz w:val="24"/>
          <w:szCs w:val="24"/>
          <w:lang w:eastAsia="zh-CN"/>
        </w:rPr>
        <w:t>Kalliny</w:t>
      </w:r>
      <w:proofErr w:type="spellEnd"/>
      <w:r w:rsidRPr="00BE5DAB">
        <w:rPr>
          <w:rFonts w:ascii="Times New Roman" w:eastAsia="Cambria" w:hAnsi="Times New Roman" w:cs="Arial"/>
          <w:color w:val="262626" w:themeColor="text1" w:themeTint="D9"/>
          <w:sz w:val="24"/>
          <w:szCs w:val="24"/>
          <w:lang w:eastAsia="zh-CN"/>
        </w:rPr>
        <w:t xml:space="preserve"> and </w:t>
      </w:r>
      <w:proofErr w:type="spellStart"/>
      <w:r w:rsidRPr="00BE5DAB">
        <w:rPr>
          <w:rFonts w:ascii="Times New Roman" w:eastAsia="Cambria" w:hAnsi="Times New Roman" w:cs="Arial"/>
          <w:color w:val="262626" w:themeColor="text1" w:themeTint="D9"/>
          <w:sz w:val="24"/>
          <w:szCs w:val="24"/>
          <w:lang w:eastAsia="zh-CN"/>
        </w:rPr>
        <w:t>Lemaster</w:t>
      </w:r>
      <w:proofErr w:type="spellEnd"/>
      <w:r w:rsidRPr="00BE5DAB">
        <w:rPr>
          <w:rFonts w:ascii="Times New Roman" w:eastAsia="Cambria" w:hAnsi="Times New Roman" w:cs="Arial"/>
          <w:color w:val="262626" w:themeColor="text1" w:themeTint="D9"/>
          <w:sz w:val="24"/>
          <w:szCs w:val="24"/>
          <w:lang w:eastAsia="zh-CN"/>
        </w:rPr>
        <w:t xml:space="preserve"> (2005) presented a framework that includes these types of animosity triggers/reasons. From the literature review and the framework of </w:t>
      </w:r>
      <w:proofErr w:type="spellStart"/>
      <w:r w:rsidRPr="00BE5DAB">
        <w:rPr>
          <w:rFonts w:ascii="Times New Roman" w:eastAsia="Cambria" w:hAnsi="Times New Roman" w:cs="Arial"/>
          <w:color w:val="262626" w:themeColor="text1" w:themeTint="D9"/>
          <w:sz w:val="24"/>
          <w:szCs w:val="24"/>
          <w:lang w:eastAsia="zh-CN"/>
        </w:rPr>
        <w:t>Kalliny</w:t>
      </w:r>
      <w:proofErr w:type="spellEnd"/>
      <w:r w:rsidRPr="00BE5DAB">
        <w:rPr>
          <w:rFonts w:ascii="Times New Roman" w:eastAsia="Cambria" w:hAnsi="Times New Roman" w:cs="Arial"/>
          <w:color w:val="262626" w:themeColor="text1" w:themeTint="D9"/>
          <w:sz w:val="24"/>
          <w:szCs w:val="24"/>
          <w:lang w:eastAsia="zh-CN"/>
        </w:rPr>
        <w:t xml:space="preserve"> and </w:t>
      </w:r>
      <w:proofErr w:type="spellStart"/>
      <w:r w:rsidRPr="00BE5DAB">
        <w:rPr>
          <w:rFonts w:ascii="Times New Roman" w:eastAsia="Cambria" w:hAnsi="Times New Roman" w:cs="Arial"/>
          <w:color w:val="262626" w:themeColor="text1" w:themeTint="D9"/>
          <w:sz w:val="24"/>
          <w:szCs w:val="24"/>
          <w:lang w:eastAsia="zh-CN"/>
        </w:rPr>
        <w:t>Lemaster</w:t>
      </w:r>
      <w:proofErr w:type="spellEnd"/>
      <w:r w:rsidRPr="00BE5DAB">
        <w:rPr>
          <w:rFonts w:ascii="Times New Roman" w:eastAsia="Cambria" w:hAnsi="Times New Roman" w:cs="Arial"/>
          <w:color w:val="262626" w:themeColor="text1" w:themeTint="D9"/>
          <w:sz w:val="24"/>
          <w:szCs w:val="24"/>
          <w:lang w:eastAsia="zh-CN"/>
        </w:rPr>
        <w:t xml:space="preserve"> (2005). The study adopts the following conceptual framework: </w:t>
      </w:r>
    </w:p>
    <w:p w14:paraId="42D3A169"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p>
    <w:p w14:paraId="4BE403D9" w14:textId="77777777" w:rsidR="00BE5DAB" w:rsidRPr="00BE5DAB" w:rsidRDefault="00BE5DAB" w:rsidP="00BE5DAB">
      <w:pPr>
        <w:autoSpaceDN w:val="0"/>
        <w:spacing w:after="0" w:line="240" w:lineRule="auto"/>
        <w:jc w:val="center"/>
        <w:rPr>
          <w:rFonts w:ascii="Times New Roman" w:eastAsia="SimSun" w:hAnsi="Times New Roman" w:cs="Times New Roman"/>
          <w:b/>
          <w:bCs/>
          <w:sz w:val="20"/>
          <w:szCs w:val="20"/>
          <w:lang w:eastAsia="zh-CN" w:bidi="ar"/>
        </w:rPr>
      </w:pPr>
      <w:r w:rsidRPr="00BE5DAB">
        <w:rPr>
          <w:rFonts w:ascii="Times New Roman" w:eastAsia="SimSun" w:hAnsi="Times New Roman" w:cs="Times New Roman"/>
          <w:b/>
          <w:bCs/>
          <w:sz w:val="20"/>
          <w:szCs w:val="20"/>
          <w:lang w:eastAsia="zh-CN" w:bidi="ar"/>
        </w:rPr>
        <w:t>Figure 2.2: Conceptual Framework of this Thesis</w:t>
      </w:r>
    </w:p>
    <w:p w14:paraId="05747959" w14:textId="77777777" w:rsidR="00BE5DAB" w:rsidRPr="00BE5DAB" w:rsidRDefault="00BE5DAB" w:rsidP="00BE5DAB">
      <w:pPr>
        <w:autoSpaceDN w:val="0"/>
        <w:spacing w:after="0" w:line="240" w:lineRule="auto"/>
        <w:jc w:val="center"/>
        <w:rPr>
          <w:rFonts w:ascii="Times New Roman" w:eastAsia="SimSun" w:hAnsi="Times New Roman" w:cs="Times New Roman"/>
          <w:b/>
          <w:bCs/>
          <w:sz w:val="28"/>
          <w:szCs w:val="28"/>
          <w:lang w:eastAsia="zh-CN" w:bidi="ar"/>
        </w:rPr>
      </w:pPr>
    </w:p>
    <w:p w14:paraId="605FF2D1" w14:textId="77777777" w:rsidR="00BE5DAB" w:rsidRPr="00BE5DAB" w:rsidRDefault="00BE5DAB" w:rsidP="00BE5DAB">
      <w:pPr>
        <w:tabs>
          <w:tab w:val="left" w:pos="7260"/>
        </w:tabs>
        <w:autoSpaceDN w:val="0"/>
        <w:spacing w:after="0" w:line="240" w:lineRule="auto"/>
        <w:jc w:val="center"/>
        <w:rPr>
          <w:rFonts w:ascii="Times New Roman" w:eastAsia="SimSun" w:hAnsi="Times New Roman" w:cs="Times New Roman"/>
          <w:b/>
          <w:bCs/>
          <w:sz w:val="28"/>
          <w:szCs w:val="28"/>
          <w:lang w:eastAsia="zh-CN" w:bidi="ar"/>
        </w:rPr>
      </w:pPr>
      <w:r w:rsidRPr="00BE5DAB">
        <w:rPr>
          <w:rFonts w:ascii="Calibri" w:eastAsia="Calibri" w:hAnsi="Calibri" w:cs="Arial"/>
          <w:noProof/>
        </w:rPr>
        <w:drawing>
          <wp:inline distT="0" distB="0" distL="0" distR="0" wp14:anchorId="61FA3E3E" wp14:editId="5832BE11">
            <wp:extent cx="3857625" cy="2038350"/>
            <wp:effectExtent l="19050" t="19050" r="28575" b="19050"/>
            <wp:docPr id="2"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bar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57625" cy="2038350"/>
                    </a:xfrm>
                    <a:prstGeom prst="rect">
                      <a:avLst/>
                    </a:prstGeom>
                    <a:noFill/>
                    <a:ln w="9525" cmpd="sng">
                      <a:solidFill>
                        <a:srgbClr val="000000"/>
                      </a:solidFill>
                      <a:miter lim="800000"/>
                      <a:headEnd/>
                      <a:tailEnd/>
                    </a:ln>
                    <a:effectLst/>
                  </pic:spPr>
                </pic:pic>
              </a:graphicData>
            </a:graphic>
          </wp:inline>
        </w:drawing>
      </w:r>
    </w:p>
    <w:p w14:paraId="5BF33190" w14:textId="77777777" w:rsidR="00BE5DAB" w:rsidRPr="00BE5DAB" w:rsidRDefault="00BE5DAB" w:rsidP="00BE5DAB">
      <w:pPr>
        <w:autoSpaceDN w:val="0"/>
        <w:spacing w:after="0" w:line="240" w:lineRule="auto"/>
        <w:jc w:val="center"/>
        <w:rPr>
          <w:rFonts w:ascii="Times New Roman" w:eastAsia="SimSun" w:hAnsi="Times New Roman" w:cs="Times New Roman"/>
          <w:b/>
          <w:bCs/>
          <w:sz w:val="28"/>
          <w:szCs w:val="28"/>
          <w:lang w:eastAsia="zh-CN" w:bidi="ar"/>
        </w:rPr>
      </w:pPr>
    </w:p>
    <w:p w14:paraId="1BC141E6" w14:textId="77777777" w:rsidR="00BE5DAB" w:rsidRPr="00BE5DAB" w:rsidRDefault="00BE5DAB" w:rsidP="00BE5DAB">
      <w:pPr>
        <w:autoSpaceDN w:val="0"/>
        <w:spacing w:after="0" w:line="240" w:lineRule="auto"/>
        <w:jc w:val="center"/>
        <w:rPr>
          <w:rFonts w:ascii="Times New Roman" w:eastAsia="SimSun" w:hAnsi="Times New Roman" w:cs="Times New Roman"/>
          <w:b/>
          <w:bCs/>
          <w:sz w:val="28"/>
          <w:szCs w:val="28"/>
          <w:lang w:eastAsia="zh-CN" w:bidi="ar"/>
        </w:rPr>
      </w:pPr>
      <w:r w:rsidRPr="00BE5DAB">
        <w:rPr>
          <w:rFonts w:ascii="Times New Roman" w:eastAsia="SimSun" w:hAnsi="Times New Roman" w:cs="Times New Roman"/>
          <w:b/>
          <w:bCs/>
          <w:sz w:val="20"/>
          <w:szCs w:val="20"/>
          <w:lang w:eastAsia="zh-CN" w:bidi="ar"/>
        </w:rPr>
        <w:t xml:space="preserve">Source: </w:t>
      </w:r>
      <w:proofErr w:type="spellStart"/>
      <w:r w:rsidRPr="00BE5DAB">
        <w:rPr>
          <w:rFonts w:ascii="Times New Roman" w:eastAsia="SimSun" w:hAnsi="Times New Roman" w:cs="Times New Roman"/>
          <w:b/>
          <w:bCs/>
          <w:sz w:val="20"/>
          <w:szCs w:val="20"/>
          <w:lang w:eastAsia="zh-CN" w:bidi="ar"/>
        </w:rPr>
        <w:t>Kalliny</w:t>
      </w:r>
      <w:proofErr w:type="spellEnd"/>
      <w:r w:rsidRPr="00BE5DAB">
        <w:rPr>
          <w:rFonts w:ascii="Times New Roman" w:eastAsia="SimSun" w:hAnsi="Times New Roman" w:cs="Times New Roman"/>
          <w:b/>
          <w:bCs/>
          <w:sz w:val="20"/>
          <w:szCs w:val="20"/>
          <w:lang w:eastAsia="zh-CN" w:bidi="ar"/>
        </w:rPr>
        <w:t xml:space="preserve"> and </w:t>
      </w:r>
      <w:proofErr w:type="spellStart"/>
      <w:r w:rsidRPr="00BE5DAB">
        <w:rPr>
          <w:rFonts w:ascii="Times New Roman" w:eastAsia="SimSun" w:hAnsi="Times New Roman" w:cs="Times New Roman"/>
          <w:b/>
          <w:bCs/>
          <w:sz w:val="20"/>
          <w:szCs w:val="20"/>
          <w:lang w:eastAsia="zh-CN" w:bidi="ar"/>
        </w:rPr>
        <w:t>Lemaster</w:t>
      </w:r>
      <w:proofErr w:type="spellEnd"/>
      <w:r w:rsidRPr="00BE5DAB">
        <w:rPr>
          <w:rFonts w:ascii="Times New Roman" w:eastAsia="SimSun" w:hAnsi="Times New Roman" w:cs="Times New Roman"/>
          <w:b/>
          <w:bCs/>
          <w:sz w:val="20"/>
          <w:szCs w:val="20"/>
          <w:lang w:eastAsia="zh-CN" w:bidi="ar"/>
        </w:rPr>
        <w:t xml:space="preserve"> (2005) and the Author</w:t>
      </w:r>
      <w:r w:rsidRPr="00BE5DAB">
        <w:rPr>
          <w:rFonts w:ascii="Times New Roman" w:eastAsia="SimSun" w:hAnsi="Times New Roman" w:cs="Times New Roman"/>
          <w:b/>
          <w:bCs/>
          <w:sz w:val="20"/>
          <w:szCs w:val="20"/>
          <w:lang w:eastAsia="zh-CN" w:bidi="ar"/>
        </w:rPr>
        <w:br w:type="page"/>
      </w:r>
      <w:r w:rsidRPr="00BE5DAB">
        <w:rPr>
          <w:rFonts w:ascii="Times New Roman" w:eastAsia="SimSun" w:hAnsi="Times New Roman" w:cs="Times New Roman"/>
          <w:b/>
          <w:bCs/>
          <w:sz w:val="28"/>
          <w:szCs w:val="28"/>
          <w:lang w:eastAsia="zh-CN" w:bidi="ar"/>
        </w:rPr>
        <w:lastRenderedPageBreak/>
        <w:t>Chapter Three: Research Methodology</w:t>
      </w:r>
    </w:p>
    <w:p w14:paraId="6009CD33" w14:textId="77777777" w:rsidR="00BE5DAB" w:rsidRPr="00BE5DAB" w:rsidRDefault="00BE5DAB" w:rsidP="00BE5DAB">
      <w:pPr>
        <w:autoSpaceDN w:val="0"/>
        <w:spacing w:after="0" w:line="240" w:lineRule="auto"/>
        <w:jc w:val="both"/>
        <w:rPr>
          <w:rFonts w:ascii="Times New Roman" w:eastAsia="SimSun" w:hAnsi="Times New Roman" w:cs="Times New Roman"/>
          <w:b/>
          <w:bCs/>
          <w:sz w:val="28"/>
          <w:szCs w:val="28"/>
          <w:lang w:eastAsia="zh-CN" w:bidi="ar"/>
        </w:rPr>
      </w:pPr>
    </w:p>
    <w:p w14:paraId="731203A7"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zh-CN"/>
        </w:rPr>
      </w:pPr>
      <w:r w:rsidRPr="00BE5DAB">
        <w:rPr>
          <w:rFonts w:ascii="Times New Roman" w:eastAsia="Cambria" w:hAnsi="Times New Roman" w:cs="Times New Roman"/>
          <w:b/>
          <w:bCs/>
          <w:sz w:val="24"/>
          <w:szCs w:val="24"/>
          <w:lang w:eastAsia="zh-CN"/>
        </w:rPr>
        <w:t>Philosophy of this Research</w:t>
      </w:r>
    </w:p>
    <w:p w14:paraId="15230D9D"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r w:rsidRPr="00BE5DAB">
        <w:rPr>
          <w:rFonts w:ascii="Times New Roman" w:eastAsia="Cambria" w:hAnsi="Times New Roman" w:cs="Arial"/>
          <w:sz w:val="24"/>
          <w:szCs w:val="24"/>
          <w:lang w:eastAsia="zh-CN"/>
        </w:rPr>
        <w:t>There are two key philosophies in business investigations: the philosophy is either interpretivism or positivism (Collis and Hussey, 2014; Bryman and Bell, 2015). Saunders et al. (2019, p. 144) defined positivism as: ''</w:t>
      </w:r>
      <w:r w:rsidRPr="00BE5DAB">
        <w:rPr>
          <w:rFonts w:ascii="Times New Roman" w:eastAsia="Cambria" w:hAnsi="Times New Roman" w:cs="Arial"/>
          <w:i/>
          <w:iCs/>
          <w:sz w:val="24"/>
          <w:szCs w:val="24"/>
          <w:lang w:eastAsia="zh-CN"/>
        </w:rPr>
        <w:t xml:space="preserve">Positivism relates to the philosophical stance of the natural scientist and entails working with an </w:t>
      </w:r>
      <w:r w:rsidRPr="00BE5DAB">
        <w:rPr>
          <w:rFonts w:ascii="Times New Roman" w:eastAsia="Cambria" w:hAnsi="Times New Roman" w:cs="Times New Roman"/>
          <w:i/>
          <w:iCs/>
          <w:sz w:val="24"/>
          <w:szCs w:val="24"/>
          <w:lang w:eastAsia="zh-CN"/>
        </w:rPr>
        <w:t xml:space="preserve">observable </w:t>
      </w:r>
      <w:r w:rsidRPr="00BE5DAB">
        <w:rPr>
          <w:rFonts w:ascii="Times New Roman" w:eastAsia="Cambria" w:hAnsi="Times New Roman" w:cs="Arial"/>
          <w:i/>
          <w:iCs/>
          <w:sz w:val="24"/>
          <w:szCs w:val="24"/>
          <w:lang w:eastAsia="zh-CN"/>
        </w:rPr>
        <w:t>social reality to produce law-like generalisations</w:t>
      </w:r>
      <w:r w:rsidRPr="00BE5DAB">
        <w:rPr>
          <w:rFonts w:ascii="Times New Roman" w:eastAsia="Cambria" w:hAnsi="Times New Roman" w:cs="Arial"/>
          <w:sz w:val="24"/>
          <w:szCs w:val="24"/>
          <w:lang w:eastAsia="zh-CN"/>
        </w:rPr>
        <w:t>.</w:t>
      </w:r>
      <w:r w:rsidRPr="00BE5DAB">
        <w:rPr>
          <w:rFonts w:ascii="Times New Roman" w:eastAsia="Cambria" w:hAnsi="Times New Roman" w:cs="Arial"/>
          <w:sz w:val="20"/>
          <w:szCs w:val="20"/>
          <w:lang w:eastAsia="zh-CN"/>
        </w:rPr>
        <w:t xml:space="preserve">'' </w:t>
      </w:r>
      <w:r w:rsidRPr="00BE5DAB">
        <w:rPr>
          <w:rFonts w:ascii="Times New Roman" w:eastAsia="Cambria" w:hAnsi="Times New Roman" w:cs="Arial"/>
          <w:sz w:val="24"/>
          <w:szCs w:val="24"/>
          <w:lang w:eastAsia="zh-CN"/>
        </w:rPr>
        <w:t>Positivism seeks to apply the methods of natural science in investigations about social realities (Bryman and Bell, 2015). The epistemological view of positives sees the phenomena and investigations as different entities from one another (Nawaz et al., 2017).</w:t>
      </w:r>
    </w:p>
    <w:p w14:paraId="7CCE01E5"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r w:rsidRPr="00BE5DAB">
        <w:rPr>
          <w:rFonts w:ascii="Times New Roman" w:eastAsia="Cambria" w:hAnsi="Times New Roman" w:cs="Arial"/>
          <w:sz w:val="24"/>
          <w:szCs w:val="24"/>
          <w:lang w:eastAsia="zh-CN"/>
        </w:rPr>
        <w:t>Interpretivism was developed to critique the view that suggests scientific models can also be applied to social reality (Saunders et al., 2019). In other words, interpretivism is a philosophy that was developed to critique the application of positivism in social studies. This is the case, as there is a difference between natural science studies and social science studies (Bryman and Bell, 2015). Therefore, researchers should approach the social world with a philosophical view. Interpretivism suggests that cultural and social factors can influence individuals. Therefore, the researcher plays an active role in the study, as the researcher plays role in creating a holistic view regarding the views and ideas of participants.</w:t>
      </w:r>
    </w:p>
    <w:p w14:paraId="062BA16F"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r w:rsidRPr="00BE5DAB">
        <w:rPr>
          <w:rFonts w:ascii="Times New Roman" w:eastAsia="Cambria" w:hAnsi="Times New Roman" w:cs="Arial"/>
          <w:sz w:val="24"/>
          <w:szCs w:val="24"/>
          <w:lang w:eastAsia="zh-CN"/>
        </w:rPr>
        <w:t xml:space="preserve">To achieve the aim of this research, the researcher adopted the positivist view, namely: positivism is suitable to analyse observable, </w:t>
      </w:r>
      <w:proofErr w:type="gramStart"/>
      <w:r w:rsidRPr="00BE5DAB">
        <w:rPr>
          <w:rFonts w:ascii="Times New Roman" w:eastAsia="Cambria" w:hAnsi="Times New Roman" w:cs="Arial"/>
          <w:sz w:val="24"/>
          <w:szCs w:val="24"/>
          <w:lang w:eastAsia="zh-CN"/>
        </w:rPr>
        <w:t>measurable</w:t>
      </w:r>
      <w:proofErr w:type="gramEnd"/>
      <w:r w:rsidRPr="00BE5DAB">
        <w:rPr>
          <w:rFonts w:ascii="Times New Roman" w:eastAsia="Cambria" w:hAnsi="Times New Roman" w:cs="Arial"/>
          <w:sz w:val="24"/>
          <w:szCs w:val="24"/>
          <w:lang w:eastAsia="zh-CN"/>
        </w:rPr>
        <w:t xml:space="preserve"> and independent facts.</w:t>
      </w:r>
    </w:p>
    <w:p w14:paraId="52DCE0E3"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p>
    <w:p w14:paraId="7EAC3BD4"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zh-CN"/>
        </w:rPr>
      </w:pPr>
      <w:r w:rsidRPr="00BE5DAB">
        <w:rPr>
          <w:rFonts w:ascii="Times New Roman" w:eastAsia="Cambria" w:hAnsi="Times New Roman" w:cs="Times New Roman"/>
          <w:b/>
          <w:bCs/>
          <w:sz w:val="24"/>
          <w:szCs w:val="24"/>
          <w:lang w:eastAsia="zh-CN"/>
        </w:rPr>
        <w:t>Approach to Theory Development</w:t>
      </w:r>
    </w:p>
    <w:p w14:paraId="30802C47"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r w:rsidRPr="00BE5DAB">
        <w:rPr>
          <w:rFonts w:ascii="Times New Roman" w:eastAsia="Cambria" w:hAnsi="Times New Roman" w:cs="Arial"/>
          <w:sz w:val="24"/>
          <w:szCs w:val="24"/>
          <w:lang w:eastAsia="zh-CN"/>
        </w:rPr>
        <w:t>There are two key approaches from which the investigation develops the theory of the study; these approaches are the inductive approach and the deductive approach (Bryman and Bell, 2015). Saunders et al. (2019, p. 160) presented the distinction between the two approaches as follows:</w:t>
      </w:r>
    </w:p>
    <w:p w14:paraId="402F67C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Arial"/>
          <w:i/>
          <w:iCs/>
          <w:sz w:val="20"/>
          <w:szCs w:val="20"/>
          <w:lang w:eastAsia="zh-CN"/>
        </w:rPr>
      </w:pPr>
    </w:p>
    <w:p w14:paraId="75ADEC4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Arial"/>
          <w:i/>
          <w:iCs/>
          <w:sz w:val="20"/>
          <w:szCs w:val="20"/>
          <w:lang w:eastAsia="zh-CN"/>
        </w:rPr>
      </w:pPr>
      <w:r w:rsidRPr="00BE5DAB">
        <w:rPr>
          <w:rFonts w:ascii="Times New Roman" w:eastAsia="Cambria" w:hAnsi="Times New Roman" w:cs="Arial"/>
          <w:i/>
          <w:iCs/>
          <w:sz w:val="20"/>
          <w:szCs w:val="20"/>
          <w:lang w:eastAsia="zh-CN"/>
        </w:rPr>
        <w:t xml:space="preserve">With the deduction, a theory and hypothesis are </w:t>
      </w:r>
      <w:proofErr w:type="gramStart"/>
      <w:r w:rsidRPr="00BE5DAB">
        <w:rPr>
          <w:rFonts w:ascii="Times New Roman" w:eastAsia="Cambria" w:hAnsi="Times New Roman" w:cs="Times New Roman"/>
          <w:i/>
          <w:iCs/>
          <w:sz w:val="20"/>
          <w:szCs w:val="20"/>
          <w:lang w:eastAsia="zh-CN"/>
        </w:rPr>
        <w:t>developed</w:t>
      </w:r>
      <w:proofErr w:type="gramEnd"/>
      <w:r w:rsidRPr="00BE5DAB">
        <w:rPr>
          <w:rFonts w:ascii="Times New Roman" w:eastAsia="Cambria" w:hAnsi="Times New Roman" w:cs="Times New Roman"/>
          <w:i/>
          <w:iCs/>
          <w:sz w:val="20"/>
          <w:szCs w:val="20"/>
          <w:lang w:eastAsia="zh-CN"/>
        </w:rPr>
        <w:t xml:space="preserve"> </w:t>
      </w:r>
      <w:r w:rsidRPr="00BE5DAB">
        <w:rPr>
          <w:rFonts w:ascii="Times New Roman" w:eastAsia="Cambria" w:hAnsi="Times New Roman" w:cs="Arial"/>
          <w:i/>
          <w:iCs/>
          <w:sz w:val="20"/>
          <w:szCs w:val="20"/>
          <w:lang w:eastAsia="zh-CN"/>
        </w:rPr>
        <w:t xml:space="preserve">and a research strategy is designed to test the hypothesis. With induction, the data is </w:t>
      </w:r>
      <w:proofErr w:type="gramStart"/>
      <w:r w:rsidRPr="00BE5DAB">
        <w:rPr>
          <w:rFonts w:ascii="Times New Roman" w:eastAsia="Cambria" w:hAnsi="Times New Roman" w:cs="Arial"/>
          <w:i/>
          <w:iCs/>
          <w:sz w:val="20"/>
          <w:szCs w:val="20"/>
          <w:lang w:eastAsia="zh-CN"/>
        </w:rPr>
        <w:t>collected</w:t>
      </w:r>
      <w:proofErr w:type="gramEnd"/>
      <w:r w:rsidRPr="00BE5DAB">
        <w:rPr>
          <w:rFonts w:ascii="Times New Roman" w:eastAsia="Cambria" w:hAnsi="Times New Roman" w:cs="Arial"/>
          <w:i/>
          <w:iCs/>
          <w:sz w:val="20"/>
          <w:szCs w:val="20"/>
          <w:lang w:eastAsia="zh-CN"/>
        </w:rPr>
        <w:t xml:space="preserve"> and a theory is developed as a result of the data analysis.</w:t>
      </w:r>
    </w:p>
    <w:p w14:paraId="2C4F3518"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Arial"/>
          <w:i/>
          <w:iCs/>
          <w:sz w:val="20"/>
          <w:szCs w:val="20"/>
          <w:lang w:eastAsia="zh-CN"/>
        </w:rPr>
      </w:pPr>
    </w:p>
    <w:p w14:paraId="75B49B94"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r w:rsidRPr="00BE5DAB">
        <w:rPr>
          <w:rFonts w:ascii="Times New Roman" w:eastAsia="Cambria" w:hAnsi="Times New Roman" w:cs="Arial"/>
          <w:sz w:val="24"/>
          <w:szCs w:val="24"/>
          <w:lang w:eastAsia="zh-CN"/>
        </w:rPr>
        <w:t>This research adopted a positivist philosophy. Therefore, the approach adopted in this investigation is the deductive approach as the literature suggests that positivism philosophy leads to the detective approach (Saunders et al., 2019).</w:t>
      </w:r>
    </w:p>
    <w:p w14:paraId="2CC17002"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p>
    <w:p w14:paraId="13F2BE4B"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lang w:eastAsia="zh-CN"/>
        </w:rPr>
      </w:pPr>
    </w:p>
    <w:p w14:paraId="627AF43F"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zh-CN"/>
        </w:rPr>
      </w:pPr>
      <w:r w:rsidRPr="00BE5DAB">
        <w:rPr>
          <w:rFonts w:ascii="Times New Roman" w:eastAsia="Cambria" w:hAnsi="Times New Roman" w:cs="Times New Roman"/>
          <w:b/>
          <w:bCs/>
          <w:sz w:val="24"/>
          <w:szCs w:val="24"/>
          <w:lang w:eastAsia="zh-CN"/>
        </w:rPr>
        <w:lastRenderedPageBreak/>
        <w:t>Methodological Choice</w:t>
      </w:r>
    </w:p>
    <w:p w14:paraId="21F90D26"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Selecting the right research method helps the researcher to reach the right conclusions/findings from the investigation. There are three types of approaches for any research; these approaches are the qualitative method, quantitative method, and mixed methods (Bell et al., 2018). The investigation applies the quantitative method if the research collects primary data presented in the form of numbers, or the data collection method produces quantitative data (</w:t>
      </w:r>
      <w:proofErr w:type="gramStart"/>
      <w:r w:rsidRPr="00BE5DAB">
        <w:rPr>
          <w:rFonts w:ascii="Times New Roman" w:eastAsia="Cambria" w:hAnsi="Times New Roman" w:cs="Times New Roman"/>
          <w:sz w:val="24"/>
          <w:szCs w:val="24"/>
        </w:rPr>
        <w:t>e.g.</w:t>
      </w:r>
      <w:proofErr w:type="gramEnd"/>
      <w:r w:rsidRPr="00BE5DAB">
        <w:rPr>
          <w:rFonts w:ascii="Times New Roman" w:eastAsia="Cambria" w:hAnsi="Times New Roman" w:cs="Times New Roman"/>
          <w:sz w:val="24"/>
          <w:szCs w:val="24"/>
        </w:rPr>
        <w:t xml:space="preserve"> questionnaires), or the data analysis produces quantitative data, for instance, statistics (Saunders et al., 2019).</w:t>
      </w:r>
    </w:p>
    <w:p w14:paraId="6A7A32BC"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rPr>
        <w:t>Investigations tend to adopt qualitative methods if the primary data is in the form of text, or the data collection process (</w:t>
      </w:r>
      <w:proofErr w:type="gramStart"/>
      <w:r w:rsidRPr="00BE5DAB">
        <w:rPr>
          <w:rFonts w:ascii="Times New Roman" w:eastAsia="Cambria" w:hAnsi="Times New Roman" w:cs="Times New Roman"/>
          <w:sz w:val="24"/>
          <w:szCs w:val="24"/>
        </w:rPr>
        <w:t>e.g.</w:t>
      </w:r>
      <w:proofErr w:type="gramEnd"/>
      <w:r w:rsidRPr="00BE5DAB">
        <w:rPr>
          <w:rFonts w:ascii="Times New Roman" w:eastAsia="Cambria" w:hAnsi="Times New Roman" w:cs="Times New Roman"/>
          <w:sz w:val="24"/>
          <w:szCs w:val="24"/>
        </w:rPr>
        <w:t xml:space="preserve"> interviews) provides qualitative data (text) or the analysis of the primary data produces qualitative data in the form of categories/themes (Collis and Hussey, 2013). In other words, qualitative data produces non-numerical primary data (Collis and Hussey, 2013)</w:t>
      </w:r>
      <w:r w:rsidRPr="00BE5DAB">
        <w:rPr>
          <w:rFonts w:ascii="Times New Roman" w:eastAsia="Cambria" w:hAnsi="Times New Roman" w:cs="Times New Roman"/>
          <w:sz w:val="24"/>
          <w:szCs w:val="24"/>
          <w:lang w:val="en-US"/>
        </w:rPr>
        <w:t>.</w:t>
      </w:r>
    </w:p>
    <w:p w14:paraId="6CF93E85"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Investigations tend to adopt quantitative methods if investigations are viewed as independent of what is being studied. Additionally, quantitative data tend to be associated with the deductive approaches (Bell et al., 2018). The aim of collecting quantitative data tends to be to test an existing theory (Patten and Newhart, 2017). However, the data can also lead to developing a theory as well (Lancaster, 2007). The qualitative method is concerned with the relationship </w:t>
      </w:r>
      <w:r w:rsidRPr="00BE5DAB">
        <w:rPr>
          <w:rFonts w:ascii="Times New Roman" w:eastAsia="Cambria" w:hAnsi="Times New Roman" w:cs="Times New Roman"/>
          <w:sz w:val="24"/>
          <w:szCs w:val="24"/>
          <w:lang w:eastAsia="zh-CN"/>
        </w:rPr>
        <w:t xml:space="preserve">between </w:t>
      </w:r>
      <w:r w:rsidRPr="00BE5DAB">
        <w:rPr>
          <w:rFonts w:ascii="Times New Roman" w:eastAsia="Cambria" w:hAnsi="Times New Roman" w:cs="Times New Roman"/>
          <w:sz w:val="24"/>
          <w:szCs w:val="24"/>
        </w:rPr>
        <w:t>pre-identified variables through utilising the quantitative collection method (</w:t>
      </w:r>
      <w:proofErr w:type="gramStart"/>
      <w:r w:rsidRPr="00BE5DAB">
        <w:rPr>
          <w:rFonts w:ascii="Times New Roman" w:eastAsia="Cambria" w:hAnsi="Times New Roman" w:cs="Times New Roman"/>
          <w:sz w:val="24"/>
          <w:szCs w:val="24"/>
        </w:rPr>
        <w:t>e.g.</w:t>
      </w:r>
      <w:proofErr w:type="gramEnd"/>
      <w:r w:rsidRPr="00BE5DAB">
        <w:rPr>
          <w:rFonts w:ascii="Times New Roman" w:eastAsia="Cambria" w:hAnsi="Times New Roman" w:cs="Times New Roman"/>
          <w:sz w:val="24"/>
          <w:szCs w:val="24"/>
        </w:rPr>
        <w:t xml:space="preserve"> questionnaire). Such variables use statistical techniques to measure numerical data (Esteban-Bravo and </w:t>
      </w:r>
      <w:r w:rsidRPr="00BE5DAB">
        <w:rPr>
          <w:rFonts w:ascii="Times New Roman" w:eastAsia="Cambria" w:hAnsi="Times New Roman" w:cs="Times New Roman" w:hint="cs"/>
          <w:sz w:val="24"/>
          <w:szCs w:val="24"/>
        </w:rPr>
        <w:t xml:space="preserve">‎Vidal-Sanz, </w:t>
      </w:r>
      <w:r w:rsidRPr="00BE5DAB">
        <w:rPr>
          <w:rFonts w:ascii="Times New Roman" w:eastAsia="Cambria" w:hAnsi="Times New Roman" w:cs="Times New Roman" w:hint="cs"/>
          <w:sz w:val="24"/>
          <w:szCs w:val="24"/>
          <w:rtl/>
        </w:rPr>
        <w:t>2021</w:t>
      </w:r>
      <w:r w:rsidRPr="00BE5DAB">
        <w:rPr>
          <w:rFonts w:ascii="Times New Roman" w:eastAsia="Cambria" w:hAnsi="Times New Roman" w:cs="Times New Roman" w:hint="cs"/>
          <w:sz w:val="24"/>
          <w:szCs w:val="24"/>
        </w:rPr>
        <w:t>).</w:t>
      </w:r>
    </w:p>
    <w:p w14:paraId="30E0678F"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This qualitative approach assumes that societies change in a constant manner (Lancaster, 2007). Therefore, researchers adopting such </w:t>
      </w:r>
      <w:r w:rsidRPr="00BE5DAB">
        <w:rPr>
          <w:rFonts w:ascii="Times New Roman" w:eastAsia="Cambria" w:hAnsi="Times New Roman" w:cs="Times New Roman"/>
          <w:sz w:val="24"/>
          <w:szCs w:val="24"/>
          <w:lang w:eastAsia="zh-CN"/>
        </w:rPr>
        <w:t xml:space="preserve">think </w:t>
      </w:r>
      <w:r w:rsidRPr="00BE5DAB">
        <w:rPr>
          <w:rFonts w:ascii="Times New Roman" w:eastAsia="Cambria" w:hAnsi="Times New Roman" w:cs="Times New Roman"/>
          <w:sz w:val="24"/>
          <w:szCs w:val="24"/>
        </w:rPr>
        <w:t>the world is constantly changing and they also believe they are part of this change (Saunders et al., 2019). For this reason, researchers who adopted a qualitative approach tend to go out into the field and investigate what others are thinking and doing. The qualitative method is inductive (Bell et al., 2018). In other words, it aims to develop a new theoretical framework utilising the primary data collected using the qualitative data collection method (in-depth interviews).</w:t>
      </w:r>
    </w:p>
    <w:p w14:paraId="2BF19A83"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last approach is the mixed-methods </w:t>
      </w:r>
      <w:r w:rsidRPr="00BE5DAB">
        <w:rPr>
          <w:rFonts w:ascii="Times New Roman" w:eastAsia="Cambria" w:hAnsi="Times New Roman" w:cs="Times New Roman"/>
          <w:sz w:val="24"/>
          <w:szCs w:val="24"/>
          <w:lang w:eastAsia="zh-CN"/>
        </w:rPr>
        <w:t>approach</w:t>
      </w:r>
      <w:r w:rsidRPr="00BE5DAB">
        <w:rPr>
          <w:rFonts w:ascii="Times New Roman" w:eastAsia="Cambria" w:hAnsi="Times New Roman" w:cs="Times New Roman"/>
          <w:sz w:val="24"/>
          <w:szCs w:val="24"/>
        </w:rPr>
        <w:t xml:space="preserve">. Investigations adopt this approach if the investigation uses both qualitative and quantitative methods. The mixed-methods approach is defined as a type of research in which the researcher combines qualitative and quantitative research techniques into one study (Bryman and </w:t>
      </w:r>
      <w:r w:rsidRPr="00BE5DAB">
        <w:rPr>
          <w:rFonts w:ascii="Times New Roman" w:eastAsia="Cambria" w:hAnsi="Times New Roman" w:cs="Times New Roman" w:hint="cs"/>
          <w:sz w:val="24"/>
          <w:szCs w:val="24"/>
        </w:rPr>
        <w:t xml:space="preserve">‎Bell, </w:t>
      </w:r>
      <w:r w:rsidRPr="00BE5DAB">
        <w:rPr>
          <w:rFonts w:ascii="Times New Roman" w:eastAsia="Cambria" w:hAnsi="Times New Roman" w:cs="Times New Roman" w:hint="cs"/>
          <w:sz w:val="24"/>
          <w:szCs w:val="24"/>
          <w:rtl/>
        </w:rPr>
        <w:t>2011</w:t>
      </w:r>
      <w:r w:rsidRPr="00BE5DAB">
        <w:rPr>
          <w:rFonts w:ascii="Times New Roman" w:eastAsia="Cambria" w:hAnsi="Times New Roman" w:cs="Times New Roman" w:hint="cs"/>
          <w:sz w:val="24"/>
          <w:szCs w:val="24"/>
        </w:rPr>
        <w:t>). This</w:t>
      </w:r>
      <w:r w:rsidRPr="00BE5DAB">
        <w:rPr>
          <w:rFonts w:ascii="Times New Roman" w:eastAsia="Cambria" w:hAnsi="Times New Roman" w:cs="Times New Roman" w:hint="cs"/>
          <w:sz w:val="24"/>
          <w:szCs w:val="24"/>
          <w:rtl/>
        </w:rPr>
        <w:t xml:space="preserve"> </w:t>
      </w:r>
      <w:r w:rsidRPr="00BE5DAB">
        <w:rPr>
          <w:rFonts w:ascii="Times New Roman" w:eastAsia="Cambria" w:hAnsi="Times New Roman" w:cs="Times New Roman" w:hint="cs"/>
          <w:sz w:val="24"/>
          <w:szCs w:val="24"/>
        </w:rPr>
        <w:t xml:space="preserve">type of research is a growing choice in various </w:t>
      </w:r>
      <w:proofErr w:type="gramStart"/>
      <w:r w:rsidRPr="00BE5DAB">
        <w:rPr>
          <w:rFonts w:ascii="Times New Roman" w:eastAsia="Cambria" w:hAnsi="Times New Roman" w:cs="Times New Roman" w:hint="cs"/>
          <w:sz w:val="24"/>
          <w:szCs w:val="24"/>
        </w:rPr>
        <w:t>researches</w:t>
      </w:r>
      <w:proofErr w:type="gramEnd"/>
      <w:r w:rsidRPr="00BE5DAB">
        <w:rPr>
          <w:rFonts w:ascii="Times New Roman" w:eastAsia="Cambria" w:hAnsi="Times New Roman" w:cs="Times New Roman" w:hint="cs"/>
          <w:sz w:val="24"/>
          <w:szCs w:val="24"/>
        </w:rPr>
        <w:t xml:space="preserve"> that belong to di</w:t>
      </w:r>
      <w:r w:rsidRPr="00BE5DAB">
        <w:rPr>
          <w:rFonts w:ascii="Times New Roman" w:eastAsia="Cambria" w:hAnsi="Times New Roman" w:cs="Times New Roman"/>
          <w:sz w:val="24"/>
          <w:szCs w:val="24"/>
        </w:rPr>
        <w:t>fferent disciplines.</w:t>
      </w:r>
    </w:p>
    <w:p w14:paraId="6EC16AF4"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Many scholars agreed that mixed-methods investigation provides researchers with a broader </w:t>
      </w:r>
      <w:r w:rsidRPr="00BE5DAB">
        <w:rPr>
          <w:rFonts w:ascii="Times New Roman" w:eastAsia="Cambria" w:hAnsi="Times New Roman" w:cs="Times New Roman"/>
          <w:sz w:val="24"/>
          <w:szCs w:val="24"/>
        </w:rPr>
        <w:lastRenderedPageBreak/>
        <w:t>view of the phenomena investigated (Hesse-</w:t>
      </w:r>
      <w:proofErr w:type="spellStart"/>
      <w:r w:rsidRPr="00BE5DAB">
        <w:rPr>
          <w:rFonts w:ascii="Times New Roman" w:eastAsia="Cambria" w:hAnsi="Times New Roman" w:cs="Times New Roman"/>
          <w:sz w:val="24"/>
          <w:szCs w:val="24"/>
        </w:rPr>
        <w:t>Biber</w:t>
      </w:r>
      <w:proofErr w:type="spellEnd"/>
      <w:r w:rsidRPr="00BE5DAB">
        <w:rPr>
          <w:rFonts w:ascii="Times New Roman" w:eastAsia="Cambria" w:hAnsi="Times New Roman" w:cs="Times New Roman"/>
          <w:sz w:val="24"/>
          <w:szCs w:val="24"/>
        </w:rPr>
        <w:t>, 2010). Applying the mixed-methods approach allows the study to overcome the potential bias that may appear if one uses a single method (Hesse-</w:t>
      </w:r>
      <w:proofErr w:type="spellStart"/>
      <w:r w:rsidRPr="00BE5DAB">
        <w:rPr>
          <w:rFonts w:ascii="Times New Roman" w:eastAsia="Cambria" w:hAnsi="Times New Roman" w:cs="Times New Roman"/>
          <w:sz w:val="24"/>
          <w:szCs w:val="24"/>
        </w:rPr>
        <w:t>Biber</w:t>
      </w:r>
      <w:proofErr w:type="spellEnd"/>
      <w:r w:rsidRPr="00BE5DAB">
        <w:rPr>
          <w:rFonts w:ascii="Times New Roman" w:eastAsia="Cambria" w:hAnsi="Times New Roman" w:cs="Times New Roman"/>
          <w:sz w:val="24"/>
          <w:szCs w:val="24"/>
        </w:rPr>
        <w:t xml:space="preserve">, 2010). </w:t>
      </w:r>
    </w:p>
    <w:p w14:paraId="0D310AE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To achieve the aim of this investigation, the work applies a quantitative approach in which a questionnaire was utilised as a data collection method to collect the primary data, the primary data allows the researcher to identify the behaviour of Arab consumers who live in London and the reasons that lead this spectrum of consumers to boycott brands/products. </w:t>
      </w:r>
    </w:p>
    <w:p w14:paraId="2D7C07ED"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The questionnaire includes twenty questions, all of which are multiple choices except two. However, the answers to the two questions were transferred to numerical outcomes. Therefore, this research is considered quantitative.</w:t>
      </w:r>
    </w:p>
    <w:p w14:paraId="0A48D7EE"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p>
    <w:p w14:paraId="27908E38"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Research strategy</w:t>
      </w:r>
    </w:p>
    <w:p w14:paraId="6FACBC21"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Arial"/>
          <w:sz w:val="24"/>
          <w:szCs w:val="24"/>
        </w:rPr>
      </w:pPr>
      <w:r w:rsidRPr="00BE5DAB">
        <w:rPr>
          <w:rFonts w:ascii="Times New Roman" w:eastAsia="Cambria" w:hAnsi="Times New Roman" w:cs="Arial"/>
          <w:sz w:val="24"/>
          <w:szCs w:val="24"/>
        </w:rPr>
        <w:t>Research strategy is the bridge between the philosophical view of research and the analysis and data collection methods</w:t>
      </w:r>
      <w:r w:rsidRPr="00BE5DAB">
        <w:rPr>
          <w:rFonts w:ascii="Times New Roman" w:eastAsia="Cambria" w:hAnsi="Times New Roman" w:cs="Times New Roman"/>
          <w:sz w:val="24"/>
          <w:szCs w:val="24"/>
        </w:rPr>
        <w:t xml:space="preserve"> </w:t>
      </w:r>
      <w:r w:rsidRPr="00BE5DAB">
        <w:rPr>
          <w:rFonts w:ascii="Times New Roman" w:eastAsia="Cambria" w:hAnsi="Times New Roman" w:cs="Arial"/>
          <w:sz w:val="24"/>
          <w:szCs w:val="24"/>
        </w:rPr>
        <w:t>(Denzin and Lincoln, 2018). Therefore, the selection of the research strategy guides the aim and objectives of the research (Saunders et al., 2019).</w:t>
      </w:r>
    </w:p>
    <w:p w14:paraId="50BA2A42" w14:textId="77777777" w:rsidR="00BE5DAB" w:rsidRPr="00BE5DAB" w:rsidRDefault="00BE5DAB" w:rsidP="00BE5DAB">
      <w:pPr>
        <w:autoSpaceDE w:val="0"/>
        <w:autoSpaceDN w:val="0"/>
        <w:spacing w:after="0" w:line="360" w:lineRule="auto"/>
        <w:jc w:val="both"/>
        <w:rPr>
          <w:rFonts w:ascii="Times New Roman" w:eastAsia="Cambria" w:hAnsi="Times New Roman" w:cs="Arial"/>
          <w:sz w:val="24"/>
          <w:szCs w:val="24"/>
        </w:rPr>
      </w:pPr>
      <w:r w:rsidRPr="00BE5DAB">
        <w:rPr>
          <w:rFonts w:ascii="Times New Roman" w:eastAsia="Cambria" w:hAnsi="Times New Roman" w:cs="Arial"/>
          <w:sz w:val="24"/>
          <w:szCs w:val="24"/>
        </w:rPr>
        <w:t xml:space="preserve">There are two strategies associated with quantitative research, namely: survey and experiment. The experiment is a strategy that is associated with natural science (Saunders et al., 2019). However, surveys are a strategy that aims to collect information from a targeted sample to construct descriptors of certain attributes common in the population from which the sample was selected (Groves et al., 2009). </w:t>
      </w:r>
    </w:p>
    <w:p w14:paraId="10F411F4" w14:textId="77777777" w:rsidR="00BE5DAB" w:rsidRPr="00BE5DAB" w:rsidRDefault="00BE5DAB" w:rsidP="00BE5DAB">
      <w:pPr>
        <w:autoSpaceDE w:val="0"/>
        <w:autoSpaceDN w:val="0"/>
        <w:spacing w:after="0" w:line="360" w:lineRule="auto"/>
        <w:jc w:val="both"/>
        <w:rPr>
          <w:rFonts w:ascii="Times New Roman" w:eastAsia="Cambria" w:hAnsi="Times New Roman" w:cs="Arial"/>
          <w:sz w:val="24"/>
          <w:szCs w:val="24"/>
        </w:rPr>
      </w:pPr>
      <w:r w:rsidRPr="00BE5DAB">
        <w:rPr>
          <w:rFonts w:ascii="Times New Roman" w:eastAsia="Cambria" w:hAnsi="Times New Roman" w:cs="Arial"/>
          <w:sz w:val="24"/>
          <w:szCs w:val="24"/>
        </w:rPr>
        <w:t xml:space="preserve">This study adopts a questionnaire as the strategy of this work, as it collects information from a sample (46 participants of Arab consumers) located in London to identify the reasons for boycotting certain products/brands that can be represented on the population, namely: Arab consumers in London. </w:t>
      </w:r>
    </w:p>
    <w:p w14:paraId="7E61674C"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p>
    <w:p w14:paraId="79C4CE82"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Population and Sample of this Research</w:t>
      </w:r>
    </w:p>
    <w:p w14:paraId="0E3353D4" w14:textId="77777777" w:rsidR="00BE5DAB" w:rsidRPr="00BE5DAB" w:rsidRDefault="00BE5DAB" w:rsidP="00BE5DAB">
      <w:pPr>
        <w:autoSpaceDE w:val="0"/>
        <w:autoSpaceDN w:val="0"/>
        <w:adjustRightInd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It is critical to select, for any research/investigation, the properly targeted population, </w:t>
      </w:r>
      <w:proofErr w:type="gramStart"/>
      <w:r w:rsidRPr="00BE5DAB">
        <w:rPr>
          <w:rFonts w:ascii="Times New Roman" w:eastAsia="Cambria" w:hAnsi="Times New Roman" w:cs="Times New Roman"/>
          <w:sz w:val="24"/>
          <w:szCs w:val="24"/>
        </w:rPr>
        <w:t>sample</w:t>
      </w:r>
      <w:proofErr w:type="gramEnd"/>
      <w:r w:rsidRPr="00BE5DAB">
        <w:rPr>
          <w:rFonts w:ascii="Times New Roman" w:eastAsia="Cambria" w:hAnsi="Times New Roman" w:cs="Times New Roman"/>
          <w:sz w:val="24"/>
          <w:szCs w:val="24"/>
        </w:rPr>
        <w:t xml:space="preserve"> and the size of this sample. In other words, the research needs to identify who will be included in the study, why it should be included, where the sample is located and how the study will reach them (Bell et al., 2018). Thus, the size of the sample, the location of the sample, and the nature of the sample will differ from one research to another, as each research possesses an aim that differs from all other studies in the field. The following subsections () provide a presentation of the rationale for the selection of the study population and its sample. </w:t>
      </w:r>
      <w:r w:rsidRPr="00BE5DAB">
        <w:rPr>
          <w:rFonts w:ascii="Times New Roman" w:eastAsia="Cambria" w:hAnsi="Times New Roman" w:cs="Times New Roman"/>
          <w:sz w:val="24"/>
          <w:szCs w:val="24"/>
        </w:rPr>
        <w:br/>
      </w:r>
    </w:p>
    <w:p w14:paraId="6223B691" w14:textId="77777777" w:rsidR="00BE5DAB" w:rsidRPr="00BE5DAB" w:rsidRDefault="00BE5DAB" w:rsidP="00BE5DAB">
      <w:pPr>
        <w:widowControl w:val="0"/>
        <w:numPr>
          <w:ilvl w:val="2"/>
          <w:numId w:val="9"/>
        </w:numPr>
        <w:tabs>
          <w:tab w:val="left" w:pos="0"/>
        </w:tabs>
        <w:autoSpaceDE w:val="0"/>
        <w:autoSpaceDN w:val="0"/>
        <w:spacing w:after="0" w:line="360" w:lineRule="auto"/>
        <w:rPr>
          <w:rFonts w:ascii="Times New Roman" w:eastAsia="Cambria" w:hAnsi="Times New Roman" w:cs="Times New Roman"/>
          <w:sz w:val="24"/>
          <w:szCs w:val="24"/>
          <w:highlight w:val="yellow"/>
        </w:rPr>
      </w:pPr>
      <w:r w:rsidRPr="00BE5DAB">
        <w:rPr>
          <w:rFonts w:ascii="Times New Roman" w:eastAsia="Cambria" w:hAnsi="Times New Roman" w:cs="Times New Roman"/>
          <w:b/>
          <w:bCs/>
          <w:sz w:val="24"/>
          <w:szCs w:val="24"/>
          <w:lang w:eastAsia="en-ZW"/>
        </w:rPr>
        <w:lastRenderedPageBreak/>
        <w:t>Population of this Research</w:t>
      </w:r>
    </w:p>
    <w:p w14:paraId="0F1FCE9E"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highlight w:val="yellow"/>
          <w:lang w:val="en-US"/>
        </w:rPr>
      </w:pPr>
      <w:r w:rsidRPr="00BE5DAB">
        <w:rPr>
          <w:rFonts w:ascii="Times New Roman" w:eastAsia="Cambria" w:hAnsi="Times New Roman" w:cs="Times New Roman"/>
          <w:sz w:val="24"/>
          <w:szCs w:val="24"/>
          <w:lang w:eastAsia="en-ZW"/>
        </w:rPr>
        <w:t>This study seeks to identify the reasons that lead Arab consumers` who live in London to boycott certain brands/companies. Therefore, the population of this investigation will include the Arab consumers who live in the London area, as they are the spectrum of consumers targeted in this study.</w:t>
      </w:r>
    </w:p>
    <w:p w14:paraId="52463321"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highlight w:val="yellow"/>
          <w:lang w:val="en-US"/>
        </w:rPr>
      </w:pPr>
    </w:p>
    <w:p w14:paraId="6A244783" w14:textId="77777777" w:rsidR="00BE5DAB" w:rsidRPr="00BE5DAB" w:rsidRDefault="00BE5DAB" w:rsidP="00BE5DAB">
      <w:pPr>
        <w:widowControl w:val="0"/>
        <w:numPr>
          <w:ilvl w:val="2"/>
          <w:numId w:val="9"/>
        </w:numPr>
        <w:tabs>
          <w:tab w:val="left" w:pos="0"/>
        </w:tabs>
        <w:autoSpaceDE w:val="0"/>
        <w:autoSpaceDN w:val="0"/>
        <w:spacing w:after="0" w:line="360" w:lineRule="auto"/>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Sample of this Research</w:t>
      </w:r>
    </w:p>
    <w:p w14:paraId="0CD85438"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The population of this study is the Arab consumers who live in the London area. Therefore, the sample will include part of this population. The sample of the study included 46 participants who belonged to different categories of age, sex, and country of origin. In the initial stages of the investigation, the work sought to include fifty participants. However, the study included 46 as the researcher concluded that further data collection will add no contribution to the work, as the researcher reached a point of data saturation, namely: there is no added value from collecting further primary data as the research did not notice any new outcomes that he did not recognise. </w:t>
      </w:r>
    </w:p>
    <w:p w14:paraId="6223A3D6"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p>
    <w:p w14:paraId="0C512B20"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Rationale for the Selection of Research Sampling Approaches</w:t>
      </w:r>
    </w:p>
    <w:p w14:paraId="20F0310F"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The study utilised two sampling approaches for the selection of the sample of this study. The first approach is the </w:t>
      </w:r>
      <w:r w:rsidRPr="00BE5DAB">
        <w:rPr>
          <w:rFonts w:ascii="Times New Roman" w:eastAsia="Cambria" w:hAnsi="Times New Roman" w:cs="Times New Roman"/>
          <w:i/>
          <w:iCs/>
          <w:sz w:val="24"/>
          <w:szCs w:val="24"/>
          <w:lang w:eastAsia="en-ZW"/>
        </w:rPr>
        <w:t>convenience sample</w:t>
      </w:r>
      <w:r w:rsidRPr="00BE5DAB">
        <w:rPr>
          <w:rFonts w:ascii="Times New Roman" w:eastAsia="Cambria" w:hAnsi="Times New Roman" w:cs="Times New Roman"/>
          <w:sz w:val="24"/>
          <w:szCs w:val="24"/>
          <w:lang w:eastAsia="en-ZW"/>
        </w:rPr>
        <w:t xml:space="preserve"> </w:t>
      </w:r>
      <w:proofErr w:type="gramStart"/>
      <w:r w:rsidRPr="00BE5DAB">
        <w:rPr>
          <w:rFonts w:ascii="Times New Roman" w:eastAsia="Cambria" w:hAnsi="Times New Roman" w:cs="Times New Roman"/>
          <w:sz w:val="24"/>
          <w:szCs w:val="24"/>
          <w:lang w:eastAsia="en-ZW"/>
        </w:rPr>
        <w:t>approach</w:t>
      </w:r>
      <w:proofErr w:type="gramEnd"/>
      <w:r w:rsidRPr="00BE5DAB">
        <w:rPr>
          <w:rFonts w:ascii="Times New Roman" w:eastAsia="Cambria" w:hAnsi="Times New Roman" w:cs="Times New Roman"/>
          <w:sz w:val="24"/>
          <w:szCs w:val="24"/>
          <w:lang w:eastAsia="en-ZW"/>
        </w:rPr>
        <w:t xml:space="preserve"> and the second approach is the snowball approach. Hair et al., (2019, p. 192) defined the convenience sample approach with an example as follows:</w:t>
      </w:r>
    </w:p>
    <w:p w14:paraId="3996DC66"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6B9207A0"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r w:rsidRPr="00BE5DAB">
        <w:rPr>
          <w:rFonts w:ascii="Times New Roman" w:eastAsia="Cambria" w:hAnsi="Times New Roman" w:cs="Times New Roman"/>
          <w:i/>
          <w:iCs/>
          <w:sz w:val="20"/>
          <w:szCs w:val="20"/>
          <w:lang w:eastAsia="en-ZW"/>
        </w:rPr>
        <w:t xml:space="preserve">A convenience sample involves selecting sample elements that are most readily available to participate in the study and that can provide the information required. For example, exit interviews used with restaurant customers who have just finished a meal at the restaurant represent a convenience sample. </w:t>
      </w:r>
    </w:p>
    <w:p w14:paraId="5C3B6568" w14:textId="77777777" w:rsidR="00BE5DAB" w:rsidRPr="00BE5DAB" w:rsidRDefault="00BE5DAB" w:rsidP="00BE5DAB">
      <w:pPr>
        <w:widowControl w:val="0"/>
        <w:autoSpaceDE w:val="0"/>
        <w:autoSpaceDN w:val="0"/>
        <w:adjustRightInd w:val="0"/>
        <w:spacing w:after="0" w:line="240" w:lineRule="auto"/>
        <w:ind w:rightChars="375" w:right="825"/>
        <w:contextualSpacing/>
        <w:jc w:val="both"/>
        <w:rPr>
          <w:rFonts w:ascii="Times New Roman" w:eastAsia="Cambria" w:hAnsi="Times New Roman" w:cs="Times New Roman"/>
          <w:sz w:val="20"/>
          <w:szCs w:val="20"/>
          <w:lang w:eastAsia="en-ZW"/>
        </w:rPr>
      </w:pPr>
    </w:p>
    <w:p w14:paraId="6DAE305A"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Additionally, Hair et al. (2019, p. 193) presented a definition for snowball sampling approach as the follows:</w:t>
      </w:r>
    </w:p>
    <w:p w14:paraId="4E81EA46"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690569C0"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r w:rsidRPr="00BE5DAB">
        <w:rPr>
          <w:rFonts w:ascii="Times New Roman" w:eastAsia="Cambria" w:hAnsi="Times New Roman" w:cs="Times New Roman"/>
          <w:i/>
          <w:iCs/>
          <w:sz w:val="20"/>
          <w:szCs w:val="20"/>
          <w:lang w:eastAsia="en-ZW"/>
        </w:rPr>
        <w:t xml:space="preserve">A snowball sample, also called a referral sample, is one where the initial respondents are typically chosen using probability methods. The researcher then uses the initial respondents to help identify the other respondents in the target population. This process will </w:t>
      </w:r>
      <w:proofErr w:type="gramStart"/>
      <w:r w:rsidRPr="00BE5DAB">
        <w:rPr>
          <w:rFonts w:ascii="Times New Roman" w:eastAsia="Cambria" w:hAnsi="Times New Roman" w:cs="Times New Roman"/>
          <w:i/>
          <w:iCs/>
          <w:sz w:val="20"/>
          <w:szCs w:val="20"/>
          <w:lang w:eastAsia="en-ZW"/>
        </w:rPr>
        <w:t>continued</w:t>
      </w:r>
      <w:proofErr w:type="gramEnd"/>
      <w:r w:rsidRPr="00BE5DAB">
        <w:rPr>
          <w:rFonts w:ascii="Times New Roman" w:eastAsia="Cambria" w:hAnsi="Times New Roman" w:cs="Times New Roman"/>
          <w:i/>
          <w:iCs/>
          <w:sz w:val="20"/>
          <w:szCs w:val="20"/>
          <w:lang w:eastAsia="en-ZW"/>
        </w:rPr>
        <w:t xml:space="preserve"> until the required sample size is reached.</w:t>
      </w:r>
    </w:p>
    <w:p w14:paraId="0FB6E14A"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75ED94FE"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Part of the sample was selected using the convenience sample approach as this part was selected from the regions where Arab consumers are either live or tend to visit. In addition to the convenience sample approach, the research utilised the snowball approach to select the other </w:t>
      </w:r>
      <w:r w:rsidRPr="00BE5DAB">
        <w:rPr>
          <w:rFonts w:ascii="Times New Roman" w:eastAsia="Cambria" w:hAnsi="Times New Roman" w:cs="Times New Roman"/>
          <w:sz w:val="24"/>
          <w:szCs w:val="24"/>
          <w:lang w:eastAsia="en-ZW"/>
        </w:rPr>
        <w:lastRenderedPageBreak/>
        <w:t xml:space="preserve">part of the sample. The researcher selected this approach as he is in direct communication with participants who provided access to other participants. </w:t>
      </w:r>
    </w:p>
    <w:p w14:paraId="3679CE8F"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There are advantages and disadvantages to using the snowball sampling approach. Bell et al. (2018, 396) </w:t>
      </w:r>
      <w:proofErr w:type="gramStart"/>
      <w:r w:rsidRPr="00BE5DAB">
        <w:rPr>
          <w:rFonts w:ascii="Times New Roman" w:eastAsia="Cambria" w:hAnsi="Times New Roman" w:cs="Times New Roman"/>
          <w:sz w:val="24"/>
          <w:szCs w:val="24"/>
          <w:lang w:eastAsia="en-ZW"/>
        </w:rPr>
        <w:t>address</w:t>
      </w:r>
      <w:proofErr w:type="gramEnd"/>
      <w:r w:rsidRPr="00BE5DAB">
        <w:rPr>
          <w:rFonts w:ascii="Times New Roman" w:eastAsia="Cambria" w:hAnsi="Times New Roman" w:cs="Times New Roman"/>
          <w:sz w:val="24"/>
          <w:szCs w:val="24"/>
          <w:lang w:eastAsia="en-ZW"/>
        </w:rPr>
        <w:t xml:space="preserve"> the disadvantage of using snowball is that the sample selected is unlikely to represent the population. Bell et al. (2018, 396) stated:</w:t>
      </w:r>
    </w:p>
    <w:p w14:paraId="79F60835"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6EA5C54C"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r w:rsidRPr="00BE5DAB">
        <w:rPr>
          <w:rFonts w:ascii="Times New Roman" w:eastAsia="Cambria" w:hAnsi="Times New Roman" w:cs="Times New Roman"/>
          <w:i/>
          <w:iCs/>
          <w:sz w:val="20"/>
          <w:szCs w:val="20"/>
          <w:lang w:eastAsia="en-ZW"/>
        </w:rPr>
        <w:t>The problem with snowball sampling is that it is very unlikely that the sample will be representative of the population, though, as we have just suggested, the very notion of a population may be problematic in some circumstances. However, by and large, snowball sampling is used not within a quantitative research strategy, but within the qualitative one: both.</w:t>
      </w:r>
    </w:p>
    <w:p w14:paraId="688EF21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4EEB25F7"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The advantage of using the snowball approach is that the researcher can access a sample that is hard to access as it allows the researcher to access some of the samples based on the recommendations of the first participants in the study (Hair et al., 2019).   </w:t>
      </w:r>
    </w:p>
    <w:p w14:paraId="2E1C4FFF"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Rationale for Using Questionnaire</w:t>
      </w:r>
    </w:p>
    <w:p w14:paraId="0F35A642"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The study aims to identify the reasons that lead Arab consumers to boycott brands/companies. For this reason, the researcher created a questionnaire to capture the views of Arab consumers who live in London about the reasons for boycotting products/brands. The research use questionnaires to capture the views of Arab consumers in the London area as it is a relatively cheap and quick method of collecting data when the targeted sample of participants is large. </w:t>
      </w:r>
      <w:proofErr w:type="spellStart"/>
      <w:r w:rsidRPr="00BE5DAB">
        <w:rPr>
          <w:rFonts w:ascii="Times New Roman" w:eastAsia="Cambria" w:hAnsi="Times New Roman" w:cs="Times New Roman"/>
          <w:sz w:val="24"/>
          <w:szCs w:val="24"/>
          <w:lang w:eastAsia="en-ZW"/>
        </w:rPr>
        <w:t>Dagar</w:t>
      </w:r>
      <w:proofErr w:type="spellEnd"/>
      <w:r w:rsidRPr="00BE5DAB">
        <w:rPr>
          <w:rFonts w:ascii="Times New Roman" w:eastAsia="Cambria" w:hAnsi="Times New Roman" w:cs="Times New Roman"/>
          <w:sz w:val="24"/>
          <w:szCs w:val="24"/>
          <w:lang w:eastAsia="en-ZW"/>
        </w:rPr>
        <w:t xml:space="preserve"> (2019, p. 110) highlighted the benefits of using questionnaires during the data collection phase as follows:</w:t>
      </w:r>
    </w:p>
    <w:p w14:paraId="1837E36F"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p>
    <w:p w14:paraId="331CC84E"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eastAsia="en-ZW"/>
        </w:rPr>
      </w:pPr>
      <w:r w:rsidRPr="00BE5DAB">
        <w:rPr>
          <w:rFonts w:ascii="Times New Roman" w:eastAsia="Cambria" w:hAnsi="Times New Roman" w:cs="Times New Roman"/>
          <w:i/>
          <w:iCs/>
          <w:sz w:val="20"/>
          <w:szCs w:val="20"/>
          <w:lang w:eastAsia="en-ZW"/>
        </w:rPr>
        <w:t xml:space="preserve">Questionnaires provide a relatively cheap, </w:t>
      </w:r>
      <w:proofErr w:type="gramStart"/>
      <w:r w:rsidRPr="00BE5DAB">
        <w:rPr>
          <w:rFonts w:ascii="Times New Roman" w:eastAsia="Cambria" w:hAnsi="Times New Roman" w:cs="Times New Roman"/>
          <w:i/>
          <w:iCs/>
          <w:sz w:val="20"/>
          <w:szCs w:val="20"/>
          <w:lang w:eastAsia="en-ZW"/>
        </w:rPr>
        <w:t>quick</w:t>
      </w:r>
      <w:proofErr w:type="gramEnd"/>
      <w:r w:rsidRPr="00BE5DAB">
        <w:rPr>
          <w:rFonts w:ascii="Times New Roman" w:eastAsia="Cambria" w:hAnsi="Times New Roman" w:cs="Times New Roman"/>
          <w:i/>
          <w:iCs/>
          <w:sz w:val="20"/>
          <w:szCs w:val="20"/>
          <w:lang w:eastAsia="en-ZW"/>
        </w:rPr>
        <w:t xml:space="preserve"> and efficient way of obtaining large amounts of information from a large sample of people. Data can be collected relatively quickly because the researcher would not need to be present when the questionnaires were completed. This is useful for large populations when interviews would be impractical.</w:t>
      </w:r>
    </w:p>
    <w:p w14:paraId="723D2DE7" w14:textId="77777777" w:rsidR="00BE5DAB" w:rsidRPr="00BE5DAB" w:rsidRDefault="00BE5DAB" w:rsidP="00BE5DAB">
      <w:pPr>
        <w:widowControl w:val="0"/>
        <w:autoSpaceDE w:val="0"/>
        <w:autoSpaceDN w:val="0"/>
        <w:adjustRightInd w:val="0"/>
        <w:spacing w:after="0" w:line="240" w:lineRule="auto"/>
        <w:ind w:rightChars="375" w:right="825"/>
        <w:contextualSpacing/>
        <w:jc w:val="both"/>
        <w:rPr>
          <w:rFonts w:ascii="Times New Roman" w:eastAsia="Cambria" w:hAnsi="Times New Roman" w:cs="Times New Roman"/>
          <w:sz w:val="20"/>
          <w:szCs w:val="20"/>
          <w:lang w:eastAsia="en-ZW"/>
        </w:rPr>
      </w:pPr>
    </w:p>
    <w:p w14:paraId="3016E164"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en-ZW"/>
        </w:rPr>
      </w:pPr>
      <w:r w:rsidRPr="00BE5DAB">
        <w:rPr>
          <w:rFonts w:ascii="Times New Roman" w:eastAsia="Cambria" w:hAnsi="Times New Roman" w:cs="Times New Roman"/>
          <w:sz w:val="24"/>
          <w:szCs w:val="24"/>
          <w:lang w:eastAsia="en-ZW"/>
        </w:rPr>
        <w:t xml:space="preserve">For the </w:t>
      </w:r>
      <w:r w:rsidRPr="00BE5DAB">
        <w:rPr>
          <w:rFonts w:ascii="Times New Roman" w:eastAsia="Cambria" w:hAnsi="Times New Roman" w:cs="Times New Roman"/>
          <w:sz w:val="24"/>
          <w:szCs w:val="24"/>
          <w:lang w:val="en-US" w:eastAsia="en-ZW"/>
        </w:rPr>
        <w:t xml:space="preserve">reasons </w:t>
      </w:r>
      <w:r w:rsidRPr="00BE5DAB">
        <w:rPr>
          <w:rFonts w:ascii="Times New Roman" w:eastAsia="Cambria" w:hAnsi="Times New Roman" w:cs="Times New Roman"/>
          <w:sz w:val="24"/>
          <w:szCs w:val="24"/>
          <w:lang w:eastAsia="en-ZW"/>
        </w:rPr>
        <w:t xml:space="preserve">mentioned above by </w:t>
      </w:r>
      <w:proofErr w:type="spellStart"/>
      <w:r w:rsidRPr="00BE5DAB">
        <w:rPr>
          <w:rFonts w:ascii="Times New Roman" w:eastAsia="Cambria" w:hAnsi="Times New Roman" w:cs="Times New Roman"/>
          <w:sz w:val="24"/>
          <w:szCs w:val="24"/>
          <w:lang w:eastAsia="en-ZW"/>
        </w:rPr>
        <w:t>Dagar</w:t>
      </w:r>
      <w:proofErr w:type="spellEnd"/>
      <w:r w:rsidRPr="00BE5DAB">
        <w:rPr>
          <w:rFonts w:ascii="Times New Roman" w:eastAsia="Cambria" w:hAnsi="Times New Roman" w:cs="Times New Roman"/>
          <w:sz w:val="24"/>
          <w:szCs w:val="24"/>
          <w:lang w:eastAsia="en-ZW"/>
        </w:rPr>
        <w:t xml:space="preserve">, the study adopted questionnaires as the method used to collect the primary data that will be used for identifying the reasons Arab consumers in London will boycott companies/brands. The questionnaire designed for this work includes twenty questions (see Appendix 1), all of which are multiple-choice questions except two. However, the outcomes of the two questions were reduced to numerical outcomes. </w:t>
      </w:r>
    </w:p>
    <w:p w14:paraId="78D19783" w14:textId="77777777" w:rsidR="00BE5DAB" w:rsidRPr="00BE5DAB" w:rsidRDefault="00BE5DAB" w:rsidP="00BE5DAB">
      <w:pPr>
        <w:widowControl w:val="0"/>
        <w:autoSpaceDE w:val="0"/>
        <w:autoSpaceDN w:val="0"/>
        <w:adjustRightInd w:val="0"/>
        <w:spacing w:line="360" w:lineRule="auto"/>
        <w:contextualSpacing/>
        <w:jc w:val="both"/>
        <w:rPr>
          <w:rFonts w:ascii="Times New Roman" w:eastAsia="Cambria" w:hAnsi="Times New Roman" w:cs="Times New Roman"/>
          <w:sz w:val="24"/>
          <w:szCs w:val="24"/>
          <w:lang w:eastAsia="en-ZW"/>
        </w:rPr>
      </w:pPr>
    </w:p>
    <w:p w14:paraId="1BAE62CB"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The Data Collection Stage</w:t>
      </w:r>
    </w:p>
    <w:p w14:paraId="0C10D64C"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study seeks to identify the reasons that can lead Arab consumers to boycott brands/companies. Therefore, the sample of this study includes Arab consumers who live in London. The data collection process, therefore, took place in London. The sample included 46 participants, 26 of whom were targeted in areas in which Arabs tend to live, namely: Oxford </w:t>
      </w:r>
      <w:r w:rsidRPr="00BE5DAB">
        <w:rPr>
          <w:rFonts w:ascii="Times New Roman" w:eastAsia="Cambria" w:hAnsi="Times New Roman" w:cs="Times New Roman"/>
          <w:sz w:val="24"/>
          <w:szCs w:val="24"/>
        </w:rPr>
        <w:lastRenderedPageBreak/>
        <w:t xml:space="preserve">Street, Shepherd Bush, Ealing Broadway, and Knightsbridge. In addition, eight participants were selected from the researcher’s direct contact as the researcher knows them and the eight recommended other participants (12 participants) to take part in this study. </w:t>
      </w:r>
    </w:p>
    <w:p w14:paraId="7CF9DF32"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18F48D35"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Process of Distributing the Questionnaires of this Research</w:t>
      </w:r>
    </w:p>
    <w:p w14:paraId="78D9F075" w14:textId="77777777" w:rsidR="00BE5DAB" w:rsidRPr="00BE5DAB" w:rsidRDefault="00BE5DAB" w:rsidP="00BE5DAB">
      <w:pPr>
        <w:widowControl w:val="0"/>
        <w:autoSpaceDE w:val="0"/>
        <w:autoSpaceDN w:val="0"/>
        <w:adjustRightInd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The researcher investigated the reasons that lead Arab consumers to boycott certain brands/companies. To achieve this aim, the researcher designed a questionnaire that the researcher distributed to 46 participants who took part in this study in September of 2021. There are two groups of people who participated in this study. The first group includes the participants the researcher approached in the areas in which Arabs either visit or live (see subsection 3.6.1); the other group of participants are the people that have a direct relationship with the researcher or those who know them </w:t>
      </w:r>
      <w:proofErr w:type="gramStart"/>
      <w:r w:rsidRPr="00BE5DAB">
        <w:rPr>
          <w:rFonts w:ascii="Times New Roman" w:eastAsia="Cambria" w:hAnsi="Times New Roman" w:cs="Times New Roman"/>
          <w:bCs/>
          <w:sz w:val="24"/>
          <w:szCs w:val="24"/>
          <w:lang w:eastAsia="en-ZW"/>
        </w:rPr>
        <w:t>and also</w:t>
      </w:r>
      <w:proofErr w:type="gramEnd"/>
      <w:r w:rsidRPr="00BE5DAB">
        <w:rPr>
          <w:rFonts w:ascii="Times New Roman" w:eastAsia="Cambria" w:hAnsi="Times New Roman" w:cs="Times New Roman"/>
          <w:bCs/>
          <w:sz w:val="24"/>
          <w:szCs w:val="24"/>
          <w:lang w:eastAsia="en-ZW"/>
        </w:rPr>
        <w:t xml:space="preserve"> participated in this study (see subsection 3.6.2).</w:t>
      </w:r>
    </w:p>
    <w:p w14:paraId="5BEAC046" w14:textId="77777777" w:rsidR="00BE5DAB" w:rsidRPr="00BE5DAB" w:rsidRDefault="00BE5DAB" w:rsidP="00BE5DAB">
      <w:pPr>
        <w:widowControl w:val="0"/>
        <w:autoSpaceDE w:val="0"/>
        <w:autoSpaceDN w:val="0"/>
        <w:adjustRightInd w:val="0"/>
        <w:spacing w:after="0" w:line="360" w:lineRule="auto"/>
        <w:jc w:val="both"/>
        <w:rPr>
          <w:rFonts w:ascii="Times New Roman" w:eastAsia="Cambria" w:hAnsi="Times New Roman" w:cs="Times New Roman"/>
          <w:bCs/>
          <w:sz w:val="24"/>
          <w:szCs w:val="24"/>
          <w:lang w:eastAsia="en-ZW"/>
        </w:rPr>
      </w:pPr>
    </w:p>
    <w:p w14:paraId="57DF1C5D" w14:textId="77777777" w:rsidR="00BE5DAB" w:rsidRPr="00BE5DAB" w:rsidRDefault="00BE5DAB" w:rsidP="00BE5DAB">
      <w:pPr>
        <w:widowControl w:val="0"/>
        <w:numPr>
          <w:ilvl w:val="2"/>
          <w:numId w:val="7"/>
        </w:numPr>
        <w:tabs>
          <w:tab w:val="left" w:pos="0"/>
        </w:tabs>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 xml:space="preserve">Process followed in Distributing the Questionnaires to Participants in London Streets </w:t>
      </w:r>
    </w:p>
    <w:p w14:paraId="254FFAF2" w14:textId="6DD92025" w:rsidR="00BE5DAB" w:rsidRPr="00BE5DAB" w:rsidRDefault="00BE5DAB" w:rsidP="00BE5DAB">
      <w:pPr>
        <w:widowControl w:val="0"/>
        <w:autoSpaceDE w:val="0"/>
        <w:autoSpaceDN w:val="0"/>
        <w:adjustRightInd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
          <w:sz w:val="24"/>
          <w:szCs w:val="24"/>
          <w:lang w:val="en-US" w:eastAsia="en-ZW"/>
        </w:rPr>
        <w:t xml:space="preserve">First step: </w:t>
      </w:r>
      <w:r w:rsidRPr="00BE5DAB">
        <w:rPr>
          <w:rFonts w:ascii="Times New Roman" w:eastAsia="Cambria" w:hAnsi="Times New Roman" w:cs="Times New Roman"/>
          <w:bCs/>
          <w:sz w:val="24"/>
          <w:szCs w:val="24"/>
          <w:lang w:eastAsia="en-ZW"/>
        </w:rPr>
        <w:t xml:space="preserve"> the researcher reached prospective participants in the areas in which Arab consumers are more likely to live or visit. The researcher approaches the prospect participants and starts the conversation by introducing himself to individuals he </w:t>
      </w:r>
      <w:r w:rsidR="001470E9" w:rsidRPr="00BE5DAB">
        <w:rPr>
          <w:rFonts w:ascii="Times New Roman" w:eastAsia="Cambria" w:hAnsi="Times New Roman" w:cs="Times New Roman"/>
          <w:bCs/>
          <w:sz w:val="24"/>
          <w:szCs w:val="24"/>
          <w:lang w:eastAsia="en-ZW"/>
        </w:rPr>
        <w:t>approaches and</w:t>
      </w:r>
      <w:r w:rsidRPr="00BE5DAB">
        <w:rPr>
          <w:rFonts w:ascii="Times New Roman" w:eastAsia="Cambria" w:hAnsi="Times New Roman" w:cs="Times New Roman"/>
          <w:bCs/>
          <w:sz w:val="24"/>
          <w:szCs w:val="24"/>
          <w:lang w:eastAsia="en-ZW"/>
        </w:rPr>
        <w:t xml:space="preserve"> provides a brief introduction about his study and its aim</w:t>
      </w:r>
      <w:r w:rsidRPr="00BE5DAB">
        <w:rPr>
          <w:rFonts w:ascii="Times New Roman" w:eastAsia="Cambria" w:hAnsi="Times New Roman" w:cs="Times New Roman"/>
          <w:b/>
          <w:sz w:val="24"/>
          <w:szCs w:val="24"/>
          <w:lang w:eastAsia="en-ZW"/>
        </w:rPr>
        <w:t>.</w:t>
      </w:r>
      <w:r w:rsidRPr="00BE5DAB">
        <w:rPr>
          <w:rFonts w:ascii="Times New Roman" w:eastAsia="Cambria" w:hAnsi="Times New Roman" w:cs="Times New Roman"/>
          <w:bCs/>
          <w:sz w:val="24"/>
          <w:szCs w:val="24"/>
          <w:lang w:eastAsia="en-ZW"/>
        </w:rPr>
        <w:t xml:space="preserve"> This step is necessary as the participants need to understand the nature of the work and how the data collected will be used.</w:t>
      </w:r>
    </w:p>
    <w:p w14:paraId="085AE39E"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
          <w:sz w:val="24"/>
          <w:szCs w:val="24"/>
          <w:lang w:val="en-US" w:eastAsia="en-ZW"/>
        </w:rPr>
        <w:t xml:space="preserve">Second step: </w:t>
      </w:r>
      <w:r w:rsidRPr="00BE5DAB">
        <w:rPr>
          <w:rFonts w:ascii="Times New Roman" w:eastAsia="Cambria" w:hAnsi="Times New Roman" w:cs="Times New Roman"/>
          <w:bCs/>
          <w:sz w:val="24"/>
          <w:szCs w:val="24"/>
          <w:lang w:eastAsia="en-ZW"/>
        </w:rPr>
        <w:t xml:space="preserve">the researcher waits for the individuals' responses, if </w:t>
      </w:r>
      <w:r w:rsidRPr="00BE5DAB">
        <w:rPr>
          <w:rFonts w:ascii="Times New Roman" w:eastAsia="Cambria" w:hAnsi="Times New Roman" w:cs="Times New Roman"/>
          <w:sz w:val="24"/>
          <w:szCs w:val="24"/>
          <w:lang w:val="en-US" w:eastAsia="en-ZW"/>
        </w:rPr>
        <w:t xml:space="preserve">they </w:t>
      </w:r>
      <w:r w:rsidRPr="00BE5DAB">
        <w:rPr>
          <w:rFonts w:ascii="Times New Roman" w:eastAsia="Cambria" w:hAnsi="Times New Roman" w:cs="Times New Roman"/>
          <w:bCs/>
          <w:sz w:val="24"/>
          <w:szCs w:val="24"/>
          <w:lang w:eastAsia="en-ZW"/>
        </w:rPr>
        <w:t>agreed to take part in the study, the researcher proceeds with the data collection process. Otherwise, he apologizes and tries to identify other individuals who he may be interested in taking part in this study.</w:t>
      </w:r>
    </w:p>
    <w:p w14:paraId="21DAE5BD"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
          <w:sz w:val="24"/>
          <w:szCs w:val="24"/>
          <w:lang w:eastAsia="en-ZW"/>
        </w:rPr>
        <w:t>Third step</w:t>
      </w:r>
      <w:r w:rsidRPr="00BE5DAB">
        <w:rPr>
          <w:rFonts w:ascii="Times New Roman" w:eastAsia="Cambria" w:hAnsi="Times New Roman" w:cs="Times New Roman"/>
          <w:bCs/>
          <w:sz w:val="24"/>
          <w:szCs w:val="24"/>
          <w:lang w:eastAsia="en-ZW"/>
        </w:rPr>
        <w:t xml:space="preserve">: if the prospective participant agreed to take part in the study, he provides the participant with a copy of the questionnaire (see </w:t>
      </w:r>
      <w:r w:rsidRPr="00BE5DAB">
        <w:rPr>
          <w:rFonts w:ascii="Times New Roman" w:eastAsia="Cambria" w:hAnsi="Times New Roman" w:cs="Times New Roman"/>
          <w:sz w:val="24"/>
          <w:szCs w:val="24"/>
        </w:rPr>
        <w:t>Appendix 1</w:t>
      </w:r>
      <w:r w:rsidRPr="00BE5DAB">
        <w:rPr>
          <w:rFonts w:ascii="Times New Roman" w:eastAsia="Cambria" w:hAnsi="Times New Roman" w:cs="Times New Roman"/>
          <w:bCs/>
          <w:sz w:val="24"/>
          <w:szCs w:val="24"/>
          <w:lang w:eastAsia="en-ZW"/>
        </w:rPr>
        <w:t xml:space="preserve">) and explains to the person the structure of the questionnaire and the aim of each section, to make sure that each participant understands the questions and the responses to each question (it takes five to seven minutes on average to explain the questions). This step is important as the researcher wanted to ensure that the quality of responses is high </w:t>
      </w:r>
      <w:proofErr w:type="gramStart"/>
      <w:r w:rsidRPr="00BE5DAB">
        <w:rPr>
          <w:rFonts w:ascii="Times New Roman" w:eastAsia="Cambria" w:hAnsi="Times New Roman" w:cs="Times New Roman"/>
          <w:bCs/>
          <w:sz w:val="24"/>
          <w:szCs w:val="24"/>
          <w:lang w:eastAsia="en-ZW"/>
        </w:rPr>
        <w:t>and also</w:t>
      </w:r>
      <w:proofErr w:type="gramEnd"/>
      <w:r w:rsidRPr="00BE5DAB">
        <w:rPr>
          <w:rFonts w:ascii="Times New Roman" w:eastAsia="Cambria" w:hAnsi="Times New Roman" w:cs="Times New Roman"/>
          <w:bCs/>
          <w:sz w:val="24"/>
          <w:szCs w:val="24"/>
          <w:lang w:eastAsia="en-ZW"/>
        </w:rPr>
        <w:t xml:space="preserve"> ensure that the participants will fill the questionnaires without any challenges.</w:t>
      </w:r>
    </w:p>
    <w:p w14:paraId="65AC461F"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highlight w:val="yellow"/>
          <w:lang w:eastAsia="en-ZW"/>
        </w:rPr>
      </w:pPr>
      <w:r w:rsidRPr="00BE5DAB">
        <w:rPr>
          <w:rFonts w:ascii="Times New Roman" w:eastAsia="Cambria" w:hAnsi="Times New Roman" w:cs="Times New Roman"/>
          <w:b/>
          <w:sz w:val="24"/>
          <w:szCs w:val="24"/>
          <w:lang w:eastAsia="en-ZW"/>
        </w:rPr>
        <w:t xml:space="preserve">Fourth step: </w:t>
      </w:r>
      <w:r w:rsidRPr="00BE5DAB">
        <w:rPr>
          <w:rFonts w:ascii="Times New Roman" w:eastAsia="Cambria" w:hAnsi="Times New Roman" w:cs="Times New Roman"/>
          <w:bCs/>
          <w:sz w:val="24"/>
          <w:szCs w:val="24"/>
          <w:lang w:eastAsia="en-ZW"/>
        </w:rPr>
        <w:t xml:space="preserve">when the participant answers the questions presented in the questionnaire, he/she returns it to the researcher. At this point, the researcher will check the questionnaire to make sure all the questions were answered. The researcher will let the participant know if he/she left </w:t>
      </w:r>
      <w:r w:rsidRPr="00BE5DAB">
        <w:rPr>
          <w:rFonts w:ascii="Times New Roman" w:eastAsia="Cambria" w:hAnsi="Times New Roman" w:cs="Times New Roman"/>
          <w:bCs/>
          <w:sz w:val="24"/>
          <w:szCs w:val="24"/>
          <w:lang w:eastAsia="en-ZW"/>
        </w:rPr>
        <w:lastRenderedPageBreak/>
        <w:t>any questions unanswered. This step is important as it ensures that all the questions included in the questionnaire are fully answered.</w:t>
      </w:r>
    </w:p>
    <w:p w14:paraId="1D0AF186" w14:textId="77777777" w:rsidR="00BE5DAB" w:rsidRPr="00BE5DAB" w:rsidRDefault="00BE5DAB" w:rsidP="00BE5DAB">
      <w:pPr>
        <w:widowControl w:val="0"/>
        <w:autoSpaceDE w:val="0"/>
        <w:autoSpaceDN w:val="0"/>
        <w:spacing w:before="1" w:after="0" w:line="360" w:lineRule="auto"/>
        <w:ind w:right="-54"/>
        <w:jc w:val="both"/>
        <w:rPr>
          <w:rFonts w:ascii="Times New Roman" w:eastAsia="Cambria" w:hAnsi="Times New Roman" w:cs="Times New Roman"/>
          <w:sz w:val="24"/>
          <w:szCs w:val="24"/>
        </w:rPr>
      </w:pPr>
    </w:p>
    <w:p w14:paraId="47E0687D" w14:textId="77777777" w:rsidR="00BE5DAB" w:rsidRPr="00BE5DAB" w:rsidRDefault="00BE5DAB" w:rsidP="00BE5DAB">
      <w:pPr>
        <w:widowControl w:val="0"/>
        <w:numPr>
          <w:ilvl w:val="2"/>
          <w:numId w:val="7"/>
        </w:numPr>
        <w:tabs>
          <w:tab w:val="left" w:pos="0"/>
        </w:tabs>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Process followed in Distributing the Questionnaires to Participants Who Know the Researcher</w:t>
      </w:r>
    </w:p>
    <w:p w14:paraId="07154FD7" w14:textId="77777777" w:rsidR="00BE5DAB" w:rsidRPr="00BE5DAB" w:rsidRDefault="00BE5DAB" w:rsidP="00BE5DAB">
      <w:pPr>
        <w:widowControl w:val="0"/>
        <w:tabs>
          <w:tab w:val="left" w:pos="0"/>
        </w:tabs>
        <w:autoSpaceDE w:val="0"/>
        <w:autoSpaceDN w:val="0"/>
        <w:spacing w:before="1" w:after="0" w:line="360" w:lineRule="auto"/>
        <w:ind w:right="-54"/>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The researcher followed the same steps he executed while distributing the questionnaires to the participants who he identified in the areas where Arabs are more likely to live or visit (see subsection 3.6.1). However, the researcher has easier access to these participants as he has a direct relationship (</w:t>
      </w:r>
      <w:proofErr w:type="gramStart"/>
      <w:r w:rsidRPr="00BE5DAB">
        <w:rPr>
          <w:rFonts w:ascii="Times New Roman" w:eastAsia="Cambria" w:hAnsi="Times New Roman" w:cs="Times New Roman"/>
          <w:bCs/>
          <w:sz w:val="24"/>
          <w:szCs w:val="24"/>
          <w:lang w:eastAsia="en-ZW"/>
        </w:rPr>
        <w:t>i.e.</w:t>
      </w:r>
      <w:proofErr w:type="gramEnd"/>
      <w:r w:rsidRPr="00BE5DAB">
        <w:rPr>
          <w:rFonts w:ascii="Times New Roman" w:eastAsia="Cambria" w:hAnsi="Times New Roman" w:cs="Times New Roman"/>
          <w:bCs/>
          <w:sz w:val="24"/>
          <w:szCs w:val="24"/>
          <w:lang w:eastAsia="en-ZW"/>
        </w:rPr>
        <w:t xml:space="preserve"> friends) with them.</w:t>
      </w:r>
    </w:p>
    <w:p w14:paraId="57A4A912"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62F6F9B1"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37D5F98E" w14:textId="77777777" w:rsidR="00BE5DAB" w:rsidRPr="00BE5DAB" w:rsidRDefault="00BE5DAB" w:rsidP="00BE5DAB">
      <w:pPr>
        <w:widowControl w:val="0"/>
        <w:numPr>
          <w:ilvl w:val="1"/>
          <w:numId w:val="7"/>
        </w:numPr>
        <w:autoSpaceDE w:val="0"/>
        <w:autoSpaceDN w:val="0"/>
        <w:spacing w:before="1" w:after="0" w:line="360" w:lineRule="auto"/>
        <w:ind w:right="-54"/>
        <w:jc w:val="both"/>
        <w:rPr>
          <w:rFonts w:ascii="Times New Roman" w:eastAsia="Cambria" w:hAnsi="Times New Roman" w:cs="Times New Roman"/>
          <w:b/>
          <w:bCs/>
          <w:sz w:val="24"/>
          <w:szCs w:val="24"/>
          <w:lang w:eastAsia="en-ZW"/>
        </w:rPr>
      </w:pPr>
      <w:r w:rsidRPr="00BE5DAB">
        <w:rPr>
          <w:rFonts w:ascii="Times New Roman" w:eastAsia="Cambria" w:hAnsi="Times New Roman" w:cs="Times New Roman"/>
          <w:b/>
          <w:bCs/>
          <w:sz w:val="24"/>
          <w:szCs w:val="24"/>
          <w:lang w:eastAsia="en-ZW"/>
        </w:rPr>
        <w:t>Limitations</w:t>
      </w:r>
    </w:p>
    <w:p w14:paraId="26D398E6"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Limitation 1:</w:t>
      </w:r>
      <w:r w:rsidRPr="00BE5DAB">
        <w:rPr>
          <w:rFonts w:ascii="Times New Roman" w:eastAsia="Cambria" w:hAnsi="Times New Roman" w:cs="Times New Roman"/>
          <w:sz w:val="24"/>
          <w:szCs w:val="24"/>
        </w:rPr>
        <w:t xml:space="preserve"> this study focused on the Arab consumers of London. Therefore, it did not take into consideration Arab consumers who live in other cities of the UK. For this reason, further studies are needed to investigate the consumer behaviour of Arabs in other cities and whether they are willing to boycott certain brands/companies or not? And if they are willing to do so, what sort of reasons may lead them to do so?</w:t>
      </w:r>
    </w:p>
    <w:p w14:paraId="1E9D8101"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 xml:space="preserve">Limitation 2: </w:t>
      </w:r>
      <w:r w:rsidRPr="00BE5DAB">
        <w:rPr>
          <w:rFonts w:ascii="Times New Roman" w:eastAsia="Cambria" w:hAnsi="Times New Roman" w:cs="Times New Roman"/>
          <w:sz w:val="24"/>
          <w:szCs w:val="24"/>
        </w:rPr>
        <w:t xml:space="preserve">this study uses surveys to collect the primary data. Therefore, the investigation did not include interviews (semi-structured or structured). Therefore, further research can use qualitative methods to investigate phenomena in depth so further details could be </w:t>
      </w:r>
      <w:r w:rsidRPr="00BE5DAB">
        <w:rPr>
          <w:rFonts w:ascii="Times New Roman" w:eastAsia="Cambria" w:hAnsi="Times New Roman" w:cs="Times New Roman"/>
          <w:bCs/>
          <w:sz w:val="24"/>
          <w:szCs w:val="24"/>
          <w:lang w:eastAsia="en-ZW"/>
        </w:rPr>
        <w:t xml:space="preserve">shared </w:t>
      </w:r>
      <w:r w:rsidRPr="00BE5DAB">
        <w:rPr>
          <w:rFonts w:ascii="Times New Roman" w:eastAsia="Cambria" w:hAnsi="Times New Roman" w:cs="Times New Roman"/>
          <w:sz w:val="24"/>
          <w:szCs w:val="24"/>
        </w:rPr>
        <w:t>by the participants that can add a layer of understanding for the boycott phenomena that may occur in the Arab society of London.</w:t>
      </w:r>
    </w:p>
    <w:p w14:paraId="1B6AC7DA"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71248E27"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226E5951"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7E6548AC"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0EA1DCEF"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3F39532E"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1538D8AA" w14:textId="77777777" w:rsidR="00BE5DAB" w:rsidRPr="00BE5DAB" w:rsidRDefault="00BE5DAB" w:rsidP="00BE5DAB">
      <w:pPr>
        <w:widowControl w:val="0"/>
        <w:tabs>
          <w:tab w:val="left" w:pos="0"/>
        </w:tabs>
        <w:autoSpaceDE w:val="0"/>
        <w:autoSpaceDN w:val="0"/>
        <w:spacing w:after="0" w:line="360" w:lineRule="auto"/>
        <w:jc w:val="center"/>
        <w:rPr>
          <w:rFonts w:ascii="Times New Roman" w:eastAsia="Cambria" w:hAnsi="Times New Roman" w:cs="Times New Roman"/>
          <w:b/>
          <w:bCs/>
          <w:sz w:val="28"/>
          <w:szCs w:val="28"/>
        </w:rPr>
      </w:pPr>
      <w:r w:rsidRPr="00BE5DAB">
        <w:rPr>
          <w:rFonts w:ascii="Times New Roman" w:eastAsia="Cambria" w:hAnsi="Times New Roman" w:cs="Times New Roman"/>
          <w:b/>
          <w:bCs/>
          <w:sz w:val="28"/>
          <w:szCs w:val="28"/>
        </w:rPr>
        <w:t>Chapter Four: Data Analysis</w:t>
      </w:r>
    </w:p>
    <w:p w14:paraId="40DCBA24"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6EDDBC62"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Introduction</w:t>
      </w:r>
    </w:p>
    <w:p w14:paraId="4B90FC7A"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This chapter includes three key sections. The sections represent the key sections of the survey distributed to the participants; these sections are Personal Information of Participants (see section 4.2), consumer behaviour (see section 4.4), and views of participants regarding key political and religious events (see section 4.6). The first section is included as it shows the key personal information of each participant; this is important as the research can see and identify any pattern of personal information associated with boycott behaviour. The second section is </w:t>
      </w:r>
      <w:r w:rsidRPr="00BE5DAB">
        <w:rPr>
          <w:rFonts w:ascii="Times New Roman" w:eastAsia="Cambria" w:hAnsi="Times New Roman" w:cs="Times New Roman"/>
          <w:sz w:val="24"/>
          <w:szCs w:val="24"/>
        </w:rPr>
        <w:lastRenderedPageBreak/>
        <w:t>of the analysis as it shows the broad habits of the participants; the section is significant as it provides an overall understanding of what may lead the participants to buy any certain product as this helps the researcher in making a stronger case on what may lead (or not lead) the participant to buy certain products. The last section is included as it possesses the key questions and answers regarding participants’ behaviour about what leads them to build loyalty/boycott certain products/brands/companies.</w:t>
      </w:r>
    </w:p>
    <w:p w14:paraId="1432BE59"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p>
    <w:p w14:paraId="79BD10A1"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First Section: Personal Information of Participants</w:t>
      </w:r>
    </w:p>
    <w:p w14:paraId="6533E872"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Age</w:t>
      </w:r>
    </w:p>
    <w:p w14:paraId="1369564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The people who participated in this study fall under four age categories. The dominant age category among the four is the category of young individuals (between the ages of 18-30). The following table (see table 4.1) provides more details regarding the number of participants under each age category. Additionally, the percentage of participants that belong to a certain age category is presented (in a pie chart) in compression with the other three age categories. And the young participants represent the largest share of the pie, namely: 44%.</w:t>
      </w:r>
    </w:p>
    <w:p w14:paraId="4B1F94BE"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59A2AA5"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4.1: Frequency of Participants Categories by Age</w:t>
      </w:r>
    </w:p>
    <w:tbl>
      <w:tblPr>
        <w:tblStyle w:val="TableGrid"/>
        <w:tblW w:w="8040" w:type="dxa"/>
        <w:jc w:val="center"/>
        <w:tblInd w:w="0" w:type="dxa"/>
        <w:tblLook w:val="04A0" w:firstRow="1" w:lastRow="0" w:firstColumn="1" w:lastColumn="0" w:noHBand="0" w:noVBand="1"/>
      </w:tblPr>
      <w:tblGrid>
        <w:gridCol w:w="2236"/>
        <w:gridCol w:w="3084"/>
        <w:gridCol w:w="2720"/>
      </w:tblGrid>
      <w:tr w:rsidR="00BE5DAB" w:rsidRPr="00BE5DAB" w14:paraId="1A51FD8B" w14:textId="77777777" w:rsidTr="00BE5DAB">
        <w:trPr>
          <w:jc w:val="center"/>
        </w:trPr>
        <w:tc>
          <w:tcPr>
            <w:tcW w:w="2236" w:type="dxa"/>
            <w:tcBorders>
              <w:top w:val="single" w:sz="4" w:space="0" w:color="auto"/>
              <w:left w:val="single" w:sz="4" w:space="0" w:color="auto"/>
              <w:bottom w:val="single" w:sz="4" w:space="0" w:color="auto"/>
              <w:right w:val="single" w:sz="4" w:space="0" w:color="auto"/>
            </w:tcBorders>
            <w:shd w:val="clear" w:color="auto" w:fill="9CC2E5"/>
            <w:hideMark/>
          </w:tcPr>
          <w:p w14:paraId="5662CBD0"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3084" w:type="dxa"/>
            <w:tcBorders>
              <w:top w:val="single" w:sz="4" w:space="0" w:color="auto"/>
              <w:left w:val="single" w:sz="4" w:space="0" w:color="auto"/>
              <w:bottom w:val="single" w:sz="4" w:space="0" w:color="auto"/>
              <w:right w:val="single" w:sz="4" w:space="0" w:color="auto"/>
            </w:tcBorders>
            <w:shd w:val="clear" w:color="auto" w:fill="9CC2E5"/>
            <w:hideMark/>
          </w:tcPr>
          <w:p w14:paraId="2731DC88"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Age Category</w:t>
            </w:r>
          </w:p>
        </w:tc>
        <w:tc>
          <w:tcPr>
            <w:tcW w:w="2720" w:type="dxa"/>
            <w:tcBorders>
              <w:top w:val="single" w:sz="4" w:space="0" w:color="auto"/>
              <w:left w:val="single" w:sz="4" w:space="0" w:color="auto"/>
              <w:bottom w:val="single" w:sz="4" w:space="0" w:color="auto"/>
              <w:right w:val="single" w:sz="4" w:space="0" w:color="auto"/>
            </w:tcBorders>
            <w:shd w:val="clear" w:color="auto" w:fill="9CC2E5"/>
            <w:hideMark/>
          </w:tcPr>
          <w:p w14:paraId="3EE60B73"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5CDF980A" w14:textId="77777777" w:rsidTr="00BE5DAB">
        <w:trPr>
          <w:jc w:val="center"/>
        </w:trPr>
        <w:tc>
          <w:tcPr>
            <w:tcW w:w="2236" w:type="dxa"/>
            <w:tcBorders>
              <w:top w:val="single" w:sz="4" w:space="0" w:color="auto"/>
              <w:left w:val="single" w:sz="4" w:space="0" w:color="auto"/>
              <w:bottom w:val="single" w:sz="4" w:space="0" w:color="auto"/>
              <w:right w:val="single" w:sz="4" w:space="0" w:color="auto"/>
            </w:tcBorders>
            <w:hideMark/>
          </w:tcPr>
          <w:p w14:paraId="56786AE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30%</w:t>
            </w:r>
          </w:p>
        </w:tc>
        <w:tc>
          <w:tcPr>
            <w:tcW w:w="3084" w:type="dxa"/>
            <w:tcBorders>
              <w:top w:val="single" w:sz="4" w:space="0" w:color="auto"/>
              <w:left w:val="single" w:sz="4" w:space="0" w:color="auto"/>
              <w:bottom w:val="single" w:sz="4" w:space="0" w:color="auto"/>
              <w:right w:val="single" w:sz="4" w:space="0" w:color="auto"/>
            </w:tcBorders>
            <w:hideMark/>
          </w:tcPr>
          <w:p w14:paraId="64A9FC9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(30-40)</w:t>
            </w:r>
          </w:p>
        </w:tc>
        <w:tc>
          <w:tcPr>
            <w:tcW w:w="2720" w:type="dxa"/>
            <w:tcBorders>
              <w:top w:val="single" w:sz="4" w:space="0" w:color="auto"/>
              <w:left w:val="single" w:sz="4" w:space="0" w:color="auto"/>
              <w:bottom w:val="single" w:sz="4" w:space="0" w:color="auto"/>
              <w:right w:val="single" w:sz="4" w:space="0" w:color="auto"/>
            </w:tcBorders>
            <w:hideMark/>
          </w:tcPr>
          <w:p w14:paraId="684C943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14 participants</w:t>
            </w:r>
          </w:p>
        </w:tc>
      </w:tr>
      <w:tr w:rsidR="00BE5DAB" w:rsidRPr="00BE5DAB" w14:paraId="3A389210" w14:textId="77777777" w:rsidTr="00BE5DAB">
        <w:trPr>
          <w:jc w:val="center"/>
        </w:trPr>
        <w:tc>
          <w:tcPr>
            <w:tcW w:w="2236" w:type="dxa"/>
            <w:tcBorders>
              <w:top w:val="single" w:sz="4" w:space="0" w:color="auto"/>
              <w:left w:val="single" w:sz="4" w:space="0" w:color="auto"/>
              <w:bottom w:val="single" w:sz="4" w:space="0" w:color="auto"/>
              <w:right w:val="single" w:sz="4" w:space="0" w:color="auto"/>
            </w:tcBorders>
            <w:hideMark/>
          </w:tcPr>
          <w:p w14:paraId="08D8941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22%</w:t>
            </w:r>
          </w:p>
        </w:tc>
        <w:tc>
          <w:tcPr>
            <w:tcW w:w="3084" w:type="dxa"/>
            <w:tcBorders>
              <w:top w:val="single" w:sz="4" w:space="0" w:color="auto"/>
              <w:left w:val="single" w:sz="4" w:space="0" w:color="auto"/>
              <w:bottom w:val="single" w:sz="4" w:space="0" w:color="auto"/>
              <w:right w:val="single" w:sz="4" w:space="0" w:color="auto"/>
            </w:tcBorders>
            <w:hideMark/>
          </w:tcPr>
          <w:p w14:paraId="77B63C1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(40-50)</w:t>
            </w:r>
          </w:p>
        </w:tc>
        <w:tc>
          <w:tcPr>
            <w:tcW w:w="2720" w:type="dxa"/>
            <w:tcBorders>
              <w:top w:val="single" w:sz="4" w:space="0" w:color="auto"/>
              <w:left w:val="single" w:sz="4" w:space="0" w:color="auto"/>
              <w:bottom w:val="single" w:sz="4" w:space="0" w:color="auto"/>
              <w:right w:val="single" w:sz="4" w:space="0" w:color="auto"/>
            </w:tcBorders>
            <w:hideMark/>
          </w:tcPr>
          <w:p w14:paraId="252C940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10 participants</w:t>
            </w:r>
          </w:p>
        </w:tc>
      </w:tr>
      <w:tr w:rsidR="00BE5DAB" w:rsidRPr="00BE5DAB" w14:paraId="493D17A4" w14:textId="77777777" w:rsidTr="00BE5DAB">
        <w:trPr>
          <w:jc w:val="center"/>
        </w:trPr>
        <w:tc>
          <w:tcPr>
            <w:tcW w:w="2236" w:type="dxa"/>
            <w:tcBorders>
              <w:top w:val="single" w:sz="4" w:space="0" w:color="auto"/>
              <w:left w:val="single" w:sz="4" w:space="0" w:color="auto"/>
              <w:bottom w:val="single" w:sz="4" w:space="0" w:color="auto"/>
              <w:right w:val="single" w:sz="4" w:space="0" w:color="auto"/>
            </w:tcBorders>
            <w:hideMark/>
          </w:tcPr>
          <w:p w14:paraId="2748336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4%</w:t>
            </w:r>
          </w:p>
        </w:tc>
        <w:tc>
          <w:tcPr>
            <w:tcW w:w="3084" w:type="dxa"/>
            <w:tcBorders>
              <w:top w:val="single" w:sz="4" w:space="0" w:color="auto"/>
              <w:left w:val="single" w:sz="4" w:space="0" w:color="auto"/>
              <w:bottom w:val="single" w:sz="4" w:space="0" w:color="auto"/>
              <w:right w:val="single" w:sz="4" w:space="0" w:color="auto"/>
            </w:tcBorders>
            <w:hideMark/>
          </w:tcPr>
          <w:p w14:paraId="17E8A3C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60+</w:t>
            </w:r>
          </w:p>
        </w:tc>
        <w:tc>
          <w:tcPr>
            <w:tcW w:w="2720" w:type="dxa"/>
            <w:tcBorders>
              <w:top w:val="single" w:sz="4" w:space="0" w:color="auto"/>
              <w:left w:val="single" w:sz="4" w:space="0" w:color="auto"/>
              <w:bottom w:val="single" w:sz="4" w:space="0" w:color="auto"/>
              <w:right w:val="single" w:sz="4" w:space="0" w:color="auto"/>
            </w:tcBorders>
            <w:hideMark/>
          </w:tcPr>
          <w:p w14:paraId="52DED27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r w:rsidR="00BE5DAB" w:rsidRPr="00BE5DAB" w14:paraId="5EE922F1" w14:textId="77777777" w:rsidTr="00BE5DAB">
        <w:trPr>
          <w:jc w:val="center"/>
        </w:trPr>
        <w:tc>
          <w:tcPr>
            <w:tcW w:w="2236" w:type="dxa"/>
            <w:tcBorders>
              <w:top w:val="single" w:sz="4" w:space="0" w:color="auto"/>
              <w:left w:val="single" w:sz="4" w:space="0" w:color="auto"/>
              <w:bottom w:val="single" w:sz="4" w:space="0" w:color="auto"/>
              <w:right w:val="single" w:sz="4" w:space="0" w:color="auto"/>
            </w:tcBorders>
            <w:hideMark/>
          </w:tcPr>
          <w:p w14:paraId="47C0C472"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44%</w:t>
            </w:r>
          </w:p>
        </w:tc>
        <w:tc>
          <w:tcPr>
            <w:tcW w:w="3084" w:type="dxa"/>
            <w:tcBorders>
              <w:top w:val="single" w:sz="4" w:space="0" w:color="auto"/>
              <w:left w:val="single" w:sz="4" w:space="0" w:color="auto"/>
              <w:bottom w:val="single" w:sz="4" w:space="0" w:color="auto"/>
              <w:right w:val="single" w:sz="4" w:space="0" w:color="auto"/>
            </w:tcBorders>
            <w:hideMark/>
          </w:tcPr>
          <w:p w14:paraId="493D296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(Below 30)</w:t>
            </w:r>
          </w:p>
        </w:tc>
        <w:tc>
          <w:tcPr>
            <w:tcW w:w="2720" w:type="dxa"/>
            <w:tcBorders>
              <w:top w:val="single" w:sz="4" w:space="0" w:color="auto"/>
              <w:left w:val="single" w:sz="4" w:space="0" w:color="auto"/>
              <w:bottom w:val="single" w:sz="4" w:space="0" w:color="auto"/>
              <w:right w:val="single" w:sz="4" w:space="0" w:color="auto"/>
            </w:tcBorders>
            <w:hideMark/>
          </w:tcPr>
          <w:p w14:paraId="4A69FBA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20 participants</w:t>
            </w:r>
          </w:p>
        </w:tc>
      </w:tr>
    </w:tbl>
    <w:p w14:paraId="30EE647F"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44923A06"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38C8C282"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08DAD643"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4E5A846F"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019763BB"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27D9A266"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6337F600"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74E54643"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4.1: Percentage of Participants Based on the number of Based on Age Categories</w:t>
      </w:r>
    </w:p>
    <w:p w14:paraId="1AC55BD9"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lastRenderedPageBreak/>
        <w:drawing>
          <wp:inline distT="0" distB="0" distL="0" distR="0" wp14:anchorId="2DB28172" wp14:editId="341CC224">
            <wp:extent cx="4210050" cy="2438400"/>
            <wp:effectExtent l="0" t="0" r="0" b="0"/>
            <wp:docPr id="3" name="Chart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2" descr="Chart, pie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10050" cy="2438400"/>
                    </a:xfrm>
                    <a:prstGeom prst="rect">
                      <a:avLst/>
                    </a:prstGeom>
                    <a:noFill/>
                    <a:ln>
                      <a:noFill/>
                    </a:ln>
                  </pic:spPr>
                </pic:pic>
              </a:graphicData>
            </a:graphic>
          </wp:inline>
        </w:drawing>
      </w:r>
    </w:p>
    <w:p w14:paraId="20614FB4"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503B64E3"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Gender</w:t>
      </w:r>
    </w:p>
    <w:p w14:paraId="119A30A9"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The number of individuals who participated in this study and identified as males are more than the participants who identified as females. However, the difference between the two categories is not huge. The following table (see table 4.2) shows the exact number of participants who participated in the study. The percentage of the participants who participated in this study is also presented in a pie chart (see figure 4.2) presented below; the percentage of male individuals is 59%. The difference between the percentage of males and females who participated in this study is not large and therefore, the study represents a close percentage, which makes the outcomes of the study representative to the Arabs who live in the UK in a fair manner.</w:t>
      </w:r>
    </w:p>
    <w:p w14:paraId="63496EDA"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132E888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4.2: Frequency of Participants Categorized by Gender</w:t>
      </w:r>
    </w:p>
    <w:tbl>
      <w:tblPr>
        <w:tblStyle w:val="TableGrid"/>
        <w:tblW w:w="0" w:type="auto"/>
        <w:jc w:val="center"/>
        <w:tblInd w:w="0" w:type="dxa"/>
        <w:tblLook w:val="04A0" w:firstRow="1" w:lastRow="0" w:firstColumn="1" w:lastColumn="0" w:noHBand="0" w:noVBand="1"/>
      </w:tblPr>
      <w:tblGrid>
        <w:gridCol w:w="2194"/>
        <w:gridCol w:w="1253"/>
        <w:gridCol w:w="2869"/>
      </w:tblGrid>
      <w:tr w:rsidR="00BE5DAB" w:rsidRPr="00BE5DAB" w14:paraId="6381AE55" w14:textId="77777777" w:rsidTr="00BE5DAB">
        <w:trPr>
          <w:jc w:val="center"/>
        </w:trPr>
        <w:tc>
          <w:tcPr>
            <w:tcW w:w="2194" w:type="dxa"/>
            <w:tcBorders>
              <w:top w:val="single" w:sz="4" w:space="0" w:color="auto"/>
              <w:left w:val="single" w:sz="4" w:space="0" w:color="auto"/>
              <w:bottom w:val="single" w:sz="4" w:space="0" w:color="auto"/>
              <w:right w:val="single" w:sz="4" w:space="0" w:color="auto"/>
            </w:tcBorders>
            <w:shd w:val="clear" w:color="auto" w:fill="9CC2E5"/>
            <w:hideMark/>
          </w:tcPr>
          <w:p w14:paraId="7B3842A9"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1253" w:type="dxa"/>
            <w:tcBorders>
              <w:top w:val="single" w:sz="4" w:space="0" w:color="auto"/>
              <w:left w:val="single" w:sz="4" w:space="0" w:color="auto"/>
              <w:bottom w:val="single" w:sz="4" w:space="0" w:color="auto"/>
              <w:right w:val="single" w:sz="4" w:space="0" w:color="auto"/>
            </w:tcBorders>
            <w:shd w:val="clear" w:color="auto" w:fill="9CC2E5"/>
            <w:hideMark/>
          </w:tcPr>
          <w:p w14:paraId="38624043"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Gender</w:t>
            </w:r>
          </w:p>
        </w:tc>
        <w:tc>
          <w:tcPr>
            <w:tcW w:w="2869" w:type="dxa"/>
            <w:tcBorders>
              <w:top w:val="single" w:sz="4" w:space="0" w:color="auto"/>
              <w:left w:val="single" w:sz="4" w:space="0" w:color="auto"/>
              <w:bottom w:val="single" w:sz="4" w:space="0" w:color="auto"/>
              <w:right w:val="single" w:sz="4" w:space="0" w:color="auto"/>
            </w:tcBorders>
            <w:shd w:val="clear" w:color="auto" w:fill="9CC2E5"/>
            <w:hideMark/>
          </w:tcPr>
          <w:p w14:paraId="2C480F5A"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7CEE9F36" w14:textId="77777777" w:rsidTr="00BE5DAB">
        <w:trPr>
          <w:jc w:val="center"/>
        </w:trPr>
        <w:tc>
          <w:tcPr>
            <w:tcW w:w="2194" w:type="dxa"/>
            <w:tcBorders>
              <w:top w:val="single" w:sz="4" w:space="0" w:color="auto"/>
              <w:left w:val="single" w:sz="4" w:space="0" w:color="auto"/>
              <w:bottom w:val="single" w:sz="4" w:space="0" w:color="auto"/>
              <w:right w:val="single" w:sz="4" w:space="0" w:color="auto"/>
            </w:tcBorders>
            <w:hideMark/>
          </w:tcPr>
          <w:p w14:paraId="0109ED6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41%</w:t>
            </w:r>
          </w:p>
        </w:tc>
        <w:tc>
          <w:tcPr>
            <w:tcW w:w="1253" w:type="dxa"/>
            <w:tcBorders>
              <w:top w:val="single" w:sz="4" w:space="0" w:color="auto"/>
              <w:left w:val="single" w:sz="4" w:space="0" w:color="auto"/>
              <w:bottom w:val="single" w:sz="4" w:space="0" w:color="auto"/>
              <w:right w:val="single" w:sz="4" w:space="0" w:color="auto"/>
            </w:tcBorders>
            <w:hideMark/>
          </w:tcPr>
          <w:p w14:paraId="74E4C82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Female</w:t>
            </w:r>
          </w:p>
        </w:tc>
        <w:tc>
          <w:tcPr>
            <w:tcW w:w="2869" w:type="dxa"/>
            <w:tcBorders>
              <w:top w:val="single" w:sz="4" w:space="0" w:color="auto"/>
              <w:left w:val="single" w:sz="4" w:space="0" w:color="auto"/>
              <w:bottom w:val="single" w:sz="4" w:space="0" w:color="auto"/>
              <w:right w:val="single" w:sz="4" w:space="0" w:color="auto"/>
            </w:tcBorders>
            <w:hideMark/>
          </w:tcPr>
          <w:p w14:paraId="07DE79A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19 participants</w:t>
            </w:r>
          </w:p>
        </w:tc>
      </w:tr>
      <w:tr w:rsidR="00BE5DAB" w:rsidRPr="00BE5DAB" w14:paraId="008C7D1A" w14:textId="77777777" w:rsidTr="00BE5DAB">
        <w:trPr>
          <w:jc w:val="center"/>
        </w:trPr>
        <w:tc>
          <w:tcPr>
            <w:tcW w:w="2194" w:type="dxa"/>
            <w:tcBorders>
              <w:top w:val="single" w:sz="4" w:space="0" w:color="auto"/>
              <w:left w:val="single" w:sz="4" w:space="0" w:color="auto"/>
              <w:bottom w:val="single" w:sz="4" w:space="0" w:color="auto"/>
              <w:right w:val="single" w:sz="4" w:space="0" w:color="auto"/>
            </w:tcBorders>
            <w:hideMark/>
          </w:tcPr>
          <w:p w14:paraId="695ED1C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59%</w:t>
            </w:r>
          </w:p>
        </w:tc>
        <w:tc>
          <w:tcPr>
            <w:tcW w:w="1253" w:type="dxa"/>
            <w:tcBorders>
              <w:top w:val="single" w:sz="4" w:space="0" w:color="auto"/>
              <w:left w:val="single" w:sz="4" w:space="0" w:color="auto"/>
              <w:bottom w:val="single" w:sz="4" w:space="0" w:color="auto"/>
              <w:right w:val="single" w:sz="4" w:space="0" w:color="auto"/>
            </w:tcBorders>
            <w:hideMark/>
          </w:tcPr>
          <w:p w14:paraId="75A1ABC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Male</w:t>
            </w:r>
          </w:p>
        </w:tc>
        <w:tc>
          <w:tcPr>
            <w:tcW w:w="2869" w:type="dxa"/>
            <w:tcBorders>
              <w:top w:val="single" w:sz="4" w:space="0" w:color="auto"/>
              <w:left w:val="single" w:sz="4" w:space="0" w:color="auto"/>
              <w:bottom w:val="single" w:sz="4" w:space="0" w:color="auto"/>
              <w:right w:val="single" w:sz="4" w:space="0" w:color="auto"/>
            </w:tcBorders>
            <w:hideMark/>
          </w:tcPr>
          <w:p w14:paraId="564718B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27 participants</w:t>
            </w:r>
          </w:p>
        </w:tc>
      </w:tr>
    </w:tbl>
    <w:p w14:paraId="28A806A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113A442"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4.2: Percentage of Participants Categorized by Gender</w:t>
      </w:r>
    </w:p>
    <w:p w14:paraId="799165C8"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E509CBE" wp14:editId="059A11AC">
            <wp:extent cx="4171950" cy="2076450"/>
            <wp:effectExtent l="0" t="0" r="0" b="0"/>
            <wp:docPr id="4" name="Chart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 descr="Chart, pie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171950" cy="2076450"/>
                    </a:xfrm>
                    <a:prstGeom prst="rect">
                      <a:avLst/>
                    </a:prstGeom>
                    <a:noFill/>
                    <a:ln>
                      <a:noFill/>
                    </a:ln>
                  </pic:spPr>
                </pic:pic>
              </a:graphicData>
            </a:graphic>
          </wp:inline>
        </w:drawing>
      </w:r>
    </w:p>
    <w:p w14:paraId="59FA9E18"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7E8FE30B"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Religion</w:t>
      </w:r>
    </w:p>
    <w:p w14:paraId="71062583"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lastRenderedPageBreak/>
        <w:t xml:space="preserve">The participants in this study are either Muslims or Christians. However, the dominant religion of the participants is Islam.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Arab population adopted Islam as a belief system. The following table (see table 4.3) provides the number of Muslims and Christians who participated in this study. The pie chart below (see figure 4.3) represents the percentage of participants based on the religious beliefs they hold. As the figure shows, the dominant percentage of participants identify as Muslims (87%).</w:t>
      </w:r>
    </w:p>
    <w:p w14:paraId="13DA10F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FCACA99"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4.3: Frequency of Participants Categories by Religion</w:t>
      </w:r>
    </w:p>
    <w:tbl>
      <w:tblPr>
        <w:tblStyle w:val="TableGrid"/>
        <w:tblW w:w="0" w:type="auto"/>
        <w:jc w:val="center"/>
        <w:tblInd w:w="0" w:type="dxa"/>
        <w:tblLook w:val="04A0" w:firstRow="1" w:lastRow="0" w:firstColumn="1" w:lastColumn="0" w:noHBand="0" w:noVBand="1"/>
      </w:tblPr>
      <w:tblGrid>
        <w:gridCol w:w="1932"/>
        <w:gridCol w:w="1925"/>
        <w:gridCol w:w="2834"/>
      </w:tblGrid>
      <w:tr w:rsidR="00BE5DAB" w:rsidRPr="00BE5DAB" w14:paraId="7211008D" w14:textId="77777777" w:rsidTr="00BE5DAB">
        <w:trPr>
          <w:jc w:val="center"/>
        </w:trPr>
        <w:tc>
          <w:tcPr>
            <w:tcW w:w="1932" w:type="dxa"/>
            <w:tcBorders>
              <w:top w:val="single" w:sz="4" w:space="0" w:color="auto"/>
              <w:left w:val="single" w:sz="4" w:space="0" w:color="auto"/>
              <w:bottom w:val="single" w:sz="4" w:space="0" w:color="auto"/>
              <w:right w:val="single" w:sz="4" w:space="0" w:color="auto"/>
            </w:tcBorders>
            <w:shd w:val="clear" w:color="auto" w:fill="9CC2E5"/>
            <w:hideMark/>
          </w:tcPr>
          <w:p w14:paraId="11CB1FC2"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1925" w:type="dxa"/>
            <w:tcBorders>
              <w:top w:val="single" w:sz="4" w:space="0" w:color="auto"/>
              <w:left w:val="single" w:sz="4" w:space="0" w:color="auto"/>
              <w:bottom w:val="single" w:sz="4" w:space="0" w:color="auto"/>
              <w:right w:val="single" w:sz="4" w:space="0" w:color="auto"/>
            </w:tcBorders>
            <w:shd w:val="clear" w:color="auto" w:fill="9CC2E5"/>
            <w:hideMark/>
          </w:tcPr>
          <w:p w14:paraId="388E1697"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Religion</w:t>
            </w:r>
          </w:p>
        </w:tc>
        <w:tc>
          <w:tcPr>
            <w:tcW w:w="2834" w:type="dxa"/>
            <w:tcBorders>
              <w:top w:val="single" w:sz="4" w:space="0" w:color="auto"/>
              <w:left w:val="single" w:sz="4" w:space="0" w:color="auto"/>
              <w:bottom w:val="single" w:sz="4" w:space="0" w:color="auto"/>
              <w:right w:val="single" w:sz="4" w:space="0" w:color="auto"/>
            </w:tcBorders>
            <w:shd w:val="clear" w:color="auto" w:fill="9CC2E5"/>
            <w:hideMark/>
          </w:tcPr>
          <w:p w14:paraId="3E0572C7"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0D0997F8" w14:textId="77777777" w:rsidTr="00BE5DAB">
        <w:trPr>
          <w:jc w:val="center"/>
        </w:trPr>
        <w:tc>
          <w:tcPr>
            <w:tcW w:w="1932" w:type="dxa"/>
            <w:tcBorders>
              <w:top w:val="single" w:sz="4" w:space="0" w:color="auto"/>
              <w:left w:val="single" w:sz="4" w:space="0" w:color="auto"/>
              <w:bottom w:val="single" w:sz="4" w:space="0" w:color="auto"/>
              <w:right w:val="single" w:sz="4" w:space="0" w:color="auto"/>
            </w:tcBorders>
            <w:hideMark/>
          </w:tcPr>
          <w:p w14:paraId="114F0D4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87%</w:t>
            </w:r>
          </w:p>
        </w:tc>
        <w:tc>
          <w:tcPr>
            <w:tcW w:w="1925" w:type="dxa"/>
            <w:tcBorders>
              <w:top w:val="single" w:sz="4" w:space="0" w:color="auto"/>
              <w:left w:val="single" w:sz="4" w:space="0" w:color="auto"/>
              <w:bottom w:val="single" w:sz="4" w:space="0" w:color="auto"/>
              <w:right w:val="single" w:sz="4" w:space="0" w:color="auto"/>
            </w:tcBorders>
            <w:hideMark/>
          </w:tcPr>
          <w:p w14:paraId="20BCE73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Islam</w:t>
            </w:r>
          </w:p>
        </w:tc>
        <w:tc>
          <w:tcPr>
            <w:tcW w:w="2834" w:type="dxa"/>
            <w:tcBorders>
              <w:top w:val="single" w:sz="4" w:space="0" w:color="auto"/>
              <w:left w:val="single" w:sz="4" w:space="0" w:color="auto"/>
              <w:bottom w:val="single" w:sz="4" w:space="0" w:color="auto"/>
              <w:right w:val="single" w:sz="4" w:space="0" w:color="auto"/>
            </w:tcBorders>
            <w:hideMark/>
          </w:tcPr>
          <w:p w14:paraId="09FEBF9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40 participants</w:t>
            </w:r>
          </w:p>
        </w:tc>
      </w:tr>
      <w:tr w:rsidR="00BE5DAB" w:rsidRPr="00BE5DAB" w14:paraId="72EF5A57" w14:textId="77777777" w:rsidTr="00BE5DAB">
        <w:trPr>
          <w:jc w:val="center"/>
        </w:trPr>
        <w:tc>
          <w:tcPr>
            <w:tcW w:w="1932" w:type="dxa"/>
            <w:tcBorders>
              <w:top w:val="single" w:sz="4" w:space="0" w:color="auto"/>
              <w:left w:val="single" w:sz="4" w:space="0" w:color="auto"/>
              <w:bottom w:val="single" w:sz="4" w:space="0" w:color="auto"/>
              <w:right w:val="single" w:sz="4" w:space="0" w:color="auto"/>
            </w:tcBorders>
            <w:hideMark/>
          </w:tcPr>
          <w:p w14:paraId="4417C5D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13%</w:t>
            </w:r>
          </w:p>
        </w:tc>
        <w:tc>
          <w:tcPr>
            <w:tcW w:w="1925" w:type="dxa"/>
            <w:tcBorders>
              <w:top w:val="single" w:sz="4" w:space="0" w:color="auto"/>
              <w:left w:val="single" w:sz="4" w:space="0" w:color="auto"/>
              <w:bottom w:val="single" w:sz="4" w:space="0" w:color="auto"/>
              <w:right w:val="single" w:sz="4" w:space="0" w:color="auto"/>
            </w:tcBorders>
            <w:hideMark/>
          </w:tcPr>
          <w:p w14:paraId="5F0D53D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Christianity</w:t>
            </w:r>
          </w:p>
        </w:tc>
        <w:tc>
          <w:tcPr>
            <w:tcW w:w="2834" w:type="dxa"/>
            <w:tcBorders>
              <w:top w:val="single" w:sz="4" w:space="0" w:color="auto"/>
              <w:left w:val="single" w:sz="4" w:space="0" w:color="auto"/>
              <w:bottom w:val="single" w:sz="4" w:space="0" w:color="auto"/>
              <w:right w:val="single" w:sz="4" w:space="0" w:color="auto"/>
            </w:tcBorders>
            <w:hideMark/>
          </w:tcPr>
          <w:p w14:paraId="1D55782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6 participants</w:t>
            </w:r>
          </w:p>
        </w:tc>
      </w:tr>
    </w:tbl>
    <w:p w14:paraId="6369A434"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6CD4E9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4.3: Percentage of Participants Categorized by Religion</w:t>
      </w:r>
    </w:p>
    <w:p w14:paraId="6D4D89D7"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02A4B580" wp14:editId="03D3A3F4">
            <wp:extent cx="4286250" cy="2343150"/>
            <wp:effectExtent l="0" t="0" r="0" b="0"/>
            <wp:docPr id="5" name="Chart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3" descr="Chart, pie char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86250" cy="2343150"/>
                    </a:xfrm>
                    <a:prstGeom prst="rect">
                      <a:avLst/>
                    </a:prstGeom>
                    <a:noFill/>
                    <a:ln>
                      <a:noFill/>
                    </a:ln>
                  </pic:spPr>
                </pic:pic>
              </a:graphicData>
            </a:graphic>
          </wp:inline>
        </w:drawing>
      </w:r>
    </w:p>
    <w:p w14:paraId="52ADEEC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5ADEA88"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C0B63FC"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4C0788B2"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Country of Origin</w:t>
      </w:r>
    </w:p>
    <w:p w14:paraId="5813FFCF"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their country of origin, and the outcomes show that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are originally from Arab states of the Persian Gulf (Bahrain, Kuwait, Iraq, Oman, Qatar, Saudi Arabia and the United Arab Emirates). The following table (see table 4.4) provides a detailed representation of the participants’ country of origin.</w:t>
      </w:r>
    </w:p>
    <w:p w14:paraId="12499EAA"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D5899E7"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B150AF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1524341"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BEADDD2"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C4C868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ED1963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97CF6DA"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A16E37C"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4.4: Frequency of Participants Categories by Country of Origin</w:t>
      </w:r>
    </w:p>
    <w:tbl>
      <w:tblPr>
        <w:tblStyle w:val="TableGrid"/>
        <w:tblW w:w="6369" w:type="dxa"/>
        <w:jc w:val="center"/>
        <w:tblInd w:w="0" w:type="dxa"/>
        <w:tblLook w:val="04A0" w:firstRow="1" w:lastRow="0" w:firstColumn="1" w:lastColumn="0" w:noHBand="0" w:noVBand="1"/>
      </w:tblPr>
      <w:tblGrid>
        <w:gridCol w:w="1826"/>
        <w:gridCol w:w="1991"/>
        <w:gridCol w:w="2552"/>
      </w:tblGrid>
      <w:tr w:rsidR="00BE5DAB" w:rsidRPr="00BE5DAB" w14:paraId="27C15469"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shd w:val="clear" w:color="auto" w:fill="9CC2E5"/>
            <w:hideMark/>
          </w:tcPr>
          <w:p w14:paraId="1B21E12B"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1991" w:type="dxa"/>
            <w:tcBorders>
              <w:top w:val="single" w:sz="4" w:space="0" w:color="auto"/>
              <w:left w:val="single" w:sz="4" w:space="0" w:color="auto"/>
              <w:bottom w:val="single" w:sz="4" w:space="0" w:color="auto"/>
              <w:right w:val="single" w:sz="4" w:space="0" w:color="auto"/>
            </w:tcBorders>
            <w:shd w:val="clear" w:color="auto" w:fill="9CC2E5"/>
            <w:hideMark/>
          </w:tcPr>
          <w:p w14:paraId="7DC7EF48"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Country of Origin</w:t>
            </w:r>
          </w:p>
        </w:tc>
        <w:tc>
          <w:tcPr>
            <w:tcW w:w="2552" w:type="dxa"/>
            <w:tcBorders>
              <w:top w:val="single" w:sz="4" w:space="0" w:color="auto"/>
              <w:left w:val="single" w:sz="4" w:space="0" w:color="auto"/>
              <w:bottom w:val="single" w:sz="4" w:space="0" w:color="auto"/>
              <w:right w:val="single" w:sz="4" w:space="0" w:color="auto"/>
            </w:tcBorders>
            <w:shd w:val="clear" w:color="auto" w:fill="9CC2E5"/>
            <w:hideMark/>
          </w:tcPr>
          <w:p w14:paraId="7A3393FD"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6DDB86CF"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3ED01198"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lastRenderedPageBreak/>
              <w:t>6%</w:t>
            </w:r>
          </w:p>
        </w:tc>
        <w:tc>
          <w:tcPr>
            <w:tcW w:w="1991" w:type="dxa"/>
            <w:tcBorders>
              <w:top w:val="single" w:sz="4" w:space="0" w:color="auto"/>
              <w:left w:val="single" w:sz="4" w:space="0" w:color="auto"/>
              <w:bottom w:val="single" w:sz="4" w:space="0" w:color="auto"/>
              <w:right w:val="single" w:sz="4" w:space="0" w:color="auto"/>
            </w:tcBorders>
            <w:hideMark/>
          </w:tcPr>
          <w:p w14:paraId="4F3FB8B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Algeria</w:t>
            </w:r>
          </w:p>
        </w:tc>
        <w:tc>
          <w:tcPr>
            <w:tcW w:w="2552" w:type="dxa"/>
            <w:tcBorders>
              <w:top w:val="single" w:sz="4" w:space="0" w:color="auto"/>
              <w:left w:val="single" w:sz="4" w:space="0" w:color="auto"/>
              <w:bottom w:val="single" w:sz="4" w:space="0" w:color="auto"/>
              <w:right w:val="single" w:sz="4" w:space="0" w:color="auto"/>
            </w:tcBorders>
            <w:hideMark/>
          </w:tcPr>
          <w:p w14:paraId="5A9DABF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 participants</w:t>
            </w:r>
          </w:p>
        </w:tc>
      </w:tr>
      <w:tr w:rsidR="00BE5DAB" w:rsidRPr="00BE5DAB" w14:paraId="2A71D595"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19CFB01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22%</w:t>
            </w:r>
          </w:p>
        </w:tc>
        <w:tc>
          <w:tcPr>
            <w:tcW w:w="1991" w:type="dxa"/>
            <w:tcBorders>
              <w:top w:val="single" w:sz="4" w:space="0" w:color="auto"/>
              <w:left w:val="single" w:sz="4" w:space="0" w:color="auto"/>
              <w:bottom w:val="single" w:sz="4" w:space="0" w:color="auto"/>
              <w:right w:val="single" w:sz="4" w:space="0" w:color="auto"/>
            </w:tcBorders>
            <w:hideMark/>
          </w:tcPr>
          <w:p w14:paraId="4FA3CDD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Iraq</w:t>
            </w:r>
          </w:p>
        </w:tc>
        <w:tc>
          <w:tcPr>
            <w:tcW w:w="2552" w:type="dxa"/>
            <w:tcBorders>
              <w:top w:val="single" w:sz="4" w:space="0" w:color="auto"/>
              <w:left w:val="single" w:sz="4" w:space="0" w:color="auto"/>
              <w:bottom w:val="single" w:sz="4" w:space="0" w:color="auto"/>
              <w:right w:val="single" w:sz="4" w:space="0" w:color="auto"/>
            </w:tcBorders>
            <w:hideMark/>
          </w:tcPr>
          <w:p w14:paraId="5A1D206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10 participants</w:t>
            </w:r>
          </w:p>
        </w:tc>
      </w:tr>
      <w:tr w:rsidR="00BE5DAB" w:rsidRPr="00BE5DAB" w14:paraId="573C9556"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6C1B82C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1991" w:type="dxa"/>
            <w:tcBorders>
              <w:top w:val="single" w:sz="4" w:space="0" w:color="auto"/>
              <w:left w:val="single" w:sz="4" w:space="0" w:color="auto"/>
              <w:bottom w:val="single" w:sz="4" w:space="0" w:color="auto"/>
              <w:right w:val="single" w:sz="4" w:space="0" w:color="auto"/>
            </w:tcBorders>
            <w:hideMark/>
          </w:tcPr>
          <w:p w14:paraId="767406D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Kuwait</w:t>
            </w:r>
          </w:p>
        </w:tc>
        <w:tc>
          <w:tcPr>
            <w:tcW w:w="2552" w:type="dxa"/>
            <w:tcBorders>
              <w:top w:val="single" w:sz="4" w:space="0" w:color="auto"/>
              <w:left w:val="single" w:sz="4" w:space="0" w:color="auto"/>
              <w:bottom w:val="single" w:sz="4" w:space="0" w:color="auto"/>
              <w:right w:val="single" w:sz="4" w:space="0" w:color="auto"/>
            </w:tcBorders>
            <w:hideMark/>
          </w:tcPr>
          <w:p w14:paraId="5C37797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715D6F8E"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4A39F7C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11%</w:t>
            </w:r>
          </w:p>
        </w:tc>
        <w:tc>
          <w:tcPr>
            <w:tcW w:w="1991" w:type="dxa"/>
            <w:tcBorders>
              <w:top w:val="single" w:sz="4" w:space="0" w:color="auto"/>
              <w:left w:val="single" w:sz="4" w:space="0" w:color="auto"/>
              <w:bottom w:val="single" w:sz="4" w:space="0" w:color="auto"/>
              <w:right w:val="single" w:sz="4" w:space="0" w:color="auto"/>
            </w:tcBorders>
            <w:hideMark/>
          </w:tcPr>
          <w:p w14:paraId="2CE390F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Lebanon</w:t>
            </w:r>
          </w:p>
        </w:tc>
        <w:tc>
          <w:tcPr>
            <w:tcW w:w="2552" w:type="dxa"/>
            <w:tcBorders>
              <w:top w:val="single" w:sz="4" w:space="0" w:color="auto"/>
              <w:left w:val="single" w:sz="4" w:space="0" w:color="auto"/>
              <w:bottom w:val="single" w:sz="4" w:space="0" w:color="auto"/>
              <w:right w:val="single" w:sz="4" w:space="0" w:color="auto"/>
            </w:tcBorders>
            <w:hideMark/>
          </w:tcPr>
          <w:p w14:paraId="313C4CD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5 participants</w:t>
            </w:r>
          </w:p>
        </w:tc>
      </w:tr>
      <w:tr w:rsidR="00BE5DAB" w:rsidRPr="00BE5DAB" w14:paraId="22456489"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288DA06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1991" w:type="dxa"/>
            <w:tcBorders>
              <w:top w:val="single" w:sz="4" w:space="0" w:color="auto"/>
              <w:left w:val="single" w:sz="4" w:space="0" w:color="auto"/>
              <w:bottom w:val="single" w:sz="4" w:space="0" w:color="auto"/>
              <w:right w:val="single" w:sz="4" w:space="0" w:color="auto"/>
            </w:tcBorders>
            <w:hideMark/>
          </w:tcPr>
          <w:p w14:paraId="5C4F9F8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Libya</w:t>
            </w:r>
          </w:p>
        </w:tc>
        <w:tc>
          <w:tcPr>
            <w:tcW w:w="2552" w:type="dxa"/>
            <w:tcBorders>
              <w:top w:val="single" w:sz="4" w:space="0" w:color="auto"/>
              <w:left w:val="single" w:sz="4" w:space="0" w:color="auto"/>
              <w:bottom w:val="single" w:sz="4" w:space="0" w:color="auto"/>
              <w:right w:val="single" w:sz="4" w:space="0" w:color="auto"/>
            </w:tcBorders>
            <w:hideMark/>
          </w:tcPr>
          <w:p w14:paraId="75A6FD0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165FAFB9"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5B2EACC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6%</w:t>
            </w:r>
          </w:p>
        </w:tc>
        <w:tc>
          <w:tcPr>
            <w:tcW w:w="1991" w:type="dxa"/>
            <w:tcBorders>
              <w:top w:val="single" w:sz="4" w:space="0" w:color="auto"/>
              <w:left w:val="single" w:sz="4" w:space="0" w:color="auto"/>
              <w:bottom w:val="single" w:sz="4" w:space="0" w:color="auto"/>
              <w:right w:val="single" w:sz="4" w:space="0" w:color="auto"/>
            </w:tcBorders>
            <w:hideMark/>
          </w:tcPr>
          <w:p w14:paraId="28A6C29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Morocco</w:t>
            </w:r>
          </w:p>
        </w:tc>
        <w:tc>
          <w:tcPr>
            <w:tcW w:w="2552" w:type="dxa"/>
            <w:tcBorders>
              <w:top w:val="single" w:sz="4" w:space="0" w:color="auto"/>
              <w:left w:val="single" w:sz="4" w:space="0" w:color="auto"/>
              <w:bottom w:val="single" w:sz="4" w:space="0" w:color="auto"/>
              <w:right w:val="single" w:sz="4" w:space="0" w:color="auto"/>
            </w:tcBorders>
            <w:hideMark/>
          </w:tcPr>
          <w:p w14:paraId="2084814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 participants</w:t>
            </w:r>
          </w:p>
        </w:tc>
      </w:tr>
      <w:tr w:rsidR="00BE5DAB" w:rsidRPr="00BE5DAB" w14:paraId="6F968246"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6FE5118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1991" w:type="dxa"/>
            <w:tcBorders>
              <w:top w:val="single" w:sz="4" w:space="0" w:color="auto"/>
              <w:left w:val="single" w:sz="4" w:space="0" w:color="auto"/>
              <w:bottom w:val="single" w:sz="4" w:space="0" w:color="auto"/>
              <w:right w:val="single" w:sz="4" w:space="0" w:color="auto"/>
            </w:tcBorders>
            <w:hideMark/>
          </w:tcPr>
          <w:p w14:paraId="41DDCF7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Qatar</w:t>
            </w:r>
          </w:p>
        </w:tc>
        <w:tc>
          <w:tcPr>
            <w:tcW w:w="2552" w:type="dxa"/>
            <w:tcBorders>
              <w:top w:val="single" w:sz="4" w:space="0" w:color="auto"/>
              <w:left w:val="single" w:sz="4" w:space="0" w:color="auto"/>
              <w:bottom w:val="single" w:sz="4" w:space="0" w:color="auto"/>
              <w:right w:val="single" w:sz="4" w:space="0" w:color="auto"/>
            </w:tcBorders>
            <w:hideMark/>
          </w:tcPr>
          <w:p w14:paraId="756CF24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4E94D5A0"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7C10AF8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1991" w:type="dxa"/>
            <w:tcBorders>
              <w:top w:val="single" w:sz="4" w:space="0" w:color="auto"/>
              <w:left w:val="single" w:sz="4" w:space="0" w:color="auto"/>
              <w:bottom w:val="single" w:sz="4" w:space="0" w:color="auto"/>
              <w:right w:val="single" w:sz="4" w:space="0" w:color="auto"/>
            </w:tcBorders>
            <w:hideMark/>
          </w:tcPr>
          <w:p w14:paraId="272B219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Saudi Arabia</w:t>
            </w:r>
          </w:p>
        </w:tc>
        <w:tc>
          <w:tcPr>
            <w:tcW w:w="2552" w:type="dxa"/>
            <w:tcBorders>
              <w:top w:val="single" w:sz="4" w:space="0" w:color="auto"/>
              <w:left w:val="single" w:sz="4" w:space="0" w:color="auto"/>
              <w:bottom w:val="single" w:sz="4" w:space="0" w:color="auto"/>
              <w:right w:val="single" w:sz="4" w:space="0" w:color="auto"/>
            </w:tcBorders>
            <w:hideMark/>
          </w:tcPr>
          <w:p w14:paraId="3CB388D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0BD84B24"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3ED4463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4%</w:t>
            </w:r>
          </w:p>
        </w:tc>
        <w:tc>
          <w:tcPr>
            <w:tcW w:w="1991" w:type="dxa"/>
            <w:tcBorders>
              <w:top w:val="single" w:sz="4" w:space="0" w:color="auto"/>
              <w:left w:val="single" w:sz="4" w:space="0" w:color="auto"/>
              <w:bottom w:val="single" w:sz="4" w:space="0" w:color="auto"/>
              <w:right w:val="single" w:sz="4" w:space="0" w:color="auto"/>
            </w:tcBorders>
            <w:hideMark/>
          </w:tcPr>
          <w:p w14:paraId="7095DBA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Sudan</w:t>
            </w:r>
          </w:p>
        </w:tc>
        <w:tc>
          <w:tcPr>
            <w:tcW w:w="2552" w:type="dxa"/>
            <w:tcBorders>
              <w:top w:val="single" w:sz="4" w:space="0" w:color="auto"/>
              <w:left w:val="single" w:sz="4" w:space="0" w:color="auto"/>
              <w:bottom w:val="single" w:sz="4" w:space="0" w:color="auto"/>
              <w:right w:val="single" w:sz="4" w:space="0" w:color="auto"/>
            </w:tcBorders>
            <w:hideMark/>
          </w:tcPr>
          <w:p w14:paraId="4018A0A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r w:rsidR="00BE5DAB" w:rsidRPr="00BE5DAB" w14:paraId="7EE6F259"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03C74C1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6%</w:t>
            </w:r>
          </w:p>
        </w:tc>
        <w:tc>
          <w:tcPr>
            <w:tcW w:w="1991" w:type="dxa"/>
            <w:tcBorders>
              <w:top w:val="single" w:sz="4" w:space="0" w:color="auto"/>
              <w:left w:val="single" w:sz="4" w:space="0" w:color="auto"/>
              <w:bottom w:val="single" w:sz="4" w:space="0" w:color="auto"/>
              <w:right w:val="single" w:sz="4" w:space="0" w:color="auto"/>
            </w:tcBorders>
            <w:hideMark/>
          </w:tcPr>
          <w:p w14:paraId="0FBEE80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Syria</w:t>
            </w:r>
          </w:p>
        </w:tc>
        <w:tc>
          <w:tcPr>
            <w:tcW w:w="2552" w:type="dxa"/>
            <w:tcBorders>
              <w:top w:val="single" w:sz="4" w:space="0" w:color="auto"/>
              <w:left w:val="single" w:sz="4" w:space="0" w:color="auto"/>
              <w:bottom w:val="single" w:sz="4" w:space="0" w:color="auto"/>
              <w:right w:val="single" w:sz="4" w:space="0" w:color="auto"/>
            </w:tcBorders>
            <w:hideMark/>
          </w:tcPr>
          <w:p w14:paraId="29D8D81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 participants</w:t>
            </w:r>
          </w:p>
        </w:tc>
      </w:tr>
      <w:tr w:rsidR="00BE5DAB" w:rsidRPr="00BE5DAB" w14:paraId="32808879" w14:textId="77777777" w:rsidTr="00BE5DAB">
        <w:trPr>
          <w:jc w:val="center"/>
        </w:trPr>
        <w:tc>
          <w:tcPr>
            <w:tcW w:w="1826" w:type="dxa"/>
            <w:tcBorders>
              <w:top w:val="single" w:sz="4" w:space="0" w:color="auto"/>
              <w:left w:val="single" w:sz="4" w:space="0" w:color="auto"/>
              <w:bottom w:val="single" w:sz="4" w:space="0" w:color="auto"/>
              <w:right w:val="single" w:sz="4" w:space="0" w:color="auto"/>
            </w:tcBorders>
            <w:hideMark/>
          </w:tcPr>
          <w:p w14:paraId="7CEC342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1991" w:type="dxa"/>
            <w:tcBorders>
              <w:top w:val="single" w:sz="4" w:space="0" w:color="auto"/>
              <w:left w:val="single" w:sz="4" w:space="0" w:color="auto"/>
              <w:bottom w:val="single" w:sz="4" w:space="0" w:color="auto"/>
              <w:right w:val="single" w:sz="4" w:space="0" w:color="auto"/>
            </w:tcBorders>
            <w:hideMark/>
          </w:tcPr>
          <w:p w14:paraId="0C9A4EE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Yemen</w:t>
            </w:r>
          </w:p>
        </w:tc>
        <w:tc>
          <w:tcPr>
            <w:tcW w:w="2552" w:type="dxa"/>
            <w:tcBorders>
              <w:top w:val="single" w:sz="4" w:space="0" w:color="auto"/>
              <w:left w:val="single" w:sz="4" w:space="0" w:color="auto"/>
              <w:bottom w:val="single" w:sz="4" w:space="0" w:color="auto"/>
              <w:right w:val="single" w:sz="4" w:space="0" w:color="auto"/>
            </w:tcBorders>
            <w:hideMark/>
          </w:tcPr>
          <w:p w14:paraId="16D2DD4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bl>
    <w:p w14:paraId="080057F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03B2F38"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4.4: Percentage of Participants Categories by Country of Origin</w:t>
      </w:r>
    </w:p>
    <w:p w14:paraId="498F2952"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694580D0" wp14:editId="2A6B8CBD">
            <wp:extent cx="4171950" cy="2628900"/>
            <wp:effectExtent l="0" t="0" r="0" b="0"/>
            <wp:docPr id="6" name="Chart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4" descr="Chart, pie char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171950" cy="2628900"/>
                    </a:xfrm>
                    <a:prstGeom prst="rect">
                      <a:avLst/>
                    </a:prstGeom>
                    <a:noFill/>
                    <a:ln>
                      <a:noFill/>
                    </a:ln>
                  </pic:spPr>
                </pic:pic>
              </a:graphicData>
            </a:graphic>
          </wp:inline>
        </w:drawing>
      </w:r>
    </w:p>
    <w:p w14:paraId="14310E8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907EFF2"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Country of Birth</w:t>
      </w:r>
    </w:p>
    <w:p w14:paraId="008CDDA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whether they were born in the UK or outside the UK. The outcomes of the survey show that 31 of the participants (more than 65%) are born outside the UK (see table 4.5 and figure 4.5). </w:t>
      </w:r>
    </w:p>
    <w:p w14:paraId="371FEEC4"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F17974A"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4.5: Frequency of Participants Categories by Country of Birth</w:t>
      </w:r>
    </w:p>
    <w:tbl>
      <w:tblPr>
        <w:tblStyle w:val="TableGrid"/>
        <w:tblW w:w="6626" w:type="dxa"/>
        <w:jc w:val="center"/>
        <w:tblInd w:w="0" w:type="dxa"/>
        <w:tblLook w:val="04A0" w:firstRow="1" w:lastRow="0" w:firstColumn="1" w:lastColumn="0" w:noHBand="0" w:noVBand="1"/>
      </w:tblPr>
      <w:tblGrid>
        <w:gridCol w:w="1478"/>
        <w:gridCol w:w="2388"/>
        <w:gridCol w:w="2760"/>
      </w:tblGrid>
      <w:tr w:rsidR="00BE5DAB" w:rsidRPr="00BE5DAB" w14:paraId="7C68E2BA" w14:textId="77777777" w:rsidTr="00BE5DAB">
        <w:trPr>
          <w:jc w:val="center"/>
        </w:trPr>
        <w:tc>
          <w:tcPr>
            <w:tcW w:w="1478" w:type="dxa"/>
            <w:tcBorders>
              <w:top w:val="single" w:sz="4" w:space="0" w:color="auto"/>
              <w:left w:val="single" w:sz="4" w:space="0" w:color="auto"/>
              <w:bottom w:val="single" w:sz="4" w:space="0" w:color="auto"/>
              <w:right w:val="single" w:sz="4" w:space="0" w:color="auto"/>
            </w:tcBorders>
            <w:shd w:val="clear" w:color="auto" w:fill="9CC2E5"/>
            <w:hideMark/>
          </w:tcPr>
          <w:p w14:paraId="2713DF21"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2388" w:type="dxa"/>
            <w:tcBorders>
              <w:top w:val="single" w:sz="4" w:space="0" w:color="auto"/>
              <w:left w:val="single" w:sz="4" w:space="0" w:color="auto"/>
              <w:bottom w:val="single" w:sz="4" w:space="0" w:color="auto"/>
              <w:right w:val="single" w:sz="4" w:space="0" w:color="auto"/>
            </w:tcBorders>
            <w:shd w:val="clear" w:color="auto" w:fill="9CC2E5"/>
            <w:hideMark/>
          </w:tcPr>
          <w:p w14:paraId="4063C86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Country of Birth</w:t>
            </w:r>
          </w:p>
        </w:tc>
        <w:tc>
          <w:tcPr>
            <w:tcW w:w="2760" w:type="dxa"/>
            <w:tcBorders>
              <w:top w:val="single" w:sz="4" w:space="0" w:color="auto"/>
              <w:left w:val="single" w:sz="4" w:space="0" w:color="auto"/>
              <w:bottom w:val="single" w:sz="4" w:space="0" w:color="auto"/>
              <w:right w:val="single" w:sz="4" w:space="0" w:color="auto"/>
            </w:tcBorders>
            <w:shd w:val="clear" w:color="auto" w:fill="9CC2E5"/>
            <w:hideMark/>
          </w:tcPr>
          <w:p w14:paraId="4F0B37CF"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7556C172" w14:textId="77777777" w:rsidTr="00BE5DAB">
        <w:trPr>
          <w:jc w:val="center"/>
        </w:trPr>
        <w:tc>
          <w:tcPr>
            <w:tcW w:w="1478" w:type="dxa"/>
            <w:tcBorders>
              <w:top w:val="single" w:sz="4" w:space="0" w:color="auto"/>
              <w:left w:val="single" w:sz="4" w:space="0" w:color="auto"/>
              <w:bottom w:val="single" w:sz="4" w:space="0" w:color="auto"/>
              <w:right w:val="single" w:sz="4" w:space="0" w:color="auto"/>
            </w:tcBorders>
            <w:hideMark/>
          </w:tcPr>
          <w:p w14:paraId="5ECEF44D"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33%</w:t>
            </w:r>
          </w:p>
        </w:tc>
        <w:tc>
          <w:tcPr>
            <w:tcW w:w="2388" w:type="dxa"/>
            <w:tcBorders>
              <w:top w:val="single" w:sz="4" w:space="0" w:color="auto"/>
              <w:left w:val="single" w:sz="4" w:space="0" w:color="auto"/>
              <w:bottom w:val="single" w:sz="4" w:space="0" w:color="auto"/>
              <w:right w:val="single" w:sz="4" w:space="0" w:color="auto"/>
            </w:tcBorders>
            <w:hideMark/>
          </w:tcPr>
          <w:p w14:paraId="447F1C3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Outside the UK</w:t>
            </w:r>
          </w:p>
        </w:tc>
        <w:tc>
          <w:tcPr>
            <w:tcW w:w="2760" w:type="dxa"/>
            <w:tcBorders>
              <w:top w:val="single" w:sz="4" w:space="0" w:color="auto"/>
              <w:left w:val="single" w:sz="4" w:space="0" w:color="auto"/>
              <w:bottom w:val="single" w:sz="4" w:space="0" w:color="auto"/>
              <w:right w:val="single" w:sz="4" w:space="0" w:color="auto"/>
            </w:tcBorders>
            <w:hideMark/>
          </w:tcPr>
          <w:p w14:paraId="5B69650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31 participants</w:t>
            </w:r>
          </w:p>
        </w:tc>
      </w:tr>
      <w:tr w:rsidR="00BE5DAB" w:rsidRPr="00BE5DAB" w14:paraId="27AFF592" w14:textId="77777777" w:rsidTr="00BE5DAB">
        <w:trPr>
          <w:jc w:val="center"/>
        </w:trPr>
        <w:tc>
          <w:tcPr>
            <w:tcW w:w="1478" w:type="dxa"/>
            <w:tcBorders>
              <w:top w:val="single" w:sz="4" w:space="0" w:color="auto"/>
              <w:left w:val="single" w:sz="4" w:space="0" w:color="auto"/>
              <w:bottom w:val="single" w:sz="4" w:space="0" w:color="auto"/>
              <w:right w:val="single" w:sz="4" w:space="0" w:color="auto"/>
            </w:tcBorders>
            <w:hideMark/>
          </w:tcPr>
          <w:p w14:paraId="1C4819D1"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67%</w:t>
            </w:r>
          </w:p>
        </w:tc>
        <w:tc>
          <w:tcPr>
            <w:tcW w:w="2388" w:type="dxa"/>
            <w:tcBorders>
              <w:top w:val="single" w:sz="4" w:space="0" w:color="auto"/>
              <w:left w:val="single" w:sz="4" w:space="0" w:color="auto"/>
              <w:bottom w:val="single" w:sz="4" w:space="0" w:color="auto"/>
              <w:right w:val="single" w:sz="4" w:space="0" w:color="auto"/>
            </w:tcBorders>
            <w:hideMark/>
          </w:tcPr>
          <w:p w14:paraId="151333E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Inside the UK</w:t>
            </w:r>
          </w:p>
        </w:tc>
        <w:tc>
          <w:tcPr>
            <w:tcW w:w="2760" w:type="dxa"/>
            <w:tcBorders>
              <w:top w:val="single" w:sz="4" w:space="0" w:color="auto"/>
              <w:left w:val="single" w:sz="4" w:space="0" w:color="auto"/>
              <w:bottom w:val="single" w:sz="4" w:space="0" w:color="auto"/>
              <w:right w:val="single" w:sz="4" w:space="0" w:color="auto"/>
            </w:tcBorders>
            <w:hideMark/>
          </w:tcPr>
          <w:p w14:paraId="1CBA071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15 participants</w:t>
            </w:r>
          </w:p>
        </w:tc>
      </w:tr>
    </w:tbl>
    <w:p w14:paraId="246CBC8E"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7A8A573E"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2841E68D"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033680F9"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5CFE8A73"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2C124E40"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5550AA04"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12974135"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4.5: Percentage of Participants Categories by Country of Birth</w:t>
      </w:r>
    </w:p>
    <w:p w14:paraId="4FAD5B5B"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lastRenderedPageBreak/>
        <w:drawing>
          <wp:inline distT="0" distB="0" distL="0" distR="0" wp14:anchorId="7B02E967" wp14:editId="39C0FDD8">
            <wp:extent cx="4191000" cy="1905000"/>
            <wp:effectExtent l="0" t="0" r="0" b="0"/>
            <wp:docPr id="7" name="Chart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5" descr="Chart, pie char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91000" cy="1905000"/>
                    </a:xfrm>
                    <a:prstGeom prst="rect">
                      <a:avLst/>
                    </a:prstGeom>
                    <a:noFill/>
                    <a:ln>
                      <a:noFill/>
                    </a:ln>
                  </pic:spPr>
                </pic:pic>
              </a:graphicData>
            </a:graphic>
          </wp:inline>
        </w:drawing>
      </w:r>
    </w:p>
    <w:p w14:paraId="48968860"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1FAAE4E"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Number of Years for Staying in the UK</w:t>
      </w:r>
    </w:p>
    <w:p w14:paraId="18FDC19A"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the number of years they stayed in the UK. The outcomes of the survey show that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have lived in the UK for at least five years. </w:t>
      </w:r>
    </w:p>
    <w:p w14:paraId="59F8ED90"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3DBE8521"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4.6: Frequency of Participants Categories by Number of Years for Staying in the UK</w:t>
      </w:r>
    </w:p>
    <w:tbl>
      <w:tblPr>
        <w:tblStyle w:val="TableGrid"/>
        <w:tblW w:w="8095" w:type="dxa"/>
        <w:jc w:val="center"/>
        <w:tblInd w:w="0" w:type="dxa"/>
        <w:tblLook w:val="04A0" w:firstRow="1" w:lastRow="0" w:firstColumn="1" w:lastColumn="0" w:noHBand="0" w:noVBand="1"/>
      </w:tblPr>
      <w:tblGrid>
        <w:gridCol w:w="1500"/>
        <w:gridCol w:w="4003"/>
        <w:gridCol w:w="2592"/>
      </w:tblGrid>
      <w:tr w:rsidR="00BE5DAB" w:rsidRPr="00BE5DAB" w14:paraId="1EAA9FA7"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shd w:val="clear" w:color="auto" w:fill="9CC2E5"/>
            <w:hideMark/>
          </w:tcPr>
          <w:p w14:paraId="51061855"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4003" w:type="dxa"/>
            <w:tcBorders>
              <w:top w:val="single" w:sz="4" w:space="0" w:color="auto"/>
              <w:left w:val="single" w:sz="4" w:space="0" w:color="auto"/>
              <w:bottom w:val="single" w:sz="4" w:space="0" w:color="auto"/>
              <w:right w:val="single" w:sz="4" w:space="0" w:color="auto"/>
            </w:tcBorders>
            <w:shd w:val="clear" w:color="auto" w:fill="9CC2E5"/>
            <w:hideMark/>
          </w:tcPr>
          <w:p w14:paraId="71E04A7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Years for Staying in the UK</w:t>
            </w:r>
          </w:p>
        </w:tc>
        <w:tc>
          <w:tcPr>
            <w:tcW w:w="2592" w:type="dxa"/>
            <w:tcBorders>
              <w:top w:val="single" w:sz="4" w:space="0" w:color="auto"/>
              <w:left w:val="single" w:sz="4" w:space="0" w:color="auto"/>
              <w:bottom w:val="single" w:sz="4" w:space="0" w:color="auto"/>
              <w:right w:val="single" w:sz="4" w:space="0" w:color="auto"/>
            </w:tcBorders>
            <w:shd w:val="clear" w:color="auto" w:fill="9CC2E5"/>
            <w:hideMark/>
          </w:tcPr>
          <w:p w14:paraId="4494E1E3"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2F4A46C8"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hideMark/>
          </w:tcPr>
          <w:p w14:paraId="12BB8983"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46%</w:t>
            </w:r>
          </w:p>
        </w:tc>
        <w:tc>
          <w:tcPr>
            <w:tcW w:w="4003" w:type="dxa"/>
            <w:tcBorders>
              <w:top w:val="single" w:sz="4" w:space="0" w:color="auto"/>
              <w:left w:val="single" w:sz="4" w:space="0" w:color="auto"/>
              <w:bottom w:val="single" w:sz="4" w:space="0" w:color="auto"/>
              <w:right w:val="single" w:sz="4" w:space="0" w:color="auto"/>
            </w:tcBorders>
            <w:hideMark/>
          </w:tcPr>
          <w:p w14:paraId="3F9710C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10 + Years</w:t>
            </w:r>
          </w:p>
        </w:tc>
        <w:tc>
          <w:tcPr>
            <w:tcW w:w="2592" w:type="dxa"/>
            <w:tcBorders>
              <w:top w:val="single" w:sz="4" w:space="0" w:color="auto"/>
              <w:left w:val="single" w:sz="4" w:space="0" w:color="auto"/>
              <w:bottom w:val="single" w:sz="4" w:space="0" w:color="auto"/>
              <w:right w:val="single" w:sz="4" w:space="0" w:color="auto"/>
            </w:tcBorders>
            <w:hideMark/>
          </w:tcPr>
          <w:p w14:paraId="216B5FE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21 participants</w:t>
            </w:r>
          </w:p>
        </w:tc>
      </w:tr>
      <w:tr w:rsidR="00BE5DAB" w:rsidRPr="00BE5DAB" w14:paraId="1F8A50C2"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hideMark/>
          </w:tcPr>
          <w:p w14:paraId="4F8A2CC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13%</w:t>
            </w:r>
          </w:p>
        </w:tc>
        <w:tc>
          <w:tcPr>
            <w:tcW w:w="4003" w:type="dxa"/>
            <w:tcBorders>
              <w:top w:val="single" w:sz="4" w:space="0" w:color="auto"/>
              <w:left w:val="single" w:sz="4" w:space="0" w:color="auto"/>
              <w:bottom w:val="single" w:sz="4" w:space="0" w:color="auto"/>
              <w:right w:val="single" w:sz="4" w:space="0" w:color="auto"/>
            </w:tcBorders>
            <w:hideMark/>
          </w:tcPr>
          <w:p w14:paraId="02E51BD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2 - 3 years</w:t>
            </w:r>
          </w:p>
        </w:tc>
        <w:tc>
          <w:tcPr>
            <w:tcW w:w="2592" w:type="dxa"/>
            <w:tcBorders>
              <w:top w:val="single" w:sz="4" w:space="0" w:color="auto"/>
              <w:left w:val="single" w:sz="4" w:space="0" w:color="auto"/>
              <w:bottom w:val="single" w:sz="4" w:space="0" w:color="auto"/>
              <w:right w:val="single" w:sz="4" w:space="0" w:color="auto"/>
            </w:tcBorders>
            <w:hideMark/>
          </w:tcPr>
          <w:p w14:paraId="2A692A5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6 participants</w:t>
            </w:r>
          </w:p>
        </w:tc>
      </w:tr>
      <w:tr w:rsidR="00BE5DAB" w:rsidRPr="00BE5DAB" w14:paraId="7818304B"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hideMark/>
          </w:tcPr>
          <w:p w14:paraId="1848E45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11%</w:t>
            </w:r>
          </w:p>
        </w:tc>
        <w:tc>
          <w:tcPr>
            <w:tcW w:w="4003" w:type="dxa"/>
            <w:tcBorders>
              <w:top w:val="single" w:sz="4" w:space="0" w:color="auto"/>
              <w:left w:val="single" w:sz="4" w:space="0" w:color="auto"/>
              <w:bottom w:val="single" w:sz="4" w:space="0" w:color="auto"/>
              <w:right w:val="single" w:sz="4" w:space="0" w:color="auto"/>
            </w:tcBorders>
            <w:hideMark/>
          </w:tcPr>
          <w:p w14:paraId="3F6CAA7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3 - 5 Years</w:t>
            </w:r>
          </w:p>
        </w:tc>
        <w:tc>
          <w:tcPr>
            <w:tcW w:w="2592" w:type="dxa"/>
            <w:tcBorders>
              <w:top w:val="single" w:sz="4" w:space="0" w:color="auto"/>
              <w:left w:val="single" w:sz="4" w:space="0" w:color="auto"/>
              <w:bottom w:val="single" w:sz="4" w:space="0" w:color="auto"/>
              <w:right w:val="single" w:sz="4" w:space="0" w:color="auto"/>
            </w:tcBorders>
            <w:hideMark/>
          </w:tcPr>
          <w:p w14:paraId="46D5187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5 participants</w:t>
            </w:r>
          </w:p>
        </w:tc>
      </w:tr>
      <w:tr w:rsidR="00BE5DAB" w:rsidRPr="00BE5DAB" w14:paraId="19F8218E"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hideMark/>
          </w:tcPr>
          <w:p w14:paraId="5301ADB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26%</w:t>
            </w:r>
          </w:p>
        </w:tc>
        <w:tc>
          <w:tcPr>
            <w:tcW w:w="4003" w:type="dxa"/>
            <w:tcBorders>
              <w:top w:val="single" w:sz="4" w:space="0" w:color="auto"/>
              <w:left w:val="single" w:sz="4" w:space="0" w:color="auto"/>
              <w:bottom w:val="single" w:sz="4" w:space="0" w:color="auto"/>
              <w:right w:val="single" w:sz="4" w:space="0" w:color="auto"/>
            </w:tcBorders>
            <w:hideMark/>
          </w:tcPr>
          <w:p w14:paraId="0273660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5 - 10 Years</w:t>
            </w:r>
          </w:p>
        </w:tc>
        <w:tc>
          <w:tcPr>
            <w:tcW w:w="2592" w:type="dxa"/>
            <w:tcBorders>
              <w:top w:val="single" w:sz="4" w:space="0" w:color="auto"/>
              <w:left w:val="single" w:sz="4" w:space="0" w:color="auto"/>
              <w:bottom w:val="single" w:sz="4" w:space="0" w:color="auto"/>
              <w:right w:val="single" w:sz="4" w:space="0" w:color="auto"/>
            </w:tcBorders>
            <w:hideMark/>
          </w:tcPr>
          <w:p w14:paraId="201D2A9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12 participants</w:t>
            </w:r>
          </w:p>
        </w:tc>
      </w:tr>
      <w:tr w:rsidR="00BE5DAB" w:rsidRPr="00BE5DAB" w14:paraId="6DF186EF" w14:textId="77777777" w:rsidTr="00BE5DAB">
        <w:trPr>
          <w:jc w:val="center"/>
        </w:trPr>
        <w:tc>
          <w:tcPr>
            <w:tcW w:w="1500" w:type="dxa"/>
            <w:tcBorders>
              <w:top w:val="single" w:sz="4" w:space="0" w:color="auto"/>
              <w:left w:val="single" w:sz="4" w:space="0" w:color="auto"/>
              <w:bottom w:val="single" w:sz="4" w:space="0" w:color="auto"/>
              <w:right w:val="single" w:sz="4" w:space="0" w:color="auto"/>
            </w:tcBorders>
            <w:hideMark/>
          </w:tcPr>
          <w:p w14:paraId="5F2BF34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4%</w:t>
            </w:r>
          </w:p>
        </w:tc>
        <w:tc>
          <w:tcPr>
            <w:tcW w:w="4003" w:type="dxa"/>
            <w:tcBorders>
              <w:top w:val="single" w:sz="4" w:space="0" w:color="auto"/>
              <w:left w:val="single" w:sz="4" w:space="0" w:color="auto"/>
              <w:bottom w:val="single" w:sz="4" w:space="0" w:color="auto"/>
              <w:right w:val="single" w:sz="4" w:space="0" w:color="auto"/>
            </w:tcBorders>
            <w:hideMark/>
          </w:tcPr>
          <w:p w14:paraId="342057C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Less than Year</w:t>
            </w:r>
          </w:p>
        </w:tc>
        <w:tc>
          <w:tcPr>
            <w:tcW w:w="2592" w:type="dxa"/>
            <w:tcBorders>
              <w:top w:val="single" w:sz="4" w:space="0" w:color="auto"/>
              <w:left w:val="single" w:sz="4" w:space="0" w:color="auto"/>
              <w:bottom w:val="single" w:sz="4" w:space="0" w:color="auto"/>
              <w:right w:val="single" w:sz="4" w:space="0" w:color="auto"/>
            </w:tcBorders>
            <w:hideMark/>
          </w:tcPr>
          <w:p w14:paraId="57D3A86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bl>
    <w:p w14:paraId="65D26C2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48BA1E1"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4.6: Percentage of Participants Categories by Number of Years for Staying in the UK</w:t>
      </w:r>
    </w:p>
    <w:p w14:paraId="0BCE17CC"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3BD710D3" wp14:editId="44AD41D3">
            <wp:extent cx="3467100" cy="2305050"/>
            <wp:effectExtent l="0" t="0" r="0" b="0"/>
            <wp:docPr id="8" name="Chart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6" descr="Chart, pie char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467100" cy="2305050"/>
                    </a:xfrm>
                    <a:prstGeom prst="rect">
                      <a:avLst/>
                    </a:prstGeom>
                    <a:noFill/>
                    <a:ln>
                      <a:noFill/>
                    </a:ln>
                  </pic:spPr>
                </pic:pic>
              </a:graphicData>
            </a:graphic>
          </wp:inline>
        </w:drawing>
      </w:r>
    </w:p>
    <w:p w14:paraId="7C73A587"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BA223A0"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Visiting Country of Origin</w:t>
      </w:r>
    </w:p>
    <w:p w14:paraId="163DAD6F"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The participants were asked to identify the number of times they visit their country of origin. And the outcomes of the survey shown that most of the participants visit their country of origin once every three years or more. However, many participants also visit their country of origin at least once every year.</w:t>
      </w:r>
    </w:p>
    <w:p w14:paraId="57333BFC"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4.7: Frequency of Participants Categories by Visiting Country of Origin</w:t>
      </w:r>
    </w:p>
    <w:tbl>
      <w:tblPr>
        <w:tblStyle w:val="TableGrid"/>
        <w:tblW w:w="7530" w:type="dxa"/>
        <w:jc w:val="center"/>
        <w:tblInd w:w="0" w:type="dxa"/>
        <w:tblLook w:val="04A0" w:firstRow="1" w:lastRow="0" w:firstColumn="1" w:lastColumn="0" w:noHBand="0" w:noVBand="1"/>
      </w:tblPr>
      <w:tblGrid>
        <w:gridCol w:w="1748"/>
        <w:gridCol w:w="3085"/>
        <w:gridCol w:w="2697"/>
      </w:tblGrid>
      <w:tr w:rsidR="00BE5DAB" w:rsidRPr="00BE5DAB" w14:paraId="6FA61000"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shd w:val="clear" w:color="auto" w:fill="9CC2E5"/>
            <w:hideMark/>
          </w:tcPr>
          <w:p w14:paraId="63912962"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lastRenderedPageBreak/>
              <w:t>Percentage</w:t>
            </w:r>
          </w:p>
        </w:tc>
        <w:tc>
          <w:tcPr>
            <w:tcW w:w="3085" w:type="dxa"/>
            <w:tcBorders>
              <w:top w:val="single" w:sz="4" w:space="0" w:color="auto"/>
              <w:left w:val="single" w:sz="4" w:space="0" w:color="auto"/>
              <w:bottom w:val="single" w:sz="4" w:space="0" w:color="auto"/>
              <w:right w:val="single" w:sz="4" w:space="0" w:color="auto"/>
            </w:tcBorders>
            <w:shd w:val="clear" w:color="auto" w:fill="9CC2E5"/>
            <w:hideMark/>
          </w:tcPr>
          <w:p w14:paraId="52ED7196"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Visiting Country of Origin</w:t>
            </w:r>
          </w:p>
        </w:tc>
        <w:tc>
          <w:tcPr>
            <w:tcW w:w="2697" w:type="dxa"/>
            <w:tcBorders>
              <w:top w:val="single" w:sz="4" w:space="0" w:color="auto"/>
              <w:left w:val="single" w:sz="4" w:space="0" w:color="auto"/>
              <w:bottom w:val="single" w:sz="4" w:space="0" w:color="auto"/>
              <w:right w:val="single" w:sz="4" w:space="0" w:color="auto"/>
            </w:tcBorders>
            <w:shd w:val="clear" w:color="auto" w:fill="9CC2E5"/>
            <w:hideMark/>
          </w:tcPr>
          <w:p w14:paraId="7A2B714A"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3E6DE1DD"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hideMark/>
          </w:tcPr>
          <w:p w14:paraId="50C0D466"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13%</w:t>
            </w:r>
          </w:p>
        </w:tc>
        <w:tc>
          <w:tcPr>
            <w:tcW w:w="3085" w:type="dxa"/>
            <w:tcBorders>
              <w:top w:val="single" w:sz="4" w:space="0" w:color="auto"/>
              <w:left w:val="single" w:sz="4" w:space="0" w:color="auto"/>
              <w:bottom w:val="single" w:sz="4" w:space="0" w:color="auto"/>
              <w:right w:val="single" w:sz="4" w:space="0" w:color="auto"/>
            </w:tcBorders>
            <w:hideMark/>
          </w:tcPr>
          <w:p w14:paraId="10A1256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Never</w:t>
            </w:r>
          </w:p>
        </w:tc>
        <w:tc>
          <w:tcPr>
            <w:tcW w:w="2697" w:type="dxa"/>
            <w:tcBorders>
              <w:top w:val="single" w:sz="4" w:space="0" w:color="auto"/>
              <w:left w:val="single" w:sz="4" w:space="0" w:color="auto"/>
              <w:bottom w:val="single" w:sz="4" w:space="0" w:color="auto"/>
              <w:right w:val="single" w:sz="4" w:space="0" w:color="auto"/>
            </w:tcBorders>
            <w:hideMark/>
          </w:tcPr>
          <w:p w14:paraId="1124737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6 participants</w:t>
            </w:r>
          </w:p>
        </w:tc>
      </w:tr>
      <w:tr w:rsidR="00BE5DAB" w:rsidRPr="00BE5DAB" w14:paraId="4E83E185"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hideMark/>
          </w:tcPr>
          <w:p w14:paraId="187EA20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9%</w:t>
            </w:r>
          </w:p>
        </w:tc>
        <w:tc>
          <w:tcPr>
            <w:tcW w:w="3085" w:type="dxa"/>
            <w:tcBorders>
              <w:top w:val="single" w:sz="4" w:space="0" w:color="auto"/>
              <w:left w:val="single" w:sz="4" w:space="0" w:color="auto"/>
              <w:bottom w:val="single" w:sz="4" w:space="0" w:color="auto"/>
              <w:right w:val="single" w:sz="4" w:space="0" w:color="auto"/>
            </w:tcBorders>
            <w:hideMark/>
          </w:tcPr>
          <w:p w14:paraId="4D1A5F4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Once every 2 - 3 years</w:t>
            </w:r>
          </w:p>
        </w:tc>
        <w:tc>
          <w:tcPr>
            <w:tcW w:w="2697" w:type="dxa"/>
            <w:tcBorders>
              <w:top w:val="single" w:sz="4" w:space="0" w:color="auto"/>
              <w:left w:val="single" w:sz="4" w:space="0" w:color="auto"/>
              <w:bottom w:val="single" w:sz="4" w:space="0" w:color="auto"/>
              <w:right w:val="single" w:sz="4" w:space="0" w:color="auto"/>
            </w:tcBorders>
            <w:hideMark/>
          </w:tcPr>
          <w:p w14:paraId="07C5E8E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619CA9A3"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hideMark/>
          </w:tcPr>
          <w:p w14:paraId="346F86B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17%</w:t>
            </w:r>
          </w:p>
        </w:tc>
        <w:tc>
          <w:tcPr>
            <w:tcW w:w="3085" w:type="dxa"/>
            <w:tcBorders>
              <w:top w:val="single" w:sz="4" w:space="0" w:color="auto"/>
              <w:left w:val="single" w:sz="4" w:space="0" w:color="auto"/>
              <w:bottom w:val="single" w:sz="4" w:space="0" w:color="auto"/>
              <w:right w:val="single" w:sz="4" w:space="0" w:color="auto"/>
            </w:tcBorders>
            <w:hideMark/>
          </w:tcPr>
          <w:p w14:paraId="35907E7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Once every 3 - 5 years</w:t>
            </w:r>
          </w:p>
        </w:tc>
        <w:tc>
          <w:tcPr>
            <w:tcW w:w="2697" w:type="dxa"/>
            <w:tcBorders>
              <w:top w:val="single" w:sz="4" w:space="0" w:color="auto"/>
              <w:left w:val="single" w:sz="4" w:space="0" w:color="auto"/>
              <w:bottom w:val="single" w:sz="4" w:space="0" w:color="auto"/>
              <w:right w:val="single" w:sz="4" w:space="0" w:color="auto"/>
            </w:tcBorders>
            <w:hideMark/>
          </w:tcPr>
          <w:p w14:paraId="035150F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8 participants</w:t>
            </w:r>
          </w:p>
        </w:tc>
      </w:tr>
      <w:tr w:rsidR="00BE5DAB" w:rsidRPr="00BE5DAB" w14:paraId="73E79D81"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hideMark/>
          </w:tcPr>
          <w:p w14:paraId="5224C71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26%</w:t>
            </w:r>
          </w:p>
        </w:tc>
        <w:tc>
          <w:tcPr>
            <w:tcW w:w="3085" w:type="dxa"/>
            <w:tcBorders>
              <w:top w:val="single" w:sz="4" w:space="0" w:color="auto"/>
              <w:left w:val="single" w:sz="4" w:space="0" w:color="auto"/>
              <w:bottom w:val="single" w:sz="4" w:space="0" w:color="auto"/>
              <w:right w:val="single" w:sz="4" w:space="0" w:color="auto"/>
            </w:tcBorders>
            <w:hideMark/>
          </w:tcPr>
          <w:p w14:paraId="67F72F1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Once every 5 - 10 years</w:t>
            </w:r>
          </w:p>
        </w:tc>
        <w:tc>
          <w:tcPr>
            <w:tcW w:w="2697" w:type="dxa"/>
            <w:tcBorders>
              <w:top w:val="single" w:sz="4" w:space="0" w:color="auto"/>
              <w:left w:val="single" w:sz="4" w:space="0" w:color="auto"/>
              <w:bottom w:val="single" w:sz="4" w:space="0" w:color="auto"/>
              <w:right w:val="single" w:sz="4" w:space="0" w:color="auto"/>
            </w:tcBorders>
            <w:hideMark/>
          </w:tcPr>
          <w:p w14:paraId="10D5C4B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12 participants</w:t>
            </w:r>
          </w:p>
        </w:tc>
      </w:tr>
      <w:tr w:rsidR="00BE5DAB" w:rsidRPr="00BE5DAB" w14:paraId="0E4E4F1B" w14:textId="77777777" w:rsidTr="00BE5DAB">
        <w:trPr>
          <w:jc w:val="center"/>
        </w:trPr>
        <w:tc>
          <w:tcPr>
            <w:tcW w:w="1748" w:type="dxa"/>
            <w:tcBorders>
              <w:top w:val="single" w:sz="4" w:space="0" w:color="auto"/>
              <w:left w:val="single" w:sz="4" w:space="0" w:color="auto"/>
              <w:bottom w:val="single" w:sz="4" w:space="0" w:color="auto"/>
              <w:right w:val="single" w:sz="4" w:space="0" w:color="auto"/>
            </w:tcBorders>
            <w:hideMark/>
          </w:tcPr>
          <w:p w14:paraId="17924A9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35%</w:t>
            </w:r>
          </w:p>
        </w:tc>
        <w:tc>
          <w:tcPr>
            <w:tcW w:w="3085" w:type="dxa"/>
            <w:tcBorders>
              <w:top w:val="single" w:sz="4" w:space="0" w:color="auto"/>
              <w:left w:val="single" w:sz="4" w:space="0" w:color="auto"/>
              <w:bottom w:val="single" w:sz="4" w:space="0" w:color="auto"/>
              <w:right w:val="single" w:sz="4" w:space="0" w:color="auto"/>
            </w:tcBorders>
            <w:hideMark/>
          </w:tcPr>
          <w:p w14:paraId="6244258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One/More in Year</w:t>
            </w:r>
          </w:p>
        </w:tc>
        <w:tc>
          <w:tcPr>
            <w:tcW w:w="2697" w:type="dxa"/>
            <w:tcBorders>
              <w:top w:val="single" w:sz="4" w:space="0" w:color="auto"/>
              <w:left w:val="single" w:sz="4" w:space="0" w:color="auto"/>
              <w:bottom w:val="single" w:sz="4" w:space="0" w:color="auto"/>
              <w:right w:val="single" w:sz="4" w:space="0" w:color="auto"/>
            </w:tcBorders>
            <w:hideMark/>
          </w:tcPr>
          <w:p w14:paraId="6B61498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16 participants</w:t>
            </w:r>
          </w:p>
        </w:tc>
      </w:tr>
    </w:tbl>
    <w:p w14:paraId="6D3D85EA"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C474A4E"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4.7: Percentage of Participants Categories by Visiting Country of Origin</w:t>
      </w:r>
    </w:p>
    <w:p w14:paraId="05FA8C8C"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5C306F5" wp14:editId="65EEAD88">
            <wp:extent cx="4171950" cy="2076450"/>
            <wp:effectExtent l="0" t="0" r="0" b="0"/>
            <wp:docPr id="9" name="Chart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7" descr="Chart, pie char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171950" cy="2076450"/>
                    </a:xfrm>
                    <a:prstGeom prst="rect">
                      <a:avLst/>
                    </a:prstGeom>
                    <a:noFill/>
                    <a:ln>
                      <a:noFill/>
                    </a:ln>
                  </pic:spPr>
                </pic:pic>
              </a:graphicData>
            </a:graphic>
          </wp:inline>
        </w:drawing>
      </w:r>
    </w:p>
    <w:p w14:paraId="77EE943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6B945D9"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Discussion of the First Section</w:t>
      </w:r>
    </w:p>
    <w:p w14:paraId="5CB9421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This research aims to understand a specific type of consumer behaviour, namely: the reasons that lead consumers to boycott specific brands/companies. For this reason, the researcher designed a survey that leads to achieving this aim. The first section of the survey is devoted to the demographic/personal details of participants (</w:t>
      </w:r>
      <w:proofErr w:type="gramStart"/>
      <w:r w:rsidRPr="00BE5DAB">
        <w:rPr>
          <w:rFonts w:ascii="Times New Roman" w:eastAsia="Cambria" w:hAnsi="Times New Roman" w:cs="Times New Roman"/>
          <w:sz w:val="24"/>
          <w:szCs w:val="24"/>
        </w:rPr>
        <w:t>e.g.</w:t>
      </w:r>
      <w:proofErr w:type="gramEnd"/>
      <w:r w:rsidRPr="00BE5DAB">
        <w:rPr>
          <w:rFonts w:ascii="Times New Roman" w:eastAsia="Cambria" w:hAnsi="Times New Roman" w:cs="Times New Roman"/>
          <w:sz w:val="24"/>
          <w:szCs w:val="24"/>
        </w:rPr>
        <w:t xml:space="preserve"> age, gender, country of origin). The researcher included this section as the literature review shows that consumer behaviour differs between consumers who belong to different age categories, gender, etc. Cruz et al. (2017, p. 46) stated</w:t>
      </w:r>
      <w:r w:rsidRPr="00BE5DAB">
        <w:rPr>
          <w:rFonts w:ascii="Times New Roman" w:eastAsia="Arial" w:hAnsi="Times New Roman" w:cs="Times New Roman"/>
          <w:sz w:val="24"/>
          <w:szCs w:val="24"/>
        </w:rPr>
        <w:t xml:space="preserve">:  </w:t>
      </w:r>
    </w:p>
    <w:p w14:paraId="4A2A39C9"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rPr>
      </w:pPr>
    </w:p>
    <w:p w14:paraId="50F7B966"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rPr>
      </w:pPr>
      <w:r w:rsidRPr="00BE5DAB">
        <w:rPr>
          <w:rFonts w:ascii="Times New Roman" w:eastAsia="Cambria" w:hAnsi="Times New Roman" w:cs="Times New Roman"/>
          <w:i/>
          <w:iCs/>
          <w:sz w:val="20"/>
          <w:szCs w:val="20"/>
        </w:rPr>
        <w:t xml:space="preserve">boycott theory shows types of boycotts and dimensions for aggregating them. We understand that boycott decision is influenced by demographic variables such as gender [13– 15], income, education, and age [12]. Despite this, we highlight the difference </w:t>
      </w:r>
      <w:r w:rsidRPr="00BE5DAB">
        <w:rPr>
          <w:rFonts w:ascii="Times New Roman" w:eastAsia="Cambria" w:hAnsi="Times New Roman" w:cs="Times New Roman"/>
          <w:i/>
          <w:iCs/>
          <w:sz w:val="20"/>
          <w:szCs w:val="20"/>
          <w:lang w:eastAsia="zh-CN"/>
        </w:rPr>
        <w:t xml:space="preserve">between </w:t>
      </w:r>
      <w:r w:rsidRPr="00BE5DAB">
        <w:rPr>
          <w:rFonts w:ascii="Times New Roman" w:eastAsia="Cambria" w:hAnsi="Times New Roman" w:cs="Times New Roman"/>
          <w:i/>
          <w:iCs/>
          <w:sz w:val="20"/>
          <w:szCs w:val="20"/>
        </w:rPr>
        <w:t>women and men in boycott studies. However, in the next section, we present studies that show women as more intended to boycott companies/brand/services than men.</w:t>
      </w:r>
    </w:p>
    <w:p w14:paraId="4A904EAD"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rPr>
      </w:pPr>
    </w:p>
    <w:p w14:paraId="1D272DC6"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In terms of gender, more than one study found that more women participate in consumer politics than males (Norris, </w:t>
      </w:r>
      <w:proofErr w:type="spellStart"/>
      <w:r w:rsidRPr="00BE5DAB">
        <w:rPr>
          <w:rFonts w:ascii="Times New Roman" w:eastAsia="Cambria" w:hAnsi="Times New Roman" w:cs="Times New Roman"/>
          <w:sz w:val="24"/>
          <w:szCs w:val="24"/>
        </w:rPr>
        <w:t>Lovenduski</w:t>
      </w:r>
      <w:proofErr w:type="spellEnd"/>
      <w:r w:rsidRPr="00BE5DAB">
        <w:rPr>
          <w:rFonts w:ascii="Times New Roman" w:eastAsia="Cambria" w:hAnsi="Times New Roman" w:cs="Times New Roman"/>
          <w:sz w:val="24"/>
          <w:szCs w:val="24"/>
        </w:rPr>
        <w:t xml:space="preserve">, and Campbell, 2004; Cruz et al., 2017). However, it is unclear if this is true for female customers of the Middle East or not. In this study, the female participants represent 41% (19 </w:t>
      </w:r>
      <w:r w:rsidRPr="00BE5DAB">
        <w:rPr>
          <w:rFonts w:ascii="Times New Roman" w:eastAsia="Cambria" w:hAnsi="Times New Roman" w:cs="Times New Roman"/>
          <w:bCs/>
          <w:sz w:val="24"/>
          <w:szCs w:val="24"/>
          <w:lang w:eastAsia="en-ZW"/>
        </w:rPr>
        <w:t xml:space="preserve">out </w:t>
      </w:r>
      <w:r w:rsidRPr="00BE5DAB">
        <w:rPr>
          <w:rFonts w:ascii="Times New Roman" w:eastAsia="Cambria" w:hAnsi="Times New Roman" w:cs="Times New Roman"/>
          <w:sz w:val="24"/>
          <w:szCs w:val="24"/>
        </w:rPr>
        <w:t xml:space="preserve">of 46 participants) of the sample selected to participate in this study (see table 4.2 and figure 4.2).  </w:t>
      </w:r>
    </w:p>
    <w:p w14:paraId="0313C021"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In terms of age, a survey of more than 3000 individuals between the year 1980 and the year 1995 revealed that they were extremely loyal customers, with 70% of participants stating that if they find a </w:t>
      </w:r>
      <w:proofErr w:type="gramStart"/>
      <w:r w:rsidRPr="00BE5DAB">
        <w:rPr>
          <w:rFonts w:ascii="Times New Roman" w:eastAsia="Cambria" w:hAnsi="Times New Roman" w:cs="Times New Roman"/>
          <w:bCs/>
          <w:sz w:val="24"/>
          <w:szCs w:val="24"/>
          <w:lang w:eastAsia="en-ZW"/>
        </w:rPr>
        <w:t>brand</w:t>
      </w:r>
      <w:proofErr w:type="gramEnd"/>
      <w:r w:rsidRPr="00BE5DAB">
        <w:rPr>
          <w:rFonts w:ascii="Times New Roman" w:eastAsia="Cambria" w:hAnsi="Times New Roman" w:cs="Times New Roman"/>
          <w:bCs/>
          <w:sz w:val="24"/>
          <w:szCs w:val="24"/>
          <w:lang w:eastAsia="en-ZW"/>
        </w:rPr>
        <w:t xml:space="preserve"> </w:t>
      </w:r>
      <w:r w:rsidRPr="00BE5DAB">
        <w:rPr>
          <w:rFonts w:ascii="Times New Roman" w:eastAsia="Cambria" w:hAnsi="Times New Roman" w:cs="Times New Roman"/>
          <w:sz w:val="24"/>
          <w:szCs w:val="24"/>
        </w:rPr>
        <w:t xml:space="preserve">they are content with, they will not change it (Edelman Digital, 2010). In </w:t>
      </w:r>
      <w:r w:rsidRPr="00BE5DAB">
        <w:rPr>
          <w:rFonts w:ascii="Times New Roman" w:eastAsia="Cambria" w:hAnsi="Times New Roman" w:cs="Times New Roman"/>
          <w:sz w:val="24"/>
          <w:szCs w:val="24"/>
        </w:rPr>
        <w:lastRenderedPageBreak/>
        <w:t>this study, the participants belonged to different age categories. However, the category that holds the largest number of participants in the category of young participants (see table 4.1 and figure 4.1).</w:t>
      </w:r>
    </w:p>
    <w:p w14:paraId="27BE5222"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In terms of country of origin, Europe has millions of migrants who migrated to the continent for different reasons. For instance, Syrian migrants represent the largest number of migrants to Europe according </w:t>
      </w:r>
      <w:r w:rsidRPr="00BE5DAB">
        <w:rPr>
          <w:rFonts w:ascii="Times New Roman" w:eastAsia="Cambria" w:hAnsi="Times New Roman" w:cs="Times New Roman"/>
          <w:bCs/>
          <w:sz w:val="24"/>
          <w:szCs w:val="24"/>
          <w:lang w:eastAsia="en-ZW"/>
        </w:rPr>
        <w:t xml:space="preserve">to </w:t>
      </w:r>
      <w:r w:rsidRPr="00BE5DAB">
        <w:rPr>
          <w:rFonts w:ascii="Times New Roman" w:eastAsia="Cambria" w:hAnsi="Times New Roman" w:cs="Times New Roman"/>
          <w:sz w:val="24"/>
          <w:szCs w:val="24"/>
        </w:rPr>
        <w:t xml:space="preserve">the report of Pew Research Centre (2017). In Europe alone, there are more than 610 thousand Syrian Migrants, most of which are refugees who travelled to Europe after the civil war that was triggered in the year 2011. </w:t>
      </w:r>
    </w:p>
    <w:p w14:paraId="4B61B945"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It is important to distinguish participants’ country of origin and participants’ country of birth, as some migrants arrived in Europe and then have children there. Therefore, </w:t>
      </w:r>
      <w:r w:rsidRPr="00BE5DAB">
        <w:rPr>
          <w:rFonts w:ascii="Times New Roman" w:eastAsia="Cambria" w:hAnsi="Times New Roman" w:cs="Times New Roman"/>
          <w:bCs/>
          <w:sz w:val="24"/>
          <w:szCs w:val="24"/>
          <w:lang w:eastAsia="en-ZW"/>
        </w:rPr>
        <w:t xml:space="preserve">children </w:t>
      </w:r>
      <w:r w:rsidRPr="00BE5DAB">
        <w:rPr>
          <w:rFonts w:ascii="Times New Roman" w:eastAsia="Cambria" w:hAnsi="Times New Roman" w:cs="Times New Roman"/>
          <w:sz w:val="24"/>
          <w:szCs w:val="24"/>
        </w:rPr>
        <w:t xml:space="preserve">who were born and raised in Europe can be more attached to European cultures and countries than culture/country of origin. It is also important to know the number of years that the migrants have stayed in Europe and the number of times they visit their country of origin. These facts can be important as the analysis can reveal a correlation between the levels of attachment that migrants or their children possess to their country of origin. </w:t>
      </w:r>
    </w:p>
    <w:p w14:paraId="7F0D7184"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highlight w:val="yellow"/>
        </w:rPr>
      </w:pPr>
      <w:r w:rsidRPr="00BE5DAB">
        <w:rPr>
          <w:rFonts w:ascii="Times New Roman" w:eastAsia="Cambria" w:hAnsi="Times New Roman" w:cs="Times New Roman"/>
          <w:sz w:val="24"/>
          <w:szCs w:val="24"/>
        </w:rPr>
        <w:t xml:space="preserve"> In terms of religion, </w:t>
      </w:r>
      <w:r w:rsidRPr="00BE5DAB">
        <w:rPr>
          <w:rFonts w:ascii="Times New Roman" w:eastAsia="Cambria" w:hAnsi="Times New Roman" w:cs="Times New Roman"/>
          <w:bCs/>
          <w:sz w:val="24"/>
          <w:szCs w:val="24"/>
          <w:lang w:eastAsia="en-ZW"/>
        </w:rPr>
        <w:t xml:space="preserve">research </w:t>
      </w:r>
      <w:r w:rsidRPr="00BE5DAB">
        <w:rPr>
          <w:rFonts w:ascii="Times New Roman" w:eastAsia="Cambria" w:hAnsi="Times New Roman" w:cs="Times New Roman"/>
          <w:sz w:val="24"/>
          <w:szCs w:val="24"/>
        </w:rPr>
        <w:t xml:space="preserve">shows that it can influence consumers’ daily life. It also can influence consumers’ opinions towards countries and companies that are originally from these countries. One famous and clear example of such a case is the Danish cartoons incident that happened in the year 2006 </w:t>
      </w:r>
      <w:r w:rsidRPr="00BE5DAB">
        <w:rPr>
          <w:rFonts w:ascii="Times New Roman" w:eastAsia="SimSun" w:hAnsi="Times New Roman" w:cs="Times New Roman"/>
          <w:sz w:val="24"/>
          <w:szCs w:val="24"/>
        </w:rPr>
        <w:t>(Maamoun and Agarwal, 2008)</w:t>
      </w:r>
      <w:r w:rsidRPr="00BE5DAB">
        <w:rPr>
          <w:rFonts w:ascii="Times New Roman" w:eastAsia="Cambria" w:hAnsi="Times New Roman" w:cs="Times New Roman"/>
          <w:sz w:val="24"/>
          <w:szCs w:val="24"/>
        </w:rPr>
        <w:t>. Many Muslims boycott Danish products and companies to put pressure on the country. In this study, there are 46 participants, forty of whom are Muslims and six are Christians. The following section (section 4.3) provides further information regarding the consumer behaviour of participants.</w:t>
      </w:r>
    </w:p>
    <w:p w14:paraId="41C8D2E8"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04FF528"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lang w:eastAsia="en-GB"/>
        </w:rPr>
        <w:t>Consumer Behaviour</w:t>
      </w:r>
    </w:p>
    <w:p w14:paraId="267CE86F"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Influence of Religious/Political Views on the Daily Life of Participants</w:t>
      </w:r>
    </w:p>
    <w:p w14:paraId="20EDA931"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whether their political and/or religious views can influence their daily life or not;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think that the political and/or religious views they hold are either significant or very significant to them and influence their daily life (see table 4.8 and figure 4.8). In other words, the consumer behaviour of the participants is shaped by the political and/or religious views they hold.</w:t>
      </w:r>
    </w:p>
    <w:p w14:paraId="58807F7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
    <w:p w14:paraId="54A7AB36"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
    <w:p w14:paraId="3F60176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46F7E2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rPr>
      </w:pPr>
      <w:r w:rsidRPr="00BE5DAB">
        <w:rPr>
          <w:rFonts w:ascii="Times New Roman" w:eastAsia="Cambria" w:hAnsi="Times New Roman" w:cs="Times New Roman"/>
          <w:b/>
          <w:bCs/>
        </w:rPr>
        <w:t xml:space="preserve">Table 4.8: Frequency of Participants Categorised by their Views on Whether Religious and </w:t>
      </w:r>
      <w:r w:rsidRPr="00BE5DAB">
        <w:rPr>
          <w:rFonts w:ascii="Times New Roman" w:eastAsia="Cambria" w:hAnsi="Times New Roman" w:cs="Times New Roman"/>
          <w:b/>
          <w:bCs/>
        </w:rPr>
        <w:lastRenderedPageBreak/>
        <w:t>Politics Views Have Influence on their Daily Life</w:t>
      </w:r>
    </w:p>
    <w:tbl>
      <w:tblPr>
        <w:tblStyle w:val="TableGrid"/>
        <w:tblW w:w="8623" w:type="dxa"/>
        <w:jc w:val="center"/>
        <w:tblInd w:w="0" w:type="dxa"/>
        <w:tblLook w:val="04A0" w:firstRow="1" w:lastRow="0" w:firstColumn="1" w:lastColumn="0" w:noHBand="0" w:noVBand="1"/>
      </w:tblPr>
      <w:tblGrid>
        <w:gridCol w:w="1779"/>
        <w:gridCol w:w="4447"/>
        <w:gridCol w:w="2397"/>
      </w:tblGrid>
      <w:tr w:rsidR="00BE5DAB" w:rsidRPr="00BE5DAB" w14:paraId="470D6B9F" w14:textId="77777777" w:rsidTr="00BE5DAB">
        <w:trPr>
          <w:jc w:val="center"/>
        </w:trPr>
        <w:tc>
          <w:tcPr>
            <w:tcW w:w="1779" w:type="dxa"/>
            <w:tcBorders>
              <w:top w:val="single" w:sz="4" w:space="0" w:color="auto"/>
              <w:left w:val="single" w:sz="4" w:space="0" w:color="auto"/>
              <w:bottom w:val="single" w:sz="4" w:space="0" w:color="auto"/>
              <w:right w:val="single" w:sz="4" w:space="0" w:color="auto"/>
            </w:tcBorders>
            <w:shd w:val="clear" w:color="auto" w:fill="9CC2E5"/>
            <w:hideMark/>
          </w:tcPr>
          <w:p w14:paraId="24475192"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4447" w:type="dxa"/>
            <w:tcBorders>
              <w:top w:val="single" w:sz="4" w:space="0" w:color="auto"/>
              <w:left w:val="single" w:sz="4" w:space="0" w:color="auto"/>
              <w:bottom w:val="single" w:sz="4" w:space="0" w:color="auto"/>
              <w:right w:val="single" w:sz="4" w:space="0" w:color="auto"/>
            </w:tcBorders>
            <w:shd w:val="clear" w:color="auto" w:fill="9CC2E5"/>
            <w:hideMark/>
          </w:tcPr>
          <w:p w14:paraId="5F1118BE"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Influence of Religious/ Political Views on Daily Life</w:t>
            </w:r>
          </w:p>
        </w:tc>
        <w:tc>
          <w:tcPr>
            <w:tcW w:w="2397" w:type="dxa"/>
            <w:tcBorders>
              <w:top w:val="single" w:sz="4" w:space="0" w:color="auto"/>
              <w:left w:val="single" w:sz="4" w:space="0" w:color="auto"/>
              <w:bottom w:val="single" w:sz="4" w:space="0" w:color="auto"/>
              <w:right w:val="single" w:sz="4" w:space="0" w:color="auto"/>
            </w:tcBorders>
            <w:shd w:val="clear" w:color="auto" w:fill="9CC2E5"/>
            <w:hideMark/>
          </w:tcPr>
          <w:p w14:paraId="2DEF0E89"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4A6C1E04" w14:textId="77777777" w:rsidTr="00BE5DAB">
        <w:trPr>
          <w:jc w:val="center"/>
        </w:trPr>
        <w:tc>
          <w:tcPr>
            <w:tcW w:w="1779" w:type="dxa"/>
            <w:tcBorders>
              <w:top w:val="single" w:sz="4" w:space="0" w:color="auto"/>
              <w:left w:val="single" w:sz="4" w:space="0" w:color="auto"/>
              <w:bottom w:val="single" w:sz="4" w:space="0" w:color="auto"/>
              <w:right w:val="single" w:sz="4" w:space="0" w:color="auto"/>
            </w:tcBorders>
            <w:hideMark/>
          </w:tcPr>
          <w:p w14:paraId="68E68209"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1.2%</w:t>
            </w:r>
          </w:p>
        </w:tc>
        <w:tc>
          <w:tcPr>
            <w:tcW w:w="4447" w:type="dxa"/>
            <w:tcBorders>
              <w:top w:val="single" w:sz="4" w:space="0" w:color="auto"/>
              <w:left w:val="single" w:sz="4" w:space="0" w:color="auto"/>
              <w:bottom w:val="single" w:sz="4" w:space="0" w:color="auto"/>
              <w:right w:val="single" w:sz="4" w:space="0" w:color="auto"/>
            </w:tcBorders>
            <w:hideMark/>
          </w:tcPr>
          <w:p w14:paraId="6E1773D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Not Significant</w:t>
            </w:r>
          </w:p>
        </w:tc>
        <w:tc>
          <w:tcPr>
            <w:tcW w:w="2397" w:type="dxa"/>
            <w:tcBorders>
              <w:top w:val="single" w:sz="4" w:space="0" w:color="auto"/>
              <w:left w:val="single" w:sz="4" w:space="0" w:color="auto"/>
              <w:bottom w:val="single" w:sz="4" w:space="0" w:color="auto"/>
              <w:right w:val="single" w:sz="4" w:space="0" w:color="auto"/>
            </w:tcBorders>
            <w:hideMark/>
          </w:tcPr>
          <w:p w14:paraId="14C4513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399AFDE2" w14:textId="77777777" w:rsidTr="00BE5DAB">
        <w:trPr>
          <w:jc w:val="center"/>
        </w:trPr>
        <w:tc>
          <w:tcPr>
            <w:tcW w:w="1779" w:type="dxa"/>
            <w:tcBorders>
              <w:top w:val="single" w:sz="4" w:space="0" w:color="auto"/>
              <w:left w:val="single" w:sz="4" w:space="0" w:color="auto"/>
              <w:bottom w:val="single" w:sz="4" w:space="0" w:color="auto"/>
              <w:right w:val="single" w:sz="4" w:space="0" w:color="auto"/>
            </w:tcBorders>
            <w:hideMark/>
          </w:tcPr>
          <w:p w14:paraId="30C86F6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14%</w:t>
            </w:r>
          </w:p>
        </w:tc>
        <w:tc>
          <w:tcPr>
            <w:tcW w:w="4447" w:type="dxa"/>
            <w:tcBorders>
              <w:top w:val="single" w:sz="4" w:space="0" w:color="auto"/>
              <w:left w:val="single" w:sz="4" w:space="0" w:color="auto"/>
              <w:bottom w:val="single" w:sz="4" w:space="0" w:color="auto"/>
              <w:right w:val="single" w:sz="4" w:space="0" w:color="auto"/>
            </w:tcBorders>
            <w:hideMark/>
          </w:tcPr>
          <w:p w14:paraId="14665DC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Significant</w:t>
            </w:r>
          </w:p>
        </w:tc>
        <w:tc>
          <w:tcPr>
            <w:tcW w:w="2397" w:type="dxa"/>
            <w:tcBorders>
              <w:top w:val="single" w:sz="4" w:space="0" w:color="auto"/>
              <w:left w:val="single" w:sz="4" w:space="0" w:color="auto"/>
              <w:bottom w:val="single" w:sz="4" w:space="0" w:color="auto"/>
              <w:right w:val="single" w:sz="4" w:space="0" w:color="auto"/>
            </w:tcBorders>
            <w:hideMark/>
          </w:tcPr>
          <w:p w14:paraId="36280D8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14 participants</w:t>
            </w:r>
          </w:p>
        </w:tc>
      </w:tr>
      <w:tr w:rsidR="00BE5DAB" w:rsidRPr="00BE5DAB" w14:paraId="557DE9DF" w14:textId="77777777" w:rsidTr="00BE5DAB">
        <w:trPr>
          <w:jc w:val="center"/>
        </w:trPr>
        <w:tc>
          <w:tcPr>
            <w:tcW w:w="1779" w:type="dxa"/>
            <w:tcBorders>
              <w:top w:val="single" w:sz="4" w:space="0" w:color="auto"/>
              <w:left w:val="single" w:sz="4" w:space="0" w:color="auto"/>
              <w:bottom w:val="single" w:sz="4" w:space="0" w:color="auto"/>
              <w:right w:val="single" w:sz="4" w:space="0" w:color="auto"/>
            </w:tcBorders>
            <w:hideMark/>
          </w:tcPr>
          <w:p w14:paraId="0A0A8FC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13%</w:t>
            </w:r>
          </w:p>
        </w:tc>
        <w:tc>
          <w:tcPr>
            <w:tcW w:w="4447" w:type="dxa"/>
            <w:tcBorders>
              <w:top w:val="single" w:sz="4" w:space="0" w:color="auto"/>
              <w:left w:val="single" w:sz="4" w:space="0" w:color="auto"/>
              <w:bottom w:val="single" w:sz="4" w:space="0" w:color="auto"/>
              <w:right w:val="single" w:sz="4" w:space="0" w:color="auto"/>
            </w:tcBorders>
            <w:hideMark/>
          </w:tcPr>
          <w:p w14:paraId="523ACCD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Somewhat Significant</w:t>
            </w:r>
          </w:p>
        </w:tc>
        <w:tc>
          <w:tcPr>
            <w:tcW w:w="2397" w:type="dxa"/>
            <w:tcBorders>
              <w:top w:val="single" w:sz="4" w:space="0" w:color="auto"/>
              <w:left w:val="single" w:sz="4" w:space="0" w:color="auto"/>
              <w:bottom w:val="single" w:sz="4" w:space="0" w:color="auto"/>
              <w:right w:val="single" w:sz="4" w:space="0" w:color="auto"/>
            </w:tcBorders>
            <w:hideMark/>
          </w:tcPr>
          <w:p w14:paraId="34D11E2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13 participants</w:t>
            </w:r>
          </w:p>
        </w:tc>
      </w:tr>
      <w:tr w:rsidR="00BE5DAB" w:rsidRPr="00BE5DAB" w14:paraId="60F410C8" w14:textId="77777777" w:rsidTr="00BE5DAB">
        <w:trPr>
          <w:jc w:val="center"/>
        </w:trPr>
        <w:tc>
          <w:tcPr>
            <w:tcW w:w="1779" w:type="dxa"/>
            <w:tcBorders>
              <w:top w:val="single" w:sz="4" w:space="0" w:color="auto"/>
              <w:left w:val="single" w:sz="4" w:space="0" w:color="auto"/>
              <w:bottom w:val="single" w:sz="4" w:space="0" w:color="auto"/>
              <w:right w:val="single" w:sz="4" w:space="0" w:color="auto"/>
            </w:tcBorders>
            <w:hideMark/>
          </w:tcPr>
          <w:p w14:paraId="5A8202F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18%</w:t>
            </w:r>
          </w:p>
        </w:tc>
        <w:tc>
          <w:tcPr>
            <w:tcW w:w="4447" w:type="dxa"/>
            <w:tcBorders>
              <w:top w:val="single" w:sz="4" w:space="0" w:color="auto"/>
              <w:left w:val="single" w:sz="4" w:space="0" w:color="auto"/>
              <w:bottom w:val="single" w:sz="4" w:space="0" w:color="auto"/>
              <w:right w:val="single" w:sz="4" w:space="0" w:color="auto"/>
            </w:tcBorders>
            <w:hideMark/>
          </w:tcPr>
          <w:p w14:paraId="48B8168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Very Significant</w:t>
            </w:r>
          </w:p>
        </w:tc>
        <w:tc>
          <w:tcPr>
            <w:tcW w:w="2397" w:type="dxa"/>
            <w:tcBorders>
              <w:top w:val="single" w:sz="4" w:space="0" w:color="auto"/>
              <w:left w:val="single" w:sz="4" w:space="0" w:color="auto"/>
              <w:bottom w:val="single" w:sz="4" w:space="0" w:color="auto"/>
              <w:right w:val="single" w:sz="4" w:space="0" w:color="auto"/>
            </w:tcBorders>
            <w:hideMark/>
          </w:tcPr>
          <w:p w14:paraId="5945AC6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18 participants</w:t>
            </w:r>
          </w:p>
        </w:tc>
      </w:tr>
    </w:tbl>
    <w:p w14:paraId="0E34C44B"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195B197C"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rPr>
      </w:pPr>
      <w:r w:rsidRPr="00BE5DAB">
        <w:rPr>
          <w:rFonts w:ascii="Times New Roman" w:eastAsia="Cambria" w:hAnsi="Times New Roman" w:cs="Times New Roman"/>
          <w:b/>
          <w:bCs/>
        </w:rPr>
        <w:t>Figure 4.8: Percentage of Participants Categorised by their Views on Whether Religious and Politics Views Have Influence on their Daily Life</w:t>
      </w:r>
    </w:p>
    <w:p w14:paraId="56ED7247"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Calibri" w:eastAsia="Calibri" w:hAnsi="Calibri" w:cs="Arial"/>
          <w:noProof/>
        </w:rPr>
        <w:drawing>
          <wp:anchor distT="3810" distB="13970" distL="118110" distR="128270" simplePos="0" relativeHeight="251659264" behindDoc="1" locked="0" layoutInCell="1" allowOverlap="1" wp14:anchorId="10843405" wp14:editId="3ACC4FBA">
            <wp:simplePos x="0" y="0"/>
            <wp:positionH relativeFrom="column">
              <wp:posOffset>822325</wp:posOffset>
            </wp:positionH>
            <wp:positionV relativeFrom="paragraph">
              <wp:posOffset>69215</wp:posOffset>
            </wp:positionV>
            <wp:extent cx="4090670" cy="1682750"/>
            <wp:effectExtent l="0" t="0" r="5080" b="0"/>
            <wp:wrapTight wrapText="bothSides">
              <wp:wrapPolygon edited="0">
                <wp:start x="0" y="0"/>
                <wp:lineTo x="0" y="21274"/>
                <wp:lineTo x="21526" y="21274"/>
                <wp:lineTo x="21526" y="0"/>
                <wp:lineTo x="0" y="0"/>
              </wp:wrapPolygon>
            </wp:wrapTight>
            <wp:docPr id="22" name="Chart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hart 8" descr="Chart&#10;&#10;Description automatically generated with medium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90670" cy="1682750"/>
                    </a:xfrm>
                    <a:prstGeom prst="rect">
                      <a:avLst/>
                    </a:prstGeom>
                    <a:noFill/>
                  </pic:spPr>
                </pic:pic>
              </a:graphicData>
            </a:graphic>
            <wp14:sizeRelH relativeFrom="page">
              <wp14:pctWidth>0</wp14:pctWidth>
            </wp14:sizeRelH>
            <wp14:sizeRelV relativeFrom="page">
              <wp14:pctHeight>0</wp14:pctHeight>
            </wp14:sizeRelV>
          </wp:anchor>
        </w:drawing>
      </w:r>
    </w:p>
    <w:p w14:paraId="6E45EB87"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0B697CCD"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68E58788"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488D5C0D"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72112AEC"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17A89586"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397CFDD6"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0B22D183"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51CC4F1A"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26038159"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6F85F232"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00A95138"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Buying Certain Products Frequently by Participants</w:t>
      </w:r>
    </w:p>
    <w:p w14:paraId="7A9D77EE"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whether they buy certain products regularly, and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stated they buy certain products either frequently (14%) or sometimes (23%) as table 4.9 and figure 4.9 show. </w:t>
      </w:r>
    </w:p>
    <w:p w14:paraId="060ED43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01EFC61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4.9: Frequency of Participants Categorized by the Frequency of Buying Certain Products</w:t>
      </w:r>
    </w:p>
    <w:tbl>
      <w:tblPr>
        <w:tblStyle w:val="TableGrid"/>
        <w:tblW w:w="7779" w:type="dxa"/>
        <w:jc w:val="center"/>
        <w:tblInd w:w="0" w:type="dxa"/>
        <w:tblLook w:val="04A0" w:firstRow="1" w:lastRow="0" w:firstColumn="1" w:lastColumn="0" w:noHBand="0" w:noVBand="1"/>
      </w:tblPr>
      <w:tblGrid>
        <w:gridCol w:w="1951"/>
        <w:gridCol w:w="3391"/>
        <w:gridCol w:w="2437"/>
      </w:tblGrid>
      <w:tr w:rsidR="00BE5DAB" w:rsidRPr="00BE5DAB" w14:paraId="487C8D4F" w14:textId="77777777" w:rsidTr="00BE5DAB">
        <w:trPr>
          <w:jc w:val="center"/>
        </w:trPr>
        <w:tc>
          <w:tcPr>
            <w:tcW w:w="1951" w:type="dxa"/>
            <w:tcBorders>
              <w:top w:val="single" w:sz="4" w:space="0" w:color="auto"/>
              <w:left w:val="single" w:sz="4" w:space="0" w:color="auto"/>
              <w:bottom w:val="single" w:sz="4" w:space="0" w:color="auto"/>
              <w:right w:val="single" w:sz="4" w:space="0" w:color="auto"/>
            </w:tcBorders>
            <w:shd w:val="clear" w:color="auto" w:fill="9CC2E5"/>
            <w:hideMark/>
          </w:tcPr>
          <w:p w14:paraId="668FACE8"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3391" w:type="dxa"/>
            <w:tcBorders>
              <w:top w:val="single" w:sz="4" w:space="0" w:color="auto"/>
              <w:left w:val="single" w:sz="4" w:space="0" w:color="auto"/>
              <w:bottom w:val="single" w:sz="4" w:space="0" w:color="auto"/>
              <w:right w:val="single" w:sz="4" w:space="0" w:color="auto"/>
            </w:tcBorders>
            <w:shd w:val="clear" w:color="auto" w:fill="9CC2E5"/>
            <w:hideMark/>
          </w:tcPr>
          <w:p w14:paraId="30E93BD7"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Buying Certain Products Frequently</w:t>
            </w:r>
          </w:p>
        </w:tc>
        <w:tc>
          <w:tcPr>
            <w:tcW w:w="2437" w:type="dxa"/>
            <w:tcBorders>
              <w:top w:val="single" w:sz="4" w:space="0" w:color="auto"/>
              <w:left w:val="single" w:sz="4" w:space="0" w:color="auto"/>
              <w:bottom w:val="single" w:sz="4" w:space="0" w:color="auto"/>
              <w:right w:val="single" w:sz="4" w:space="0" w:color="auto"/>
            </w:tcBorders>
            <w:shd w:val="clear" w:color="auto" w:fill="9CC2E5"/>
            <w:hideMark/>
          </w:tcPr>
          <w:p w14:paraId="7EA985BD"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51A52734" w14:textId="77777777" w:rsidTr="00BE5DAB">
        <w:trPr>
          <w:jc w:val="center"/>
        </w:trPr>
        <w:tc>
          <w:tcPr>
            <w:tcW w:w="1951" w:type="dxa"/>
            <w:tcBorders>
              <w:top w:val="single" w:sz="4" w:space="0" w:color="auto"/>
              <w:left w:val="single" w:sz="4" w:space="0" w:color="auto"/>
              <w:bottom w:val="single" w:sz="4" w:space="0" w:color="auto"/>
              <w:right w:val="single" w:sz="4" w:space="0" w:color="auto"/>
            </w:tcBorders>
            <w:hideMark/>
          </w:tcPr>
          <w:p w14:paraId="6D45EE08"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4.9%</w:t>
            </w:r>
          </w:p>
        </w:tc>
        <w:tc>
          <w:tcPr>
            <w:tcW w:w="3391" w:type="dxa"/>
            <w:tcBorders>
              <w:top w:val="single" w:sz="4" w:space="0" w:color="auto"/>
              <w:left w:val="single" w:sz="4" w:space="0" w:color="auto"/>
              <w:bottom w:val="single" w:sz="4" w:space="0" w:color="auto"/>
              <w:right w:val="single" w:sz="4" w:space="0" w:color="auto"/>
            </w:tcBorders>
            <w:hideMark/>
          </w:tcPr>
          <w:p w14:paraId="2EC99D0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Always</w:t>
            </w:r>
          </w:p>
        </w:tc>
        <w:tc>
          <w:tcPr>
            <w:tcW w:w="2437" w:type="dxa"/>
            <w:tcBorders>
              <w:top w:val="single" w:sz="4" w:space="0" w:color="auto"/>
              <w:left w:val="single" w:sz="4" w:space="0" w:color="auto"/>
              <w:bottom w:val="single" w:sz="4" w:space="0" w:color="auto"/>
              <w:right w:val="single" w:sz="4" w:space="0" w:color="auto"/>
            </w:tcBorders>
            <w:hideMark/>
          </w:tcPr>
          <w:p w14:paraId="079A9DD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6B36F8EC" w14:textId="77777777" w:rsidTr="00BE5DAB">
        <w:trPr>
          <w:jc w:val="center"/>
        </w:trPr>
        <w:tc>
          <w:tcPr>
            <w:tcW w:w="1951" w:type="dxa"/>
            <w:tcBorders>
              <w:top w:val="single" w:sz="4" w:space="0" w:color="auto"/>
              <w:left w:val="single" w:sz="4" w:space="0" w:color="auto"/>
              <w:bottom w:val="single" w:sz="4" w:space="0" w:color="auto"/>
              <w:right w:val="single" w:sz="4" w:space="0" w:color="auto"/>
            </w:tcBorders>
            <w:hideMark/>
          </w:tcPr>
          <w:p w14:paraId="47DDCC4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14%</w:t>
            </w:r>
          </w:p>
        </w:tc>
        <w:tc>
          <w:tcPr>
            <w:tcW w:w="3391" w:type="dxa"/>
            <w:tcBorders>
              <w:top w:val="single" w:sz="4" w:space="0" w:color="auto"/>
              <w:left w:val="single" w:sz="4" w:space="0" w:color="auto"/>
              <w:bottom w:val="single" w:sz="4" w:space="0" w:color="auto"/>
              <w:right w:val="single" w:sz="4" w:space="0" w:color="auto"/>
            </w:tcBorders>
            <w:hideMark/>
          </w:tcPr>
          <w:p w14:paraId="22F2D08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Frequently</w:t>
            </w:r>
          </w:p>
        </w:tc>
        <w:tc>
          <w:tcPr>
            <w:tcW w:w="2437" w:type="dxa"/>
            <w:tcBorders>
              <w:top w:val="single" w:sz="4" w:space="0" w:color="auto"/>
              <w:left w:val="single" w:sz="4" w:space="0" w:color="auto"/>
              <w:bottom w:val="single" w:sz="4" w:space="0" w:color="auto"/>
              <w:right w:val="single" w:sz="4" w:space="0" w:color="auto"/>
            </w:tcBorders>
            <w:hideMark/>
          </w:tcPr>
          <w:p w14:paraId="5837AEB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14 participants</w:t>
            </w:r>
          </w:p>
        </w:tc>
      </w:tr>
      <w:tr w:rsidR="00BE5DAB" w:rsidRPr="00BE5DAB" w14:paraId="7432442C" w14:textId="77777777" w:rsidTr="00BE5DAB">
        <w:trPr>
          <w:jc w:val="center"/>
        </w:trPr>
        <w:tc>
          <w:tcPr>
            <w:tcW w:w="1951" w:type="dxa"/>
            <w:tcBorders>
              <w:top w:val="single" w:sz="4" w:space="0" w:color="auto"/>
              <w:left w:val="single" w:sz="4" w:space="0" w:color="auto"/>
              <w:bottom w:val="single" w:sz="4" w:space="0" w:color="auto"/>
              <w:right w:val="single" w:sz="4" w:space="0" w:color="auto"/>
            </w:tcBorders>
            <w:hideMark/>
          </w:tcPr>
          <w:p w14:paraId="36F8706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5.11%</w:t>
            </w:r>
          </w:p>
        </w:tc>
        <w:tc>
          <w:tcPr>
            <w:tcW w:w="3391" w:type="dxa"/>
            <w:tcBorders>
              <w:top w:val="single" w:sz="4" w:space="0" w:color="auto"/>
              <w:left w:val="single" w:sz="4" w:space="0" w:color="auto"/>
              <w:bottom w:val="single" w:sz="4" w:space="0" w:color="auto"/>
              <w:right w:val="single" w:sz="4" w:space="0" w:color="auto"/>
            </w:tcBorders>
            <w:hideMark/>
          </w:tcPr>
          <w:p w14:paraId="73FC938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Occasionally</w:t>
            </w:r>
          </w:p>
        </w:tc>
        <w:tc>
          <w:tcPr>
            <w:tcW w:w="2437" w:type="dxa"/>
            <w:tcBorders>
              <w:top w:val="single" w:sz="4" w:space="0" w:color="auto"/>
              <w:left w:val="single" w:sz="4" w:space="0" w:color="auto"/>
              <w:bottom w:val="single" w:sz="4" w:space="0" w:color="auto"/>
              <w:right w:val="single" w:sz="4" w:space="0" w:color="auto"/>
            </w:tcBorders>
            <w:hideMark/>
          </w:tcPr>
          <w:p w14:paraId="3BB39A4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5 participants</w:t>
            </w:r>
          </w:p>
        </w:tc>
      </w:tr>
      <w:tr w:rsidR="00BE5DAB" w:rsidRPr="00BE5DAB" w14:paraId="15D081B9" w14:textId="77777777" w:rsidTr="00BE5DAB">
        <w:trPr>
          <w:jc w:val="center"/>
        </w:trPr>
        <w:tc>
          <w:tcPr>
            <w:tcW w:w="1951" w:type="dxa"/>
            <w:tcBorders>
              <w:top w:val="single" w:sz="4" w:space="0" w:color="auto"/>
              <w:left w:val="single" w:sz="4" w:space="0" w:color="auto"/>
              <w:bottom w:val="single" w:sz="4" w:space="0" w:color="auto"/>
              <w:right w:val="single" w:sz="4" w:space="0" w:color="auto"/>
            </w:tcBorders>
            <w:hideMark/>
          </w:tcPr>
          <w:p w14:paraId="476E368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23.5%</w:t>
            </w:r>
          </w:p>
        </w:tc>
        <w:tc>
          <w:tcPr>
            <w:tcW w:w="3391" w:type="dxa"/>
            <w:tcBorders>
              <w:top w:val="single" w:sz="4" w:space="0" w:color="auto"/>
              <w:left w:val="single" w:sz="4" w:space="0" w:color="auto"/>
              <w:bottom w:val="single" w:sz="4" w:space="0" w:color="auto"/>
              <w:right w:val="single" w:sz="4" w:space="0" w:color="auto"/>
            </w:tcBorders>
            <w:hideMark/>
          </w:tcPr>
          <w:p w14:paraId="6A2EE4A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Sometimes</w:t>
            </w:r>
          </w:p>
        </w:tc>
        <w:tc>
          <w:tcPr>
            <w:tcW w:w="2437" w:type="dxa"/>
            <w:tcBorders>
              <w:top w:val="single" w:sz="4" w:space="0" w:color="auto"/>
              <w:left w:val="single" w:sz="4" w:space="0" w:color="auto"/>
              <w:bottom w:val="single" w:sz="4" w:space="0" w:color="auto"/>
              <w:right w:val="single" w:sz="4" w:space="0" w:color="auto"/>
            </w:tcBorders>
            <w:hideMark/>
          </w:tcPr>
          <w:p w14:paraId="240603E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23 participants</w:t>
            </w:r>
          </w:p>
        </w:tc>
      </w:tr>
    </w:tbl>
    <w:p w14:paraId="7B0D50A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p>
    <w:p w14:paraId="48DBE438"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4"/>
          <w:szCs w:val="24"/>
          <w:lang w:eastAsia="en-GB"/>
        </w:rPr>
      </w:pPr>
      <w:r w:rsidRPr="00BE5DAB">
        <w:rPr>
          <w:rFonts w:ascii="Times New Roman" w:eastAsia="Cambria" w:hAnsi="Times New Roman" w:cs="Times New Roman"/>
          <w:b/>
          <w:bCs/>
        </w:rPr>
        <w:t>Figure 4.9: Percentage of Participants Categorized by the Frequency of Buying Certain Products</w:t>
      </w:r>
    </w:p>
    <w:p w14:paraId="36CF122F"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B1B56FB" wp14:editId="72E4AECD">
            <wp:extent cx="3533775" cy="1676400"/>
            <wp:effectExtent l="0" t="0" r="9525" b="0"/>
            <wp:docPr id="10" name="Chart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0" descr="Chart, pie char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533775" cy="1676400"/>
                    </a:xfrm>
                    <a:prstGeom prst="rect">
                      <a:avLst/>
                    </a:prstGeom>
                    <a:noFill/>
                    <a:ln>
                      <a:noFill/>
                    </a:ln>
                  </pic:spPr>
                </pic:pic>
              </a:graphicData>
            </a:graphic>
          </wp:inline>
        </w:drawing>
      </w:r>
    </w:p>
    <w:p w14:paraId="40F966BF"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Reason for Buying Certain Products by Participants</w:t>
      </w:r>
    </w:p>
    <w:p w14:paraId="3AE786C7"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r w:rsidRPr="00BE5DAB">
        <w:rPr>
          <w:rFonts w:ascii="Times New Roman" w:eastAsia="Cambria" w:hAnsi="Times New Roman" w:cs="Times New Roman"/>
          <w:sz w:val="24"/>
          <w:szCs w:val="24"/>
        </w:rPr>
        <w:lastRenderedPageBreak/>
        <w:t xml:space="preserve">The participants were asked to identify the key reason for buying certain products frequently and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them buy products because they are available in the market (see table 4.10 and figure 4.10).</w:t>
      </w:r>
    </w:p>
    <w:p w14:paraId="5F2A4E84"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5131011"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4.10: Frequency of Participants Categorised by Reasons for Buying Certain Products</w:t>
      </w:r>
    </w:p>
    <w:tbl>
      <w:tblPr>
        <w:tblStyle w:val="TableGrid"/>
        <w:tblW w:w="8479" w:type="dxa"/>
        <w:jc w:val="center"/>
        <w:tblInd w:w="0" w:type="dxa"/>
        <w:tblLook w:val="04A0" w:firstRow="1" w:lastRow="0" w:firstColumn="1" w:lastColumn="0" w:noHBand="0" w:noVBand="1"/>
      </w:tblPr>
      <w:tblGrid>
        <w:gridCol w:w="2697"/>
        <w:gridCol w:w="3085"/>
        <w:gridCol w:w="2697"/>
      </w:tblGrid>
      <w:tr w:rsidR="00BE5DAB" w:rsidRPr="00BE5DAB" w14:paraId="7D838FA2" w14:textId="77777777" w:rsidTr="00BE5DAB">
        <w:trPr>
          <w:jc w:val="center"/>
        </w:trPr>
        <w:tc>
          <w:tcPr>
            <w:tcW w:w="2697" w:type="dxa"/>
            <w:tcBorders>
              <w:top w:val="single" w:sz="4" w:space="0" w:color="auto"/>
              <w:left w:val="single" w:sz="4" w:space="0" w:color="auto"/>
              <w:bottom w:val="single" w:sz="4" w:space="0" w:color="auto"/>
              <w:right w:val="single" w:sz="4" w:space="0" w:color="auto"/>
            </w:tcBorders>
            <w:shd w:val="clear" w:color="auto" w:fill="9CC2E5"/>
            <w:hideMark/>
          </w:tcPr>
          <w:p w14:paraId="775C4E83"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3085" w:type="dxa"/>
            <w:tcBorders>
              <w:top w:val="single" w:sz="4" w:space="0" w:color="auto"/>
              <w:left w:val="single" w:sz="4" w:space="0" w:color="auto"/>
              <w:bottom w:val="single" w:sz="4" w:space="0" w:color="auto"/>
              <w:right w:val="single" w:sz="4" w:space="0" w:color="auto"/>
            </w:tcBorders>
            <w:shd w:val="clear" w:color="auto" w:fill="9CC2E5"/>
            <w:hideMark/>
          </w:tcPr>
          <w:p w14:paraId="2B3CFEFD"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Reason for Buying Certain Products</w:t>
            </w:r>
          </w:p>
        </w:tc>
        <w:tc>
          <w:tcPr>
            <w:tcW w:w="2697" w:type="dxa"/>
            <w:tcBorders>
              <w:top w:val="single" w:sz="4" w:space="0" w:color="auto"/>
              <w:left w:val="single" w:sz="4" w:space="0" w:color="auto"/>
              <w:bottom w:val="single" w:sz="4" w:space="0" w:color="auto"/>
              <w:right w:val="single" w:sz="4" w:space="0" w:color="auto"/>
            </w:tcBorders>
            <w:shd w:val="clear" w:color="auto" w:fill="9CC2E5"/>
            <w:hideMark/>
          </w:tcPr>
          <w:p w14:paraId="5E0EEC13"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4D07E6B2" w14:textId="77777777" w:rsidTr="00BE5DAB">
        <w:trPr>
          <w:jc w:val="center"/>
        </w:trPr>
        <w:tc>
          <w:tcPr>
            <w:tcW w:w="2697" w:type="dxa"/>
            <w:tcBorders>
              <w:top w:val="single" w:sz="4" w:space="0" w:color="auto"/>
              <w:left w:val="single" w:sz="4" w:space="0" w:color="auto"/>
              <w:bottom w:val="single" w:sz="4" w:space="0" w:color="auto"/>
              <w:right w:val="single" w:sz="4" w:space="0" w:color="auto"/>
            </w:tcBorders>
            <w:hideMark/>
          </w:tcPr>
          <w:p w14:paraId="3B2A27EC"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30%</w:t>
            </w:r>
          </w:p>
        </w:tc>
        <w:tc>
          <w:tcPr>
            <w:tcW w:w="3085" w:type="dxa"/>
            <w:tcBorders>
              <w:top w:val="single" w:sz="4" w:space="0" w:color="auto"/>
              <w:left w:val="single" w:sz="4" w:space="0" w:color="auto"/>
              <w:bottom w:val="single" w:sz="4" w:space="0" w:color="auto"/>
              <w:right w:val="single" w:sz="4" w:space="0" w:color="auto"/>
            </w:tcBorders>
            <w:hideMark/>
          </w:tcPr>
          <w:p w14:paraId="5B4A5C2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Availability</w:t>
            </w:r>
          </w:p>
        </w:tc>
        <w:tc>
          <w:tcPr>
            <w:tcW w:w="2697" w:type="dxa"/>
            <w:tcBorders>
              <w:top w:val="single" w:sz="4" w:space="0" w:color="auto"/>
              <w:left w:val="single" w:sz="4" w:space="0" w:color="auto"/>
              <w:bottom w:val="single" w:sz="4" w:space="0" w:color="auto"/>
              <w:right w:val="single" w:sz="4" w:space="0" w:color="auto"/>
            </w:tcBorders>
            <w:hideMark/>
          </w:tcPr>
          <w:p w14:paraId="4EBD3E3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30 participants</w:t>
            </w:r>
          </w:p>
        </w:tc>
      </w:tr>
      <w:tr w:rsidR="00BE5DAB" w:rsidRPr="00BE5DAB" w14:paraId="07948B52" w14:textId="77777777" w:rsidTr="00BE5DAB">
        <w:trPr>
          <w:trHeight w:val="210"/>
          <w:jc w:val="center"/>
        </w:trPr>
        <w:tc>
          <w:tcPr>
            <w:tcW w:w="2697" w:type="dxa"/>
            <w:tcBorders>
              <w:top w:val="single" w:sz="4" w:space="0" w:color="auto"/>
              <w:left w:val="single" w:sz="4" w:space="0" w:color="auto"/>
              <w:bottom w:val="single" w:sz="4" w:space="0" w:color="auto"/>
              <w:right w:val="single" w:sz="4" w:space="0" w:color="auto"/>
            </w:tcBorders>
            <w:hideMark/>
          </w:tcPr>
          <w:p w14:paraId="432A0F09"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15%</w:t>
            </w:r>
          </w:p>
        </w:tc>
        <w:tc>
          <w:tcPr>
            <w:tcW w:w="3085" w:type="dxa"/>
            <w:tcBorders>
              <w:top w:val="single" w:sz="4" w:space="0" w:color="auto"/>
              <w:left w:val="single" w:sz="4" w:space="0" w:color="auto"/>
              <w:bottom w:val="single" w:sz="4" w:space="0" w:color="auto"/>
              <w:right w:val="single" w:sz="4" w:space="0" w:color="auto"/>
            </w:tcBorders>
            <w:hideMark/>
          </w:tcPr>
          <w:p w14:paraId="3F8F93F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Loyalty</w:t>
            </w:r>
          </w:p>
        </w:tc>
        <w:tc>
          <w:tcPr>
            <w:tcW w:w="2697" w:type="dxa"/>
            <w:tcBorders>
              <w:top w:val="single" w:sz="4" w:space="0" w:color="auto"/>
              <w:left w:val="single" w:sz="4" w:space="0" w:color="auto"/>
              <w:bottom w:val="single" w:sz="4" w:space="0" w:color="auto"/>
              <w:right w:val="single" w:sz="4" w:space="0" w:color="auto"/>
            </w:tcBorders>
            <w:hideMark/>
          </w:tcPr>
          <w:p w14:paraId="022CB12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15 participants</w:t>
            </w:r>
          </w:p>
        </w:tc>
      </w:tr>
    </w:tbl>
    <w:p w14:paraId="68B18914"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DE4AF40"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4"/>
          <w:szCs w:val="24"/>
        </w:rPr>
      </w:pPr>
      <w:r w:rsidRPr="00BE5DAB">
        <w:rPr>
          <w:rFonts w:ascii="Times New Roman" w:eastAsia="Cambria" w:hAnsi="Times New Roman" w:cs="Times New Roman"/>
          <w:b/>
          <w:bCs/>
        </w:rPr>
        <w:t>Figure 4.10: Percentage of Participants Categorized by Reasons for Buying Certain Products</w:t>
      </w:r>
    </w:p>
    <w:p w14:paraId="492429DA"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A12E396" wp14:editId="51B1C7BC">
            <wp:extent cx="3790950" cy="2133600"/>
            <wp:effectExtent l="0" t="0" r="0" b="0"/>
            <wp:docPr id="11" name="Chart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2" descr="Chart, pie char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790950" cy="2133600"/>
                    </a:xfrm>
                    <a:prstGeom prst="rect">
                      <a:avLst/>
                    </a:prstGeom>
                    <a:noFill/>
                    <a:ln>
                      <a:noFill/>
                    </a:ln>
                  </pic:spPr>
                </pic:pic>
              </a:graphicData>
            </a:graphic>
          </wp:inline>
        </w:drawing>
      </w:r>
    </w:p>
    <w:p w14:paraId="0B6676E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4ED16B2"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Factors for Brand Loyalty</w:t>
      </w:r>
    </w:p>
    <w:p w14:paraId="468C9822"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key factors that play a role in their loyalty. And the key factors that play a role </w:t>
      </w:r>
      <w:proofErr w:type="gramStart"/>
      <w:r w:rsidRPr="00BE5DAB">
        <w:rPr>
          <w:rFonts w:ascii="Times New Roman" w:eastAsia="Cambria" w:hAnsi="Times New Roman" w:cs="Times New Roman"/>
          <w:sz w:val="24"/>
          <w:szCs w:val="24"/>
        </w:rPr>
        <w:t>are:</w:t>
      </w:r>
      <w:proofErr w:type="gramEnd"/>
      <w:r w:rsidRPr="00BE5DAB">
        <w:rPr>
          <w:rFonts w:ascii="Times New Roman" w:eastAsia="Cambria" w:hAnsi="Times New Roman" w:cs="Times New Roman"/>
          <w:sz w:val="24"/>
          <w:szCs w:val="24"/>
        </w:rPr>
        <w:t xml:space="preserve"> the product must be Halal, possess good quality, and taste good (see table 4.11 and figure 4.11).</w:t>
      </w:r>
    </w:p>
    <w:p w14:paraId="1AB538BB"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rPr>
      </w:pPr>
    </w:p>
    <w:p w14:paraId="354E1262"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Table 4.11: Frequency of Participants Categorized by Factors for Brand Loyalty</w:t>
      </w:r>
    </w:p>
    <w:tbl>
      <w:tblPr>
        <w:tblStyle w:val="TableGrid"/>
        <w:tblW w:w="0" w:type="auto"/>
        <w:jc w:val="center"/>
        <w:tblInd w:w="0" w:type="dxa"/>
        <w:tblLook w:val="04A0" w:firstRow="1" w:lastRow="0" w:firstColumn="1" w:lastColumn="0" w:noHBand="0" w:noVBand="1"/>
      </w:tblPr>
      <w:tblGrid>
        <w:gridCol w:w="3085"/>
        <w:gridCol w:w="2697"/>
      </w:tblGrid>
      <w:tr w:rsidR="00BE5DAB" w:rsidRPr="00BE5DAB" w14:paraId="4EB8AD49"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shd w:val="clear" w:color="auto" w:fill="9CC2E5"/>
            <w:hideMark/>
          </w:tcPr>
          <w:p w14:paraId="0F241923" w14:textId="77777777" w:rsidR="00BE5DAB" w:rsidRPr="00BE5DAB" w:rsidRDefault="00BE5DAB" w:rsidP="00BE5DAB">
            <w:pPr>
              <w:autoSpaceDE w:val="0"/>
              <w:autoSpaceDN w:val="0"/>
              <w:jc w:val="center"/>
              <w:rPr>
                <w:rFonts w:ascii="Times New Roman" w:eastAsia="Cambria" w:hAnsi="Times New Roman"/>
                <w:b/>
                <w:bCs/>
              </w:rPr>
            </w:pPr>
            <w:r w:rsidRPr="00BE5DAB">
              <w:rPr>
                <w:rFonts w:ascii="Times New Roman" w:eastAsia="Cambria" w:hAnsi="Times New Roman" w:cs="Arial"/>
                <w:b/>
                <w:bCs/>
              </w:rPr>
              <w:t>Factors for Brand Loyalty</w:t>
            </w:r>
          </w:p>
        </w:tc>
        <w:tc>
          <w:tcPr>
            <w:tcW w:w="2697" w:type="dxa"/>
            <w:tcBorders>
              <w:top w:val="single" w:sz="4" w:space="0" w:color="auto"/>
              <w:left w:val="single" w:sz="4" w:space="0" w:color="auto"/>
              <w:bottom w:val="single" w:sz="4" w:space="0" w:color="auto"/>
              <w:right w:val="single" w:sz="4" w:space="0" w:color="auto"/>
            </w:tcBorders>
            <w:shd w:val="clear" w:color="auto" w:fill="9CC2E5"/>
            <w:hideMark/>
          </w:tcPr>
          <w:p w14:paraId="76E51DE4"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34793766"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1DDCB44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Availability</w:t>
            </w:r>
          </w:p>
        </w:tc>
        <w:tc>
          <w:tcPr>
            <w:tcW w:w="2697" w:type="dxa"/>
            <w:tcBorders>
              <w:top w:val="single" w:sz="4" w:space="0" w:color="auto"/>
              <w:left w:val="single" w:sz="4" w:space="0" w:color="auto"/>
              <w:bottom w:val="single" w:sz="4" w:space="0" w:color="auto"/>
              <w:right w:val="single" w:sz="4" w:space="0" w:color="auto"/>
            </w:tcBorders>
            <w:hideMark/>
          </w:tcPr>
          <w:p w14:paraId="36FD74D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5965D208"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294F1A3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Halal</w:t>
            </w:r>
          </w:p>
        </w:tc>
        <w:tc>
          <w:tcPr>
            <w:tcW w:w="2697" w:type="dxa"/>
            <w:tcBorders>
              <w:top w:val="single" w:sz="4" w:space="0" w:color="auto"/>
              <w:left w:val="single" w:sz="4" w:space="0" w:color="auto"/>
              <w:bottom w:val="single" w:sz="4" w:space="0" w:color="auto"/>
              <w:right w:val="single" w:sz="4" w:space="0" w:color="auto"/>
            </w:tcBorders>
            <w:hideMark/>
          </w:tcPr>
          <w:p w14:paraId="5AADD23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37 participants</w:t>
            </w:r>
          </w:p>
        </w:tc>
      </w:tr>
      <w:tr w:rsidR="00BE5DAB" w:rsidRPr="00BE5DAB" w14:paraId="50A1FF98"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32375F2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Quality</w:t>
            </w:r>
          </w:p>
        </w:tc>
        <w:tc>
          <w:tcPr>
            <w:tcW w:w="2697" w:type="dxa"/>
            <w:tcBorders>
              <w:top w:val="single" w:sz="4" w:space="0" w:color="auto"/>
              <w:left w:val="single" w:sz="4" w:space="0" w:color="auto"/>
              <w:bottom w:val="single" w:sz="4" w:space="0" w:color="auto"/>
              <w:right w:val="single" w:sz="4" w:space="0" w:color="auto"/>
            </w:tcBorders>
            <w:hideMark/>
          </w:tcPr>
          <w:p w14:paraId="1149A09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30 participants</w:t>
            </w:r>
          </w:p>
        </w:tc>
      </w:tr>
      <w:tr w:rsidR="00BE5DAB" w:rsidRPr="00BE5DAB" w14:paraId="1FDACD6D"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71D73C0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Taste</w:t>
            </w:r>
          </w:p>
        </w:tc>
        <w:tc>
          <w:tcPr>
            <w:tcW w:w="2697" w:type="dxa"/>
            <w:tcBorders>
              <w:top w:val="single" w:sz="4" w:space="0" w:color="auto"/>
              <w:left w:val="single" w:sz="4" w:space="0" w:color="auto"/>
              <w:bottom w:val="single" w:sz="4" w:space="0" w:color="auto"/>
              <w:right w:val="single" w:sz="4" w:space="0" w:color="auto"/>
            </w:tcBorders>
            <w:hideMark/>
          </w:tcPr>
          <w:p w14:paraId="692732F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25 participants</w:t>
            </w:r>
          </w:p>
        </w:tc>
      </w:tr>
      <w:tr w:rsidR="00BE5DAB" w:rsidRPr="00BE5DAB" w14:paraId="2961541B"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2807A21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Brand name</w:t>
            </w:r>
          </w:p>
        </w:tc>
        <w:tc>
          <w:tcPr>
            <w:tcW w:w="2697" w:type="dxa"/>
            <w:tcBorders>
              <w:top w:val="single" w:sz="4" w:space="0" w:color="auto"/>
              <w:left w:val="single" w:sz="4" w:space="0" w:color="auto"/>
              <w:bottom w:val="single" w:sz="4" w:space="0" w:color="auto"/>
              <w:right w:val="single" w:sz="4" w:space="0" w:color="auto"/>
            </w:tcBorders>
            <w:hideMark/>
          </w:tcPr>
          <w:p w14:paraId="47E14D5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r w:rsidR="00BE5DAB" w:rsidRPr="00BE5DAB" w14:paraId="6E50EDA4"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15E4648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Promotion</w:t>
            </w:r>
          </w:p>
        </w:tc>
        <w:tc>
          <w:tcPr>
            <w:tcW w:w="2697" w:type="dxa"/>
            <w:tcBorders>
              <w:top w:val="single" w:sz="4" w:space="0" w:color="auto"/>
              <w:left w:val="single" w:sz="4" w:space="0" w:color="auto"/>
              <w:bottom w:val="single" w:sz="4" w:space="0" w:color="auto"/>
              <w:right w:val="single" w:sz="4" w:space="0" w:color="auto"/>
            </w:tcBorders>
            <w:hideMark/>
          </w:tcPr>
          <w:p w14:paraId="75F25FC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075B2FD0" w14:textId="77777777" w:rsidTr="00BE5DAB">
        <w:trPr>
          <w:jc w:val="center"/>
        </w:trPr>
        <w:tc>
          <w:tcPr>
            <w:tcW w:w="3085" w:type="dxa"/>
            <w:tcBorders>
              <w:top w:val="single" w:sz="4" w:space="0" w:color="auto"/>
              <w:left w:val="single" w:sz="4" w:space="0" w:color="auto"/>
              <w:bottom w:val="single" w:sz="4" w:space="0" w:color="auto"/>
              <w:right w:val="single" w:sz="4" w:space="0" w:color="auto"/>
            </w:tcBorders>
            <w:hideMark/>
          </w:tcPr>
          <w:p w14:paraId="31B9AE2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Country of Origin</w:t>
            </w:r>
          </w:p>
        </w:tc>
        <w:tc>
          <w:tcPr>
            <w:tcW w:w="2697" w:type="dxa"/>
            <w:tcBorders>
              <w:top w:val="single" w:sz="4" w:space="0" w:color="auto"/>
              <w:left w:val="single" w:sz="4" w:space="0" w:color="auto"/>
              <w:bottom w:val="single" w:sz="4" w:space="0" w:color="auto"/>
              <w:right w:val="single" w:sz="4" w:space="0" w:color="auto"/>
            </w:tcBorders>
            <w:hideMark/>
          </w:tcPr>
          <w:p w14:paraId="3B5A041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bl>
    <w:p w14:paraId="5045E90C"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50A4AD3"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6E555D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71B2D7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8ABFA9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8B90391"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5CCA988E"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34B7958"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17B052D"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Figure 4.11: Frequency of Participants Categorized by Factors for Brand Loyalty</w:t>
      </w:r>
    </w:p>
    <w:p w14:paraId="478271E1"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lastRenderedPageBreak/>
        <w:drawing>
          <wp:inline distT="0" distB="0" distL="0" distR="0" wp14:anchorId="2C4853C3" wp14:editId="6DC218DC">
            <wp:extent cx="5638800" cy="2009775"/>
            <wp:effectExtent l="0" t="0" r="0" b="9525"/>
            <wp:docPr id="12" name="Chart 1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3" descr="Chart, histo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38800" cy="2009775"/>
                    </a:xfrm>
                    <a:prstGeom prst="rect">
                      <a:avLst/>
                    </a:prstGeom>
                    <a:noFill/>
                    <a:ln>
                      <a:noFill/>
                    </a:ln>
                  </pic:spPr>
                </pic:pic>
              </a:graphicData>
            </a:graphic>
          </wp:inline>
        </w:drawing>
      </w:r>
    </w:p>
    <w:p w14:paraId="7257991B"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5998EE1"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Buying Brands from Country of Origin</w:t>
      </w:r>
    </w:p>
    <w:p w14:paraId="0F0B2123"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were asked to identify whether they are buying certain products regularly from their country of origin or not;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stated that they buy products from their country of origin either occasionally (13%) or sometimes (24%) as table 4.12 and figure 4.12 show. </w:t>
      </w:r>
    </w:p>
    <w:p w14:paraId="3902F58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4193517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Table 4.12: Frequency of Participants Categorized by How Often they Buy Products from Country of Origin</w:t>
      </w:r>
    </w:p>
    <w:tbl>
      <w:tblPr>
        <w:tblStyle w:val="TableGrid"/>
        <w:tblW w:w="9009" w:type="dxa"/>
        <w:jc w:val="center"/>
        <w:tblInd w:w="0" w:type="dxa"/>
        <w:tblLook w:val="04A0" w:firstRow="1" w:lastRow="0" w:firstColumn="1" w:lastColumn="0" w:noHBand="0" w:noVBand="1"/>
      </w:tblPr>
      <w:tblGrid>
        <w:gridCol w:w="2478"/>
        <w:gridCol w:w="4053"/>
        <w:gridCol w:w="2478"/>
      </w:tblGrid>
      <w:tr w:rsidR="00BE5DAB" w:rsidRPr="00BE5DAB" w14:paraId="5AFD986A"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shd w:val="clear" w:color="auto" w:fill="9CC2E5"/>
            <w:hideMark/>
          </w:tcPr>
          <w:p w14:paraId="4BA9B00D"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4053" w:type="dxa"/>
            <w:tcBorders>
              <w:top w:val="single" w:sz="4" w:space="0" w:color="auto"/>
              <w:left w:val="single" w:sz="4" w:space="0" w:color="auto"/>
              <w:bottom w:val="single" w:sz="4" w:space="0" w:color="auto"/>
              <w:right w:val="single" w:sz="4" w:space="0" w:color="auto"/>
            </w:tcBorders>
            <w:shd w:val="clear" w:color="auto" w:fill="9CC2E5"/>
            <w:hideMark/>
          </w:tcPr>
          <w:p w14:paraId="47D3D0CB"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Buying Brands from Country of Origin</w:t>
            </w:r>
          </w:p>
        </w:tc>
        <w:tc>
          <w:tcPr>
            <w:tcW w:w="2478" w:type="dxa"/>
            <w:tcBorders>
              <w:top w:val="single" w:sz="4" w:space="0" w:color="auto"/>
              <w:left w:val="single" w:sz="4" w:space="0" w:color="auto"/>
              <w:bottom w:val="single" w:sz="4" w:space="0" w:color="auto"/>
              <w:right w:val="single" w:sz="4" w:space="0" w:color="auto"/>
            </w:tcBorders>
            <w:shd w:val="clear" w:color="auto" w:fill="9CC2E5"/>
            <w:hideMark/>
          </w:tcPr>
          <w:p w14:paraId="23FDCF1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3F681C03"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hideMark/>
          </w:tcPr>
          <w:p w14:paraId="4DCD0129"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1.2%</w:t>
            </w:r>
          </w:p>
        </w:tc>
        <w:tc>
          <w:tcPr>
            <w:tcW w:w="4053" w:type="dxa"/>
            <w:tcBorders>
              <w:top w:val="single" w:sz="4" w:space="0" w:color="auto"/>
              <w:left w:val="single" w:sz="4" w:space="0" w:color="auto"/>
              <w:bottom w:val="single" w:sz="4" w:space="0" w:color="auto"/>
              <w:right w:val="single" w:sz="4" w:space="0" w:color="auto"/>
            </w:tcBorders>
            <w:hideMark/>
          </w:tcPr>
          <w:p w14:paraId="4CB255E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Almost Never</w:t>
            </w:r>
          </w:p>
        </w:tc>
        <w:tc>
          <w:tcPr>
            <w:tcW w:w="2478" w:type="dxa"/>
            <w:tcBorders>
              <w:top w:val="single" w:sz="4" w:space="0" w:color="auto"/>
              <w:left w:val="single" w:sz="4" w:space="0" w:color="auto"/>
              <w:bottom w:val="single" w:sz="4" w:space="0" w:color="auto"/>
              <w:right w:val="single" w:sz="4" w:space="0" w:color="auto"/>
            </w:tcBorders>
            <w:hideMark/>
          </w:tcPr>
          <w:p w14:paraId="7095D70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0F6C81D7"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hideMark/>
          </w:tcPr>
          <w:p w14:paraId="1807768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6%</w:t>
            </w:r>
          </w:p>
        </w:tc>
        <w:tc>
          <w:tcPr>
            <w:tcW w:w="4053" w:type="dxa"/>
            <w:tcBorders>
              <w:top w:val="single" w:sz="4" w:space="0" w:color="auto"/>
              <w:left w:val="single" w:sz="4" w:space="0" w:color="auto"/>
              <w:bottom w:val="single" w:sz="4" w:space="0" w:color="auto"/>
              <w:right w:val="single" w:sz="4" w:space="0" w:color="auto"/>
            </w:tcBorders>
            <w:hideMark/>
          </w:tcPr>
          <w:p w14:paraId="715B184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Always</w:t>
            </w:r>
          </w:p>
        </w:tc>
        <w:tc>
          <w:tcPr>
            <w:tcW w:w="2478" w:type="dxa"/>
            <w:tcBorders>
              <w:top w:val="single" w:sz="4" w:space="0" w:color="auto"/>
              <w:left w:val="single" w:sz="4" w:space="0" w:color="auto"/>
              <w:bottom w:val="single" w:sz="4" w:space="0" w:color="auto"/>
              <w:right w:val="single" w:sz="4" w:space="0" w:color="auto"/>
            </w:tcBorders>
            <w:hideMark/>
          </w:tcPr>
          <w:p w14:paraId="4EBEF93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6 participants</w:t>
            </w:r>
          </w:p>
        </w:tc>
      </w:tr>
      <w:tr w:rsidR="00BE5DAB" w:rsidRPr="00BE5DAB" w14:paraId="5A89C4C2"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hideMark/>
          </w:tcPr>
          <w:p w14:paraId="50BDBF1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2.5%</w:t>
            </w:r>
          </w:p>
        </w:tc>
        <w:tc>
          <w:tcPr>
            <w:tcW w:w="4053" w:type="dxa"/>
            <w:tcBorders>
              <w:top w:val="single" w:sz="4" w:space="0" w:color="auto"/>
              <w:left w:val="single" w:sz="4" w:space="0" w:color="auto"/>
              <w:bottom w:val="single" w:sz="4" w:space="0" w:color="auto"/>
              <w:right w:val="single" w:sz="4" w:space="0" w:color="auto"/>
            </w:tcBorders>
            <w:hideMark/>
          </w:tcPr>
          <w:p w14:paraId="1A57BE3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Frequently</w:t>
            </w:r>
          </w:p>
        </w:tc>
        <w:tc>
          <w:tcPr>
            <w:tcW w:w="2478" w:type="dxa"/>
            <w:tcBorders>
              <w:top w:val="single" w:sz="4" w:space="0" w:color="auto"/>
              <w:left w:val="single" w:sz="4" w:space="0" w:color="auto"/>
              <w:bottom w:val="single" w:sz="4" w:space="0" w:color="auto"/>
              <w:right w:val="single" w:sz="4" w:space="0" w:color="auto"/>
            </w:tcBorders>
            <w:hideMark/>
          </w:tcPr>
          <w:p w14:paraId="332982C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r w:rsidR="00BE5DAB" w:rsidRPr="00BE5DAB" w14:paraId="7523B343"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hideMark/>
          </w:tcPr>
          <w:p w14:paraId="724E2B7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13.28%</w:t>
            </w:r>
          </w:p>
        </w:tc>
        <w:tc>
          <w:tcPr>
            <w:tcW w:w="4053" w:type="dxa"/>
            <w:tcBorders>
              <w:top w:val="single" w:sz="4" w:space="0" w:color="auto"/>
              <w:left w:val="single" w:sz="4" w:space="0" w:color="auto"/>
              <w:bottom w:val="single" w:sz="4" w:space="0" w:color="auto"/>
              <w:right w:val="single" w:sz="4" w:space="0" w:color="auto"/>
            </w:tcBorders>
            <w:hideMark/>
          </w:tcPr>
          <w:p w14:paraId="3BE6E1D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Occasionally</w:t>
            </w:r>
          </w:p>
        </w:tc>
        <w:tc>
          <w:tcPr>
            <w:tcW w:w="2478" w:type="dxa"/>
            <w:tcBorders>
              <w:top w:val="single" w:sz="4" w:space="0" w:color="auto"/>
              <w:left w:val="single" w:sz="4" w:space="0" w:color="auto"/>
              <w:bottom w:val="single" w:sz="4" w:space="0" w:color="auto"/>
              <w:right w:val="single" w:sz="4" w:space="0" w:color="auto"/>
            </w:tcBorders>
            <w:hideMark/>
          </w:tcPr>
          <w:p w14:paraId="23725B4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13 participants</w:t>
            </w:r>
          </w:p>
        </w:tc>
      </w:tr>
      <w:tr w:rsidR="00BE5DAB" w:rsidRPr="00BE5DAB" w14:paraId="5EA10542" w14:textId="77777777" w:rsidTr="00BE5DAB">
        <w:trPr>
          <w:jc w:val="center"/>
        </w:trPr>
        <w:tc>
          <w:tcPr>
            <w:tcW w:w="2478" w:type="dxa"/>
            <w:tcBorders>
              <w:top w:val="single" w:sz="4" w:space="0" w:color="auto"/>
              <w:left w:val="single" w:sz="4" w:space="0" w:color="auto"/>
              <w:bottom w:val="single" w:sz="4" w:space="0" w:color="auto"/>
              <w:right w:val="single" w:sz="4" w:space="0" w:color="auto"/>
            </w:tcBorders>
            <w:hideMark/>
          </w:tcPr>
          <w:p w14:paraId="75A10BB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24.5%</w:t>
            </w:r>
          </w:p>
        </w:tc>
        <w:tc>
          <w:tcPr>
            <w:tcW w:w="4053" w:type="dxa"/>
            <w:tcBorders>
              <w:top w:val="single" w:sz="4" w:space="0" w:color="auto"/>
              <w:left w:val="single" w:sz="4" w:space="0" w:color="auto"/>
              <w:bottom w:val="single" w:sz="4" w:space="0" w:color="auto"/>
              <w:right w:val="single" w:sz="4" w:space="0" w:color="auto"/>
            </w:tcBorders>
            <w:hideMark/>
          </w:tcPr>
          <w:p w14:paraId="3E4A9D5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Sometimes</w:t>
            </w:r>
          </w:p>
        </w:tc>
        <w:tc>
          <w:tcPr>
            <w:tcW w:w="2478" w:type="dxa"/>
            <w:tcBorders>
              <w:top w:val="single" w:sz="4" w:space="0" w:color="auto"/>
              <w:left w:val="single" w:sz="4" w:space="0" w:color="auto"/>
              <w:bottom w:val="single" w:sz="4" w:space="0" w:color="auto"/>
              <w:right w:val="single" w:sz="4" w:space="0" w:color="auto"/>
            </w:tcBorders>
            <w:hideMark/>
          </w:tcPr>
          <w:p w14:paraId="4F828E7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24 participants</w:t>
            </w:r>
          </w:p>
        </w:tc>
      </w:tr>
    </w:tbl>
    <w:p w14:paraId="6253A97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E9A0B8F"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b/>
          <w:bCs/>
        </w:rPr>
        <w:t>Figure 4.12: Percentage of Participants Categorized by How Often they Buy Products from Country of Origin</w:t>
      </w:r>
    </w:p>
    <w:p w14:paraId="36BA3D0C"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A409287" wp14:editId="2A422062">
            <wp:extent cx="4286250" cy="2514600"/>
            <wp:effectExtent l="0" t="0" r="0" b="0"/>
            <wp:docPr id="13" name="Chart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4" descr="Chart, pie chart&#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286250" cy="2514600"/>
                    </a:xfrm>
                    <a:prstGeom prst="rect">
                      <a:avLst/>
                    </a:prstGeom>
                    <a:noFill/>
                    <a:ln>
                      <a:noFill/>
                    </a:ln>
                  </pic:spPr>
                </pic:pic>
              </a:graphicData>
            </a:graphic>
          </wp:inline>
        </w:drawing>
      </w:r>
    </w:p>
    <w:p w14:paraId="21C4D5D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74D7DB1"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2DBB330"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17601A5"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Buying Brands from Country of Origin</w:t>
      </w:r>
    </w:p>
    <w:p w14:paraId="7729DC2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roofErr w:type="gramStart"/>
      <w:r w:rsidRPr="00BE5DAB">
        <w:rPr>
          <w:rFonts w:ascii="Times New Roman" w:eastAsia="Cambria" w:hAnsi="Times New Roman" w:cs="Times New Roman"/>
          <w:sz w:val="24"/>
          <w:szCs w:val="24"/>
        </w:rPr>
        <w:lastRenderedPageBreak/>
        <w:t>The majority of</w:t>
      </w:r>
      <w:proofErr w:type="gramEnd"/>
      <w:r w:rsidRPr="00BE5DAB">
        <w:rPr>
          <w:rFonts w:ascii="Times New Roman" w:eastAsia="Cambria" w:hAnsi="Times New Roman" w:cs="Times New Roman"/>
          <w:sz w:val="24"/>
          <w:szCs w:val="24"/>
        </w:rPr>
        <w:t xml:space="preserve"> the participants think that switching between products is easy or they have no strong opinion regarding this matter, namely: they do not hold any strong opinions regarding whether they should switch between brands or not (see table 4.13 and figure 4.13). </w:t>
      </w:r>
    </w:p>
    <w:p w14:paraId="1BF07DE5" w14:textId="77777777" w:rsidR="00BE5DAB" w:rsidRPr="00BE5DAB" w:rsidRDefault="00BE5DAB" w:rsidP="00BE5DAB">
      <w:pPr>
        <w:widowControl w:val="0"/>
        <w:autoSpaceDE w:val="0"/>
        <w:autoSpaceDN w:val="0"/>
        <w:spacing w:after="0" w:line="240" w:lineRule="auto"/>
        <w:jc w:val="both"/>
        <w:rPr>
          <w:rFonts w:ascii="Times New Roman" w:eastAsia="Cambria" w:hAnsi="Times New Roman" w:cs="Times New Roman"/>
          <w:sz w:val="24"/>
          <w:szCs w:val="24"/>
        </w:rPr>
      </w:pPr>
    </w:p>
    <w:p w14:paraId="741A820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Table 4.13: Frequency of Participants Categorized by How Easy They Switch Between Brands</w:t>
      </w:r>
    </w:p>
    <w:tbl>
      <w:tblPr>
        <w:tblStyle w:val="TableGrid"/>
        <w:tblW w:w="6917" w:type="dxa"/>
        <w:jc w:val="center"/>
        <w:tblInd w:w="0" w:type="dxa"/>
        <w:tblLook w:val="04A0" w:firstRow="1" w:lastRow="0" w:firstColumn="1" w:lastColumn="0" w:noHBand="0" w:noVBand="1"/>
      </w:tblPr>
      <w:tblGrid>
        <w:gridCol w:w="1732"/>
        <w:gridCol w:w="2843"/>
        <w:gridCol w:w="2342"/>
      </w:tblGrid>
      <w:tr w:rsidR="00BE5DAB" w:rsidRPr="00BE5DAB" w14:paraId="06594C75" w14:textId="77777777" w:rsidTr="00BE5DAB">
        <w:trPr>
          <w:jc w:val="center"/>
        </w:trPr>
        <w:tc>
          <w:tcPr>
            <w:tcW w:w="1732" w:type="dxa"/>
            <w:tcBorders>
              <w:top w:val="single" w:sz="4" w:space="0" w:color="auto"/>
              <w:left w:val="single" w:sz="4" w:space="0" w:color="auto"/>
              <w:bottom w:val="single" w:sz="4" w:space="0" w:color="auto"/>
              <w:right w:val="single" w:sz="4" w:space="0" w:color="auto"/>
            </w:tcBorders>
            <w:shd w:val="clear" w:color="auto" w:fill="9CC2E5"/>
            <w:hideMark/>
          </w:tcPr>
          <w:p w14:paraId="37FBE79E"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2843" w:type="dxa"/>
            <w:tcBorders>
              <w:top w:val="single" w:sz="4" w:space="0" w:color="auto"/>
              <w:left w:val="single" w:sz="4" w:space="0" w:color="auto"/>
              <w:bottom w:val="single" w:sz="4" w:space="0" w:color="auto"/>
              <w:right w:val="single" w:sz="4" w:space="0" w:color="auto"/>
            </w:tcBorders>
            <w:shd w:val="clear" w:color="auto" w:fill="9CC2E5"/>
            <w:hideMark/>
          </w:tcPr>
          <w:p w14:paraId="55F1698B"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Switching Between Brands</w:t>
            </w:r>
          </w:p>
        </w:tc>
        <w:tc>
          <w:tcPr>
            <w:tcW w:w="2342" w:type="dxa"/>
            <w:tcBorders>
              <w:top w:val="single" w:sz="4" w:space="0" w:color="auto"/>
              <w:left w:val="single" w:sz="4" w:space="0" w:color="auto"/>
              <w:bottom w:val="single" w:sz="4" w:space="0" w:color="auto"/>
              <w:right w:val="single" w:sz="4" w:space="0" w:color="auto"/>
            </w:tcBorders>
            <w:shd w:val="clear" w:color="auto" w:fill="9CC2E5"/>
            <w:hideMark/>
          </w:tcPr>
          <w:p w14:paraId="296AEED6"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6D82AE48" w14:textId="77777777" w:rsidTr="00BE5DAB">
        <w:trPr>
          <w:jc w:val="center"/>
        </w:trPr>
        <w:tc>
          <w:tcPr>
            <w:tcW w:w="1732" w:type="dxa"/>
            <w:tcBorders>
              <w:top w:val="single" w:sz="4" w:space="0" w:color="auto"/>
              <w:left w:val="single" w:sz="4" w:space="0" w:color="auto"/>
              <w:bottom w:val="single" w:sz="4" w:space="0" w:color="auto"/>
              <w:right w:val="single" w:sz="4" w:space="0" w:color="auto"/>
            </w:tcBorders>
            <w:hideMark/>
          </w:tcPr>
          <w:p w14:paraId="2AD6C746"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26%</w:t>
            </w:r>
          </w:p>
        </w:tc>
        <w:tc>
          <w:tcPr>
            <w:tcW w:w="2843" w:type="dxa"/>
            <w:tcBorders>
              <w:top w:val="single" w:sz="4" w:space="0" w:color="auto"/>
              <w:left w:val="single" w:sz="4" w:space="0" w:color="auto"/>
              <w:bottom w:val="single" w:sz="4" w:space="0" w:color="auto"/>
              <w:right w:val="single" w:sz="4" w:space="0" w:color="auto"/>
            </w:tcBorders>
            <w:hideMark/>
          </w:tcPr>
          <w:p w14:paraId="0CA786B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Easy</w:t>
            </w:r>
          </w:p>
        </w:tc>
        <w:tc>
          <w:tcPr>
            <w:tcW w:w="2342" w:type="dxa"/>
            <w:tcBorders>
              <w:top w:val="single" w:sz="4" w:space="0" w:color="auto"/>
              <w:left w:val="single" w:sz="4" w:space="0" w:color="auto"/>
              <w:bottom w:val="single" w:sz="4" w:space="0" w:color="auto"/>
              <w:right w:val="single" w:sz="4" w:space="0" w:color="auto"/>
            </w:tcBorders>
            <w:hideMark/>
          </w:tcPr>
          <w:p w14:paraId="11E7325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26 participants</w:t>
            </w:r>
          </w:p>
        </w:tc>
      </w:tr>
      <w:tr w:rsidR="00BE5DAB" w:rsidRPr="00BE5DAB" w14:paraId="780EB824" w14:textId="77777777" w:rsidTr="00BE5DAB">
        <w:trPr>
          <w:jc w:val="center"/>
        </w:trPr>
        <w:tc>
          <w:tcPr>
            <w:tcW w:w="1732" w:type="dxa"/>
            <w:tcBorders>
              <w:top w:val="single" w:sz="4" w:space="0" w:color="auto"/>
              <w:left w:val="single" w:sz="4" w:space="0" w:color="auto"/>
              <w:bottom w:val="single" w:sz="4" w:space="0" w:color="auto"/>
              <w:right w:val="single" w:sz="4" w:space="0" w:color="auto"/>
            </w:tcBorders>
            <w:hideMark/>
          </w:tcPr>
          <w:p w14:paraId="4965045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2.4%</w:t>
            </w:r>
          </w:p>
        </w:tc>
        <w:tc>
          <w:tcPr>
            <w:tcW w:w="2843" w:type="dxa"/>
            <w:tcBorders>
              <w:top w:val="single" w:sz="4" w:space="0" w:color="auto"/>
              <w:left w:val="single" w:sz="4" w:space="0" w:color="auto"/>
              <w:bottom w:val="single" w:sz="4" w:space="0" w:color="auto"/>
              <w:right w:val="single" w:sz="4" w:space="0" w:color="auto"/>
            </w:tcBorders>
            <w:hideMark/>
          </w:tcPr>
          <w:p w14:paraId="4363F43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Extremely Easy</w:t>
            </w:r>
          </w:p>
        </w:tc>
        <w:tc>
          <w:tcPr>
            <w:tcW w:w="2342" w:type="dxa"/>
            <w:tcBorders>
              <w:top w:val="single" w:sz="4" w:space="0" w:color="auto"/>
              <w:left w:val="single" w:sz="4" w:space="0" w:color="auto"/>
              <w:bottom w:val="single" w:sz="4" w:space="0" w:color="auto"/>
              <w:right w:val="single" w:sz="4" w:space="0" w:color="auto"/>
            </w:tcBorders>
            <w:hideMark/>
          </w:tcPr>
          <w:p w14:paraId="6C9DAD5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 participants</w:t>
            </w:r>
          </w:p>
        </w:tc>
      </w:tr>
      <w:tr w:rsidR="00BE5DAB" w:rsidRPr="00BE5DAB" w14:paraId="70271FF8" w14:textId="77777777" w:rsidTr="00BE5DAB">
        <w:trPr>
          <w:jc w:val="center"/>
        </w:trPr>
        <w:tc>
          <w:tcPr>
            <w:tcW w:w="1732" w:type="dxa"/>
            <w:tcBorders>
              <w:top w:val="single" w:sz="4" w:space="0" w:color="auto"/>
              <w:left w:val="single" w:sz="4" w:space="0" w:color="auto"/>
              <w:bottom w:val="single" w:sz="4" w:space="0" w:color="auto"/>
              <w:right w:val="single" w:sz="4" w:space="0" w:color="auto"/>
            </w:tcBorders>
            <w:hideMark/>
          </w:tcPr>
          <w:p w14:paraId="67BB347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8.1%</w:t>
            </w:r>
          </w:p>
        </w:tc>
        <w:tc>
          <w:tcPr>
            <w:tcW w:w="2843" w:type="dxa"/>
            <w:tcBorders>
              <w:top w:val="single" w:sz="4" w:space="0" w:color="auto"/>
              <w:left w:val="single" w:sz="4" w:space="0" w:color="auto"/>
              <w:bottom w:val="single" w:sz="4" w:space="0" w:color="auto"/>
              <w:right w:val="single" w:sz="4" w:space="0" w:color="auto"/>
            </w:tcBorders>
            <w:hideMark/>
          </w:tcPr>
          <w:p w14:paraId="13D7942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Hard</w:t>
            </w:r>
          </w:p>
        </w:tc>
        <w:tc>
          <w:tcPr>
            <w:tcW w:w="2342" w:type="dxa"/>
            <w:tcBorders>
              <w:top w:val="single" w:sz="4" w:space="0" w:color="auto"/>
              <w:left w:val="single" w:sz="4" w:space="0" w:color="auto"/>
              <w:bottom w:val="single" w:sz="4" w:space="0" w:color="auto"/>
              <w:right w:val="single" w:sz="4" w:space="0" w:color="auto"/>
            </w:tcBorders>
            <w:hideMark/>
          </w:tcPr>
          <w:p w14:paraId="505BE32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8 participants</w:t>
            </w:r>
          </w:p>
        </w:tc>
      </w:tr>
      <w:tr w:rsidR="00BE5DAB" w:rsidRPr="00BE5DAB" w14:paraId="0E9D4B7A" w14:textId="77777777" w:rsidTr="00BE5DAB">
        <w:trPr>
          <w:jc w:val="center"/>
        </w:trPr>
        <w:tc>
          <w:tcPr>
            <w:tcW w:w="1732" w:type="dxa"/>
            <w:tcBorders>
              <w:top w:val="single" w:sz="4" w:space="0" w:color="auto"/>
              <w:left w:val="single" w:sz="4" w:space="0" w:color="auto"/>
              <w:bottom w:val="single" w:sz="4" w:space="0" w:color="auto"/>
              <w:right w:val="single" w:sz="4" w:space="0" w:color="auto"/>
            </w:tcBorders>
            <w:hideMark/>
          </w:tcPr>
          <w:p w14:paraId="2802592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10.22%</w:t>
            </w:r>
          </w:p>
        </w:tc>
        <w:tc>
          <w:tcPr>
            <w:tcW w:w="2843" w:type="dxa"/>
            <w:tcBorders>
              <w:top w:val="single" w:sz="4" w:space="0" w:color="auto"/>
              <w:left w:val="single" w:sz="4" w:space="0" w:color="auto"/>
              <w:bottom w:val="single" w:sz="4" w:space="0" w:color="auto"/>
              <w:right w:val="single" w:sz="4" w:space="0" w:color="auto"/>
            </w:tcBorders>
            <w:hideMark/>
          </w:tcPr>
          <w:p w14:paraId="7D22913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Not Hard or Easy</w:t>
            </w:r>
          </w:p>
        </w:tc>
        <w:tc>
          <w:tcPr>
            <w:tcW w:w="2342" w:type="dxa"/>
            <w:tcBorders>
              <w:top w:val="single" w:sz="4" w:space="0" w:color="auto"/>
              <w:left w:val="single" w:sz="4" w:space="0" w:color="auto"/>
              <w:bottom w:val="single" w:sz="4" w:space="0" w:color="auto"/>
              <w:right w:val="single" w:sz="4" w:space="0" w:color="auto"/>
            </w:tcBorders>
            <w:hideMark/>
          </w:tcPr>
          <w:p w14:paraId="3229F4B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10 participants</w:t>
            </w:r>
          </w:p>
        </w:tc>
      </w:tr>
    </w:tbl>
    <w:p w14:paraId="43652FA2"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0"/>
          <w:szCs w:val="20"/>
        </w:rPr>
      </w:pPr>
    </w:p>
    <w:p w14:paraId="1BE1290E"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Figure 4.13: Percentage of Participants Categorized by How Easy they Switch Between Brands</w:t>
      </w:r>
    </w:p>
    <w:p w14:paraId="27F0B157"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45E11330" wp14:editId="66A9EC21">
            <wp:extent cx="4857750" cy="1981200"/>
            <wp:effectExtent l="0" t="0" r="0" b="0"/>
            <wp:docPr id="14" name="Chart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5" descr="Chart, pie char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57750" cy="1981200"/>
                    </a:xfrm>
                    <a:prstGeom prst="rect">
                      <a:avLst/>
                    </a:prstGeom>
                    <a:noFill/>
                    <a:ln>
                      <a:noFill/>
                    </a:ln>
                  </pic:spPr>
                </pic:pic>
              </a:graphicData>
            </a:graphic>
          </wp:inline>
        </w:drawing>
      </w:r>
    </w:p>
    <w:p w14:paraId="57D0135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4840943"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Reasons for Switching Between Brands by Participants</w:t>
      </w:r>
    </w:p>
    <w:p w14:paraId="386442CE"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participants in the study identify the reasons for switching between brands.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can switch between products for two reasons, namely: comfort (18%) and confidence (19%) as table 4.14 and figure 4.14 show.</w:t>
      </w:r>
    </w:p>
    <w:p w14:paraId="7963AF2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00434E9A"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Table 4.14: Frequency of Participants Categorized by Reasons for Switching Between Brands</w:t>
      </w:r>
    </w:p>
    <w:tbl>
      <w:tblPr>
        <w:tblStyle w:val="TableGrid"/>
        <w:tblW w:w="8305" w:type="dxa"/>
        <w:jc w:val="center"/>
        <w:tblInd w:w="0" w:type="dxa"/>
        <w:tblLook w:val="04A0" w:firstRow="1" w:lastRow="0" w:firstColumn="1" w:lastColumn="0" w:noHBand="0" w:noVBand="1"/>
      </w:tblPr>
      <w:tblGrid>
        <w:gridCol w:w="1838"/>
        <w:gridCol w:w="3918"/>
        <w:gridCol w:w="2549"/>
      </w:tblGrid>
      <w:tr w:rsidR="00BE5DAB" w:rsidRPr="00BE5DAB" w14:paraId="0F2359F0"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shd w:val="clear" w:color="auto" w:fill="9CC2E5"/>
            <w:hideMark/>
          </w:tcPr>
          <w:p w14:paraId="312B1EEC"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3918" w:type="dxa"/>
            <w:tcBorders>
              <w:top w:val="single" w:sz="4" w:space="0" w:color="auto"/>
              <w:left w:val="single" w:sz="4" w:space="0" w:color="auto"/>
              <w:bottom w:val="single" w:sz="4" w:space="0" w:color="auto"/>
              <w:right w:val="single" w:sz="4" w:space="0" w:color="auto"/>
            </w:tcBorders>
            <w:shd w:val="clear" w:color="auto" w:fill="9CC2E5"/>
            <w:hideMark/>
          </w:tcPr>
          <w:p w14:paraId="5E4E075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Reasons for Switching Between Brands</w:t>
            </w:r>
          </w:p>
        </w:tc>
        <w:tc>
          <w:tcPr>
            <w:tcW w:w="2549" w:type="dxa"/>
            <w:tcBorders>
              <w:top w:val="single" w:sz="4" w:space="0" w:color="auto"/>
              <w:left w:val="single" w:sz="4" w:space="0" w:color="auto"/>
              <w:bottom w:val="single" w:sz="4" w:space="0" w:color="auto"/>
              <w:right w:val="single" w:sz="4" w:space="0" w:color="auto"/>
            </w:tcBorders>
            <w:shd w:val="clear" w:color="auto" w:fill="9CC2E5"/>
            <w:hideMark/>
          </w:tcPr>
          <w:p w14:paraId="727BB6DE"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5C799BC3"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hideMark/>
          </w:tcPr>
          <w:p w14:paraId="5A3E064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18%</w:t>
            </w:r>
          </w:p>
        </w:tc>
        <w:tc>
          <w:tcPr>
            <w:tcW w:w="3918" w:type="dxa"/>
            <w:tcBorders>
              <w:top w:val="single" w:sz="4" w:space="0" w:color="auto"/>
              <w:left w:val="single" w:sz="4" w:space="0" w:color="auto"/>
              <w:bottom w:val="single" w:sz="4" w:space="0" w:color="auto"/>
              <w:right w:val="single" w:sz="4" w:space="0" w:color="auto"/>
            </w:tcBorders>
            <w:hideMark/>
          </w:tcPr>
          <w:p w14:paraId="1882E30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Comfort</w:t>
            </w:r>
          </w:p>
        </w:tc>
        <w:tc>
          <w:tcPr>
            <w:tcW w:w="2549" w:type="dxa"/>
            <w:tcBorders>
              <w:top w:val="single" w:sz="4" w:space="0" w:color="auto"/>
              <w:left w:val="single" w:sz="4" w:space="0" w:color="auto"/>
              <w:bottom w:val="single" w:sz="4" w:space="0" w:color="auto"/>
              <w:right w:val="single" w:sz="4" w:space="0" w:color="auto"/>
            </w:tcBorders>
            <w:hideMark/>
          </w:tcPr>
          <w:p w14:paraId="704D31B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18 participants</w:t>
            </w:r>
          </w:p>
        </w:tc>
      </w:tr>
      <w:tr w:rsidR="00BE5DAB" w:rsidRPr="00BE5DAB" w14:paraId="3F4F0D96"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hideMark/>
          </w:tcPr>
          <w:p w14:paraId="405976F5"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19%</w:t>
            </w:r>
          </w:p>
        </w:tc>
        <w:tc>
          <w:tcPr>
            <w:tcW w:w="3918" w:type="dxa"/>
            <w:tcBorders>
              <w:top w:val="single" w:sz="4" w:space="0" w:color="auto"/>
              <w:left w:val="single" w:sz="4" w:space="0" w:color="auto"/>
              <w:bottom w:val="single" w:sz="4" w:space="0" w:color="auto"/>
              <w:right w:val="single" w:sz="4" w:space="0" w:color="auto"/>
            </w:tcBorders>
            <w:hideMark/>
          </w:tcPr>
          <w:p w14:paraId="43357D2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Confidence</w:t>
            </w:r>
          </w:p>
        </w:tc>
        <w:tc>
          <w:tcPr>
            <w:tcW w:w="2549" w:type="dxa"/>
            <w:tcBorders>
              <w:top w:val="single" w:sz="4" w:space="0" w:color="auto"/>
              <w:left w:val="single" w:sz="4" w:space="0" w:color="auto"/>
              <w:bottom w:val="single" w:sz="4" w:space="0" w:color="auto"/>
              <w:right w:val="single" w:sz="4" w:space="0" w:color="auto"/>
            </w:tcBorders>
            <w:hideMark/>
          </w:tcPr>
          <w:p w14:paraId="760F2D7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19 participants</w:t>
            </w:r>
          </w:p>
        </w:tc>
      </w:tr>
      <w:tr w:rsidR="00BE5DAB" w:rsidRPr="00BE5DAB" w14:paraId="30CDB8EB"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hideMark/>
          </w:tcPr>
          <w:p w14:paraId="56C8FC8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1.2%</w:t>
            </w:r>
          </w:p>
        </w:tc>
        <w:tc>
          <w:tcPr>
            <w:tcW w:w="3918" w:type="dxa"/>
            <w:tcBorders>
              <w:top w:val="single" w:sz="4" w:space="0" w:color="auto"/>
              <w:left w:val="single" w:sz="4" w:space="0" w:color="auto"/>
              <w:bottom w:val="single" w:sz="4" w:space="0" w:color="auto"/>
              <w:right w:val="single" w:sz="4" w:space="0" w:color="auto"/>
            </w:tcBorders>
            <w:hideMark/>
          </w:tcPr>
          <w:p w14:paraId="778D648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Halal Food</w:t>
            </w:r>
          </w:p>
        </w:tc>
        <w:tc>
          <w:tcPr>
            <w:tcW w:w="2549" w:type="dxa"/>
            <w:tcBorders>
              <w:top w:val="single" w:sz="4" w:space="0" w:color="auto"/>
              <w:left w:val="single" w:sz="4" w:space="0" w:color="auto"/>
              <w:bottom w:val="single" w:sz="4" w:space="0" w:color="auto"/>
              <w:right w:val="single" w:sz="4" w:space="0" w:color="auto"/>
            </w:tcBorders>
            <w:hideMark/>
          </w:tcPr>
          <w:p w14:paraId="06561E1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23F508F9"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hideMark/>
          </w:tcPr>
          <w:p w14:paraId="5F3BD14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1.2%</w:t>
            </w:r>
          </w:p>
        </w:tc>
        <w:tc>
          <w:tcPr>
            <w:tcW w:w="3918" w:type="dxa"/>
            <w:tcBorders>
              <w:top w:val="single" w:sz="4" w:space="0" w:color="auto"/>
              <w:left w:val="single" w:sz="4" w:space="0" w:color="auto"/>
              <w:bottom w:val="single" w:sz="4" w:space="0" w:color="auto"/>
              <w:right w:val="single" w:sz="4" w:space="0" w:color="auto"/>
            </w:tcBorders>
            <w:hideMark/>
          </w:tcPr>
          <w:p w14:paraId="14D9978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Quality</w:t>
            </w:r>
          </w:p>
        </w:tc>
        <w:tc>
          <w:tcPr>
            <w:tcW w:w="2549" w:type="dxa"/>
            <w:tcBorders>
              <w:top w:val="single" w:sz="4" w:space="0" w:color="auto"/>
              <w:left w:val="single" w:sz="4" w:space="0" w:color="auto"/>
              <w:bottom w:val="single" w:sz="4" w:space="0" w:color="auto"/>
              <w:right w:val="single" w:sz="4" w:space="0" w:color="auto"/>
            </w:tcBorders>
            <w:hideMark/>
          </w:tcPr>
          <w:p w14:paraId="7A97932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6295CE91" w14:textId="77777777" w:rsidTr="00BE5DAB">
        <w:trPr>
          <w:jc w:val="center"/>
        </w:trPr>
        <w:tc>
          <w:tcPr>
            <w:tcW w:w="1838" w:type="dxa"/>
            <w:tcBorders>
              <w:top w:val="single" w:sz="4" w:space="0" w:color="auto"/>
              <w:left w:val="single" w:sz="4" w:space="0" w:color="auto"/>
              <w:bottom w:val="single" w:sz="4" w:space="0" w:color="auto"/>
              <w:right w:val="single" w:sz="4" w:space="0" w:color="auto"/>
            </w:tcBorders>
            <w:hideMark/>
          </w:tcPr>
          <w:p w14:paraId="0A660F27" w14:textId="77777777" w:rsidR="00BE5DAB" w:rsidRPr="00BE5DAB" w:rsidRDefault="00BE5DAB" w:rsidP="00BE5DAB">
            <w:pPr>
              <w:autoSpaceDE w:val="0"/>
              <w:autoSpaceDN w:val="0"/>
              <w:jc w:val="center"/>
              <w:rPr>
                <w:rFonts w:ascii="Times New Roman" w:eastAsia="Cambria" w:hAnsi="Times New Roman" w:cs="Arial"/>
                <w:sz w:val="24"/>
                <w:szCs w:val="24"/>
              </w:rPr>
            </w:pPr>
            <w:r w:rsidRPr="00BE5DAB">
              <w:rPr>
                <w:rFonts w:ascii="Times New Roman" w:eastAsia="Cambria" w:hAnsi="Times New Roman" w:cs="Arial"/>
                <w:lang w:val="en-US"/>
              </w:rPr>
              <w:t>5.12%</w:t>
            </w:r>
          </w:p>
        </w:tc>
        <w:tc>
          <w:tcPr>
            <w:tcW w:w="3918" w:type="dxa"/>
            <w:tcBorders>
              <w:top w:val="single" w:sz="4" w:space="0" w:color="auto"/>
              <w:left w:val="single" w:sz="4" w:space="0" w:color="auto"/>
              <w:bottom w:val="single" w:sz="4" w:space="0" w:color="auto"/>
              <w:right w:val="single" w:sz="4" w:space="0" w:color="auto"/>
            </w:tcBorders>
            <w:hideMark/>
          </w:tcPr>
          <w:p w14:paraId="086004B7" w14:textId="77777777" w:rsidR="00BE5DAB" w:rsidRPr="00BE5DAB" w:rsidRDefault="00BE5DAB" w:rsidP="00BE5DAB">
            <w:pPr>
              <w:autoSpaceDE w:val="0"/>
              <w:autoSpaceDN w:val="0"/>
              <w:jc w:val="center"/>
              <w:rPr>
                <w:rFonts w:ascii="Times New Roman" w:eastAsia="Cambria" w:hAnsi="Times New Roman" w:cs="Arial"/>
                <w:sz w:val="24"/>
                <w:szCs w:val="24"/>
              </w:rPr>
            </w:pPr>
            <w:r w:rsidRPr="00BE5DAB">
              <w:rPr>
                <w:rFonts w:ascii="Times New Roman" w:eastAsia="Cambria" w:hAnsi="Times New Roman" w:cs="Arial"/>
                <w:sz w:val="24"/>
                <w:szCs w:val="24"/>
              </w:rPr>
              <w:t>Reassurance</w:t>
            </w:r>
          </w:p>
        </w:tc>
        <w:tc>
          <w:tcPr>
            <w:tcW w:w="2549" w:type="dxa"/>
            <w:tcBorders>
              <w:top w:val="single" w:sz="4" w:space="0" w:color="auto"/>
              <w:left w:val="single" w:sz="4" w:space="0" w:color="auto"/>
              <w:bottom w:val="single" w:sz="4" w:space="0" w:color="auto"/>
              <w:right w:val="single" w:sz="4" w:space="0" w:color="auto"/>
            </w:tcBorders>
            <w:hideMark/>
          </w:tcPr>
          <w:p w14:paraId="66A1A723" w14:textId="77777777" w:rsidR="00BE5DAB" w:rsidRPr="00BE5DAB" w:rsidRDefault="00BE5DAB" w:rsidP="00BE5DAB">
            <w:pPr>
              <w:autoSpaceDE w:val="0"/>
              <w:autoSpaceDN w:val="0"/>
              <w:jc w:val="center"/>
              <w:rPr>
                <w:rFonts w:ascii="Times New Roman" w:eastAsia="Cambria" w:hAnsi="Times New Roman" w:cs="Arial"/>
                <w:sz w:val="24"/>
                <w:szCs w:val="24"/>
              </w:rPr>
            </w:pPr>
            <w:r w:rsidRPr="00BE5DAB">
              <w:rPr>
                <w:rFonts w:ascii="Times New Roman" w:eastAsia="Cambria" w:hAnsi="Times New Roman" w:cs="Arial"/>
                <w:sz w:val="24"/>
                <w:szCs w:val="24"/>
              </w:rPr>
              <w:t>5 participants</w:t>
            </w:r>
          </w:p>
        </w:tc>
      </w:tr>
    </w:tbl>
    <w:p w14:paraId="28227D40"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4E2BBB4B"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EBD0B2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562C2D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8DAB2D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90C978F"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31F298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D89256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116D39A3"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648EBDF"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rPr>
        <w:t>Figure 4.14: Percentage of Participants Categorized by Reasons for Switching Between Brands</w:t>
      </w:r>
    </w:p>
    <w:p w14:paraId="568D92B1"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lastRenderedPageBreak/>
        <w:drawing>
          <wp:inline distT="0" distB="0" distL="0" distR="0" wp14:anchorId="1FD4AA12" wp14:editId="3C8D4696">
            <wp:extent cx="4171950" cy="2343150"/>
            <wp:effectExtent l="0" t="0" r="0" b="0"/>
            <wp:docPr id="15" name="Chart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7" descr="Chart, pie char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171950" cy="2343150"/>
                    </a:xfrm>
                    <a:prstGeom prst="rect">
                      <a:avLst/>
                    </a:prstGeom>
                    <a:noFill/>
                    <a:ln>
                      <a:noFill/>
                    </a:ln>
                  </pic:spPr>
                </pic:pic>
              </a:graphicData>
            </a:graphic>
          </wp:inline>
        </w:drawing>
      </w:r>
    </w:p>
    <w:p w14:paraId="1041717C"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9AB6C14"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 xml:space="preserve">Influence of Family/Friends on Buying Behaviour of Participants </w:t>
      </w:r>
    </w:p>
    <w:p w14:paraId="005E006E"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stated they are influenced by the opinion of their family and friends (27%) as table 4.15 and figure 4.15 show.</w:t>
      </w:r>
    </w:p>
    <w:p w14:paraId="3143222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782E440"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rPr>
      </w:pPr>
      <w:r w:rsidRPr="00BE5DAB">
        <w:rPr>
          <w:rFonts w:ascii="Times New Roman" w:eastAsia="Cambria" w:hAnsi="Times New Roman" w:cs="Times New Roman"/>
          <w:b/>
          <w:bCs/>
        </w:rPr>
        <w:t>Table 4.15: Frequency of Participants Categorized by Reasons for Switching Between Brands</w:t>
      </w:r>
    </w:p>
    <w:tbl>
      <w:tblPr>
        <w:tblStyle w:val="TableGrid"/>
        <w:tblW w:w="8360" w:type="dxa"/>
        <w:jc w:val="center"/>
        <w:tblInd w:w="0" w:type="dxa"/>
        <w:tblLook w:val="04A0" w:firstRow="1" w:lastRow="0" w:firstColumn="1" w:lastColumn="0" w:noHBand="0" w:noVBand="1"/>
      </w:tblPr>
      <w:tblGrid>
        <w:gridCol w:w="1604"/>
        <w:gridCol w:w="4272"/>
        <w:gridCol w:w="2484"/>
      </w:tblGrid>
      <w:tr w:rsidR="00BE5DAB" w:rsidRPr="00BE5DAB" w14:paraId="680FE40D" w14:textId="77777777" w:rsidTr="00BE5DAB">
        <w:trPr>
          <w:jc w:val="center"/>
        </w:trPr>
        <w:tc>
          <w:tcPr>
            <w:tcW w:w="1604" w:type="dxa"/>
            <w:tcBorders>
              <w:top w:val="single" w:sz="4" w:space="0" w:color="auto"/>
              <w:left w:val="single" w:sz="4" w:space="0" w:color="auto"/>
              <w:bottom w:val="single" w:sz="4" w:space="0" w:color="auto"/>
              <w:right w:val="single" w:sz="4" w:space="0" w:color="auto"/>
            </w:tcBorders>
            <w:shd w:val="clear" w:color="auto" w:fill="9CC2E5"/>
            <w:hideMark/>
          </w:tcPr>
          <w:p w14:paraId="737B538C"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4272" w:type="dxa"/>
            <w:tcBorders>
              <w:top w:val="single" w:sz="4" w:space="0" w:color="auto"/>
              <w:left w:val="single" w:sz="4" w:space="0" w:color="auto"/>
              <w:bottom w:val="single" w:sz="4" w:space="0" w:color="auto"/>
              <w:right w:val="single" w:sz="4" w:space="0" w:color="auto"/>
            </w:tcBorders>
            <w:shd w:val="clear" w:color="auto" w:fill="9CC2E5"/>
            <w:hideMark/>
          </w:tcPr>
          <w:p w14:paraId="5D411C11"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Influence of Family/Friends on Buying Behaviour of Participants</w:t>
            </w:r>
          </w:p>
        </w:tc>
        <w:tc>
          <w:tcPr>
            <w:tcW w:w="2484" w:type="dxa"/>
            <w:tcBorders>
              <w:top w:val="single" w:sz="4" w:space="0" w:color="auto"/>
              <w:left w:val="single" w:sz="4" w:space="0" w:color="auto"/>
              <w:bottom w:val="single" w:sz="4" w:space="0" w:color="auto"/>
              <w:right w:val="single" w:sz="4" w:space="0" w:color="auto"/>
            </w:tcBorders>
            <w:shd w:val="clear" w:color="auto" w:fill="9CC2E5"/>
            <w:hideMark/>
          </w:tcPr>
          <w:p w14:paraId="25DE9BE8"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7716925B" w14:textId="77777777" w:rsidTr="00BE5DAB">
        <w:trPr>
          <w:jc w:val="center"/>
        </w:trPr>
        <w:tc>
          <w:tcPr>
            <w:tcW w:w="1604" w:type="dxa"/>
            <w:tcBorders>
              <w:top w:val="single" w:sz="4" w:space="0" w:color="auto"/>
              <w:left w:val="single" w:sz="4" w:space="0" w:color="auto"/>
              <w:bottom w:val="single" w:sz="4" w:space="0" w:color="auto"/>
              <w:right w:val="single" w:sz="4" w:space="0" w:color="auto"/>
            </w:tcBorders>
            <w:hideMark/>
          </w:tcPr>
          <w:p w14:paraId="44ACBF95"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27%</w:t>
            </w:r>
          </w:p>
        </w:tc>
        <w:tc>
          <w:tcPr>
            <w:tcW w:w="4272" w:type="dxa"/>
            <w:tcBorders>
              <w:top w:val="single" w:sz="4" w:space="0" w:color="auto"/>
              <w:left w:val="single" w:sz="4" w:space="0" w:color="auto"/>
              <w:bottom w:val="single" w:sz="4" w:space="0" w:color="auto"/>
              <w:right w:val="single" w:sz="4" w:space="0" w:color="auto"/>
            </w:tcBorders>
            <w:hideMark/>
          </w:tcPr>
          <w:p w14:paraId="323E907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Agree</w:t>
            </w:r>
          </w:p>
        </w:tc>
        <w:tc>
          <w:tcPr>
            <w:tcW w:w="2484" w:type="dxa"/>
            <w:tcBorders>
              <w:top w:val="single" w:sz="4" w:space="0" w:color="auto"/>
              <w:left w:val="single" w:sz="4" w:space="0" w:color="auto"/>
              <w:bottom w:val="single" w:sz="4" w:space="0" w:color="auto"/>
              <w:right w:val="single" w:sz="4" w:space="0" w:color="auto"/>
            </w:tcBorders>
            <w:hideMark/>
          </w:tcPr>
          <w:p w14:paraId="25382CA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27 participants</w:t>
            </w:r>
          </w:p>
        </w:tc>
      </w:tr>
      <w:tr w:rsidR="00BE5DAB" w:rsidRPr="00BE5DAB" w14:paraId="6B45D945" w14:textId="77777777" w:rsidTr="00BE5DAB">
        <w:trPr>
          <w:jc w:val="center"/>
        </w:trPr>
        <w:tc>
          <w:tcPr>
            <w:tcW w:w="1604" w:type="dxa"/>
            <w:tcBorders>
              <w:top w:val="single" w:sz="4" w:space="0" w:color="auto"/>
              <w:left w:val="single" w:sz="4" w:space="0" w:color="auto"/>
              <w:bottom w:val="single" w:sz="4" w:space="0" w:color="auto"/>
              <w:right w:val="single" w:sz="4" w:space="0" w:color="auto"/>
            </w:tcBorders>
            <w:hideMark/>
          </w:tcPr>
          <w:p w14:paraId="37F99F0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14%</w:t>
            </w:r>
          </w:p>
        </w:tc>
        <w:tc>
          <w:tcPr>
            <w:tcW w:w="4272" w:type="dxa"/>
            <w:tcBorders>
              <w:top w:val="single" w:sz="4" w:space="0" w:color="auto"/>
              <w:left w:val="single" w:sz="4" w:space="0" w:color="auto"/>
              <w:bottom w:val="single" w:sz="4" w:space="0" w:color="auto"/>
              <w:right w:val="single" w:sz="4" w:space="0" w:color="auto"/>
            </w:tcBorders>
            <w:hideMark/>
          </w:tcPr>
          <w:p w14:paraId="7E568DA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Disagree</w:t>
            </w:r>
          </w:p>
        </w:tc>
        <w:tc>
          <w:tcPr>
            <w:tcW w:w="2484" w:type="dxa"/>
            <w:tcBorders>
              <w:top w:val="single" w:sz="4" w:space="0" w:color="auto"/>
              <w:left w:val="single" w:sz="4" w:space="0" w:color="auto"/>
              <w:bottom w:val="single" w:sz="4" w:space="0" w:color="auto"/>
              <w:right w:val="single" w:sz="4" w:space="0" w:color="auto"/>
            </w:tcBorders>
            <w:hideMark/>
          </w:tcPr>
          <w:p w14:paraId="5985561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14 participants</w:t>
            </w:r>
          </w:p>
        </w:tc>
      </w:tr>
      <w:tr w:rsidR="00BE5DAB" w:rsidRPr="00BE5DAB" w14:paraId="7C652D51" w14:textId="77777777" w:rsidTr="00BE5DAB">
        <w:trPr>
          <w:jc w:val="center"/>
        </w:trPr>
        <w:tc>
          <w:tcPr>
            <w:tcW w:w="1604" w:type="dxa"/>
            <w:tcBorders>
              <w:top w:val="single" w:sz="4" w:space="0" w:color="auto"/>
              <w:left w:val="single" w:sz="4" w:space="0" w:color="auto"/>
              <w:bottom w:val="single" w:sz="4" w:space="0" w:color="auto"/>
              <w:right w:val="single" w:sz="4" w:space="0" w:color="auto"/>
            </w:tcBorders>
            <w:hideMark/>
          </w:tcPr>
          <w:p w14:paraId="71AD2F7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4.9%</w:t>
            </w:r>
          </w:p>
        </w:tc>
        <w:tc>
          <w:tcPr>
            <w:tcW w:w="4272" w:type="dxa"/>
            <w:tcBorders>
              <w:top w:val="single" w:sz="4" w:space="0" w:color="auto"/>
              <w:left w:val="single" w:sz="4" w:space="0" w:color="auto"/>
              <w:bottom w:val="single" w:sz="4" w:space="0" w:color="auto"/>
              <w:right w:val="single" w:sz="4" w:space="0" w:color="auto"/>
            </w:tcBorders>
            <w:hideMark/>
          </w:tcPr>
          <w:p w14:paraId="1C03BF5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Strongly Agree</w:t>
            </w:r>
          </w:p>
        </w:tc>
        <w:tc>
          <w:tcPr>
            <w:tcW w:w="2484" w:type="dxa"/>
            <w:tcBorders>
              <w:top w:val="single" w:sz="4" w:space="0" w:color="auto"/>
              <w:left w:val="single" w:sz="4" w:space="0" w:color="auto"/>
              <w:bottom w:val="single" w:sz="4" w:space="0" w:color="auto"/>
              <w:right w:val="single" w:sz="4" w:space="0" w:color="auto"/>
            </w:tcBorders>
            <w:hideMark/>
          </w:tcPr>
          <w:p w14:paraId="56CFC92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 participants</w:t>
            </w:r>
          </w:p>
        </w:tc>
      </w:tr>
      <w:tr w:rsidR="00BE5DAB" w:rsidRPr="00BE5DAB" w14:paraId="15C652DE" w14:textId="77777777" w:rsidTr="00BE5DAB">
        <w:trPr>
          <w:jc w:val="center"/>
        </w:trPr>
        <w:tc>
          <w:tcPr>
            <w:tcW w:w="1604" w:type="dxa"/>
            <w:tcBorders>
              <w:top w:val="single" w:sz="4" w:space="0" w:color="auto"/>
              <w:left w:val="single" w:sz="4" w:space="0" w:color="auto"/>
              <w:bottom w:val="single" w:sz="4" w:space="0" w:color="auto"/>
              <w:right w:val="single" w:sz="4" w:space="0" w:color="auto"/>
            </w:tcBorders>
            <w:hideMark/>
          </w:tcPr>
          <w:p w14:paraId="50886D3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1.2%</w:t>
            </w:r>
          </w:p>
        </w:tc>
        <w:tc>
          <w:tcPr>
            <w:tcW w:w="4272" w:type="dxa"/>
            <w:tcBorders>
              <w:top w:val="single" w:sz="4" w:space="0" w:color="auto"/>
              <w:left w:val="single" w:sz="4" w:space="0" w:color="auto"/>
              <w:bottom w:val="single" w:sz="4" w:space="0" w:color="auto"/>
              <w:right w:val="single" w:sz="4" w:space="0" w:color="auto"/>
            </w:tcBorders>
            <w:hideMark/>
          </w:tcPr>
          <w:p w14:paraId="1CD1D8E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Strongly Disagree</w:t>
            </w:r>
          </w:p>
        </w:tc>
        <w:tc>
          <w:tcPr>
            <w:tcW w:w="2484" w:type="dxa"/>
            <w:tcBorders>
              <w:top w:val="single" w:sz="4" w:space="0" w:color="auto"/>
              <w:left w:val="single" w:sz="4" w:space="0" w:color="auto"/>
              <w:bottom w:val="single" w:sz="4" w:space="0" w:color="auto"/>
              <w:right w:val="single" w:sz="4" w:space="0" w:color="auto"/>
            </w:tcBorders>
            <w:hideMark/>
          </w:tcPr>
          <w:p w14:paraId="3979EEA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bl>
    <w:p w14:paraId="7465D753"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p>
    <w:p w14:paraId="020292B4"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4"/>
          <w:szCs w:val="24"/>
        </w:rPr>
      </w:pPr>
      <w:r w:rsidRPr="00BE5DAB">
        <w:rPr>
          <w:rFonts w:ascii="Times New Roman" w:eastAsia="Cambria" w:hAnsi="Times New Roman" w:cs="Times New Roman"/>
          <w:b/>
          <w:bCs/>
        </w:rPr>
        <w:t>Figure 4.15: Percentage of Participants Categorized by Reasons for Switching Between Brands</w:t>
      </w:r>
    </w:p>
    <w:p w14:paraId="37C2A722"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12D9BE5D" wp14:editId="4668AF68">
            <wp:extent cx="4171950" cy="2247900"/>
            <wp:effectExtent l="0" t="0" r="0" b="0"/>
            <wp:docPr id="16" name="Chart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8" descr="Chart, pie char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171950" cy="2247900"/>
                    </a:xfrm>
                    <a:prstGeom prst="rect">
                      <a:avLst/>
                    </a:prstGeom>
                    <a:noFill/>
                    <a:ln>
                      <a:noFill/>
                    </a:ln>
                  </pic:spPr>
                </pic:pic>
              </a:graphicData>
            </a:graphic>
          </wp:inline>
        </w:drawing>
      </w:r>
    </w:p>
    <w:p w14:paraId="41928F7B"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2E974125"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Influence of Living Abroad on Participants’ Buying Habits</w:t>
      </w:r>
    </w:p>
    <w:p w14:paraId="7BAAEBA6"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(76%) think that living abroad did not change their buying habits (see table 4.16 and figure 4.16).</w:t>
      </w:r>
    </w:p>
    <w:p w14:paraId="671F3CE2"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46F946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379DE9C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 xml:space="preserve">Table 4.16: Frequency of Participants Categorized by Whether Living Abroad Influenced Participants’ </w:t>
      </w:r>
      <w:r w:rsidRPr="00BE5DAB">
        <w:rPr>
          <w:rFonts w:ascii="Times New Roman" w:eastAsia="Cambria" w:hAnsi="Times New Roman" w:cs="Times New Roman"/>
          <w:b/>
          <w:bCs/>
          <w:sz w:val="20"/>
          <w:szCs w:val="20"/>
        </w:rPr>
        <w:lastRenderedPageBreak/>
        <w:t>Buying Habits</w:t>
      </w:r>
    </w:p>
    <w:tbl>
      <w:tblPr>
        <w:tblStyle w:val="TableGrid"/>
        <w:tblW w:w="8717" w:type="dxa"/>
        <w:jc w:val="center"/>
        <w:tblInd w:w="0" w:type="dxa"/>
        <w:tblLook w:val="04A0" w:firstRow="1" w:lastRow="0" w:firstColumn="1" w:lastColumn="0" w:noHBand="0" w:noVBand="1"/>
      </w:tblPr>
      <w:tblGrid>
        <w:gridCol w:w="1901"/>
        <w:gridCol w:w="4391"/>
        <w:gridCol w:w="2425"/>
      </w:tblGrid>
      <w:tr w:rsidR="00BE5DAB" w:rsidRPr="00BE5DAB" w14:paraId="642D9688" w14:textId="77777777" w:rsidTr="00BE5DAB">
        <w:trPr>
          <w:jc w:val="center"/>
        </w:trPr>
        <w:tc>
          <w:tcPr>
            <w:tcW w:w="1901" w:type="dxa"/>
            <w:tcBorders>
              <w:top w:val="single" w:sz="4" w:space="0" w:color="auto"/>
              <w:left w:val="single" w:sz="4" w:space="0" w:color="auto"/>
              <w:bottom w:val="single" w:sz="4" w:space="0" w:color="auto"/>
              <w:right w:val="single" w:sz="4" w:space="0" w:color="auto"/>
            </w:tcBorders>
            <w:shd w:val="clear" w:color="auto" w:fill="9CC2E5"/>
            <w:hideMark/>
          </w:tcPr>
          <w:p w14:paraId="401E120B"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4391" w:type="dxa"/>
            <w:tcBorders>
              <w:top w:val="single" w:sz="4" w:space="0" w:color="auto"/>
              <w:left w:val="single" w:sz="4" w:space="0" w:color="auto"/>
              <w:bottom w:val="single" w:sz="4" w:space="0" w:color="auto"/>
              <w:right w:val="single" w:sz="4" w:space="0" w:color="auto"/>
            </w:tcBorders>
            <w:shd w:val="clear" w:color="auto" w:fill="9CC2E5"/>
            <w:hideMark/>
          </w:tcPr>
          <w:p w14:paraId="5CA703EA"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Influence of Living Abroad Changed Participants’ Buying Habits</w:t>
            </w:r>
          </w:p>
        </w:tc>
        <w:tc>
          <w:tcPr>
            <w:tcW w:w="2425" w:type="dxa"/>
            <w:tcBorders>
              <w:top w:val="single" w:sz="4" w:space="0" w:color="auto"/>
              <w:left w:val="single" w:sz="4" w:space="0" w:color="auto"/>
              <w:bottom w:val="single" w:sz="4" w:space="0" w:color="auto"/>
              <w:right w:val="single" w:sz="4" w:space="0" w:color="auto"/>
            </w:tcBorders>
            <w:shd w:val="clear" w:color="auto" w:fill="9CC2E5"/>
            <w:hideMark/>
          </w:tcPr>
          <w:p w14:paraId="0E4E12A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18E791F2" w14:textId="77777777" w:rsidTr="00BE5DAB">
        <w:trPr>
          <w:jc w:val="center"/>
        </w:trPr>
        <w:tc>
          <w:tcPr>
            <w:tcW w:w="1901" w:type="dxa"/>
            <w:tcBorders>
              <w:top w:val="single" w:sz="4" w:space="0" w:color="auto"/>
              <w:left w:val="single" w:sz="4" w:space="0" w:color="auto"/>
              <w:bottom w:val="single" w:sz="4" w:space="0" w:color="auto"/>
              <w:right w:val="single" w:sz="4" w:space="0" w:color="auto"/>
            </w:tcBorders>
            <w:hideMark/>
          </w:tcPr>
          <w:p w14:paraId="43F4DCC3"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24%</w:t>
            </w:r>
          </w:p>
        </w:tc>
        <w:tc>
          <w:tcPr>
            <w:tcW w:w="4391" w:type="dxa"/>
            <w:tcBorders>
              <w:top w:val="single" w:sz="4" w:space="0" w:color="auto"/>
              <w:left w:val="single" w:sz="4" w:space="0" w:color="auto"/>
              <w:bottom w:val="single" w:sz="4" w:space="0" w:color="auto"/>
              <w:right w:val="single" w:sz="4" w:space="0" w:color="auto"/>
            </w:tcBorders>
            <w:hideMark/>
          </w:tcPr>
          <w:p w14:paraId="23C5FA4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Yes</w:t>
            </w:r>
          </w:p>
        </w:tc>
        <w:tc>
          <w:tcPr>
            <w:tcW w:w="2425" w:type="dxa"/>
            <w:tcBorders>
              <w:top w:val="single" w:sz="4" w:space="0" w:color="auto"/>
              <w:left w:val="single" w:sz="4" w:space="0" w:color="auto"/>
              <w:bottom w:val="single" w:sz="4" w:space="0" w:color="auto"/>
              <w:right w:val="single" w:sz="4" w:space="0" w:color="auto"/>
            </w:tcBorders>
            <w:hideMark/>
          </w:tcPr>
          <w:p w14:paraId="7D1E928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11 participants</w:t>
            </w:r>
          </w:p>
        </w:tc>
      </w:tr>
      <w:tr w:rsidR="00BE5DAB" w:rsidRPr="00BE5DAB" w14:paraId="2A4C9E9B" w14:textId="77777777" w:rsidTr="00BE5DAB">
        <w:trPr>
          <w:jc w:val="center"/>
        </w:trPr>
        <w:tc>
          <w:tcPr>
            <w:tcW w:w="1901" w:type="dxa"/>
            <w:tcBorders>
              <w:top w:val="single" w:sz="4" w:space="0" w:color="auto"/>
              <w:left w:val="single" w:sz="4" w:space="0" w:color="auto"/>
              <w:bottom w:val="single" w:sz="4" w:space="0" w:color="auto"/>
              <w:right w:val="single" w:sz="4" w:space="0" w:color="auto"/>
            </w:tcBorders>
            <w:hideMark/>
          </w:tcPr>
          <w:p w14:paraId="06D6A930"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76%</w:t>
            </w:r>
          </w:p>
        </w:tc>
        <w:tc>
          <w:tcPr>
            <w:tcW w:w="4391" w:type="dxa"/>
            <w:tcBorders>
              <w:top w:val="single" w:sz="4" w:space="0" w:color="auto"/>
              <w:left w:val="single" w:sz="4" w:space="0" w:color="auto"/>
              <w:bottom w:val="single" w:sz="4" w:space="0" w:color="auto"/>
              <w:right w:val="single" w:sz="4" w:space="0" w:color="auto"/>
            </w:tcBorders>
            <w:hideMark/>
          </w:tcPr>
          <w:p w14:paraId="742559B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No</w:t>
            </w:r>
          </w:p>
        </w:tc>
        <w:tc>
          <w:tcPr>
            <w:tcW w:w="2425" w:type="dxa"/>
            <w:tcBorders>
              <w:top w:val="single" w:sz="4" w:space="0" w:color="auto"/>
              <w:left w:val="single" w:sz="4" w:space="0" w:color="auto"/>
              <w:bottom w:val="single" w:sz="4" w:space="0" w:color="auto"/>
              <w:right w:val="single" w:sz="4" w:space="0" w:color="auto"/>
            </w:tcBorders>
            <w:hideMark/>
          </w:tcPr>
          <w:p w14:paraId="57EFEC6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34 participants</w:t>
            </w:r>
          </w:p>
        </w:tc>
      </w:tr>
    </w:tbl>
    <w:p w14:paraId="586D77D3"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0"/>
          <w:szCs w:val="20"/>
        </w:rPr>
      </w:pPr>
    </w:p>
    <w:p w14:paraId="7A9AB97B"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Figure 4.16: Percentage of Participants Categorized by Whether Living Abroad Influenced Participants’ Buying Habits</w:t>
      </w:r>
    </w:p>
    <w:p w14:paraId="1CCAB01A"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391DF668" wp14:editId="4D82D483">
            <wp:extent cx="3714750" cy="2152650"/>
            <wp:effectExtent l="0" t="0" r="0" b="0"/>
            <wp:docPr id="17" name="Chart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19" descr="Chart, pie char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714750" cy="2152650"/>
                    </a:xfrm>
                    <a:prstGeom prst="rect">
                      <a:avLst/>
                    </a:prstGeom>
                    <a:noFill/>
                    <a:ln>
                      <a:noFill/>
                    </a:ln>
                  </pic:spPr>
                </pic:pic>
              </a:graphicData>
            </a:graphic>
          </wp:inline>
        </w:drawing>
      </w:r>
    </w:p>
    <w:p w14:paraId="26D2983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825FD0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468ABDD"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Discussion of the Third Section</w:t>
      </w:r>
    </w:p>
    <w:p w14:paraId="1E9631A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It is important to note that consumers are not isolated from the world they live in. Rather, they are part of the world and are affecting the world as it affects them as well. Therefore, it is important to know what sort of issues influence consumer behaviour. The literature shows that political and religious views tend to influence people’s daily lives and choices (Farah and El Samad, 2015). It all depends on the extent to which these views are taken seriously by the beholders. Any international company that enters a new market tends to study this market to identify the issues that may or may not hinder its success in this market. </w:t>
      </w:r>
    </w:p>
    <w:p w14:paraId="02FB8A85"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Most of the participants in this study are influenced by the political/religious views they hold (see table 4.8 and figure 4.8). Therefore, their political views will influence how they behave as consumers. This knowledge is important for brands/companies that are entering London/new area in London, as this knowledge determines whether it is the right decision to enter this new territory or not? And if they enter this market, is it beneficial to highlight the brand’s country of origin or not? - more than one study shows that it is not preferable to identify the brands country of origin if the brand originated in a country that is boycotted by the consumers who exist in the new targeted market (</w:t>
      </w:r>
      <w:proofErr w:type="gramStart"/>
      <w:r w:rsidRPr="00BE5DAB">
        <w:rPr>
          <w:rFonts w:ascii="Times New Roman" w:eastAsia="Cambria" w:hAnsi="Times New Roman" w:cs="Times New Roman"/>
          <w:bCs/>
          <w:sz w:val="24"/>
          <w:szCs w:val="24"/>
          <w:lang w:eastAsia="en-ZW"/>
        </w:rPr>
        <w:t>e.g.</w:t>
      </w:r>
      <w:proofErr w:type="gramEnd"/>
      <w:r w:rsidRPr="00BE5DAB">
        <w:rPr>
          <w:rFonts w:ascii="Times New Roman" w:eastAsia="Cambria" w:hAnsi="Times New Roman" w:cs="Times New Roman"/>
          <w:bCs/>
          <w:sz w:val="24"/>
          <w:szCs w:val="24"/>
          <w:lang w:eastAsia="en-ZW"/>
        </w:rPr>
        <w:t xml:space="preserve"> </w:t>
      </w:r>
      <w:proofErr w:type="spellStart"/>
      <w:r w:rsidRPr="00BE5DAB">
        <w:rPr>
          <w:rFonts w:ascii="Times New Roman" w:eastAsia="Cambria" w:hAnsi="Times New Roman" w:cs="Times New Roman"/>
          <w:bCs/>
          <w:sz w:val="24"/>
          <w:szCs w:val="24"/>
          <w:lang w:eastAsia="en-ZW"/>
        </w:rPr>
        <w:t>Xuehua</w:t>
      </w:r>
      <w:proofErr w:type="spellEnd"/>
      <w:r w:rsidRPr="00BE5DAB">
        <w:rPr>
          <w:rFonts w:ascii="Times New Roman" w:eastAsia="Cambria" w:hAnsi="Times New Roman" w:cs="Times New Roman"/>
          <w:bCs/>
          <w:sz w:val="24"/>
          <w:szCs w:val="24"/>
          <w:lang w:eastAsia="en-ZW"/>
        </w:rPr>
        <w:t xml:space="preserve"> and Zhilin, 2008; </w:t>
      </w:r>
      <w:proofErr w:type="spellStart"/>
      <w:r w:rsidRPr="00BE5DAB">
        <w:rPr>
          <w:rFonts w:ascii="Times New Roman" w:eastAsia="Cambria" w:hAnsi="Times New Roman" w:cs="Times New Roman"/>
          <w:bCs/>
          <w:sz w:val="24"/>
          <w:szCs w:val="24"/>
          <w:lang w:eastAsia="en-ZW"/>
        </w:rPr>
        <w:t>Koschate</w:t>
      </w:r>
      <w:proofErr w:type="spellEnd"/>
      <w:r w:rsidRPr="00BE5DAB">
        <w:rPr>
          <w:rFonts w:ascii="Times New Roman" w:eastAsia="Cambria" w:hAnsi="Times New Roman" w:cs="Times New Roman"/>
          <w:bCs/>
          <w:sz w:val="24"/>
          <w:szCs w:val="24"/>
          <w:lang w:eastAsia="en-ZW"/>
        </w:rPr>
        <w:t xml:space="preserve">-Fischer, 2012). </w:t>
      </w:r>
    </w:p>
    <w:p w14:paraId="06FDC24C"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In terms of whether the participants are buying certain products frequently or not, </w:t>
      </w:r>
      <w:proofErr w:type="gramStart"/>
      <w:r w:rsidRPr="00BE5DAB">
        <w:rPr>
          <w:rFonts w:ascii="Times New Roman" w:eastAsia="Cambria" w:hAnsi="Times New Roman" w:cs="Times New Roman"/>
          <w:bCs/>
          <w:sz w:val="24"/>
          <w:szCs w:val="24"/>
          <w:lang w:eastAsia="en-ZW"/>
        </w:rPr>
        <w:t>the majority of</w:t>
      </w:r>
      <w:proofErr w:type="gramEnd"/>
      <w:r w:rsidRPr="00BE5DAB">
        <w:rPr>
          <w:rFonts w:ascii="Times New Roman" w:eastAsia="Cambria" w:hAnsi="Times New Roman" w:cs="Times New Roman"/>
          <w:bCs/>
          <w:sz w:val="24"/>
          <w:szCs w:val="24"/>
          <w:lang w:eastAsia="en-ZW"/>
        </w:rPr>
        <w:t xml:space="preserve"> them are buying certain products sometimes (not in a frequent manner). However, 18 participants tend to buy products either frequently or always (see table 4.9 and figure 4.9). The </w:t>
      </w:r>
      <w:r w:rsidRPr="00BE5DAB">
        <w:rPr>
          <w:rFonts w:ascii="Times New Roman" w:eastAsia="Cambria" w:hAnsi="Times New Roman" w:cs="Times New Roman"/>
          <w:bCs/>
          <w:sz w:val="24"/>
          <w:szCs w:val="24"/>
          <w:lang w:eastAsia="en-ZW"/>
        </w:rPr>
        <w:lastRenderedPageBreak/>
        <w:t xml:space="preserve">study of Edelman Digital (2010) showed that consumers are more likely to be loyal to the brands they deal with. But the analysis of this study’s primary data shows that most consumers that are 30 years of age or below are buying certain products sometimes without any strong attachments to these products. </w:t>
      </w:r>
    </w:p>
    <w:p w14:paraId="50139702"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When the participants were asked regarding the reasons that lead them to buy certain products, </w:t>
      </w:r>
      <w:proofErr w:type="gramStart"/>
      <w:r w:rsidRPr="00BE5DAB">
        <w:rPr>
          <w:rFonts w:ascii="Times New Roman" w:eastAsia="Cambria" w:hAnsi="Times New Roman" w:cs="Times New Roman"/>
          <w:bCs/>
          <w:sz w:val="24"/>
          <w:szCs w:val="24"/>
          <w:lang w:eastAsia="en-ZW"/>
        </w:rPr>
        <w:t>the majority of</w:t>
      </w:r>
      <w:proofErr w:type="gramEnd"/>
      <w:r w:rsidRPr="00BE5DAB">
        <w:rPr>
          <w:rFonts w:ascii="Times New Roman" w:eastAsia="Cambria" w:hAnsi="Times New Roman" w:cs="Times New Roman"/>
          <w:bCs/>
          <w:sz w:val="24"/>
          <w:szCs w:val="24"/>
          <w:lang w:eastAsia="en-ZW"/>
        </w:rPr>
        <w:t xml:space="preserve"> them stated that the availability of products is the key reason for buying products (see table 4.10 and figure 4.10). This study seeks to identify the reasons that lead Arab consumers to boycott certain brands/companies. Therefore, the spectrum of consumers we are dealing with is Arabs who are allocated in the UK. Therefore, the supply of products that fits the demands of these consumers may not be matched as the supply of these products can be limited to certain cities or even areas within these cities that are within the reach of consumers. Therefore, the availability of certain products allows Arab consumers to explore them </w:t>
      </w:r>
      <w:proofErr w:type="gramStart"/>
      <w:r w:rsidRPr="00BE5DAB">
        <w:rPr>
          <w:rFonts w:ascii="Times New Roman" w:eastAsia="Cambria" w:hAnsi="Times New Roman" w:cs="Times New Roman"/>
          <w:bCs/>
          <w:sz w:val="24"/>
          <w:szCs w:val="24"/>
          <w:lang w:eastAsia="en-ZW"/>
        </w:rPr>
        <w:t>and also</w:t>
      </w:r>
      <w:proofErr w:type="gramEnd"/>
      <w:r w:rsidRPr="00BE5DAB">
        <w:rPr>
          <w:rFonts w:ascii="Times New Roman" w:eastAsia="Cambria" w:hAnsi="Times New Roman" w:cs="Times New Roman"/>
          <w:bCs/>
          <w:sz w:val="24"/>
          <w:szCs w:val="24"/>
          <w:lang w:eastAsia="en-ZW"/>
        </w:rPr>
        <w:t xml:space="preserve"> maintain and frequently buy them.</w:t>
      </w:r>
    </w:p>
    <w:p w14:paraId="1A94F772"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The participants listed the reasons for developing loyalty for certain products; the key reasons that lead the participants to be loyal to certain products </w:t>
      </w:r>
      <w:proofErr w:type="gramStart"/>
      <w:r w:rsidRPr="00BE5DAB">
        <w:rPr>
          <w:rFonts w:ascii="Times New Roman" w:eastAsia="Cambria" w:hAnsi="Times New Roman" w:cs="Times New Roman"/>
          <w:bCs/>
          <w:sz w:val="24"/>
          <w:szCs w:val="24"/>
          <w:lang w:eastAsia="en-ZW"/>
        </w:rPr>
        <w:t>are:</w:t>
      </w:r>
      <w:proofErr w:type="gramEnd"/>
      <w:r w:rsidRPr="00BE5DAB">
        <w:rPr>
          <w:rFonts w:ascii="Times New Roman" w:eastAsia="Cambria" w:hAnsi="Times New Roman" w:cs="Times New Roman"/>
          <w:bCs/>
          <w:sz w:val="24"/>
          <w:szCs w:val="24"/>
          <w:lang w:eastAsia="en-ZW"/>
        </w:rPr>
        <w:t xml:space="preserve"> products must be Halal (follows the food criteria identified by Muslim scholars), the quality is high, and the taste is acceptable (see table 4.11 and figure 4.11). </w:t>
      </w:r>
      <w:proofErr w:type="gramStart"/>
      <w:r w:rsidRPr="00BE5DAB">
        <w:rPr>
          <w:rFonts w:ascii="Times New Roman" w:eastAsia="Cambria" w:hAnsi="Times New Roman" w:cs="Times New Roman"/>
          <w:bCs/>
          <w:sz w:val="24"/>
          <w:szCs w:val="24"/>
          <w:lang w:eastAsia="en-ZW"/>
        </w:rPr>
        <w:t>The majority of</w:t>
      </w:r>
      <w:proofErr w:type="gramEnd"/>
      <w:r w:rsidRPr="00BE5DAB">
        <w:rPr>
          <w:rFonts w:ascii="Times New Roman" w:eastAsia="Cambria" w:hAnsi="Times New Roman" w:cs="Times New Roman"/>
          <w:bCs/>
          <w:sz w:val="24"/>
          <w:szCs w:val="24"/>
          <w:lang w:eastAsia="en-ZW"/>
        </w:rPr>
        <w:t xml:space="preserve"> the participants are Muslims. Therefore, they tend to buy food/drinks that are considered Halal, as they need to eat food that is considered acceptable from the standpoint of Muslims. The study of Razali et al. (2015) and increased demand for Halal food as the Muslim population exists in most countries. This segment of consumers demands different standards of food that match with standards of that match with Islamic food standards.</w:t>
      </w:r>
    </w:p>
    <w:p w14:paraId="5FE57ECB"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When the participants were asked whether they buy products from their country of origin, </w:t>
      </w:r>
      <w:proofErr w:type="gramStart"/>
      <w:r w:rsidRPr="00BE5DAB">
        <w:rPr>
          <w:rFonts w:ascii="Times New Roman" w:eastAsia="Cambria" w:hAnsi="Times New Roman" w:cs="Times New Roman"/>
          <w:bCs/>
          <w:sz w:val="24"/>
          <w:szCs w:val="24"/>
          <w:lang w:eastAsia="en-ZW"/>
        </w:rPr>
        <w:t>the majority of</w:t>
      </w:r>
      <w:proofErr w:type="gramEnd"/>
      <w:r w:rsidRPr="00BE5DAB">
        <w:rPr>
          <w:rFonts w:ascii="Times New Roman" w:eastAsia="Cambria" w:hAnsi="Times New Roman" w:cs="Times New Roman"/>
          <w:bCs/>
          <w:sz w:val="24"/>
          <w:szCs w:val="24"/>
          <w:lang w:eastAsia="en-ZW"/>
        </w:rPr>
        <w:t xml:space="preserve"> them stated they were not attached to products from their country of origin. Only 8 of them highlighted that they </w:t>
      </w:r>
      <w:proofErr w:type="gramStart"/>
      <w:r w:rsidRPr="00BE5DAB">
        <w:rPr>
          <w:rFonts w:ascii="Times New Roman" w:eastAsia="Cambria" w:hAnsi="Times New Roman" w:cs="Times New Roman"/>
          <w:bCs/>
          <w:sz w:val="24"/>
          <w:szCs w:val="24"/>
          <w:lang w:eastAsia="en-ZW"/>
        </w:rPr>
        <w:t>will</w:t>
      </w:r>
      <w:proofErr w:type="gramEnd"/>
      <w:r w:rsidRPr="00BE5DAB">
        <w:rPr>
          <w:rFonts w:ascii="Times New Roman" w:eastAsia="Cambria" w:hAnsi="Times New Roman" w:cs="Times New Roman"/>
          <w:bCs/>
          <w:sz w:val="24"/>
          <w:szCs w:val="24"/>
          <w:lang w:eastAsia="en-ZW"/>
        </w:rPr>
        <w:t xml:space="preserve"> buy products from their country of origin in a frequent manner (see table 4.12 and figure 4.12). Some factors can lead the participants to buy products from the country of origin sometimes or not buying them at all. For instance, the availability of products or the quality of products that are available in the UK market. </w:t>
      </w:r>
    </w:p>
    <w:p w14:paraId="023E1C4C"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When the participants were asked whether it is hard for them to switch between products/brands, eight of them stated that it is hard to switch between products/brands (see table 4.13 and figure 4.13). The participants who stated it is hard for them to switch between brands are all born outside the UK, except for one. All of them identify as Muslims, and six of them are 30 years or older. The participants did not have one specific reason that makes them maintain a loyal relationship for the products they consume (see table 4.14 and figure 4.14). </w:t>
      </w:r>
      <w:r w:rsidRPr="00BE5DAB">
        <w:rPr>
          <w:rFonts w:ascii="Times New Roman" w:eastAsia="Cambria" w:hAnsi="Times New Roman" w:cs="Times New Roman"/>
          <w:bCs/>
          <w:sz w:val="24"/>
          <w:szCs w:val="24"/>
          <w:lang w:eastAsia="en-ZW"/>
        </w:rPr>
        <w:lastRenderedPageBreak/>
        <w:t xml:space="preserve">However, the reasons they give shows a certain level of contentment and satisfaction for the products they buy that make them not willing to switch and risk bad experiences that they may have from other products. </w:t>
      </w:r>
    </w:p>
    <w:p w14:paraId="23D04E54"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 xml:space="preserve">The participants who stated it is hard for them to switch between products stated that they are influenced by their family members/friends. In other words, it is hard for them to switch between products of friends/family members who are happy with the products that are frequently purchased. Additionally, 31 (out of 46) of the participants mentioned that they are influenced by their friends/family members. In other words, consumer behaviour is influenced by friends/family members (see table 4.15 and figure 4.15). </w:t>
      </w:r>
    </w:p>
    <w:p w14:paraId="0959A145" w14:textId="77777777" w:rsidR="00BE5DAB" w:rsidRPr="00BE5DAB" w:rsidRDefault="00BE5DAB" w:rsidP="00BE5DAB">
      <w:pPr>
        <w:autoSpaceDE w:val="0"/>
        <w:autoSpaceDN w:val="0"/>
        <w:spacing w:after="0" w:line="360" w:lineRule="auto"/>
        <w:jc w:val="both"/>
        <w:rPr>
          <w:rFonts w:ascii="Times New Roman" w:eastAsia="Cambria" w:hAnsi="Times New Roman" w:cs="Times New Roman"/>
          <w:bCs/>
          <w:sz w:val="24"/>
          <w:szCs w:val="24"/>
          <w:lang w:eastAsia="en-ZW"/>
        </w:rPr>
      </w:pPr>
      <w:r w:rsidRPr="00BE5DAB">
        <w:rPr>
          <w:rFonts w:ascii="Times New Roman" w:eastAsia="Cambria" w:hAnsi="Times New Roman" w:cs="Times New Roman"/>
          <w:bCs/>
          <w:sz w:val="24"/>
          <w:szCs w:val="24"/>
          <w:lang w:eastAsia="en-ZW"/>
        </w:rPr>
        <w:t>11 out of 46 of the participants mentioned that those living abroad have changed their buying habits (see table 4.16 and figure 4.16). 10 of these participants have been living in the UK for more than three years. This suggests that living abroad makes the transition between products either necessary or easier at least.</w:t>
      </w:r>
    </w:p>
    <w:p w14:paraId="4E8C99C0"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02F331BF"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lang w:val="en-US" w:eastAsia="en-GB"/>
        </w:rPr>
        <w:t>Views of Participants Regarding Key Political and Religious Events</w:t>
      </w:r>
    </w:p>
    <w:p w14:paraId="46C81B71"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b/>
          <w:bCs/>
          <w:sz w:val="24"/>
          <w:szCs w:val="24"/>
          <w:lang w:eastAsia="en-GB"/>
        </w:rPr>
      </w:pPr>
      <w:r w:rsidRPr="00BE5DAB">
        <w:rPr>
          <w:rFonts w:ascii="Times New Roman" w:eastAsia="Cambria" w:hAnsi="Times New Roman" w:cs="Times New Roman"/>
          <w:b/>
          <w:bCs/>
          <w:sz w:val="24"/>
          <w:szCs w:val="24"/>
          <w:lang w:eastAsia="en-GB"/>
        </w:rPr>
        <w:t>Boycotting Brands Before</w:t>
      </w:r>
    </w:p>
    <w:p w14:paraId="05D19A98"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participants (83%) have boycott brands before (see table 4.17 and figure 4.17).</w:t>
      </w:r>
    </w:p>
    <w:p w14:paraId="552469D9"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r w:rsidRPr="00BE5DAB">
        <w:rPr>
          <w:rFonts w:ascii="Times New Roman" w:eastAsia="Cambria" w:hAnsi="Times New Roman" w:cs="Times New Roman"/>
          <w:sz w:val="24"/>
          <w:szCs w:val="24"/>
        </w:rPr>
        <w:tab/>
      </w:r>
    </w:p>
    <w:p w14:paraId="70FD7F3F"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Table 4.17: Frequency of Participants Categorized by Boycotting Participation</w:t>
      </w:r>
      <w:r w:rsidRPr="00BE5DAB">
        <w:rPr>
          <w:rFonts w:ascii="Times New Roman" w:eastAsia="Cambria" w:hAnsi="Times New Roman" w:cs="Times New Roman"/>
          <w:b/>
          <w:bCs/>
          <w:sz w:val="20"/>
          <w:szCs w:val="20"/>
        </w:rPr>
        <w:tab/>
      </w:r>
      <w:r w:rsidRPr="00BE5DAB">
        <w:rPr>
          <w:rFonts w:ascii="Times New Roman" w:eastAsia="Cambria" w:hAnsi="Times New Roman" w:cs="Times New Roman"/>
          <w:b/>
          <w:bCs/>
          <w:sz w:val="20"/>
          <w:szCs w:val="20"/>
        </w:rPr>
        <w:tab/>
      </w:r>
    </w:p>
    <w:tbl>
      <w:tblPr>
        <w:tblStyle w:val="TableGrid"/>
        <w:tblW w:w="7366" w:type="dxa"/>
        <w:jc w:val="center"/>
        <w:tblInd w:w="0" w:type="dxa"/>
        <w:tblLook w:val="04A0" w:firstRow="1" w:lastRow="0" w:firstColumn="1" w:lastColumn="0" w:noHBand="0" w:noVBand="1"/>
      </w:tblPr>
      <w:tblGrid>
        <w:gridCol w:w="1299"/>
        <w:gridCol w:w="3817"/>
        <w:gridCol w:w="2250"/>
      </w:tblGrid>
      <w:tr w:rsidR="00BE5DAB" w:rsidRPr="00BE5DAB" w14:paraId="31FBC93E" w14:textId="77777777" w:rsidTr="00BE5DAB">
        <w:trPr>
          <w:jc w:val="center"/>
        </w:trPr>
        <w:tc>
          <w:tcPr>
            <w:tcW w:w="1299" w:type="dxa"/>
            <w:tcBorders>
              <w:top w:val="single" w:sz="4" w:space="0" w:color="auto"/>
              <w:left w:val="single" w:sz="4" w:space="0" w:color="auto"/>
              <w:bottom w:val="single" w:sz="4" w:space="0" w:color="auto"/>
              <w:right w:val="single" w:sz="4" w:space="0" w:color="auto"/>
            </w:tcBorders>
            <w:shd w:val="clear" w:color="auto" w:fill="9CC2E5"/>
            <w:hideMark/>
          </w:tcPr>
          <w:p w14:paraId="480796C9"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3817" w:type="dxa"/>
            <w:tcBorders>
              <w:top w:val="single" w:sz="4" w:space="0" w:color="auto"/>
              <w:left w:val="single" w:sz="4" w:space="0" w:color="auto"/>
              <w:bottom w:val="single" w:sz="4" w:space="0" w:color="auto"/>
              <w:right w:val="single" w:sz="4" w:space="0" w:color="auto"/>
            </w:tcBorders>
            <w:shd w:val="clear" w:color="auto" w:fill="9CC2E5"/>
            <w:hideMark/>
          </w:tcPr>
          <w:p w14:paraId="66308372"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Have Participants’ Boycott any Brand Before</w:t>
            </w:r>
          </w:p>
        </w:tc>
        <w:tc>
          <w:tcPr>
            <w:tcW w:w="2250" w:type="dxa"/>
            <w:tcBorders>
              <w:top w:val="single" w:sz="4" w:space="0" w:color="auto"/>
              <w:left w:val="single" w:sz="4" w:space="0" w:color="auto"/>
              <w:bottom w:val="single" w:sz="4" w:space="0" w:color="auto"/>
              <w:right w:val="single" w:sz="4" w:space="0" w:color="auto"/>
            </w:tcBorders>
            <w:shd w:val="clear" w:color="auto" w:fill="9CC2E5"/>
            <w:hideMark/>
          </w:tcPr>
          <w:p w14:paraId="6E2F91DD"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6057CDE1" w14:textId="77777777" w:rsidTr="00BE5DAB">
        <w:trPr>
          <w:jc w:val="center"/>
        </w:trPr>
        <w:tc>
          <w:tcPr>
            <w:tcW w:w="1299" w:type="dxa"/>
            <w:tcBorders>
              <w:top w:val="single" w:sz="4" w:space="0" w:color="auto"/>
              <w:left w:val="single" w:sz="4" w:space="0" w:color="auto"/>
              <w:bottom w:val="single" w:sz="4" w:space="0" w:color="auto"/>
              <w:right w:val="single" w:sz="4" w:space="0" w:color="auto"/>
            </w:tcBorders>
            <w:hideMark/>
          </w:tcPr>
          <w:p w14:paraId="2364100A"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83%</w:t>
            </w:r>
          </w:p>
        </w:tc>
        <w:tc>
          <w:tcPr>
            <w:tcW w:w="3817" w:type="dxa"/>
            <w:tcBorders>
              <w:top w:val="single" w:sz="4" w:space="0" w:color="auto"/>
              <w:left w:val="single" w:sz="4" w:space="0" w:color="auto"/>
              <w:bottom w:val="single" w:sz="4" w:space="0" w:color="auto"/>
              <w:right w:val="single" w:sz="4" w:space="0" w:color="auto"/>
            </w:tcBorders>
            <w:hideMark/>
          </w:tcPr>
          <w:p w14:paraId="50C8122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Yes</w:t>
            </w:r>
          </w:p>
        </w:tc>
        <w:tc>
          <w:tcPr>
            <w:tcW w:w="2250" w:type="dxa"/>
            <w:tcBorders>
              <w:top w:val="single" w:sz="4" w:space="0" w:color="auto"/>
              <w:left w:val="single" w:sz="4" w:space="0" w:color="auto"/>
              <w:bottom w:val="single" w:sz="4" w:space="0" w:color="auto"/>
              <w:right w:val="single" w:sz="4" w:space="0" w:color="auto"/>
            </w:tcBorders>
            <w:hideMark/>
          </w:tcPr>
          <w:p w14:paraId="266DE0D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38 participants</w:t>
            </w:r>
          </w:p>
        </w:tc>
      </w:tr>
      <w:tr w:rsidR="00BE5DAB" w:rsidRPr="00BE5DAB" w14:paraId="22B8F507" w14:textId="77777777" w:rsidTr="00BE5DAB">
        <w:trPr>
          <w:jc w:val="center"/>
        </w:trPr>
        <w:tc>
          <w:tcPr>
            <w:tcW w:w="1299" w:type="dxa"/>
            <w:tcBorders>
              <w:top w:val="single" w:sz="4" w:space="0" w:color="auto"/>
              <w:left w:val="single" w:sz="4" w:space="0" w:color="auto"/>
              <w:bottom w:val="single" w:sz="4" w:space="0" w:color="auto"/>
              <w:right w:val="single" w:sz="4" w:space="0" w:color="auto"/>
            </w:tcBorders>
            <w:hideMark/>
          </w:tcPr>
          <w:p w14:paraId="238223E8"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17%</w:t>
            </w:r>
          </w:p>
        </w:tc>
        <w:tc>
          <w:tcPr>
            <w:tcW w:w="3817" w:type="dxa"/>
            <w:tcBorders>
              <w:top w:val="single" w:sz="4" w:space="0" w:color="auto"/>
              <w:left w:val="single" w:sz="4" w:space="0" w:color="auto"/>
              <w:bottom w:val="single" w:sz="4" w:space="0" w:color="auto"/>
              <w:right w:val="single" w:sz="4" w:space="0" w:color="auto"/>
            </w:tcBorders>
            <w:hideMark/>
          </w:tcPr>
          <w:p w14:paraId="52A835B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No</w:t>
            </w:r>
          </w:p>
        </w:tc>
        <w:tc>
          <w:tcPr>
            <w:tcW w:w="2250" w:type="dxa"/>
            <w:tcBorders>
              <w:top w:val="single" w:sz="4" w:space="0" w:color="auto"/>
              <w:left w:val="single" w:sz="4" w:space="0" w:color="auto"/>
              <w:bottom w:val="single" w:sz="4" w:space="0" w:color="auto"/>
              <w:right w:val="single" w:sz="4" w:space="0" w:color="auto"/>
            </w:tcBorders>
            <w:hideMark/>
          </w:tcPr>
          <w:p w14:paraId="1A21EE2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8 participants</w:t>
            </w:r>
          </w:p>
        </w:tc>
      </w:tr>
    </w:tbl>
    <w:p w14:paraId="2C9CD83F"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p>
    <w:p w14:paraId="1820C66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rPr>
      </w:pPr>
      <w:r w:rsidRPr="00BE5DAB">
        <w:rPr>
          <w:rFonts w:ascii="Times New Roman" w:eastAsia="Cambria" w:hAnsi="Times New Roman" w:cs="Times New Roman"/>
          <w:b/>
          <w:bCs/>
          <w:sz w:val="20"/>
          <w:szCs w:val="20"/>
        </w:rPr>
        <w:t>Figure 4.17: Percentage of Participants Categorized by Boycotting Participation</w:t>
      </w:r>
      <w:r w:rsidRPr="00BE5DAB">
        <w:rPr>
          <w:rFonts w:ascii="Times New Roman" w:eastAsia="Cambria" w:hAnsi="Times New Roman" w:cs="Times New Roman"/>
          <w:b/>
          <w:bCs/>
          <w:sz w:val="20"/>
          <w:szCs w:val="20"/>
        </w:rPr>
        <w:tab/>
      </w:r>
      <w:r w:rsidRPr="00BE5DAB">
        <w:rPr>
          <w:rFonts w:ascii="Times New Roman" w:eastAsia="Cambria" w:hAnsi="Times New Roman" w:cs="Times New Roman"/>
          <w:b/>
          <w:bCs/>
        </w:rPr>
        <w:tab/>
      </w:r>
    </w:p>
    <w:p w14:paraId="3C6804E8"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2F1F9289" wp14:editId="69456FA7">
            <wp:extent cx="2857500" cy="1514475"/>
            <wp:effectExtent l="0" t="0" r="0" b="9525"/>
            <wp:docPr id="18" name="Chart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20" descr="Chart, pie chart&#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57500" cy="1514475"/>
                    </a:xfrm>
                    <a:prstGeom prst="rect">
                      <a:avLst/>
                    </a:prstGeom>
                    <a:noFill/>
                    <a:ln>
                      <a:noFill/>
                    </a:ln>
                  </pic:spPr>
                </pic:pic>
              </a:graphicData>
            </a:graphic>
          </wp:inline>
        </w:drawing>
      </w:r>
    </w:p>
    <w:p w14:paraId="7D91078D"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p>
    <w:p w14:paraId="3FDBB32B"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Reasons for Boycotting Certain Brands</w:t>
      </w:r>
    </w:p>
    <w:p w14:paraId="6A7557B4"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r w:rsidRPr="00BE5DAB">
        <w:rPr>
          <w:rFonts w:ascii="Times New Roman" w:eastAsia="Cambria" w:hAnsi="Times New Roman" w:cs="Times New Roman"/>
          <w:sz w:val="24"/>
          <w:szCs w:val="24"/>
        </w:rPr>
        <w:t>The participants identify the reasons that lead them to boycott certain brands. The two key reasons that may lead participants to boycott are war and politics (see table 4.18 and figure 4.18).</w:t>
      </w:r>
    </w:p>
    <w:p w14:paraId="32B2817D"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Table 4.18: Frequency of Participants Categorized by Reasons for Boycotting a Brand</w:t>
      </w:r>
    </w:p>
    <w:tbl>
      <w:tblPr>
        <w:tblStyle w:val="TableGrid"/>
        <w:tblW w:w="8548" w:type="dxa"/>
        <w:jc w:val="center"/>
        <w:tblInd w:w="0" w:type="dxa"/>
        <w:tblLook w:val="04A0" w:firstRow="1" w:lastRow="0" w:firstColumn="1" w:lastColumn="0" w:noHBand="0" w:noVBand="1"/>
      </w:tblPr>
      <w:tblGrid>
        <w:gridCol w:w="2019"/>
        <w:gridCol w:w="3817"/>
        <w:gridCol w:w="2712"/>
      </w:tblGrid>
      <w:tr w:rsidR="00BE5DAB" w:rsidRPr="00BE5DAB" w14:paraId="62B23FC5"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shd w:val="clear" w:color="auto" w:fill="9CC2E5"/>
            <w:hideMark/>
          </w:tcPr>
          <w:p w14:paraId="051E5DDF"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lastRenderedPageBreak/>
              <w:t>Percentage</w:t>
            </w:r>
          </w:p>
        </w:tc>
        <w:tc>
          <w:tcPr>
            <w:tcW w:w="3817" w:type="dxa"/>
            <w:tcBorders>
              <w:top w:val="single" w:sz="4" w:space="0" w:color="auto"/>
              <w:left w:val="single" w:sz="4" w:space="0" w:color="auto"/>
              <w:bottom w:val="single" w:sz="4" w:space="0" w:color="auto"/>
              <w:right w:val="single" w:sz="4" w:space="0" w:color="auto"/>
            </w:tcBorders>
            <w:shd w:val="clear" w:color="auto" w:fill="9CC2E5"/>
            <w:hideMark/>
          </w:tcPr>
          <w:p w14:paraId="7903F618"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Reasons for Boycotting a Brand</w:t>
            </w:r>
          </w:p>
        </w:tc>
        <w:tc>
          <w:tcPr>
            <w:tcW w:w="2712" w:type="dxa"/>
            <w:tcBorders>
              <w:top w:val="single" w:sz="4" w:space="0" w:color="auto"/>
              <w:left w:val="single" w:sz="4" w:space="0" w:color="auto"/>
              <w:bottom w:val="single" w:sz="4" w:space="0" w:color="auto"/>
              <w:right w:val="single" w:sz="4" w:space="0" w:color="auto"/>
            </w:tcBorders>
            <w:shd w:val="clear" w:color="auto" w:fill="9CC2E5"/>
            <w:hideMark/>
          </w:tcPr>
          <w:p w14:paraId="2804FEDE"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50AD48D0"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hideMark/>
          </w:tcPr>
          <w:p w14:paraId="6B456073"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w:t>
            </w:r>
          </w:p>
        </w:tc>
        <w:tc>
          <w:tcPr>
            <w:tcW w:w="3817" w:type="dxa"/>
            <w:tcBorders>
              <w:top w:val="single" w:sz="4" w:space="0" w:color="auto"/>
              <w:left w:val="single" w:sz="4" w:space="0" w:color="auto"/>
              <w:bottom w:val="single" w:sz="4" w:space="0" w:color="auto"/>
              <w:right w:val="single" w:sz="4" w:space="0" w:color="auto"/>
            </w:tcBorders>
            <w:hideMark/>
          </w:tcPr>
          <w:p w14:paraId="5F920D98"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Environmental</w:t>
            </w:r>
          </w:p>
        </w:tc>
        <w:tc>
          <w:tcPr>
            <w:tcW w:w="2712" w:type="dxa"/>
            <w:tcBorders>
              <w:top w:val="single" w:sz="4" w:space="0" w:color="auto"/>
              <w:left w:val="single" w:sz="4" w:space="0" w:color="auto"/>
              <w:bottom w:val="single" w:sz="4" w:space="0" w:color="auto"/>
              <w:right w:val="single" w:sz="4" w:space="0" w:color="auto"/>
            </w:tcBorders>
            <w:hideMark/>
          </w:tcPr>
          <w:p w14:paraId="012056C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 participant</w:t>
            </w:r>
          </w:p>
        </w:tc>
      </w:tr>
      <w:tr w:rsidR="00BE5DAB" w:rsidRPr="00BE5DAB" w14:paraId="26262248"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hideMark/>
          </w:tcPr>
          <w:p w14:paraId="22CF227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17%</w:t>
            </w:r>
          </w:p>
        </w:tc>
        <w:tc>
          <w:tcPr>
            <w:tcW w:w="3817" w:type="dxa"/>
            <w:tcBorders>
              <w:top w:val="single" w:sz="4" w:space="0" w:color="auto"/>
              <w:left w:val="single" w:sz="4" w:space="0" w:color="auto"/>
              <w:bottom w:val="single" w:sz="4" w:space="0" w:color="auto"/>
              <w:right w:val="single" w:sz="4" w:space="0" w:color="auto"/>
            </w:tcBorders>
            <w:hideMark/>
          </w:tcPr>
          <w:p w14:paraId="7F69F86F"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Ethical</w:t>
            </w:r>
          </w:p>
        </w:tc>
        <w:tc>
          <w:tcPr>
            <w:tcW w:w="2712" w:type="dxa"/>
            <w:tcBorders>
              <w:top w:val="single" w:sz="4" w:space="0" w:color="auto"/>
              <w:left w:val="single" w:sz="4" w:space="0" w:color="auto"/>
              <w:bottom w:val="single" w:sz="4" w:space="0" w:color="auto"/>
              <w:right w:val="single" w:sz="4" w:space="0" w:color="auto"/>
            </w:tcBorders>
            <w:hideMark/>
          </w:tcPr>
          <w:p w14:paraId="1F6CA5E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7 participants</w:t>
            </w:r>
          </w:p>
        </w:tc>
      </w:tr>
      <w:tr w:rsidR="00BE5DAB" w:rsidRPr="00BE5DAB" w14:paraId="16E7E8B7"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hideMark/>
          </w:tcPr>
          <w:p w14:paraId="1FFDEBF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26%</w:t>
            </w:r>
          </w:p>
        </w:tc>
        <w:tc>
          <w:tcPr>
            <w:tcW w:w="3817" w:type="dxa"/>
            <w:tcBorders>
              <w:top w:val="single" w:sz="4" w:space="0" w:color="auto"/>
              <w:left w:val="single" w:sz="4" w:space="0" w:color="auto"/>
              <w:bottom w:val="single" w:sz="4" w:space="0" w:color="auto"/>
              <w:right w:val="single" w:sz="4" w:space="0" w:color="auto"/>
            </w:tcBorders>
            <w:hideMark/>
          </w:tcPr>
          <w:p w14:paraId="6B51307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War</w:t>
            </w:r>
          </w:p>
        </w:tc>
        <w:tc>
          <w:tcPr>
            <w:tcW w:w="2712" w:type="dxa"/>
            <w:tcBorders>
              <w:top w:val="single" w:sz="4" w:space="0" w:color="auto"/>
              <w:left w:val="single" w:sz="4" w:space="0" w:color="auto"/>
              <w:bottom w:val="single" w:sz="4" w:space="0" w:color="auto"/>
              <w:right w:val="single" w:sz="4" w:space="0" w:color="auto"/>
            </w:tcBorders>
            <w:hideMark/>
          </w:tcPr>
          <w:p w14:paraId="24BD8D7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11 participants</w:t>
            </w:r>
          </w:p>
        </w:tc>
      </w:tr>
      <w:tr w:rsidR="00BE5DAB" w:rsidRPr="00BE5DAB" w14:paraId="07E5E9DC"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hideMark/>
          </w:tcPr>
          <w:p w14:paraId="59D784F4"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38%</w:t>
            </w:r>
          </w:p>
        </w:tc>
        <w:tc>
          <w:tcPr>
            <w:tcW w:w="3817" w:type="dxa"/>
            <w:tcBorders>
              <w:top w:val="single" w:sz="4" w:space="0" w:color="auto"/>
              <w:left w:val="single" w:sz="4" w:space="0" w:color="auto"/>
              <w:bottom w:val="single" w:sz="4" w:space="0" w:color="auto"/>
              <w:right w:val="single" w:sz="4" w:space="0" w:color="auto"/>
            </w:tcBorders>
            <w:hideMark/>
          </w:tcPr>
          <w:p w14:paraId="3C1461A1"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Political</w:t>
            </w:r>
          </w:p>
        </w:tc>
        <w:tc>
          <w:tcPr>
            <w:tcW w:w="2712" w:type="dxa"/>
            <w:tcBorders>
              <w:top w:val="single" w:sz="4" w:space="0" w:color="auto"/>
              <w:left w:val="single" w:sz="4" w:space="0" w:color="auto"/>
              <w:bottom w:val="single" w:sz="4" w:space="0" w:color="auto"/>
              <w:right w:val="single" w:sz="4" w:space="0" w:color="auto"/>
            </w:tcBorders>
            <w:hideMark/>
          </w:tcPr>
          <w:p w14:paraId="74F220E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16 participants</w:t>
            </w:r>
          </w:p>
        </w:tc>
      </w:tr>
      <w:tr w:rsidR="00BE5DAB" w:rsidRPr="00BE5DAB" w14:paraId="652F08F2" w14:textId="77777777" w:rsidTr="00BE5DAB">
        <w:trPr>
          <w:jc w:val="center"/>
        </w:trPr>
        <w:tc>
          <w:tcPr>
            <w:tcW w:w="2019" w:type="dxa"/>
            <w:tcBorders>
              <w:top w:val="single" w:sz="4" w:space="0" w:color="auto"/>
              <w:left w:val="single" w:sz="4" w:space="0" w:color="auto"/>
              <w:bottom w:val="single" w:sz="4" w:space="0" w:color="auto"/>
              <w:right w:val="single" w:sz="4" w:space="0" w:color="auto"/>
            </w:tcBorders>
            <w:hideMark/>
          </w:tcPr>
          <w:p w14:paraId="1A49549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17%</w:t>
            </w:r>
          </w:p>
        </w:tc>
        <w:tc>
          <w:tcPr>
            <w:tcW w:w="3817" w:type="dxa"/>
            <w:tcBorders>
              <w:top w:val="single" w:sz="4" w:space="0" w:color="auto"/>
              <w:left w:val="single" w:sz="4" w:space="0" w:color="auto"/>
              <w:bottom w:val="single" w:sz="4" w:space="0" w:color="auto"/>
              <w:right w:val="single" w:sz="4" w:space="0" w:color="auto"/>
            </w:tcBorders>
            <w:hideMark/>
          </w:tcPr>
          <w:p w14:paraId="0A3F237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Religious</w:t>
            </w:r>
          </w:p>
        </w:tc>
        <w:tc>
          <w:tcPr>
            <w:tcW w:w="2712" w:type="dxa"/>
            <w:tcBorders>
              <w:top w:val="single" w:sz="4" w:space="0" w:color="auto"/>
              <w:left w:val="single" w:sz="4" w:space="0" w:color="auto"/>
              <w:bottom w:val="single" w:sz="4" w:space="0" w:color="auto"/>
              <w:right w:val="single" w:sz="4" w:space="0" w:color="auto"/>
            </w:tcBorders>
            <w:hideMark/>
          </w:tcPr>
          <w:p w14:paraId="334124D7"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7 participants</w:t>
            </w:r>
          </w:p>
        </w:tc>
      </w:tr>
    </w:tbl>
    <w:p w14:paraId="587718A2"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p>
    <w:p w14:paraId="6BF8EE31"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Figure 4.18: Percentage of Participants Categorized by Reasons for Boycotting a Brand</w:t>
      </w:r>
    </w:p>
    <w:p w14:paraId="47D6CADB"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27D94A5D" wp14:editId="56068C74">
            <wp:extent cx="4171950" cy="2628900"/>
            <wp:effectExtent l="0" t="0" r="0" b="0"/>
            <wp:docPr id="19" name="Chart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21" descr="Chart, pie char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171950" cy="2628900"/>
                    </a:xfrm>
                    <a:prstGeom prst="rect">
                      <a:avLst/>
                    </a:prstGeom>
                    <a:noFill/>
                    <a:ln>
                      <a:noFill/>
                    </a:ln>
                  </pic:spPr>
                </pic:pic>
              </a:graphicData>
            </a:graphic>
          </wp:inline>
        </w:drawing>
      </w:r>
    </w:p>
    <w:p w14:paraId="1631138B"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73C7891E"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Influence of Political/Religious Conflicts on Consumer Behaviour</w:t>
      </w:r>
    </w:p>
    <w:p w14:paraId="48E44AFE"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All participants think that political and/or religious conflicts influence their consumer behaviour in general. However, the level of agreement differs between the participants, namely: they agree or strongly disagree (see table 4.19 and figure 4.19).</w:t>
      </w:r>
    </w:p>
    <w:p w14:paraId="791DDF4A"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r w:rsidRPr="00BE5DAB">
        <w:rPr>
          <w:rFonts w:ascii="Times New Roman" w:eastAsia="Cambria" w:hAnsi="Times New Roman" w:cs="Times New Roman"/>
          <w:sz w:val="24"/>
          <w:szCs w:val="24"/>
        </w:rPr>
        <w:tab/>
      </w:r>
    </w:p>
    <w:p w14:paraId="0A0C251A"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Table 4.19: Frequency of Participants Categorized by the Influence of Political/Religious views on Participants' Consumer Behaviour</w:t>
      </w:r>
    </w:p>
    <w:tbl>
      <w:tblPr>
        <w:tblStyle w:val="TableGrid"/>
        <w:tblW w:w="9067" w:type="dxa"/>
        <w:jc w:val="center"/>
        <w:tblInd w:w="0" w:type="dxa"/>
        <w:tblLook w:val="04A0" w:firstRow="1" w:lastRow="0" w:firstColumn="1" w:lastColumn="0" w:noHBand="0" w:noVBand="1"/>
      </w:tblPr>
      <w:tblGrid>
        <w:gridCol w:w="1312"/>
        <w:gridCol w:w="5384"/>
        <w:gridCol w:w="2371"/>
      </w:tblGrid>
      <w:tr w:rsidR="00BE5DAB" w:rsidRPr="00BE5DAB" w14:paraId="6568C04E" w14:textId="77777777" w:rsidTr="00BE5DAB">
        <w:trPr>
          <w:jc w:val="center"/>
        </w:trPr>
        <w:tc>
          <w:tcPr>
            <w:tcW w:w="1312" w:type="dxa"/>
            <w:tcBorders>
              <w:top w:val="single" w:sz="4" w:space="0" w:color="auto"/>
              <w:left w:val="single" w:sz="4" w:space="0" w:color="auto"/>
              <w:bottom w:val="single" w:sz="4" w:space="0" w:color="auto"/>
              <w:right w:val="single" w:sz="4" w:space="0" w:color="auto"/>
            </w:tcBorders>
            <w:shd w:val="clear" w:color="auto" w:fill="9CC2E5"/>
            <w:hideMark/>
          </w:tcPr>
          <w:p w14:paraId="0EF81CCE"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5384" w:type="dxa"/>
            <w:tcBorders>
              <w:top w:val="single" w:sz="4" w:space="0" w:color="auto"/>
              <w:left w:val="single" w:sz="4" w:space="0" w:color="auto"/>
              <w:bottom w:val="single" w:sz="4" w:space="0" w:color="auto"/>
              <w:right w:val="single" w:sz="4" w:space="0" w:color="auto"/>
            </w:tcBorders>
            <w:shd w:val="clear" w:color="auto" w:fill="9CC2E5"/>
            <w:hideMark/>
          </w:tcPr>
          <w:p w14:paraId="5F75D3D1"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Can Political/Religious Conflicts Influence the Participant Consumer Behaviour</w:t>
            </w:r>
          </w:p>
        </w:tc>
        <w:tc>
          <w:tcPr>
            <w:tcW w:w="2371" w:type="dxa"/>
            <w:tcBorders>
              <w:top w:val="single" w:sz="4" w:space="0" w:color="auto"/>
              <w:left w:val="single" w:sz="4" w:space="0" w:color="auto"/>
              <w:bottom w:val="single" w:sz="4" w:space="0" w:color="auto"/>
              <w:right w:val="single" w:sz="4" w:space="0" w:color="auto"/>
            </w:tcBorders>
            <w:shd w:val="clear" w:color="auto" w:fill="9CC2E5"/>
            <w:hideMark/>
          </w:tcPr>
          <w:p w14:paraId="464BCF9E"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44CCCA21" w14:textId="77777777" w:rsidTr="00BE5DAB">
        <w:trPr>
          <w:jc w:val="center"/>
        </w:trPr>
        <w:tc>
          <w:tcPr>
            <w:tcW w:w="1312" w:type="dxa"/>
            <w:tcBorders>
              <w:top w:val="single" w:sz="4" w:space="0" w:color="auto"/>
              <w:left w:val="single" w:sz="4" w:space="0" w:color="auto"/>
              <w:bottom w:val="single" w:sz="4" w:space="0" w:color="auto"/>
              <w:right w:val="single" w:sz="4" w:space="0" w:color="auto"/>
            </w:tcBorders>
            <w:hideMark/>
          </w:tcPr>
          <w:p w14:paraId="7EA65D5A"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26%</w:t>
            </w:r>
          </w:p>
        </w:tc>
        <w:tc>
          <w:tcPr>
            <w:tcW w:w="5384" w:type="dxa"/>
            <w:tcBorders>
              <w:top w:val="single" w:sz="4" w:space="0" w:color="auto"/>
              <w:left w:val="single" w:sz="4" w:space="0" w:color="auto"/>
              <w:bottom w:val="single" w:sz="4" w:space="0" w:color="auto"/>
              <w:right w:val="single" w:sz="4" w:space="0" w:color="auto"/>
            </w:tcBorders>
            <w:hideMark/>
          </w:tcPr>
          <w:p w14:paraId="4F5850E9"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Strongly Agree</w:t>
            </w:r>
          </w:p>
        </w:tc>
        <w:tc>
          <w:tcPr>
            <w:tcW w:w="2371" w:type="dxa"/>
            <w:tcBorders>
              <w:top w:val="single" w:sz="4" w:space="0" w:color="auto"/>
              <w:left w:val="single" w:sz="4" w:space="0" w:color="auto"/>
              <w:bottom w:val="single" w:sz="4" w:space="0" w:color="auto"/>
              <w:right w:val="single" w:sz="4" w:space="0" w:color="auto"/>
            </w:tcBorders>
            <w:hideMark/>
          </w:tcPr>
          <w:p w14:paraId="0A24E75E"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12 participants</w:t>
            </w:r>
          </w:p>
        </w:tc>
      </w:tr>
      <w:tr w:rsidR="00BE5DAB" w:rsidRPr="00BE5DAB" w14:paraId="7A719839" w14:textId="77777777" w:rsidTr="00BE5DAB">
        <w:trPr>
          <w:jc w:val="center"/>
        </w:trPr>
        <w:tc>
          <w:tcPr>
            <w:tcW w:w="1312" w:type="dxa"/>
            <w:tcBorders>
              <w:top w:val="single" w:sz="4" w:space="0" w:color="auto"/>
              <w:left w:val="single" w:sz="4" w:space="0" w:color="auto"/>
              <w:bottom w:val="single" w:sz="4" w:space="0" w:color="auto"/>
              <w:right w:val="single" w:sz="4" w:space="0" w:color="auto"/>
            </w:tcBorders>
            <w:hideMark/>
          </w:tcPr>
          <w:p w14:paraId="7F732AAD"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74%</w:t>
            </w:r>
          </w:p>
        </w:tc>
        <w:tc>
          <w:tcPr>
            <w:tcW w:w="5384" w:type="dxa"/>
            <w:tcBorders>
              <w:top w:val="single" w:sz="4" w:space="0" w:color="auto"/>
              <w:left w:val="single" w:sz="4" w:space="0" w:color="auto"/>
              <w:bottom w:val="single" w:sz="4" w:space="0" w:color="auto"/>
              <w:right w:val="single" w:sz="4" w:space="0" w:color="auto"/>
            </w:tcBorders>
            <w:hideMark/>
          </w:tcPr>
          <w:p w14:paraId="00393520"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Agree</w:t>
            </w:r>
          </w:p>
        </w:tc>
        <w:tc>
          <w:tcPr>
            <w:tcW w:w="2371" w:type="dxa"/>
            <w:tcBorders>
              <w:top w:val="single" w:sz="4" w:space="0" w:color="auto"/>
              <w:left w:val="single" w:sz="4" w:space="0" w:color="auto"/>
              <w:bottom w:val="single" w:sz="4" w:space="0" w:color="auto"/>
              <w:right w:val="single" w:sz="4" w:space="0" w:color="auto"/>
            </w:tcBorders>
            <w:hideMark/>
          </w:tcPr>
          <w:p w14:paraId="2DB7ACE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34 participants</w:t>
            </w:r>
          </w:p>
        </w:tc>
      </w:tr>
    </w:tbl>
    <w:p w14:paraId="72E9BDA9"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p>
    <w:p w14:paraId="0C1DFF73"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Figure 4.19: Percentage of Participants Categorized by the Influence of Political/Religious views on Participants' Consumer Behaviour</w:t>
      </w:r>
    </w:p>
    <w:p w14:paraId="75DD8669"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54472098" wp14:editId="47BA5AFC">
            <wp:extent cx="2743200" cy="1495425"/>
            <wp:effectExtent l="0" t="0" r="0" b="9525"/>
            <wp:docPr id="20" name="Chart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22" descr="Chart, pie char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743200" cy="1495425"/>
                    </a:xfrm>
                    <a:prstGeom prst="rect">
                      <a:avLst/>
                    </a:prstGeom>
                    <a:noFill/>
                    <a:ln>
                      <a:noFill/>
                    </a:ln>
                  </pic:spPr>
                </pic:pic>
              </a:graphicData>
            </a:graphic>
          </wp:inline>
        </w:drawing>
      </w:r>
    </w:p>
    <w:p w14:paraId="4E7A6DB8" w14:textId="77777777" w:rsidR="00BE5DAB" w:rsidRPr="00BE5DAB" w:rsidRDefault="00BE5DAB" w:rsidP="00BE5DAB">
      <w:pPr>
        <w:widowControl w:val="0"/>
        <w:numPr>
          <w:ilvl w:val="2"/>
          <w:numId w:val="11"/>
        </w:numPr>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 xml:space="preserve">Influence of Political/Religious Conflicts on Consumer Behaviour on Participant’s </w:t>
      </w:r>
      <w:r w:rsidRPr="00BE5DAB">
        <w:rPr>
          <w:rFonts w:ascii="Times New Roman" w:eastAsia="Cambria" w:hAnsi="Times New Roman" w:cs="Times New Roman"/>
          <w:b/>
          <w:bCs/>
          <w:sz w:val="24"/>
          <w:szCs w:val="24"/>
        </w:rPr>
        <w:lastRenderedPageBreak/>
        <w:t>Boycott/Loyal to a Brand/Company</w:t>
      </w:r>
    </w:p>
    <w:p w14:paraId="49D0042F" w14:textId="77777777" w:rsidR="00BE5DAB" w:rsidRPr="00BE5DAB" w:rsidRDefault="00BE5DAB" w:rsidP="00BE5DAB">
      <w:pPr>
        <w:widowControl w:val="0"/>
        <w:autoSpaceDE w:val="0"/>
        <w:autoSpaceDN w:val="0"/>
        <w:spacing w:after="0" w:line="360" w:lineRule="auto"/>
        <w:rPr>
          <w:rFonts w:ascii="Times New Roman" w:eastAsia="Cambria" w:hAnsi="Times New Roman" w:cs="Times New Roman"/>
          <w:sz w:val="24"/>
          <w:szCs w:val="24"/>
        </w:rPr>
      </w:pP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 participants think that political and/or religious conflicts will lead them to be loyal/boycott certain brands or companies (see table 4.20 and figure 4.20).</w:t>
      </w:r>
    </w:p>
    <w:p w14:paraId="4C3D5ED5"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96BF076"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sz w:val="20"/>
          <w:szCs w:val="20"/>
        </w:rPr>
      </w:pPr>
      <w:r w:rsidRPr="00BE5DAB">
        <w:rPr>
          <w:rFonts w:ascii="Times New Roman" w:eastAsia="Cambria" w:hAnsi="Times New Roman" w:cs="Times New Roman"/>
          <w:b/>
          <w:bCs/>
          <w:sz w:val="20"/>
          <w:szCs w:val="20"/>
        </w:rPr>
        <w:t>Table 4.20: Frequency of Participants Categorized by Influence of Political/Religious Views on Consumer Behaviour</w:t>
      </w:r>
    </w:p>
    <w:tbl>
      <w:tblPr>
        <w:tblStyle w:val="TableGrid"/>
        <w:tblW w:w="9351" w:type="dxa"/>
        <w:jc w:val="center"/>
        <w:tblInd w:w="0" w:type="dxa"/>
        <w:tblLook w:val="04A0" w:firstRow="1" w:lastRow="0" w:firstColumn="1" w:lastColumn="0" w:noHBand="0" w:noVBand="1"/>
      </w:tblPr>
      <w:tblGrid>
        <w:gridCol w:w="1454"/>
        <w:gridCol w:w="5384"/>
        <w:gridCol w:w="2513"/>
      </w:tblGrid>
      <w:tr w:rsidR="00BE5DAB" w:rsidRPr="00BE5DAB" w14:paraId="3010A31E" w14:textId="77777777" w:rsidTr="00BE5DAB">
        <w:trPr>
          <w:jc w:val="center"/>
        </w:trPr>
        <w:tc>
          <w:tcPr>
            <w:tcW w:w="1454" w:type="dxa"/>
            <w:tcBorders>
              <w:top w:val="single" w:sz="4" w:space="0" w:color="auto"/>
              <w:left w:val="single" w:sz="4" w:space="0" w:color="auto"/>
              <w:bottom w:val="single" w:sz="4" w:space="0" w:color="auto"/>
              <w:right w:val="single" w:sz="4" w:space="0" w:color="auto"/>
            </w:tcBorders>
            <w:shd w:val="clear" w:color="auto" w:fill="9CC2E5"/>
            <w:hideMark/>
          </w:tcPr>
          <w:p w14:paraId="6CF4CBF6" w14:textId="77777777" w:rsidR="00BE5DAB" w:rsidRPr="00BE5DAB" w:rsidRDefault="00BE5DAB" w:rsidP="00BE5DAB">
            <w:pPr>
              <w:autoSpaceDE w:val="0"/>
              <w:autoSpaceDN w:val="0"/>
              <w:jc w:val="center"/>
              <w:rPr>
                <w:rFonts w:ascii="Times New Roman" w:eastAsia="Cambria" w:hAnsi="Times New Roman"/>
                <w:b/>
                <w:bCs/>
                <w:lang w:val="en-US"/>
              </w:rPr>
            </w:pPr>
            <w:r w:rsidRPr="00BE5DAB">
              <w:rPr>
                <w:rFonts w:ascii="Times New Roman" w:eastAsia="Cambria" w:hAnsi="Times New Roman" w:cs="Arial"/>
                <w:b/>
                <w:bCs/>
                <w:lang w:val="en-US"/>
              </w:rPr>
              <w:t>Percentage</w:t>
            </w:r>
          </w:p>
        </w:tc>
        <w:tc>
          <w:tcPr>
            <w:tcW w:w="5384" w:type="dxa"/>
            <w:tcBorders>
              <w:top w:val="single" w:sz="4" w:space="0" w:color="auto"/>
              <w:left w:val="single" w:sz="4" w:space="0" w:color="auto"/>
              <w:bottom w:val="single" w:sz="4" w:space="0" w:color="auto"/>
              <w:right w:val="single" w:sz="4" w:space="0" w:color="auto"/>
            </w:tcBorders>
            <w:shd w:val="clear" w:color="auto" w:fill="9CC2E5"/>
            <w:hideMark/>
          </w:tcPr>
          <w:p w14:paraId="06418831"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Can Political/Religious Conflicts Lead the Participant to Boycott/Loyal to a Brand/Company</w:t>
            </w:r>
          </w:p>
        </w:tc>
        <w:tc>
          <w:tcPr>
            <w:tcW w:w="2513" w:type="dxa"/>
            <w:tcBorders>
              <w:top w:val="single" w:sz="4" w:space="0" w:color="auto"/>
              <w:left w:val="single" w:sz="4" w:space="0" w:color="auto"/>
              <w:bottom w:val="single" w:sz="4" w:space="0" w:color="auto"/>
              <w:right w:val="single" w:sz="4" w:space="0" w:color="auto"/>
            </w:tcBorders>
            <w:shd w:val="clear" w:color="auto" w:fill="9CC2E5"/>
            <w:hideMark/>
          </w:tcPr>
          <w:p w14:paraId="1B1281F7" w14:textId="77777777" w:rsidR="00BE5DAB" w:rsidRPr="00BE5DAB" w:rsidRDefault="00BE5DAB" w:rsidP="00BE5DAB">
            <w:pPr>
              <w:autoSpaceDE w:val="0"/>
              <w:autoSpaceDN w:val="0"/>
              <w:jc w:val="center"/>
              <w:rPr>
                <w:rFonts w:ascii="Times New Roman" w:eastAsia="Cambria" w:hAnsi="Times New Roman" w:cs="Arial"/>
                <w:b/>
                <w:bCs/>
              </w:rPr>
            </w:pPr>
            <w:r w:rsidRPr="00BE5DAB">
              <w:rPr>
                <w:rFonts w:ascii="Times New Roman" w:eastAsia="Cambria" w:hAnsi="Times New Roman" w:cs="Arial"/>
                <w:b/>
                <w:bCs/>
              </w:rPr>
              <w:t>Number of Participants</w:t>
            </w:r>
          </w:p>
        </w:tc>
      </w:tr>
      <w:tr w:rsidR="00BE5DAB" w:rsidRPr="00BE5DAB" w14:paraId="49A60B66" w14:textId="77777777" w:rsidTr="00BE5DAB">
        <w:trPr>
          <w:jc w:val="center"/>
        </w:trPr>
        <w:tc>
          <w:tcPr>
            <w:tcW w:w="1454" w:type="dxa"/>
            <w:tcBorders>
              <w:top w:val="single" w:sz="4" w:space="0" w:color="auto"/>
              <w:left w:val="single" w:sz="4" w:space="0" w:color="auto"/>
              <w:bottom w:val="single" w:sz="4" w:space="0" w:color="auto"/>
              <w:right w:val="single" w:sz="4" w:space="0" w:color="auto"/>
            </w:tcBorders>
            <w:hideMark/>
          </w:tcPr>
          <w:p w14:paraId="094E8D32"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89%</w:t>
            </w:r>
          </w:p>
        </w:tc>
        <w:tc>
          <w:tcPr>
            <w:tcW w:w="5384" w:type="dxa"/>
            <w:tcBorders>
              <w:top w:val="single" w:sz="4" w:space="0" w:color="auto"/>
              <w:left w:val="single" w:sz="4" w:space="0" w:color="auto"/>
              <w:bottom w:val="single" w:sz="4" w:space="0" w:color="auto"/>
              <w:right w:val="single" w:sz="4" w:space="0" w:color="auto"/>
            </w:tcBorders>
            <w:hideMark/>
          </w:tcPr>
          <w:p w14:paraId="258B5BBB"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Yes</w:t>
            </w:r>
          </w:p>
        </w:tc>
        <w:tc>
          <w:tcPr>
            <w:tcW w:w="2513" w:type="dxa"/>
            <w:tcBorders>
              <w:top w:val="single" w:sz="4" w:space="0" w:color="auto"/>
              <w:left w:val="single" w:sz="4" w:space="0" w:color="auto"/>
              <w:bottom w:val="single" w:sz="4" w:space="0" w:color="auto"/>
              <w:right w:val="single" w:sz="4" w:space="0" w:color="auto"/>
            </w:tcBorders>
            <w:hideMark/>
          </w:tcPr>
          <w:p w14:paraId="6E4AE0F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41 participants</w:t>
            </w:r>
          </w:p>
        </w:tc>
      </w:tr>
      <w:tr w:rsidR="00BE5DAB" w:rsidRPr="00BE5DAB" w14:paraId="0DC10AF0" w14:textId="77777777" w:rsidTr="00BE5DAB">
        <w:trPr>
          <w:jc w:val="center"/>
        </w:trPr>
        <w:tc>
          <w:tcPr>
            <w:tcW w:w="1454" w:type="dxa"/>
            <w:tcBorders>
              <w:top w:val="single" w:sz="4" w:space="0" w:color="auto"/>
              <w:left w:val="single" w:sz="4" w:space="0" w:color="auto"/>
              <w:bottom w:val="single" w:sz="4" w:space="0" w:color="auto"/>
              <w:right w:val="single" w:sz="4" w:space="0" w:color="auto"/>
            </w:tcBorders>
            <w:hideMark/>
          </w:tcPr>
          <w:p w14:paraId="0210189B" w14:textId="77777777" w:rsidR="00BE5DAB" w:rsidRPr="00BE5DAB" w:rsidRDefault="00BE5DAB" w:rsidP="00BE5DAB">
            <w:pPr>
              <w:autoSpaceDE w:val="0"/>
              <w:autoSpaceDN w:val="0"/>
              <w:jc w:val="center"/>
              <w:rPr>
                <w:rFonts w:ascii="Times New Roman" w:eastAsia="Cambria" w:hAnsi="Times New Roman" w:cs="Arial"/>
                <w:lang w:val="en-US"/>
              </w:rPr>
            </w:pPr>
            <w:r w:rsidRPr="00BE5DAB">
              <w:rPr>
                <w:rFonts w:ascii="Times New Roman" w:eastAsia="Cambria" w:hAnsi="Times New Roman" w:cs="Arial"/>
                <w:lang w:val="en-US"/>
              </w:rPr>
              <w:t>11%</w:t>
            </w:r>
          </w:p>
        </w:tc>
        <w:tc>
          <w:tcPr>
            <w:tcW w:w="5384" w:type="dxa"/>
            <w:tcBorders>
              <w:top w:val="single" w:sz="4" w:space="0" w:color="auto"/>
              <w:left w:val="single" w:sz="4" w:space="0" w:color="auto"/>
              <w:bottom w:val="single" w:sz="4" w:space="0" w:color="auto"/>
              <w:right w:val="single" w:sz="4" w:space="0" w:color="auto"/>
            </w:tcBorders>
            <w:hideMark/>
          </w:tcPr>
          <w:p w14:paraId="3E8CAFE6"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lang w:val="en-US"/>
              </w:rPr>
              <w:t>Depends on the Conflict</w:t>
            </w:r>
          </w:p>
        </w:tc>
        <w:tc>
          <w:tcPr>
            <w:tcW w:w="2513" w:type="dxa"/>
            <w:tcBorders>
              <w:top w:val="single" w:sz="4" w:space="0" w:color="auto"/>
              <w:left w:val="single" w:sz="4" w:space="0" w:color="auto"/>
              <w:bottom w:val="single" w:sz="4" w:space="0" w:color="auto"/>
              <w:right w:val="single" w:sz="4" w:space="0" w:color="auto"/>
            </w:tcBorders>
            <w:hideMark/>
          </w:tcPr>
          <w:p w14:paraId="3644F03C" w14:textId="77777777" w:rsidR="00BE5DAB" w:rsidRPr="00BE5DAB" w:rsidRDefault="00BE5DAB" w:rsidP="00BE5DAB">
            <w:pPr>
              <w:autoSpaceDE w:val="0"/>
              <w:autoSpaceDN w:val="0"/>
              <w:jc w:val="center"/>
              <w:rPr>
                <w:rFonts w:ascii="Times New Roman" w:eastAsia="Cambria" w:hAnsi="Times New Roman" w:cs="Arial"/>
              </w:rPr>
            </w:pPr>
            <w:r w:rsidRPr="00BE5DAB">
              <w:rPr>
                <w:rFonts w:ascii="Times New Roman" w:eastAsia="Cambria" w:hAnsi="Times New Roman" w:cs="Arial"/>
              </w:rPr>
              <w:t>5 participants</w:t>
            </w:r>
          </w:p>
        </w:tc>
      </w:tr>
    </w:tbl>
    <w:p w14:paraId="41CD4432"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0"/>
          <w:szCs w:val="20"/>
        </w:rPr>
      </w:pPr>
    </w:p>
    <w:p w14:paraId="7ABE160A" w14:textId="77777777" w:rsidR="00BE5DAB" w:rsidRPr="00BE5DAB" w:rsidRDefault="00BE5DAB" w:rsidP="00BE5DAB">
      <w:pPr>
        <w:widowControl w:val="0"/>
        <w:autoSpaceDE w:val="0"/>
        <w:autoSpaceDN w:val="0"/>
        <w:spacing w:after="0" w:line="360" w:lineRule="auto"/>
        <w:jc w:val="center"/>
        <w:rPr>
          <w:rFonts w:ascii="Times New Roman" w:eastAsia="Cambria" w:hAnsi="Times New Roman" w:cs="Times New Roman"/>
          <w:b/>
          <w:bCs/>
          <w:sz w:val="20"/>
          <w:szCs w:val="20"/>
        </w:rPr>
      </w:pPr>
      <w:r w:rsidRPr="00BE5DAB">
        <w:rPr>
          <w:rFonts w:ascii="Times New Roman" w:eastAsia="Cambria" w:hAnsi="Times New Roman" w:cs="Times New Roman"/>
          <w:b/>
          <w:bCs/>
          <w:sz w:val="20"/>
          <w:szCs w:val="20"/>
        </w:rPr>
        <w:t>Figure 4.20: Percentage of Participants Categorized by Influence of Political/Religious Views on Consumer Behaviour</w:t>
      </w:r>
    </w:p>
    <w:p w14:paraId="696082B4" w14:textId="77777777" w:rsidR="00BE5DAB" w:rsidRPr="00BE5DAB" w:rsidRDefault="00BE5DAB" w:rsidP="00BE5DAB">
      <w:pPr>
        <w:widowControl w:val="0"/>
        <w:autoSpaceDE w:val="0"/>
        <w:autoSpaceDN w:val="0"/>
        <w:spacing w:after="0" w:line="240" w:lineRule="auto"/>
        <w:jc w:val="center"/>
        <w:rPr>
          <w:rFonts w:ascii="Times New Roman" w:eastAsia="Cambria" w:hAnsi="Times New Roman" w:cs="Times New Roman"/>
          <w:sz w:val="24"/>
          <w:szCs w:val="24"/>
        </w:rPr>
      </w:pPr>
      <w:r w:rsidRPr="00BE5DAB">
        <w:rPr>
          <w:rFonts w:ascii="Times New Roman" w:eastAsia="Cambria" w:hAnsi="Times New Roman" w:cs="Times New Roman"/>
          <w:noProof/>
          <w:sz w:val="24"/>
          <w:szCs w:val="24"/>
          <w:lang w:eastAsia="en-GB"/>
        </w:rPr>
        <w:drawing>
          <wp:inline distT="0" distB="0" distL="0" distR="0" wp14:anchorId="53414160" wp14:editId="0975D2D3">
            <wp:extent cx="4171950" cy="2133600"/>
            <wp:effectExtent l="0" t="0" r="0" b="0"/>
            <wp:docPr id="21" name="Chart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 23" descr="Chart, pie chart&#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171950" cy="2133600"/>
                    </a:xfrm>
                    <a:prstGeom prst="rect">
                      <a:avLst/>
                    </a:prstGeom>
                    <a:noFill/>
                    <a:ln>
                      <a:noFill/>
                    </a:ln>
                  </pic:spPr>
                </pic:pic>
              </a:graphicData>
            </a:graphic>
          </wp:inline>
        </w:drawing>
      </w:r>
    </w:p>
    <w:p w14:paraId="36832402"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rPr>
      </w:pPr>
    </w:p>
    <w:p w14:paraId="60093ACA" w14:textId="77777777" w:rsidR="00BE5DAB" w:rsidRPr="00BE5DAB" w:rsidRDefault="00BE5DAB" w:rsidP="00BE5DAB">
      <w:pPr>
        <w:widowControl w:val="0"/>
        <w:numPr>
          <w:ilvl w:val="1"/>
          <w:numId w:val="11"/>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Discussion of the Fifth Section</w:t>
      </w:r>
    </w:p>
    <w:p w14:paraId="5D213DF5"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38 participants out of 46 said that they boycotted brands before (see table 4.17 and figure 4.17). In other words, the behaviour of Arab consumers who live in the UK can be influenced by the feelings they possess (</w:t>
      </w:r>
      <w:proofErr w:type="gramStart"/>
      <w:r w:rsidRPr="00BE5DAB">
        <w:rPr>
          <w:rFonts w:ascii="Times New Roman" w:eastAsia="Cambria" w:hAnsi="Times New Roman" w:cs="Times New Roman"/>
          <w:sz w:val="24"/>
          <w:szCs w:val="24"/>
        </w:rPr>
        <w:t>e.g.</w:t>
      </w:r>
      <w:proofErr w:type="gramEnd"/>
      <w:r w:rsidRPr="00BE5DAB">
        <w:rPr>
          <w:rFonts w:ascii="Times New Roman" w:eastAsia="Cambria" w:hAnsi="Times New Roman" w:cs="Times New Roman"/>
          <w:sz w:val="24"/>
          <w:szCs w:val="24"/>
        </w:rPr>
        <w:t xml:space="preserve"> animosity) towards certain brands/companies/products. For this reason, companies who are expanding in areas dominated by Arabs in London/UK must identify whether the brand/company can fall under a boycott campaign. Companies that originated in areas that conflict with countries in the Middle East or Arab countries should focus on aspects of the brands they want to sell other than the country of origin, as the consumers </w:t>
      </w:r>
      <w:proofErr w:type="gramStart"/>
      <w:r w:rsidRPr="00BE5DAB">
        <w:rPr>
          <w:rFonts w:ascii="Times New Roman" w:eastAsia="Cambria" w:hAnsi="Times New Roman" w:cs="Times New Roman"/>
          <w:sz w:val="24"/>
          <w:szCs w:val="24"/>
        </w:rPr>
        <w:t>will</w:t>
      </w:r>
      <w:proofErr w:type="gramEnd"/>
      <w:r w:rsidRPr="00BE5DAB">
        <w:rPr>
          <w:rFonts w:ascii="Times New Roman" w:eastAsia="Cambria" w:hAnsi="Times New Roman" w:cs="Times New Roman"/>
          <w:sz w:val="24"/>
          <w:szCs w:val="24"/>
        </w:rPr>
        <w:t xml:space="preserve"> less likely to boycott brands as such. Additionally, brands that are targeting Arab/Middle Eastern customers should consider this information when they want to build alliances with other companies, as consumers can boycott a brand for reasons against the brand/company or one of its partners.</w:t>
      </w:r>
    </w:p>
    <w:p w14:paraId="5F52D364"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Most of the participants think that war or political conflicts can lead them to boycott brands/companies, and religion or ethical behaviour of companies come second (see table 4.18 and figure 4.18). Therefore, companies who are operating in areas where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w:t>
      </w:r>
      <w:r w:rsidRPr="00BE5DAB">
        <w:rPr>
          <w:rFonts w:ascii="Times New Roman" w:eastAsia="Cambria" w:hAnsi="Times New Roman" w:cs="Times New Roman"/>
          <w:sz w:val="24"/>
          <w:szCs w:val="24"/>
        </w:rPr>
        <w:lastRenderedPageBreak/>
        <w:t xml:space="preserve">consumers are Arabs, avoid participating or supporting political conflicts or war against Arab countries. Otherwise, Arab consumers may build negative feelings towards this brand and therefore, these consumers may boycott this brand. </w:t>
      </w:r>
    </w:p>
    <w:p w14:paraId="0784990B"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 All participants stated that political/religious conflicts can influence consumer behaviour (see table 4.19 and figure 4.19) </w:t>
      </w:r>
      <w:proofErr w:type="gramStart"/>
      <w:r w:rsidRPr="00BE5DAB">
        <w:rPr>
          <w:rFonts w:ascii="Times New Roman" w:eastAsia="Cambria" w:hAnsi="Times New Roman" w:cs="Times New Roman"/>
          <w:sz w:val="24"/>
          <w:szCs w:val="24"/>
        </w:rPr>
        <w:t>and also</w:t>
      </w:r>
      <w:proofErr w:type="gramEnd"/>
      <w:r w:rsidRPr="00BE5DAB">
        <w:rPr>
          <w:rFonts w:ascii="Times New Roman" w:eastAsia="Cambria" w:hAnsi="Times New Roman" w:cs="Times New Roman"/>
          <w:sz w:val="24"/>
          <w:szCs w:val="24"/>
        </w:rPr>
        <w:t xml:space="preserve"> lead them to boycott brands/companies if necessary (see table 4.20 and figure 4.20). Therefore, companies that promote peace and could influence the peace process throughout the world are more likely to gain the support of Arab consumers who live in the UK.</w:t>
      </w:r>
    </w:p>
    <w:p w14:paraId="04EFFC30"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05AA71F7"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61DB3731"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31E14D50"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2B5FB454"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1195D22F"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3BAD1C7B" w14:textId="77777777" w:rsidR="00BE5DAB" w:rsidRPr="00BE5DAB" w:rsidRDefault="00BE5DAB" w:rsidP="00BE5DAB">
      <w:pPr>
        <w:widowControl w:val="0"/>
        <w:autoSpaceDE w:val="0"/>
        <w:autoSpaceDN w:val="0"/>
        <w:spacing w:after="0" w:line="240" w:lineRule="auto"/>
        <w:ind w:right="746"/>
        <w:jc w:val="both"/>
        <w:rPr>
          <w:rFonts w:ascii="Times New Roman" w:eastAsia="Cambria" w:hAnsi="Times New Roman" w:cs="Times New Roman"/>
          <w:i/>
          <w:iCs/>
          <w:sz w:val="20"/>
          <w:szCs w:val="20"/>
          <w:lang w:val="en-US"/>
        </w:rPr>
      </w:pPr>
    </w:p>
    <w:p w14:paraId="7B2A787E" w14:textId="77777777" w:rsidR="00BE5DAB" w:rsidRPr="00BE5DAB" w:rsidRDefault="00BE5DAB" w:rsidP="00BE5DAB">
      <w:pPr>
        <w:widowControl w:val="0"/>
        <w:tabs>
          <w:tab w:val="left" w:pos="0"/>
        </w:tabs>
        <w:autoSpaceDE w:val="0"/>
        <w:autoSpaceDN w:val="0"/>
        <w:spacing w:after="0" w:line="360" w:lineRule="auto"/>
        <w:jc w:val="center"/>
        <w:rPr>
          <w:rFonts w:ascii="Times New Roman" w:eastAsia="Cambria" w:hAnsi="Times New Roman" w:cs="Times New Roman"/>
          <w:b/>
          <w:bCs/>
          <w:sz w:val="28"/>
          <w:szCs w:val="28"/>
        </w:rPr>
      </w:pPr>
      <w:r w:rsidRPr="00BE5DAB">
        <w:rPr>
          <w:rFonts w:ascii="Times New Roman" w:eastAsia="Cambria" w:hAnsi="Times New Roman" w:cs="Times New Roman"/>
          <w:b/>
          <w:bCs/>
          <w:sz w:val="28"/>
          <w:szCs w:val="28"/>
        </w:rPr>
        <w:t>Chapter Five: Conclusions, Recommendations, and Further Research</w:t>
      </w:r>
    </w:p>
    <w:p w14:paraId="275D6380"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b/>
          <w:bCs/>
          <w:sz w:val="24"/>
          <w:szCs w:val="24"/>
        </w:rPr>
      </w:pPr>
    </w:p>
    <w:p w14:paraId="44BEE45D" w14:textId="77777777" w:rsidR="00BE5DAB" w:rsidRPr="00BE5DAB" w:rsidRDefault="00BE5DAB" w:rsidP="00BE5DAB">
      <w:pPr>
        <w:widowControl w:val="0"/>
        <w:numPr>
          <w:ilvl w:val="1"/>
          <w:numId w:val="13"/>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Conclusions</w:t>
      </w:r>
    </w:p>
    <w:p w14:paraId="6A4BACD5"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This study aims to identify the reasons/factors that lead the Arabs who live in London to boycott certain brands/companies. For this reason, a survey was created to provide data that allows the researcher to achieve the aim of this study. The survey is categorised into three key parts. The first part is devoted to the personal information of participants. Previous studies found related to boycotting found a link between personal knowledge and consumer behaviour. The sample of individuals selected are from both genders and belong to the different genres of age and countries. Additionally, some of these participants lived in the UK for a long time, while others are new. After analysing the primary data, the researcher collected to achieve the aim of this study, several conclusions were identified: </w:t>
      </w:r>
    </w:p>
    <w:p w14:paraId="74325A8A"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Conclusion 1</w:t>
      </w:r>
      <w:r w:rsidRPr="00BE5DAB">
        <w:rPr>
          <w:rFonts w:ascii="Times New Roman" w:eastAsia="Cambria" w:hAnsi="Times New Roman" w:cs="Times New Roman"/>
          <w:sz w:val="24"/>
          <w:szCs w:val="24"/>
        </w:rPr>
        <w:t xml:space="preserve">: the participants are more likely to be influenced by external factors, such as: political, religious, and friends and family. The influence of these external factors can lead to changes in their behaviour to the extent of boycotting products/brands. This consumer behaviour was manifested clearly in the Danish cartoon incident in the year 2006 when the Muslims, among which a large spectrum of Arabs, have boycotted Danish products. More than 80 percent of the Arabs who participated in this study mentioned that they boycotted brands before. And the two key reasons for boycotting brands/companies are politics and war. Therefore, companies who are approaching new consumers should identify the views they possess, as it can lead them to be loyal or boycott this new product/company. However, 13 </w:t>
      </w:r>
      <w:r w:rsidRPr="00BE5DAB">
        <w:rPr>
          <w:rFonts w:ascii="Times New Roman" w:eastAsia="Cambria" w:hAnsi="Times New Roman" w:cs="Times New Roman"/>
          <w:sz w:val="24"/>
          <w:szCs w:val="24"/>
        </w:rPr>
        <w:lastRenderedPageBreak/>
        <w:t xml:space="preserve">participants stated that religion or politics does not strongly influence their daily life.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these participants lived in the UK for more than three years. </w:t>
      </w:r>
    </w:p>
    <w:p w14:paraId="4AC8674E"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Conclusion 2:</w:t>
      </w:r>
      <w:r w:rsidRPr="00BE5DAB">
        <w:rPr>
          <w:rFonts w:ascii="Times New Roman" w:eastAsia="Cambria" w:hAnsi="Times New Roman" w:cs="Times New Roman"/>
          <w:sz w:val="24"/>
          <w:szCs w:val="24"/>
        </w:rPr>
        <w:t xml:space="preserve"> The Arabs who participated in this study are more likely to buy products out of availability rather than loyalty. Therefore, the consumer behaviour of Arabs in the UK can be shaped by the availability of certain products. The awareness of this information is vital, as Arabs in the UK could buy available products even though they will not buy them in different circumstances and vice versa. In other words, Arab consumers in the UK are more likely to buy products that are available in a constant manner rather than buying products that are not available in a constant manner. Most of the Arab participants are not buying products from their country of origin. There can be a correlation between the availability of these products and the constant purchase of these products by Arab consumers. </w:t>
      </w:r>
      <w:proofErr w:type="gramStart"/>
      <w:r w:rsidRPr="00BE5DAB">
        <w:rPr>
          <w:rFonts w:ascii="Times New Roman" w:eastAsia="Cambria" w:hAnsi="Times New Roman" w:cs="Times New Roman"/>
          <w:sz w:val="24"/>
          <w:szCs w:val="24"/>
        </w:rPr>
        <w:t>The majority of</w:t>
      </w:r>
      <w:proofErr w:type="gramEnd"/>
      <w:r w:rsidRPr="00BE5DAB">
        <w:rPr>
          <w:rFonts w:ascii="Times New Roman" w:eastAsia="Cambria" w:hAnsi="Times New Roman" w:cs="Times New Roman"/>
          <w:sz w:val="24"/>
          <w:szCs w:val="24"/>
        </w:rPr>
        <w:t xml:space="preserve"> Arabs stated that they can switch between brands for two key reasons, namely: comfort and confidence. This supports the view that Arab consumers are rather relying more on available products than products that do not always exist in the market. In other words, Arab consumers will buy products that are reliable and </w:t>
      </w:r>
      <w:proofErr w:type="gramStart"/>
      <w:r w:rsidRPr="00BE5DAB">
        <w:rPr>
          <w:rFonts w:ascii="Times New Roman" w:eastAsia="Cambria" w:hAnsi="Times New Roman" w:cs="Times New Roman"/>
          <w:sz w:val="24"/>
          <w:szCs w:val="24"/>
        </w:rPr>
        <w:t>will</w:t>
      </w:r>
      <w:proofErr w:type="gramEnd"/>
      <w:r w:rsidRPr="00BE5DAB">
        <w:rPr>
          <w:rFonts w:ascii="Times New Roman" w:eastAsia="Cambria" w:hAnsi="Times New Roman" w:cs="Times New Roman"/>
          <w:sz w:val="24"/>
          <w:szCs w:val="24"/>
        </w:rPr>
        <w:t xml:space="preserve"> easy to access.</w:t>
      </w:r>
    </w:p>
    <w:p w14:paraId="052FE8E4"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b/>
          <w:bCs/>
          <w:sz w:val="24"/>
          <w:szCs w:val="24"/>
        </w:rPr>
        <w:t>Conclusion 3:</w:t>
      </w:r>
      <w:r w:rsidRPr="00BE5DAB">
        <w:rPr>
          <w:rFonts w:ascii="Times New Roman" w:eastAsia="Cambria" w:hAnsi="Times New Roman" w:cs="Times New Roman"/>
          <w:sz w:val="24"/>
          <w:szCs w:val="24"/>
        </w:rPr>
        <w:t xml:space="preserve"> certain reasons influence the consumer behaviour of Arabs in the UK, namely: products must be halal, taste good, and possess good quality. They can also be influenced by other external factors as stated earlier. Therefore, Arab consumers are not open to trying some of the products in the market, unless they are the only available products of their genre.</w:t>
      </w:r>
    </w:p>
    <w:p w14:paraId="1A06263B"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p>
    <w:p w14:paraId="78F57022" w14:textId="77777777" w:rsidR="00BE5DAB" w:rsidRPr="00BE5DAB" w:rsidRDefault="00BE5DAB" w:rsidP="00BE5DAB">
      <w:pPr>
        <w:widowControl w:val="0"/>
        <w:numPr>
          <w:ilvl w:val="1"/>
          <w:numId w:val="13"/>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t>Recommendations</w:t>
      </w:r>
    </w:p>
    <w:p w14:paraId="7ADBCC39"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This investigation recommends companies who want to approach new counties/cities/areas to study them carefully and from the investigation, identify the reasons that lead consumers who live in them to buy/boycott new products. The investigation also recommends companies who supply products that target Arab consumers in London (and the UK) to ensure that these products are available and that access to them is easy. Otherwise, these products may be at risk of losing market share. This is the case because the participants in this study buy products because they are </w:t>
      </w:r>
      <w:proofErr w:type="gramStart"/>
      <w:r w:rsidRPr="00BE5DAB">
        <w:rPr>
          <w:rFonts w:ascii="Times New Roman" w:eastAsia="Cambria" w:hAnsi="Times New Roman" w:cs="Times New Roman"/>
          <w:sz w:val="24"/>
          <w:szCs w:val="24"/>
        </w:rPr>
        <w:t>available</w:t>
      </w:r>
      <w:proofErr w:type="gramEnd"/>
      <w:r w:rsidRPr="00BE5DAB">
        <w:rPr>
          <w:rFonts w:ascii="Times New Roman" w:eastAsia="Cambria" w:hAnsi="Times New Roman" w:cs="Times New Roman"/>
          <w:sz w:val="24"/>
          <w:szCs w:val="24"/>
        </w:rPr>
        <w:t xml:space="preserve"> and they can switch between products when comfort and reliability are not available any longer. </w:t>
      </w:r>
    </w:p>
    <w:p w14:paraId="5D369AEB"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The study also recommends companies who approach markets in areas of Arab consumers to highlight aspects related to the quality and taste of the products they sell rather than the country of origin or affiliate companies they operate in areas that have religious or political conflicts with Arab countries. </w:t>
      </w:r>
    </w:p>
    <w:p w14:paraId="12E21F16" w14:textId="77777777" w:rsidR="00BE5DAB" w:rsidRPr="00BE5DAB" w:rsidRDefault="00BE5DAB" w:rsidP="00BE5DAB">
      <w:pPr>
        <w:widowControl w:val="0"/>
        <w:tabs>
          <w:tab w:val="left" w:pos="0"/>
        </w:tabs>
        <w:autoSpaceDE w:val="0"/>
        <w:autoSpaceDN w:val="0"/>
        <w:spacing w:after="0" w:line="360" w:lineRule="auto"/>
        <w:jc w:val="both"/>
        <w:rPr>
          <w:rFonts w:ascii="Times New Roman" w:eastAsia="Cambria" w:hAnsi="Times New Roman" w:cs="Times New Roman"/>
          <w:sz w:val="24"/>
          <w:szCs w:val="24"/>
        </w:rPr>
      </w:pPr>
    </w:p>
    <w:p w14:paraId="07CF502F" w14:textId="77777777" w:rsidR="00BE5DAB" w:rsidRPr="00BE5DAB" w:rsidRDefault="00BE5DAB" w:rsidP="00BE5DAB">
      <w:pPr>
        <w:widowControl w:val="0"/>
        <w:numPr>
          <w:ilvl w:val="1"/>
          <w:numId w:val="13"/>
        </w:numPr>
        <w:autoSpaceDE w:val="0"/>
        <w:autoSpaceDN w:val="0"/>
        <w:spacing w:after="0" w:line="360" w:lineRule="auto"/>
        <w:jc w:val="both"/>
        <w:rPr>
          <w:rFonts w:ascii="Times New Roman" w:eastAsia="Cambria" w:hAnsi="Times New Roman" w:cs="Times New Roman"/>
          <w:b/>
          <w:bCs/>
          <w:sz w:val="24"/>
          <w:szCs w:val="24"/>
        </w:rPr>
      </w:pPr>
      <w:r w:rsidRPr="00BE5DAB">
        <w:rPr>
          <w:rFonts w:ascii="Times New Roman" w:eastAsia="Cambria" w:hAnsi="Times New Roman" w:cs="Times New Roman"/>
          <w:b/>
          <w:bCs/>
          <w:sz w:val="24"/>
          <w:szCs w:val="24"/>
        </w:rPr>
        <w:lastRenderedPageBreak/>
        <w:t>Further Research</w:t>
      </w:r>
    </w:p>
    <w:p w14:paraId="6C41CF31" w14:textId="3DB31A56" w:rsidR="00BE5DAB" w:rsidRPr="00BE5DAB" w:rsidRDefault="00BE5DAB" w:rsidP="001470E9">
      <w:pPr>
        <w:widowControl w:val="0"/>
        <w:tabs>
          <w:tab w:val="left" w:pos="0"/>
        </w:tabs>
        <w:autoSpaceDE w:val="0"/>
        <w:autoSpaceDN w:val="0"/>
        <w:spacing w:after="0" w:line="360" w:lineRule="auto"/>
        <w:jc w:val="both"/>
        <w:rPr>
          <w:rFonts w:ascii="Times New Roman" w:eastAsia="Cambria" w:hAnsi="Times New Roman" w:cs="Times New Roman"/>
          <w:sz w:val="24"/>
          <w:szCs w:val="24"/>
        </w:rPr>
        <w:sectPr w:rsidR="00BE5DAB" w:rsidRPr="00BE5DAB" w:rsidSect="00BE5DAB">
          <w:pgSz w:w="11906" w:h="16838"/>
          <w:pgMar w:top="1440" w:right="1440" w:bottom="1440" w:left="1440" w:header="720" w:footer="720" w:gutter="0"/>
          <w:pgNumType w:start="0"/>
          <w:cols w:space="720"/>
          <w:titlePg/>
          <w:docGrid w:linePitch="299"/>
        </w:sectPr>
      </w:pPr>
      <w:r w:rsidRPr="00BE5DAB">
        <w:rPr>
          <w:rFonts w:ascii="Times New Roman" w:eastAsia="Cambria" w:hAnsi="Times New Roman" w:cs="Times New Roman"/>
          <w:sz w:val="24"/>
          <w:szCs w:val="24"/>
        </w:rPr>
        <w:t>The research focussed on the population of London. Therefore, a further researcher could include other cities of the city of the UK to provide a more comprehensive view on the factors that lead Arab consumers to boycott brands/products. In addition, further research can target a larger sample - the sample of this study includes 46 participants, and further research can include a larger sample that provides stronger evidence for outcomes of future research regarding the reasons that lead Arab consumers to boycott products/brands.</w:t>
      </w:r>
    </w:p>
    <w:p w14:paraId="33B671FA" w14:textId="77777777" w:rsidR="00BE5DAB" w:rsidRPr="00BE5DAB" w:rsidRDefault="00BE5DAB" w:rsidP="00BE5DAB">
      <w:pPr>
        <w:widowControl w:val="0"/>
        <w:autoSpaceDE w:val="0"/>
        <w:autoSpaceDN w:val="0"/>
        <w:spacing w:before="204" w:after="0" w:line="360" w:lineRule="auto"/>
        <w:ind w:rightChars="-24" w:right="-53"/>
        <w:jc w:val="both"/>
        <w:rPr>
          <w:rFonts w:ascii="Times New Roman" w:eastAsia="Cambria" w:hAnsi="Times New Roman" w:cs="Times New Roman"/>
          <w:sz w:val="28"/>
          <w:szCs w:val="28"/>
        </w:rPr>
      </w:pPr>
      <w:r w:rsidRPr="00BE5DAB">
        <w:rPr>
          <w:rFonts w:ascii="Times New Roman" w:eastAsia="SimSun" w:hAnsi="Times New Roman" w:cs="Times New Roman"/>
          <w:b/>
          <w:bCs/>
          <w:sz w:val="28"/>
          <w:szCs w:val="28"/>
          <w:lang w:eastAsia="zh-CN"/>
        </w:rPr>
        <w:lastRenderedPageBreak/>
        <w:t>References</w:t>
      </w:r>
    </w:p>
    <w:p w14:paraId="793F624D"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Abu-</w:t>
      </w:r>
      <w:proofErr w:type="spellStart"/>
      <w:r w:rsidRPr="00BE5DAB">
        <w:rPr>
          <w:rFonts w:ascii="Times New Roman" w:eastAsia="SimSun" w:hAnsi="Times New Roman" w:cs="Times New Roman"/>
          <w:sz w:val="24"/>
          <w:szCs w:val="24"/>
          <w:lang w:eastAsia="zh-CN"/>
        </w:rPr>
        <w:t>Alhaija</w:t>
      </w:r>
      <w:proofErr w:type="spellEnd"/>
      <w:r w:rsidRPr="00BE5DAB">
        <w:rPr>
          <w:rFonts w:ascii="Times New Roman" w:eastAsia="SimSun" w:hAnsi="Times New Roman" w:cs="Times New Roman"/>
          <w:sz w:val="24"/>
          <w:szCs w:val="24"/>
          <w:lang w:eastAsia="zh-CN"/>
        </w:rPr>
        <w:t xml:space="preserve">, A., Yusof, R., Hashim, H. &amp; </w:t>
      </w:r>
      <w:proofErr w:type="spellStart"/>
      <w:r w:rsidRPr="00BE5DAB">
        <w:rPr>
          <w:rFonts w:ascii="Times New Roman" w:eastAsia="SimSun" w:hAnsi="Times New Roman" w:cs="Times New Roman"/>
          <w:sz w:val="24"/>
          <w:szCs w:val="24"/>
          <w:lang w:eastAsia="zh-CN"/>
        </w:rPr>
        <w:t>Jaharuddin</w:t>
      </w:r>
      <w:proofErr w:type="spellEnd"/>
      <w:r w:rsidRPr="00BE5DAB">
        <w:rPr>
          <w:rFonts w:ascii="Times New Roman" w:eastAsia="SimSun" w:hAnsi="Times New Roman" w:cs="Times New Roman"/>
          <w:sz w:val="24"/>
          <w:szCs w:val="24"/>
          <w:lang w:eastAsia="zh-CN"/>
        </w:rPr>
        <w:t xml:space="preserve"> (2018). Religion in consumer behaviour research: The significance of religious commitment and religious affiliation. In International Journal of Eco-nomics, Commerce and Management, pp. 245-259.</w:t>
      </w:r>
    </w:p>
    <w:p w14:paraId="0FAB260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Akhtar, N., Ahmed, I., </w:t>
      </w:r>
      <w:proofErr w:type="spellStart"/>
      <w:r w:rsidRPr="00BE5DAB">
        <w:rPr>
          <w:rFonts w:ascii="Times New Roman" w:eastAsia="Cambria" w:hAnsi="Times New Roman" w:cs="Times New Roman"/>
          <w:sz w:val="24"/>
          <w:szCs w:val="24"/>
          <w:lang w:val="en-US"/>
        </w:rPr>
        <w:t>Jafar</w:t>
      </w:r>
      <w:proofErr w:type="spellEnd"/>
      <w:r w:rsidRPr="00BE5DAB">
        <w:rPr>
          <w:rFonts w:ascii="Times New Roman" w:eastAsia="Cambria" w:hAnsi="Times New Roman" w:cs="Times New Roman"/>
          <w:sz w:val="24"/>
          <w:szCs w:val="24"/>
          <w:lang w:val="en-US"/>
        </w:rPr>
        <w:t xml:space="preserve">, H.Y., Rizwan, A. and Nawaz, J.M. 2016. The Impact of Packaging, Price and Brand Awareness on Brand Loyalty: A Reseller Perspective in Mobile Sector of Pakistan. </w:t>
      </w:r>
      <w:r w:rsidRPr="00BE5DAB">
        <w:rPr>
          <w:rFonts w:ascii="Times New Roman" w:eastAsia="Cambria" w:hAnsi="Times New Roman" w:cs="Times New Roman"/>
          <w:i/>
          <w:iCs/>
          <w:sz w:val="24"/>
          <w:szCs w:val="24"/>
          <w:lang w:val="en-US"/>
        </w:rPr>
        <w:t>International Review of Management and Business Research</w:t>
      </w:r>
      <w:r w:rsidRPr="00BE5DAB">
        <w:rPr>
          <w:rFonts w:ascii="Times New Roman" w:eastAsia="Cambria" w:hAnsi="Times New Roman" w:cs="Times New Roman"/>
          <w:sz w:val="24"/>
          <w:szCs w:val="24"/>
          <w:lang w:val="en-US"/>
        </w:rPr>
        <w:t xml:space="preserve"> 5(3), pp. 790-807.</w:t>
      </w:r>
    </w:p>
    <w:p w14:paraId="33DF80C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Akram</w:t>
      </w:r>
      <w:proofErr w:type="spellEnd"/>
      <w:r w:rsidRPr="00BE5DAB">
        <w:rPr>
          <w:rFonts w:ascii="Times New Roman" w:eastAsia="SimSun" w:hAnsi="Times New Roman" w:cs="Times New Roman"/>
          <w:sz w:val="24"/>
          <w:szCs w:val="24"/>
          <w:lang w:eastAsia="zh-CN"/>
        </w:rPr>
        <w:t xml:space="preserve">, S. (2021). 'Your input counts': Could the 2021 census be an opportunity for Britain's Arab </w:t>
      </w:r>
      <w:proofErr w:type="gramStart"/>
      <w:r w:rsidRPr="00BE5DAB">
        <w:rPr>
          <w:rFonts w:ascii="Times New Roman" w:eastAsia="SimSun" w:hAnsi="Times New Roman" w:cs="Times New Roman"/>
          <w:sz w:val="24"/>
          <w:szCs w:val="24"/>
          <w:lang w:eastAsia="zh-CN"/>
        </w:rPr>
        <w:t>community?.</w:t>
      </w:r>
      <w:proofErr w:type="gramEnd"/>
      <w:r w:rsidRPr="00BE5DAB">
        <w:rPr>
          <w:rFonts w:ascii="Times New Roman" w:eastAsia="SimSun" w:hAnsi="Times New Roman" w:cs="Times New Roman"/>
          <w:sz w:val="24"/>
          <w:szCs w:val="24"/>
          <w:lang w:eastAsia="zh-CN"/>
        </w:rPr>
        <w:t xml:space="preserve"> Accessed from: </w:t>
      </w:r>
      <w:hyperlink r:id="rId58" w:history="1">
        <w:r w:rsidRPr="00BE5DAB">
          <w:rPr>
            <w:rFonts w:ascii="Times New Roman" w:eastAsia="SimSun" w:hAnsi="Times New Roman" w:cs="Times New Roman"/>
            <w:color w:val="0000FF"/>
            <w:sz w:val="24"/>
            <w:szCs w:val="24"/>
            <w:u w:val="single"/>
            <w:lang w:eastAsia="zh-CN"/>
          </w:rPr>
          <w:t>https://english.alaraby.co.uk/features/census-2021-opportunity-britains-arab-community</w:t>
        </w:r>
      </w:hyperlink>
      <w:r w:rsidRPr="00BE5DAB">
        <w:rPr>
          <w:rFonts w:ascii="Times New Roman" w:eastAsia="SimSun" w:hAnsi="Times New Roman" w:cs="Times New Roman"/>
          <w:sz w:val="24"/>
          <w:szCs w:val="24"/>
          <w:lang w:eastAsia="zh-CN"/>
        </w:rPr>
        <w:t xml:space="preserve"> [14-Aug-2021].</w:t>
      </w:r>
    </w:p>
    <w:p w14:paraId="205C847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Al-</w:t>
      </w:r>
      <w:proofErr w:type="spellStart"/>
      <w:r w:rsidRPr="00BE5DAB">
        <w:rPr>
          <w:rFonts w:ascii="Times New Roman" w:eastAsia="SimSun" w:hAnsi="Times New Roman" w:cs="Times New Roman"/>
          <w:sz w:val="24"/>
          <w:szCs w:val="24"/>
          <w:lang w:eastAsia="zh-CN"/>
        </w:rPr>
        <w:t>Hyari</w:t>
      </w:r>
      <w:proofErr w:type="spellEnd"/>
      <w:r w:rsidRPr="00BE5DAB">
        <w:rPr>
          <w:rFonts w:ascii="Times New Roman" w:eastAsia="SimSun" w:hAnsi="Times New Roman" w:cs="Times New Roman"/>
          <w:sz w:val="24"/>
          <w:szCs w:val="24"/>
          <w:lang w:eastAsia="zh-CN"/>
        </w:rPr>
        <w:t xml:space="preserve">, K., </w:t>
      </w:r>
      <w:proofErr w:type="spellStart"/>
      <w:r w:rsidRPr="00BE5DAB">
        <w:rPr>
          <w:rFonts w:ascii="Times New Roman" w:eastAsia="SimSun" w:hAnsi="Times New Roman" w:cs="Times New Roman"/>
          <w:sz w:val="24"/>
          <w:szCs w:val="24"/>
          <w:lang w:eastAsia="zh-CN"/>
        </w:rPr>
        <w:t>Alnsour</w:t>
      </w:r>
      <w:proofErr w:type="spellEnd"/>
      <w:r w:rsidRPr="00BE5DAB">
        <w:rPr>
          <w:rFonts w:ascii="Times New Roman" w:eastAsia="SimSun" w:hAnsi="Times New Roman" w:cs="Times New Roman"/>
          <w:sz w:val="24"/>
          <w:szCs w:val="24"/>
          <w:lang w:eastAsia="zh-CN"/>
        </w:rPr>
        <w:t>, M., Al-</w:t>
      </w:r>
      <w:proofErr w:type="spellStart"/>
      <w:r w:rsidRPr="00BE5DAB">
        <w:rPr>
          <w:rFonts w:ascii="Times New Roman" w:eastAsia="SimSun" w:hAnsi="Times New Roman" w:cs="Times New Roman"/>
          <w:sz w:val="24"/>
          <w:szCs w:val="24"/>
          <w:lang w:eastAsia="zh-CN"/>
        </w:rPr>
        <w:t>Weshah</w:t>
      </w:r>
      <w:proofErr w:type="spellEnd"/>
      <w:r w:rsidRPr="00BE5DAB">
        <w:rPr>
          <w:rFonts w:ascii="Times New Roman" w:eastAsia="SimSun" w:hAnsi="Times New Roman" w:cs="Times New Roman"/>
          <w:sz w:val="24"/>
          <w:szCs w:val="24"/>
          <w:lang w:eastAsia="zh-CN"/>
        </w:rPr>
        <w:t xml:space="preserve">, G. and </w:t>
      </w:r>
      <w:proofErr w:type="spellStart"/>
      <w:r w:rsidRPr="00BE5DAB">
        <w:rPr>
          <w:rFonts w:ascii="Times New Roman" w:eastAsia="SimSun" w:hAnsi="Times New Roman" w:cs="Times New Roman"/>
          <w:sz w:val="24"/>
          <w:szCs w:val="24"/>
          <w:lang w:eastAsia="zh-CN"/>
        </w:rPr>
        <w:t>Haffar</w:t>
      </w:r>
      <w:proofErr w:type="spellEnd"/>
      <w:r w:rsidRPr="00BE5DAB">
        <w:rPr>
          <w:rFonts w:ascii="Times New Roman" w:eastAsia="SimSun" w:hAnsi="Times New Roman" w:cs="Times New Roman"/>
          <w:sz w:val="24"/>
          <w:szCs w:val="24"/>
          <w:lang w:eastAsia="zh-CN"/>
        </w:rPr>
        <w:t>, M. (2012). Religious beliefs and consumer behaviour: from loyalty to boycotts. Journal of Islamic Marketing. 3(2), pp. 155 – 174.</w:t>
      </w:r>
    </w:p>
    <w:p w14:paraId="1852ED8D"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Aljarboa</w:t>
      </w:r>
      <w:proofErr w:type="spellEnd"/>
      <w:r w:rsidRPr="00BE5DAB">
        <w:rPr>
          <w:rFonts w:ascii="Times New Roman" w:eastAsia="SimSun" w:hAnsi="Times New Roman" w:cs="Times New Roman"/>
          <w:sz w:val="24"/>
          <w:szCs w:val="24"/>
          <w:lang w:eastAsia="zh-CN"/>
        </w:rPr>
        <w:t xml:space="preserve">, H. (2014). Consumer Animosity. International Journal </w:t>
      </w:r>
      <w:proofErr w:type="gramStart"/>
      <w:r w:rsidRPr="00BE5DAB">
        <w:rPr>
          <w:rFonts w:ascii="Times New Roman" w:eastAsia="SimSun" w:hAnsi="Times New Roman" w:cs="Times New Roman"/>
          <w:sz w:val="24"/>
          <w:szCs w:val="24"/>
          <w:lang w:eastAsia="zh-CN"/>
        </w:rPr>
        <w:t>Of</w:t>
      </w:r>
      <w:proofErr w:type="gramEnd"/>
      <w:r w:rsidRPr="00BE5DAB">
        <w:rPr>
          <w:rFonts w:ascii="Times New Roman" w:eastAsia="SimSun" w:hAnsi="Times New Roman" w:cs="Times New Roman"/>
          <w:sz w:val="24"/>
          <w:szCs w:val="24"/>
          <w:lang w:eastAsia="zh-CN"/>
        </w:rPr>
        <w:t xml:space="preserve"> Management and Information Technology, 10(4), pp. 2052–2062.</w:t>
      </w:r>
    </w:p>
    <w:p w14:paraId="406FFAA9"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Alnasera</w:t>
      </w:r>
      <w:proofErr w:type="spellEnd"/>
      <w:r w:rsidRPr="00BE5DAB">
        <w:rPr>
          <w:rFonts w:ascii="Times New Roman" w:eastAsia="Cambria" w:hAnsi="Times New Roman" w:cs="Times New Roman"/>
          <w:sz w:val="24"/>
          <w:szCs w:val="24"/>
          <w:lang w:val="en-US"/>
        </w:rPr>
        <w:t xml:space="preserve">, F.M.I., Ghani, M.A. and </w:t>
      </w:r>
      <w:proofErr w:type="spellStart"/>
      <w:r w:rsidRPr="00BE5DAB">
        <w:rPr>
          <w:rFonts w:ascii="Times New Roman" w:eastAsia="Cambria" w:hAnsi="Times New Roman" w:cs="Times New Roman"/>
          <w:sz w:val="24"/>
          <w:szCs w:val="24"/>
          <w:lang w:val="en-US"/>
        </w:rPr>
        <w:t>Rahi</w:t>
      </w:r>
      <w:proofErr w:type="spellEnd"/>
      <w:r w:rsidRPr="00BE5DAB">
        <w:rPr>
          <w:rFonts w:ascii="Times New Roman" w:eastAsia="Cambria" w:hAnsi="Times New Roman" w:cs="Times New Roman"/>
          <w:sz w:val="24"/>
          <w:szCs w:val="24"/>
          <w:lang w:val="en-US"/>
        </w:rPr>
        <w:t xml:space="preserve">, S. 2018. Service quality in Islamic banks: The role of PAKSERV model, customer satisfaction and customer loyalty. </w:t>
      </w:r>
      <w:r w:rsidRPr="00BE5DAB">
        <w:rPr>
          <w:rFonts w:ascii="Times New Roman" w:eastAsia="Cambria" w:hAnsi="Times New Roman" w:cs="Times New Roman"/>
          <w:i/>
          <w:iCs/>
          <w:sz w:val="24"/>
          <w:szCs w:val="24"/>
          <w:lang w:val="en-US"/>
        </w:rPr>
        <w:t>Accounting</w:t>
      </w:r>
      <w:r w:rsidRPr="00BE5DAB">
        <w:rPr>
          <w:rFonts w:ascii="Times New Roman" w:eastAsia="Cambria" w:hAnsi="Times New Roman" w:cs="Times New Roman"/>
          <w:sz w:val="24"/>
          <w:szCs w:val="24"/>
          <w:lang w:val="en-US"/>
        </w:rPr>
        <w:t xml:space="preserve"> 4, pp. 63-72. </w:t>
      </w:r>
    </w:p>
    <w:p w14:paraId="22F0075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rPr>
      </w:pPr>
      <w:r w:rsidRPr="00BE5DAB">
        <w:rPr>
          <w:rFonts w:ascii="Times New Roman" w:eastAsia="SimSun" w:hAnsi="Times New Roman" w:cs="Times New Roman"/>
          <w:sz w:val="24"/>
          <w:szCs w:val="24"/>
          <w:lang w:val="en-US"/>
        </w:rPr>
        <w:t>Al</w:t>
      </w:r>
      <w:r w:rsidRPr="00BE5DAB">
        <w:rPr>
          <w:rFonts w:ascii="Times New Roman" w:eastAsia="SimSun" w:hAnsi="Times New Roman" w:cs="Times New Roman"/>
          <w:sz w:val="24"/>
          <w:szCs w:val="24"/>
        </w:rPr>
        <w:t>-</w:t>
      </w:r>
      <w:proofErr w:type="spellStart"/>
      <w:r w:rsidRPr="00BE5DAB">
        <w:rPr>
          <w:rFonts w:ascii="Times New Roman" w:eastAsia="SimSun" w:hAnsi="Times New Roman" w:cs="Times New Roman"/>
          <w:sz w:val="24"/>
          <w:szCs w:val="24"/>
          <w:lang w:val="en-US"/>
        </w:rPr>
        <w:t>Serhan</w:t>
      </w:r>
      <w:proofErr w:type="spellEnd"/>
      <w:r w:rsidRPr="00BE5DAB">
        <w:rPr>
          <w:rFonts w:ascii="Times New Roman" w:eastAsia="SimSun" w:hAnsi="Times New Roman" w:cs="Times New Roman"/>
          <w:sz w:val="24"/>
          <w:szCs w:val="24"/>
        </w:rPr>
        <w:t xml:space="preserve">, O. and </w:t>
      </w:r>
      <w:proofErr w:type="spellStart"/>
      <w:r w:rsidRPr="00BE5DAB">
        <w:rPr>
          <w:rFonts w:ascii="Times New Roman" w:eastAsia="SimSun" w:hAnsi="Times New Roman" w:cs="Times New Roman"/>
          <w:sz w:val="24"/>
          <w:szCs w:val="24"/>
        </w:rPr>
        <w:t>Boukrami</w:t>
      </w:r>
      <w:proofErr w:type="spellEnd"/>
      <w:r w:rsidRPr="00BE5DAB">
        <w:rPr>
          <w:rFonts w:ascii="Times New Roman" w:eastAsia="SimSun" w:hAnsi="Times New Roman" w:cs="Times New Roman"/>
          <w:sz w:val="24"/>
          <w:szCs w:val="24"/>
        </w:rPr>
        <w:t xml:space="preserve">, E. (2015). </w:t>
      </w:r>
      <w:r w:rsidRPr="00BE5DAB">
        <w:rPr>
          <w:rFonts w:ascii="Times New Roman" w:eastAsia="SimSun" w:hAnsi="Times New Roman" w:cs="Times New Roman"/>
          <w:sz w:val="24"/>
          <w:szCs w:val="24"/>
          <w:lang w:val="en-US"/>
        </w:rPr>
        <w:t>Mapping studies on consumer boycotting in international marketing</w:t>
      </w:r>
      <w:r w:rsidRPr="00BE5DAB">
        <w:rPr>
          <w:rFonts w:ascii="Times New Roman" w:eastAsia="SimSun" w:hAnsi="Times New Roman" w:cs="Times New Roman"/>
          <w:sz w:val="24"/>
          <w:szCs w:val="24"/>
        </w:rPr>
        <w:t>. T</w:t>
      </w:r>
      <w:proofErr w:type="spellStart"/>
      <w:r w:rsidRPr="00BE5DAB">
        <w:rPr>
          <w:rFonts w:ascii="Times New Roman" w:eastAsia="SimSun" w:hAnsi="Times New Roman" w:cs="Times New Roman"/>
          <w:sz w:val="24"/>
          <w:szCs w:val="24"/>
          <w:lang w:val="en-US"/>
        </w:rPr>
        <w:t>ransnational</w:t>
      </w:r>
      <w:proofErr w:type="spellEnd"/>
      <w:r w:rsidRPr="00BE5DAB">
        <w:rPr>
          <w:rFonts w:ascii="Times New Roman" w:eastAsia="SimSun" w:hAnsi="Times New Roman" w:cs="Times New Roman"/>
          <w:sz w:val="24"/>
          <w:szCs w:val="24"/>
          <w:lang w:val="en-US"/>
        </w:rPr>
        <w:t xml:space="preserve"> Marketing Journal 3(2), </w:t>
      </w:r>
      <w:r w:rsidRPr="00BE5DAB">
        <w:rPr>
          <w:rFonts w:ascii="Times New Roman" w:eastAsia="SimSun" w:hAnsi="Times New Roman" w:cs="Times New Roman"/>
          <w:sz w:val="24"/>
          <w:szCs w:val="24"/>
        </w:rPr>
        <w:t xml:space="preserve">pp. </w:t>
      </w:r>
      <w:r w:rsidRPr="00BE5DAB">
        <w:rPr>
          <w:rFonts w:ascii="Times New Roman" w:eastAsia="SimSun" w:hAnsi="Times New Roman" w:cs="Times New Roman"/>
          <w:sz w:val="24"/>
          <w:szCs w:val="24"/>
          <w:lang w:val="en-US"/>
        </w:rPr>
        <w:t>130-151</w:t>
      </w:r>
      <w:r w:rsidRPr="00BE5DAB">
        <w:rPr>
          <w:rFonts w:ascii="Times New Roman" w:eastAsia="SimSun" w:hAnsi="Times New Roman" w:cs="Times New Roman"/>
          <w:sz w:val="24"/>
          <w:szCs w:val="24"/>
        </w:rPr>
        <w:t>.</w:t>
      </w:r>
    </w:p>
    <w:p w14:paraId="6D55E480"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Ammar, N. 2018. 14 Egyptian Companies Gone Global. [Online]. Available at: </w:t>
      </w:r>
      <w:hyperlink r:id="rId59" w:history="1">
        <w:r w:rsidRPr="00BE5DAB">
          <w:rPr>
            <w:rFonts w:ascii="Times New Roman" w:eastAsia="Cambria" w:hAnsi="Times New Roman" w:cs="Times New Roman"/>
            <w:color w:val="0000FF"/>
            <w:sz w:val="24"/>
            <w:szCs w:val="24"/>
            <w:u w:val="single"/>
            <w:lang w:val="en-US"/>
          </w:rPr>
          <w:t>https://egyptianstreets.com/2018/07/20/14-egyptian-companies-gone-global/</w:t>
        </w:r>
      </w:hyperlink>
      <w:r w:rsidRPr="00BE5DAB">
        <w:rPr>
          <w:rFonts w:ascii="Times New Roman" w:eastAsia="Cambria" w:hAnsi="Times New Roman" w:cs="Times New Roman"/>
          <w:sz w:val="24"/>
          <w:szCs w:val="24"/>
          <w:lang w:val="en-US"/>
        </w:rPr>
        <w:t xml:space="preserve"> [Accessed on: 24 August 2021]. </w:t>
      </w:r>
    </w:p>
    <w:p w14:paraId="132BEB2E"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Andaleeb</w:t>
      </w:r>
      <w:proofErr w:type="spellEnd"/>
      <w:r w:rsidRPr="00BE5DAB">
        <w:rPr>
          <w:rFonts w:ascii="Times New Roman" w:eastAsia="SimSun" w:hAnsi="Times New Roman" w:cs="Times New Roman"/>
          <w:sz w:val="24"/>
          <w:szCs w:val="24"/>
          <w:lang w:eastAsia="zh-CN"/>
        </w:rPr>
        <w:t xml:space="preserve">, S. and </w:t>
      </w:r>
      <w:proofErr w:type="spellStart"/>
      <w:r w:rsidRPr="00BE5DAB">
        <w:rPr>
          <w:rFonts w:ascii="Times New Roman" w:eastAsia="SimSun" w:hAnsi="Times New Roman" w:cs="Times New Roman"/>
          <w:sz w:val="24"/>
          <w:szCs w:val="24"/>
          <w:lang w:eastAsia="zh-CN"/>
        </w:rPr>
        <w:t>Latiff</w:t>
      </w:r>
      <w:proofErr w:type="spellEnd"/>
      <w:r w:rsidRPr="00BE5DAB">
        <w:rPr>
          <w:rFonts w:ascii="Times New Roman" w:eastAsia="SimSun" w:hAnsi="Times New Roman" w:cs="Times New Roman"/>
          <w:sz w:val="24"/>
          <w:szCs w:val="24"/>
          <w:lang w:eastAsia="zh-CN"/>
        </w:rPr>
        <w:t xml:space="preserve">, S. (2016), "Consumer </w:t>
      </w:r>
      <w:proofErr w:type="spellStart"/>
      <w:r w:rsidRPr="00BE5DAB">
        <w:rPr>
          <w:rFonts w:ascii="Times New Roman" w:eastAsia="SimSun" w:hAnsi="Times New Roman" w:cs="Times New Roman"/>
          <w:sz w:val="24"/>
          <w:szCs w:val="24"/>
          <w:lang w:eastAsia="zh-CN"/>
        </w:rPr>
        <w:t>Behavior</w:t>
      </w:r>
      <w:proofErr w:type="spellEnd"/>
      <w:r w:rsidRPr="00BE5DAB">
        <w:rPr>
          <w:rFonts w:ascii="Times New Roman" w:eastAsia="SimSun" w:hAnsi="Times New Roman" w:cs="Times New Roman"/>
          <w:sz w:val="24"/>
          <w:szCs w:val="24"/>
          <w:lang w:eastAsia="zh-CN"/>
        </w:rPr>
        <w:t xml:space="preserve">", </w:t>
      </w:r>
      <w:proofErr w:type="spellStart"/>
      <w:r w:rsidRPr="00BE5DAB">
        <w:rPr>
          <w:rFonts w:ascii="Times New Roman" w:eastAsia="SimSun" w:hAnsi="Times New Roman" w:cs="Times New Roman"/>
          <w:sz w:val="24"/>
          <w:szCs w:val="24"/>
          <w:lang w:eastAsia="zh-CN"/>
        </w:rPr>
        <w:t>Andaleeb</w:t>
      </w:r>
      <w:proofErr w:type="spellEnd"/>
      <w:r w:rsidRPr="00BE5DAB">
        <w:rPr>
          <w:rFonts w:ascii="Times New Roman" w:eastAsia="SimSun" w:hAnsi="Times New Roman" w:cs="Times New Roman"/>
          <w:sz w:val="24"/>
          <w:szCs w:val="24"/>
          <w:lang w:eastAsia="zh-CN"/>
        </w:rPr>
        <w:t>, S.S. and Hasan, K. (Ed.) Strategic Marketing Management in Asia, Emerald Group Publishing Limited, Bingley, pp. 161-178.</w:t>
      </w:r>
    </w:p>
    <w:p w14:paraId="16E9EDC0"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Ang, S., Jung, K., Kau, A., Leong, S., </w:t>
      </w:r>
      <w:proofErr w:type="spellStart"/>
      <w:r w:rsidRPr="00BE5DAB">
        <w:rPr>
          <w:rFonts w:ascii="Times New Roman" w:eastAsia="Cambria" w:hAnsi="Times New Roman" w:cs="Times New Roman"/>
          <w:sz w:val="24"/>
          <w:szCs w:val="24"/>
          <w:lang w:eastAsia="zh-CN"/>
        </w:rPr>
        <w:t>Pornpitakpan</w:t>
      </w:r>
      <w:proofErr w:type="spellEnd"/>
      <w:r w:rsidRPr="00BE5DAB">
        <w:rPr>
          <w:rFonts w:ascii="Times New Roman" w:eastAsia="Cambria" w:hAnsi="Times New Roman" w:cs="Times New Roman"/>
          <w:sz w:val="24"/>
          <w:szCs w:val="24"/>
          <w:lang w:eastAsia="zh-CN"/>
        </w:rPr>
        <w:t>, C., Tan S. (2004). Animosity towards economic giants: what the little guys think, Journal of consumer Marketing, 21(3), 190- 207.</w:t>
      </w:r>
    </w:p>
    <w:p w14:paraId="27528E68"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Aug-2021]. </w:t>
      </w:r>
    </w:p>
    <w:p w14:paraId="252DF35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Baron, D. (2003). Private Politics. Journal of Economics and Management Strategy. 12(1), pp. 31-66.</w:t>
      </w:r>
    </w:p>
    <w:p w14:paraId="6EDD15F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Bell, E., Bryman, A., and Harley, B. (2018). Business research methods. Oxford: Oxford University Press.</w:t>
      </w:r>
    </w:p>
    <w:p w14:paraId="32A16C65"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proofErr w:type="spellStart"/>
      <w:r w:rsidRPr="00BE5DAB">
        <w:rPr>
          <w:rFonts w:ascii="Times New Roman" w:eastAsia="Cambria" w:hAnsi="Times New Roman" w:cs="Times New Roman"/>
          <w:sz w:val="24"/>
          <w:szCs w:val="24"/>
          <w:lang w:eastAsia="zh-CN"/>
        </w:rPr>
        <w:lastRenderedPageBreak/>
        <w:t>Braunsberger</w:t>
      </w:r>
      <w:proofErr w:type="spellEnd"/>
      <w:r w:rsidRPr="00BE5DAB">
        <w:rPr>
          <w:rFonts w:ascii="Times New Roman" w:eastAsia="Cambria" w:hAnsi="Times New Roman" w:cs="Times New Roman"/>
          <w:sz w:val="24"/>
          <w:szCs w:val="24"/>
          <w:lang w:eastAsia="zh-CN"/>
        </w:rPr>
        <w:t>, K., and Buckler, B. (2011). What motivates consumers to participate in boycotts: Lessons from the ongoing Canadian seafood boycott. Journal of Business Research, 64(1), pp. 96-102.</w:t>
      </w:r>
    </w:p>
    <w:p w14:paraId="75C81E4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Bryman, A. (1995). Research Methods and Organization Studies. London: Routledge.</w:t>
      </w:r>
    </w:p>
    <w:p w14:paraId="193F7858"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Bryman, A. and Bell, E. (2011) Business Research Methods, Third Edition. Oxford: Oxford University Press.</w:t>
      </w:r>
    </w:p>
    <w:p w14:paraId="32F891E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lang w:val="en-US"/>
        </w:rPr>
        <w:t>Bukhari, F</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Hussain, S</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Ahmed</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R</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w:t>
      </w:r>
      <w:proofErr w:type="spellStart"/>
      <w:r w:rsidRPr="00BE5DAB">
        <w:rPr>
          <w:rFonts w:ascii="Times New Roman" w:eastAsia="Cambria" w:hAnsi="Times New Roman" w:cs="Times New Roman"/>
          <w:sz w:val="24"/>
          <w:szCs w:val="24"/>
          <w:lang w:val="en-US"/>
        </w:rPr>
        <w:t>Streimikiene</w:t>
      </w:r>
      <w:proofErr w:type="spellEnd"/>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D</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Soomro</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R</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w:t>
      </w:r>
      <w:proofErr w:type="spellStart"/>
      <w:r w:rsidRPr="00BE5DAB">
        <w:rPr>
          <w:rFonts w:ascii="Times New Roman" w:eastAsia="Cambria" w:hAnsi="Times New Roman" w:cs="Times New Roman"/>
          <w:sz w:val="24"/>
          <w:szCs w:val="24"/>
          <w:lang w:val="en-US"/>
        </w:rPr>
        <w:t>Channar</w:t>
      </w:r>
      <w:proofErr w:type="spellEnd"/>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Z</w:t>
      </w:r>
      <w:r w:rsidRPr="00BE5DAB">
        <w:rPr>
          <w:rFonts w:ascii="Times New Roman" w:eastAsia="Cambria" w:hAnsi="Times New Roman" w:cs="Times New Roman"/>
          <w:sz w:val="24"/>
          <w:szCs w:val="24"/>
        </w:rPr>
        <w:t>. (</w:t>
      </w:r>
      <w:r w:rsidRPr="00BE5DAB">
        <w:rPr>
          <w:rFonts w:ascii="Times New Roman" w:eastAsia="Cambria" w:hAnsi="Times New Roman" w:cs="Times New Roman"/>
          <w:sz w:val="24"/>
          <w:szCs w:val="24"/>
          <w:lang w:val="en-US"/>
        </w:rPr>
        <w:t>2020</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Motives and Role of Religiosity towards Consumer Purchase Behavior in Western Imported Food Products</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Sustainability</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 xml:space="preserve"> 12</w:t>
      </w:r>
      <w:r w:rsidRPr="00BE5DAB">
        <w:rPr>
          <w:rFonts w:ascii="Times New Roman" w:eastAsia="Cambria" w:hAnsi="Times New Roman" w:cs="Times New Roman"/>
          <w:sz w:val="24"/>
          <w:szCs w:val="24"/>
        </w:rPr>
        <w:t>(</w:t>
      </w:r>
      <w:r w:rsidRPr="00BE5DAB">
        <w:rPr>
          <w:rFonts w:ascii="Times New Roman" w:eastAsia="Cambria" w:hAnsi="Times New Roman" w:cs="Times New Roman"/>
          <w:sz w:val="24"/>
          <w:szCs w:val="24"/>
          <w:lang w:val="en-US"/>
        </w:rPr>
        <w:t>1</w:t>
      </w:r>
      <w:r w:rsidRPr="00BE5DAB">
        <w:rPr>
          <w:rFonts w:ascii="Times New Roman" w:eastAsia="Cambria" w:hAnsi="Times New Roman" w:cs="Times New Roman"/>
          <w:sz w:val="24"/>
          <w:szCs w:val="24"/>
        </w:rPr>
        <w:t>), pp.</w:t>
      </w:r>
      <w:r w:rsidRPr="00BE5DAB">
        <w:rPr>
          <w:rFonts w:ascii="Times New Roman" w:eastAsia="Cambria" w:hAnsi="Times New Roman" w:cs="Times New Roman"/>
          <w:sz w:val="24"/>
          <w:szCs w:val="24"/>
          <w:lang w:val="en-US"/>
        </w:rPr>
        <w:t xml:space="preserve"> 356</w:t>
      </w:r>
      <w:r w:rsidRPr="00BE5DAB">
        <w:rPr>
          <w:rFonts w:ascii="Times New Roman" w:eastAsia="Cambria" w:hAnsi="Times New Roman" w:cs="Times New Roman"/>
          <w:sz w:val="24"/>
          <w:szCs w:val="24"/>
        </w:rPr>
        <w:t>.</w:t>
      </w:r>
    </w:p>
    <w:p w14:paraId="0502EF4B"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Busnaina</w:t>
      </w:r>
      <w:proofErr w:type="spellEnd"/>
      <w:r w:rsidRPr="00BE5DAB">
        <w:rPr>
          <w:rFonts w:ascii="Times New Roman" w:eastAsia="Cambria" w:hAnsi="Times New Roman" w:cs="Times New Roman"/>
          <w:sz w:val="24"/>
          <w:szCs w:val="24"/>
          <w:lang w:val="en-US"/>
        </w:rPr>
        <w:t xml:space="preserve">, I. 2014. Fashion Marketing in Arab World: Brand Identity vs. Adaptation. </w:t>
      </w:r>
      <w:r w:rsidRPr="00BE5DAB">
        <w:rPr>
          <w:rFonts w:ascii="Times New Roman" w:eastAsia="Cambria" w:hAnsi="Times New Roman" w:cs="Times New Roman"/>
          <w:i/>
          <w:iCs/>
          <w:sz w:val="24"/>
          <w:szCs w:val="24"/>
          <w:lang w:val="en-US"/>
        </w:rPr>
        <w:t>JTATM</w:t>
      </w:r>
      <w:r w:rsidRPr="00BE5DAB">
        <w:rPr>
          <w:rFonts w:ascii="Times New Roman" w:eastAsia="Cambria" w:hAnsi="Times New Roman" w:cs="Times New Roman"/>
          <w:sz w:val="24"/>
          <w:szCs w:val="24"/>
          <w:lang w:val="en-US"/>
        </w:rPr>
        <w:t xml:space="preserve"> 9(1), pp. 1-20. </w:t>
      </w:r>
    </w:p>
    <w:p w14:paraId="5CA2BA94"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Cant, M. and Van </w:t>
      </w:r>
      <w:proofErr w:type="gramStart"/>
      <w:r w:rsidRPr="00BE5DAB">
        <w:rPr>
          <w:rFonts w:ascii="Times New Roman" w:eastAsia="Cambria" w:hAnsi="Times New Roman" w:cs="Times New Roman"/>
          <w:sz w:val="24"/>
          <w:szCs w:val="24"/>
          <w:lang w:eastAsia="zh-CN"/>
        </w:rPr>
        <w:t>Heerden,  C.</w:t>
      </w:r>
      <w:proofErr w:type="gramEnd"/>
      <w:r w:rsidRPr="00BE5DAB">
        <w:rPr>
          <w:rFonts w:ascii="Times New Roman" w:eastAsia="Cambria" w:hAnsi="Times New Roman" w:cs="Times New Roman"/>
          <w:sz w:val="24"/>
          <w:szCs w:val="24"/>
          <w:lang w:eastAsia="zh-CN"/>
        </w:rPr>
        <w:t xml:space="preserve"> (2005), Personal selling. Lansdowne, South Africa: Juta Academic.</w:t>
      </w:r>
    </w:p>
    <w:p w14:paraId="69DCB1A8"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roofErr w:type="spellStart"/>
      <w:r w:rsidRPr="00BE5DAB">
        <w:rPr>
          <w:rFonts w:ascii="Times New Roman" w:eastAsia="Cambria" w:hAnsi="Times New Roman" w:cs="Times New Roman"/>
          <w:sz w:val="24"/>
          <w:szCs w:val="24"/>
        </w:rPr>
        <w:t>Carlile</w:t>
      </w:r>
      <w:proofErr w:type="spellEnd"/>
      <w:r w:rsidRPr="00BE5DAB">
        <w:rPr>
          <w:rFonts w:ascii="Times New Roman" w:eastAsia="Cambria" w:hAnsi="Times New Roman" w:cs="Times New Roman"/>
          <w:sz w:val="24"/>
          <w:szCs w:val="24"/>
        </w:rPr>
        <w:t xml:space="preserve">, C. (2021). History of Successful Boycotts. Accessed from: </w:t>
      </w:r>
      <w:hyperlink r:id="rId60" w:history="1">
        <w:r w:rsidRPr="00BE5DAB">
          <w:rPr>
            <w:rFonts w:ascii="Times New Roman" w:eastAsia="Cambria" w:hAnsi="Times New Roman" w:cs="Times New Roman"/>
            <w:color w:val="0000FF"/>
            <w:sz w:val="24"/>
            <w:szCs w:val="24"/>
            <w:u w:val="single"/>
          </w:rPr>
          <w:t>https://www.ethicalconsumer.org/ethicalcampaigns/boycotts/history-successful-boycotts</w:t>
        </w:r>
      </w:hyperlink>
      <w:r w:rsidRPr="00BE5DAB">
        <w:rPr>
          <w:rFonts w:ascii="Times New Roman" w:eastAsia="Cambria" w:hAnsi="Times New Roman" w:cs="Times New Roman"/>
          <w:sz w:val="24"/>
          <w:szCs w:val="24"/>
        </w:rPr>
        <w:t xml:space="preserve"> [06-Aug-2021]</w:t>
      </w:r>
    </w:p>
    <w:p w14:paraId="5298577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Caruana, R. and Crane, A. (2008). Constructing consumer responsibility: exploring the role of corporate communications. Organization Studies, 29(12), 1495-1519.</w:t>
      </w:r>
    </w:p>
    <w:p w14:paraId="39605D7A"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Chunling</w:t>
      </w:r>
      <w:proofErr w:type="spellEnd"/>
      <w:r w:rsidRPr="00BE5DAB">
        <w:rPr>
          <w:rFonts w:ascii="Times New Roman" w:eastAsia="Cambria" w:hAnsi="Times New Roman" w:cs="Times New Roman"/>
          <w:sz w:val="24"/>
          <w:szCs w:val="24"/>
          <w:lang w:val="en-US"/>
        </w:rPr>
        <w:t xml:space="preserve">, Y., Ping, Z. and </w:t>
      </w:r>
      <w:proofErr w:type="spellStart"/>
      <w:r w:rsidRPr="00BE5DAB">
        <w:rPr>
          <w:rFonts w:ascii="Times New Roman" w:eastAsia="Cambria" w:hAnsi="Times New Roman" w:cs="Times New Roman"/>
          <w:sz w:val="24"/>
          <w:szCs w:val="24"/>
          <w:lang w:val="en-US"/>
        </w:rPr>
        <w:t>Haizhong</w:t>
      </w:r>
      <w:proofErr w:type="spellEnd"/>
      <w:r w:rsidRPr="00BE5DAB">
        <w:rPr>
          <w:rFonts w:ascii="Times New Roman" w:eastAsia="Cambria" w:hAnsi="Times New Roman" w:cs="Times New Roman"/>
          <w:sz w:val="24"/>
          <w:szCs w:val="24"/>
          <w:lang w:val="en-US"/>
        </w:rPr>
        <w:t xml:space="preserve">, W. 2008. An empirical evaluation of a customer-based brand equity model and its managerial implications. </w:t>
      </w:r>
      <w:r w:rsidRPr="00BE5DAB">
        <w:rPr>
          <w:rFonts w:ascii="Times New Roman" w:eastAsia="Cambria" w:hAnsi="Times New Roman" w:cs="Times New Roman"/>
          <w:i/>
          <w:iCs/>
          <w:sz w:val="24"/>
          <w:szCs w:val="24"/>
          <w:lang w:val="en-US"/>
        </w:rPr>
        <w:t>Front. Bus. Res. China</w:t>
      </w:r>
      <w:r w:rsidRPr="00BE5DAB">
        <w:rPr>
          <w:rFonts w:ascii="Times New Roman" w:eastAsia="Cambria" w:hAnsi="Times New Roman" w:cs="Times New Roman"/>
          <w:sz w:val="24"/>
          <w:szCs w:val="24"/>
          <w:lang w:val="en-US"/>
        </w:rPr>
        <w:t xml:space="preserve"> 2(4), pp. 553-570.</w:t>
      </w:r>
    </w:p>
    <w:p w14:paraId="40EEE4B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Collis, J. and Hussey, R. (2013) Business research: A practical guide for undergraduate and postgraduate students. Fourth Edition. Basingstoke: Palgrave Macmillan.</w:t>
      </w:r>
    </w:p>
    <w:p w14:paraId="27C920B1"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proofErr w:type="spellStart"/>
      <w:r w:rsidRPr="00BE5DAB">
        <w:rPr>
          <w:rFonts w:ascii="Times New Roman" w:eastAsia="Cambria" w:hAnsi="Times New Roman" w:cs="Times New Roman"/>
          <w:sz w:val="24"/>
          <w:szCs w:val="24"/>
        </w:rPr>
        <w:t>Commetric</w:t>
      </w:r>
      <w:proofErr w:type="spellEnd"/>
      <w:r w:rsidRPr="00BE5DAB">
        <w:rPr>
          <w:rFonts w:ascii="Times New Roman" w:eastAsia="Cambria" w:hAnsi="Times New Roman" w:cs="Times New Roman"/>
          <w:sz w:val="24"/>
          <w:szCs w:val="24"/>
        </w:rPr>
        <w:t xml:space="preserve"> (2019). Accessed from: </w:t>
      </w:r>
      <w:hyperlink r:id="rId61" w:history="1">
        <w:r w:rsidRPr="00BE5DAB">
          <w:rPr>
            <w:rFonts w:ascii="Times New Roman" w:eastAsia="Cambria" w:hAnsi="Times New Roman" w:cs="Times New Roman"/>
            <w:color w:val="0000FF"/>
            <w:sz w:val="24"/>
            <w:szCs w:val="24"/>
            <w:u w:val="single"/>
          </w:rPr>
          <w:t>https://commetric.com/2019/11/29/consumer-activism-a-growing-threat-to-corporate-reputation/</w:t>
        </w:r>
      </w:hyperlink>
      <w:r w:rsidRPr="00BE5DAB">
        <w:rPr>
          <w:rFonts w:ascii="Times New Roman" w:eastAsia="Cambria" w:hAnsi="Times New Roman" w:cs="Times New Roman"/>
          <w:sz w:val="24"/>
          <w:szCs w:val="24"/>
        </w:rPr>
        <w:t xml:space="preserve"> [06-Aug-2021]</w:t>
      </w:r>
    </w:p>
    <w:p w14:paraId="69F7E27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Cooper, D., and Schindler, P. (2014). Business Research Methods. Twelve Edition. America: McGraw-Hill/Irwin.</w:t>
      </w:r>
    </w:p>
    <w:p w14:paraId="65B7E9F6"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Cruz, B., Pires Jr., </w:t>
      </w:r>
      <w:r w:rsidRPr="00BE5DAB">
        <w:rPr>
          <w:rFonts w:ascii="Times New Roman" w:eastAsia="Cambria" w:hAnsi="Times New Roman" w:cs="Times New Roman"/>
          <w:sz w:val="24"/>
          <w:szCs w:val="24"/>
        </w:rPr>
        <w:t xml:space="preserve">and </w:t>
      </w:r>
      <w:r w:rsidRPr="00BE5DAB">
        <w:rPr>
          <w:rFonts w:ascii="Times New Roman" w:eastAsia="Cambria" w:hAnsi="Times New Roman" w:cs="Times New Roman"/>
          <w:sz w:val="24"/>
          <w:szCs w:val="24"/>
          <w:lang w:val="en-US"/>
        </w:rPr>
        <w:t>Ross, S. (201</w:t>
      </w:r>
      <w:r w:rsidRPr="00BE5DAB">
        <w:rPr>
          <w:rFonts w:ascii="Times New Roman" w:eastAsia="Cambria" w:hAnsi="Times New Roman" w:cs="Times New Roman"/>
          <w:sz w:val="24"/>
          <w:szCs w:val="24"/>
        </w:rPr>
        <w:t>7</w:t>
      </w:r>
      <w:r w:rsidRPr="00BE5DAB">
        <w:rPr>
          <w:rFonts w:ascii="Times New Roman" w:eastAsia="Cambria" w:hAnsi="Times New Roman" w:cs="Times New Roman"/>
          <w:sz w:val="24"/>
          <w:szCs w:val="24"/>
          <w:lang w:val="en-US"/>
        </w:rPr>
        <w:t xml:space="preserve">).  Gender Difference in the Perception of Guilt in Consumer Boycott in Brazil. </w:t>
      </w:r>
      <w:r w:rsidRPr="00BE5DAB">
        <w:rPr>
          <w:rFonts w:ascii="Times New Roman" w:eastAsia="Cambria" w:hAnsi="Times New Roman" w:cs="Times New Roman"/>
          <w:sz w:val="24"/>
          <w:szCs w:val="24"/>
        </w:rPr>
        <w:t xml:space="preserve">In A., </w:t>
      </w:r>
      <w:proofErr w:type="spellStart"/>
      <w:r w:rsidRPr="00BE5DAB">
        <w:rPr>
          <w:rFonts w:ascii="Times New Roman" w:eastAsia="Cambria" w:hAnsi="Times New Roman" w:cs="Times New Roman"/>
          <w:sz w:val="24"/>
          <w:szCs w:val="24"/>
          <w:lang w:val="en-US"/>
        </w:rPr>
        <w:t>Alvinius</w:t>
      </w:r>
      <w:proofErr w:type="spellEnd"/>
      <w:r w:rsidRPr="00BE5DAB">
        <w:rPr>
          <w:rFonts w:ascii="Times New Roman" w:eastAsia="Cambria" w:hAnsi="Times New Roman" w:cs="Times New Roman"/>
          <w:sz w:val="24"/>
          <w:szCs w:val="24"/>
        </w:rPr>
        <w:t xml:space="preserve">. (Ed). </w:t>
      </w:r>
      <w:r w:rsidRPr="00BE5DAB">
        <w:rPr>
          <w:rFonts w:ascii="Times New Roman" w:eastAsia="Cambria" w:hAnsi="Times New Roman" w:cs="Times New Roman"/>
          <w:sz w:val="24"/>
          <w:szCs w:val="24"/>
          <w:lang w:val="en-US"/>
        </w:rPr>
        <w:t xml:space="preserve">Gender Differences in Different Contexts. </w:t>
      </w:r>
      <w:r w:rsidRPr="00BE5DAB">
        <w:rPr>
          <w:rFonts w:ascii="Times New Roman" w:eastAsia="Cambria" w:hAnsi="Times New Roman" w:cs="Times New Roman"/>
          <w:sz w:val="24"/>
          <w:szCs w:val="24"/>
        </w:rPr>
        <w:t xml:space="preserve">First Edition. </w:t>
      </w:r>
      <w:proofErr w:type="spellStart"/>
      <w:r w:rsidRPr="00BE5DAB">
        <w:rPr>
          <w:rFonts w:ascii="Times New Roman" w:eastAsia="Cambria" w:hAnsi="Times New Roman" w:cs="Times New Roman"/>
          <w:sz w:val="24"/>
          <w:szCs w:val="24"/>
          <w:lang w:val="en-US"/>
        </w:rPr>
        <w:t>IntechOpen</w:t>
      </w:r>
      <w:proofErr w:type="spellEnd"/>
      <w:r w:rsidRPr="00BE5DAB">
        <w:rPr>
          <w:rFonts w:ascii="Times New Roman" w:eastAsia="Cambria" w:hAnsi="Times New Roman" w:cs="Times New Roman"/>
          <w:sz w:val="24"/>
          <w:szCs w:val="24"/>
        </w:rPr>
        <w:t xml:space="preserve">, pp. 43-56. </w:t>
      </w:r>
    </w:p>
    <w:p w14:paraId="5B97706F"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eastAsia="zh-CN"/>
        </w:rPr>
      </w:pPr>
      <w:proofErr w:type="spellStart"/>
      <w:r w:rsidRPr="00BE5DAB">
        <w:rPr>
          <w:rFonts w:ascii="Times New Roman" w:eastAsia="Cambria" w:hAnsi="Times New Roman" w:cs="Times New Roman"/>
          <w:sz w:val="24"/>
          <w:szCs w:val="24"/>
          <w:lang w:eastAsia="zh-CN"/>
        </w:rPr>
        <w:t>Cutura</w:t>
      </w:r>
      <w:proofErr w:type="spellEnd"/>
      <w:r w:rsidRPr="00BE5DAB">
        <w:rPr>
          <w:rFonts w:ascii="Times New Roman" w:eastAsia="Cambria" w:hAnsi="Times New Roman" w:cs="Times New Roman"/>
          <w:sz w:val="24"/>
          <w:szCs w:val="24"/>
          <w:lang w:eastAsia="zh-CN"/>
        </w:rPr>
        <w:t>, M. (2013). Consumer Ethnocentrism: Possibilities for Marketing Implication Improvements. In H. Kaufmann, and M. Panni (Ed). Customer-Centric Marketing Strategies: Tools for Building Organizational Performance, pp. 17-35.</w:t>
      </w:r>
    </w:p>
    <w:p w14:paraId="5BC14C02"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Dagar</w:t>
      </w:r>
      <w:proofErr w:type="spellEnd"/>
      <w:r w:rsidRPr="00BE5DAB">
        <w:rPr>
          <w:rFonts w:ascii="Times New Roman" w:eastAsia="SimSun" w:hAnsi="Times New Roman" w:cs="Times New Roman"/>
          <w:sz w:val="24"/>
          <w:szCs w:val="24"/>
          <w:lang w:eastAsia="zh-CN"/>
        </w:rPr>
        <w:t>, S. (2019). Instant Notes on Research Methods. New Delhi: The Readers Paradise.</w:t>
      </w:r>
    </w:p>
    <w:p w14:paraId="218DC1F8"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Datta, P. (2003). The Determinants of Brand Loyalty. Journal of American Academy of </w:t>
      </w:r>
      <w:r w:rsidRPr="00BE5DAB">
        <w:rPr>
          <w:rFonts w:ascii="Times New Roman" w:eastAsia="SimSun" w:hAnsi="Times New Roman" w:cs="Times New Roman"/>
          <w:sz w:val="24"/>
          <w:szCs w:val="24"/>
          <w:lang w:eastAsia="zh-CN"/>
        </w:rPr>
        <w:lastRenderedPageBreak/>
        <w:t>Business, Cambridge3(1), p. 138.</w:t>
      </w:r>
    </w:p>
    <w:p w14:paraId="56570762"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Dekhil</w:t>
      </w:r>
      <w:proofErr w:type="spellEnd"/>
      <w:r w:rsidRPr="00BE5DAB">
        <w:rPr>
          <w:rFonts w:ascii="Times New Roman" w:eastAsia="SimSun" w:hAnsi="Times New Roman" w:cs="Times New Roman"/>
          <w:sz w:val="24"/>
          <w:szCs w:val="24"/>
          <w:lang w:eastAsia="zh-CN"/>
        </w:rPr>
        <w:t xml:space="preserve">, F., </w:t>
      </w:r>
      <w:proofErr w:type="spellStart"/>
      <w:r w:rsidRPr="00BE5DAB">
        <w:rPr>
          <w:rFonts w:ascii="Times New Roman" w:eastAsia="SimSun" w:hAnsi="Times New Roman" w:cs="Times New Roman"/>
          <w:sz w:val="24"/>
          <w:szCs w:val="24"/>
          <w:lang w:eastAsia="zh-CN"/>
        </w:rPr>
        <w:t>Jridi</w:t>
      </w:r>
      <w:proofErr w:type="spellEnd"/>
      <w:r w:rsidRPr="00BE5DAB">
        <w:rPr>
          <w:rFonts w:ascii="Times New Roman" w:eastAsia="SimSun" w:hAnsi="Times New Roman" w:cs="Times New Roman"/>
          <w:sz w:val="24"/>
          <w:szCs w:val="24"/>
          <w:lang w:eastAsia="zh-CN"/>
        </w:rPr>
        <w:t>, H. and Farhat, H. (2017). Effect of religiosity on the decision to participate in a boycott: The moderating effect of brand loyalty – the case of Coca-Cola. Journal of Islamic Marketing, 8(2), pp. 309-328.</w:t>
      </w:r>
    </w:p>
    <w:p w14:paraId="63C30E98"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Delener</w:t>
      </w:r>
      <w:proofErr w:type="spellEnd"/>
      <w:r w:rsidRPr="00BE5DAB">
        <w:rPr>
          <w:rFonts w:ascii="Times New Roman" w:eastAsia="SimSun" w:hAnsi="Times New Roman" w:cs="Times New Roman"/>
          <w:sz w:val="24"/>
          <w:szCs w:val="24"/>
          <w:lang w:eastAsia="zh-CN"/>
        </w:rPr>
        <w:t>, N. (1990). The effects of religious factors on perceived risk in durable goods purchase decisions. Journal of Consumer Marketing, 7(3), p. 27.</w:t>
      </w:r>
    </w:p>
    <w:p w14:paraId="4D13CECF"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Denzin, N., and Lincoln, Y. (2011). The SAGE Handbook of Qualitative Research. Fourth Edition. USA: SAGE Publications.</w:t>
      </w:r>
    </w:p>
    <w:p w14:paraId="0BF1C321"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Denzin, N., and Lincoln, Y. </w:t>
      </w:r>
      <w:r w:rsidRPr="00BE5DAB">
        <w:rPr>
          <w:rFonts w:ascii="Times New Roman" w:eastAsia="SimSun" w:hAnsi="Times New Roman" w:cs="Arial"/>
          <w:sz w:val="24"/>
          <w:szCs w:val="24"/>
          <w:lang w:eastAsia="zh-CN"/>
        </w:rPr>
        <w:t xml:space="preserve">(2018). The Sage Handbook of Qualitative Research. </w:t>
      </w:r>
      <w:r w:rsidRPr="00BE5DAB">
        <w:rPr>
          <w:rFonts w:ascii="Times New Roman" w:eastAsia="SimSun" w:hAnsi="Times New Roman" w:cs="Times New Roman"/>
          <w:sz w:val="24"/>
          <w:szCs w:val="24"/>
          <w:lang w:eastAsia="zh-CN"/>
        </w:rPr>
        <w:t>Fifth Edition</w:t>
      </w:r>
      <w:r w:rsidRPr="00BE5DAB">
        <w:rPr>
          <w:rFonts w:ascii="Times New Roman" w:eastAsia="SimSun" w:hAnsi="Times New Roman" w:cs="Arial"/>
          <w:sz w:val="24"/>
          <w:szCs w:val="24"/>
          <w:lang w:eastAsia="zh-CN"/>
        </w:rPr>
        <w:t>. London: Sage.</w:t>
      </w:r>
    </w:p>
    <w:p w14:paraId="54D779FE"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Diermeier</w:t>
      </w:r>
      <w:proofErr w:type="spellEnd"/>
      <w:r w:rsidRPr="00BE5DAB">
        <w:rPr>
          <w:rFonts w:ascii="Times New Roman" w:eastAsia="SimSun" w:hAnsi="Times New Roman" w:cs="Times New Roman"/>
          <w:sz w:val="24"/>
          <w:szCs w:val="24"/>
          <w:lang w:eastAsia="zh-CN"/>
        </w:rPr>
        <w:t xml:space="preserve">, D. (2012). When Do Company Boycotts </w:t>
      </w:r>
      <w:proofErr w:type="gramStart"/>
      <w:r w:rsidRPr="00BE5DAB">
        <w:rPr>
          <w:rFonts w:ascii="Times New Roman" w:eastAsia="SimSun" w:hAnsi="Times New Roman" w:cs="Times New Roman"/>
          <w:sz w:val="24"/>
          <w:szCs w:val="24"/>
          <w:lang w:eastAsia="zh-CN"/>
        </w:rPr>
        <w:t>Work?.</w:t>
      </w:r>
      <w:proofErr w:type="gramEnd"/>
      <w:r w:rsidRPr="00BE5DAB">
        <w:rPr>
          <w:rFonts w:ascii="Times New Roman" w:eastAsia="SimSun" w:hAnsi="Times New Roman" w:cs="Times New Roman"/>
          <w:sz w:val="24"/>
          <w:szCs w:val="24"/>
          <w:lang w:eastAsia="zh-CN"/>
        </w:rPr>
        <w:t xml:space="preserve"> Accessed from: </w:t>
      </w:r>
      <w:hyperlink r:id="rId62" w:history="1">
        <w:r w:rsidRPr="00BE5DAB">
          <w:rPr>
            <w:rFonts w:ascii="Times New Roman" w:eastAsia="SimSun" w:hAnsi="Times New Roman" w:cs="Times New Roman"/>
            <w:color w:val="0000FF"/>
            <w:sz w:val="24"/>
            <w:szCs w:val="24"/>
            <w:u w:val="single"/>
            <w:lang w:eastAsia="zh-CN"/>
          </w:rPr>
          <w:t>https://hbr.org/2012/08/when-do-company-boycotts-work</w:t>
        </w:r>
      </w:hyperlink>
      <w:r w:rsidRPr="00BE5DAB">
        <w:rPr>
          <w:rFonts w:ascii="Times New Roman" w:eastAsia="SimSun" w:hAnsi="Times New Roman" w:cs="Times New Roman"/>
          <w:sz w:val="24"/>
          <w:szCs w:val="24"/>
          <w:lang w:eastAsia="zh-CN"/>
        </w:rPr>
        <w:t xml:space="preserve"> [06-Aug-2021].</w:t>
      </w:r>
    </w:p>
    <w:p w14:paraId="696FD72B"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Dobers</w:t>
      </w:r>
      <w:proofErr w:type="spellEnd"/>
      <w:r w:rsidRPr="00BE5DAB">
        <w:rPr>
          <w:rFonts w:ascii="Times New Roman" w:eastAsia="SimSun" w:hAnsi="Times New Roman" w:cs="Times New Roman"/>
          <w:sz w:val="24"/>
          <w:szCs w:val="24"/>
          <w:lang w:eastAsia="zh-CN"/>
        </w:rPr>
        <w:t xml:space="preserve">, G., </w:t>
      </w:r>
      <w:proofErr w:type="spellStart"/>
      <w:r w:rsidRPr="00BE5DAB">
        <w:rPr>
          <w:rFonts w:ascii="Times New Roman" w:eastAsia="SimSun" w:hAnsi="Times New Roman" w:cs="Times New Roman"/>
          <w:sz w:val="24"/>
          <w:szCs w:val="24"/>
          <w:lang w:eastAsia="zh-CN"/>
        </w:rPr>
        <w:t>Ihle</w:t>
      </w:r>
      <w:proofErr w:type="spellEnd"/>
      <w:r w:rsidRPr="00BE5DAB">
        <w:rPr>
          <w:rFonts w:ascii="Times New Roman" w:eastAsia="SimSun" w:hAnsi="Times New Roman" w:cs="Times New Roman"/>
          <w:sz w:val="24"/>
          <w:szCs w:val="24"/>
          <w:lang w:eastAsia="zh-CN"/>
        </w:rPr>
        <w:t xml:space="preserve">, R., </w:t>
      </w:r>
      <w:proofErr w:type="spellStart"/>
      <w:r w:rsidRPr="00BE5DAB">
        <w:rPr>
          <w:rFonts w:ascii="Times New Roman" w:eastAsia="SimSun" w:hAnsi="Times New Roman" w:cs="Times New Roman"/>
          <w:sz w:val="24"/>
          <w:szCs w:val="24"/>
          <w:lang w:eastAsia="zh-CN"/>
        </w:rPr>
        <w:t>Kachel</w:t>
      </w:r>
      <w:proofErr w:type="spellEnd"/>
      <w:r w:rsidRPr="00BE5DAB">
        <w:rPr>
          <w:rFonts w:ascii="Times New Roman" w:eastAsia="SimSun" w:hAnsi="Times New Roman" w:cs="Times New Roman"/>
          <w:sz w:val="24"/>
          <w:szCs w:val="24"/>
          <w:lang w:eastAsia="zh-CN"/>
        </w:rPr>
        <w:t>, Y., and Liebe, U. (2018). Economic integration in the Middle East: Israeli–Palestinian fresh food trade. Israel Affairs, 24(3), 421–441.</w:t>
      </w:r>
    </w:p>
    <w:p w14:paraId="029E7AEB"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Doyle, P. (1994). Marketing Management and Strategy. London: Prentice-Hall.</w:t>
      </w:r>
    </w:p>
    <w:p w14:paraId="14DE4B3C"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Edelman Digital. (2010). The 8095 Exchange: Millennial, their actions surrounding brands and the dynamics of reverberation. Accessed from: http://www.slideshare.net/EdelmanDigital/8095-white-paper [29-Sep-2021].</w:t>
      </w:r>
    </w:p>
    <w:p w14:paraId="2EF909AD"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Esteban-Bravo M, Vidal-Sanz J. (2021). Marketing research methods: quantitative and qualitative approaches. Cambridge: Cambridge University Press.</w:t>
      </w:r>
    </w:p>
    <w:p w14:paraId="22F50A4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Essoo</w:t>
      </w:r>
      <w:proofErr w:type="spellEnd"/>
      <w:r w:rsidRPr="00BE5DAB">
        <w:rPr>
          <w:rFonts w:ascii="Times New Roman" w:eastAsia="SimSun" w:hAnsi="Times New Roman" w:cs="Times New Roman"/>
          <w:sz w:val="24"/>
          <w:szCs w:val="24"/>
          <w:lang w:eastAsia="zh-CN"/>
        </w:rPr>
        <w:t xml:space="preserve">, N. and </w:t>
      </w:r>
      <w:proofErr w:type="spellStart"/>
      <w:r w:rsidRPr="00BE5DAB">
        <w:rPr>
          <w:rFonts w:ascii="Times New Roman" w:eastAsia="SimSun" w:hAnsi="Times New Roman" w:cs="Times New Roman"/>
          <w:sz w:val="24"/>
          <w:szCs w:val="24"/>
          <w:lang w:eastAsia="zh-CN"/>
        </w:rPr>
        <w:t>Dibb</w:t>
      </w:r>
      <w:proofErr w:type="spellEnd"/>
      <w:r w:rsidRPr="00BE5DAB">
        <w:rPr>
          <w:rFonts w:ascii="Times New Roman" w:eastAsia="SimSun" w:hAnsi="Times New Roman" w:cs="Times New Roman"/>
          <w:sz w:val="24"/>
          <w:szCs w:val="24"/>
          <w:lang w:eastAsia="zh-CN"/>
        </w:rPr>
        <w:t>, S. (2004). Religious Influences on Shopping Behaviour: An Explanatory Study. Journal of Marketing Management, 20(7/8), pp. 683-714.</w:t>
      </w:r>
    </w:p>
    <w:p w14:paraId="2D979311"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Farah, M. and El Samad, L. (2014). The effects of religion and religiosity on advertisement assessment among Lebanese consumers. Journal of International Consumer Marketing, 26(4), pp. 344–369.</w:t>
      </w:r>
    </w:p>
    <w:p w14:paraId="2AF1CE24"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Farah, M. and El Samad, L. (2015). Controversial product advertisements in Lebanon. Journal of Islamic Marketing, 6(1), pp. 22. </w:t>
      </w:r>
    </w:p>
    <w:p w14:paraId="197E0230"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Farah, M. and Newman, A. (2010). Exploring consumer boycott intelligence using a socio-cognitive approach. Journal of Business Research, 63, pp. 347-355.</w:t>
      </w:r>
    </w:p>
    <w:p w14:paraId="1226AD61"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Farjam</w:t>
      </w:r>
      <w:proofErr w:type="spellEnd"/>
      <w:r w:rsidRPr="00BE5DAB">
        <w:rPr>
          <w:rFonts w:ascii="Times New Roman" w:eastAsia="Cambria" w:hAnsi="Times New Roman" w:cs="Times New Roman"/>
          <w:sz w:val="24"/>
          <w:szCs w:val="24"/>
          <w:lang w:val="en-US"/>
        </w:rPr>
        <w:t xml:space="preserve">, S. and </w:t>
      </w:r>
      <w:proofErr w:type="spellStart"/>
      <w:r w:rsidRPr="00BE5DAB">
        <w:rPr>
          <w:rFonts w:ascii="Times New Roman" w:eastAsia="Cambria" w:hAnsi="Times New Roman" w:cs="Times New Roman"/>
          <w:sz w:val="24"/>
          <w:szCs w:val="24"/>
          <w:lang w:val="en-US"/>
        </w:rPr>
        <w:t>Hongyi</w:t>
      </w:r>
      <w:proofErr w:type="spellEnd"/>
      <w:r w:rsidRPr="00BE5DAB">
        <w:rPr>
          <w:rFonts w:ascii="Times New Roman" w:eastAsia="Cambria" w:hAnsi="Times New Roman" w:cs="Times New Roman"/>
          <w:sz w:val="24"/>
          <w:szCs w:val="24"/>
          <w:lang w:val="en-US"/>
        </w:rPr>
        <w:t xml:space="preserve">, X. 2015. Reviewing the Concept of Brand Equity and Evaluating </w:t>
      </w:r>
      <w:proofErr w:type="spellStart"/>
      <w:r w:rsidRPr="00BE5DAB">
        <w:rPr>
          <w:rFonts w:ascii="Times New Roman" w:eastAsia="Cambria" w:hAnsi="Times New Roman" w:cs="Times New Roman"/>
          <w:sz w:val="24"/>
          <w:szCs w:val="24"/>
          <w:lang w:val="en-US"/>
        </w:rPr>
        <w:t>ConsumerBased</w:t>
      </w:r>
      <w:proofErr w:type="spellEnd"/>
      <w:r w:rsidRPr="00BE5DAB">
        <w:rPr>
          <w:rFonts w:ascii="Times New Roman" w:eastAsia="Cambria" w:hAnsi="Times New Roman" w:cs="Times New Roman"/>
          <w:sz w:val="24"/>
          <w:szCs w:val="24"/>
          <w:lang w:val="en-US"/>
        </w:rPr>
        <w:t xml:space="preserve"> Brand Equity (CBBE) Models. </w:t>
      </w:r>
      <w:r w:rsidRPr="00BE5DAB">
        <w:rPr>
          <w:rFonts w:ascii="Times New Roman" w:eastAsia="Cambria" w:hAnsi="Times New Roman" w:cs="Times New Roman"/>
          <w:i/>
          <w:iCs/>
          <w:sz w:val="24"/>
          <w:szCs w:val="24"/>
          <w:lang w:val="en-US"/>
        </w:rPr>
        <w:t>International Journal of Management Science and Business Administration</w:t>
      </w:r>
      <w:r w:rsidRPr="00BE5DAB">
        <w:rPr>
          <w:rFonts w:ascii="Times New Roman" w:eastAsia="Cambria" w:hAnsi="Times New Roman" w:cs="Times New Roman"/>
          <w:sz w:val="24"/>
          <w:szCs w:val="24"/>
          <w:lang w:val="en-US"/>
        </w:rPr>
        <w:t xml:space="preserve"> 1(8), pp. 14-29. </w:t>
      </w:r>
    </w:p>
    <w:p w14:paraId="70D60FB8"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Fazal, O. and Kanwal, S. 2017. Determinants of brand loyalty: A case study of Asian Mobile Phone Users. </w:t>
      </w:r>
      <w:r w:rsidRPr="00BE5DAB">
        <w:rPr>
          <w:rFonts w:ascii="Times New Roman" w:eastAsia="Cambria" w:hAnsi="Times New Roman" w:cs="Times New Roman"/>
          <w:i/>
          <w:iCs/>
          <w:sz w:val="24"/>
          <w:szCs w:val="24"/>
          <w:lang w:val="en-US"/>
        </w:rPr>
        <w:t>International Journal of Scientific and Research Publications</w:t>
      </w:r>
      <w:r w:rsidRPr="00BE5DAB">
        <w:rPr>
          <w:rFonts w:ascii="Times New Roman" w:eastAsia="Cambria" w:hAnsi="Times New Roman" w:cs="Times New Roman"/>
          <w:sz w:val="24"/>
          <w:szCs w:val="24"/>
          <w:lang w:val="en-US"/>
        </w:rPr>
        <w:t xml:space="preserve"> 7(12), pp. 181-191. </w:t>
      </w:r>
    </w:p>
    <w:p w14:paraId="5F25E97F" w14:textId="77777777" w:rsidR="00BE5DAB" w:rsidRPr="00BE5DAB" w:rsidRDefault="00BE5DAB" w:rsidP="00BE5DAB">
      <w:pPr>
        <w:autoSpaceDE w:val="0"/>
        <w:autoSpaceDN w:val="0"/>
        <w:spacing w:after="0" w:line="360" w:lineRule="auto"/>
        <w:jc w:val="both"/>
        <w:rPr>
          <w:rFonts w:ascii="Times New Roman" w:eastAsia="SimSun" w:hAnsi="Times New Roman" w:cs="Times New Roman"/>
          <w:sz w:val="24"/>
          <w:szCs w:val="24"/>
          <w:lang w:eastAsia="zh-CN"/>
        </w:rPr>
      </w:pPr>
      <w:proofErr w:type="spellStart"/>
      <w:r w:rsidRPr="00BE5DAB">
        <w:rPr>
          <w:rFonts w:ascii="Times New Roman" w:eastAsia="Cambria" w:hAnsi="Times New Roman" w:cs="Times New Roman"/>
          <w:sz w:val="24"/>
          <w:szCs w:val="24"/>
          <w:lang w:eastAsia="zh-CN"/>
        </w:rPr>
        <w:lastRenderedPageBreak/>
        <w:t>Fianto</w:t>
      </w:r>
      <w:proofErr w:type="spellEnd"/>
      <w:r w:rsidRPr="00BE5DAB">
        <w:rPr>
          <w:rFonts w:ascii="Times New Roman" w:eastAsia="Cambria" w:hAnsi="Times New Roman" w:cs="Times New Roman"/>
          <w:sz w:val="24"/>
          <w:szCs w:val="24"/>
          <w:lang w:eastAsia="zh-CN"/>
        </w:rPr>
        <w:t xml:space="preserve">, A., </w:t>
      </w:r>
      <w:proofErr w:type="spellStart"/>
      <w:r w:rsidRPr="00BE5DAB">
        <w:rPr>
          <w:rFonts w:ascii="Times New Roman" w:eastAsia="Cambria" w:hAnsi="Times New Roman" w:cs="Times New Roman"/>
          <w:sz w:val="24"/>
          <w:szCs w:val="24"/>
          <w:lang w:eastAsia="zh-CN"/>
        </w:rPr>
        <w:t>Hadiwidjojo</w:t>
      </w:r>
      <w:proofErr w:type="spellEnd"/>
      <w:r w:rsidRPr="00BE5DAB">
        <w:rPr>
          <w:rFonts w:ascii="Times New Roman" w:eastAsia="Cambria" w:hAnsi="Times New Roman" w:cs="Times New Roman"/>
          <w:sz w:val="24"/>
          <w:szCs w:val="24"/>
          <w:lang w:eastAsia="zh-CN"/>
        </w:rPr>
        <w:t xml:space="preserve">, D., </w:t>
      </w:r>
      <w:proofErr w:type="spellStart"/>
      <w:r w:rsidRPr="00BE5DAB">
        <w:rPr>
          <w:rFonts w:ascii="Times New Roman" w:eastAsia="Cambria" w:hAnsi="Times New Roman" w:cs="Times New Roman"/>
          <w:sz w:val="24"/>
          <w:szCs w:val="24"/>
          <w:lang w:eastAsia="zh-CN"/>
        </w:rPr>
        <w:t>Aisjah</w:t>
      </w:r>
      <w:proofErr w:type="spellEnd"/>
      <w:r w:rsidRPr="00BE5DAB">
        <w:rPr>
          <w:rFonts w:ascii="Times New Roman" w:eastAsia="Cambria" w:hAnsi="Times New Roman" w:cs="Times New Roman"/>
          <w:sz w:val="24"/>
          <w:szCs w:val="24"/>
          <w:lang w:eastAsia="zh-CN"/>
        </w:rPr>
        <w:t xml:space="preserve">, S., and </w:t>
      </w:r>
      <w:proofErr w:type="spellStart"/>
      <w:r w:rsidRPr="00BE5DAB">
        <w:rPr>
          <w:rFonts w:ascii="Times New Roman" w:eastAsia="Cambria" w:hAnsi="Times New Roman" w:cs="Times New Roman"/>
          <w:sz w:val="24"/>
          <w:szCs w:val="24"/>
          <w:lang w:eastAsia="zh-CN"/>
        </w:rPr>
        <w:t>Solimun</w:t>
      </w:r>
      <w:proofErr w:type="spellEnd"/>
      <w:r w:rsidRPr="00BE5DAB">
        <w:rPr>
          <w:rFonts w:ascii="Times New Roman" w:eastAsia="Cambria" w:hAnsi="Times New Roman" w:cs="Times New Roman"/>
          <w:sz w:val="24"/>
          <w:szCs w:val="24"/>
          <w:lang w:eastAsia="zh-CN"/>
        </w:rPr>
        <w:t xml:space="preserve"> (2014). Development and </w:t>
      </w:r>
      <w:r w:rsidRPr="00BE5DAB">
        <w:rPr>
          <w:rFonts w:ascii="Times New Roman" w:eastAsia="SimSun" w:hAnsi="Times New Roman" w:cs="Times New Roman"/>
          <w:sz w:val="24"/>
          <w:szCs w:val="24"/>
          <w:lang w:eastAsia="zh-CN"/>
        </w:rPr>
        <w:t xml:space="preserve">measurement of Islamic values in consumer </w:t>
      </w:r>
      <w:proofErr w:type="spellStart"/>
      <w:r w:rsidRPr="00BE5DAB">
        <w:rPr>
          <w:rFonts w:ascii="Times New Roman" w:eastAsia="SimSun" w:hAnsi="Times New Roman" w:cs="Times New Roman"/>
          <w:sz w:val="24"/>
          <w:szCs w:val="24"/>
          <w:lang w:eastAsia="zh-CN"/>
        </w:rPr>
        <w:t>behavior</w:t>
      </w:r>
      <w:proofErr w:type="spellEnd"/>
      <w:r w:rsidRPr="00BE5DAB">
        <w:rPr>
          <w:rFonts w:ascii="Times New Roman" w:eastAsia="SimSun" w:hAnsi="Times New Roman" w:cs="Times New Roman"/>
          <w:sz w:val="24"/>
          <w:szCs w:val="24"/>
          <w:lang w:eastAsia="zh-CN"/>
        </w:rPr>
        <w:t xml:space="preserve"> research. International Journal of Business and Management Invention, 3(9), pp. 1–10.</w:t>
      </w:r>
    </w:p>
    <w:p w14:paraId="4C7B9D7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Friedman, M. (1999) Consumer Boycotts: Effecting Change through the Marketplace and the Media. New York: Routledge.</w:t>
      </w:r>
    </w:p>
    <w:p w14:paraId="3D544FB2"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Garrett, D. (1986). Consumer Boycotts: Are Targets Always the Bad </w:t>
      </w:r>
      <w:proofErr w:type="gramStart"/>
      <w:r w:rsidRPr="00BE5DAB">
        <w:rPr>
          <w:rFonts w:ascii="Times New Roman" w:eastAsia="SimSun" w:hAnsi="Times New Roman" w:cs="Times New Roman"/>
          <w:sz w:val="24"/>
          <w:szCs w:val="24"/>
          <w:lang w:eastAsia="zh-CN"/>
        </w:rPr>
        <w:t>Guy?,</w:t>
      </w:r>
      <w:proofErr w:type="gramEnd"/>
      <w:r w:rsidRPr="00BE5DAB">
        <w:rPr>
          <w:rFonts w:ascii="Times New Roman" w:eastAsia="SimSun" w:hAnsi="Times New Roman" w:cs="Times New Roman"/>
          <w:sz w:val="24"/>
          <w:szCs w:val="24"/>
          <w:lang w:eastAsia="zh-CN"/>
        </w:rPr>
        <w:t xml:space="preserve"> Business and Society Review, 58, 17-21.</w:t>
      </w:r>
    </w:p>
    <w:p w14:paraId="6682305C"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Gbadamosi</w:t>
      </w:r>
      <w:proofErr w:type="spellEnd"/>
      <w:r w:rsidRPr="00BE5DAB">
        <w:rPr>
          <w:rFonts w:ascii="Times New Roman" w:eastAsia="SimSun" w:hAnsi="Times New Roman" w:cs="Times New Roman"/>
          <w:sz w:val="24"/>
          <w:szCs w:val="24"/>
          <w:lang w:eastAsia="zh-CN"/>
        </w:rPr>
        <w:t>, A. (2018). Young Consumer Behaviour: A Research Companion. New York: Routledge.</w:t>
      </w:r>
    </w:p>
    <w:p w14:paraId="2B862B50"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Ha, H.  John, J., </w:t>
      </w:r>
      <w:proofErr w:type="spellStart"/>
      <w:r w:rsidRPr="00BE5DAB">
        <w:rPr>
          <w:rFonts w:ascii="Times New Roman" w:eastAsia="Cambria" w:hAnsi="Times New Roman" w:cs="Times New Roman"/>
          <w:sz w:val="24"/>
          <w:szCs w:val="24"/>
          <w:lang w:val="en-US"/>
        </w:rPr>
        <w:t>Janda</w:t>
      </w:r>
      <w:proofErr w:type="spellEnd"/>
      <w:r w:rsidRPr="00BE5DAB">
        <w:rPr>
          <w:rFonts w:ascii="Times New Roman" w:eastAsia="Cambria" w:hAnsi="Times New Roman" w:cs="Times New Roman"/>
          <w:sz w:val="24"/>
          <w:szCs w:val="24"/>
          <w:lang w:val="en-US"/>
        </w:rPr>
        <w:t xml:space="preserve">, S. and </w:t>
      </w:r>
      <w:proofErr w:type="spellStart"/>
      <w:r w:rsidRPr="00BE5DAB">
        <w:rPr>
          <w:rFonts w:ascii="Times New Roman" w:eastAsia="Cambria" w:hAnsi="Times New Roman" w:cs="Times New Roman"/>
          <w:sz w:val="24"/>
          <w:szCs w:val="24"/>
          <w:lang w:val="en-US"/>
        </w:rPr>
        <w:t>Muthaly</w:t>
      </w:r>
      <w:proofErr w:type="spellEnd"/>
      <w:r w:rsidRPr="00BE5DAB">
        <w:rPr>
          <w:rFonts w:ascii="Times New Roman" w:eastAsia="Cambria" w:hAnsi="Times New Roman" w:cs="Times New Roman"/>
          <w:sz w:val="24"/>
          <w:szCs w:val="24"/>
          <w:lang w:val="en-US"/>
        </w:rPr>
        <w:t xml:space="preserve">, S. 2011. The effects of advertising spending on brand loyalty in services. </w:t>
      </w:r>
      <w:r w:rsidRPr="00BE5DAB">
        <w:rPr>
          <w:rFonts w:ascii="Times New Roman" w:eastAsia="Cambria" w:hAnsi="Times New Roman" w:cs="Times New Roman"/>
          <w:i/>
          <w:iCs/>
          <w:sz w:val="24"/>
          <w:szCs w:val="24"/>
          <w:lang w:val="en-US"/>
        </w:rPr>
        <w:t>European Journal of Marketing</w:t>
      </w:r>
      <w:r w:rsidRPr="00BE5DAB">
        <w:rPr>
          <w:rFonts w:ascii="Times New Roman" w:eastAsia="Cambria" w:hAnsi="Times New Roman" w:cs="Times New Roman"/>
          <w:sz w:val="24"/>
          <w:szCs w:val="24"/>
          <w:lang w:val="en-US"/>
        </w:rPr>
        <w:t xml:space="preserve"> 45(4), pp. 673-691. </w:t>
      </w:r>
    </w:p>
    <w:p w14:paraId="5538797F"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 xml:space="preserve">Hair, J., Page, M., and </w:t>
      </w:r>
      <w:proofErr w:type="spellStart"/>
      <w:r w:rsidRPr="00BE5DAB">
        <w:rPr>
          <w:rFonts w:ascii="Times New Roman" w:eastAsia="Cambria" w:hAnsi="Times New Roman" w:cs="Times New Roman"/>
          <w:sz w:val="24"/>
          <w:szCs w:val="24"/>
        </w:rPr>
        <w:t>Brunsveld</w:t>
      </w:r>
      <w:proofErr w:type="spellEnd"/>
      <w:r w:rsidRPr="00BE5DAB">
        <w:rPr>
          <w:rFonts w:ascii="Times New Roman" w:eastAsia="Cambria" w:hAnsi="Times New Roman" w:cs="Times New Roman"/>
          <w:sz w:val="24"/>
          <w:szCs w:val="24"/>
        </w:rPr>
        <w:t>, N. (2019). Essentials of Business Research Methods. Taylor &amp; Francis.</w:t>
      </w:r>
    </w:p>
    <w:p w14:paraId="7299EA61"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rPr>
        <w:t>Hesse-</w:t>
      </w:r>
      <w:proofErr w:type="spellStart"/>
      <w:r w:rsidRPr="00BE5DAB">
        <w:rPr>
          <w:rFonts w:ascii="Times New Roman" w:eastAsia="Cambria" w:hAnsi="Times New Roman" w:cs="Times New Roman"/>
          <w:sz w:val="24"/>
          <w:szCs w:val="24"/>
        </w:rPr>
        <w:t>Biber</w:t>
      </w:r>
      <w:proofErr w:type="spellEnd"/>
      <w:r w:rsidRPr="00BE5DAB">
        <w:rPr>
          <w:rFonts w:ascii="Times New Roman" w:eastAsia="Cambria" w:hAnsi="Times New Roman" w:cs="Times New Roman"/>
          <w:sz w:val="24"/>
          <w:szCs w:val="24"/>
        </w:rPr>
        <w:t>, S. (2010). Mixed Methods Research: Merging Theory with Practice. London: Guilford Publications.</w:t>
      </w:r>
    </w:p>
    <w:p w14:paraId="15C1850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Hu, Y. (2011). Exploring the relationship between customer involvement, brand equity, perceived </w:t>
      </w:r>
      <w:proofErr w:type="gramStart"/>
      <w:r w:rsidRPr="00BE5DAB">
        <w:rPr>
          <w:rFonts w:ascii="Times New Roman" w:eastAsia="SimSun" w:hAnsi="Times New Roman" w:cs="Times New Roman"/>
          <w:sz w:val="24"/>
          <w:szCs w:val="24"/>
          <w:lang w:eastAsia="zh-CN"/>
        </w:rPr>
        <w:t>risk</w:t>
      </w:r>
      <w:proofErr w:type="gramEnd"/>
      <w:r w:rsidRPr="00BE5DAB">
        <w:rPr>
          <w:rFonts w:ascii="Times New Roman" w:eastAsia="SimSun" w:hAnsi="Times New Roman" w:cs="Times New Roman"/>
          <w:sz w:val="24"/>
          <w:szCs w:val="24"/>
          <w:lang w:eastAsia="zh-CN"/>
        </w:rPr>
        <w:t xml:space="preserve"> and customer loyalty: The case of electrical consumer products. International Journal of Organizational Innovation. 4(1), pp. 111-127.</w:t>
      </w:r>
    </w:p>
    <w:p w14:paraId="3C180AEC" w14:textId="77777777" w:rsidR="00BE5DAB" w:rsidRPr="00BE5DAB" w:rsidRDefault="00833529" w:rsidP="00BE5DAB">
      <w:pPr>
        <w:widowControl w:val="0"/>
        <w:autoSpaceDE w:val="0"/>
        <w:autoSpaceDN w:val="0"/>
        <w:spacing w:after="0" w:line="360" w:lineRule="auto"/>
        <w:jc w:val="both"/>
        <w:rPr>
          <w:rFonts w:ascii="Times New Roman" w:eastAsia="Cambria" w:hAnsi="Times New Roman" w:cs="Times New Roman"/>
          <w:sz w:val="24"/>
          <w:szCs w:val="24"/>
          <w:lang w:val="en-US"/>
        </w:rPr>
      </w:pPr>
      <w:hyperlink r:id="rId63" w:history="1">
        <w:r w:rsidR="00BE5DAB" w:rsidRPr="00BE5DAB">
          <w:rPr>
            <w:rFonts w:ascii="Times New Roman" w:eastAsia="Cambria" w:hAnsi="Times New Roman" w:cs="Times New Roman"/>
            <w:color w:val="0000FF"/>
            <w:sz w:val="24"/>
            <w:szCs w:val="24"/>
            <w:u w:val="single"/>
            <w:lang w:val="en-US"/>
          </w:rPr>
          <w:t>Iftahy</w:t>
        </w:r>
      </w:hyperlink>
      <w:r w:rsidR="00BE5DAB" w:rsidRPr="00BE5DAB">
        <w:rPr>
          <w:rFonts w:ascii="Times New Roman" w:eastAsia="Cambria" w:hAnsi="Times New Roman" w:cs="Times New Roman"/>
          <w:sz w:val="24"/>
          <w:szCs w:val="24"/>
          <w:lang w:val="en-US"/>
        </w:rPr>
        <w:t xml:space="preserve">, A., </w:t>
      </w:r>
      <w:proofErr w:type="spellStart"/>
      <w:r w:rsidR="00BE5DAB" w:rsidRPr="00BE5DAB">
        <w:rPr>
          <w:rFonts w:ascii="Times New Roman" w:eastAsia="Cambria" w:hAnsi="Times New Roman" w:cs="Times New Roman"/>
          <w:sz w:val="24"/>
          <w:szCs w:val="24"/>
          <w:lang w:val="en-US"/>
        </w:rPr>
        <w:t>Mellens</w:t>
      </w:r>
      <w:proofErr w:type="spellEnd"/>
      <w:r w:rsidR="00BE5DAB" w:rsidRPr="00BE5DAB">
        <w:rPr>
          <w:rFonts w:ascii="Times New Roman" w:eastAsia="Cambria" w:hAnsi="Times New Roman" w:cs="Times New Roman"/>
          <w:sz w:val="24"/>
          <w:szCs w:val="24"/>
          <w:lang w:val="en-US"/>
        </w:rPr>
        <w:t>, M., Walia, N. and </w:t>
      </w:r>
      <w:hyperlink r:id="rId64" w:history="1">
        <w:r w:rsidR="00BE5DAB" w:rsidRPr="00BE5DAB">
          <w:rPr>
            <w:rFonts w:ascii="Times New Roman" w:eastAsia="Cambria" w:hAnsi="Times New Roman" w:cs="Times New Roman"/>
            <w:color w:val="0000FF"/>
            <w:sz w:val="24"/>
            <w:szCs w:val="24"/>
            <w:u w:val="single"/>
            <w:lang w:val="en-US"/>
          </w:rPr>
          <w:t>Youssef</w:t>
        </w:r>
      </w:hyperlink>
      <w:r w:rsidR="00BE5DAB" w:rsidRPr="00BE5DAB">
        <w:rPr>
          <w:rFonts w:ascii="Times New Roman" w:eastAsia="Cambria" w:hAnsi="Times New Roman" w:cs="Times New Roman"/>
          <w:sz w:val="24"/>
          <w:szCs w:val="24"/>
          <w:lang w:val="en-US"/>
        </w:rPr>
        <w:t xml:space="preserve">, A. 2019. Navigating a perfect storm in the Middle East’s consumer sector. [Online]. Available </w:t>
      </w:r>
      <w:proofErr w:type="gramStart"/>
      <w:r w:rsidR="00BE5DAB" w:rsidRPr="00BE5DAB">
        <w:rPr>
          <w:rFonts w:ascii="Times New Roman" w:eastAsia="Cambria" w:hAnsi="Times New Roman" w:cs="Times New Roman"/>
          <w:sz w:val="24"/>
          <w:szCs w:val="24"/>
          <w:lang w:val="en-US"/>
        </w:rPr>
        <w:t>at :</w:t>
      </w:r>
      <w:proofErr w:type="gramEnd"/>
      <w:r w:rsidR="00BE5DAB" w:rsidRPr="00BE5DAB">
        <w:rPr>
          <w:rFonts w:ascii="Times New Roman" w:eastAsia="Cambria" w:hAnsi="Times New Roman" w:cs="Times New Roman"/>
          <w:sz w:val="24"/>
          <w:szCs w:val="24"/>
          <w:lang w:val="en-US"/>
        </w:rPr>
        <w:t xml:space="preserve"> </w:t>
      </w:r>
      <w:hyperlink r:id="rId65" w:history="1">
        <w:r w:rsidR="00BE5DAB" w:rsidRPr="00BE5DAB">
          <w:rPr>
            <w:rFonts w:ascii="Times New Roman" w:eastAsia="Cambria" w:hAnsi="Times New Roman" w:cs="Times New Roman"/>
            <w:color w:val="0000FF"/>
            <w:sz w:val="24"/>
            <w:szCs w:val="24"/>
            <w:u w:val="single"/>
            <w:lang w:val="en-US"/>
          </w:rPr>
          <w:t>https://www.mckinsey.com/featured-insights/middle-east-and-africa/navigating-a-perfect-storm-in-the-middle-easts-consumer-sector</w:t>
        </w:r>
      </w:hyperlink>
      <w:r w:rsidR="00BE5DAB" w:rsidRPr="00BE5DAB">
        <w:rPr>
          <w:rFonts w:ascii="Times New Roman" w:eastAsia="Cambria" w:hAnsi="Times New Roman" w:cs="Times New Roman"/>
          <w:sz w:val="24"/>
          <w:szCs w:val="24"/>
          <w:lang w:val="en-US"/>
        </w:rPr>
        <w:t xml:space="preserve"> [Accessed on: 24 August 2021]. </w:t>
      </w:r>
    </w:p>
    <w:p w14:paraId="0167C2E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Jensen, H. (2008). The Mohammed cartoons controversy and the boycott of Danish products in the Middle East. European Business Review. 20(3), pp. 275-289.</w:t>
      </w:r>
    </w:p>
    <w:p w14:paraId="04ABB54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John, A and Klein, J. (2003). The boycott puzzle: Consumer motivation for purchase sacrifice. Management Science. 49(9) pp. 1196-209.</w:t>
      </w:r>
    </w:p>
    <w:p w14:paraId="4A55936C"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Kalliny</w:t>
      </w:r>
      <w:proofErr w:type="spellEnd"/>
      <w:r w:rsidRPr="00BE5DAB">
        <w:rPr>
          <w:rFonts w:ascii="Times New Roman" w:eastAsia="SimSun" w:hAnsi="Times New Roman" w:cs="Times New Roman"/>
          <w:sz w:val="24"/>
          <w:szCs w:val="24"/>
          <w:lang w:eastAsia="zh-CN"/>
        </w:rPr>
        <w:t xml:space="preserve">, M., Hausman, A., Saran, A. and </w:t>
      </w:r>
      <w:proofErr w:type="spellStart"/>
      <w:r w:rsidRPr="00BE5DAB">
        <w:rPr>
          <w:rFonts w:ascii="Times New Roman" w:eastAsia="SimSun" w:hAnsi="Times New Roman" w:cs="Times New Roman"/>
          <w:sz w:val="24"/>
          <w:szCs w:val="24"/>
          <w:lang w:eastAsia="zh-CN"/>
        </w:rPr>
        <w:t>Ismaeil</w:t>
      </w:r>
      <w:proofErr w:type="spellEnd"/>
      <w:r w:rsidRPr="00BE5DAB">
        <w:rPr>
          <w:rFonts w:ascii="Times New Roman" w:eastAsia="SimSun" w:hAnsi="Times New Roman" w:cs="Times New Roman"/>
          <w:sz w:val="24"/>
          <w:szCs w:val="24"/>
          <w:lang w:eastAsia="zh-CN"/>
        </w:rPr>
        <w:t>, D. (2017). The cultural and religious animosity model: evidence from the United States. Journal of Consumer Marketing, 34(2), pp. 169-179.</w:t>
      </w:r>
    </w:p>
    <w:p w14:paraId="50057187"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rPr>
      </w:pPr>
      <w:proofErr w:type="spellStart"/>
      <w:r w:rsidRPr="00BE5DAB">
        <w:rPr>
          <w:rFonts w:ascii="Times New Roman" w:eastAsia="SimSun" w:hAnsi="Times New Roman" w:cs="Times New Roman"/>
          <w:sz w:val="24"/>
          <w:szCs w:val="24"/>
        </w:rPr>
        <w:t>Khraim</w:t>
      </w:r>
      <w:proofErr w:type="spellEnd"/>
      <w:r w:rsidRPr="00BE5DAB">
        <w:rPr>
          <w:rFonts w:ascii="Times New Roman" w:eastAsia="SimSun" w:hAnsi="Times New Roman" w:cs="Times New Roman"/>
          <w:sz w:val="24"/>
          <w:szCs w:val="24"/>
        </w:rPr>
        <w:t xml:space="preserve">, H. (2010). Measuring Religiosity in Consumer Research </w:t>
      </w:r>
      <w:proofErr w:type="gramStart"/>
      <w:r w:rsidRPr="00BE5DAB">
        <w:rPr>
          <w:rFonts w:ascii="Times New Roman" w:eastAsia="SimSun" w:hAnsi="Times New Roman" w:cs="Times New Roman"/>
          <w:sz w:val="24"/>
          <w:szCs w:val="24"/>
        </w:rPr>
        <w:t>From</w:t>
      </w:r>
      <w:proofErr w:type="gramEnd"/>
      <w:r w:rsidRPr="00BE5DAB">
        <w:rPr>
          <w:rFonts w:ascii="Times New Roman" w:eastAsia="SimSun" w:hAnsi="Times New Roman" w:cs="Times New Roman"/>
          <w:sz w:val="24"/>
          <w:szCs w:val="24"/>
        </w:rPr>
        <w:t xml:space="preserve"> an Islamic Perspective. Journal of Economic and Administrative Sciences, 26(1), pp. 52-78. </w:t>
      </w:r>
    </w:p>
    <w:p w14:paraId="7BE13A15"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Klein, J., Smith, N., and John, A. (2002). Exploring Motivations for Participation in a Consumer Boycott, Advances in Consumer Research, 29(1), 363-369.</w:t>
      </w:r>
    </w:p>
    <w:p w14:paraId="0A7E2301"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Klein, J., Smith, N., and John, A. (2004). Why we boycott: Consumer motivations for boycott </w:t>
      </w:r>
      <w:r w:rsidRPr="00BE5DAB">
        <w:rPr>
          <w:rFonts w:ascii="Times New Roman" w:eastAsia="SimSun" w:hAnsi="Times New Roman" w:cs="Times New Roman"/>
          <w:sz w:val="24"/>
          <w:szCs w:val="24"/>
          <w:lang w:eastAsia="zh-CN"/>
        </w:rPr>
        <w:lastRenderedPageBreak/>
        <w:t>participation. Journal of Marketing, 68(3), 92–109.</w:t>
      </w:r>
    </w:p>
    <w:p w14:paraId="24119C15"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Lancaster, G. (2007) Research methods in management. London: Routledge.</w:t>
      </w:r>
    </w:p>
    <w:p w14:paraId="529D8661"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Lien-</w:t>
      </w:r>
      <w:proofErr w:type="spellStart"/>
      <w:r w:rsidRPr="00BE5DAB">
        <w:rPr>
          <w:rFonts w:ascii="Times New Roman" w:eastAsia="SimSun" w:hAnsi="Times New Roman" w:cs="Times New Roman"/>
          <w:sz w:val="24"/>
          <w:szCs w:val="24"/>
          <w:lang w:eastAsia="zh-CN"/>
        </w:rPr>
        <w:t>Ti</w:t>
      </w:r>
      <w:proofErr w:type="spellEnd"/>
      <w:r w:rsidRPr="00BE5DAB">
        <w:rPr>
          <w:rFonts w:ascii="Times New Roman" w:eastAsia="SimSun" w:hAnsi="Times New Roman" w:cs="Times New Roman"/>
          <w:sz w:val="24"/>
          <w:szCs w:val="24"/>
          <w:lang w:eastAsia="zh-CN"/>
        </w:rPr>
        <w:t>, B. and Yu-</w:t>
      </w:r>
      <w:proofErr w:type="spellStart"/>
      <w:r w:rsidRPr="00BE5DAB">
        <w:rPr>
          <w:rFonts w:ascii="Times New Roman" w:eastAsia="SimSun" w:hAnsi="Times New Roman" w:cs="Times New Roman"/>
          <w:sz w:val="24"/>
          <w:szCs w:val="24"/>
          <w:lang w:eastAsia="zh-CN"/>
        </w:rPr>
        <w:t>Chungh</w:t>
      </w:r>
      <w:proofErr w:type="spellEnd"/>
      <w:r w:rsidRPr="00BE5DAB">
        <w:rPr>
          <w:rFonts w:ascii="Times New Roman" w:eastAsia="SimSun" w:hAnsi="Times New Roman" w:cs="Times New Roman"/>
          <w:sz w:val="24"/>
          <w:szCs w:val="24"/>
          <w:lang w:eastAsia="zh-CN"/>
        </w:rPr>
        <w:t xml:space="preserve">, C. (2006). The determinants of customer loyalty: an analysis of intangible factors in three service industries. International Journal </w:t>
      </w:r>
      <w:proofErr w:type="gramStart"/>
      <w:r w:rsidRPr="00BE5DAB">
        <w:rPr>
          <w:rFonts w:ascii="Times New Roman" w:eastAsia="SimSun" w:hAnsi="Times New Roman" w:cs="Times New Roman"/>
          <w:sz w:val="24"/>
          <w:szCs w:val="24"/>
          <w:lang w:eastAsia="zh-CN"/>
        </w:rPr>
        <w:t>Of</w:t>
      </w:r>
      <w:proofErr w:type="gramEnd"/>
      <w:r w:rsidRPr="00BE5DAB">
        <w:rPr>
          <w:rFonts w:ascii="Times New Roman" w:eastAsia="SimSun" w:hAnsi="Times New Roman" w:cs="Times New Roman"/>
          <w:sz w:val="24"/>
          <w:szCs w:val="24"/>
          <w:lang w:eastAsia="zh-CN"/>
        </w:rPr>
        <w:t xml:space="preserve"> Commerce and Management. 16(3/4), pp. 162-177.</w:t>
      </w:r>
    </w:p>
    <w:p w14:paraId="00390C49"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Lune, H., and Berg, B. (2017). Qualitative Research Methods for the Social Sciences. Ninth Edition. England: Pearson Education Limited.</w:t>
      </w:r>
    </w:p>
    <w:p w14:paraId="27990637"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Ma, J., Wang, S., and Hao, W. (2012). Does cultural similarity matter? Extending the animosity del from a new perspective. Journal of Consumer Marketing, 29(5), pp. 319-332.</w:t>
      </w:r>
    </w:p>
    <w:p w14:paraId="3490409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Maamoun, A. and Aggarwal, P. (2008). Guilty by association: the boycotting of Danish products in the Middle East. Journal of Business Case Studies. 4(10), pp. 35-42.</w:t>
      </w:r>
    </w:p>
    <w:p w14:paraId="1D0A3267"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Makanyeza</w:t>
      </w:r>
      <w:proofErr w:type="spellEnd"/>
      <w:r w:rsidRPr="00BE5DAB">
        <w:rPr>
          <w:rFonts w:ascii="Times New Roman" w:eastAsia="Cambria" w:hAnsi="Times New Roman" w:cs="Times New Roman"/>
          <w:sz w:val="24"/>
          <w:szCs w:val="24"/>
          <w:lang w:val="en-US"/>
        </w:rPr>
        <w:t xml:space="preserve">, C. 2014. Measuring Consumer Attitude towards Imported Poultry Meat Products in a Developing Market: An Assessment of Reliability, Validity and Dimensionality of the Tri-Component Attitude Model. </w:t>
      </w:r>
      <w:r w:rsidRPr="00BE5DAB">
        <w:rPr>
          <w:rFonts w:ascii="Times New Roman" w:eastAsia="Cambria" w:hAnsi="Times New Roman" w:cs="Times New Roman"/>
          <w:i/>
          <w:iCs/>
          <w:sz w:val="24"/>
          <w:szCs w:val="24"/>
          <w:lang w:val="en-US"/>
        </w:rPr>
        <w:t>Mediterranean Journal of Social Sciences</w:t>
      </w:r>
      <w:r w:rsidRPr="00BE5DAB">
        <w:rPr>
          <w:rFonts w:ascii="Times New Roman" w:eastAsia="Cambria" w:hAnsi="Times New Roman" w:cs="Times New Roman"/>
          <w:sz w:val="24"/>
          <w:szCs w:val="24"/>
          <w:lang w:val="en-US"/>
        </w:rPr>
        <w:t xml:space="preserve"> 5(20), pp. 874-881.</w:t>
      </w:r>
    </w:p>
    <w:p w14:paraId="2B3C5B95"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Makarem</w:t>
      </w:r>
      <w:proofErr w:type="spellEnd"/>
      <w:r w:rsidRPr="00BE5DAB">
        <w:rPr>
          <w:rFonts w:ascii="Times New Roman" w:eastAsia="SimSun" w:hAnsi="Times New Roman" w:cs="Times New Roman"/>
          <w:sz w:val="24"/>
          <w:szCs w:val="24"/>
          <w:lang w:eastAsia="zh-CN"/>
        </w:rPr>
        <w:t>, S. and Jae, H.  (2016</w:t>
      </w:r>
      <w:r w:rsidRPr="00BE5DAB">
        <w:rPr>
          <w:rFonts w:ascii="Times New Roman" w:eastAsia="SimSun" w:hAnsi="Times New Roman" w:cs="Times New Roman"/>
          <w:sz w:val="24"/>
          <w:szCs w:val="24"/>
          <w:lang w:val="en-US" w:eastAsia="zh-CN"/>
        </w:rPr>
        <w:t>)</w:t>
      </w:r>
      <w:r w:rsidRPr="00BE5DAB">
        <w:rPr>
          <w:rFonts w:ascii="Times New Roman" w:eastAsia="SimSun" w:hAnsi="Times New Roman" w:cs="Times New Roman"/>
          <w:sz w:val="24"/>
          <w:szCs w:val="24"/>
          <w:lang w:eastAsia="zh-CN"/>
        </w:rPr>
        <w:t xml:space="preserve">. Consumer Boycott </w:t>
      </w:r>
      <w:proofErr w:type="spellStart"/>
      <w:r w:rsidRPr="00BE5DAB">
        <w:rPr>
          <w:rFonts w:ascii="Times New Roman" w:eastAsia="SimSun" w:hAnsi="Times New Roman" w:cs="Times New Roman"/>
          <w:sz w:val="24"/>
          <w:szCs w:val="24"/>
          <w:lang w:eastAsia="zh-CN"/>
        </w:rPr>
        <w:t>Behavior</w:t>
      </w:r>
      <w:proofErr w:type="spellEnd"/>
      <w:r w:rsidRPr="00BE5DAB">
        <w:rPr>
          <w:rFonts w:ascii="Times New Roman" w:eastAsia="SimSun" w:hAnsi="Times New Roman" w:cs="Times New Roman"/>
          <w:sz w:val="24"/>
          <w:szCs w:val="24"/>
          <w:lang w:eastAsia="zh-CN"/>
        </w:rPr>
        <w:t xml:space="preserve">: An Exploratory Analysis of Twitter </w:t>
      </w:r>
      <w:proofErr w:type="gramStart"/>
      <w:r w:rsidRPr="00BE5DAB">
        <w:rPr>
          <w:rFonts w:ascii="Times New Roman" w:eastAsia="SimSun" w:hAnsi="Times New Roman" w:cs="Times New Roman"/>
          <w:sz w:val="24"/>
          <w:szCs w:val="24"/>
          <w:lang w:eastAsia="zh-CN"/>
        </w:rPr>
        <w:t>Feeds,  Journal</w:t>
      </w:r>
      <w:proofErr w:type="gramEnd"/>
      <w:r w:rsidRPr="00BE5DAB">
        <w:rPr>
          <w:rFonts w:ascii="Times New Roman" w:eastAsia="SimSun" w:hAnsi="Times New Roman" w:cs="Times New Roman"/>
          <w:sz w:val="24"/>
          <w:szCs w:val="24"/>
          <w:lang w:eastAsia="zh-CN"/>
        </w:rPr>
        <w:t xml:space="preserve"> of Consumer Affairs, Wiley Blackwell, vol. 50(1), pp. 193-223.</w:t>
      </w:r>
    </w:p>
    <w:p w14:paraId="4592258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Malai</w:t>
      </w:r>
      <w:proofErr w:type="spellEnd"/>
      <w:r w:rsidRPr="00BE5DAB">
        <w:rPr>
          <w:rFonts w:ascii="Times New Roman" w:eastAsia="SimSun" w:hAnsi="Times New Roman" w:cs="Times New Roman"/>
          <w:sz w:val="24"/>
          <w:szCs w:val="24"/>
          <w:lang w:eastAsia="zh-CN"/>
        </w:rPr>
        <w:t xml:space="preserve">, V., and </w:t>
      </w:r>
      <w:proofErr w:type="spellStart"/>
      <w:r w:rsidRPr="00BE5DAB">
        <w:rPr>
          <w:rFonts w:ascii="Times New Roman" w:eastAsia="SimSun" w:hAnsi="Times New Roman" w:cs="Times New Roman"/>
          <w:sz w:val="24"/>
          <w:szCs w:val="24"/>
          <w:lang w:eastAsia="zh-CN"/>
        </w:rPr>
        <w:t>Speece</w:t>
      </w:r>
      <w:proofErr w:type="spellEnd"/>
      <w:r w:rsidRPr="00BE5DAB">
        <w:rPr>
          <w:rFonts w:ascii="Times New Roman" w:eastAsia="SimSun" w:hAnsi="Times New Roman" w:cs="Times New Roman"/>
          <w:sz w:val="24"/>
          <w:szCs w:val="24"/>
          <w:lang w:eastAsia="zh-CN"/>
        </w:rPr>
        <w:t>, M. (2005). Cultural impact on the relationship among perceived service quality, brand name value and customer loyalty. Journal of International Consumer Marketing. 17(4), pp.7-39.</w:t>
      </w:r>
    </w:p>
    <w:p w14:paraId="12B6103F"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Martinez-Lopez, F., Anaya-Sánchez, R., Aguilar-</w:t>
      </w:r>
      <w:proofErr w:type="spellStart"/>
      <w:r w:rsidRPr="00BE5DAB">
        <w:rPr>
          <w:rFonts w:ascii="Times New Roman" w:eastAsia="SimSun" w:hAnsi="Times New Roman" w:cs="Times New Roman"/>
          <w:sz w:val="24"/>
          <w:szCs w:val="24"/>
          <w:lang w:eastAsia="zh-CN"/>
        </w:rPr>
        <w:t>Illescas</w:t>
      </w:r>
      <w:proofErr w:type="spellEnd"/>
      <w:r w:rsidRPr="00BE5DAB">
        <w:rPr>
          <w:rFonts w:ascii="Times New Roman" w:eastAsia="SimSun" w:hAnsi="Times New Roman" w:cs="Times New Roman"/>
          <w:sz w:val="24"/>
          <w:szCs w:val="24"/>
          <w:lang w:eastAsia="zh-CN"/>
        </w:rPr>
        <w:t>, R., and Molinillo, S. (2015). Online Brand Communities: Using the Social Web for Branding and Marketing. London: Springer.</w:t>
      </w:r>
    </w:p>
    <w:p w14:paraId="6D9A0BD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Matic, M. and Pub, B. (2011). Consumer Animosity and the Influence of Demographic Variable on General and Economic Dimension of Consumer Animosity. International Journal of Management Cases (IJMC), pp. 461-465.</w:t>
      </w:r>
    </w:p>
    <w:p w14:paraId="49C41CF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Miles, M., and Huberman, A. (1994). Qualitative Data Analysis: An Expanded Sourcebook. Second edition. USA: Sage Publications.</w:t>
      </w:r>
    </w:p>
    <w:p w14:paraId="03988AC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Morrison, S. (2015) The boycott, divestment, and sanctions movement: activism across borders for Palestinian justice. PhD thesis, London School of Economics and Political Science (LSE).</w:t>
      </w:r>
    </w:p>
    <w:p w14:paraId="0E0F98C2" w14:textId="77777777" w:rsidR="00BE5DAB" w:rsidRPr="00BE5DAB" w:rsidRDefault="00BE5DAB" w:rsidP="00BE5DAB">
      <w:pPr>
        <w:widowControl w:val="0"/>
        <w:autoSpaceDE w:val="0"/>
        <w:autoSpaceDN w:val="0"/>
        <w:spacing w:after="0" w:line="360" w:lineRule="auto"/>
        <w:ind w:rightChars="-24" w:right="-53"/>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National Archives (2015). Ethnic Group by Religion. Accessed from: https://webarchive.nationalarchives.gov.uk/ukgwa/20160105160709/http://www.ons.gov.uk/ons/about-ons/business-transparency/freedom-of-information/what-can-i-request/previous-foi-requests/population/ethnicity-and-religion-by-age/dc2201ew---ethnic-group-and-religion.xls [14-Aug-2021].</w:t>
      </w:r>
    </w:p>
    <w:p w14:paraId="0763F604" w14:textId="77777777" w:rsidR="00BE5DAB" w:rsidRPr="00BE5DAB" w:rsidRDefault="00BE5DAB" w:rsidP="00BE5DAB">
      <w:pPr>
        <w:widowControl w:val="0"/>
        <w:autoSpaceDE w:val="0"/>
        <w:autoSpaceDN w:val="0"/>
        <w:spacing w:after="0" w:line="360" w:lineRule="auto"/>
        <w:ind w:rightChars="-24" w:right="-53"/>
        <w:jc w:val="both"/>
        <w:rPr>
          <w:rFonts w:ascii="Times New Roman" w:eastAsia="Cambria" w:hAnsi="Times New Roman" w:cs="Times New Roman"/>
          <w:sz w:val="24"/>
          <w:szCs w:val="24"/>
          <w:lang w:eastAsia="zh-CN"/>
        </w:rPr>
      </w:pPr>
      <w:r w:rsidRPr="00BE5DAB">
        <w:rPr>
          <w:rFonts w:ascii="Times New Roman" w:eastAsia="Cambria" w:hAnsi="Times New Roman" w:cs="Arial"/>
          <w:sz w:val="24"/>
          <w:szCs w:val="24"/>
          <w:lang w:eastAsia="zh-CN"/>
        </w:rPr>
        <w:t xml:space="preserve">Nawaz, M., </w:t>
      </w:r>
      <w:proofErr w:type="spellStart"/>
      <w:r w:rsidRPr="00BE5DAB">
        <w:rPr>
          <w:rFonts w:ascii="Times New Roman" w:eastAsia="Cambria" w:hAnsi="Times New Roman" w:cs="Arial"/>
          <w:sz w:val="24"/>
          <w:szCs w:val="24"/>
          <w:lang w:eastAsia="zh-CN"/>
        </w:rPr>
        <w:t>Jariko</w:t>
      </w:r>
      <w:proofErr w:type="spellEnd"/>
      <w:r w:rsidRPr="00BE5DAB">
        <w:rPr>
          <w:rFonts w:ascii="Times New Roman" w:eastAsia="Cambria" w:hAnsi="Times New Roman" w:cs="Arial"/>
          <w:sz w:val="24"/>
          <w:szCs w:val="24"/>
          <w:lang w:eastAsia="zh-CN"/>
        </w:rPr>
        <w:t xml:space="preserve">, M. and </w:t>
      </w:r>
      <w:proofErr w:type="spellStart"/>
      <w:r w:rsidRPr="00BE5DAB">
        <w:rPr>
          <w:rFonts w:ascii="Times New Roman" w:eastAsia="Cambria" w:hAnsi="Times New Roman" w:cs="Arial"/>
          <w:sz w:val="24"/>
          <w:szCs w:val="24"/>
          <w:lang w:eastAsia="zh-CN"/>
        </w:rPr>
        <w:t>Mushtaque</w:t>
      </w:r>
      <w:proofErr w:type="spellEnd"/>
      <w:r w:rsidRPr="00BE5DAB">
        <w:rPr>
          <w:rFonts w:ascii="Times New Roman" w:eastAsia="Cambria" w:hAnsi="Times New Roman" w:cs="Arial"/>
          <w:sz w:val="24"/>
          <w:szCs w:val="24"/>
          <w:lang w:eastAsia="zh-CN"/>
        </w:rPr>
        <w:t xml:space="preserve">, T. (2017). Phenomenological Research, A Reflex </w:t>
      </w:r>
      <w:r w:rsidRPr="00BE5DAB">
        <w:rPr>
          <w:rFonts w:ascii="Times New Roman" w:eastAsia="Cambria" w:hAnsi="Times New Roman" w:cs="Arial"/>
          <w:sz w:val="24"/>
          <w:szCs w:val="24"/>
          <w:lang w:eastAsia="zh-CN"/>
        </w:rPr>
        <w:lastRenderedPageBreak/>
        <w:t>Account. International Journal of Quantitative and Qualitative Research Methods, 5(2), pp. 1-9.</w:t>
      </w:r>
    </w:p>
    <w:p w14:paraId="20E19906" w14:textId="77777777" w:rsidR="00BE5DAB" w:rsidRPr="00BE5DAB" w:rsidRDefault="00BE5DAB" w:rsidP="00BE5DAB">
      <w:pPr>
        <w:widowControl w:val="0"/>
        <w:autoSpaceDE w:val="0"/>
        <w:autoSpaceDN w:val="0"/>
        <w:spacing w:after="0" w:line="360" w:lineRule="auto"/>
        <w:ind w:rightChars="-24" w:right="-53"/>
        <w:jc w:val="both"/>
        <w:rPr>
          <w:rFonts w:ascii="Times New Roman" w:eastAsia="Cambria" w:hAnsi="Times New Roman" w:cs="Times New Roman"/>
          <w:sz w:val="24"/>
          <w:szCs w:val="24"/>
          <w:lang w:eastAsia="zh-CN"/>
        </w:rPr>
      </w:pPr>
      <w:proofErr w:type="spellStart"/>
      <w:r w:rsidRPr="00BE5DAB">
        <w:rPr>
          <w:rFonts w:ascii="Times New Roman" w:eastAsia="Cambria" w:hAnsi="Times New Roman" w:cs="Times New Roman"/>
          <w:sz w:val="24"/>
          <w:szCs w:val="24"/>
          <w:lang w:eastAsia="zh-CN"/>
        </w:rPr>
        <w:t>Nes</w:t>
      </w:r>
      <w:proofErr w:type="spellEnd"/>
      <w:r w:rsidRPr="00BE5DAB">
        <w:rPr>
          <w:rFonts w:ascii="Times New Roman" w:eastAsia="Cambria" w:hAnsi="Times New Roman" w:cs="Times New Roman"/>
          <w:sz w:val="24"/>
          <w:szCs w:val="24"/>
          <w:lang w:eastAsia="zh-CN"/>
        </w:rPr>
        <w:t xml:space="preserve">, E., </w:t>
      </w:r>
      <w:proofErr w:type="spellStart"/>
      <w:r w:rsidRPr="00BE5DAB">
        <w:rPr>
          <w:rFonts w:ascii="Times New Roman" w:eastAsia="Cambria" w:hAnsi="Times New Roman" w:cs="Times New Roman"/>
          <w:sz w:val="24"/>
          <w:szCs w:val="24"/>
          <w:lang w:eastAsia="zh-CN"/>
        </w:rPr>
        <w:t>Yelkur</w:t>
      </w:r>
      <w:proofErr w:type="spellEnd"/>
      <w:r w:rsidRPr="00BE5DAB">
        <w:rPr>
          <w:rFonts w:ascii="Times New Roman" w:eastAsia="Cambria" w:hAnsi="Times New Roman" w:cs="Times New Roman"/>
          <w:sz w:val="24"/>
          <w:szCs w:val="24"/>
          <w:lang w:eastAsia="zh-CN"/>
        </w:rPr>
        <w:t xml:space="preserve">, R., and </w:t>
      </w:r>
      <w:proofErr w:type="spellStart"/>
      <w:r w:rsidRPr="00BE5DAB">
        <w:rPr>
          <w:rFonts w:ascii="Times New Roman" w:eastAsia="Cambria" w:hAnsi="Times New Roman" w:cs="Times New Roman"/>
          <w:sz w:val="24"/>
          <w:szCs w:val="24"/>
          <w:lang w:eastAsia="zh-CN"/>
        </w:rPr>
        <w:t>Silkoset</w:t>
      </w:r>
      <w:proofErr w:type="spellEnd"/>
      <w:r w:rsidRPr="00BE5DAB">
        <w:rPr>
          <w:rFonts w:ascii="Times New Roman" w:eastAsia="Cambria" w:hAnsi="Times New Roman" w:cs="Times New Roman"/>
          <w:sz w:val="24"/>
          <w:szCs w:val="24"/>
          <w:lang w:eastAsia="zh-CN"/>
        </w:rPr>
        <w:t>, R. (2012). Exploring the animosity domain and the role of affect in a cross-national context. International Business Review, 21, pp. 751–765.</w:t>
      </w:r>
    </w:p>
    <w:p w14:paraId="09B83D0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Neuman, W. (2007). Basic of Social Research: Qualitative and Quantitative Approaches. Second Edition. New York: Pearson.</w:t>
      </w:r>
    </w:p>
    <w:p w14:paraId="7C0A9BDF" w14:textId="77777777" w:rsidR="00BE5DAB" w:rsidRPr="00BE5DAB" w:rsidRDefault="00BE5DAB" w:rsidP="00BE5DAB">
      <w:pPr>
        <w:widowControl w:val="0"/>
        <w:autoSpaceDE w:val="0"/>
        <w:autoSpaceDN w:val="0"/>
        <w:spacing w:after="0" w:line="360" w:lineRule="auto"/>
        <w:ind w:rightChars="-24" w:right="-53"/>
        <w:jc w:val="both"/>
        <w:rPr>
          <w:rFonts w:ascii="Times New Roman" w:eastAsia="Cambria" w:hAnsi="Times New Roman" w:cs="Times New Roman"/>
          <w:sz w:val="24"/>
          <w:szCs w:val="24"/>
          <w:lang w:eastAsia="zh-CN"/>
        </w:rPr>
      </w:pPr>
      <w:proofErr w:type="spellStart"/>
      <w:r w:rsidRPr="00BE5DAB">
        <w:rPr>
          <w:rFonts w:ascii="Times New Roman" w:eastAsia="Cambria" w:hAnsi="Times New Roman" w:cs="Times New Roman"/>
          <w:sz w:val="24"/>
          <w:szCs w:val="24"/>
          <w:lang w:eastAsia="zh-CN"/>
        </w:rPr>
        <w:t>Nijssen</w:t>
      </w:r>
      <w:proofErr w:type="spellEnd"/>
      <w:r w:rsidRPr="00BE5DAB">
        <w:rPr>
          <w:rFonts w:ascii="Times New Roman" w:eastAsia="Cambria" w:hAnsi="Times New Roman" w:cs="Times New Roman"/>
          <w:sz w:val="24"/>
          <w:szCs w:val="24"/>
          <w:lang w:eastAsia="zh-CN"/>
        </w:rPr>
        <w:t>, E. and Douglas, S. (2004). Examining the animosity model in a country with a high level of foreign trade. International Journal of Research in Marketing, 21, pp. 23-38.</w:t>
      </w:r>
    </w:p>
    <w:p w14:paraId="3E0AA1CA" w14:textId="77777777" w:rsidR="00BE5DAB" w:rsidRPr="00BE5DAB" w:rsidRDefault="00BE5DAB" w:rsidP="00BE5DAB">
      <w:pPr>
        <w:widowControl w:val="0"/>
        <w:autoSpaceDE w:val="0"/>
        <w:autoSpaceDN w:val="0"/>
        <w:spacing w:after="0" w:line="360" w:lineRule="auto"/>
        <w:ind w:rightChars="-24" w:right="-53"/>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 xml:space="preserve">Norris, P., </w:t>
      </w:r>
      <w:proofErr w:type="spellStart"/>
      <w:r w:rsidRPr="00BE5DAB">
        <w:rPr>
          <w:rFonts w:ascii="Times New Roman" w:eastAsia="Cambria" w:hAnsi="Times New Roman" w:cs="Times New Roman"/>
          <w:sz w:val="24"/>
          <w:szCs w:val="24"/>
          <w:lang w:eastAsia="zh-CN"/>
        </w:rPr>
        <w:t>Lovenduski</w:t>
      </w:r>
      <w:proofErr w:type="spellEnd"/>
      <w:r w:rsidRPr="00BE5DAB">
        <w:rPr>
          <w:rFonts w:ascii="Times New Roman" w:eastAsia="Cambria" w:hAnsi="Times New Roman" w:cs="Times New Roman"/>
          <w:sz w:val="24"/>
          <w:szCs w:val="24"/>
          <w:lang w:eastAsia="zh-CN"/>
        </w:rPr>
        <w:t xml:space="preserve"> and R Campbell (2004), Gender and Political Participation, report for the Electoral Commission.</w:t>
      </w:r>
    </w:p>
    <w:p w14:paraId="38ED8BE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Oswald, L. (1999). Culture swapping: Consumption and the ethnogenesis of middle-class Haitian immigrants. Journal of Consumer Research, 25(4), pp. 303-318.</w:t>
      </w:r>
    </w:p>
    <w:p w14:paraId="0C1C649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Öztürk</w:t>
      </w:r>
      <w:proofErr w:type="spellEnd"/>
      <w:r w:rsidRPr="00BE5DAB">
        <w:rPr>
          <w:rFonts w:ascii="Times New Roman" w:eastAsia="SimSun" w:hAnsi="Times New Roman" w:cs="Times New Roman"/>
          <w:sz w:val="24"/>
          <w:szCs w:val="24"/>
          <w:lang w:eastAsia="zh-CN"/>
        </w:rPr>
        <w:t xml:space="preserve">, A., </w:t>
      </w:r>
      <w:proofErr w:type="spellStart"/>
      <w:r w:rsidRPr="00BE5DAB">
        <w:rPr>
          <w:rFonts w:ascii="Times New Roman" w:eastAsia="SimSun" w:hAnsi="Times New Roman" w:cs="Times New Roman"/>
          <w:sz w:val="24"/>
          <w:szCs w:val="24"/>
          <w:lang w:eastAsia="zh-CN"/>
        </w:rPr>
        <w:t>Nart</w:t>
      </w:r>
      <w:proofErr w:type="spellEnd"/>
      <w:r w:rsidRPr="00BE5DAB">
        <w:rPr>
          <w:rFonts w:ascii="Times New Roman" w:eastAsia="SimSun" w:hAnsi="Times New Roman" w:cs="Times New Roman"/>
          <w:sz w:val="24"/>
          <w:szCs w:val="24"/>
          <w:lang w:eastAsia="zh-CN"/>
        </w:rPr>
        <w:t xml:space="preserve">, S., </w:t>
      </w:r>
      <w:proofErr w:type="spellStart"/>
      <w:r w:rsidRPr="00BE5DAB">
        <w:rPr>
          <w:rFonts w:ascii="Times New Roman" w:eastAsia="SimSun" w:hAnsi="Times New Roman" w:cs="Times New Roman"/>
          <w:sz w:val="24"/>
          <w:szCs w:val="24"/>
          <w:lang w:eastAsia="zh-CN"/>
        </w:rPr>
        <w:t>Altunışık</w:t>
      </w:r>
      <w:proofErr w:type="spellEnd"/>
      <w:r w:rsidRPr="00BE5DAB">
        <w:rPr>
          <w:rFonts w:ascii="Times New Roman" w:eastAsia="SimSun" w:hAnsi="Times New Roman" w:cs="Times New Roman"/>
          <w:sz w:val="24"/>
          <w:szCs w:val="24"/>
          <w:lang w:eastAsia="zh-CN"/>
        </w:rPr>
        <w:t xml:space="preserve">, R., 2019. The Politics of Purchasing: Ethical Consumerism in Turkey. In: </w:t>
      </w:r>
      <w:proofErr w:type="spellStart"/>
      <w:r w:rsidRPr="00BE5DAB">
        <w:rPr>
          <w:rFonts w:ascii="Times New Roman" w:eastAsia="SimSun" w:hAnsi="Times New Roman" w:cs="Times New Roman"/>
          <w:sz w:val="24"/>
          <w:szCs w:val="24"/>
          <w:lang w:eastAsia="zh-CN"/>
        </w:rPr>
        <w:t>Altinbasak</w:t>
      </w:r>
      <w:proofErr w:type="spellEnd"/>
      <w:r w:rsidRPr="00BE5DAB">
        <w:rPr>
          <w:rFonts w:ascii="Times New Roman" w:eastAsia="SimSun" w:hAnsi="Times New Roman" w:cs="Times New Roman"/>
          <w:sz w:val="24"/>
          <w:szCs w:val="24"/>
          <w:lang w:eastAsia="zh-CN"/>
        </w:rPr>
        <w:t xml:space="preserve">-Farina, I., </w:t>
      </w:r>
      <w:proofErr w:type="spellStart"/>
      <w:r w:rsidRPr="00BE5DAB">
        <w:rPr>
          <w:rFonts w:ascii="Times New Roman" w:eastAsia="SimSun" w:hAnsi="Times New Roman" w:cs="Times New Roman"/>
          <w:sz w:val="24"/>
          <w:szCs w:val="24"/>
          <w:lang w:eastAsia="zh-CN"/>
        </w:rPr>
        <w:t>Burnaz</w:t>
      </w:r>
      <w:proofErr w:type="spellEnd"/>
      <w:r w:rsidRPr="00BE5DAB">
        <w:rPr>
          <w:rFonts w:ascii="Times New Roman" w:eastAsia="SimSun" w:hAnsi="Times New Roman" w:cs="Times New Roman"/>
          <w:sz w:val="24"/>
          <w:szCs w:val="24"/>
          <w:lang w:eastAsia="zh-CN"/>
        </w:rPr>
        <w:t>, S. (Eds.), Ethics, Social Responsibility and Sustainability in Marketing. Accounting, Finance, Sustainability, Governance &amp; Fraud: Theory and Application. Singapore: Springer, pp. 3–18.</w:t>
      </w:r>
    </w:p>
    <w:p w14:paraId="384B1E77"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Patten, M., and Newhart, M. (2018). Understanding research methods: An overview of the essentials. Tenth Edition. New York: Routledge.</w:t>
      </w:r>
    </w:p>
    <w:p w14:paraId="34DC848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Pew Research Centre. (2017). Europe’s Growing Muslim Population: Muslims are projected to increase as a share of Europe’s population – even with no future migration. Accessed from: </w:t>
      </w:r>
      <w:hyperlink r:id="rId66" w:history="1">
        <w:r w:rsidRPr="00BE5DAB">
          <w:rPr>
            <w:rFonts w:ascii="Times New Roman" w:eastAsia="SimSun" w:hAnsi="Times New Roman" w:cs="Times New Roman"/>
            <w:color w:val="0000FF"/>
            <w:sz w:val="24"/>
            <w:szCs w:val="24"/>
            <w:u w:val="single"/>
            <w:lang w:eastAsia="zh-CN"/>
          </w:rPr>
          <w:t>https://www.pewforum.org/wp-content/uploads/sites/7/2017/11/FULL-REPORT-FOR-WEB-POSTING.pdf</w:t>
        </w:r>
      </w:hyperlink>
      <w:r w:rsidRPr="00BE5DAB">
        <w:rPr>
          <w:rFonts w:ascii="Times New Roman" w:eastAsia="SimSun" w:hAnsi="Times New Roman" w:cs="Times New Roman"/>
          <w:sz w:val="24"/>
          <w:szCs w:val="24"/>
          <w:lang w:eastAsia="zh-CN"/>
        </w:rPr>
        <w:t xml:space="preserve"> [29-Sep-2021]</w:t>
      </w:r>
    </w:p>
    <w:p w14:paraId="0AD461CC"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Richins</w:t>
      </w:r>
      <w:proofErr w:type="spellEnd"/>
      <w:r w:rsidRPr="00BE5DAB">
        <w:rPr>
          <w:rFonts w:ascii="Times New Roman" w:eastAsia="SimSun" w:hAnsi="Times New Roman" w:cs="Times New Roman"/>
          <w:sz w:val="24"/>
          <w:szCs w:val="24"/>
          <w:lang w:eastAsia="zh-CN"/>
        </w:rPr>
        <w:t>, M. (1994). Valuing Things: The Public and Private Meanings of Possessions. Journal Of Consumer Research, 21(3), pp. 504-521.</w:t>
      </w:r>
    </w:p>
    <w:p w14:paraId="10B8782C"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Ropaul</w:t>
      </w:r>
      <w:proofErr w:type="spellEnd"/>
      <w:r w:rsidRPr="00BE5DAB">
        <w:rPr>
          <w:rFonts w:ascii="Times New Roman" w:eastAsia="SimSun" w:hAnsi="Times New Roman" w:cs="Times New Roman"/>
          <w:sz w:val="24"/>
          <w:szCs w:val="24"/>
          <w:lang w:eastAsia="zh-CN"/>
        </w:rPr>
        <w:t xml:space="preserve">, M. (2016). Consumer Boycott: How Trust in Law-Making and Law-Enforcing Institutions Matters. Accessed from: </w:t>
      </w:r>
      <w:hyperlink r:id="rId67" w:history="1">
        <w:r w:rsidRPr="00BE5DAB">
          <w:rPr>
            <w:rFonts w:ascii="Times New Roman" w:eastAsia="SimSun" w:hAnsi="Times New Roman" w:cs="Times New Roman"/>
            <w:color w:val="0000FF"/>
            <w:sz w:val="24"/>
            <w:szCs w:val="24"/>
            <w:u w:val="single"/>
            <w:lang w:eastAsia="zh-CN"/>
          </w:rPr>
          <w:t>https://www.researchgate.net/publication/304057774_Consumer_Boycott_How_Trust_in_Law-Making_and_Law-Enforcing_Institutions_Matters</w:t>
        </w:r>
      </w:hyperlink>
    </w:p>
    <w:p w14:paraId="0FE6F825"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Rose, D. (2008). Socio-economic Classifications: Classes and Scales, Measurement and Theories. ISER, University of Essex. [Online]. Available at: https://webcache.googleusercontent.com/search?q=cache:tfWgx0oA1pQJ:https://www.iser.essex.ac.uk/files/esec/presentations_and_publications/Measurement_Socstrat.doc+&amp;cd=2&amp;hl=en&amp;ct=clnk&amp;gl=uk [Accessed 25/07/2021]</w:t>
      </w:r>
    </w:p>
    <w:p w14:paraId="2ACA53D9"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Saunders, M., Lewis, P., and Thornhill, A. (2019). Research Methods for Business Students. </w:t>
      </w:r>
      <w:r w:rsidRPr="00BE5DAB">
        <w:rPr>
          <w:rFonts w:ascii="Times New Roman" w:eastAsia="SimSun" w:hAnsi="Times New Roman" w:cs="Times New Roman"/>
          <w:sz w:val="24"/>
          <w:szCs w:val="24"/>
          <w:lang w:eastAsia="zh-CN"/>
        </w:rPr>
        <w:lastRenderedPageBreak/>
        <w:t>Eight Edition. England: Pearson Education.</w:t>
      </w:r>
    </w:p>
    <w:p w14:paraId="2EFF6C59"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Shankhdhar</w:t>
      </w:r>
      <w:proofErr w:type="spellEnd"/>
      <w:r w:rsidRPr="00BE5DAB">
        <w:rPr>
          <w:rFonts w:ascii="Times New Roman" w:eastAsia="SimSun" w:hAnsi="Times New Roman" w:cs="Times New Roman"/>
          <w:sz w:val="24"/>
          <w:szCs w:val="24"/>
          <w:lang w:eastAsia="zh-CN"/>
        </w:rPr>
        <w:t xml:space="preserve">, R. and Gupta, N. (2018). The Reasons of Boycotting Consumers and </w:t>
      </w:r>
      <w:proofErr w:type="gramStart"/>
      <w:r w:rsidRPr="00BE5DAB">
        <w:rPr>
          <w:rFonts w:ascii="Times New Roman" w:eastAsia="SimSun" w:hAnsi="Times New Roman" w:cs="Times New Roman"/>
          <w:sz w:val="24"/>
          <w:szCs w:val="24"/>
          <w:lang w:eastAsia="zh-CN"/>
        </w:rPr>
        <w:t>Supply  Chain</w:t>
      </w:r>
      <w:proofErr w:type="gramEnd"/>
      <w:r w:rsidRPr="00BE5DAB">
        <w:rPr>
          <w:rFonts w:ascii="Times New Roman" w:eastAsia="SimSun" w:hAnsi="Times New Roman" w:cs="Times New Roman"/>
          <w:sz w:val="24"/>
          <w:szCs w:val="24"/>
          <w:lang w:eastAsia="zh-CN"/>
        </w:rPr>
        <w:t xml:space="preserve"> (Case Study: India). International Journal of Supply Chain Management, 7(5), pp. 751-757.</w:t>
      </w:r>
    </w:p>
    <w:p w14:paraId="17EC54DF"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Shin, S.K.S., </w:t>
      </w:r>
      <w:proofErr w:type="spellStart"/>
      <w:r w:rsidRPr="00BE5DAB">
        <w:rPr>
          <w:rFonts w:ascii="Times New Roman" w:eastAsia="Cambria" w:hAnsi="Times New Roman" w:cs="Times New Roman"/>
          <w:sz w:val="24"/>
          <w:szCs w:val="24"/>
          <w:lang w:val="en-US"/>
        </w:rPr>
        <w:t>Amenuvor</w:t>
      </w:r>
      <w:proofErr w:type="spellEnd"/>
      <w:r w:rsidRPr="00BE5DAB">
        <w:rPr>
          <w:rFonts w:ascii="Times New Roman" w:eastAsia="Cambria" w:hAnsi="Times New Roman" w:cs="Times New Roman"/>
          <w:sz w:val="24"/>
          <w:szCs w:val="24"/>
          <w:lang w:val="en-US"/>
        </w:rPr>
        <w:t xml:space="preserve">, F.E., </w:t>
      </w:r>
      <w:proofErr w:type="spellStart"/>
      <w:r w:rsidRPr="00BE5DAB">
        <w:rPr>
          <w:rFonts w:ascii="Times New Roman" w:eastAsia="Cambria" w:hAnsi="Times New Roman" w:cs="Times New Roman"/>
          <w:sz w:val="24"/>
          <w:szCs w:val="24"/>
          <w:lang w:val="en-US"/>
        </w:rPr>
        <w:t>Basilisco</w:t>
      </w:r>
      <w:proofErr w:type="spellEnd"/>
      <w:r w:rsidRPr="00BE5DAB">
        <w:rPr>
          <w:rFonts w:ascii="Times New Roman" w:eastAsia="Cambria" w:hAnsi="Times New Roman" w:cs="Times New Roman"/>
          <w:sz w:val="24"/>
          <w:szCs w:val="24"/>
          <w:lang w:val="en-US"/>
        </w:rPr>
        <w:t>, R. and Owusu-</w:t>
      </w:r>
      <w:proofErr w:type="spellStart"/>
      <w:r w:rsidRPr="00BE5DAB">
        <w:rPr>
          <w:rFonts w:ascii="Times New Roman" w:eastAsia="Cambria" w:hAnsi="Times New Roman" w:cs="Times New Roman"/>
          <w:sz w:val="24"/>
          <w:szCs w:val="24"/>
          <w:lang w:val="en-US"/>
        </w:rPr>
        <w:t>Antwi</w:t>
      </w:r>
      <w:proofErr w:type="spellEnd"/>
      <w:r w:rsidRPr="00BE5DAB">
        <w:rPr>
          <w:rFonts w:ascii="Times New Roman" w:eastAsia="Cambria" w:hAnsi="Times New Roman" w:cs="Times New Roman"/>
          <w:sz w:val="24"/>
          <w:szCs w:val="24"/>
          <w:lang w:val="en-US"/>
        </w:rPr>
        <w:t xml:space="preserve">, K. 2019. Brand Trust and Brand Loyalty: A Moderation and Mediation Perspective. </w:t>
      </w:r>
      <w:r w:rsidRPr="00BE5DAB">
        <w:rPr>
          <w:rFonts w:ascii="Times New Roman" w:eastAsia="Cambria" w:hAnsi="Times New Roman" w:cs="Times New Roman"/>
          <w:i/>
          <w:iCs/>
          <w:sz w:val="24"/>
          <w:szCs w:val="24"/>
          <w:lang w:val="en-US"/>
        </w:rPr>
        <w:t>Current Journal of Applied Science and Technology</w:t>
      </w:r>
      <w:r w:rsidRPr="00BE5DAB">
        <w:rPr>
          <w:rFonts w:ascii="Times New Roman" w:eastAsia="Cambria" w:hAnsi="Times New Roman" w:cs="Times New Roman"/>
          <w:sz w:val="24"/>
          <w:szCs w:val="24"/>
          <w:lang w:val="en-US"/>
        </w:rPr>
        <w:t xml:space="preserve"> 38(4), pp. 1-17.</w:t>
      </w:r>
    </w:p>
    <w:p w14:paraId="6080ADE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Sirkeci</w:t>
      </w:r>
      <w:proofErr w:type="spellEnd"/>
      <w:r w:rsidRPr="00BE5DAB">
        <w:rPr>
          <w:rFonts w:ascii="Times New Roman" w:eastAsia="SimSun" w:hAnsi="Times New Roman" w:cs="Times New Roman"/>
          <w:sz w:val="24"/>
          <w:szCs w:val="24"/>
          <w:lang w:eastAsia="zh-CN"/>
        </w:rPr>
        <w:t>, I. (2013). Transnational Marketing and Transnational Consumers. New York, London: Springer.</w:t>
      </w:r>
    </w:p>
    <w:p w14:paraId="439B536D"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Statista Research Department (2014). Percentage of population in the Middle East and North Africa that belonged to major religious groups in 2010, by religion. Accessed from: </w:t>
      </w:r>
      <w:hyperlink r:id="rId68" w:history="1">
        <w:r w:rsidRPr="00BE5DAB">
          <w:rPr>
            <w:rFonts w:ascii="Times New Roman" w:eastAsia="SimSun" w:hAnsi="Times New Roman" w:cs="Times New Roman"/>
            <w:color w:val="0000FF"/>
            <w:sz w:val="24"/>
            <w:szCs w:val="24"/>
            <w:u w:val="single"/>
            <w:lang w:eastAsia="zh-CN"/>
          </w:rPr>
          <w:t>https://www.statista.com/statistics/374759/population-in-middle-east-north-africa-by-religion/</w:t>
        </w:r>
      </w:hyperlink>
      <w:r w:rsidRPr="00BE5DAB">
        <w:rPr>
          <w:rFonts w:ascii="Times New Roman" w:eastAsia="SimSun" w:hAnsi="Times New Roman" w:cs="Times New Roman"/>
          <w:sz w:val="24"/>
          <w:szCs w:val="24"/>
          <w:lang w:eastAsia="zh-CN"/>
        </w:rPr>
        <w:t xml:space="preserve">  [Accessed 14-Aug-2021].</w:t>
      </w:r>
    </w:p>
    <w:p w14:paraId="38DC4966"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Steenkamp, P. 2019. Aaker versus Keller's models: much ado about branding. </w:t>
      </w:r>
      <w:r w:rsidRPr="00BE5DAB">
        <w:rPr>
          <w:rFonts w:ascii="Times New Roman" w:eastAsia="Cambria" w:hAnsi="Times New Roman" w:cs="Times New Roman"/>
          <w:i/>
          <w:iCs/>
          <w:sz w:val="24"/>
          <w:szCs w:val="24"/>
          <w:lang w:val="en-US"/>
        </w:rPr>
        <w:t xml:space="preserve">Conference: </w:t>
      </w:r>
      <w:proofErr w:type="spellStart"/>
      <w:r w:rsidRPr="00BE5DAB">
        <w:rPr>
          <w:rFonts w:ascii="Times New Roman" w:eastAsia="Cambria" w:hAnsi="Times New Roman" w:cs="Times New Roman"/>
          <w:i/>
          <w:iCs/>
          <w:sz w:val="24"/>
          <w:szCs w:val="24"/>
          <w:lang w:val="en-US"/>
        </w:rPr>
        <w:t>Internation</w:t>
      </w:r>
      <w:proofErr w:type="spellEnd"/>
      <w:r w:rsidRPr="00BE5DAB">
        <w:rPr>
          <w:rFonts w:ascii="Times New Roman" w:eastAsia="Cambria" w:hAnsi="Times New Roman" w:cs="Times New Roman"/>
          <w:i/>
          <w:iCs/>
          <w:sz w:val="24"/>
          <w:szCs w:val="24"/>
          <w:lang w:val="en-US"/>
        </w:rPr>
        <w:t xml:space="preserve"> Conference on Business and Management Dynamics</w:t>
      </w:r>
      <w:r w:rsidRPr="00BE5DAB">
        <w:rPr>
          <w:rFonts w:ascii="Times New Roman" w:eastAsia="Cambria" w:hAnsi="Times New Roman" w:cs="Times New Roman"/>
          <w:sz w:val="24"/>
          <w:szCs w:val="24"/>
          <w:lang w:val="en-US"/>
        </w:rPr>
        <w:t xml:space="preserve"> pp. 1-13.</w:t>
      </w:r>
    </w:p>
    <w:p w14:paraId="75F8AED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Subaebasni</w:t>
      </w:r>
      <w:proofErr w:type="spellEnd"/>
      <w:r w:rsidRPr="00BE5DAB">
        <w:rPr>
          <w:rFonts w:ascii="Times New Roman" w:eastAsia="Cambria" w:hAnsi="Times New Roman" w:cs="Times New Roman"/>
          <w:sz w:val="24"/>
          <w:szCs w:val="24"/>
          <w:lang w:val="en-US"/>
        </w:rPr>
        <w:t xml:space="preserve">, S., </w:t>
      </w:r>
      <w:proofErr w:type="spellStart"/>
      <w:r w:rsidRPr="00BE5DAB">
        <w:rPr>
          <w:rFonts w:ascii="Times New Roman" w:eastAsia="Cambria" w:hAnsi="Times New Roman" w:cs="Times New Roman"/>
          <w:sz w:val="24"/>
          <w:szCs w:val="24"/>
          <w:lang w:val="en-US"/>
        </w:rPr>
        <w:t>Risnawaty</w:t>
      </w:r>
      <w:proofErr w:type="spellEnd"/>
      <w:r w:rsidRPr="00BE5DAB">
        <w:rPr>
          <w:rFonts w:ascii="Times New Roman" w:eastAsia="Cambria" w:hAnsi="Times New Roman" w:cs="Times New Roman"/>
          <w:sz w:val="24"/>
          <w:szCs w:val="24"/>
          <w:lang w:val="en-US"/>
        </w:rPr>
        <w:t xml:space="preserve">, H. and </w:t>
      </w:r>
      <w:proofErr w:type="spellStart"/>
      <w:r w:rsidRPr="00BE5DAB">
        <w:rPr>
          <w:rFonts w:ascii="Times New Roman" w:eastAsia="Cambria" w:hAnsi="Times New Roman" w:cs="Times New Roman"/>
          <w:sz w:val="24"/>
          <w:szCs w:val="24"/>
          <w:lang w:val="en-US"/>
        </w:rPr>
        <w:t>Wicaksono</w:t>
      </w:r>
      <w:proofErr w:type="spellEnd"/>
      <w:r w:rsidRPr="00BE5DAB">
        <w:rPr>
          <w:rFonts w:ascii="Times New Roman" w:eastAsia="Cambria" w:hAnsi="Times New Roman" w:cs="Times New Roman"/>
          <w:sz w:val="24"/>
          <w:szCs w:val="24"/>
          <w:lang w:val="en-US"/>
        </w:rPr>
        <w:t xml:space="preserve">, A.R.A. 2019. Effect of Brand Image, the Quality and Price on Customer Satisfaction and Implications for Customer Loyalty PT Strait Liner Express in Jakarta. </w:t>
      </w:r>
      <w:r w:rsidRPr="00BE5DAB">
        <w:rPr>
          <w:rFonts w:ascii="Times New Roman" w:eastAsia="Cambria" w:hAnsi="Times New Roman" w:cs="Times New Roman"/>
          <w:i/>
          <w:iCs/>
          <w:sz w:val="24"/>
          <w:szCs w:val="24"/>
          <w:lang w:val="en-US"/>
        </w:rPr>
        <w:t>International Review of Management and Marketing</w:t>
      </w:r>
      <w:r w:rsidRPr="00BE5DAB">
        <w:rPr>
          <w:rFonts w:ascii="Times New Roman" w:eastAsia="Cambria" w:hAnsi="Times New Roman" w:cs="Times New Roman"/>
          <w:sz w:val="24"/>
          <w:szCs w:val="24"/>
          <w:lang w:val="en-US"/>
        </w:rPr>
        <w:t xml:space="preserve"> 9(1), pp. 90-97. </w:t>
      </w:r>
    </w:p>
    <w:p w14:paraId="605921D6"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 xml:space="preserve">Sung, Y., and </w:t>
      </w:r>
      <w:proofErr w:type="spellStart"/>
      <w:r w:rsidRPr="00BE5DAB">
        <w:rPr>
          <w:rFonts w:ascii="Times New Roman" w:eastAsia="SimSun" w:hAnsi="Times New Roman" w:cs="Times New Roman"/>
          <w:sz w:val="24"/>
          <w:szCs w:val="24"/>
          <w:lang w:eastAsia="zh-CN"/>
        </w:rPr>
        <w:t>Tinkham</w:t>
      </w:r>
      <w:proofErr w:type="spellEnd"/>
      <w:r w:rsidRPr="00BE5DAB">
        <w:rPr>
          <w:rFonts w:ascii="Times New Roman" w:eastAsia="SimSun" w:hAnsi="Times New Roman" w:cs="Times New Roman"/>
          <w:sz w:val="24"/>
          <w:szCs w:val="24"/>
          <w:lang w:eastAsia="zh-CN"/>
        </w:rPr>
        <w:t>, S. (2005). Brand personality structure in the United States and Korea: Common a Korea: Common and culture-specific factors. Journal of Consumer Psychology. 15(4), pp. 334-350.</w:t>
      </w:r>
    </w:p>
    <w:p w14:paraId="5673E895"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Susanti</w:t>
      </w:r>
      <w:proofErr w:type="spellEnd"/>
      <w:r w:rsidRPr="00BE5DAB">
        <w:rPr>
          <w:rFonts w:ascii="Times New Roman" w:eastAsia="Cambria" w:hAnsi="Times New Roman" w:cs="Times New Roman"/>
          <w:sz w:val="24"/>
          <w:szCs w:val="24"/>
          <w:lang w:val="en-US"/>
        </w:rPr>
        <w:t xml:space="preserve">, C.E. 2020. THE EFFECT OF BRAND REPUTATION ON BRAND LOYALTY THROUGH BRAND TRUST ON YOGA TOURIST DESTINATION IN UBUD, BALI, INDONESIA. </w:t>
      </w:r>
      <w:r w:rsidRPr="00BE5DAB">
        <w:rPr>
          <w:rFonts w:ascii="Times New Roman" w:eastAsia="Cambria" w:hAnsi="Times New Roman" w:cs="Times New Roman"/>
          <w:i/>
          <w:iCs/>
          <w:sz w:val="24"/>
          <w:szCs w:val="24"/>
          <w:lang w:val="en-US"/>
        </w:rPr>
        <w:t>Journal of Critical Reviews</w:t>
      </w:r>
      <w:r w:rsidRPr="00BE5DAB">
        <w:rPr>
          <w:rFonts w:ascii="Times New Roman" w:eastAsia="Cambria" w:hAnsi="Times New Roman" w:cs="Times New Roman"/>
          <w:sz w:val="24"/>
          <w:szCs w:val="24"/>
          <w:lang w:val="en-US"/>
        </w:rPr>
        <w:t xml:space="preserve"> 7(8), pp. 1160-1165.</w:t>
      </w:r>
    </w:p>
    <w:p w14:paraId="37AE6DC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proofErr w:type="spellStart"/>
      <w:r w:rsidRPr="00BE5DAB">
        <w:rPr>
          <w:rFonts w:ascii="Times New Roman" w:eastAsia="Cambria" w:hAnsi="Times New Roman" w:cs="Times New Roman"/>
          <w:sz w:val="24"/>
          <w:szCs w:val="24"/>
          <w:lang w:val="en-US"/>
        </w:rPr>
        <w:t>TeTu</w:t>
      </w:r>
      <w:proofErr w:type="spellEnd"/>
      <w:r w:rsidRPr="00BE5DAB">
        <w:rPr>
          <w:rFonts w:ascii="Times New Roman" w:eastAsia="Cambria" w:hAnsi="Times New Roman" w:cs="Times New Roman"/>
          <w:sz w:val="24"/>
          <w:szCs w:val="24"/>
          <w:lang w:val="en-US"/>
        </w:rPr>
        <w:t xml:space="preserve">, Y., Lin, S. and Hsu, T. 2013. The Impact of Brand Image and Customer Commitment on Loyalty: An Empirical Study of Automobile Sector. </w:t>
      </w:r>
      <w:r w:rsidRPr="00BE5DAB">
        <w:rPr>
          <w:rFonts w:ascii="Times New Roman" w:eastAsia="Cambria" w:hAnsi="Times New Roman" w:cs="Times New Roman"/>
          <w:i/>
          <w:iCs/>
          <w:sz w:val="24"/>
          <w:szCs w:val="24"/>
          <w:lang w:val="en-US"/>
        </w:rPr>
        <w:t>Information Management and Business Review</w:t>
      </w:r>
      <w:r w:rsidRPr="00BE5DAB">
        <w:rPr>
          <w:rFonts w:ascii="Times New Roman" w:eastAsia="Cambria" w:hAnsi="Times New Roman" w:cs="Times New Roman"/>
          <w:sz w:val="24"/>
          <w:szCs w:val="24"/>
          <w:lang w:val="en-US"/>
        </w:rPr>
        <w:t xml:space="preserve"> 5(4), pp. 181-193.</w:t>
      </w:r>
    </w:p>
    <w:p w14:paraId="39B72ADD"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rPr>
      </w:pPr>
      <w:r w:rsidRPr="00BE5DAB">
        <w:rPr>
          <w:rFonts w:ascii="Times New Roman" w:eastAsia="Cambria" w:hAnsi="Times New Roman" w:cs="Times New Roman"/>
          <w:sz w:val="24"/>
          <w:szCs w:val="24"/>
          <w:lang w:val="en-US" w:eastAsia="zh-CN"/>
        </w:rPr>
        <w:t>White</w:t>
      </w:r>
      <w:r w:rsidRPr="00BE5DAB">
        <w:rPr>
          <w:rFonts w:ascii="Times New Roman" w:eastAsia="Cambria" w:hAnsi="Times New Roman" w:cs="Times New Roman"/>
          <w:sz w:val="24"/>
          <w:szCs w:val="24"/>
          <w:lang w:eastAsia="zh-CN"/>
        </w:rPr>
        <w:t xml:space="preserve">, K. </w:t>
      </w:r>
      <w:r w:rsidRPr="00BE5DAB">
        <w:rPr>
          <w:rFonts w:ascii="Times New Roman" w:eastAsia="Cambria" w:hAnsi="Times New Roman" w:cs="Times New Roman"/>
          <w:sz w:val="24"/>
          <w:szCs w:val="24"/>
          <w:lang w:val="en-US" w:eastAsia="zh-CN"/>
        </w:rPr>
        <w:t xml:space="preserve">and </w:t>
      </w:r>
      <w:r w:rsidRPr="00BE5DAB">
        <w:rPr>
          <w:rFonts w:ascii="Times New Roman" w:eastAsia="Cambria" w:hAnsi="Times New Roman" w:cs="Times New Roman"/>
          <w:sz w:val="24"/>
          <w:szCs w:val="24"/>
          <w:lang w:val="en-US"/>
        </w:rPr>
        <w:t>Dahl</w:t>
      </w:r>
      <w:r w:rsidRPr="00BE5DAB">
        <w:rPr>
          <w:rFonts w:ascii="Times New Roman" w:eastAsia="Cambria" w:hAnsi="Times New Roman" w:cs="Times New Roman"/>
          <w:sz w:val="24"/>
          <w:szCs w:val="24"/>
          <w:lang w:eastAsia="zh-CN"/>
        </w:rPr>
        <w:t>, D. (</w:t>
      </w:r>
      <w:r w:rsidRPr="00BE5DAB">
        <w:rPr>
          <w:rFonts w:ascii="Times New Roman" w:eastAsia="Cambria" w:hAnsi="Times New Roman" w:cs="Times New Roman"/>
          <w:sz w:val="24"/>
          <w:szCs w:val="24"/>
          <w:lang w:val="en-US" w:eastAsia="zh-CN"/>
        </w:rPr>
        <w:t>2007</w:t>
      </w:r>
      <w:r w:rsidRPr="00BE5DAB">
        <w:rPr>
          <w:rFonts w:ascii="Times New Roman" w:eastAsia="Cambria" w:hAnsi="Times New Roman" w:cs="Times New Roman"/>
          <w:sz w:val="24"/>
          <w:szCs w:val="24"/>
          <w:lang w:eastAsia="zh-CN"/>
        </w:rPr>
        <w:t xml:space="preserve">). Are all Outgroups Created Equal? Consumer Identity </w:t>
      </w:r>
      <w:r w:rsidRPr="00BE5DAB">
        <w:rPr>
          <w:rFonts w:ascii="Times New Roman" w:eastAsia="SimSun" w:hAnsi="Times New Roman" w:cs="Times New Roman"/>
          <w:sz w:val="24"/>
          <w:szCs w:val="24"/>
          <w:lang w:eastAsia="zh-CN"/>
        </w:rPr>
        <w:t>and Dissociative Influence, Journal of Consumer Research, 34(4), 525-536.</w:t>
      </w:r>
    </w:p>
    <w:p w14:paraId="42F42E8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r w:rsidRPr="00BE5DAB">
        <w:rPr>
          <w:rFonts w:ascii="Times New Roman" w:eastAsia="SimSun" w:hAnsi="Times New Roman" w:cs="Times New Roman"/>
          <w:sz w:val="24"/>
          <w:szCs w:val="24"/>
          <w:lang w:eastAsia="zh-CN"/>
        </w:rPr>
        <w:t>Williams, T. (2002). Social class influences on purchase evaluation criteria. Journal of Consumer Marketing. 19(2/3), pp. 249-276.</w:t>
      </w:r>
    </w:p>
    <w:p w14:paraId="2CA92358" w14:textId="77777777" w:rsidR="00BE5DAB" w:rsidRPr="00BE5DAB" w:rsidRDefault="00BE5DAB" w:rsidP="00BE5DAB">
      <w:pPr>
        <w:autoSpaceDE w:val="0"/>
        <w:autoSpaceDN w:val="0"/>
        <w:adjustRightInd w:val="0"/>
        <w:spacing w:after="0" w:line="360" w:lineRule="auto"/>
        <w:jc w:val="both"/>
        <w:rPr>
          <w:rFonts w:ascii="Times New Roman" w:eastAsia="Calibri" w:hAnsi="Times New Roman" w:cs="Times New Roman"/>
          <w:b/>
          <w:bCs/>
          <w:sz w:val="24"/>
          <w:szCs w:val="24"/>
        </w:rPr>
      </w:pPr>
      <w:r w:rsidRPr="00BE5DAB">
        <w:rPr>
          <w:rFonts w:ascii="Times New Roman" w:eastAsia="Calibri" w:hAnsi="Times New Roman" w:cs="Times New Roman"/>
          <w:sz w:val="24"/>
          <w:szCs w:val="24"/>
          <w:lang w:eastAsia="zh-CN"/>
        </w:rPr>
        <w:t xml:space="preserve">World Population Review-A (2021). Arab Countries 2021. </w:t>
      </w:r>
      <w:r w:rsidRPr="00BE5DAB">
        <w:rPr>
          <w:rFonts w:ascii="Times New Roman" w:eastAsia="Calibri" w:hAnsi="Times New Roman" w:cs="Times New Roman"/>
          <w:sz w:val="24"/>
          <w:szCs w:val="24"/>
        </w:rPr>
        <w:t xml:space="preserve">Accessed from: </w:t>
      </w:r>
      <w:hyperlink r:id="rId69" w:history="1">
        <w:r w:rsidRPr="00BE5DAB">
          <w:rPr>
            <w:rFonts w:ascii="Times New Roman" w:eastAsia="Cambria" w:hAnsi="Times New Roman" w:cs="Times New Roman"/>
            <w:color w:val="0000FF"/>
            <w:sz w:val="24"/>
            <w:szCs w:val="24"/>
            <w:u w:val="single"/>
          </w:rPr>
          <w:t>https://worldpopulationreview.com/country-rankings/arab-countries</w:t>
        </w:r>
      </w:hyperlink>
      <w:r w:rsidRPr="00BE5DAB">
        <w:rPr>
          <w:rFonts w:ascii="Times New Roman" w:eastAsia="Calibri" w:hAnsi="Times New Roman" w:cs="Times New Roman"/>
          <w:sz w:val="24"/>
          <w:szCs w:val="24"/>
        </w:rPr>
        <w:t xml:space="preserve"> [14-Aug-2021].</w:t>
      </w:r>
    </w:p>
    <w:p w14:paraId="6FBDB2F2" w14:textId="77777777" w:rsidR="00BE5DAB" w:rsidRPr="00BE5DAB" w:rsidRDefault="00BE5DAB" w:rsidP="00BE5DAB">
      <w:pPr>
        <w:autoSpaceDE w:val="0"/>
        <w:autoSpaceDN w:val="0"/>
        <w:adjustRightInd w:val="0"/>
        <w:spacing w:after="0" w:line="360" w:lineRule="auto"/>
        <w:jc w:val="both"/>
        <w:rPr>
          <w:rFonts w:ascii="Times New Roman" w:eastAsia="Calibri" w:hAnsi="Times New Roman" w:cs="Times New Roman"/>
          <w:b/>
          <w:bCs/>
          <w:sz w:val="24"/>
          <w:szCs w:val="24"/>
        </w:rPr>
      </w:pPr>
      <w:r w:rsidRPr="00BE5DAB">
        <w:rPr>
          <w:rFonts w:ascii="Times New Roman" w:eastAsia="Calibri" w:hAnsi="Times New Roman" w:cs="Times New Roman"/>
          <w:sz w:val="24"/>
          <w:szCs w:val="24"/>
          <w:lang w:eastAsia="zh-CN"/>
        </w:rPr>
        <w:lastRenderedPageBreak/>
        <w:t xml:space="preserve">World Population Review-A (2021). </w:t>
      </w:r>
      <w:r w:rsidRPr="00BE5DAB">
        <w:rPr>
          <w:rFonts w:ascii="Times New Roman" w:eastAsia="Calibri" w:hAnsi="Times New Roman" w:cs="Times New Roman"/>
          <w:sz w:val="24"/>
          <w:szCs w:val="24"/>
          <w:lang w:val="en-US"/>
        </w:rPr>
        <w:t xml:space="preserve">Muslim Population </w:t>
      </w:r>
      <w:proofErr w:type="gramStart"/>
      <w:r w:rsidRPr="00BE5DAB">
        <w:rPr>
          <w:rFonts w:ascii="Times New Roman" w:eastAsia="Calibri" w:hAnsi="Times New Roman" w:cs="Times New Roman"/>
          <w:sz w:val="24"/>
          <w:szCs w:val="24"/>
          <w:lang w:val="en-US"/>
        </w:rPr>
        <w:t>By</w:t>
      </w:r>
      <w:proofErr w:type="gramEnd"/>
      <w:r w:rsidRPr="00BE5DAB">
        <w:rPr>
          <w:rFonts w:ascii="Times New Roman" w:eastAsia="Calibri" w:hAnsi="Times New Roman" w:cs="Times New Roman"/>
          <w:sz w:val="24"/>
          <w:szCs w:val="24"/>
          <w:lang w:val="en-US"/>
        </w:rPr>
        <w:t xml:space="preserve"> Country 2021</w:t>
      </w:r>
      <w:r w:rsidRPr="00BE5DAB">
        <w:rPr>
          <w:rFonts w:ascii="Times New Roman" w:eastAsia="Calibri" w:hAnsi="Times New Roman" w:cs="Times New Roman"/>
          <w:sz w:val="24"/>
          <w:szCs w:val="24"/>
        </w:rPr>
        <w:t xml:space="preserve">. Accessed from: </w:t>
      </w:r>
      <w:hyperlink r:id="rId70" w:history="1">
        <w:r w:rsidRPr="00BE5DAB">
          <w:rPr>
            <w:rFonts w:ascii="Times New Roman" w:eastAsia="Cambria" w:hAnsi="Times New Roman" w:cs="Times New Roman"/>
            <w:color w:val="0000FF"/>
            <w:sz w:val="24"/>
            <w:szCs w:val="24"/>
            <w:u w:val="single"/>
          </w:rPr>
          <w:t>https://worldpopulationreview.com/country-rankings/muslim-population-by-country</w:t>
        </w:r>
      </w:hyperlink>
      <w:r w:rsidRPr="00BE5DAB">
        <w:rPr>
          <w:rFonts w:ascii="Times New Roman" w:eastAsia="Calibri" w:hAnsi="Times New Roman" w:cs="Times New Roman"/>
          <w:sz w:val="24"/>
          <w:szCs w:val="24"/>
        </w:rPr>
        <w:t xml:space="preserve"> [14-Aug-2021].</w:t>
      </w:r>
    </w:p>
    <w:p w14:paraId="5B86CECC" w14:textId="77777777" w:rsidR="00BE5DAB" w:rsidRPr="00BE5DAB" w:rsidRDefault="00BE5DAB" w:rsidP="00BE5DAB">
      <w:pPr>
        <w:widowControl w:val="0"/>
        <w:autoSpaceDE w:val="0"/>
        <w:autoSpaceDN w:val="0"/>
        <w:spacing w:after="0" w:line="360" w:lineRule="auto"/>
        <w:jc w:val="both"/>
        <w:rPr>
          <w:rFonts w:ascii="Times New Roman" w:eastAsia="Cambria" w:hAnsi="Times New Roman" w:cs="Times New Roman"/>
          <w:sz w:val="24"/>
          <w:szCs w:val="24"/>
          <w:lang w:val="en-US"/>
        </w:rPr>
      </w:pPr>
      <w:r w:rsidRPr="00BE5DAB">
        <w:rPr>
          <w:rFonts w:ascii="Times New Roman" w:eastAsia="Cambria" w:hAnsi="Times New Roman" w:cs="Times New Roman"/>
          <w:sz w:val="24"/>
          <w:szCs w:val="24"/>
          <w:lang w:val="en-US"/>
        </w:rPr>
        <w:t xml:space="preserve">YouGov. 2020. Almarai tops the 2020 YouGov </w:t>
      </w:r>
      <w:proofErr w:type="spellStart"/>
      <w:r w:rsidRPr="00BE5DAB">
        <w:rPr>
          <w:rFonts w:ascii="Times New Roman" w:eastAsia="Cambria" w:hAnsi="Times New Roman" w:cs="Times New Roman"/>
          <w:sz w:val="24"/>
          <w:szCs w:val="24"/>
          <w:lang w:val="en-US"/>
        </w:rPr>
        <w:t>BrandIndex</w:t>
      </w:r>
      <w:proofErr w:type="spellEnd"/>
      <w:r w:rsidRPr="00BE5DAB">
        <w:rPr>
          <w:rFonts w:ascii="Times New Roman" w:eastAsia="Cambria" w:hAnsi="Times New Roman" w:cs="Times New Roman"/>
          <w:sz w:val="24"/>
          <w:szCs w:val="24"/>
          <w:lang w:val="en-US"/>
        </w:rPr>
        <w:t xml:space="preserve"> Customer Loyalty Rankings in KSA. [Online]. Available at: </w:t>
      </w:r>
      <w:hyperlink r:id="rId71" w:history="1">
        <w:r w:rsidRPr="00BE5DAB">
          <w:rPr>
            <w:rFonts w:ascii="Times New Roman" w:eastAsia="Cambria" w:hAnsi="Times New Roman" w:cs="Times New Roman"/>
            <w:color w:val="0000FF"/>
            <w:sz w:val="24"/>
            <w:szCs w:val="24"/>
            <w:u w:val="single"/>
            <w:lang w:val="en-US"/>
          </w:rPr>
          <w:t>https://mena.yougov.com/en/news/2020/09/22/almarai-tops-2020-yougov-brandindex-customer-loyal/</w:t>
        </w:r>
      </w:hyperlink>
      <w:r w:rsidRPr="00BE5DAB">
        <w:rPr>
          <w:rFonts w:ascii="Times New Roman" w:eastAsia="Cambria" w:hAnsi="Times New Roman" w:cs="Times New Roman"/>
          <w:sz w:val="24"/>
          <w:szCs w:val="24"/>
          <w:lang w:val="en-US"/>
        </w:rPr>
        <w:t xml:space="preserve"> [Accessed on: 24 August 2021]. </w:t>
      </w:r>
    </w:p>
    <w:p w14:paraId="5DB83CB4" w14:textId="77777777" w:rsidR="00BE5DAB" w:rsidRPr="00BE5DAB" w:rsidRDefault="00BE5DAB" w:rsidP="00BE5DAB">
      <w:pPr>
        <w:autoSpaceDE w:val="0"/>
        <w:autoSpaceDN w:val="0"/>
        <w:spacing w:after="0" w:line="360" w:lineRule="auto"/>
        <w:jc w:val="both"/>
        <w:rPr>
          <w:rFonts w:ascii="Times New Roman" w:eastAsia="Cambria" w:hAnsi="Times New Roman" w:cs="Times New Roman"/>
          <w:sz w:val="24"/>
          <w:szCs w:val="24"/>
          <w:lang w:eastAsia="zh-CN"/>
        </w:rPr>
      </w:pPr>
      <w:r w:rsidRPr="00BE5DAB">
        <w:rPr>
          <w:rFonts w:ascii="Times New Roman" w:eastAsia="Cambria" w:hAnsi="Times New Roman" w:cs="Times New Roman"/>
          <w:sz w:val="24"/>
          <w:szCs w:val="24"/>
          <w:lang w:eastAsia="zh-CN"/>
        </w:rPr>
        <w:t>Yu, Q., McManus, R., Yen, D., and Li, X. (2020). Tourism boycotts and animosity: A study of seven events. Annals of Tourism Research, 80.</w:t>
      </w:r>
    </w:p>
    <w:p w14:paraId="7FFDA20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roofErr w:type="spellStart"/>
      <w:r w:rsidRPr="00BE5DAB">
        <w:rPr>
          <w:rFonts w:ascii="Times New Roman" w:eastAsia="SimSun" w:hAnsi="Times New Roman" w:cs="Times New Roman"/>
          <w:sz w:val="24"/>
          <w:szCs w:val="24"/>
          <w:lang w:eastAsia="zh-CN"/>
        </w:rPr>
        <w:t>Yuksel</w:t>
      </w:r>
      <w:proofErr w:type="spellEnd"/>
      <w:r w:rsidRPr="00BE5DAB">
        <w:rPr>
          <w:rFonts w:ascii="Times New Roman" w:eastAsia="SimSun" w:hAnsi="Times New Roman" w:cs="Times New Roman"/>
          <w:sz w:val="24"/>
          <w:szCs w:val="24"/>
          <w:lang w:eastAsia="zh-CN"/>
        </w:rPr>
        <w:t xml:space="preserve">, U. (2013). Non-participation in Anti-Consumption: Consumer Reluctance to Boycott. Journal of </w:t>
      </w:r>
      <w:proofErr w:type="spellStart"/>
      <w:r w:rsidRPr="00BE5DAB">
        <w:rPr>
          <w:rFonts w:ascii="Times New Roman" w:eastAsia="SimSun" w:hAnsi="Times New Roman" w:cs="Times New Roman"/>
          <w:sz w:val="24"/>
          <w:szCs w:val="24"/>
          <w:lang w:eastAsia="zh-CN"/>
        </w:rPr>
        <w:t>Macromarketing</w:t>
      </w:r>
      <w:proofErr w:type="spellEnd"/>
      <w:r w:rsidRPr="00BE5DAB">
        <w:rPr>
          <w:rFonts w:ascii="Times New Roman" w:eastAsia="SimSun" w:hAnsi="Times New Roman" w:cs="Times New Roman"/>
          <w:sz w:val="24"/>
          <w:szCs w:val="24"/>
          <w:lang w:eastAsia="zh-CN"/>
        </w:rPr>
        <w:t>, 33 (3), 204–216.</w:t>
      </w:r>
    </w:p>
    <w:p w14:paraId="403CC752"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76B76F39"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7632E71F"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19D99590"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4B4B6E2F"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27CED5BF"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44EABD9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7C78A624"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3B8AB42E"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532F215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521F4EF7"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16252855"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2A890D1D"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66C8C8E8"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3FD04F09"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3574F58B"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62FCB73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140D1A56"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55B823EA"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1446BD93"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78E363A6" w14:textId="77777777" w:rsidR="00BE5DAB" w:rsidRPr="00BE5DAB" w:rsidRDefault="00BE5DAB" w:rsidP="00BE5DAB">
      <w:pPr>
        <w:widowControl w:val="0"/>
        <w:autoSpaceDE w:val="0"/>
        <w:autoSpaceDN w:val="0"/>
        <w:spacing w:after="0" w:line="360" w:lineRule="auto"/>
        <w:ind w:rightChars="-24" w:right="-53"/>
        <w:jc w:val="both"/>
        <w:rPr>
          <w:rFonts w:ascii="Times New Roman" w:eastAsia="SimSun" w:hAnsi="Times New Roman" w:cs="Times New Roman"/>
          <w:sz w:val="24"/>
          <w:szCs w:val="24"/>
          <w:lang w:eastAsia="zh-CN"/>
        </w:rPr>
      </w:pPr>
    </w:p>
    <w:p w14:paraId="4672E0CC" w14:textId="77777777" w:rsidR="00BE5DAB" w:rsidRPr="00BE5DAB" w:rsidRDefault="00BE5DAB" w:rsidP="00BE5DAB">
      <w:pPr>
        <w:widowControl w:val="0"/>
        <w:tabs>
          <w:tab w:val="left" w:pos="420"/>
        </w:tabs>
        <w:autoSpaceDE w:val="0"/>
        <w:autoSpaceDN w:val="0"/>
        <w:spacing w:before="1" w:after="0" w:line="360" w:lineRule="auto"/>
        <w:ind w:right="-54"/>
        <w:jc w:val="both"/>
        <w:rPr>
          <w:rFonts w:ascii="Times New Roman" w:eastAsia="Cambria" w:hAnsi="Times New Roman" w:cs="Times New Roman"/>
          <w:b/>
          <w:bCs/>
          <w:sz w:val="28"/>
          <w:szCs w:val="28"/>
        </w:rPr>
      </w:pPr>
      <w:r w:rsidRPr="00BE5DAB">
        <w:rPr>
          <w:rFonts w:ascii="Times New Roman" w:eastAsia="Cambria" w:hAnsi="Times New Roman" w:cs="Times New Roman"/>
          <w:b/>
          <w:bCs/>
          <w:sz w:val="28"/>
          <w:szCs w:val="28"/>
        </w:rPr>
        <w:t>Appendices</w:t>
      </w:r>
    </w:p>
    <w:p w14:paraId="4026D7F0" w14:textId="77777777" w:rsidR="00BE5DAB" w:rsidRPr="00BE5DAB" w:rsidRDefault="00BE5DAB" w:rsidP="00BE5DAB">
      <w:pPr>
        <w:widowControl w:val="0"/>
        <w:tabs>
          <w:tab w:val="left" w:pos="420"/>
        </w:tabs>
        <w:autoSpaceDE w:val="0"/>
        <w:autoSpaceDN w:val="0"/>
        <w:spacing w:before="1" w:after="0" w:line="360" w:lineRule="auto"/>
        <w:ind w:right="-54"/>
        <w:jc w:val="both"/>
        <w:rPr>
          <w:rFonts w:ascii="Times New Roman" w:eastAsia="Cambria" w:hAnsi="Times New Roman" w:cs="Times New Roman"/>
          <w:b/>
          <w:bCs/>
          <w:sz w:val="28"/>
          <w:szCs w:val="28"/>
        </w:rPr>
      </w:pPr>
      <w:r w:rsidRPr="00BE5DAB">
        <w:rPr>
          <w:rFonts w:ascii="Times New Roman" w:eastAsia="Cambria" w:hAnsi="Times New Roman" w:cs="Times New Roman"/>
          <w:b/>
          <w:bCs/>
          <w:sz w:val="28"/>
          <w:szCs w:val="28"/>
        </w:rPr>
        <w:t>Appendix 1</w:t>
      </w:r>
    </w:p>
    <w:p w14:paraId="2D36E642" w14:textId="77777777" w:rsidR="00BE5DAB" w:rsidRPr="00BE5DAB" w:rsidRDefault="00BE5DAB" w:rsidP="00BE5DAB">
      <w:pPr>
        <w:widowControl w:val="0"/>
        <w:autoSpaceDE w:val="0"/>
        <w:autoSpaceDN w:val="0"/>
        <w:spacing w:after="0" w:line="240" w:lineRule="auto"/>
        <w:ind w:rightChars="-424" w:right="-933"/>
        <w:jc w:val="center"/>
        <w:outlineLvl w:val="3"/>
        <w:rPr>
          <w:rFonts w:ascii="Times New Roman" w:eastAsia="Cambria" w:hAnsi="Times New Roman" w:cs="Times New Roman"/>
          <w:b/>
          <w:bCs/>
          <w:sz w:val="24"/>
          <w:szCs w:val="24"/>
          <w:lang w:val="en-US"/>
        </w:rPr>
      </w:pPr>
      <w:r w:rsidRPr="00BE5DAB">
        <w:rPr>
          <w:rFonts w:ascii="Times New Roman" w:eastAsia="Cambria" w:hAnsi="Times New Roman" w:cs="Times New Roman"/>
          <w:b/>
          <w:bCs/>
          <w:sz w:val="24"/>
          <w:szCs w:val="24"/>
          <w:lang w:val="en-US"/>
        </w:rPr>
        <w:lastRenderedPageBreak/>
        <w:t>Questionnaire</w:t>
      </w:r>
    </w:p>
    <w:p w14:paraId="2E2C442D"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sz w:val="24"/>
          <w:szCs w:val="24"/>
          <w:lang w:val="en-US"/>
        </w:rPr>
      </w:pPr>
    </w:p>
    <w:tbl>
      <w:tblPr>
        <w:tblStyle w:val="TableGrid"/>
        <w:tblW w:w="10350" w:type="dxa"/>
        <w:jc w:val="center"/>
        <w:tblInd w:w="0" w:type="dxa"/>
        <w:tblLayout w:type="fixed"/>
        <w:tblLook w:val="04A0" w:firstRow="1" w:lastRow="0" w:firstColumn="1" w:lastColumn="0" w:noHBand="0" w:noVBand="1"/>
      </w:tblPr>
      <w:tblGrid>
        <w:gridCol w:w="636"/>
        <w:gridCol w:w="1233"/>
        <w:gridCol w:w="420"/>
        <w:gridCol w:w="251"/>
        <w:gridCol w:w="146"/>
        <w:gridCol w:w="763"/>
        <w:gridCol w:w="103"/>
        <w:gridCol w:w="777"/>
        <w:gridCol w:w="323"/>
        <w:gridCol w:w="422"/>
        <w:gridCol w:w="250"/>
        <w:gridCol w:w="17"/>
        <w:gridCol w:w="73"/>
        <w:gridCol w:w="520"/>
        <w:gridCol w:w="1085"/>
        <w:gridCol w:w="567"/>
        <w:gridCol w:w="493"/>
        <w:gridCol w:w="323"/>
        <w:gridCol w:w="425"/>
        <w:gridCol w:w="1523"/>
      </w:tblGrid>
      <w:tr w:rsidR="00BE5DAB" w:rsidRPr="00BE5DAB" w14:paraId="00763021" w14:textId="77777777" w:rsidTr="00BE5DAB">
        <w:trPr>
          <w:jc w:val="center"/>
        </w:trPr>
        <w:tc>
          <w:tcPr>
            <w:tcW w:w="10349" w:type="dxa"/>
            <w:gridSpan w:val="20"/>
            <w:tcBorders>
              <w:top w:val="single" w:sz="4" w:space="0" w:color="auto"/>
              <w:left w:val="single" w:sz="4" w:space="0" w:color="auto"/>
              <w:bottom w:val="single" w:sz="4" w:space="0" w:color="auto"/>
              <w:right w:val="single" w:sz="4" w:space="0" w:color="auto"/>
            </w:tcBorders>
            <w:hideMark/>
          </w:tcPr>
          <w:p w14:paraId="73402FC9" w14:textId="77777777" w:rsidR="00BE5DAB" w:rsidRPr="00BE5DAB" w:rsidRDefault="00BE5DAB" w:rsidP="00BE5DAB">
            <w:pPr>
              <w:autoSpaceDE w:val="0"/>
              <w:autoSpaceDN w:val="0"/>
              <w:jc w:val="center"/>
              <w:rPr>
                <w:rFonts w:ascii="Times New Roman" w:eastAsia="Cambria" w:hAnsi="Times New Roman"/>
                <w:b/>
                <w:bCs/>
                <w:sz w:val="18"/>
                <w:szCs w:val="18"/>
                <w:lang w:val="en-US"/>
              </w:rPr>
            </w:pPr>
            <w:r w:rsidRPr="00BE5DAB">
              <w:rPr>
                <w:rFonts w:ascii="Times New Roman" w:eastAsia="Cambria" w:hAnsi="Times New Roman" w:cs="Arial"/>
                <w:b/>
                <w:bCs/>
                <w:sz w:val="18"/>
                <w:szCs w:val="18"/>
                <w:lang w:val="en-US"/>
              </w:rPr>
              <w:t>Personal Information of Participants</w:t>
            </w:r>
          </w:p>
        </w:tc>
      </w:tr>
      <w:tr w:rsidR="00BE5DAB" w:rsidRPr="00BE5DAB" w14:paraId="52A16E64" w14:textId="77777777" w:rsidTr="00BE5DAB">
        <w:trPr>
          <w:jc w:val="center"/>
        </w:trPr>
        <w:tc>
          <w:tcPr>
            <w:tcW w:w="635" w:type="dxa"/>
            <w:tcBorders>
              <w:top w:val="single" w:sz="4" w:space="0" w:color="auto"/>
              <w:left w:val="single" w:sz="4" w:space="0" w:color="auto"/>
              <w:bottom w:val="single" w:sz="4" w:space="0" w:color="auto"/>
              <w:right w:val="single" w:sz="4" w:space="0" w:color="auto"/>
            </w:tcBorders>
            <w:hideMark/>
          </w:tcPr>
          <w:p w14:paraId="51210A1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7B8C5B8F"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Age of the participant?</w:t>
            </w:r>
          </w:p>
        </w:tc>
      </w:tr>
      <w:tr w:rsidR="00BE5DAB" w:rsidRPr="00BE5DAB" w14:paraId="7C67E90F" w14:textId="77777777" w:rsidTr="00BE5DAB">
        <w:trPr>
          <w:jc w:val="center"/>
        </w:trPr>
        <w:tc>
          <w:tcPr>
            <w:tcW w:w="635" w:type="dxa"/>
            <w:tcBorders>
              <w:top w:val="single" w:sz="4" w:space="0" w:color="auto"/>
              <w:left w:val="single" w:sz="4" w:space="0" w:color="auto"/>
              <w:bottom w:val="single" w:sz="4" w:space="0" w:color="auto"/>
              <w:right w:val="single" w:sz="4" w:space="0" w:color="auto"/>
            </w:tcBorders>
            <w:hideMark/>
          </w:tcPr>
          <w:p w14:paraId="1614CC7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36F4DEC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Below 30</w:t>
            </w:r>
          </w:p>
        </w:tc>
        <w:tc>
          <w:tcPr>
            <w:tcW w:w="2783" w:type="dxa"/>
            <w:gridSpan w:val="7"/>
            <w:tcBorders>
              <w:top w:val="single" w:sz="4" w:space="0" w:color="auto"/>
              <w:left w:val="single" w:sz="4" w:space="0" w:color="auto"/>
              <w:bottom w:val="single" w:sz="4" w:space="0" w:color="auto"/>
              <w:right w:val="single" w:sz="4" w:space="0" w:color="auto"/>
            </w:tcBorders>
            <w:hideMark/>
          </w:tcPr>
          <w:p w14:paraId="6B13413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30 - 40</w:t>
            </w:r>
          </w:p>
        </w:tc>
        <w:tc>
          <w:tcPr>
            <w:tcW w:w="762" w:type="dxa"/>
            <w:gridSpan w:val="4"/>
            <w:tcBorders>
              <w:top w:val="single" w:sz="4" w:space="0" w:color="auto"/>
              <w:left w:val="single" w:sz="4" w:space="0" w:color="auto"/>
              <w:bottom w:val="single" w:sz="4" w:space="0" w:color="auto"/>
              <w:right w:val="single" w:sz="4" w:space="0" w:color="auto"/>
            </w:tcBorders>
            <w:hideMark/>
          </w:tcPr>
          <w:p w14:paraId="5CB9114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40 - 50</w:t>
            </w:r>
          </w:p>
        </w:tc>
        <w:tc>
          <w:tcPr>
            <w:tcW w:w="1605" w:type="dxa"/>
            <w:gridSpan w:val="2"/>
            <w:tcBorders>
              <w:top w:val="single" w:sz="4" w:space="0" w:color="auto"/>
              <w:left w:val="single" w:sz="4" w:space="0" w:color="auto"/>
              <w:bottom w:val="single" w:sz="4" w:space="0" w:color="auto"/>
              <w:right w:val="single" w:sz="4" w:space="0" w:color="auto"/>
            </w:tcBorders>
            <w:hideMark/>
          </w:tcPr>
          <w:p w14:paraId="42D7A84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50 - 60</w:t>
            </w:r>
          </w:p>
        </w:tc>
        <w:tc>
          <w:tcPr>
            <w:tcW w:w="3331" w:type="dxa"/>
            <w:gridSpan w:val="5"/>
            <w:tcBorders>
              <w:top w:val="single" w:sz="4" w:space="0" w:color="auto"/>
              <w:left w:val="single" w:sz="4" w:space="0" w:color="auto"/>
              <w:bottom w:val="single" w:sz="4" w:space="0" w:color="auto"/>
              <w:right w:val="single" w:sz="4" w:space="0" w:color="auto"/>
            </w:tcBorders>
            <w:hideMark/>
          </w:tcPr>
          <w:p w14:paraId="665F987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60+</w:t>
            </w:r>
          </w:p>
        </w:tc>
      </w:tr>
      <w:tr w:rsidR="00BE5DAB" w:rsidRPr="00BE5DAB" w14:paraId="5807BF93" w14:textId="77777777" w:rsidTr="00BE5DAB">
        <w:trPr>
          <w:jc w:val="center"/>
        </w:trPr>
        <w:tc>
          <w:tcPr>
            <w:tcW w:w="635" w:type="dxa"/>
            <w:tcBorders>
              <w:top w:val="single" w:sz="4" w:space="0" w:color="auto"/>
              <w:left w:val="single" w:sz="4" w:space="0" w:color="auto"/>
              <w:bottom w:val="single" w:sz="4" w:space="0" w:color="auto"/>
              <w:right w:val="single" w:sz="4" w:space="0" w:color="auto"/>
            </w:tcBorders>
            <w:hideMark/>
          </w:tcPr>
          <w:p w14:paraId="3964E5A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6ECA0AA8"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Gender of the participant?</w:t>
            </w:r>
          </w:p>
        </w:tc>
      </w:tr>
      <w:tr w:rsidR="00BE5DAB" w:rsidRPr="00BE5DAB" w14:paraId="65DE6F0A" w14:textId="77777777" w:rsidTr="00BE5DAB">
        <w:trPr>
          <w:trHeight w:val="159"/>
          <w:jc w:val="center"/>
        </w:trPr>
        <w:tc>
          <w:tcPr>
            <w:tcW w:w="635" w:type="dxa"/>
            <w:tcBorders>
              <w:top w:val="single" w:sz="4" w:space="0" w:color="auto"/>
              <w:left w:val="single" w:sz="4" w:space="0" w:color="auto"/>
              <w:bottom w:val="single" w:sz="4" w:space="0" w:color="auto"/>
              <w:right w:val="single" w:sz="4" w:space="0" w:color="auto"/>
            </w:tcBorders>
            <w:hideMark/>
          </w:tcPr>
          <w:p w14:paraId="3C4D3DA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4778" w:type="dxa"/>
            <w:gridSpan w:val="12"/>
            <w:tcBorders>
              <w:top w:val="single" w:sz="4" w:space="0" w:color="auto"/>
              <w:left w:val="single" w:sz="4" w:space="0" w:color="auto"/>
              <w:bottom w:val="single" w:sz="4" w:space="0" w:color="auto"/>
              <w:right w:val="single" w:sz="4" w:space="0" w:color="auto"/>
            </w:tcBorders>
            <w:hideMark/>
          </w:tcPr>
          <w:p w14:paraId="7A42DB9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Male</w:t>
            </w:r>
          </w:p>
        </w:tc>
        <w:tc>
          <w:tcPr>
            <w:tcW w:w="4936" w:type="dxa"/>
            <w:gridSpan w:val="7"/>
            <w:tcBorders>
              <w:top w:val="single" w:sz="4" w:space="0" w:color="auto"/>
              <w:left w:val="single" w:sz="4" w:space="0" w:color="auto"/>
              <w:bottom w:val="single" w:sz="4" w:space="0" w:color="auto"/>
              <w:right w:val="single" w:sz="4" w:space="0" w:color="auto"/>
            </w:tcBorders>
            <w:hideMark/>
          </w:tcPr>
          <w:p w14:paraId="71EE812C"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Female</w:t>
            </w:r>
          </w:p>
        </w:tc>
      </w:tr>
      <w:tr w:rsidR="00BE5DAB" w:rsidRPr="00BE5DAB" w14:paraId="5577BECD" w14:textId="77777777" w:rsidTr="00BE5DAB">
        <w:trPr>
          <w:jc w:val="center"/>
        </w:trPr>
        <w:tc>
          <w:tcPr>
            <w:tcW w:w="635" w:type="dxa"/>
            <w:tcBorders>
              <w:top w:val="single" w:sz="4" w:space="0" w:color="auto"/>
              <w:left w:val="single" w:sz="4" w:space="0" w:color="auto"/>
              <w:bottom w:val="single" w:sz="4" w:space="0" w:color="auto"/>
              <w:right w:val="single" w:sz="4" w:space="0" w:color="auto"/>
            </w:tcBorders>
            <w:hideMark/>
          </w:tcPr>
          <w:p w14:paraId="2156CEC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A47F466"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Religion of the participant? (</w:t>
            </w:r>
            <w:proofErr w:type="gramStart"/>
            <w:r w:rsidRPr="00BE5DAB">
              <w:rPr>
                <w:rFonts w:ascii="Times New Roman" w:eastAsia="Cambria" w:hAnsi="Times New Roman" w:cs="Arial"/>
                <w:sz w:val="18"/>
                <w:szCs w:val="18"/>
                <w:lang w:val="en-US"/>
              </w:rPr>
              <w:t>if</w:t>
            </w:r>
            <w:proofErr w:type="gramEnd"/>
            <w:r w:rsidRPr="00BE5DAB">
              <w:rPr>
                <w:rFonts w:ascii="Times New Roman" w:eastAsia="Cambria" w:hAnsi="Times New Roman" w:cs="Arial"/>
                <w:sz w:val="18"/>
                <w:szCs w:val="18"/>
                <w:lang w:val="en-US"/>
              </w:rPr>
              <w:t xml:space="preserve"> any)</w:t>
            </w:r>
          </w:p>
        </w:tc>
      </w:tr>
      <w:tr w:rsidR="00BE5DAB" w:rsidRPr="00BE5DAB" w14:paraId="4EA80CDD" w14:textId="77777777" w:rsidTr="00BE5DAB">
        <w:trPr>
          <w:jc w:val="center"/>
        </w:trPr>
        <w:tc>
          <w:tcPr>
            <w:tcW w:w="635" w:type="dxa"/>
            <w:tcBorders>
              <w:top w:val="single" w:sz="4" w:space="0" w:color="auto"/>
              <w:left w:val="single" w:sz="4" w:space="0" w:color="auto"/>
              <w:bottom w:val="single" w:sz="4" w:space="0" w:color="auto"/>
              <w:right w:val="single" w:sz="4" w:space="0" w:color="auto"/>
            </w:tcBorders>
            <w:hideMark/>
          </w:tcPr>
          <w:p w14:paraId="6DDF9ED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36DD1B7C"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Christianity </w:t>
            </w:r>
          </w:p>
        </w:tc>
        <w:tc>
          <w:tcPr>
            <w:tcW w:w="2460" w:type="dxa"/>
            <w:gridSpan w:val="6"/>
            <w:tcBorders>
              <w:top w:val="single" w:sz="4" w:space="0" w:color="auto"/>
              <w:left w:val="single" w:sz="4" w:space="0" w:color="auto"/>
              <w:bottom w:val="single" w:sz="4" w:space="0" w:color="auto"/>
              <w:right w:val="single" w:sz="4" w:space="0" w:color="auto"/>
            </w:tcBorders>
            <w:hideMark/>
          </w:tcPr>
          <w:p w14:paraId="5B74303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Islam </w:t>
            </w:r>
          </w:p>
        </w:tc>
        <w:tc>
          <w:tcPr>
            <w:tcW w:w="1605" w:type="dxa"/>
            <w:gridSpan w:val="6"/>
            <w:tcBorders>
              <w:top w:val="single" w:sz="4" w:space="0" w:color="auto"/>
              <w:left w:val="single" w:sz="4" w:space="0" w:color="auto"/>
              <w:bottom w:val="single" w:sz="4" w:space="0" w:color="auto"/>
              <w:right w:val="single" w:sz="4" w:space="0" w:color="auto"/>
            </w:tcBorders>
            <w:hideMark/>
          </w:tcPr>
          <w:p w14:paraId="136BD6AD"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Judaism </w:t>
            </w:r>
          </w:p>
        </w:tc>
        <w:tc>
          <w:tcPr>
            <w:tcW w:w="2468" w:type="dxa"/>
            <w:gridSpan w:val="4"/>
            <w:tcBorders>
              <w:top w:val="single" w:sz="4" w:space="0" w:color="auto"/>
              <w:left w:val="single" w:sz="4" w:space="0" w:color="auto"/>
              <w:bottom w:val="single" w:sz="4" w:space="0" w:color="auto"/>
              <w:right w:val="single" w:sz="4" w:space="0" w:color="auto"/>
            </w:tcBorders>
            <w:hideMark/>
          </w:tcPr>
          <w:p w14:paraId="2B17730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Hinduism </w:t>
            </w:r>
          </w:p>
        </w:tc>
        <w:tc>
          <w:tcPr>
            <w:tcW w:w="1948" w:type="dxa"/>
            <w:gridSpan w:val="2"/>
            <w:tcBorders>
              <w:top w:val="single" w:sz="4" w:space="0" w:color="auto"/>
              <w:left w:val="single" w:sz="4" w:space="0" w:color="auto"/>
              <w:bottom w:val="single" w:sz="4" w:space="0" w:color="auto"/>
              <w:right w:val="single" w:sz="4" w:space="0" w:color="auto"/>
            </w:tcBorders>
            <w:hideMark/>
          </w:tcPr>
          <w:p w14:paraId="3DA3C42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Atheism</w:t>
            </w:r>
          </w:p>
        </w:tc>
      </w:tr>
      <w:tr w:rsidR="00BE5DAB" w:rsidRPr="00BE5DAB" w14:paraId="28ED5E06"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2002633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6A3E74E"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How significant is participant’s views (political and religious) in his/her life?</w:t>
            </w:r>
          </w:p>
        </w:tc>
      </w:tr>
      <w:tr w:rsidR="00BE5DAB" w:rsidRPr="00BE5DAB" w14:paraId="31744410"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353CD8F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7A5CF5FD"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Not significant</w:t>
            </w:r>
          </w:p>
        </w:tc>
        <w:tc>
          <w:tcPr>
            <w:tcW w:w="2460" w:type="dxa"/>
            <w:gridSpan w:val="6"/>
            <w:tcBorders>
              <w:top w:val="single" w:sz="4" w:space="0" w:color="auto"/>
              <w:left w:val="single" w:sz="4" w:space="0" w:color="auto"/>
              <w:bottom w:val="single" w:sz="4" w:space="0" w:color="auto"/>
              <w:right w:val="single" w:sz="4" w:space="0" w:color="auto"/>
            </w:tcBorders>
            <w:hideMark/>
          </w:tcPr>
          <w:p w14:paraId="5B55DED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Somewhat significant</w:t>
            </w:r>
          </w:p>
        </w:tc>
        <w:tc>
          <w:tcPr>
            <w:tcW w:w="1085" w:type="dxa"/>
            <w:gridSpan w:val="5"/>
            <w:tcBorders>
              <w:top w:val="single" w:sz="4" w:space="0" w:color="auto"/>
              <w:left w:val="single" w:sz="4" w:space="0" w:color="auto"/>
              <w:bottom w:val="single" w:sz="4" w:space="0" w:color="auto"/>
              <w:right w:val="single" w:sz="4" w:space="0" w:color="auto"/>
            </w:tcBorders>
            <w:hideMark/>
          </w:tcPr>
          <w:p w14:paraId="08521E7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significant</w:t>
            </w:r>
          </w:p>
        </w:tc>
        <w:tc>
          <w:tcPr>
            <w:tcW w:w="1605" w:type="dxa"/>
            <w:gridSpan w:val="2"/>
            <w:tcBorders>
              <w:top w:val="single" w:sz="4" w:space="0" w:color="auto"/>
              <w:left w:val="single" w:sz="4" w:space="0" w:color="auto"/>
              <w:bottom w:val="single" w:sz="4" w:space="0" w:color="auto"/>
              <w:right w:val="single" w:sz="4" w:space="0" w:color="auto"/>
            </w:tcBorders>
            <w:hideMark/>
          </w:tcPr>
          <w:p w14:paraId="5168997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Very significant</w:t>
            </w:r>
          </w:p>
        </w:tc>
        <w:tc>
          <w:tcPr>
            <w:tcW w:w="3331" w:type="dxa"/>
            <w:gridSpan w:val="5"/>
            <w:tcBorders>
              <w:top w:val="single" w:sz="4" w:space="0" w:color="auto"/>
              <w:left w:val="single" w:sz="4" w:space="0" w:color="auto"/>
              <w:bottom w:val="single" w:sz="4" w:space="0" w:color="auto"/>
              <w:right w:val="single" w:sz="4" w:space="0" w:color="auto"/>
            </w:tcBorders>
            <w:hideMark/>
          </w:tcPr>
          <w:p w14:paraId="34D383C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Neither </w:t>
            </w:r>
            <w:proofErr w:type="gramStart"/>
            <w:r w:rsidRPr="00BE5DAB">
              <w:rPr>
                <w:rFonts w:ascii="Times New Roman" w:eastAsia="Cambria" w:hAnsi="Times New Roman" w:cs="Arial"/>
                <w:sz w:val="18"/>
                <w:szCs w:val="18"/>
                <w:lang w:val="en-US"/>
              </w:rPr>
              <w:t>significant  nor</w:t>
            </w:r>
            <w:proofErr w:type="gramEnd"/>
            <w:r w:rsidRPr="00BE5DAB">
              <w:rPr>
                <w:rFonts w:ascii="Times New Roman" w:eastAsia="Cambria" w:hAnsi="Times New Roman" w:cs="Arial"/>
                <w:sz w:val="18"/>
                <w:szCs w:val="18"/>
                <w:lang w:val="en-US"/>
              </w:rPr>
              <w:t xml:space="preserve"> insignificant</w:t>
            </w:r>
          </w:p>
        </w:tc>
      </w:tr>
      <w:tr w:rsidR="00BE5DAB" w:rsidRPr="00BE5DAB" w14:paraId="7414628C"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5463E59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76AB7A8"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Participant’s country of origin?</w:t>
            </w:r>
          </w:p>
        </w:tc>
      </w:tr>
      <w:tr w:rsidR="00BE5DAB" w:rsidRPr="00BE5DAB" w14:paraId="3C3C0833"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D158FB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9714" w:type="dxa"/>
            <w:gridSpan w:val="19"/>
            <w:tcBorders>
              <w:top w:val="single" w:sz="4" w:space="0" w:color="auto"/>
              <w:left w:val="single" w:sz="4" w:space="0" w:color="auto"/>
              <w:bottom w:val="single" w:sz="4" w:space="0" w:color="auto"/>
              <w:right w:val="single" w:sz="4" w:space="0" w:color="auto"/>
            </w:tcBorders>
          </w:tcPr>
          <w:p w14:paraId="4F3841AA" w14:textId="77777777" w:rsidR="00BE5DAB" w:rsidRPr="00BE5DAB" w:rsidRDefault="00BE5DAB" w:rsidP="00BE5DAB">
            <w:pPr>
              <w:autoSpaceDE w:val="0"/>
              <w:autoSpaceDN w:val="0"/>
              <w:jc w:val="center"/>
              <w:rPr>
                <w:rFonts w:ascii="Times New Roman" w:eastAsia="Cambria" w:hAnsi="Times New Roman" w:cs="Arial"/>
                <w:sz w:val="18"/>
                <w:szCs w:val="18"/>
                <w:lang w:val="en-US"/>
              </w:rPr>
            </w:pPr>
          </w:p>
        </w:tc>
      </w:tr>
      <w:tr w:rsidR="00BE5DAB" w:rsidRPr="00BE5DAB" w14:paraId="60522675"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6613668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150B591"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Birth country of the participant?</w:t>
            </w:r>
          </w:p>
        </w:tc>
      </w:tr>
      <w:tr w:rsidR="00BE5DAB" w:rsidRPr="00BE5DAB" w14:paraId="73E3E7BB"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A9A4BD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4778" w:type="dxa"/>
            <w:gridSpan w:val="12"/>
            <w:tcBorders>
              <w:top w:val="single" w:sz="4" w:space="0" w:color="auto"/>
              <w:left w:val="single" w:sz="4" w:space="0" w:color="auto"/>
              <w:bottom w:val="single" w:sz="4" w:space="0" w:color="auto"/>
              <w:right w:val="single" w:sz="4" w:space="0" w:color="auto"/>
            </w:tcBorders>
            <w:hideMark/>
          </w:tcPr>
          <w:p w14:paraId="1C5C622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Born in the UK</w:t>
            </w:r>
          </w:p>
        </w:tc>
        <w:tc>
          <w:tcPr>
            <w:tcW w:w="4936" w:type="dxa"/>
            <w:gridSpan w:val="7"/>
            <w:tcBorders>
              <w:top w:val="single" w:sz="4" w:space="0" w:color="auto"/>
              <w:left w:val="single" w:sz="4" w:space="0" w:color="auto"/>
              <w:bottom w:val="single" w:sz="4" w:space="0" w:color="auto"/>
              <w:right w:val="single" w:sz="4" w:space="0" w:color="auto"/>
            </w:tcBorders>
            <w:hideMark/>
          </w:tcPr>
          <w:p w14:paraId="1F2F47D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Born Outside the UK</w:t>
            </w:r>
          </w:p>
        </w:tc>
      </w:tr>
      <w:tr w:rsidR="00BE5DAB" w:rsidRPr="00BE5DAB" w14:paraId="6CA67944"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093DEEF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2805414A"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For how long </w:t>
            </w:r>
            <w:proofErr w:type="gramStart"/>
            <w:r w:rsidRPr="00BE5DAB">
              <w:rPr>
                <w:rFonts w:ascii="Times New Roman" w:eastAsia="Cambria" w:hAnsi="Times New Roman" w:cs="Arial"/>
                <w:sz w:val="18"/>
                <w:szCs w:val="18"/>
                <w:lang w:val="en-US"/>
              </w:rPr>
              <w:t>are the participant</w:t>
            </w:r>
            <w:proofErr w:type="gramEnd"/>
            <w:r w:rsidRPr="00BE5DAB">
              <w:rPr>
                <w:rFonts w:ascii="Times New Roman" w:eastAsia="Cambria" w:hAnsi="Times New Roman" w:cs="Arial"/>
                <w:sz w:val="18"/>
                <w:szCs w:val="18"/>
                <w:lang w:val="en-US"/>
              </w:rPr>
              <w:t xml:space="preserve"> is living in the UK?</w:t>
            </w:r>
          </w:p>
        </w:tc>
      </w:tr>
      <w:tr w:rsidR="00BE5DAB" w:rsidRPr="00BE5DAB" w14:paraId="6384BF7B"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987072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5C2B7C0D"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Less than 1 Year</w:t>
            </w:r>
          </w:p>
        </w:tc>
        <w:tc>
          <w:tcPr>
            <w:tcW w:w="2460" w:type="dxa"/>
            <w:gridSpan w:val="6"/>
            <w:tcBorders>
              <w:top w:val="single" w:sz="4" w:space="0" w:color="auto"/>
              <w:left w:val="single" w:sz="4" w:space="0" w:color="auto"/>
              <w:bottom w:val="single" w:sz="4" w:space="0" w:color="auto"/>
              <w:right w:val="single" w:sz="4" w:space="0" w:color="auto"/>
            </w:tcBorders>
            <w:hideMark/>
          </w:tcPr>
          <w:p w14:paraId="0B42E0B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2 - 3 Years</w:t>
            </w:r>
          </w:p>
        </w:tc>
        <w:tc>
          <w:tcPr>
            <w:tcW w:w="1605" w:type="dxa"/>
            <w:gridSpan w:val="6"/>
            <w:tcBorders>
              <w:top w:val="single" w:sz="4" w:space="0" w:color="auto"/>
              <w:left w:val="single" w:sz="4" w:space="0" w:color="auto"/>
              <w:bottom w:val="single" w:sz="4" w:space="0" w:color="auto"/>
              <w:right w:val="single" w:sz="4" w:space="0" w:color="auto"/>
            </w:tcBorders>
            <w:hideMark/>
          </w:tcPr>
          <w:p w14:paraId="1FB42FE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3 - 5 Years</w:t>
            </w:r>
          </w:p>
        </w:tc>
        <w:tc>
          <w:tcPr>
            <w:tcW w:w="2468" w:type="dxa"/>
            <w:gridSpan w:val="4"/>
            <w:tcBorders>
              <w:top w:val="single" w:sz="4" w:space="0" w:color="auto"/>
              <w:left w:val="single" w:sz="4" w:space="0" w:color="auto"/>
              <w:bottom w:val="single" w:sz="4" w:space="0" w:color="auto"/>
              <w:right w:val="single" w:sz="4" w:space="0" w:color="auto"/>
            </w:tcBorders>
            <w:hideMark/>
          </w:tcPr>
          <w:p w14:paraId="5E9DFC0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5 - 10 Years</w:t>
            </w:r>
          </w:p>
        </w:tc>
        <w:tc>
          <w:tcPr>
            <w:tcW w:w="1948" w:type="dxa"/>
            <w:gridSpan w:val="2"/>
            <w:tcBorders>
              <w:top w:val="single" w:sz="4" w:space="0" w:color="auto"/>
              <w:left w:val="single" w:sz="4" w:space="0" w:color="auto"/>
              <w:bottom w:val="single" w:sz="4" w:space="0" w:color="auto"/>
              <w:right w:val="single" w:sz="4" w:space="0" w:color="auto"/>
            </w:tcBorders>
            <w:hideMark/>
          </w:tcPr>
          <w:p w14:paraId="6DDA1C8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10+ Years</w:t>
            </w:r>
          </w:p>
        </w:tc>
      </w:tr>
      <w:tr w:rsidR="00BE5DAB" w:rsidRPr="00BE5DAB" w14:paraId="34ED01FD"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6B2AF1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3FF4FF25"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Does the participant visit his/her country of origin?</w:t>
            </w:r>
          </w:p>
        </w:tc>
      </w:tr>
      <w:tr w:rsidR="00BE5DAB" w:rsidRPr="00BE5DAB" w14:paraId="61D11583"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03720EB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49AA769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Never</w:t>
            </w:r>
          </w:p>
        </w:tc>
        <w:tc>
          <w:tcPr>
            <w:tcW w:w="2460" w:type="dxa"/>
            <w:gridSpan w:val="6"/>
            <w:tcBorders>
              <w:top w:val="single" w:sz="4" w:space="0" w:color="auto"/>
              <w:left w:val="single" w:sz="4" w:space="0" w:color="auto"/>
              <w:bottom w:val="single" w:sz="4" w:space="0" w:color="auto"/>
              <w:right w:val="single" w:sz="4" w:space="0" w:color="auto"/>
            </w:tcBorders>
            <w:hideMark/>
          </w:tcPr>
          <w:p w14:paraId="2B9453FA"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Once or more every Year</w:t>
            </w:r>
          </w:p>
        </w:tc>
        <w:tc>
          <w:tcPr>
            <w:tcW w:w="1605" w:type="dxa"/>
            <w:gridSpan w:val="6"/>
            <w:tcBorders>
              <w:top w:val="single" w:sz="4" w:space="0" w:color="auto"/>
              <w:left w:val="single" w:sz="4" w:space="0" w:color="auto"/>
              <w:bottom w:val="single" w:sz="4" w:space="0" w:color="auto"/>
              <w:right w:val="single" w:sz="4" w:space="0" w:color="auto"/>
            </w:tcBorders>
            <w:hideMark/>
          </w:tcPr>
          <w:p w14:paraId="74665E7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Once in 2 - 3 Years</w:t>
            </w:r>
          </w:p>
        </w:tc>
        <w:tc>
          <w:tcPr>
            <w:tcW w:w="2468" w:type="dxa"/>
            <w:gridSpan w:val="4"/>
            <w:tcBorders>
              <w:top w:val="single" w:sz="4" w:space="0" w:color="auto"/>
              <w:left w:val="single" w:sz="4" w:space="0" w:color="auto"/>
              <w:bottom w:val="single" w:sz="4" w:space="0" w:color="auto"/>
              <w:right w:val="single" w:sz="4" w:space="0" w:color="auto"/>
            </w:tcBorders>
            <w:hideMark/>
          </w:tcPr>
          <w:p w14:paraId="16438B8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Once in 3 - 5 Years</w:t>
            </w:r>
          </w:p>
        </w:tc>
        <w:tc>
          <w:tcPr>
            <w:tcW w:w="1948" w:type="dxa"/>
            <w:gridSpan w:val="2"/>
            <w:tcBorders>
              <w:top w:val="single" w:sz="4" w:space="0" w:color="auto"/>
              <w:left w:val="single" w:sz="4" w:space="0" w:color="auto"/>
              <w:bottom w:val="single" w:sz="4" w:space="0" w:color="auto"/>
              <w:right w:val="single" w:sz="4" w:space="0" w:color="auto"/>
            </w:tcBorders>
            <w:hideMark/>
          </w:tcPr>
          <w:p w14:paraId="384C4A7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Once in 5 - 10 Years</w:t>
            </w:r>
          </w:p>
        </w:tc>
      </w:tr>
      <w:tr w:rsidR="00BE5DAB" w:rsidRPr="00BE5DAB" w14:paraId="1E57A84E" w14:textId="77777777" w:rsidTr="00BE5DAB">
        <w:trPr>
          <w:trHeight w:val="261"/>
          <w:jc w:val="center"/>
        </w:trPr>
        <w:tc>
          <w:tcPr>
            <w:tcW w:w="10349" w:type="dxa"/>
            <w:gridSpan w:val="20"/>
            <w:tcBorders>
              <w:top w:val="single" w:sz="4" w:space="0" w:color="auto"/>
              <w:left w:val="single" w:sz="4" w:space="0" w:color="auto"/>
              <w:bottom w:val="single" w:sz="4" w:space="0" w:color="auto"/>
              <w:right w:val="single" w:sz="4" w:space="0" w:color="auto"/>
            </w:tcBorders>
            <w:hideMark/>
          </w:tcPr>
          <w:p w14:paraId="2D332679" w14:textId="77777777" w:rsidR="00BE5DAB" w:rsidRPr="00BE5DAB" w:rsidRDefault="00BE5DAB" w:rsidP="00BE5DAB">
            <w:pPr>
              <w:autoSpaceDE w:val="0"/>
              <w:autoSpaceDN w:val="0"/>
              <w:jc w:val="center"/>
              <w:rPr>
                <w:rFonts w:ascii="Times New Roman" w:eastAsia="Cambria" w:hAnsi="Times New Roman" w:cs="Arial"/>
                <w:b/>
                <w:bCs/>
                <w:sz w:val="18"/>
                <w:szCs w:val="18"/>
                <w:lang w:val="en-US"/>
              </w:rPr>
            </w:pPr>
            <w:r w:rsidRPr="00BE5DAB">
              <w:rPr>
                <w:rFonts w:ascii="Times New Roman" w:eastAsia="Cambria" w:hAnsi="Times New Roman" w:cs="Arial"/>
                <w:b/>
                <w:bCs/>
                <w:sz w:val="18"/>
                <w:szCs w:val="18"/>
                <w:lang w:val="en-US"/>
              </w:rPr>
              <w:t xml:space="preserve">Consumer </w:t>
            </w:r>
            <w:proofErr w:type="spellStart"/>
            <w:r w:rsidRPr="00BE5DAB">
              <w:rPr>
                <w:rFonts w:ascii="Times New Roman" w:eastAsia="Cambria" w:hAnsi="Times New Roman" w:cs="Arial"/>
                <w:b/>
                <w:bCs/>
                <w:sz w:val="18"/>
                <w:szCs w:val="18"/>
                <w:lang w:val="en-US"/>
              </w:rPr>
              <w:t>Behaviour</w:t>
            </w:r>
            <w:proofErr w:type="spellEnd"/>
          </w:p>
        </w:tc>
      </w:tr>
      <w:tr w:rsidR="00BE5DAB" w:rsidRPr="00BE5DAB" w14:paraId="246F81F3"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23E0829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76FEB4EB"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Does the participant buy certain products in a frequent manner?</w:t>
            </w:r>
          </w:p>
        </w:tc>
      </w:tr>
      <w:tr w:rsidR="00BE5DAB" w:rsidRPr="00BE5DAB" w14:paraId="541019F0"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64D9146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904" w:type="dxa"/>
            <w:gridSpan w:val="3"/>
            <w:tcBorders>
              <w:top w:val="single" w:sz="4" w:space="0" w:color="auto"/>
              <w:left w:val="single" w:sz="4" w:space="0" w:color="auto"/>
              <w:bottom w:val="single" w:sz="4" w:space="0" w:color="auto"/>
              <w:right w:val="single" w:sz="4" w:space="0" w:color="auto"/>
            </w:tcBorders>
            <w:hideMark/>
          </w:tcPr>
          <w:p w14:paraId="76EFA38D" w14:textId="77777777" w:rsidR="00BE5DAB" w:rsidRPr="00BE5DAB" w:rsidRDefault="00BE5DAB" w:rsidP="00BE5DAB">
            <w:pPr>
              <w:autoSpaceDE w:val="0"/>
              <w:autoSpaceDN w:val="0"/>
              <w:jc w:val="center"/>
              <w:rPr>
                <w:rFonts w:ascii="Times New Roman" w:eastAsia="Cambria" w:hAnsi="Times New Roman" w:cs="Arial"/>
                <w:sz w:val="18"/>
                <w:szCs w:val="18"/>
              </w:rPr>
            </w:pPr>
            <w:r w:rsidRPr="00BE5DAB">
              <w:rPr>
                <w:rFonts w:ascii="Times New Roman" w:eastAsia="Cambria" w:hAnsi="Times New Roman" w:cs="Arial"/>
                <w:sz w:val="18"/>
                <w:szCs w:val="18"/>
              </w:rPr>
              <w:t>A</w:t>
            </w:r>
            <w:proofErr w:type="spellStart"/>
            <w:r w:rsidRPr="00BE5DAB">
              <w:rPr>
                <w:rFonts w:ascii="Times New Roman" w:eastAsia="Cambria" w:hAnsi="Times New Roman" w:cs="Arial"/>
                <w:sz w:val="18"/>
                <w:szCs w:val="18"/>
                <w:lang w:val="en-US"/>
              </w:rPr>
              <w:t>lways</w:t>
            </w:r>
            <w:proofErr w:type="spellEnd"/>
          </w:p>
        </w:tc>
        <w:tc>
          <w:tcPr>
            <w:tcW w:w="1789" w:type="dxa"/>
            <w:gridSpan w:val="4"/>
            <w:tcBorders>
              <w:top w:val="single" w:sz="4" w:space="0" w:color="auto"/>
              <w:left w:val="single" w:sz="4" w:space="0" w:color="auto"/>
              <w:bottom w:val="single" w:sz="4" w:space="0" w:color="auto"/>
              <w:right w:val="single" w:sz="4" w:space="0" w:color="auto"/>
            </w:tcBorders>
            <w:hideMark/>
          </w:tcPr>
          <w:p w14:paraId="6262620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Frequently</w:t>
            </w:r>
          </w:p>
        </w:tc>
        <w:tc>
          <w:tcPr>
            <w:tcW w:w="1605" w:type="dxa"/>
            <w:gridSpan w:val="6"/>
            <w:tcBorders>
              <w:top w:val="single" w:sz="4" w:space="0" w:color="auto"/>
              <w:left w:val="single" w:sz="4" w:space="0" w:color="auto"/>
              <w:bottom w:val="single" w:sz="4" w:space="0" w:color="auto"/>
              <w:right w:val="single" w:sz="4" w:space="0" w:color="auto"/>
            </w:tcBorders>
            <w:hideMark/>
          </w:tcPr>
          <w:p w14:paraId="73570ECA"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Sometimes</w:t>
            </w:r>
          </w:p>
        </w:tc>
        <w:tc>
          <w:tcPr>
            <w:tcW w:w="2145" w:type="dxa"/>
            <w:gridSpan w:val="3"/>
            <w:tcBorders>
              <w:top w:val="single" w:sz="4" w:space="0" w:color="auto"/>
              <w:left w:val="single" w:sz="4" w:space="0" w:color="auto"/>
              <w:bottom w:val="single" w:sz="4" w:space="0" w:color="auto"/>
              <w:right w:val="single" w:sz="4" w:space="0" w:color="auto"/>
            </w:tcBorders>
            <w:hideMark/>
          </w:tcPr>
          <w:p w14:paraId="6DDF455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Occasionally</w:t>
            </w:r>
          </w:p>
        </w:tc>
        <w:tc>
          <w:tcPr>
            <w:tcW w:w="2271" w:type="dxa"/>
            <w:gridSpan w:val="3"/>
            <w:tcBorders>
              <w:top w:val="single" w:sz="4" w:space="0" w:color="auto"/>
              <w:left w:val="single" w:sz="4" w:space="0" w:color="auto"/>
              <w:bottom w:val="single" w:sz="4" w:space="0" w:color="auto"/>
              <w:right w:val="single" w:sz="4" w:space="0" w:color="auto"/>
            </w:tcBorders>
            <w:hideMark/>
          </w:tcPr>
          <w:p w14:paraId="2973A1BA"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Almost Never</w:t>
            </w:r>
          </w:p>
        </w:tc>
      </w:tr>
      <w:tr w:rsidR="00BE5DAB" w:rsidRPr="00BE5DAB" w14:paraId="0444469B"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08BFDCF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438C9BDD"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 xml:space="preserve">If the answer to the question above is </w:t>
            </w:r>
            <w:proofErr w:type="gramStart"/>
            <w:r w:rsidRPr="00BE5DAB">
              <w:rPr>
                <w:rFonts w:ascii="Times New Roman" w:eastAsia="Calibri" w:hAnsi="Times New Roman" w:cs="Arial"/>
                <w:sz w:val="18"/>
                <w:szCs w:val="18"/>
                <w:lang w:val="en-US"/>
              </w:rPr>
              <w:t>yes</w:t>
            </w:r>
            <w:proofErr w:type="gramEnd"/>
            <w:r w:rsidRPr="00BE5DAB">
              <w:rPr>
                <w:rFonts w:ascii="Times New Roman" w:eastAsia="Calibri" w:hAnsi="Times New Roman" w:cs="Arial"/>
                <w:sz w:val="18"/>
                <w:szCs w:val="18"/>
                <w:lang w:val="en-US"/>
              </w:rPr>
              <w:t xml:space="preserve"> then is the main reason that these products are available to the participant or that they are loyal to the brand.</w:t>
            </w:r>
            <w:r w:rsidRPr="00BE5DAB">
              <w:rPr>
                <w:rFonts w:ascii="Times New Roman" w:eastAsia="Cambria" w:hAnsi="Times New Roman" w:cs="Arial"/>
                <w:sz w:val="18"/>
                <w:szCs w:val="18"/>
                <w:lang w:val="en-US"/>
              </w:rPr>
              <w:t>?</w:t>
            </w:r>
          </w:p>
        </w:tc>
      </w:tr>
      <w:tr w:rsidR="00BE5DAB" w:rsidRPr="00BE5DAB" w14:paraId="5A4A5C3D"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A55493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4705" w:type="dxa"/>
            <w:gridSpan w:val="11"/>
            <w:tcBorders>
              <w:top w:val="single" w:sz="4" w:space="0" w:color="auto"/>
              <w:left w:val="single" w:sz="4" w:space="0" w:color="auto"/>
              <w:bottom w:val="single" w:sz="4" w:space="0" w:color="auto"/>
              <w:right w:val="single" w:sz="4" w:space="0" w:color="auto"/>
            </w:tcBorders>
            <w:hideMark/>
          </w:tcPr>
          <w:p w14:paraId="44E61FC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Availability</w:t>
            </w:r>
          </w:p>
        </w:tc>
        <w:tc>
          <w:tcPr>
            <w:tcW w:w="5009" w:type="dxa"/>
            <w:gridSpan w:val="8"/>
            <w:tcBorders>
              <w:top w:val="single" w:sz="4" w:space="0" w:color="auto"/>
              <w:left w:val="single" w:sz="4" w:space="0" w:color="auto"/>
              <w:bottom w:val="single" w:sz="4" w:space="0" w:color="auto"/>
              <w:right w:val="single" w:sz="4" w:space="0" w:color="auto"/>
            </w:tcBorders>
            <w:hideMark/>
          </w:tcPr>
          <w:p w14:paraId="4B5D6DC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Loyalty</w:t>
            </w:r>
          </w:p>
        </w:tc>
      </w:tr>
      <w:tr w:rsidR="00BE5DAB" w:rsidRPr="00BE5DAB" w14:paraId="680F28B8"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1C1794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2656B94B"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What are the factors that lead the participant to be loyal to certain brands/companies?</w:t>
            </w:r>
          </w:p>
        </w:tc>
      </w:tr>
      <w:tr w:rsidR="00BE5DAB" w:rsidRPr="00BE5DAB" w14:paraId="78EC89F0"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2899F6B5"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233" w:type="dxa"/>
            <w:tcBorders>
              <w:top w:val="single" w:sz="4" w:space="0" w:color="auto"/>
              <w:left w:val="single" w:sz="4" w:space="0" w:color="auto"/>
              <w:bottom w:val="single" w:sz="4" w:space="0" w:color="auto"/>
              <w:right w:val="single" w:sz="4" w:space="0" w:color="auto"/>
            </w:tcBorders>
            <w:hideMark/>
          </w:tcPr>
          <w:p w14:paraId="359A4BC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Taste</w:t>
            </w:r>
          </w:p>
        </w:tc>
        <w:tc>
          <w:tcPr>
            <w:tcW w:w="817" w:type="dxa"/>
            <w:gridSpan w:val="3"/>
            <w:tcBorders>
              <w:top w:val="single" w:sz="4" w:space="0" w:color="auto"/>
              <w:left w:val="single" w:sz="4" w:space="0" w:color="auto"/>
              <w:bottom w:val="single" w:sz="4" w:space="0" w:color="auto"/>
              <w:right w:val="single" w:sz="4" w:space="0" w:color="auto"/>
            </w:tcBorders>
            <w:hideMark/>
          </w:tcPr>
          <w:p w14:paraId="7B59085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Halal</w:t>
            </w:r>
          </w:p>
        </w:tc>
        <w:tc>
          <w:tcPr>
            <w:tcW w:w="866" w:type="dxa"/>
            <w:gridSpan w:val="2"/>
            <w:tcBorders>
              <w:top w:val="single" w:sz="4" w:space="0" w:color="auto"/>
              <w:left w:val="single" w:sz="4" w:space="0" w:color="auto"/>
              <w:bottom w:val="single" w:sz="4" w:space="0" w:color="auto"/>
              <w:right w:val="single" w:sz="4" w:space="0" w:color="auto"/>
            </w:tcBorders>
            <w:hideMark/>
          </w:tcPr>
          <w:p w14:paraId="21A1307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Quality</w:t>
            </w:r>
          </w:p>
        </w:tc>
        <w:tc>
          <w:tcPr>
            <w:tcW w:w="1100" w:type="dxa"/>
            <w:gridSpan w:val="2"/>
            <w:tcBorders>
              <w:top w:val="single" w:sz="4" w:space="0" w:color="auto"/>
              <w:left w:val="single" w:sz="4" w:space="0" w:color="auto"/>
              <w:bottom w:val="single" w:sz="4" w:space="0" w:color="auto"/>
              <w:right w:val="single" w:sz="4" w:space="0" w:color="auto"/>
            </w:tcBorders>
            <w:hideMark/>
          </w:tcPr>
          <w:p w14:paraId="3FCE319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Promotion</w:t>
            </w:r>
          </w:p>
        </w:tc>
        <w:tc>
          <w:tcPr>
            <w:tcW w:w="1282" w:type="dxa"/>
            <w:gridSpan w:val="5"/>
            <w:tcBorders>
              <w:top w:val="single" w:sz="4" w:space="0" w:color="auto"/>
              <w:left w:val="single" w:sz="4" w:space="0" w:color="auto"/>
              <w:bottom w:val="single" w:sz="4" w:space="0" w:color="auto"/>
              <w:right w:val="single" w:sz="4" w:space="0" w:color="auto"/>
            </w:tcBorders>
            <w:hideMark/>
          </w:tcPr>
          <w:p w14:paraId="6451ED5C"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Brand names</w:t>
            </w:r>
          </w:p>
        </w:tc>
        <w:tc>
          <w:tcPr>
            <w:tcW w:w="1652" w:type="dxa"/>
            <w:gridSpan w:val="2"/>
            <w:tcBorders>
              <w:top w:val="single" w:sz="4" w:space="0" w:color="auto"/>
              <w:left w:val="single" w:sz="4" w:space="0" w:color="auto"/>
              <w:bottom w:val="single" w:sz="4" w:space="0" w:color="auto"/>
              <w:right w:val="single" w:sz="4" w:space="0" w:color="auto"/>
            </w:tcBorders>
            <w:hideMark/>
          </w:tcPr>
          <w:p w14:paraId="360BCB6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country of origin</w:t>
            </w:r>
          </w:p>
        </w:tc>
        <w:tc>
          <w:tcPr>
            <w:tcW w:w="1241" w:type="dxa"/>
            <w:gridSpan w:val="3"/>
            <w:tcBorders>
              <w:top w:val="single" w:sz="4" w:space="0" w:color="auto"/>
              <w:left w:val="single" w:sz="4" w:space="0" w:color="auto"/>
              <w:bottom w:val="single" w:sz="4" w:space="0" w:color="auto"/>
              <w:right w:val="single" w:sz="4" w:space="0" w:color="auto"/>
            </w:tcBorders>
            <w:hideMark/>
          </w:tcPr>
          <w:p w14:paraId="7D86CDE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Availability</w:t>
            </w:r>
          </w:p>
        </w:tc>
        <w:tc>
          <w:tcPr>
            <w:tcW w:w="1523" w:type="dxa"/>
            <w:tcBorders>
              <w:top w:val="single" w:sz="4" w:space="0" w:color="auto"/>
              <w:left w:val="single" w:sz="4" w:space="0" w:color="auto"/>
              <w:bottom w:val="single" w:sz="4" w:space="0" w:color="auto"/>
              <w:right w:val="single" w:sz="4" w:space="0" w:color="auto"/>
            </w:tcBorders>
            <w:hideMark/>
          </w:tcPr>
          <w:p w14:paraId="37956265"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Word of mouth</w:t>
            </w:r>
          </w:p>
        </w:tc>
      </w:tr>
      <w:tr w:rsidR="00BE5DAB" w:rsidRPr="00BE5DAB" w14:paraId="506F89EF"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2574C6C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0BFBA82D"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Do the participants buy products that are from their country of origin?</w:t>
            </w:r>
          </w:p>
        </w:tc>
      </w:tr>
      <w:tr w:rsidR="00BE5DAB" w:rsidRPr="00BE5DAB" w14:paraId="1BA3D363"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620B698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904" w:type="dxa"/>
            <w:gridSpan w:val="3"/>
            <w:tcBorders>
              <w:top w:val="single" w:sz="4" w:space="0" w:color="auto"/>
              <w:left w:val="single" w:sz="4" w:space="0" w:color="auto"/>
              <w:bottom w:val="single" w:sz="4" w:space="0" w:color="auto"/>
              <w:right w:val="single" w:sz="4" w:space="0" w:color="auto"/>
            </w:tcBorders>
            <w:hideMark/>
          </w:tcPr>
          <w:p w14:paraId="6ADBE90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rPr>
              <w:t>A</w:t>
            </w:r>
            <w:proofErr w:type="spellStart"/>
            <w:r w:rsidRPr="00BE5DAB">
              <w:rPr>
                <w:rFonts w:ascii="Times New Roman" w:eastAsia="Cambria" w:hAnsi="Times New Roman" w:cs="Arial"/>
                <w:sz w:val="18"/>
                <w:szCs w:val="18"/>
                <w:lang w:val="en-US"/>
              </w:rPr>
              <w:t>lways</w:t>
            </w:r>
            <w:proofErr w:type="spellEnd"/>
          </w:p>
        </w:tc>
        <w:tc>
          <w:tcPr>
            <w:tcW w:w="1789" w:type="dxa"/>
            <w:gridSpan w:val="4"/>
            <w:tcBorders>
              <w:top w:val="single" w:sz="4" w:space="0" w:color="auto"/>
              <w:left w:val="single" w:sz="4" w:space="0" w:color="auto"/>
              <w:bottom w:val="single" w:sz="4" w:space="0" w:color="auto"/>
              <w:right w:val="single" w:sz="4" w:space="0" w:color="auto"/>
            </w:tcBorders>
            <w:hideMark/>
          </w:tcPr>
          <w:p w14:paraId="1187D05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Frequently</w:t>
            </w:r>
          </w:p>
        </w:tc>
        <w:tc>
          <w:tcPr>
            <w:tcW w:w="1605" w:type="dxa"/>
            <w:gridSpan w:val="6"/>
            <w:tcBorders>
              <w:top w:val="single" w:sz="4" w:space="0" w:color="auto"/>
              <w:left w:val="single" w:sz="4" w:space="0" w:color="auto"/>
              <w:bottom w:val="single" w:sz="4" w:space="0" w:color="auto"/>
              <w:right w:val="single" w:sz="4" w:space="0" w:color="auto"/>
            </w:tcBorders>
            <w:hideMark/>
          </w:tcPr>
          <w:p w14:paraId="224F895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Sometimes</w:t>
            </w:r>
          </w:p>
        </w:tc>
        <w:tc>
          <w:tcPr>
            <w:tcW w:w="2145" w:type="dxa"/>
            <w:gridSpan w:val="3"/>
            <w:tcBorders>
              <w:top w:val="single" w:sz="4" w:space="0" w:color="auto"/>
              <w:left w:val="single" w:sz="4" w:space="0" w:color="auto"/>
              <w:bottom w:val="single" w:sz="4" w:space="0" w:color="auto"/>
              <w:right w:val="single" w:sz="4" w:space="0" w:color="auto"/>
            </w:tcBorders>
            <w:hideMark/>
          </w:tcPr>
          <w:p w14:paraId="6055C219"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Occasionally</w:t>
            </w:r>
          </w:p>
        </w:tc>
        <w:tc>
          <w:tcPr>
            <w:tcW w:w="2271" w:type="dxa"/>
            <w:gridSpan w:val="3"/>
            <w:tcBorders>
              <w:top w:val="single" w:sz="4" w:space="0" w:color="auto"/>
              <w:left w:val="single" w:sz="4" w:space="0" w:color="auto"/>
              <w:bottom w:val="single" w:sz="4" w:space="0" w:color="auto"/>
              <w:right w:val="single" w:sz="4" w:space="0" w:color="auto"/>
            </w:tcBorders>
            <w:hideMark/>
          </w:tcPr>
          <w:p w14:paraId="550428F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Almost Never</w:t>
            </w:r>
          </w:p>
        </w:tc>
      </w:tr>
      <w:tr w:rsidR="00BE5DAB" w:rsidRPr="00BE5DAB" w14:paraId="3C7C0C01"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6F1400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203215D3"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Is it easy to switch between brands/companies?</w:t>
            </w:r>
          </w:p>
        </w:tc>
      </w:tr>
      <w:tr w:rsidR="00BE5DAB" w:rsidRPr="00BE5DAB" w14:paraId="489767F4"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DE55FB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904" w:type="dxa"/>
            <w:gridSpan w:val="3"/>
            <w:tcBorders>
              <w:top w:val="single" w:sz="4" w:space="0" w:color="auto"/>
              <w:left w:val="single" w:sz="4" w:space="0" w:color="auto"/>
              <w:bottom w:val="single" w:sz="4" w:space="0" w:color="auto"/>
              <w:right w:val="single" w:sz="4" w:space="0" w:color="auto"/>
            </w:tcBorders>
            <w:hideMark/>
          </w:tcPr>
          <w:p w14:paraId="6396227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rPr>
              <w:t>Extremely hard</w:t>
            </w:r>
          </w:p>
        </w:tc>
        <w:tc>
          <w:tcPr>
            <w:tcW w:w="1789" w:type="dxa"/>
            <w:gridSpan w:val="4"/>
            <w:tcBorders>
              <w:top w:val="single" w:sz="4" w:space="0" w:color="auto"/>
              <w:left w:val="single" w:sz="4" w:space="0" w:color="auto"/>
              <w:bottom w:val="single" w:sz="4" w:space="0" w:color="auto"/>
              <w:right w:val="single" w:sz="4" w:space="0" w:color="auto"/>
            </w:tcBorders>
            <w:hideMark/>
          </w:tcPr>
          <w:p w14:paraId="11B5C6A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Hard</w:t>
            </w:r>
          </w:p>
        </w:tc>
        <w:tc>
          <w:tcPr>
            <w:tcW w:w="1605" w:type="dxa"/>
            <w:gridSpan w:val="6"/>
            <w:tcBorders>
              <w:top w:val="single" w:sz="4" w:space="0" w:color="auto"/>
              <w:left w:val="single" w:sz="4" w:space="0" w:color="auto"/>
              <w:bottom w:val="single" w:sz="4" w:space="0" w:color="auto"/>
              <w:right w:val="single" w:sz="4" w:space="0" w:color="auto"/>
            </w:tcBorders>
            <w:hideMark/>
          </w:tcPr>
          <w:p w14:paraId="05924205"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Easy</w:t>
            </w:r>
          </w:p>
        </w:tc>
        <w:tc>
          <w:tcPr>
            <w:tcW w:w="2145" w:type="dxa"/>
            <w:gridSpan w:val="3"/>
            <w:tcBorders>
              <w:top w:val="single" w:sz="4" w:space="0" w:color="auto"/>
              <w:left w:val="single" w:sz="4" w:space="0" w:color="auto"/>
              <w:bottom w:val="single" w:sz="4" w:space="0" w:color="auto"/>
              <w:right w:val="single" w:sz="4" w:space="0" w:color="auto"/>
            </w:tcBorders>
            <w:hideMark/>
          </w:tcPr>
          <w:p w14:paraId="56FB756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rPr>
              <w:t xml:space="preserve">Extremely </w:t>
            </w:r>
            <w:r w:rsidRPr="00BE5DAB">
              <w:rPr>
                <w:rFonts w:ascii="Times New Roman" w:eastAsia="Cambria" w:hAnsi="Times New Roman" w:cs="Arial"/>
                <w:sz w:val="18"/>
                <w:szCs w:val="18"/>
                <w:lang w:val="en-US"/>
              </w:rPr>
              <w:t>Easy</w:t>
            </w:r>
          </w:p>
        </w:tc>
        <w:tc>
          <w:tcPr>
            <w:tcW w:w="2271" w:type="dxa"/>
            <w:gridSpan w:val="3"/>
            <w:tcBorders>
              <w:top w:val="single" w:sz="4" w:space="0" w:color="auto"/>
              <w:left w:val="single" w:sz="4" w:space="0" w:color="auto"/>
              <w:bottom w:val="single" w:sz="4" w:space="0" w:color="auto"/>
              <w:right w:val="single" w:sz="4" w:space="0" w:color="auto"/>
            </w:tcBorders>
            <w:hideMark/>
          </w:tcPr>
          <w:p w14:paraId="07D319F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Neither </w:t>
            </w:r>
            <w:r w:rsidRPr="00BE5DAB">
              <w:rPr>
                <w:rFonts w:ascii="Times New Roman" w:eastAsia="Cambria" w:hAnsi="Times New Roman" w:cs="Arial"/>
                <w:sz w:val="18"/>
                <w:szCs w:val="18"/>
              </w:rPr>
              <w:t>H</w:t>
            </w:r>
            <w:proofErr w:type="spellStart"/>
            <w:r w:rsidRPr="00BE5DAB">
              <w:rPr>
                <w:rFonts w:ascii="Times New Roman" w:eastAsia="Cambria" w:hAnsi="Times New Roman" w:cs="Arial"/>
                <w:sz w:val="18"/>
                <w:szCs w:val="18"/>
                <w:lang w:val="en-US"/>
              </w:rPr>
              <w:t>ard</w:t>
            </w:r>
            <w:proofErr w:type="spellEnd"/>
            <w:r w:rsidRPr="00BE5DAB">
              <w:rPr>
                <w:rFonts w:ascii="Times New Roman" w:eastAsia="Cambria" w:hAnsi="Times New Roman" w:cs="Arial"/>
                <w:sz w:val="18"/>
                <w:szCs w:val="18"/>
                <w:lang w:val="en-US"/>
              </w:rPr>
              <w:t xml:space="preserve"> nor </w:t>
            </w:r>
            <w:r w:rsidRPr="00BE5DAB">
              <w:rPr>
                <w:rFonts w:ascii="Times New Roman" w:eastAsia="Cambria" w:hAnsi="Times New Roman" w:cs="Arial"/>
                <w:sz w:val="18"/>
                <w:szCs w:val="18"/>
              </w:rPr>
              <w:t>E</w:t>
            </w:r>
            <w:proofErr w:type="spellStart"/>
            <w:r w:rsidRPr="00BE5DAB">
              <w:rPr>
                <w:rFonts w:ascii="Times New Roman" w:eastAsia="Cambria" w:hAnsi="Times New Roman" w:cs="Arial"/>
                <w:sz w:val="18"/>
                <w:szCs w:val="18"/>
                <w:lang w:val="en-US"/>
              </w:rPr>
              <w:t>asy</w:t>
            </w:r>
            <w:proofErr w:type="spellEnd"/>
          </w:p>
        </w:tc>
      </w:tr>
      <w:tr w:rsidR="00BE5DAB" w:rsidRPr="00BE5DAB" w14:paraId="67817168"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37BCBF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6F4C91C7"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If the answer to the question above is yes - what is the reason for doing so?</w:t>
            </w:r>
          </w:p>
        </w:tc>
      </w:tr>
      <w:tr w:rsidR="00BE5DAB" w:rsidRPr="00BE5DAB" w14:paraId="13387501"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6BE8953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9714" w:type="dxa"/>
            <w:gridSpan w:val="19"/>
            <w:tcBorders>
              <w:top w:val="single" w:sz="4" w:space="0" w:color="auto"/>
              <w:left w:val="single" w:sz="4" w:space="0" w:color="auto"/>
              <w:bottom w:val="single" w:sz="4" w:space="0" w:color="auto"/>
              <w:right w:val="single" w:sz="4" w:space="0" w:color="auto"/>
            </w:tcBorders>
          </w:tcPr>
          <w:p w14:paraId="54B08704" w14:textId="77777777" w:rsidR="00BE5DAB" w:rsidRPr="00BE5DAB" w:rsidRDefault="00BE5DAB" w:rsidP="00BE5DAB">
            <w:pPr>
              <w:autoSpaceDE w:val="0"/>
              <w:autoSpaceDN w:val="0"/>
              <w:rPr>
                <w:rFonts w:ascii="Times New Roman" w:eastAsia="Cambria" w:hAnsi="Times New Roman" w:cs="Arial"/>
                <w:sz w:val="18"/>
                <w:szCs w:val="18"/>
                <w:lang w:val="en-US"/>
              </w:rPr>
            </w:pPr>
          </w:p>
        </w:tc>
      </w:tr>
      <w:tr w:rsidR="00BE5DAB" w:rsidRPr="00BE5DAB" w14:paraId="5BCC71FF"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7ED64F4"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6946CA51"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 xml:space="preserve">Do family and friends have influence on your buying </w:t>
            </w:r>
            <w:proofErr w:type="spellStart"/>
            <w:r w:rsidRPr="00BE5DAB">
              <w:rPr>
                <w:rFonts w:ascii="Times New Roman" w:eastAsia="Calibri" w:hAnsi="Times New Roman" w:cs="Arial"/>
                <w:sz w:val="18"/>
                <w:szCs w:val="18"/>
                <w:lang w:val="en-US"/>
              </w:rPr>
              <w:t>behaviour</w:t>
            </w:r>
            <w:proofErr w:type="spellEnd"/>
            <w:r w:rsidRPr="00BE5DAB">
              <w:rPr>
                <w:rFonts w:ascii="Times New Roman" w:eastAsia="Calibri" w:hAnsi="Times New Roman" w:cs="Arial"/>
                <w:sz w:val="18"/>
                <w:szCs w:val="18"/>
                <w:lang w:val="en-US"/>
              </w:rPr>
              <w:t>?</w:t>
            </w:r>
          </w:p>
        </w:tc>
      </w:tr>
      <w:tr w:rsidR="00BE5DAB" w:rsidRPr="00BE5DAB" w14:paraId="4668D8C2"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D3E250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904" w:type="dxa"/>
            <w:gridSpan w:val="3"/>
            <w:tcBorders>
              <w:top w:val="single" w:sz="4" w:space="0" w:color="auto"/>
              <w:left w:val="single" w:sz="4" w:space="0" w:color="auto"/>
              <w:bottom w:val="single" w:sz="4" w:space="0" w:color="auto"/>
              <w:right w:val="single" w:sz="4" w:space="0" w:color="auto"/>
            </w:tcBorders>
            <w:hideMark/>
          </w:tcPr>
          <w:p w14:paraId="641FF5E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Strongly agree</w:t>
            </w:r>
          </w:p>
        </w:tc>
        <w:tc>
          <w:tcPr>
            <w:tcW w:w="1789" w:type="dxa"/>
            <w:gridSpan w:val="4"/>
            <w:tcBorders>
              <w:top w:val="single" w:sz="4" w:space="0" w:color="auto"/>
              <w:left w:val="single" w:sz="4" w:space="0" w:color="auto"/>
              <w:bottom w:val="single" w:sz="4" w:space="0" w:color="auto"/>
              <w:right w:val="single" w:sz="4" w:space="0" w:color="auto"/>
            </w:tcBorders>
            <w:hideMark/>
          </w:tcPr>
          <w:p w14:paraId="392A8A9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Agree</w:t>
            </w:r>
          </w:p>
        </w:tc>
        <w:tc>
          <w:tcPr>
            <w:tcW w:w="1605" w:type="dxa"/>
            <w:gridSpan w:val="6"/>
            <w:tcBorders>
              <w:top w:val="single" w:sz="4" w:space="0" w:color="auto"/>
              <w:left w:val="single" w:sz="4" w:space="0" w:color="auto"/>
              <w:bottom w:val="single" w:sz="4" w:space="0" w:color="auto"/>
              <w:right w:val="single" w:sz="4" w:space="0" w:color="auto"/>
            </w:tcBorders>
            <w:hideMark/>
          </w:tcPr>
          <w:p w14:paraId="3014C377"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rPr>
              <w:t>D</w:t>
            </w:r>
            <w:proofErr w:type="spellStart"/>
            <w:r w:rsidRPr="00BE5DAB">
              <w:rPr>
                <w:rFonts w:ascii="Times New Roman" w:eastAsia="Calibri" w:hAnsi="Times New Roman" w:cs="Arial"/>
                <w:sz w:val="18"/>
                <w:szCs w:val="18"/>
                <w:lang w:val="en-US"/>
              </w:rPr>
              <w:t>isagree</w:t>
            </w:r>
            <w:proofErr w:type="spellEnd"/>
          </w:p>
        </w:tc>
        <w:tc>
          <w:tcPr>
            <w:tcW w:w="2145" w:type="dxa"/>
            <w:gridSpan w:val="3"/>
            <w:tcBorders>
              <w:top w:val="single" w:sz="4" w:space="0" w:color="auto"/>
              <w:left w:val="single" w:sz="4" w:space="0" w:color="auto"/>
              <w:bottom w:val="single" w:sz="4" w:space="0" w:color="auto"/>
              <w:right w:val="single" w:sz="4" w:space="0" w:color="auto"/>
            </w:tcBorders>
            <w:hideMark/>
          </w:tcPr>
          <w:p w14:paraId="279B6D92"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Strongly disagree</w:t>
            </w:r>
          </w:p>
        </w:tc>
        <w:tc>
          <w:tcPr>
            <w:tcW w:w="2271" w:type="dxa"/>
            <w:gridSpan w:val="3"/>
            <w:tcBorders>
              <w:top w:val="single" w:sz="4" w:space="0" w:color="auto"/>
              <w:left w:val="single" w:sz="4" w:space="0" w:color="auto"/>
              <w:bottom w:val="single" w:sz="4" w:space="0" w:color="auto"/>
              <w:right w:val="single" w:sz="4" w:space="0" w:color="auto"/>
            </w:tcBorders>
            <w:hideMark/>
          </w:tcPr>
          <w:p w14:paraId="10C73C8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Neither agree nor disagree</w:t>
            </w:r>
          </w:p>
        </w:tc>
      </w:tr>
      <w:tr w:rsidR="00BE5DAB" w:rsidRPr="00BE5DAB" w14:paraId="7668D542"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3F5077A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0D0AE7BC"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Does living abroad changed the participant’s buying habits?</w:t>
            </w:r>
          </w:p>
        </w:tc>
      </w:tr>
      <w:tr w:rsidR="00BE5DAB" w:rsidRPr="00BE5DAB" w14:paraId="3DBA1FCA"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2ECA4D7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4438" w:type="dxa"/>
            <w:gridSpan w:val="9"/>
            <w:tcBorders>
              <w:top w:val="single" w:sz="4" w:space="0" w:color="auto"/>
              <w:left w:val="single" w:sz="4" w:space="0" w:color="auto"/>
              <w:bottom w:val="single" w:sz="4" w:space="0" w:color="auto"/>
              <w:right w:val="single" w:sz="4" w:space="0" w:color="auto"/>
            </w:tcBorders>
            <w:hideMark/>
          </w:tcPr>
          <w:p w14:paraId="220BD92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Yes</w:t>
            </w:r>
          </w:p>
        </w:tc>
        <w:tc>
          <w:tcPr>
            <w:tcW w:w="5276" w:type="dxa"/>
            <w:gridSpan w:val="10"/>
            <w:tcBorders>
              <w:top w:val="single" w:sz="4" w:space="0" w:color="auto"/>
              <w:left w:val="single" w:sz="4" w:space="0" w:color="auto"/>
              <w:bottom w:val="single" w:sz="4" w:space="0" w:color="auto"/>
              <w:right w:val="single" w:sz="4" w:space="0" w:color="auto"/>
            </w:tcBorders>
            <w:hideMark/>
          </w:tcPr>
          <w:p w14:paraId="3B977D99"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No</w:t>
            </w:r>
          </w:p>
        </w:tc>
      </w:tr>
      <w:tr w:rsidR="00BE5DAB" w:rsidRPr="00BE5DAB" w14:paraId="5E4879F1" w14:textId="77777777" w:rsidTr="00BE5DAB">
        <w:trPr>
          <w:trHeight w:val="261"/>
          <w:jc w:val="center"/>
        </w:trPr>
        <w:tc>
          <w:tcPr>
            <w:tcW w:w="10349" w:type="dxa"/>
            <w:gridSpan w:val="20"/>
            <w:tcBorders>
              <w:top w:val="single" w:sz="4" w:space="0" w:color="auto"/>
              <w:left w:val="single" w:sz="4" w:space="0" w:color="auto"/>
              <w:bottom w:val="single" w:sz="4" w:space="0" w:color="auto"/>
              <w:right w:val="single" w:sz="4" w:space="0" w:color="auto"/>
            </w:tcBorders>
            <w:hideMark/>
          </w:tcPr>
          <w:p w14:paraId="28624D9E" w14:textId="77777777" w:rsidR="00BE5DAB" w:rsidRPr="00BE5DAB" w:rsidRDefault="00BE5DAB" w:rsidP="00BE5DAB">
            <w:pPr>
              <w:autoSpaceDE w:val="0"/>
              <w:autoSpaceDN w:val="0"/>
              <w:jc w:val="center"/>
              <w:rPr>
                <w:rFonts w:ascii="Times New Roman" w:eastAsia="Cambria" w:hAnsi="Times New Roman" w:cs="Arial"/>
                <w:b/>
                <w:bCs/>
                <w:sz w:val="18"/>
                <w:szCs w:val="18"/>
                <w:lang w:val="en-US"/>
              </w:rPr>
            </w:pPr>
            <w:r w:rsidRPr="00BE5DAB">
              <w:rPr>
                <w:rFonts w:ascii="Times New Roman" w:eastAsia="Cambria" w:hAnsi="Times New Roman" w:cs="Arial"/>
                <w:b/>
                <w:bCs/>
                <w:sz w:val="18"/>
                <w:szCs w:val="18"/>
                <w:lang w:val="en-US"/>
              </w:rPr>
              <w:t>Views of Participants Regarding Key Political and Religious Events</w:t>
            </w:r>
          </w:p>
        </w:tc>
      </w:tr>
      <w:tr w:rsidR="00BE5DAB" w:rsidRPr="00BE5DAB" w14:paraId="4B0413C2"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1D7B00B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2D686F5"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 xml:space="preserve">Have you ever boycotted a brand/company before? </w:t>
            </w:r>
          </w:p>
        </w:tc>
      </w:tr>
      <w:tr w:rsidR="00BE5DAB" w:rsidRPr="00BE5DAB" w14:paraId="37D6879C"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676E080"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4688" w:type="dxa"/>
            <w:gridSpan w:val="10"/>
            <w:tcBorders>
              <w:top w:val="single" w:sz="4" w:space="0" w:color="auto"/>
              <w:left w:val="single" w:sz="4" w:space="0" w:color="auto"/>
              <w:bottom w:val="single" w:sz="4" w:space="0" w:color="auto"/>
              <w:right w:val="single" w:sz="4" w:space="0" w:color="auto"/>
            </w:tcBorders>
            <w:hideMark/>
          </w:tcPr>
          <w:p w14:paraId="498F855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No</w:t>
            </w:r>
          </w:p>
        </w:tc>
        <w:tc>
          <w:tcPr>
            <w:tcW w:w="5026" w:type="dxa"/>
            <w:gridSpan w:val="9"/>
            <w:tcBorders>
              <w:top w:val="single" w:sz="4" w:space="0" w:color="auto"/>
              <w:left w:val="single" w:sz="4" w:space="0" w:color="auto"/>
              <w:bottom w:val="single" w:sz="4" w:space="0" w:color="auto"/>
              <w:right w:val="single" w:sz="4" w:space="0" w:color="auto"/>
            </w:tcBorders>
            <w:hideMark/>
          </w:tcPr>
          <w:p w14:paraId="21FB116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Yes</w:t>
            </w:r>
          </w:p>
        </w:tc>
      </w:tr>
      <w:tr w:rsidR="00BE5DAB" w:rsidRPr="00BE5DAB" w14:paraId="49BA4514"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3C1D4F8D"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4B81B2EE"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 xml:space="preserve">If the answer </w:t>
            </w:r>
            <w:proofErr w:type="spellStart"/>
            <w:r w:rsidRPr="00BE5DAB">
              <w:rPr>
                <w:rFonts w:ascii="Times New Roman" w:eastAsia="Cambria" w:hAnsi="Times New Roman" w:cs="Arial"/>
                <w:sz w:val="18"/>
                <w:szCs w:val="18"/>
                <w:lang w:val="en-US"/>
              </w:rPr>
              <w:t>if</w:t>
            </w:r>
            <w:proofErr w:type="spellEnd"/>
            <w:r w:rsidRPr="00BE5DAB">
              <w:rPr>
                <w:rFonts w:ascii="Times New Roman" w:eastAsia="Cambria" w:hAnsi="Times New Roman" w:cs="Arial"/>
                <w:sz w:val="18"/>
                <w:szCs w:val="18"/>
                <w:lang w:val="en-US"/>
              </w:rPr>
              <w:t xml:space="preserve"> yes, what is the reason for doing so?</w:t>
            </w:r>
          </w:p>
        </w:tc>
      </w:tr>
      <w:tr w:rsidR="00BE5DAB" w:rsidRPr="00BE5DAB" w14:paraId="66E37F3C"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vAlign w:val="center"/>
            <w:hideMark/>
          </w:tcPr>
          <w:p w14:paraId="09F8EA55"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653" w:type="dxa"/>
            <w:gridSpan w:val="2"/>
            <w:tcBorders>
              <w:top w:val="single" w:sz="4" w:space="0" w:color="auto"/>
              <w:left w:val="single" w:sz="4" w:space="0" w:color="auto"/>
              <w:bottom w:val="single" w:sz="4" w:space="0" w:color="auto"/>
              <w:right w:val="single" w:sz="4" w:space="0" w:color="auto"/>
            </w:tcBorders>
            <w:vAlign w:val="center"/>
            <w:hideMark/>
          </w:tcPr>
          <w:p w14:paraId="2D427F1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Environmental</w:t>
            </w:r>
          </w:p>
        </w:tc>
        <w:tc>
          <w:tcPr>
            <w:tcW w:w="2040" w:type="dxa"/>
            <w:gridSpan w:val="5"/>
            <w:tcBorders>
              <w:top w:val="single" w:sz="4" w:space="0" w:color="auto"/>
              <w:left w:val="single" w:sz="4" w:space="0" w:color="auto"/>
              <w:bottom w:val="single" w:sz="4" w:space="0" w:color="auto"/>
              <w:right w:val="single" w:sz="4" w:space="0" w:color="auto"/>
            </w:tcBorders>
            <w:vAlign w:val="center"/>
            <w:hideMark/>
          </w:tcPr>
          <w:p w14:paraId="6B1288BE" w14:textId="77777777" w:rsidR="00BE5DAB" w:rsidRPr="00BE5DAB" w:rsidRDefault="00BE5DAB" w:rsidP="00BE5DAB">
            <w:pPr>
              <w:autoSpaceDE w:val="0"/>
              <w:autoSpaceDN w:val="0"/>
              <w:jc w:val="center"/>
              <w:rPr>
                <w:rFonts w:ascii="Times New Roman" w:eastAsia="Cambria" w:hAnsi="Times New Roman" w:cs="Arial"/>
                <w:sz w:val="18"/>
                <w:szCs w:val="18"/>
              </w:rPr>
            </w:pPr>
            <w:r w:rsidRPr="00BE5DAB">
              <w:rPr>
                <w:rFonts w:ascii="Times New Roman" w:eastAsia="Cambria" w:hAnsi="Times New Roman" w:cs="Arial"/>
                <w:sz w:val="18"/>
                <w:szCs w:val="18"/>
              </w:rPr>
              <w:t>Ethical</w:t>
            </w:r>
          </w:p>
        </w:tc>
        <w:tc>
          <w:tcPr>
            <w:tcW w:w="1605" w:type="dxa"/>
            <w:gridSpan w:val="6"/>
            <w:tcBorders>
              <w:top w:val="single" w:sz="4" w:space="0" w:color="auto"/>
              <w:left w:val="single" w:sz="4" w:space="0" w:color="auto"/>
              <w:bottom w:val="single" w:sz="4" w:space="0" w:color="auto"/>
              <w:right w:val="single" w:sz="4" w:space="0" w:color="auto"/>
            </w:tcBorders>
            <w:vAlign w:val="center"/>
            <w:hideMark/>
          </w:tcPr>
          <w:p w14:paraId="4114D6BC"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War</w:t>
            </w:r>
          </w:p>
        </w:tc>
        <w:tc>
          <w:tcPr>
            <w:tcW w:w="2145" w:type="dxa"/>
            <w:gridSpan w:val="3"/>
            <w:tcBorders>
              <w:top w:val="single" w:sz="4" w:space="0" w:color="auto"/>
              <w:left w:val="single" w:sz="4" w:space="0" w:color="auto"/>
              <w:bottom w:val="single" w:sz="4" w:space="0" w:color="auto"/>
              <w:right w:val="single" w:sz="4" w:space="0" w:color="auto"/>
            </w:tcBorders>
            <w:vAlign w:val="center"/>
            <w:hideMark/>
          </w:tcPr>
          <w:p w14:paraId="577ED1EC" w14:textId="77777777" w:rsidR="00BE5DAB" w:rsidRPr="00BE5DAB" w:rsidRDefault="00BE5DAB" w:rsidP="00BE5DAB">
            <w:pPr>
              <w:autoSpaceDE w:val="0"/>
              <w:autoSpaceDN w:val="0"/>
              <w:jc w:val="center"/>
              <w:rPr>
                <w:rFonts w:ascii="Times New Roman" w:eastAsia="Cambria" w:hAnsi="Times New Roman" w:cs="Arial"/>
                <w:sz w:val="18"/>
                <w:szCs w:val="18"/>
              </w:rPr>
            </w:pPr>
            <w:r w:rsidRPr="00BE5DAB">
              <w:rPr>
                <w:rFonts w:ascii="Times New Roman" w:eastAsia="Cambria" w:hAnsi="Times New Roman" w:cs="Arial"/>
                <w:sz w:val="18"/>
                <w:szCs w:val="18"/>
              </w:rPr>
              <w:t>Political</w:t>
            </w:r>
          </w:p>
        </w:tc>
        <w:tc>
          <w:tcPr>
            <w:tcW w:w="2271" w:type="dxa"/>
            <w:gridSpan w:val="3"/>
            <w:tcBorders>
              <w:top w:val="single" w:sz="4" w:space="0" w:color="auto"/>
              <w:left w:val="single" w:sz="4" w:space="0" w:color="auto"/>
              <w:bottom w:val="single" w:sz="4" w:space="0" w:color="auto"/>
              <w:right w:val="single" w:sz="4" w:space="0" w:color="auto"/>
            </w:tcBorders>
            <w:vAlign w:val="center"/>
            <w:hideMark/>
          </w:tcPr>
          <w:p w14:paraId="37482C97" w14:textId="77777777" w:rsidR="00BE5DAB" w:rsidRPr="00BE5DAB" w:rsidRDefault="00BE5DAB" w:rsidP="00BE5DAB">
            <w:pPr>
              <w:autoSpaceDE w:val="0"/>
              <w:autoSpaceDN w:val="0"/>
              <w:jc w:val="center"/>
              <w:rPr>
                <w:rFonts w:ascii="Times New Roman" w:eastAsia="Cambria" w:hAnsi="Times New Roman" w:cs="Arial"/>
                <w:sz w:val="18"/>
                <w:szCs w:val="18"/>
              </w:rPr>
            </w:pPr>
            <w:r w:rsidRPr="00BE5DAB">
              <w:rPr>
                <w:rFonts w:ascii="Times New Roman" w:eastAsia="Cambria" w:hAnsi="Times New Roman" w:cs="Arial"/>
                <w:sz w:val="18"/>
                <w:szCs w:val="18"/>
              </w:rPr>
              <w:t>Religious</w:t>
            </w:r>
          </w:p>
        </w:tc>
      </w:tr>
      <w:tr w:rsidR="00BE5DAB" w:rsidRPr="00BE5DAB" w14:paraId="320B5431"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0950D98"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3137502B"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 xml:space="preserve">Does the participant think that political/religious conflicts could influence his/her consumer </w:t>
            </w:r>
            <w:proofErr w:type="spellStart"/>
            <w:r w:rsidRPr="00BE5DAB">
              <w:rPr>
                <w:rFonts w:ascii="Times New Roman" w:eastAsia="Calibri" w:hAnsi="Times New Roman" w:cs="Arial"/>
                <w:sz w:val="18"/>
                <w:szCs w:val="18"/>
                <w:lang w:val="en-US"/>
              </w:rPr>
              <w:t>behaviour</w:t>
            </w:r>
            <w:proofErr w:type="spellEnd"/>
            <w:r w:rsidRPr="00BE5DAB">
              <w:rPr>
                <w:rFonts w:ascii="Times New Roman" w:eastAsia="Calibri" w:hAnsi="Times New Roman" w:cs="Arial"/>
                <w:sz w:val="18"/>
                <w:szCs w:val="18"/>
                <w:lang w:val="en-US"/>
              </w:rPr>
              <w:t>?</w:t>
            </w:r>
          </w:p>
        </w:tc>
      </w:tr>
      <w:tr w:rsidR="00BE5DAB" w:rsidRPr="00BE5DAB" w14:paraId="2627928C"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77A9BC15"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1904" w:type="dxa"/>
            <w:gridSpan w:val="3"/>
            <w:tcBorders>
              <w:top w:val="single" w:sz="4" w:space="0" w:color="auto"/>
              <w:left w:val="single" w:sz="4" w:space="0" w:color="auto"/>
              <w:bottom w:val="single" w:sz="4" w:space="0" w:color="auto"/>
              <w:right w:val="single" w:sz="4" w:space="0" w:color="auto"/>
            </w:tcBorders>
            <w:hideMark/>
          </w:tcPr>
          <w:p w14:paraId="45A15B2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Strongly agree</w:t>
            </w:r>
          </w:p>
        </w:tc>
        <w:tc>
          <w:tcPr>
            <w:tcW w:w="1789" w:type="dxa"/>
            <w:gridSpan w:val="4"/>
            <w:tcBorders>
              <w:top w:val="single" w:sz="4" w:space="0" w:color="auto"/>
              <w:left w:val="single" w:sz="4" w:space="0" w:color="auto"/>
              <w:bottom w:val="single" w:sz="4" w:space="0" w:color="auto"/>
              <w:right w:val="single" w:sz="4" w:space="0" w:color="auto"/>
            </w:tcBorders>
            <w:hideMark/>
          </w:tcPr>
          <w:p w14:paraId="5A31D13C"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Agree</w:t>
            </w:r>
          </w:p>
        </w:tc>
        <w:tc>
          <w:tcPr>
            <w:tcW w:w="1605" w:type="dxa"/>
            <w:gridSpan w:val="6"/>
            <w:tcBorders>
              <w:top w:val="single" w:sz="4" w:space="0" w:color="auto"/>
              <w:left w:val="single" w:sz="4" w:space="0" w:color="auto"/>
              <w:bottom w:val="single" w:sz="4" w:space="0" w:color="auto"/>
              <w:right w:val="single" w:sz="4" w:space="0" w:color="auto"/>
            </w:tcBorders>
            <w:hideMark/>
          </w:tcPr>
          <w:p w14:paraId="4434D93E"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rPr>
              <w:t>D</w:t>
            </w:r>
            <w:proofErr w:type="spellStart"/>
            <w:r w:rsidRPr="00BE5DAB">
              <w:rPr>
                <w:rFonts w:ascii="Times New Roman" w:eastAsia="Calibri" w:hAnsi="Times New Roman" w:cs="Arial"/>
                <w:sz w:val="18"/>
                <w:szCs w:val="18"/>
                <w:lang w:val="en-US"/>
              </w:rPr>
              <w:t>isagree</w:t>
            </w:r>
            <w:proofErr w:type="spellEnd"/>
          </w:p>
        </w:tc>
        <w:tc>
          <w:tcPr>
            <w:tcW w:w="2145" w:type="dxa"/>
            <w:gridSpan w:val="3"/>
            <w:tcBorders>
              <w:top w:val="single" w:sz="4" w:space="0" w:color="auto"/>
              <w:left w:val="single" w:sz="4" w:space="0" w:color="auto"/>
              <w:bottom w:val="single" w:sz="4" w:space="0" w:color="auto"/>
              <w:right w:val="single" w:sz="4" w:space="0" w:color="auto"/>
            </w:tcBorders>
            <w:hideMark/>
          </w:tcPr>
          <w:p w14:paraId="3A7EEF53"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Strongly disagree</w:t>
            </w:r>
          </w:p>
        </w:tc>
        <w:tc>
          <w:tcPr>
            <w:tcW w:w="2271" w:type="dxa"/>
            <w:gridSpan w:val="3"/>
            <w:tcBorders>
              <w:top w:val="single" w:sz="4" w:space="0" w:color="auto"/>
              <w:left w:val="single" w:sz="4" w:space="0" w:color="auto"/>
              <w:bottom w:val="single" w:sz="4" w:space="0" w:color="auto"/>
              <w:right w:val="single" w:sz="4" w:space="0" w:color="auto"/>
            </w:tcBorders>
            <w:hideMark/>
          </w:tcPr>
          <w:p w14:paraId="32B007CA"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libri" w:hAnsi="Times New Roman" w:cs="Arial"/>
                <w:sz w:val="18"/>
                <w:szCs w:val="18"/>
                <w:lang w:val="en-US"/>
              </w:rPr>
              <w:t>Neither agree nor disagree</w:t>
            </w:r>
          </w:p>
        </w:tc>
      </w:tr>
      <w:tr w:rsidR="00BE5DAB" w:rsidRPr="00BE5DAB" w14:paraId="78B816A3"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572DC73F"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Q</w:t>
            </w:r>
          </w:p>
        </w:tc>
        <w:tc>
          <w:tcPr>
            <w:tcW w:w="9714" w:type="dxa"/>
            <w:gridSpan w:val="19"/>
            <w:tcBorders>
              <w:top w:val="single" w:sz="4" w:space="0" w:color="auto"/>
              <w:left w:val="single" w:sz="4" w:space="0" w:color="auto"/>
              <w:bottom w:val="single" w:sz="4" w:space="0" w:color="auto"/>
              <w:right w:val="single" w:sz="4" w:space="0" w:color="auto"/>
            </w:tcBorders>
            <w:hideMark/>
          </w:tcPr>
          <w:p w14:paraId="1241932E" w14:textId="77777777" w:rsidR="00BE5DAB" w:rsidRPr="00BE5DAB" w:rsidRDefault="00BE5DAB" w:rsidP="00BE5DAB">
            <w:pPr>
              <w:autoSpaceDE w:val="0"/>
              <w:autoSpaceDN w:val="0"/>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Does the participant think that political/religious conflicts could lead him/her to be boycott/loyal to a certain brand/company?</w:t>
            </w:r>
          </w:p>
        </w:tc>
      </w:tr>
      <w:tr w:rsidR="00BE5DAB" w:rsidRPr="00BE5DAB" w14:paraId="6A0E925C" w14:textId="77777777" w:rsidTr="00BE5DAB">
        <w:trPr>
          <w:trHeight w:val="261"/>
          <w:jc w:val="center"/>
        </w:trPr>
        <w:tc>
          <w:tcPr>
            <w:tcW w:w="635" w:type="dxa"/>
            <w:tcBorders>
              <w:top w:val="single" w:sz="4" w:space="0" w:color="auto"/>
              <w:left w:val="single" w:sz="4" w:space="0" w:color="auto"/>
              <w:bottom w:val="single" w:sz="4" w:space="0" w:color="auto"/>
              <w:right w:val="single" w:sz="4" w:space="0" w:color="auto"/>
            </w:tcBorders>
            <w:hideMark/>
          </w:tcPr>
          <w:p w14:paraId="49495DA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A</w:t>
            </w:r>
          </w:p>
        </w:tc>
        <w:tc>
          <w:tcPr>
            <w:tcW w:w="2813" w:type="dxa"/>
            <w:gridSpan w:val="5"/>
            <w:tcBorders>
              <w:top w:val="single" w:sz="4" w:space="0" w:color="auto"/>
              <w:left w:val="single" w:sz="4" w:space="0" w:color="auto"/>
              <w:bottom w:val="single" w:sz="4" w:space="0" w:color="auto"/>
              <w:right w:val="single" w:sz="4" w:space="0" w:color="auto"/>
            </w:tcBorders>
            <w:vAlign w:val="center"/>
            <w:hideMark/>
          </w:tcPr>
          <w:p w14:paraId="1E99D16B"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Yes</w:t>
            </w:r>
          </w:p>
        </w:tc>
        <w:tc>
          <w:tcPr>
            <w:tcW w:w="3570" w:type="dxa"/>
            <w:gridSpan w:val="9"/>
            <w:tcBorders>
              <w:top w:val="single" w:sz="4" w:space="0" w:color="auto"/>
              <w:left w:val="single" w:sz="4" w:space="0" w:color="auto"/>
              <w:bottom w:val="single" w:sz="4" w:space="0" w:color="auto"/>
              <w:right w:val="single" w:sz="4" w:space="0" w:color="auto"/>
            </w:tcBorders>
            <w:vAlign w:val="center"/>
            <w:hideMark/>
          </w:tcPr>
          <w:p w14:paraId="0E03A6E1"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No</w:t>
            </w:r>
          </w:p>
        </w:tc>
        <w:tc>
          <w:tcPr>
            <w:tcW w:w="3331" w:type="dxa"/>
            <w:gridSpan w:val="5"/>
            <w:tcBorders>
              <w:top w:val="single" w:sz="4" w:space="0" w:color="auto"/>
              <w:left w:val="single" w:sz="4" w:space="0" w:color="auto"/>
              <w:bottom w:val="single" w:sz="4" w:space="0" w:color="auto"/>
              <w:right w:val="single" w:sz="4" w:space="0" w:color="auto"/>
            </w:tcBorders>
            <w:vAlign w:val="center"/>
            <w:hideMark/>
          </w:tcPr>
          <w:p w14:paraId="3D25B146" w14:textId="77777777" w:rsidR="00BE5DAB" w:rsidRPr="00BE5DAB" w:rsidRDefault="00BE5DAB" w:rsidP="00BE5DAB">
            <w:pPr>
              <w:autoSpaceDE w:val="0"/>
              <w:autoSpaceDN w:val="0"/>
              <w:jc w:val="center"/>
              <w:rPr>
                <w:rFonts w:ascii="Times New Roman" w:eastAsia="Cambria" w:hAnsi="Times New Roman" w:cs="Arial"/>
                <w:sz w:val="18"/>
                <w:szCs w:val="18"/>
                <w:lang w:val="en-US"/>
              </w:rPr>
            </w:pPr>
            <w:r w:rsidRPr="00BE5DAB">
              <w:rPr>
                <w:rFonts w:ascii="Times New Roman" w:eastAsia="Cambria" w:hAnsi="Times New Roman" w:cs="Arial"/>
                <w:sz w:val="18"/>
                <w:szCs w:val="18"/>
                <w:lang w:val="en-US"/>
              </w:rPr>
              <w:t>Depends on the conflict</w:t>
            </w:r>
          </w:p>
        </w:tc>
      </w:tr>
    </w:tbl>
    <w:p w14:paraId="4C11BBA6" w14:textId="77777777" w:rsidR="00BE5DAB" w:rsidRPr="00BE5DAB" w:rsidRDefault="00BE5DAB" w:rsidP="00BE5DAB">
      <w:pPr>
        <w:widowControl w:val="0"/>
        <w:autoSpaceDE w:val="0"/>
        <w:autoSpaceDN w:val="0"/>
        <w:spacing w:after="0" w:line="240" w:lineRule="auto"/>
        <w:rPr>
          <w:rFonts w:ascii="Times New Roman" w:eastAsia="Cambria" w:hAnsi="Times New Roman" w:cs="Times New Roman"/>
          <w:lang w:val="en-US"/>
        </w:rPr>
      </w:pPr>
    </w:p>
    <w:p w14:paraId="5F589C2E" w14:textId="77777777" w:rsidR="00BE5DAB" w:rsidRPr="00BE5DAB" w:rsidRDefault="00BE5DAB" w:rsidP="00BE5DAB">
      <w:pPr>
        <w:spacing w:line="256" w:lineRule="auto"/>
        <w:rPr>
          <w:rFonts w:ascii="Times New Roman" w:eastAsia="Calibri" w:hAnsi="Times New Roman" w:cs="Times New Roman"/>
        </w:rPr>
      </w:pPr>
    </w:p>
    <w:p w14:paraId="35BA8A90" w14:textId="77777777" w:rsidR="0061719E" w:rsidRDefault="0061719E"/>
    <w:sectPr w:rsidR="00617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NewRomanMTStd">
    <w:altName w:val="Malgun Gothic"/>
    <w:charset w:val="81"/>
    <w:family w:val="roman"/>
    <w:pitch w:val="default"/>
    <w:sig w:usb0="00000000" w:usb1="00000000" w:usb2="00000000" w:usb3="00000000" w:csb0="0008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BD35D25"/>
    <w:multiLevelType w:val="multilevel"/>
    <w:tmpl w:val="8BD35D25"/>
    <w:lvl w:ilvl="0">
      <w:start w:val="2"/>
      <w:numFmt w:val="decimal"/>
      <w:suff w:val="space"/>
      <w:lvlText w:val="%1."/>
      <w:lvlJc w:val="left"/>
      <w:pPr>
        <w:ind w:left="0" w:firstLine="0"/>
      </w:pPr>
      <w:rPr>
        <w:rFonts w:ascii="SimSun" w:eastAsia="SimSun" w:hAnsi="SimSun" w:cs="SimSun" w:hint="eastAsia"/>
      </w:rPr>
    </w:lvl>
    <w:lvl w:ilvl="1">
      <w:start w:val="1"/>
      <w:numFmt w:val="decimal"/>
      <w:suff w:val="space"/>
      <w:lvlText w:val="%1.%2."/>
      <w:lvlJc w:val="left"/>
      <w:pPr>
        <w:tabs>
          <w:tab w:val="left" w:pos="0"/>
        </w:tabs>
        <w:ind w:left="0" w:firstLine="0"/>
      </w:pPr>
      <w:rPr>
        <w:rFonts w:ascii="Times New Roman" w:eastAsia="SimSun" w:hAnsi="Times New Roman" w:cs="Times New Roman" w:hint="default"/>
      </w:r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1" w15:restartNumberingAfterBreak="0">
    <w:nsid w:val="9ECFAB1B"/>
    <w:multiLevelType w:val="multilevel"/>
    <w:tmpl w:val="9ECFAB1B"/>
    <w:lvl w:ilvl="0">
      <w:start w:val="3"/>
      <w:numFmt w:val="decimal"/>
      <w:suff w:val="space"/>
      <w:lvlText w:val="%1."/>
      <w:lvlJc w:val="left"/>
      <w:pPr>
        <w:ind w:left="0" w:firstLine="0"/>
      </w:pPr>
      <w:rPr>
        <w:rFonts w:ascii="SimSun" w:eastAsia="SimSun" w:hAnsi="SimSun" w:cs="SimSun" w:hint="eastAsia"/>
      </w:rPr>
    </w:lvl>
    <w:lvl w:ilvl="1">
      <w:start w:val="1"/>
      <w:numFmt w:val="decimal"/>
      <w:suff w:val="space"/>
      <w:lvlText w:val="%1.%2."/>
      <w:lvlJc w:val="left"/>
      <w:pPr>
        <w:tabs>
          <w:tab w:val="left" w:pos="0"/>
        </w:tabs>
        <w:ind w:left="0" w:firstLine="0"/>
      </w:pPr>
      <w:rPr>
        <w:rFonts w:ascii="Times New Roman" w:eastAsia="SimSun" w:hAnsi="Times New Roman" w:cs="Times New Roman" w:hint="default"/>
      </w:r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2" w15:restartNumberingAfterBreak="0">
    <w:nsid w:val="A169A5D4"/>
    <w:multiLevelType w:val="multilevel"/>
    <w:tmpl w:val="A169A5D4"/>
    <w:lvl w:ilvl="0">
      <w:start w:val="4"/>
      <w:numFmt w:val="decimal"/>
      <w:suff w:val="space"/>
      <w:lvlText w:val="%1."/>
      <w:lvlJc w:val="left"/>
      <w:pPr>
        <w:ind w:left="0" w:firstLine="0"/>
      </w:pPr>
      <w:rPr>
        <w:rFonts w:ascii="SimSun" w:eastAsia="SimSun" w:hAnsi="SimSun" w:cs="SimSun" w:hint="eastAsia"/>
      </w:rPr>
    </w:lvl>
    <w:lvl w:ilvl="1">
      <w:numFmt w:val="decimal"/>
      <w:suff w:val="space"/>
      <w:lvlText w:val="%1.%2."/>
      <w:lvlJc w:val="left"/>
      <w:pPr>
        <w:tabs>
          <w:tab w:val="left" w:pos="0"/>
        </w:tabs>
        <w:ind w:left="0" w:firstLine="0"/>
      </w:pPr>
      <w:rPr>
        <w:rFonts w:ascii="Times New Roman" w:eastAsia="SimSun" w:hAnsi="Times New Roman" w:cs="Times New Roman" w:hint="default"/>
      </w:rPr>
    </w:lvl>
    <w:lvl w:ilvl="2">
      <w:start w:val="1"/>
      <w:numFmt w:val="decimal"/>
      <w:suff w:val="space"/>
      <w:lvlText w:val="%1.%2.%3."/>
      <w:lvlJc w:val="left"/>
      <w:pPr>
        <w:ind w:left="0" w:firstLine="0"/>
      </w:pPr>
      <w:rPr>
        <w:b/>
        <w:bCs/>
      </w:r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3" w15:restartNumberingAfterBreak="0">
    <w:nsid w:val="1F78050A"/>
    <w:multiLevelType w:val="multilevel"/>
    <w:tmpl w:val="1F78050A"/>
    <w:lvl w:ilvl="0">
      <w:start w:val="5"/>
      <w:numFmt w:val="decimal"/>
      <w:suff w:val="space"/>
      <w:lvlText w:val="%1."/>
      <w:lvlJc w:val="left"/>
      <w:pPr>
        <w:ind w:left="0" w:firstLine="0"/>
      </w:pPr>
      <w:rPr>
        <w:rFonts w:ascii="SimSun" w:eastAsia="SimSun" w:hAnsi="SimSun" w:cs="SimSun" w:hint="eastAsia"/>
      </w:rPr>
    </w:lvl>
    <w:lvl w:ilvl="1">
      <w:start w:val="1"/>
      <w:numFmt w:val="decimal"/>
      <w:suff w:val="space"/>
      <w:lvlText w:val="%1.%2."/>
      <w:lvlJc w:val="left"/>
      <w:pPr>
        <w:tabs>
          <w:tab w:val="left" w:pos="0"/>
        </w:tabs>
        <w:ind w:left="0" w:firstLine="0"/>
      </w:pPr>
      <w:rPr>
        <w:rFonts w:ascii="Times New Roman" w:eastAsia="SimSun" w:hAnsi="Times New Roman" w:cs="Times New Roman" w:hint="default"/>
      </w:r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4" w15:restartNumberingAfterBreak="0">
    <w:nsid w:val="44242CD3"/>
    <w:multiLevelType w:val="multilevel"/>
    <w:tmpl w:val="44242CD3"/>
    <w:lvl w:ilvl="0">
      <w:start w:val="1"/>
      <w:numFmt w:val="decimal"/>
      <w:suff w:val="space"/>
      <w:lvlText w:val="%1."/>
      <w:lvlJc w:val="left"/>
      <w:pPr>
        <w:ind w:left="0" w:firstLine="0"/>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5" w15:restartNumberingAfterBreak="0">
    <w:nsid w:val="7716F66D"/>
    <w:multiLevelType w:val="multilevel"/>
    <w:tmpl w:val="7716F66D"/>
    <w:lvl w:ilvl="0">
      <w:start w:val="3"/>
      <w:numFmt w:val="decimal"/>
      <w:suff w:val="space"/>
      <w:lvlText w:val="%1."/>
      <w:lvlJc w:val="left"/>
      <w:pPr>
        <w:ind w:left="0" w:firstLine="0"/>
      </w:pPr>
      <w:rPr>
        <w:rFonts w:ascii="SimSun" w:eastAsia="SimSun" w:hAnsi="SimSun" w:cs="SimSun" w:hint="eastAsia"/>
      </w:rPr>
    </w:lvl>
    <w:lvl w:ilvl="1">
      <w:start w:val="1"/>
      <w:numFmt w:val="decimal"/>
      <w:suff w:val="space"/>
      <w:lvlText w:val="%1.%2."/>
      <w:lvlJc w:val="left"/>
      <w:pPr>
        <w:tabs>
          <w:tab w:val="left" w:pos="0"/>
        </w:tabs>
        <w:ind w:left="0" w:firstLine="0"/>
      </w:pPr>
    </w:lvl>
    <w:lvl w:ilvl="2">
      <w:start w:val="1"/>
      <w:numFmt w:val="decimal"/>
      <w:suff w:val="space"/>
      <w:lvlText w:val="%1.%2.%3."/>
      <w:lvlJc w:val="left"/>
      <w:pPr>
        <w:ind w:left="0" w:firstLine="0"/>
      </w:pPr>
      <w:rPr>
        <w:b/>
        <w:bCs/>
        <w:highlight w:val="none"/>
      </w:r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2"/>
    <w:lvlOverride w:ilvl="0">
      <w:startOverride w:val="4"/>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num>
  <w:num w:numId="13">
    <w:abstractNumId w:val="3"/>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19E"/>
    <w:rsid w:val="001470E9"/>
    <w:rsid w:val="0061719E"/>
    <w:rsid w:val="00833529"/>
    <w:rsid w:val="00BD6BEC"/>
    <w:rsid w:val="00BE5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5EC3D076"/>
  <w15:chartTrackingRefBased/>
  <w15:docId w15:val="{8B4640AA-DFC2-4F3C-9A5E-6BE9699F5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E5DAB"/>
    <w:pPr>
      <w:spacing w:before="14" w:after="14" w:line="324" w:lineRule="atLeast"/>
      <w:outlineLvl w:val="1"/>
    </w:pPr>
    <w:rPr>
      <w:rFonts w:ascii="Calibri" w:eastAsia="Times New Roman" w:hAnsi="Calibri" w:cs="Arial"/>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BE5DAB"/>
    <w:rPr>
      <w:rFonts w:ascii="Calibri" w:eastAsia="Times New Roman" w:hAnsi="Calibri" w:cs="Arial"/>
      <w:b/>
      <w:bCs/>
      <w:sz w:val="27"/>
      <w:szCs w:val="27"/>
    </w:rPr>
  </w:style>
  <w:style w:type="numbering" w:customStyle="1" w:styleId="NoList1">
    <w:name w:val="No List1"/>
    <w:next w:val="NoList"/>
    <w:uiPriority w:val="99"/>
    <w:semiHidden/>
    <w:unhideWhenUsed/>
    <w:rsid w:val="00BE5DAB"/>
  </w:style>
  <w:style w:type="character" w:styleId="Hyperlink">
    <w:name w:val="Hyperlink"/>
    <w:basedOn w:val="DefaultParagraphFont"/>
    <w:semiHidden/>
    <w:unhideWhenUsed/>
    <w:qFormat/>
    <w:rsid w:val="00BE5DAB"/>
    <w:rPr>
      <w:color w:val="0000FF"/>
      <w:u w:val="single"/>
    </w:rPr>
  </w:style>
  <w:style w:type="character" w:customStyle="1" w:styleId="FollowedHyperlink1">
    <w:name w:val="FollowedHyperlink1"/>
    <w:basedOn w:val="DefaultParagraphFont"/>
    <w:uiPriority w:val="99"/>
    <w:semiHidden/>
    <w:unhideWhenUsed/>
    <w:qFormat/>
    <w:rsid w:val="00BE5DAB"/>
    <w:rPr>
      <w:color w:val="000000"/>
      <w:u w:val="single"/>
    </w:rPr>
  </w:style>
  <w:style w:type="paragraph" w:customStyle="1" w:styleId="msonormal0">
    <w:name w:val="msonormal"/>
    <w:basedOn w:val="Normal"/>
    <w:qFormat/>
    <w:rsid w:val="00BE5D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qFormat/>
    <w:rsid w:val="00BE5DAB"/>
    <w:pPr>
      <w:spacing w:before="120" w:after="120" w:line="256" w:lineRule="auto"/>
    </w:pPr>
    <w:rPr>
      <w:rFonts w:ascii="Calibri" w:eastAsia="Calibri" w:hAnsi="Calibri" w:cs="Arial"/>
      <w:b/>
      <w:caps/>
      <w:sz w:val="24"/>
    </w:rPr>
  </w:style>
  <w:style w:type="paragraph" w:styleId="TOC2">
    <w:name w:val="toc 2"/>
    <w:basedOn w:val="Normal"/>
    <w:next w:val="Normal"/>
    <w:autoRedefine/>
    <w:uiPriority w:val="39"/>
    <w:semiHidden/>
    <w:unhideWhenUsed/>
    <w:qFormat/>
    <w:rsid w:val="00BE5DAB"/>
    <w:pPr>
      <w:spacing w:before="120" w:after="100" w:line="256" w:lineRule="auto"/>
      <w:ind w:left="198" w:right="567"/>
    </w:pPr>
    <w:rPr>
      <w:rFonts w:ascii="Calibri" w:eastAsia="Calibri" w:hAnsi="Calibri" w:cs="Arial"/>
      <w:sz w:val="24"/>
    </w:rPr>
  </w:style>
  <w:style w:type="paragraph" w:styleId="TOC9">
    <w:name w:val="toc 9"/>
    <w:basedOn w:val="Normal"/>
    <w:next w:val="Normal"/>
    <w:autoRedefine/>
    <w:uiPriority w:val="39"/>
    <w:semiHidden/>
    <w:unhideWhenUsed/>
    <w:qFormat/>
    <w:rsid w:val="00BE5DAB"/>
    <w:pPr>
      <w:spacing w:before="120" w:after="120" w:line="256" w:lineRule="auto"/>
    </w:pPr>
    <w:rPr>
      <w:rFonts w:ascii="Calibri" w:eastAsia="Calibri" w:hAnsi="Calibri" w:cs="Arial"/>
      <w:sz w:val="24"/>
    </w:rPr>
  </w:style>
  <w:style w:type="paragraph" w:styleId="Header">
    <w:name w:val="header"/>
    <w:basedOn w:val="Normal"/>
    <w:link w:val="HeaderChar"/>
    <w:uiPriority w:val="99"/>
    <w:semiHidden/>
    <w:unhideWhenUsed/>
    <w:qFormat/>
    <w:rsid w:val="00BE5DAB"/>
    <w:pPr>
      <w:tabs>
        <w:tab w:val="center" w:pos="4153"/>
        <w:tab w:val="right" w:pos="8306"/>
      </w:tabs>
      <w:snapToGrid w:val="0"/>
      <w:spacing w:line="256" w:lineRule="auto"/>
    </w:pPr>
    <w:rPr>
      <w:rFonts w:ascii="Calibri" w:eastAsia="Calibri" w:hAnsi="Calibri" w:cs="Arial"/>
      <w:sz w:val="18"/>
      <w:szCs w:val="18"/>
    </w:rPr>
  </w:style>
  <w:style w:type="character" w:customStyle="1" w:styleId="HeaderChar">
    <w:name w:val="Header Char"/>
    <w:basedOn w:val="DefaultParagraphFont"/>
    <w:link w:val="Header"/>
    <w:uiPriority w:val="99"/>
    <w:semiHidden/>
    <w:rsid w:val="00BE5DAB"/>
    <w:rPr>
      <w:rFonts w:ascii="Calibri" w:eastAsia="Calibri" w:hAnsi="Calibri" w:cs="Arial"/>
      <w:sz w:val="18"/>
      <w:szCs w:val="18"/>
    </w:rPr>
  </w:style>
  <w:style w:type="paragraph" w:styleId="Footer">
    <w:name w:val="footer"/>
    <w:basedOn w:val="Normal"/>
    <w:link w:val="FooterChar"/>
    <w:uiPriority w:val="99"/>
    <w:semiHidden/>
    <w:unhideWhenUsed/>
    <w:qFormat/>
    <w:rsid w:val="00BE5DAB"/>
    <w:pPr>
      <w:widowControl w:val="0"/>
      <w:tabs>
        <w:tab w:val="center" w:pos="4513"/>
        <w:tab w:val="right" w:pos="9026"/>
      </w:tabs>
      <w:autoSpaceDE w:val="0"/>
      <w:autoSpaceDN w:val="0"/>
      <w:spacing w:after="0" w:line="240" w:lineRule="auto"/>
    </w:pPr>
    <w:rPr>
      <w:rFonts w:ascii="Cambria" w:eastAsia="Cambria" w:hAnsi="Cambria" w:cs="Cambria"/>
      <w:lang w:val="en-US"/>
    </w:rPr>
  </w:style>
  <w:style w:type="character" w:customStyle="1" w:styleId="FooterChar">
    <w:name w:val="Footer Char"/>
    <w:basedOn w:val="DefaultParagraphFont"/>
    <w:link w:val="Footer"/>
    <w:uiPriority w:val="99"/>
    <w:semiHidden/>
    <w:qFormat/>
    <w:rsid w:val="00BE5DAB"/>
    <w:rPr>
      <w:rFonts w:ascii="Cambria" w:eastAsia="Cambria" w:hAnsi="Cambria" w:cs="Cambria"/>
      <w:lang w:val="en-US"/>
    </w:rPr>
  </w:style>
  <w:style w:type="paragraph" w:styleId="BodyText">
    <w:name w:val="Body Text"/>
    <w:basedOn w:val="Normal"/>
    <w:link w:val="BodyTextChar"/>
    <w:uiPriority w:val="1"/>
    <w:semiHidden/>
    <w:unhideWhenUsed/>
    <w:qFormat/>
    <w:rsid w:val="00BE5DAB"/>
    <w:pPr>
      <w:widowControl w:val="0"/>
      <w:autoSpaceDE w:val="0"/>
      <w:autoSpaceDN w:val="0"/>
      <w:spacing w:after="0" w:line="240" w:lineRule="auto"/>
      <w:jc w:val="both"/>
    </w:pPr>
    <w:rPr>
      <w:rFonts w:ascii="Cambria" w:eastAsia="Cambria" w:hAnsi="Cambria" w:cs="Cambria"/>
      <w:sz w:val="24"/>
      <w:szCs w:val="24"/>
      <w:lang w:val="en-US"/>
    </w:rPr>
  </w:style>
  <w:style w:type="character" w:customStyle="1" w:styleId="BodyTextChar">
    <w:name w:val="Body Text Char"/>
    <w:basedOn w:val="DefaultParagraphFont"/>
    <w:link w:val="BodyText"/>
    <w:uiPriority w:val="1"/>
    <w:semiHidden/>
    <w:qFormat/>
    <w:rsid w:val="00BE5DAB"/>
    <w:rPr>
      <w:rFonts w:ascii="Cambria" w:eastAsia="Cambria" w:hAnsi="Cambria" w:cs="Cambria"/>
      <w:sz w:val="24"/>
      <w:szCs w:val="24"/>
      <w:lang w:val="en-US"/>
    </w:rPr>
  </w:style>
  <w:style w:type="paragraph" w:customStyle="1" w:styleId="Default">
    <w:name w:val="Default"/>
    <w:qFormat/>
    <w:rsid w:val="00BE5DAB"/>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customStyle="1" w:styleId="ListParagraph1">
    <w:name w:val="List Paragraph1"/>
    <w:basedOn w:val="Normal"/>
    <w:uiPriority w:val="34"/>
    <w:qFormat/>
    <w:rsid w:val="00BE5DAB"/>
    <w:pPr>
      <w:widowControl w:val="0"/>
      <w:autoSpaceDE w:val="0"/>
      <w:autoSpaceDN w:val="0"/>
      <w:spacing w:after="0" w:line="252" w:lineRule="auto"/>
      <w:ind w:left="720"/>
      <w:contextualSpacing/>
    </w:pPr>
    <w:rPr>
      <w:rFonts w:ascii="Cambria" w:eastAsia="Cambria" w:hAnsi="Cambria" w:cs="Cambria"/>
      <w:lang w:val="en-US"/>
    </w:rPr>
  </w:style>
  <w:style w:type="table" w:styleId="TableGrid">
    <w:name w:val="Table Grid"/>
    <w:basedOn w:val="TableNormal"/>
    <w:qFormat/>
    <w:rsid w:val="00BE5DAB"/>
    <w:pPr>
      <w:widowControl w:val="0"/>
      <w:spacing w:after="0" w:line="240" w:lineRule="auto"/>
      <w:jc w:val="both"/>
    </w:pPr>
    <w:rPr>
      <w:rFonts w:ascii="Calibri" w:eastAsia="SimSun"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5DAB"/>
    <w:rPr>
      <w:color w:val="954F72" w:themeColor="followedHyperlink"/>
      <w:u w:val="single"/>
    </w:rPr>
  </w:style>
  <w:style w:type="paragraph" w:styleId="NoSpacing">
    <w:name w:val="No Spacing"/>
    <w:link w:val="NoSpacingChar"/>
    <w:uiPriority w:val="1"/>
    <w:qFormat/>
    <w:rsid w:val="00BE5D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5D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29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osama\AppData\Local\Packages\microsoft.windowscommunicationsapps_8wekyb3d8bbwe\LocalState\Files\S0\3\Attachments\Osama%20-%20Dissertation%5b5854%5d.docx" TargetMode="External"/><Relationship Id="rId18" Type="http://schemas.openxmlformats.org/officeDocument/2006/relationships/hyperlink" Target="file:///C:\Users\osama\AppData\Local\Packages\microsoft.windowscommunicationsapps_8wekyb3d8bbwe\LocalState\Files\S0\3\Attachments\Osama%20-%20Dissertation%5b5854%5d.docx" TargetMode="External"/><Relationship Id="rId26" Type="http://schemas.openxmlformats.org/officeDocument/2006/relationships/hyperlink" Target="file:///C:\Users\osama\AppData\Local\Packages\microsoft.windowscommunicationsapps_8wekyb3d8bbwe\LocalState\Files\S0\3\Attachments\Osama%20-%20Dissertation%5b5854%5d.docx" TargetMode="External"/><Relationship Id="rId39" Type="http://schemas.openxmlformats.org/officeDocument/2006/relationships/image" Target="media/image6.png"/><Relationship Id="rId21" Type="http://schemas.openxmlformats.org/officeDocument/2006/relationships/hyperlink" Target="file:///C:\Users\osama\AppData\Local\Packages\microsoft.windowscommunicationsapps_8wekyb3d8bbwe\LocalState\Files\S0\3\Attachments\Osama%20-%20Dissertation%5b5854%5d.docx" TargetMode="External"/><Relationship Id="rId34" Type="http://schemas.openxmlformats.org/officeDocument/2006/relationships/hyperlink" Target="about:blank"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hyperlink" Target="about:blank" TargetMode="External"/><Relationship Id="rId68" Type="http://schemas.openxmlformats.org/officeDocument/2006/relationships/hyperlink" Target="about:blank" TargetMode="External"/><Relationship Id="rId7" Type="http://schemas.openxmlformats.org/officeDocument/2006/relationships/image" Target="media/image1.png"/><Relationship Id="rId71"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file:///C:\Users\osama\AppData\Local\Packages\microsoft.windowscommunicationsapps_8wekyb3d8bbwe\LocalState\Files\S0\3\Attachments\Osama%20-%20Dissertation%5b5854%5d.docx" TargetMode="External"/><Relationship Id="rId29" Type="http://schemas.openxmlformats.org/officeDocument/2006/relationships/hyperlink" Target="file:///C:\Users\osama\AppData\Local\Packages\microsoft.windowscommunicationsapps_8wekyb3d8bbwe\LocalState\Files\S0\3\Attachments\Osama%20-%20Dissertation%5b5854%5d.docx" TargetMode="External"/><Relationship Id="rId11" Type="http://schemas.openxmlformats.org/officeDocument/2006/relationships/hyperlink" Target="file:///C:\Users\osama\AppData\Local\Packages\microsoft.windowscommunicationsapps_8wekyb3d8bbwe\LocalState\Files\S0\3\Attachments\Osama%20-%20Dissertation%5b5854%5d.docx" TargetMode="External"/><Relationship Id="rId24" Type="http://schemas.openxmlformats.org/officeDocument/2006/relationships/hyperlink" Target="file:///C:\Users\osama\AppData\Local\Packages\microsoft.windowscommunicationsapps_8wekyb3d8bbwe\LocalState\Files\S0\3\Attachments\Osama%20-%20Dissertation%5b5854%5d.docx" TargetMode="External"/><Relationship Id="rId32" Type="http://schemas.openxmlformats.org/officeDocument/2006/relationships/hyperlink" Target="file:///C:\Users\osama\AppData\Local\Packages\microsoft.windowscommunicationsapps_8wekyb3d8bbwe\LocalState\Files\S0\3\Attachments\Osama%20-%20Dissertation%5b5854%5d.docx"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hyperlink" Target="about:blank" TargetMode="External"/><Relationship Id="rId66" Type="http://schemas.openxmlformats.org/officeDocument/2006/relationships/hyperlink" Target="https://www.pewforum.org/wp-content/uploads/sites/7/2017/11/FULL-REPORT-FOR-WEB-POSTING.pdf" TargetMode="External"/><Relationship Id="rId5" Type="http://schemas.openxmlformats.org/officeDocument/2006/relationships/settings" Target="settings.xml"/><Relationship Id="rId15" Type="http://schemas.openxmlformats.org/officeDocument/2006/relationships/hyperlink" Target="file:///C:\Users\osama\AppData\Local\Packages\microsoft.windowscommunicationsapps_8wekyb3d8bbwe\LocalState\Files\S0\3\Attachments\Osama%20-%20Dissertation%5b5854%5d.docx" TargetMode="External"/><Relationship Id="rId23" Type="http://schemas.openxmlformats.org/officeDocument/2006/relationships/hyperlink" Target="file:///C:\Users\osama\AppData\Local\Packages\microsoft.windowscommunicationsapps_8wekyb3d8bbwe\LocalState\Files\S0\3\Attachments\Osama%20-%20Dissertation%5b5854%5d.docx" TargetMode="External"/><Relationship Id="rId28" Type="http://schemas.openxmlformats.org/officeDocument/2006/relationships/hyperlink" Target="file:///C:\Users\osama\AppData\Local\Packages\microsoft.windowscommunicationsapps_8wekyb3d8bbwe\LocalState\Files\S0\3\Attachments\Osama%20-%20Dissertation%5b5854%5d.docx" TargetMode="External"/><Relationship Id="rId36" Type="http://schemas.openxmlformats.org/officeDocument/2006/relationships/image" Target="media/image3.png"/><Relationship Id="rId49" Type="http://schemas.openxmlformats.org/officeDocument/2006/relationships/image" Target="media/image16.png"/><Relationship Id="rId57" Type="http://schemas.openxmlformats.org/officeDocument/2006/relationships/image" Target="media/image24.png"/><Relationship Id="rId61" Type="http://schemas.openxmlformats.org/officeDocument/2006/relationships/hyperlink" Target="about:blank" TargetMode="External"/><Relationship Id="rId10" Type="http://schemas.openxmlformats.org/officeDocument/2006/relationships/hyperlink" Target="file:///C:\Users\osama\AppData\Local\Packages\microsoft.windowscommunicationsapps_8wekyb3d8bbwe\LocalState\Files\S0\3\Attachments\Osama%20-%20Dissertation%5b5854%5d.docx" TargetMode="External"/><Relationship Id="rId19" Type="http://schemas.openxmlformats.org/officeDocument/2006/relationships/hyperlink" Target="file:///C:\Users\osama\AppData\Local\Packages\microsoft.windowscommunicationsapps_8wekyb3d8bbwe\LocalState\Files\S0\3\Attachments\Osama%20-%20Dissertation%5b5854%5d.docx" TargetMode="External"/><Relationship Id="rId31" Type="http://schemas.openxmlformats.org/officeDocument/2006/relationships/hyperlink" Target="file:///C:\Users\osama\AppData\Local\Packages\microsoft.windowscommunicationsapps_8wekyb3d8bbwe\LocalState\Files\S0\3\Attachments\Osama%20-%20Dissertation%5b5854%5d.docx"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hyperlink" Target="about:blank" TargetMode="External"/><Relationship Id="rId65" Type="http://schemas.openxmlformats.org/officeDocument/2006/relationships/hyperlink" Target="about:blank"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file:///C:\Users\osama\AppData\Local\Packages\microsoft.windowscommunicationsapps_8wekyb3d8bbwe\LocalState\Files\S0\3\Attachments\Osama%20-%20Dissertation%5b5854%5d.docx" TargetMode="External"/><Relationship Id="rId14" Type="http://schemas.openxmlformats.org/officeDocument/2006/relationships/hyperlink" Target="file:///C:\Users\osama\AppData\Local\Packages\microsoft.windowscommunicationsapps_8wekyb3d8bbwe\LocalState\Files\S0\3\Attachments\Osama%20-%20Dissertation%5b5854%5d.docx" TargetMode="External"/><Relationship Id="rId22" Type="http://schemas.openxmlformats.org/officeDocument/2006/relationships/hyperlink" Target="file:///C:\Users\osama\AppData\Local\Packages\microsoft.windowscommunicationsapps_8wekyb3d8bbwe\LocalState\Files\S0\3\Attachments\Osama%20-%20Dissertation%5b5854%5d.docx" TargetMode="External"/><Relationship Id="rId27" Type="http://schemas.openxmlformats.org/officeDocument/2006/relationships/hyperlink" Target="file:///C:\Users\osama\AppData\Local\Packages\microsoft.windowscommunicationsapps_8wekyb3d8bbwe\LocalState\Files\S0\3\Attachments\Osama%20-%20Dissertation%5b5854%5d.docx" TargetMode="External"/><Relationship Id="rId30" Type="http://schemas.openxmlformats.org/officeDocument/2006/relationships/hyperlink" Target="file:///C:\Users\osama\AppData\Local\Packages\microsoft.windowscommunicationsapps_8wekyb3d8bbwe\LocalState\Files\S0\3\Attachments\Osama%20-%20Dissertation%5b5854%5d.docx" TargetMode="External"/><Relationship Id="rId35" Type="http://schemas.openxmlformats.org/officeDocument/2006/relationships/hyperlink" Target="about:blank"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image" Target="media/image23.png"/><Relationship Id="rId64" Type="http://schemas.openxmlformats.org/officeDocument/2006/relationships/hyperlink" Target="about:blank" TargetMode="External"/><Relationship Id="rId69" Type="http://schemas.openxmlformats.org/officeDocument/2006/relationships/hyperlink" Target="about:blank" TargetMode="External"/><Relationship Id="rId8" Type="http://schemas.openxmlformats.org/officeDocument/2006/relationships/image" Target="media/image2.png"/><Relationship Id="rId51" Type="http://schemas.openxmlformats.org/officeDocument/2006/relationships/image" Target="media/image18.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file:///C:\Users\osama\AppData\Local\Packages\microsoft.windowscommunicationsapps_8wekyb3d8bbwe\LocalState\Files\S0\3\Attachments\Osama%20-%20Dissertation%5b5854%5d.docx" TargetMode="External"/><Relationship Id="rId17" Type="http://schemas.openxmlformats.org/officeDocument/2006/relationships/hyperlink" Target="file:///C:\Users\osama\AppData\Local\Packages\microsoft.windowscommunicationsapps_8wekyb3d8bbwe\LocalState\Files\S0\3\Attachments\Osama%20-%20Dissertation%5b5854%5d.docx" TargetMode="External"/><Relationship Id="rId25" Type="http://schemas.openxmlformats.org/officeDocument/2006/relationships/hyperlink" Target="file:///C:\Users\osama\AppData\Local\Packages\microsoft.windowscommunicationsapps_8wekyb3d8bbwe\LocalState\Files\S0\3\Attachments\Osama%20-%20Dissertation%5b5854%5d.docx" TargetMode="External"/><Relationship Id="rId33" Type="http://schemas.openxmlformats.org/officeDocument/2006/relationships/hyperlink" Target="file:///C:\Users\osama\AppData\Local\Packages\microsoft.windowscommunicationsapps_8wekyb3d8bbwe\LocalState\Files\S0\3\Attachments\Osama%20-%20Dissertation%5b5854%5d.docx" TargetMode="External"/><Relationship Id="rId38" Type="http://schemas.openxmlformats.org/officeDocument/2006/relationships/image" Target="media/image5.png"/><Relationship Id="rId46" Type="http://schemas.openxmlformats.org/officeDocument/2006/relationships/image" Target="media/image13.png"/><Relationship Id="rId59" Type="http://schemas.openxmlformats.org/officeDocument/2006/relationships/hyperlink" Target="about:blank" TargetMode="External"/><Relationship Id="rId67" Type="http://schemas.openxmlformats.org/officeDocument/2006/relationships/hyperlink" Target="about:blank" TargetMode="External"/><Relationship Id="rId20" Type="http://schemas.openxmlformats.org/officeDocument/2006/relationships/hyperlink" Target="file:///C:\Users\osama\AppData\Local\Packages\microsoft.windowscommunicationsapps_8wekyb3d8bbwe\LocalState\Files\S0\3\Attachments\Osama%20-%20Dissertation%5b5854%5d.docx"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hyperlink" Target="about:blank" TargetMode="External"/><Relationship Id="rId7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EB61B-1533-4698-A49E-9DED6E11C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61</Pages>
  <Words>17931</Words>
  <Characters>102210</Characters>
  <Application>Microsoft Office Word</Application>
  <DocSecurity>0</DocSecurity>
  <Lines>851</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Zeyad Alhusen (2014492)</dc:creator>
  <cp:keywords/>
  <dc:description/>
  <cp:lastModifiedBy>Osama Zeyad Alhusen (2014492)</cp:lastModifiedBy>
  <cp:revision>3</cp:revision>
  <dcterms:created xsi:type="dcterms:W3CDTF">2021-10-14T20:11:00Z</dcterms:created>
  <dcterms:modified xsi:type="dcterms:W3CDTF">2021-10-15T19:46:00Z</dcterms:modified>
</cp:coreProperties>
</file>