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867CF" w14:textId="40620D6A" w:rsidR="008870BB" w:rsidRPr="007918C3" w:rsidRDefault="00ED52EE" w:rsidP="00E04902">
      <w:pPr>
        <w:pBdr>
          <w:bottom w:val="single" w:sz="4" w:space="1" w:color="auto"/>
        </w:pBdr>
        <w:jc w:val="center"/>
        <w:rPr>
          <w:b/>
          <w:sz w:val="36"/>
          <w:szCs w:val="36"/>
          <w:lang w:val="en-GB"/>
        </w:rPr>
      </w:pPr>
      <w:r w:rsidRPr="007918C3">
        <w:rPr>
          <w:b/>
          <w:sz w:val="36"/>
          <w:szCs w:val="36"/>
          <w:lang w:val="en-GB"/>
        </w:rPr>
        <w:t>MANAGING PEOPLE</w:t>
      </w:r>
      <w:r w:rsidR="00E04902">
        <w:rPr>
          <w:b/>
          <w:sz w:val="36"/>
          <w:szCs w:val="36"/>
          <w:lang w:val="en-GB"/>
        </w:rPr>
        <w:t xml:space="preserve"> – Assessment 1</w:t>
      </w:r>
    </w:p>
    <w:p w14:paraId="232B6563" w14:textId="77777777" w:rsidR="00E04902" w:rsidRDefault="00E04902" w:rsidP="00E04902">
      <w:pPr>
        <w:pStyle w:val="NormalWeb"/>
        <w:spacing w:before="0" w:beforeAutospacing="0" w:after="0" w:afterAutospacing="0" w:line="360" w:lineRule="auto"/>
        <w:jc w:val="both"/>
        <w:rPr>
          <w:rStyle w:val="Strong"/>
          <w:color w:val="0E101A"/>
        </w:rPr>
      </w:pPr>
    </w:p>
    <w:p w14:paraId="10FFFA36" w14:textId="77777777" w:rsidR="00E04902" w:rsidRDefault="00E04902" w:rsidP="00E04902">
      <w:pPr>
        <w:pStyle w:val="NormalWeb"/>
        <w:spacing w:before="0" w:beforeAutospacing="0" w:after="0" w:afterAutospacing="0" w:line="360" w:lineRule="auto"/>
        <w:jc w:val="both"/>
        <w:rPr>
          <w:rStyle w:val="Strong"/>
          <w:color w:val="0E101A"/>
        </w:rPr>
      </w:pPr>
    </w:p>
    <w:p w14:paraId="628F906A" w14:textId="77777777" w:rsidR="00E04902" w:rsidRDefault="00E04902" w:rsidP="00E04902">
      <w:pPr>
        <w:pStyle w:val="NormalWeb"/>
        <w:spacing w:before="0" w:beforeAutospacing="0" w:after="0" w:afterAutospacing="0" w:line="360" w:lineRule="auto"/>
        <w:jc w:val="both"/>
        <w:rPr>
          <w:rStyle w:val="Strong"/>
          <w:color w:val="0E101A"/>
        </w:rPr>
      </w:pPr>
    </w:p>
    <w:p w14:paraId="0B7441BC" w14:textId="77777777" w:rsidR="00E04902" w:rsidRDefault="00E04902" w:rsidP="00E04902">
      <w:pPr>
        <w:pStyle w:val="NormalWeb"/>
        <w:spacing w:before="0" w:beforeAutospacing="0" w:after="0" w:afterAutospacing="0" w:line="360" w:lineRule="auto"/>
        <w:jc w:val="both"/>
        <w:rPr>
          <w:rStyle w:val="Strong"/>
          <w:color w:val="0E101A"/>
        </w:rPr>
      </w:pPr>
    </w:p>
    <w:p w14:paraId="5E610712" w14:textId="77777777" w:rsidR="00E04902" w:rsidRDefault="00E04902" w:rsidP="00E04902">
      <w:pPr>
        <w:pStyle w:val="NormalWeb"/>
        <w:spacing w:before="0" w:beforeAutospacing="0" w:after="0" w:afterAutospacing="0" w:line="360" w:lineRule="auto"/>
        <w:jc w:val="both"/>
        <w:rPr>
          <w:rStyle w:val="Strong"/>
          <w:color w:val="0E101A"/>
        </w:rPr>
      </w:pPr>
    </w:p>
    <w:p w14:paraId="35A6019B" w14:textId="77777777" w:rsidR="00E04902" w:rsidRDefault="00E04902" w:rsidP="00E04902">
      <w:pPr>
        <w:pStyle w:val="NormalWeb"/>
        <w:spacing w:before="0" w:beforeAutospacing="0" w:after="0" w:afterAutospacing="0" w:line="360" w:lineRule="auto"/>
        <w:jc w:val="both"/>
        <w:rPr>
          <w:rStyle w:val="Strong"/>
          <w:color w:val="0E101A"/>
        </w:rPr>
      </w:pPr>
    </w:p>
    <w:p w14:paraId="3FEEA854" w14:textId="77777777" w:rsidR="00E04902" w:rsidRDefault="00E04902" w:rsidP="00E04902">
      <w:pPr>
        <w:pStyle w:val="NormalWeb"/>
        <w:spacing w:before="0" w:beforeAutospacing="0" w:after="0" w:afterAutospacing="0" w:line="360" w:lineRule="auto"/>
        <w:jc w:val="both"/>
        <w:rPr>
          <w:rStyle w:val="Strong"/>
          <w:color w:val="0E101A"/>
        </w:rPr>
      </w:pPr>
    </w:p>
    <w:p w14:paraId="77A6DE1D" w14:textId="77777777" w:rsidR="00E04902" w:rsidRDefault="00E04902" w:rsidP="00E04902">
      <w:pPr>
        <w:pStyle w:val="NormalWeb"/>
        <w:spacing w:before="0" w:beforeAutospacing="0" w:after="0" w:afterAutospacing="0" w:line="360" w:lineRule="auto"/>
        <w:jc w:val="both"/>
        <w:rPr>
          <w:rStyle w:val="Strong"/>
          <w:color w:val="0E101A"/>
        </w:rPr>
      </w:pPr>
    </w:p>
    <w:p w14:paraId="48931471" w14:textId="77777777" w:rsidR="00E04902" w:rsidRDefault="00E04902" w:rsidP="00E04902">
      <w:pPr>
        <w:pStyle w:val="NormalWeb"/>
        <w:spacing w:before="0" w:beforeAutospacing="0" w:after="0" w:afterAutospacing="0" w:line="360" w:lineRule="auto"/>
        <w:jc w:val="both"/>
        <w:rPr>
          <w:rStyle w:val="Strong"/>
          <w:color w:val="0E101A"/>
        </w:rPr>
      </w:pPr>
    </w:p>
    <w:p w14:paraId="5BC49175" w14:textId="77777777" w:rsidR="00E04902" w:rsidRDefault="00E04902" w:rsidP="00E04902">
      <w:pPr>
        <w:pStyle w:val="NormalWeb"/>
        <w:spacing w:before="0" w:beforeAutospacing="0" w:after="0" w:afterAutospacing="0" w:line="360" w:lineRule="auto"/>
        <w:jc w:val="both"/>
        <w:rPr>
          <w:rStyle w:val="Strong"/>
          <w:color w:val="0E101A"/>
        </w:rPr>
      </w:pPr>
    </w:p>
    <w:p w14:paraId="573724EB" w14:textId="77777777" w:rsidR="00E04902" w:rsidRDefault="00E04902" w:rsidP="00E04902">
      <w:pPr>
        <w:pStyle w:val="NormalWeb"/>
        <w:spacing w:before="0" w:beforeAutospacing="0" w:after="0" w:afterAutospacing="0" w:line="360" w:lineRule="auto"/>
        <w:jc w:val="both"/>
        <w:rPr>
          <w:rStyle w:val="Strong"/>
          <w:color w:val="0E101A"/>
        </w:rPr>
      </w:pPr>
    </w:p>
    <w:p w14:paraId="2BF2E324" w14:textId="77777777" w:rsidR="00E04902" w:rsidRDefault="00E04902" w:rsidP="00E04902">
      <w:pPr>
        <w:pStyle w:val="NormalWeb"/>
        <w:spacing w:before="0" w:beforeAutospacing="0" w:after="0" w:afterAutospacing="0" w:line="360" w:lineRule="auto"/>
        <w:jc w:val="both"/>
        <w:rPr>
          <w:rStyle w:val="Strong"/>
          <w:color w:val="0E101A"/>
        </w:rPr>
      </w:pPr>
    </w:p>
    <w:p w14:paraId="54F119D2" w14:textId="77777777" w:rsidR="00E04902" w:rsidRDefault="00E04902" w:rsidP="00E04902">
      <w:pPr>
        <w:pStyle w:val="NormalWeb"/>
        <w:spacing w:before="0" w:beforeAutospacing="0" w:after="0" w:afterAutospacing="0" w:line="360" w:lineRule="auto"/>
        <w:jc w:val="both"/>
        <w:rPr>
          <w:rStyle w:val="Strong"/>
          <w:color w:val="0E101A"/>
        </w:rPr>
      </w:pPr>
    </w:p>
    <w:p w14:paraId="66A32873" w14:textId="77777777" w:rsidR="00E04902" w:rsidRDefault="00E04902" w:rsidP="00E04902">
      <w:pPr>
        <w:pStyle w:val="NormalWeb"/>
        <w:spacing w:before="0" w:beforeAutospacing="0" w:after="0" w:afterAutospacing="0" w:line="360" w:lineRule="auto"/>
        <w:jc w:val="both"/>
        <w:rPr>
          <w:rStyle w:val="Strong"/>
          <w:color w:val="0E101A"/>
        </w:rPr>
      </w:pPr>
    </w:p>
    <w:p w14:paraId="539B10FA" w14:textId="77777777" w:rsidR="00E04902" w:rsidRDefault="00E04902" w:rsidP="00E04902">
      <w:pPr>
        <w:pStyle w:val="NormalWeb"/>
        <w:spacing w:before="0" w:beforeAutospacing="0" w:after="0" w:afterAutospacing="0" w:line="360" w:lineRule="auto"/>
        <w:jc w:val="both"/>
        <w:rPr>
          <w:rStyle w:val="Strong"/>
          <w:color w:val="0E101A"/>
        </w:rPr>
      </w:pPr>
    </w:p>
    <w:p w14:paraId="052A3612" w14:textId="77777777" w:rsidR="00E04902" w:rsidRDefault="00E04902" w:rsidP="00E04902">
      <w:pPr>
        <w:pStyle w:val="NormalWeb"/>
        <w:spacing w:before="0" w:beforeAutospacing="0" w:after="0" w:afterAutospacing="0" w:line="360" w:lineRule="auto"/>
        <w:jc w:val="both"/>
        <w:rPr>
          <w:rStyle w:val="Strong"/>
          <w:color w:val="0E101A"/>
        </w:rPr>
      </w:pPr>
    </w:p>
    <w:p w14:paraId="3819FE2A" w14:textId="77777777" w:rsidR="00E04902" w:rsidRDefault="00E04902" w:rsidP="00E04902">
      <w:pPr>
        <w:pStyle w:val="NormalWeb"/>
        <w:spacing w:before="0" w:beforeAutospacing="0" w:after="0" w:afterAutospacing="0" w:line="360" w:lineRule="auto"/>
        <w:jc w:val="both"/>
        <w:rPr>
          <w:rStyle w:val="Strong"/>
          <w:color w:val="0E101A"/>
        </w:rPr>
      </w:pPr>
    </w:p>
    <w:p w14:paraId="061E3F05" w14:textId="77777777" w:rsidR="00E04902" w:rsidRDefault="00E04902" w:rsidP="00E04902">
      <w:pPr>
        <w:pStyle w:val="NormalWeb"/>
        <w:spacing w:before="0" w:beforeAutospacing="0" w:after="0" w:afterAutospacing="0" w:line="360" w:lineRule="auto"/>
        <w:jc w:val="both"/>
        <w:rPr>
          <w:rStyle w:val="Strong"/>
          <w:color w:val="0E101A"/>
        </w:rPr>
      </w:pPr>
    </w:p>
    <w:p w14:paraId="0F60E32A" w14:textId="77777777" w:rsidR="00E04902" w:rsidRDefault="00E04902" w:rsidP="00E04902">
      <w:pPr>
        <w:pStyle w:val="NormalWeb"/>
        <w:spacing w:before="0" w:beforeAutospacing="0" w:after="0" w:afterAutospacing="0" w:line="360" w:lineRule="auto"/>
        <w:jc w:val="both"/>
        <w:rPr>
          <w:rStyle w:val="Strong"/>
          <w:color w:val="0E101A"/>
        </w:rPr>
      </w:pPr>
    </w:p>
    <w:p w14:paraId="3D18A031" w14:textId="77777777" w:rsidR="00E04902" w:rsidRDefault="00E04902" w:rsidP="00E04902">
      <w:pPr>
        <w:pStyle w:val="NormalWeb"/>
        <w:spacing w:before="0" w:beforeAutospacing="0" w:after="0" w:afterAutospacing="0" w:line="360" w:lineRule="auto"/>
        <w:jc w:val="both"/>
        <w:rPr>
          <w:rStyle w:val="Strong"/>
          <w:color w:val="0E101A"/>
        </w:rPr>
      </w:pPr>
    </w:p>
    <w:p w14:paraId="73E3F887" w14:textId="77777777" w:rsidR="00E04902" w:rsidRDefault="00E04902" w:rsidP="00E04902">
      <w:pPr>
        <w:pStyle w:val="NormalWeb"/>
        <w:spacing w:before="0" w:beforeAutospacing="0" w:after="0" w:afterAutospacing="0" w:line="360" w:lineRule="auto"/>
        <w:jc w:val="both"/>
        <w:rPr>
          <w:rStyle w:val="Strong"/>
          <w:color w:val="0E101A"/>
        </w:rPr>
      </w:pPr>
    </w:p>
    <w:p w14:paraId="37C9F79A" w14:textId="77777777" w:rsidR="00E04902" w:rsidRDefault="00E04902" w:rsidP="00E04902">
      <w:pPr>
        <w:pStyle w:val="NormalWeb"/>
        <w:spacing w:before="0" w:beforeAutospacing="0" w:after="0" w:afterAutospacing="0" w:line="360" w:lineRule="auto"/>
        <w:jc w:val="both"/>
        <w:rPr>
          <w:rStyle w:val="Strong"/>
          <w:color w:val="0E101A"/>
        </w:rPr>
      </w:pPr>
    </w:p>
    <w:p w14:paraId="7D03A7D2" w14:textId="77777777" w:rsidR="00E04902" w:rsidRDefault="00E04902" w:rsidP="00E04902">
      <w:pPr>
        <w:pStyle w:val="NormalWeb"/>
        <w:spacing w:before="0" w:beforeAutospacing="0" w:after="0" w:afterAutospacing="0" w:line="360" w:lineRule="auto"/>
        <w:jc w:val="both"/>
        <w:rPr>
          <w:rStyle w:val="Strong"/>
          <w:color w:val="0E101A"/>
        </w:rPr>
      </w:pPr>
    </w:p>
    <w:p w14:paraId="4C32C3D4" w14:textId="104A127C" w:rsidR="00E04902" w:rsidRDefault="00E04902" w:rsidP="00E04902">
      <w:pPr>
        <w:pStyle w:val="NormalWeb"/>
        <w:spacing w:before="0" w:beforeAutospacing="0" w:after="0" w:afterAutospacing="0" w:line="360" w:lineRule="auto"/>
        <w:jc w:val="both"/>
        <w:rPr>
          <w:rStyle w:val="Strong"/>
          <w:b w:val="0"/>
          <w:bCs w:val="0"/>
          <w:color w:val="0E101A"/>
        </w:rPr>
      </w:pPr>
      <w:r>
        <w:rPr>
          <w:rStyle w:val="Strong"/>
          <w:color w:val="0E101A"/>
        </w:rPr>
        <w:t>NAME: Alexandru Sebastian Melinte</w:t>
      </w:r>
    </w:p>
    <w:p w14:paraId="528F67C4" w14:textId="77777777" w:rsidR="00E04902" w:rsidRDefault="00E04902" w:rsidP="00E04902">
      <w:pPr>
        <w:pStyle w:val="NormalWeb"/>
        <w:spacing w:before="0" w:beforeAutospacing="0" w:after="0" w:afterAutospacing="0" w:line="360" w:lineRule="auto"/>
        <w:jc w:val="both"/>
        <w:rPr>
          <w:rStyle w:val="Strong"/>
          <w:b w:val="0"/>
          <w:bCs w:val="0"/>
          <w:color w:val="0E101A"/>
        </w:rPr>
      </w:pPr>
      <w:r>
        <w:rPr>
          <w:rStyle w:val="Strong"/>
          <w:color w:val="0E101A"/>
        </w:rPr>
        <w:t>STUDENT ID: 1907706</w:t>
      </w:r>
    </w:p>
    <w:p w14:paraId="628CBC8B" w14:textId="56D2E60D" w:rsidR="00E04902" w:rsidRDefault="00E04902" w:rsidP="00E04902">
      <w:pPr>
        <w:pStyle w:val="NormalWeb"/>
        <w:spacing w:before="0" w:beforeAutospacing="0" w:after="0" w:afterAutospacing="0" w:line="360" w:lineRule="auto"/>
        <w:jc w:val="both"/>
        <w:rPr>
          <w:rStyle w:val="Strong"/>
          <w:b w:val="0"/>
          <w:bCs w:val="0"/>
          <w:color w:val="0E101A"/>
        </w:rPr>
      </w:pPr>
      <w:r>
        <w:rPr>
          <w:rStyle w:val="Strong"/>
          <w:color w:val="0E101A"/>
        </w:rPr>
        <w:t xml:space="preserve">MODULE TITLE: </w:t>
      </w:r>
      <w:r>
        <w:rPr>
          <w:b/>
          <w:bCs/>
          <w:lang w:val="en-GB"/>
        </w:rPr>
        <w:t>Managing People (LCBB5004)</w:t>
      </w:r>
    </w:p>
    <w:p w14:paraId="4C2A0161" w14:textId="4022585C" w:rsidR="00E04902" w:rsidRDefault="00E04902" w:rsidP="00E04902">
      <w:pPr>
        <w:pStyle w:val="NormalWeb"/>
        <w:spacing w:before="0" w:beforeAutospacing="0" w:after="0" w:afterAutospacing="0" w:line="360" w:lineRule="auto"/>
        <w:jc w:val="both"/>
        <w:rPr>
          <w:rStyle w:val="Strong"/>
          <w:b w:val="0"/>
          <w:bCs w:val="0"/>
          <w:color w:val="0E101A"/>
        </w:rPr>
      </w:pPr>
      <w:r>
        <w:rPr>
          <w:rStyle w:val="Strong"/>
          <w:color w:val="0E101A"/>
        </w:rPr>
        <w:t xml:space="preserve">ASSIGNMENT TITLE:  </w:t>
      </w:r>
      <w:r>
        <w:rPr>
          <w:b/>
          <w:bCs/>
          <w:lang w:val="en-GB"/>
        </w:rPr>
        <w:t xml:space="preserve">Managing People </w:t>
      </w:r>
      <w:r w:rsidRPr="005E72D0">
        <w:rPr>
          <w:rFonts w:ascii="Arial" w:hAnsi="Arial" w:cs="Arial"/>
          <w:b/>
          <w:bCs/>
        </w:rPr>
        <w:t>-</w:t>
      </w:r>
      <w:r>
        <w:rPr>
          <w:rFonts w:ascii="Arial" w:hAnsi="Arial" w:cs="Arial"/>
          <w:b/>
          <w:bCs/>
        </w:rPr>
        <w:t xml:space="preserve"> </w:t>
      </w:r>
      <w:r w:rsidRPr="005E72D0">
        <w:rPr>
          <w:rFonts w:ascii="Arial" w:hAnsi="Arial" w:cs="Arial"/>
          <w:b/>
          <w:bCs/>
        </w:rPr>
        <w:t>Assessment 1</w:t>
      </w:r>
    </w:p>
    <w:p w14:paraId="0283BAC3" w14:textId="041BBABA" w:rsidR="00E04902" w:rsidRDefault="00E04902" w:rsidP="00E04902">
      <w:pPr>
        <w:pStyle w:val="NormalWeb"/>
        <w:spacing w:before="0" w:beforeAutospacing="0" w:after="0" w:afterAutospacing="0" w:line="360" w:lineRule="auto"/>
        <w:jc w:val="both"/>
        <w:rPr>
          <w:rStyle w:val="Strong"/>
          <w:b w:val="0"/>
          <w:bCs w:val="0"/>
          <w:color w:val="0E101A"/>
        </w:rPr>
      </w:pPr>
      <w:r>
        <w:rPr>
          <w:rStyle w:val="Strong"/>
          <w:color w:val="0E101A"/>
        </w:rPr>
        <w:t xml:space="preserve">MODULE LECTURER’S NAME: </w:t>
      </w:r>
      <w:r>
        <w:rPr>
          <w:rStyle w:val="markedcontent"/>
          <w:rFonts w:ascii="Arial" w:eastAsiaTheme="majorEastAsia" w:hAnsi="Arial" w:cs="Arial"/>
          <w:sz w:val="28"/>
          <w:szCs w:val="28"/>
        </w:rPr>
        <w:t xml:space="preserve">Dr </w:t>
      </w:r>
      <w:r>
        <w:rPr>
          <w:rStyle w:val="markedcontent"/>
          <w:rFonts w:ascii="Arial" w:eastAsiaTheme="majorEastAsia" w:hAnsi="Arial" w:cs="Arial"/>
          <w:sz w:val="28"/>
          <w:szCs w:val="28"/>
        </w:rPr>
        <w:t xml:space="preserve">Charles </w:t>
      </w:r>
      <w:proofErr w:type="spellStart"/>
      <w:r>
        <w:rPr>
          <w:rStyle w:val="markedcontent"/>
          <w:rFonts w:ascii="Arial" w:eastAsiaTheme="majorEastAsia" w:hAnsi="Arial" w:cs="Arial"/>
          <w:sz w:val="28"/>
          <w:szCs w:val="28"/>
        </w:rPr>
        <w:t>Oham</w:t>
      </w:r>
      <w:proofErr w:type="spellEnd"/>
    </w:p>
    <w:p w14:paraId="5D831C41" w14:textId="77777777" w:rsidR="008870BB" w:rsidRPr="007918C3" w:rsidRDefault="00ED52EE">
      <w:pPr>
        <w:jc w:val="center"/>
        <w:rPr>
          <w:b/>
          <w:lang w:val="en-GB"/>
        </w:rPr>
      </w:pPr>
      <w:r w:rsidRPr="007918C3">
        <w:rPr>
          <w:lang w:val="en-GB"/>
        </w:rPr>
        <w:br w:type="page"/>
      </w:r>
    </w:p>
    <w:p w14:paraId="09DFE254" w14:textId="77777777" w:rsidR="008870BB" w:rsidRPr="007918C3" w:rsidRDefault="00ED52EE">
      <w:pPr>
        <w:jc w:val="center"/>
        <w:rPr>
          <w:b/>
          <w:lang w:val="en-GB"/>
        </w:rPr>
      </w:pPr>
      <w:r w:rsidRPr="007918C3">
        <w:rPr>
          <w:b/>
          <w:lang w:val="en-GB"/>
        </w:rPr>
        <w:lastRenderedPageBreak/>
        <w:t>Executive Summary</w:t>
      </w:r>
    </w:p>
    <w:p w14:paraId="6CFA632A" w14:textId="77777777" w:rsidR="008870BB" w:rsidRPr="007918C3" w:rsidRDefault="00ED52EE">
      <w:pPr>
        <w:rPr>
          <w:lang w:val="en-GB"/>
        </w:rPr>
      </w:pPr>
      <w:r w:rsidRPr="007918C3">
        <w:rPr>
          <w:lang w:val="en-GB"/>
        </w:rPr>
        <w:t xml:space="preserve">This particular report has aimed at evaluating the essentiality of effective people management for ensuring better and enhanced performance for gaining competitive advantage. </w:t>
      </w:r>
      <w:r w:rsidRPr="007918C3">
        <w:rPr>
          <w:b/>
          <w:i/>
          <w:lang w:val="en-GB"/>
        </w:rPr>
        <w:t xml:space="preserve">Inditex </w:t>
      </w:r>
      <w:r w:rsidRPr="007918C3">
        <w:rPr>
          <w:lang w:val="en-GB"/>
        </w:rPr>
        <w:t>has been extremely active in maintaining proper communication, diversity and inclusiveness within the working system. Valuing the employees for deriving the best performance has been the factor that made the employees engaged with the organisation. Flexible working has proved to be both beneficial and consequential to some extent. Maintaining equality and diversified recruitment is the key to inculcating diversity and inclusiveness while minimising the chances of inequalities by a significant margin. This factor will certainly be the catalyst in making the company able to gain a competitive advantage.</w:t>
      </w:r>
      <w:r w:rsidRPr="007918C3">
        <w:rPr>
          <w:lang w:val="en-GB"/>
        </w:rPr>
        <w:br w:type="page"/>
      </w:r>
    </w:p>
    <w:bookmarkStart w:id="0" w:name="_kv04ygsr82gj" w:colFirst="0" w:colLast="0" w:displacedByCustomXml="next"/>
    <w:bookmarkEnd w:id="0" w:displacedByCustomXml="next"/>
    <w:sdt>
      <w:sdtPr>
        <w:rPr>
          <w:rFonts w:ascii="Times New Roman" w:eastAsia="Times New Roman" w:hAnsi="Times New Roman" w:cs="Times New Roman"/>
          <w:b/>
          <w:bCs/>
          <w:color w:val="000000" w:themeColor="text1"/>
          <w:sz w:val="28"/>
          <w:szCs w:val="28"/>
          <w:lang w:val="en-GB"/>
        </w:rPr>
        <w:id w:val="437569818"/>
        <w:docPartObj>
          <w:docPartGallery w:val="Table of Contents"/>
          <w:docPartUnique/>
        </w:docPartObj>
      </w:sdtPr>
      <w:sdtEndPr>
        <w:rPr>
          <w:noProof/>
          <w:sz w:val="24"/>
          <w:szCs w:val="24"/>
        </w:rPr>
      </w:sdtEndPr>
      <w:sdtContent>
        <w:p w14:paraId="39514DF6" w14:textId="637EA846" w:rsidR="002C4F6A" w:rsidRPr="007918C3" w:rsidRDefault="002C4F6A" w:rsidP="002C4F6A">
          <w:pPr>
            <w:pStyle w:val="TOCHeading"/>
            <w:spacing w:after="240" w:line="360" w:lineRule="auto"/>
            <w:jc w:val="center"/>
            <w:rPr>
              <w:rFonts w:ascii="Times New Roman" w:hAnsi="Times New Roman" w:cs="Times New Roman"/>
              <w:b/>
              <w:bCs/>
              <w:color w:val="000000" w:themeColor="text1"/>
              <w:sz w:val="28"/>
              <w:szCs w:val="28"/>
              <w:lang w:val="en-GB"/>
            </w:rPr>
          </w:pPr>
          <w:r w:rsidRPr="007918C3">
            <w:rPr>
              <w:rFonts w:ascii="Times New Roman" w:hAnsi="Times New Roman" w:cs="Times New Roman"/>
              <w:b/>
              <w:bCs/>
              <w:color w:val="000000" w:themeColor="text1"/>
              <w:sz w:val="28"/>
              <w:szCs w:val="28"/>
              <w:lang w:val="en-GB"/>
            </w:rPr>
            <w:t>Table of Contents</w:t>
          </w:r>
        </w:p>
        <w:p w14:paraId="2A0F082E" w14:textId="4565FBD0" w:rsidR="002C4F6A" w:rsidRPr="007918C3" w:rsidRDefault="002C4F6A" w:rsidP="002C4F6A">
          <w:pPr>
            <w:pStyle w:val="TOC1"/>
            <w:tabs>
              <w:tab w:val="right" w:leader="dot" w:pos="9350"/>
            </w:tabs>
            <w:spacing w:after="240"/>
            <w:rPr>
              <w:noProof/>
              <w:color w:val="000000" w:themeColor="text1"/>
              <w:lang w:val="en-GB"/>
            </w:rPr>
          </w:pPr>
          <w:r w:rsidRPr="007918C3">
            <w:rPr>
              <w:color w:val="000000" w:themeColor="text1"/>
              <w:lang w:val="en-GB"/>
            </w:rPr>
            <w:fldChar w:fldCharType="begin"/>
          </w:r>
          <w:r w:rsidRPr="007918C3">
            <w:rPr>
              <w:color w:val="000000" w:themeColor="text1"/>
              <w:lang w:val="en-GB"/>
            </w:rPr>
            <w:instrText xml:space="preserve"> TOC \o "1-3" \h \z \u </w:instrText>
          </w:r>
          <w:r w:rsidRPr="007918C3">
            <w:rPr>
              <w:color w:val="000000" w:themeColor="text1"/>
              <w:lang w:val="en-GB"/>
            </w:rPr>
            <w:fldChar w:fldCharType="separate"/>
          </w:r>
          <w:hyperlink w:anchor="_Toc101993461" w:history="1">
            <w:r w:rsidRPr="007918C3">
              <w:rPr>
                <w:rStyle w:val="Hyperlink"/>
                <w:noProof/>
                <w:color w:val="000000" w:themeColor="text1"/>
                <w:lang w:val="en-GB"/>
              </w:rPr>
              <w:t>Introduction</w:t>
            </w:r>
            <w:r w:rsidRPr="007918C3">
              <w:rPr>
                <w:noProof/>
                <w:webHidden/>
                <w:color w:val="000000" w:themeColor="text1"/>
                <w:lang w:val="en-GB"/>
              </w:rPr>
              <w:tab/>
            </w:r>
            <w:r w:rsidRPr="007918C3">
              <w:rPr>
                <w:noProof/>
                <w:webHidden/>
                <w:color w:val="000000" w:themeColor="text1"/>
                <w:lang w:val="en-GB"/>
              </w:rPr>
              <w:fldChar w:fldCharType="begin"/>
            </w:r>
            <w:r w:rsidRPr="007918C3">
              <w:rPr>
                <w:noProof/>
                <w:webHidden/>
                <w:color w:val="000000" w:themeColor="text1"/>
                <w:lang w:val="en-GB"/>
              </w:rPr>
              <w:instrText xml:space="preserve"> PAGEREF _Toc101993461 \h </w:instrText>
            </w:r>
            <w:r w:rsidRPr="007918C3">
              <w:rPr>
                <w:noProof/>
                <w:webHidden/>
                <w:color w:val="000000" w:themeColor="text1"/>
                <w:lang w:val="en-GB"/>
              </w:rPr>
            </w:r>
            <w:r w:rsidRPr="007918C3">
              <w:rPr>
                <w:noProof/>
                <w:webHidden/>
                <w:color w:val="000000" w:themeColor="text1"/>
                <w:lang w:val="en-GB"/>
              </w:rPr>
              <w:fldChar w:fldCharType="separate"/>
            </w:r>
            <w:r w:rsidRPr="007918C3">
              <w:rPr>
                <w:noProof/>
                <w:webHidden/>
                <w:color w:val="000000" w:themeColor="text1"/>
                <w:lang w:val="en-GB"/>
              </w:rPr>
              <w:t>5</w:t>
            </w:r>
            <w:r w:rsidRPr="007918C3">
              <w:rPr>
                <w:noProof/>
                <w:webHidden/>
                <w:color w:val="000000" w:themeColor="text1"/>
                <w:lang w:val="en-GB"/>
              </w:rPr>
              <w:fldChar w:fldCharType="end"/>
            </w:r>
          </w:hyperlink>
        </w:p>
        <w:p w14:paraId="1DB98FED" w14:textId="3B403FE5" w:rsidR="002C4F6A" w:rsidRPr="007918C3" w:rsidRDefault="00DF54AF" w:rsidP="002C4F6A">
          <w:pPr>
            <w:pStyle w:val="TOC1"/>
            <w:tabs>
              <w:tab w:val="right" w:leader="dot" w:pos="9350"/>
            </w:tabs>
            <w:spacing w:after="240"/>
            <w:rPr>
              <w:noProof/>
              <w:color w:val="000000" w:themeColor="text1"/>
              <w:lang w:val="en-GB"/>
            </w:rPr>
          </w:pPr>
          <w:hyperlink w:anchor="_Toc101993462" w:history="1">
            <w:r w:rsidR="002C4F6A" w:rsidRPr="007918C3">
              <w:rPr>
                <w:rStyle w:val="Hyperlink"/>
                <w:noProof/>
                <w:color w:val="000000" w:themeColor="text1"/>
                <w:lang w:val="en-GB"/>
              </w:rPr>
              <w:t>Organisational Background</w:t>
            </w:r>
            <w:r w:rsidR="002C4F6A" w:rsidRPr="007918C3">
              <w:rPr>
                <w:noProof/>
                <w:webHidden/>
                <w:color w:val="000000" w:themeColor="text1"/>
                <w:lang w:val="en-GB"/>
              </w:rPr>
              <w:tab/>
            </w:r>
            <w:r w:rsidR="002C4F6A" w:rsidRPr="007918C3">
              <w:rPr>
                <w:noProof/>
                <w:webHidden/>
                <w:color w:val="000000" w:themeColor="text1"/>
                <w:lang w:val="en-GB"/>
              </w:rPr>
              <w:fldChar w:fldCharType="begin"/>
            </w:r>
            <w:r w:rsidR="002C4F6A" w:rsidRPr="007918C3">
              <w:rPr>
                <w:noProof/>
                <w:webHidden/>
                <w:color w:val="000000" w:themeColor="text1"/>
                <w:lang w:val="en-GB"/>
              </w:rPr>
              <w:instrText xml:space="preserve"> PAGEREF _Toc101993462 \h </w:instrText>
            </w:r>
            <w:r w:rsidR="002C4F6A" w:rsidRPr="007918C3">
              <w:rPr>
                <w:noProof/>
                <w:webHidden/>
                <w:color w:val="000000" w:themeColor="text1"/>
                <w:lang w:val="en-GB"/>
              </w:rPr>
            </w:r>
            <w:r w:rsidR="002C4F6A" w:rsidRPr="007918C3">
              <w:rPr>
                <w:noProof/>
                <w:webHidden/>
                <w:color w:val="000000" w:themeColor="text1"/>
                <w:lang w:val="en-GB"/>
              </w:rPr>
              <w:fldChar w:fldCharType="separate"/>
            </w:r>
            <w:r w:rsidR="002C4F6A" w:rsidRPr="007918C3">
              <w:rPr>
                <w:noProof/>
                <w:webHidden/>
                <w:color w:val="000000" w:themeColor="text1"/>
                <w:lang w:val="en-GB"/>
              </w:rPr>
              <w:t>6</w:t>
            </w:r>
            <w:r w:rsidR="002C4F6A" w:rsidRPr="007918C3">
              <w:rPr>
                <w:noProof/>
                <w:webHidden/>
                <w:color w:val="000000" w:themeColor="text1"/>
                <w:lang w:val="en-GB"/>
              </w:rPr>
              <w:fldChar w:fldCharType="end"/>
            </w:r>
          </w:hyperlink>
        </w:p>
        <w:p w14:paraId="72D327F3" w14:textId="2401B9BD" w:rsidR="002C4F6A" w:rsidRPr="007918C3" w:rsidRDefault="00DF54AF" w:rsidP="002C4F6A">
          <w:pPr>
            <w:pStyle w:val="TOC2"/>
            <w:tabs>
              <w:tab w:val="right" w:leader="dot" w:pos="9350"/>
            </w:tabs>
            <w:spacing w:after="240"/>
            <w:rPr>
              <w:noProof/>
              <w:color w:val="000000" w:themeColor="text1"/>
              <w:lang w:val="en-GB"/>
            </w:rPr>
          </w:pPr>
          <w:hyperlink w:anchor="_Toc101993463" w:history="1">
            <w:r w:rsidR="002C4F6A" w:rsidRPr="007918C3">
              <w:rPr>
                <w:rStyle w:val="Hyperlink"/>
                <w:noProof/>
                <w:color w:val="000000" w:themeColor="text1"/>
                <w:lang w:val="en-GB"/>
              </w:rPr>
              <w:t>Role of flexible working in enhancing diversity and inclusion in the workplace</w:t>
            </w:r>
            <w:r w:rsidR="002C4F6A" w:rsidRPr="007918C3">
              <w:rPr>
                <w:noProof/>
                <w:webHidden/>
                <w:color w:val="000000" w:themeColor="text1"/>
                <w:lang w:val="en-GB"/>
              </w:rPr>
              <w:tab/>
            </w:r>
            <w:r w:rsidR="002C4F6A" w:rsidRPr="007918C3">
              <w:rPr>
                <w:noProof/>
                <w:webHidden/>
                <w:color w:val="000000" w:themeColor="text1"/>
                <w:lang w:val="en-GB"/>
              </w:rPr>
              <w:fldChar w:fldCharType="begin"/>
            </w:r>
            <w:r w:rsidR="002C4F6A" w:rsidRPr="007918C3">
              <w:rPr>
                <w:noProof/>
                <w:webHidden/>
                <w:color w:val="000000" w:themeColor="text1"/>
                <w:lang w:val="en-GB"/>
              </w:rPr>
              <w:instrText xml:space="preserve"> PAGEREF _Toc101993463 \h </w:instrText>
            </w:r>
            <w:r w:rsidR="002C4F6A" w:rsidRPr="007918C3">
              <w:rPr>
                <w:noProof/>
                <w:webHidden/>
                <w:color w:val="000000" w:themeColor="text1"/>
                <w:lang w:val="en-GB"/>
              </w:rPr>
            </w:r>
            <w:r w:rsidR="002C4F6A" w:rsidRPr="007918C3">
              <w:rPr>
                <w:noProof/>
                <w:webHidden/>
                <w:color w:val="000000" w:themeColor="text1"/>
                <w:lang w:val="en-GB"/>
              </w:rPr>
              <w:fldChar w:fldCharType="separate"/>
            </w:r>
            <w:r w:rsidR="002C4F6A" w:rsidRPr="007918C3">
              <w:rPr>
                <w:noProof/>
                <w:webHidden/>
                <w:color w:val="000000" w:themeColor="text1"/>
                <w:lang w:val="en-GB"/>
              </w:rPr>
              <w:t>7</w:t>
            </w:r>
            <w:r w:rsidR="002C4F6A" w:rsidRPr="007918C3">
              <w:rPr>
                <w:noProof/>
                <w:webHidden/>
                <w:color w:val="000000" w:themeColor="text1"/>
                <w:lang w:val="en-GB"/>
              </w:rPr>
              <w:fldChar w:fldCharType="end"/>
            </w:r>
          </w:hyperlink>
        </w:p>
        <w:p w14:paraId="29B07F9A" w14:textId="64E6D549" w:rsidR="002C4F6A" w:rsidRPr="007918C3" w:rsidRDefault="00DF54AF" w:rsidP="002C4F6A">
          <w:pPr>
            <w:pStyle w:val="TOC2"/>
            <w:tabs>
              <w:tab w:val="right" w:leader="dot" w:pos="9350"/>
            </w:tabs>
            <w:spacing w:after="240"/>
            <w:rPr>
              <w:noProof/>
              <w:color w:val="000000" w:themeColor="text1"/>
              <w:lang w:val="en-GB"/>
            </w:rPr>
          </w:pPr>
          <w:hyperlink w:anchor="_Toc101993464" w:history="1">
            <w:r w:rsidR="002C4F6A" w:rsidRPr="007918C3">
              <w:rPr>
                <w:rStyle w:val="Hyperlink"/>
                <w:noProof/>
                <w:color w:val="000000" w:themeColor="text1"/>
                <w:lang w:val="en-GB"/>
              </w:rPr>
              <w:t>Analysis of the role of human resource managers in the promotion of diversity and inclusion in the workplace</w:t>
            </w:r>
            <w:r w:rsidR="002C4F6A" w:rsidRPr="007918C3">
              <w:rPr>
                <w:noProof/>
                <w:webHidden/>
                <w:color w:val="000000" w:themeColor="text1"/>
                <w:lang w:val="en-GB"/>
              </w:rPr>
              <w:tab/>
            </w:r>
            <w:r w:rsidR="002C4F6A" w:rsidRPr="007918C3">
              <w:rPr>
                <w:noProof/>
                <w:webHidden/>
                <w:color w:val="000000" w:themeColor="text1"/>
                <w:lang w:val="en-GB"/>
              </w:rPr>
              <w:fldChar w:fldCharType="begin"/>
            </w:r>
            <w:r w:rsidR="002C4F6A" w:rsidRPr="007918C3">
              <w:rPr>
                <w:noProof/>
                <w:webHidden/>
                <w:color w:val="000000" w:themeColor="text1"/>
                <w:lang w:val="en-GB"/>
              </w:rPr>
              <w:instrText xml:space="preserve"> PAGEREF _Toc101993464 \h </w:instrText>
            </w:r>
            <w:r w:rsidR="002C4F6A" w:rsidRPr="007918C3">
              <w:rPr>
                <w:noProof/>
                <w:webHidden/>
                <w:color w:val="000000" w:themeColor="text1"/>
                <w:lang w:val="en-GB"/>
              </w:rPr>
            </w:r>
            <w:r w:rsidR="002C4F6A" w:rsidRPr="007918C3">
              <w:rPr>
                <w:noProof/>
                <w:webHidden/>
                <w:color w:val="000000" w:themeColor="text1"/>
                <w:lang w:val="en-GB"/>
              </w:rPr>
              <w:fldChar w:fldCharType="separate"/>
            </w:r>
            <w:r w:rsidR="002C4F6A" w:rsidRPr="007918C3">
              <w:rPr>
                <w:noProof/>
                <w:webHidden/>
                <w:color w:val="000000" w:themeColor="text1"/>
                <w:lang w:val="en-GB"/>
              </w:rPr>
              <w:t>8</w:t>
            </w:r>
            <w:r w:rsidR="002C4F6A" w:rsidRPr="007918C3">
              <w:rPr>
                <w:noProof/>
                <w:webHidden/>
                <w:color w:val="000000" w:themeColor="text1"/>
                <w:lang w:val="en-GB"/>
              </w:rPr>
              <w:fldChar w:fldCharType="end"/>
            </w:r>
          </w:hyperlink>
        </w:p>
        <w:p w14:paraId="731C0731" w14:textId="41414FEF" w:rsidR="002C4F6A" w:rsidRPr="007918C3" w:rsidRDefault="00DF54AF" w:rsidP="002C4F6A">
          <w:pPr>
            <w:pStyle w:val="TOC2"/>
            <w:tabs>
              <w:tab w:val="right" w:leader="dot" w:pos="9350"/>
            </w:tabs>
            <w:spacing w:after="240"/>
            <w:rPr>
              <w:noProof/>
              <w:color w:val="000000" w:themeColor="text1"/>
              <w:lang w:val="en-GB"/>
            </w:rPr>
          </w:pPr>
          <w:hyperlink w:anchor="_Toc101993465" w:history="1">
            <w:r w:rsidR="002C4F6A" w:rsidRPr="007918C3">
              <w:rPr>
                <w:rStyle w:val="Hyperlink"/>
                <w:noProof/>
                <w:color w:val="000000" w:themeColor="text1"/>
                <w:lang w:val="en-GB"/>
              </w:rPr>
              <w:t>Evaluation of flexible working in creating inequality in the workplace</w:t>
            </w:r>
            <w:r w:rsidR="002C4F6A" w:rsidRPr="007918C3">
              <w:rPr>
                <w:noProof/>
                <w:webHidden/>
                <w:color w:val="000000" w:themeColor="text1"/>
                <w:lang w:val="en-GB"/>
              </w:rPr>
              <w:tab/>
            </w:r>
            <w:r w:rsidR="002C4F6A" w:rsidRPr="007918C3">
              <w:rPr>
                <w:noProof/>
                <w:webHidden/>
                <w:color w:val="000000" w:themeColor="text1"/>
                <w:lang w:val="en-GB"/>
              </w:rPr>
              <w:fldChar w:fldCharType="begin"/>
            </w:r>
            <w:r w:rsidR="002C4F6A" w:rsidRPr="007918C3">
              <w:rPr>
                <w:noProof/>
                <w:webHidden/>
                <w:color w:val="000000" w:themeColor="text1"/>
                <w:lang w:val="en-GB"/>
              </w:rPr>
              <w:instrText xml:space="preserve"> PAGEREF _Toc101993465 \h </w:instrText>
            </w:r>
            <w:r w:rsidR="002C4F6A" w:rsidRPr="007918C3">
              <w:rPr>
                <w:noProof/>
                <w:webHidden/>
                <w:color w:val="000000" w:themeColor="text1"/>
                <w:lang w:val="en-GB"/>
              </w:rPr>
            </w:r>
            <w:r w:rsidR="002C4F6A" w:rsidRPr="007918C3">
              <w:rPr>
                <w:noProof/>
                <w:webHidden/>
                <w:color w:val="000000" w:themeColor="text1"/>
                <w:lang w:val="en-GB"/>
              </w:rPr>
              <w:fldChar w:fldCharType="separate"/>
            </w:r>
            <w:r w:rsidR="002C4F6A" w:rsidRPr="007918C3">
              <w:rPr>
                <w:noProof/>
                <w:webHidden/>
                <w:color w:val="000000" w:themeColor="text1"/>
                <w:lang w:val="en-GB"/>
              </w:rPr>
              <w:t>9</w:t>
            </w:r>
            <w:r w:rsidR="002C4F6A" w:rsidRPr="007918C3">
              <w:rPr>
                <w:noProof/>
                <w:webHidden/>
                <w:color w:val="000000" w:themeColor="text1"/>
                <w:lang w:val="en-GB"/>
              </w:rPr>
              <w:fldChar w:fldCharType="end"/>
            </w:r>
          </w:hyperlink>
        </w:p>
        <w:p w14:paraId="154CD13F" w14:textId="4F8298C0" w:rsidR="002C4F6A" w:rsidRPr="007918C3" w:rsidRDefault="00DF54AF" w:rsidP="002C4F6A">
          <w:pPr>
            <w:pStyle w:val="TOC2"/>
            <w:tabs>
              <w:tab w:val="right" w:leader="dot" w:pos="9350"/>
            </w:tabs>
            <w:spacing w:after="240"/>
            <w:rPr>
              <w:noProof/>
              <w:color w:val="000000" w:themeColor="text1"/>
              <w:lang w:val="en-GB"/>
            </w:rPr>
          </w:pPr>
          <w:hyperlink w:anchor="_Toc101993466" w:history="1">
            <w:r w:rsidR="002C4F6A" w:rsidRPr="007918C3">
              <w:rPr>
                <w:rStyle w:val="Hyperlink"/>
                <w:noProof/>
                <w:color w:val="000000" w:themeColor="text1"/>
                <w:lang w:val="en-GB"/>
              </w:rPr>
              <w:t>Analysis of the role of human resource managers in addressing the concerns of inequality</w:t>
            </w:r>
            <w:r w:rsidR="002C4F6A" w:rsidRPr="007918C3">
              <w:rPr>
                <w:noProof/>
                <w:webHidden/>
                <w:color w:val="000000" w:themeColor="text1"/>
                <w:lang w:val="en-GB"/>
              </w:rPr>
              <w:tab/>
            </w:r>
            <w:r w:rsidR="002C4F6A" w:rsidRPr="007918C3">
              <w:rPr>
                <w:noProof/>
                <w:webHidden/>
                <w:color w:val="000000" w:themeColor="text1"/>
                <w:lang w:val="en-GB"/>
              </w:rPr>
              <w:fldChar w:fldCharType="begin"/>
            </w:r>
            <w:r w:rsidR="002C4F6A" w:rsidRPr="007918C3">
              <w:rPr>
                <w:noProof/>
                <w:webHidden/>
                <w:color w:val="000000" w:themeColor="text1"/>
                <w:lang w:val="en-GB"/>
              </w:rPr>
              <w:instrText xml:space="preserve"> PAGEREF _Toc101993466 \h </w:instrText>
            </w:r>
            <w:r w:rsidR="002C4F6A" w:rsidRPr="007918C3">
              <w:rPr>
                <w:noProof/>
                <w:webHidden/>
                <w:color w:val="000000" w:themeColor="text1"/>
                <w:lang w:val="en-GB"/>
              </w:rPr>
            </w:r>
            <w:r w:rsidR="002C4F6A" w:rsidRPr="007918C3">
              <w:rPr>
                <w:noProof/>
                <w:webHidden/>
                <w:color w:val="000000" w:themeColor="text1"/>
                <w:lang w:val="en-GB"/>
              </w:rPr>
              <w:fldChar w:fldCharType="separate"/>
            </w:r>
            <w:r w:rsidR="002C4F6A" w:rsidRPr="007918C3">
              <w:rPr>
                <w:noProof/>
                <w:webHidden/>
                <w:color w:val="000000" w:themeColor="text1"/>
                <w:lang w:val="en-GB"/>
              </w:rPr>
              <w:t>10</w:t>
            </w:r>
            <w:r w:rsidR="002C4F6A" w:rsidRPr="007918C3">
              <w:rPr>
                <w:noProof/>
                <w:webHidden/>
                <w:color w:val="000000" w:themeColor="text1"/>
                <w:lang w:val="en-GB"/>
              </w:rPr>
              <w:fldChar w:fldCharType="end"/>
            </w:r>
          </w:hyperlink>
        </w:p>
        <w:p w14:paraId="3F042DD6" w14:textId="5FC10244" w:rsidR="002C4F6A" w:rsidRPr="007918C3" w:rsidRDefault="00DF54AF" w:rsidP="002C4F6A">
          <w:pPr>
            <w:pStyle w:val="TOC1"/>
            <w:tabs>
              <w:tab w:val="right" w:leader="dot" w:pos="9350"/>
            </w:tabs>
            <w:spacing w:after="240"/>
            <w:rPr>
              <w:noProof/>
              <w:color w:val="000000" w:themeColor="text1"/>
              <w:lang w:val="en-GB"/>
            </w:rPr>
          </w:pPr>
          <w:hyperlink w:anchor="_Toc101993467" w:history="1">
            <w:r w:rsidR="002C4F6A" w:rsidRPr="007918C3">
              <w:rPr>
                <w:rStyle w:val="Hyperlink"/>
                <w:noProof/>
                <w:color w:val="000000" w:themeColor="text1"/>
                <w:lang w:val="en-GB"/>
              </w:rPr>
              <w:t>Conclusion</w:t>
            </w:r>
            <w:r w:rsidR="002C4F6A" w:rsidRPr="007918C3">
              <w:rPr>
                <w:noProof/>
                <w:webHidden/>
                <w:color w:val="000000" w:themeColor="text1"/>
                <w:lang w:val="en-GB"/>
              </w:rPr>
              <w:tab/>
            </w:r>
            <w:r w:rsidR="002C4F6A" w:rsidRPr="007918C3">
              <w:rPr>
                <w:noProof/>
                <w:webHidden/>
                <w:color w:val="000000" w:themeColor="text1"/>
                <w:lang w:val="en-GB"/>
              </w:rPr>
              <w:fldChar w:fldCharType="begin"/>
            </w:r>
            <w:r w:rsidR="002C4F6A" w:rsidRPr="007918C3">
              <w:rPr>
                <w:noProof/>
                <w:webHidden/>
                <w:color w:val="000000" w:themeColor="text1"/>
                <w:lang w:val="en-GB"/>
              </w:rPr>
              <w:instrText xml:space="preserve"> PAGEREF _Toc101993467 \h </w:instrText>
            </w:r>
            <w:r w:rsidR="002C4F6A" w:rsidRPr="007918C3">
              <w:rPr>
                <w:noProof/>
                <w:webHidden/>
                <w:color w:val="000000" w:themeColor="text1"/>
                <w:lang w:val="en-GB"/>
              </w:rPr>
            </w:r>
            <w:r w:rsidR="002C4F6A" w:rsidRPr="007918C3">
              <w:rPr>
                <w:noProof/>
                <w:webHidden/>
                <w:color w:val="000000" w:themeColor="text1"/>
                <w:lang w:val="en-GB"/>
              </w:rPr>
              <w:fldChar w:fldCharType="separate"/>
            </w:r>
            <w:r w:rsidR="002C4F6A" w:rsidRPr="007918C3">
              <w:rPr>
                <w:noProof/>
                <w:webHidden/>
                <w:color w:val="000000" w:themeColor="text1"/>
                <w:lang w:val="en-GB"/>
              </w:rPr>
              <w:t>13</w:t>
            </w:r>
            <w:r w:rsidR="002C4F6A" w:rsidRPr="007918C3">
              <w:rPr>
                <w:noProof/>
                <w:webHidden/>
                <w:color w:val="000000" w:themeColor="text1"/>
                <w:lang w:val="en-GB"/>
              </w:rPr>
              <w:fldChar w:fldCharType="end"/>
            </w:r>
          </w:hyperlink>
        </w:p>
        <w:p w14:paraId="1E5F3D51" w14:textId="1F20477E" w:rsidR="002C4F6A" w:rsidRPr="007918C3" w:rsidRDefault="00DF54AF" w:rsidP="002C4F6A">
          <w:pPr>
            <w:pStyle w:val="TOC1"/>
            <w:tabs>
              <w:tab w:val="right" w:leader="dot" w:pos="9350"/>
            </w:tabs>
            <w:spacing w:after="240"/>
            <w:rPr>
              <w:noProof/>
              <w:color w:val="000000" w:themeColor="text1"/>
              <w:lang w:val="en-GB"/>
            </w:rPr>
          </w:pPr>
          <w:hyperlink w:anchor="_Toc101993468" w:history="1">
            <w:r w:rsidR="002C4F6A" w:rsidRPr="007918C3">
              <w:rPr>
                <w:rStyle w:val="Hyperlink"/>
                <w:noProof/>
                <w:color w:val="000000" w:themeColor="text1"/>
                <w:lang w:val="en-GB"/>
              </w:rPr>
              <w:t>Reference List</w:t>
            </w:r>
            <w:r w:rsidR="002C4F6A" w:rsidRPr="007918C3">
              <w:rPr>
                <w:noProof/>
                <w:webHidden/>
                <w:color w:val="000000" w:themeColor="text1"/>
                <w:lang w:val="en-GB"/>
              </w:rPr>
              <w:tab/>
            </w:r>
            <w:r w:rsidR="002C4F6A" w:rsidRPr="007918C3">
              <w:rPr>
                <w:noProof/>
                <w:webHidden/>
                <w:color w:val="000000" w:themeColor="text1"/>
                <w:lang w:val="en-GB"/>
              </w:rPr>
              <w:fldChar w:fldCharType="begin"/>
            </w:r>
            <w:r w:rsidR="002C4F6A" w:rsidRPr="007918C3">
              <w:rPr>
                <w:noProof/>
                <w:webHidden/>
                <w:color w:val="000000" w:themeColor="text1"/>
                <w:lang w:val="en-GB"/>
              </w:rPr>
              <w:instrText xml:space="preserve"> PAGEREF _Toc101993468 \h </w:instrText>
            </w:r>
            <w:r w:rsidR="002C4F6A" w:rsidRPr="007918C3">
              <w:rPr>
                <w:noProof/>
                <w:webHidden/>
                <w:color w:val="000000" w:themeColor="text1"/>
                <w:lang w:val="en-GB"/>
              </w:rPr>
            </w:r>
            <w:r w:rsidR="002C4F6A" w:rsidRPr="007918C3">
              <w:rPr>
                <w:noProof/>
                <w:webHidden/>
                <w:color w:val="000000" w:themeColor="text1"/>
                <w:lang w:val="en-GB"/>
              </w:rPr>
              <w:fldChar w:fldCharType="separate"/>
            </w:r>
            <w:r w:rsidR="002C4F6A" w:rsidRPr="007918C3">
              <w:rPr>
                <w:noProof/>
                <w:webHidden/>
                <w:color w:val="000000" w:themeColor="text1"/>
                <w:lang w:val="en-GB"/>
              </w:rPr>
              <w:t>14</w:t>
            </w:r>
            <w:r w:rsidR="002C4F6A" w:rsidRPr="007918C3">
              <w:rPr>
                <w:noProof/>
                <w:webHidden/>
                <w:color w:val="000000" w:themeColor="text1"/>
                <w:lang w:val="en-GB"/>
              </w:rPr>
              <w:fldChar w:fldCharType="end"/>
            </w:r>
          </w:hyperlink>
        </w:p>
        <w:p w14:paraId="7F28B36D" w14:textId="346360A0" w:rsidR="002C4F6A" w:rsidRPr="007918C3" w:rsidRDefault="002C4F6A" w:rsidP="002C4F6A">
          <w:pPr>
            <w:spacing w:after="240"/>
            <w:rPr>
              <w:color w:val="000000" w:themeColor="text1"/>
              <w:lang w:val="en-GB"/>
            </w:rPr>
          </w:pPr>
          <w:r w:rsidRPr="007918C3">
            <w:rPr>
              <w:b/>
              <w:bCs/>
              <w:noProof/>
              <w:color w:val="000000" w:themeColor="text1"/>
              <w:lang w:val="en-GB"/>
            </w:rPr>
            <w:fldChar w:fldCharType="end"/>
          </w:r>
        </w:p>
      </w:sdtContent>
    </w:sdt>
    <w:p w14:paraId="14B58CBC" w14:textId="35B2D3C2" w:rsidR="002B7895" w:rsidRPr="007918C3" w:rsidRDefault="002B7895">
      <w:pPr>
        <w:rPr>
          <w:b/>
          <w:lang w:val="en-GB"/>
        </w:rPr>
      </w:pPr>
      <w:r w:rsidRPr="007918C3">
        <w:rPr>
          <w:lang w:val="en-GB"/>
        </w:rPr>
        <w:br w:type="page"/>
      </w:r>
    </w:p>
    <w:p w14:paraId="5CBB3A5E" w14:textId="17E704F3" w:rsidR="008870BB" w:rsidRPr="007918C3" w:rsidRDefault="00ED52EE">
      <w:pPr>
        <w:pStyle w:val="Heading1"/>
        <w:rPr>
          <w:lang w:val="en-GB"/>
        </w:rPr>
      </w:pPr>
      <w:bookmarkStart w:id="1" w:name="_Toc101993461"/>
      <w:r w:rsidRPr="007918C3">
        <w:rPr>
          <w:lang w:val="en-GB"/>
        </w:rPr>
        <w:lastRenderedPageBreak/>
        <w:t>Introduction</w:t>
      </w:r>
      <w:bookmarkEnd w:id="1"/>
    </w:p>
    <w:p w14:paraId="5377F926" w14:textId="3C9E170C" w:rsidR="002B7895" w:rsidRPr="007918C3" w:rsidRDefault="00ED52EE">
      <w:pPr>
        <w:rPr>
          <w:lang w:val="en-GB"/>
        </w:rPr>
      </w:pPr>
      <w:r w:rsidRPr="007918C3">
        <w:rPr>
          <w:lang w:val="en-GB"/>
        </w:rPr>
        <w:t xml:space="preserve">Managing people is one of the core tasks that can make an organisation able to enhance the overall performance in order to gain a competitive edge in the market. According to the opinion of </w:t>
      </w:r>
      <w:proofErr w:type="spellStart"/>
      <w:r w:rsidRPr="007918C3">
        <w:rPr>
          <w:lang w:val="en-GB"/>
        </w:rPr>
        <w:t>Abualoush</w:t>
      </w:r>
      <w:proofErr w:type="spellEnd"/>
      <w:r w:rsidRPr="007918C3">
        <w:rPr>
          <w:lang w:val="en-GB"/>
        </w:rPr>
        <w:t xml:space="preserve"> </w:t>
      </w:r>
      <w:r w:rsidRPr="007918C3">
        <w:rPr>
          <w:i/>
          <w:lang w:val="en-GB"/>
        </w:rPr>
        <w:t xml:space="preserve">et al. </w:t>
      </w:r>
      <w:r w:rsidRPr="007918C3">
        <w:rPr>
          <w:lang w:val="en-GB"/>
        </w:rPr>
        <w:t>(2018), effective management of the available people in an organisation can result in increasing the level of efficiency and performance. Since the outbreak of Covid 19, 55% of the employers are expecting an increase in the staff partly working from their homes (acas.org.uk, 2021). This kind of situation can certainly be beneficial as well as consequential for an organisation.</w:t>
      </w:r>
      <w:bookmarkStart w:id="2" w:name="_2d6r60gwyqfm" w:colFirst="0" w:colLast="0"/>
      <w:bookmarkEnd w:id="2"/>
      <w:r w:rsidR="002B7895" w:rsidRPr="007918C3">
        <w:rPr>
          <w:lang w:val="en-GB"/>
        </w:rPr>
        <w:br w:type="page"/>
      </w:r>
    </w:p>
    <w:p w14:paraId="43450D34" w14:textId="24D3267B" w:rsidR="008870BB" w:rsidRPr="007918C3" w:rsidRDefault="00ED52EE">
      <w:pPr>
        <w:pStyle w:val="Heading1"/>
        <w:rPr>
          <w:lang w:val="en-GB"/>
        </w:rPr>
      </w:pPr>
      <w:bookmarkStart w:id="3" w:name="_Toc101993462"/>
      <w:r w:rsidRPr="007918C3">
        <w:rPr>
          <w:lang w:val="en-GB"/>
        </w:rPr>
        <w:lastRenderedPageBreak/>
        <w:t>Organisational Background</w:t>
      </w:r>
      <w:bookmarkEnd w:id="3"/>
      <w:r w:rsidRPr="007918C3">
        <w:rPr>
          <w:lang w:val="en-GB"/>
        </w:rPr>
        <w:tab/>
      </w:r>
    </w:p>
    <w:p w14:paraId="4B184BE5" w14:textId="77777777" w:rsidR="008870BB" w:rsidRPr="007918C3" w:rsidRDefault="00ED52EE">
      <w:pPr>
        <w:jc w:val="center"/>
        <w:rPr>
          <w:lang w:val="en-GB"/>
        </w:rPr>
      </w:pPr>
      <w:r w:rsidRPr="007918C3">
        <w:rPr>
          <w:noProof/>
          <w:lang w:val="en-GB"/>
        </w:rPr>
        <w:drawing>
          <wp:inline distT="114300" distB="114300" distL="114300" distR="114300" wp14:anchorId="104B707C" wp14:editId="5EF8BFA7">
            <wp:extent cx="5614988" cy="3383390"/>
            <wp:effectExtent l="57150" t="0" r="271780" b="46482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614988" cy="338339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7E247F62" w14:textId="77777777" w:rsidR="008870BB" w:rsidRPr="007918C3" w:rsidRDefault="00ED52EE">
      <w:pPr>
        <w:jc w:val="center"/>
        <w:rPr>
          <w:b/>
          <w:lang w:val="en-GB"/>
        </w:rPr>
      </w:pPr>
      <w:r w:rsidRPr="007918C3">
        <w:rPr>
          <w:b/>
          <w:lang w:val="en-GB"/>
        </w:rPr>
        <w:t>Figure 1: Reasons for working from home in Britain</w:t>
      </w:r>
    </w:p>
    <w:p w14:paraId="5937C1B8" w14:textId="77777777" w:rsidR="008870BB" w:rsidRPr="007918C3" w:rsidRDefault="00ED52EE">
      <w:pPr>
        <w:jc w:val="center"/>
        <w:rPr>
          <w:lang w:val="en-GB"/>
        </w:rPr>
      </w:pPr>
      <w:r w:rsidRPr="007918C3">
        <w:rPr>
          <w:lang w:val="en-GB"/>
        </w:rPr>
        <w:t>(Source: Clark, 2021)</w:t>
      </w:r>
    </w:p>
    <w:p w14:paraId="4B0F9812" w14:textId="77777777" w:rsidR="008870BB" w:rsidRPr="007918C3" w:rsidRDefault="00ED52EE">
      <w:pPr>
        <w:rPr>
          <w:lang w:val="en-GB"/>
        </w:rPr>
      </w:pPr>
      <w:r w:rsidRPr="007918C3">
        <w:rPr>
          <w:b/>
          <w:i/>
          <w:lang w:val="en-GB"/>
        </w:rPr>
        <w:t xml:space="preserve">Inditex </w:t>
      </w:r>
      <w:r w:rsidRPr="007918C3">
        <w:rPr>
          <w:lang w:val="en-GB"/>
        </w:rPr>
        <w:t xml:space="preserve">is one such organisation in the global fashion retail industry which possesses big names such as </w:t>
      </w:r>
      <w:r w:rsidRPr="007918C3">
        <w:rPr>
          <w:b/>
          <w:i/>
          <w:lang w:val="en-GB"/>
        </w:rPr>
        <w:t xml:space="preserve">Zara </w:t>
      </w:r>
      <w:r w:rsidRPr="007918C3">
        <w:rPr>
          <w:lang w:val="en-GB"/>
        </w:rPr>
        <w:t xml:space="preserve">and </w:t>
      </w:r>
      <w:proofErr w:type="spellStart"/>
      <w:r w:rsidRPr="007918C3">
        <w:rPr>
          <w:b/>
          <w:i/>
          <w:lang w:val="en-GB"/>
        </w:rPr>
        <w:t>Pull&amp;Bear</w:t>
      </w:r>
      <w:proofErr w:type="spellEnd"/>
      <w:r w:rsidRPr="007918C3">
        <w:rPr>
          <w:b/>
          <w:i/>
          <w:lang w:val="en-GB"/>
        </w:rPr>
        <w:t xml:space="preserve"> </w:t>
      </w:r>
      <w:r w:rsidRPr="007918C3">
        <w:rPr>
          <w:lang w:val="en-GB"/>
        </w:rPr>
        <w:t xml:space="preserve">as its brands. It is observed that the management of </w:t>
      </w:r>
      <w:r w:rsidRPr="007918C3">
        <w:rPr>
          <w:b/>
          <w:i/>
          <w:lang w:val="en-GB"/>
        </w:rPr>
        <w:t xml:space="preserve">Inditex </w:t>
      </w:r>
      <w:r w:rsidRPr="007918C3">
        <w:rPr>
          <w:lang w:val="en-GB"/>
        </w:rPr>
        <w:t xml:space="preserve">claims to maintain </w:t>
      </w:r>
      <w:r w:rsidRPr="007918C3">
        <w:rPr>
          <w:b/>
          <w:i/>
          <w:lang w:val="en-GB"/>
        </w:rPr>
        <w:t xml:space="preserve">sustainability, flexibility </w:t>
      </w:r>
      <w:r w:rsidRPr="007918C3">
        <w:rPr>
          <w:lang w:val="en-GB"/>
        </w:rPr>
        <w:t xml:space="preserve">as well as </w:t>
      </w:r>
      <w:r w:rsidRPr="007918C3">
        <w:rPr>
          <w:b/>
          <w:i/>
          <w:lang w:val="en-GB"/>
        </w:rPr>
        <w:t xml:space="preserve">digital integration </w:t>
      </w:r>
      <w:r w:rsidRPr="007918C3">
        <w:rPr>
          <w:lang w:val="en-GB"/>
        </w:rPr>
        <w:t xml:space="preserve">within the working system for its further development (inditex.com, 2022 (A)). The belief in inclusive growth through the means of involving all the employees as well as stakeholders within the working process has been quite successful for </w:t>
      </w:r>
      <w:r w:rsidRPr="007918C3">
        <w:rPr>
          <w:b/>
          <w:i/>
          <w:lang w:val="en-GB"/>
        </w:rPr>
        <w:t xml:space="preserve">Inditex </w:t>
      </w:r>
      <w:r w:rsidRPr="007918C3">
        <w:rPr>
          <w:lang w:val="en-GB"/>
        </w:rPr>
        <w:t>(inditex.com, 2022 (B)). According to the findings of Clark (2021), 60% of the workers in Britain are pursuing their work from their respective homes to fulfil the wishes of their employers. The outbreak of the global pandemic has been the key influencer in changing the process of working in the company to a great extent as a physical presence at the workplace was forbidden due to the pandemic.</w:t>
      </w:r>
    </w:p>
    <w:p w14:paraId="3049B76B" w14:textId="77777777" w:rsidR="008870BB" w:rsidRPr="007918C3" w:rsidRDefault="00ED52EE">
      <w:pPr>
        <w:pStyle w:val="Heading2"/>
        <w:rPr>
          <w:lang w:val="en-GB"/>
        </w:rPr>
      </w:pPr>
      <w:bookmarkStart w:id="4" w:name="_h0fijot9ymb4" w:colFirst="0" w:colLast="0"/>
      <w:bookmarkStart w:id="5" w:name="_Toc101993463"/>
      <w:bookmarkEnd w:id="4"/>
      <w:r w:rsidRPr="007918C3">
        <w:rPr>
          <w:lang w:val="en-GB"/>
        </w:rPr>
        <w:lastRenderedPageBreak/>
        <w:t>Role of flexible working in enhancing diversity and inclusion in the workplace</w:t>
      </w:r>
      <w:bookmarkEnd w:id="5"/>
    </w:p>
    <w:p w14:paraId="170E4549" w14:textId="77777777" w:rsidR="008870BB" w:rsidRPr="007918C3" w:rsidRDefault="00ED52EE">
      <w:pPr>
        <w:rPr>
          <w:lang w:val="en-GB"/>
        </w:rPr>
      </w:pPr>
      <w:r w:rsidRPr="007918C3">
        <w:rPr>
          <w:lang w:val="en-GB"/>
        </w:rPr>
        <w:t xml:space="preserve">As per the survey conducted by </w:t>
      </w:r>
      <w:r w:rsidRPr="007918C3">
        <w:rPr>
          <w:b/>
          <w:i/>
          <w:lang w:val="en-GB"/>
        </w:rPr>
        <w:t xml:space="preserve">ACAS, </w:t>
      </w:r>
      <w:r w:rsidRPr="007918C3">
        <w:rPr>
          <w:lang w:val="en-GB"/>
        </w:rPr>
        <w:t xml:space="preserve">more than 50% of employers in Great Britain are of the expectation that employees should work from their respective homes in order to increase flexibility (acas.org.uk, 2021). On the other hand, the arguments of Meagher (2019) have also stated that flexible working is the key to inclusivity and diversity in the same while reducing the gender pay gaps and maintaining career balance. Hence, companies such as </w:t>
      </w:r>
      <w:r w:rsidRPr="007918C3">
        <w:rPr>
          <w:b/>
          <w:i/>
          <w:lang w:val="en-GB"/>
        </w:rPr>
        <w:t xml:space="preserve">Inditex </w:t>
      </w:r>
      <w:r w:rsidRPr="007918C3">
        <w:rPr>
          <w:lang w:val="en-GB"/>
        </w:rPr>
        <w:t>can certainly have the opportunity to enhance the quality of performance and business activities. This will certainly make the organisation able to keep up with the demands in the current market and satisfy the customers by gaining a competitive edge over the competitors.</w:t>
      </w:r>
    </w:p>
    <w:p w14:paraId="1984CAF4" w14:textId="77777777" w:rsidR="008870BB" w:rsidRPr="007918C3" w:rsidRDefault="00ED52EE">
      <w:pPr>
        <w:rPr>
          <w:lang w:val="en-GB"/>
        </w:rPr>
      </w:pPr>
      <w:r w:rsidRPr="007918C3">
        <w:rPr>
          <w:lang w:val="en-GB"/>
        </w:rPr>
        <w:t xml:space="preserve">It has been observed that flexible working is a proper arrangement for working which proves to be beneficial for both the organisations as well as the employees (acas.org.uk, 2021). The fact is that flexibility in remote working can help in increasing the involvement of more employees from different parts and regions of the country. Hence this will further result in inculcating a sense of diversity through the inclusion of workers from different cultural and ethnic backgrounds. As per the understandings of </w:t>
      </w:r>
      <w:proofErr w:type="spellStart"/>
      <w:r w:rsidRPr="007918C3">
        <w:rPr>
          <w:lang w:val="en-GB"/>
        </w:rPr>
        <w:t>Kuknor</w:t>
      </w:r>
      <w:proofErr w:type="spellEnd"/>
      <w:r w:rsidRPr="007918C3">
        <w:rPr>
          <w:lang w:val="en-GB"/>
        </w:rPr>
        <w:t xml:space="preserve"> and Bhattacharya (2020), involving people from different cultural and ethnic backgrounds in the working system can certainly help in enhancing the level of inclusivity in the same. In that case, the chances of enhancing the overall organisational performance through the generation of ideas and concepts will be increased.</w:t>
      </w:r>
    </w:p>
    <w:p w14:paraId="166AA66B" w14:textId="77777777" w:rsidR="008870BB" w:rsidRPr="007918C3" w:rsidRDefault="00ED52EE">
      <w:pPr>
        <w:rPr>
          <w:lang w:val="en-GB"/>
        </w:rPr>
      </w:pPr>
      <w:r w:rsidRPr="007918C3">
        <w:rPr>
          <w:lang w:val="en-GB"/>
        </w:rPr>
        <w:t xml:space="preserve">As far as </w:t>
      </w:r>
      <w:r w:rsidRPr="007918C3">
        <w:rPr>
          <w:b/>
          <w:i/>
          <w:lang w:val="en-GB"/>
        </w:rPr>
        <w:t xml:space="preserve">Inditex </w:t>
      </w:r>
      <w:r w:rsidRPr="007918C3">
        <w:rPr>
          <w:lang w:val="en-GB"/>
        </w:rPr>
        <w:t xml:space="preserve">is concerned, the company has always focused on maintaining a sense of diversity and inclusivity in the working system by involving all the workers and stakeholders (inditex.com, 2022 (C)). This strategy by the concerned organisation has been the key factor in making the employees, as well as the stakeholders, feel more comfortable and familiar. Hence, it has also been quite helpful in increasing the chances of developing innovative ideas and concepts within the working system. As per the arguments of Singh </w:t>
      </w:r>
      <w:r w:rsidRPr="007918C3">
        <w:rPr>
          <w:i/>
          <w:lang w:val="en-GB"/>
        </w:rPr>
        <w:t xml:space="preserve">et al. </w:t>
      </w:r>
      <w:r w:rsidRPr="007918C3">
        <w:rPr>
          <w:lang w:val="en-GB"/>
        </w:rPr>
        <w:t>(2021), generating innovative ideas and solutions can certainly have a key role in enhancing the overall performance of an organisation. Hence, it is proved that through the means of inclusivity and diversity in a working process, the overall efficiency of the same can be increased by a significant margin.</w:t>
      </w:r>
    </w:p>
    <w:p w14:paraId="147F1E0E" w14:textId="77777777" w:rsidR="008870BB" w:rsidRPr="007918C3" w:rsidRDefault="00ED52EE">
      <w:pPr>
        <w:rPr>
          <w:lang w:val="en-GB"/>
        </w:rPr>
      </w:pPr>
      <w:r w:rsidRPr="007918C3">
        <w:rPr>
          <w:lang w:val="en-GB"/>
        </w:rPr>
        <w:t xml:space="preserve">In terms of enhancing the effectiveness of the customer service, the administration of </w:t>
      </w:r>
      <w:r w:rsidRPr="007918C3">
        <w:rPr>
          <w:b/>
          <w:i/>
          <w:lang w:val="en-GB"/>
        </w:rPr>
        <w:t xml:space="preserve">Inditex </w:t>
      </w:r>
      <w:r w:rsidRPr="007918C3">
        <w:rPr>
          <w:lang w:val="en-GB"/>
        </w:rPr>
        <w:t xml:space="preserve">has been focusing on generating </w:t>
      </w:r>
      <w:r w:rsidRPr="007918C3">
        <w:rPr>
          <w:b/>
          <w:i/>
          <w:lang w:val="en-GB"/>
        </w:rPr>
        <w:t xml:space="preserve">customer-based innovations </w:t>
      </w:r>
      <w:r w:rsidRPr="007918C3">
        <w:rPr>
          <w:lang w:val="en-GB"/>
        </w:rPr>
        <w:t xml:space="preserve">within the employees so that the overall </w:t>
      </w:r>
      <w:r w:rsidRPr="007918C3">
        <w:rPr>
          <w:lang w:val="en-GB"/>
        </w:rPr>
        <w:lastRenderedPageBreak/>
        <w:t xml:space="preserve">culture can be enhanced. It has been observed that </w:t>
      </w:r>
      <w:r w:rsidRPr="007918C3">
        <w:rPr>
          <w:b/>
          <w:i/>
          <w:lang w:val="en-GB"/>
        </w:rPr>
        <w:t xml:space="preserve">Inditex </w:t>
      </w:r>
      <w:r w:rsidRPr="007918C3">
        <w:rPr>
          <w:lang w:val="en-GB"/>
        </w:rPr>
        <w:t xml:space="preserve">has implemented the system of </w:t>
      </w:r>
      <w:r w:rsidRPr="007918C3">
        <w:rPr>
          <w:b/>
          <w:i/>
          <w:lang w:val="en-GB"/>
        </w:rPr>
        <w:t xml:space="preserve">Radio Frequency Identification (RFID) </w:t>
      </w:r>
      <w:r w:rsidRPr="007918C3">
        <w:rPr>
          <w:lang w:val="en-GB"/>
        </w:rPr>
        <w:t>in order to make it easier for customers to find the items of their choice (inditex.com, 2022 (D)). Diversity and inclusivity within the working system have been the catalytic factors that helped in generating innovations and creativity within the same. Hence, it can also be observed that organisational performance can be enhanced through the means of inculcating diversity and inclusivity among the employees.</w:t>
      </w:r>
    </w:p>
    <w:p w14:paraId="6BB0C7FD" w14:textId="77777777" w:rsidR="008870BB" w:rsidRPr="007918C3" w:rsidRDefault="00ED52EE">
      <w:pPr>
        <w:pStyle w:val="Heading2"/>
        <w:rPr>
          <w:lang w:val="en-GB"/>
        </w:rPr>
      </w:pPr>
      <w:bookmarkStart w:id="6" w:name="_6uc7k832arut" w:colFirst="0" w:colLast="0"/>
      <w:bookmarkStart w:id="7" w:name="_Toc101993464"/>
      <w:bookmarkEnd w:id="6"/>
      <w:r w:rsidRPr="007918C3">
        <w:rPr>
          <w:lang w:val="en-GB"/>
        </w:rPr>
        <w:t>Analysis of the role of human resource managers in the promotion of diversity and inclusion in the workplace</w:t>
      </w:r>
      <w:bookmarkEnd w:id="7"/>
    </w:p>
    <w:p w14:paraId="77F52AFE" w14:textId="77777777" w:rsidR="008870BB" w:rsidRPr="007918C3" w:rsidRDefault="00ED52EE">
      <w:pPr>
        <w:rPr>
          <w:lang w:val="en-GB"/>
        </w:rPr>
      </w:pPr>
      <w:r w:rsidRPr="007918C3">
        <w:rPr>
          <w:lang w:val="en-GB"/>
        </w:rPr>
        <w:t xml:space="preserve">The role of a human resource manager is immense in terms of promoting diversity and inclusivity within the working system of an organisation. One of the ways that a human resource manager can focus is on </w:t>
      </w:r>
      <w:r w:rsidRPr="007918C3">
        <w:rPr>
          <w:b/>
          <w:i/>
          <w:lang w:val="en-GB"/>
        </w:rPr>
        <w:t xml:space="preserve">addressing the bias in the workplace </w:t>
      </w:r>
      <w:r w:rsidRPr="007918C3">
        <w:rPr>
          <w:lang w:val="en-GB"/>
        </w:rPr>
        <w:t xml:space="preserve">in order to promote inclusivity and diversity within the workplace. As per the opinion of </w:t>
      </w:r>
      <w:proofErr w:type="spellStart"/>
      <w:r w:rsidRPr="007918C3">
        <w:rPr>
          <w:lang w:val="en-GB"/>
        </w:rPr>
        <w:t>Schloemer</w:t>
      </w:r>
      <w:proofErr w:type="spellEnd"/>
      <w:r w:rsidRPr="007918C3">
        <w:rPr>
          <w:lang w:val="en-GB"/>
        </w:rPr>
        <w:t xml:space="preserve">-Jarvis </w:t>
      </w:r>
      <w:r w:rsidRPr="007918C3">
        <w:rPr>
          <w:i/>
          <w:lang w:val="en-GB"/>
        </w:rPr>
        <w:t xml:space="preserve">et al. </w:t>
      </w:r>
      <w:r w:rsidRPr="007918C3">
        <w:rPr>
          <w:lang w:val="en-GB"/>
        </w:rPr>
        <w:t>(2022), a human resource manager has a crucial role to play in reducing the bias within the working system. Hence, by implementing this process, the chances of maintaining equality within the organisation will certainly be increased by a significant margin. This will further make the employees feel treated specially by the concerned management. In other words, reducing the bias among the employees and promoting equality among the same will further encourage them to be more engaged with the organisation and hence, the overall performance level will be increased.</w:t>
      </w:r>
    </w:p>
    <w:p w14:paraId="137F5CAB" w14:textId="77777777" w:rsidR="008870BB" w:rsidRPr="007918C3" w:rsidRDefault="00ED52EE">
      <w:pPr>
        <w:rPr>
          <w:lang w:val="en-GB"/>
        </w:rPr>
      </w:pPr>
      <w:r w:rsidRPr="007918C3">
        <w:rPr>
          <w:lang w:val="en-GB"/>
        </w:rPr>
        <w:t xml:space="preserve">As far as the working process and organisational culture of </w:t>
      </w:r>
      <w:r w:rsidRPr="007918C3">
        <w:rPr>
          <w:b/>
          <w:i/>
          <w:lang w:val="en-GB"/>
        </w:rPr>
        <w:t xml:space="preserve">Inditex </w:t>
      </w:r>
      <w:r w:rsidRPr="007918C3">
        <w:rPr>
          <w:lang w:val="en-GB"/>
        </w:rPr>
        <w:t xml:space="preserve">are concerned, the company claims to have maintained a sense of equality and inclusivity among the employees through the means of motivation, humility, teamwork and commitment (inditex.com, 2022 (C)). This has been one of the key factors behind the increasing growth and performance levels of the company at the global level. On the other hand, the claims of the company also state that </w:t>
      </w:r>
      <w:r w:rsidRPr="007918C3">
        <w:rPr>
          <w:b/>
          <w:i/>
          <w:lang w:val="en-GB"/>
        </w:rPr>
        <w:t xml:space="preserve">Inditex </w:t>
      </w:r>
      <w:r w:rsidRPr="007918C3">
        <w:rPr>
          <w:lang w:val="en-GB"/>
        </w:rPr>
        <w:t xml:space="preserve">has been committed to creating an inclusive work environment that empowers the employees without any kind of an exception to strive towards excellence. In this case, the company has also stated that </w:t>
      </w:r>
      <w:r w:rsidRPr="007918C3">
        <w:rPr>
          <w:b/>
          <w:i/>
          <w:lang w:val="en-GB"/>
        </w:rPr>
        <w:t xml:space="preserve">multiculturalism, respect </w:t>
      </w:r>
      <w:r w:rsidRPr="007918C3">
        <w:rPr>
          <w:lang w:val="en-GB"/>
        </w:rPr>
        <w:t xml:space="preserve">as well as </w:t>
      </w:r>
      <w:r w:rsidRPr="007918C3">
        <w:rPr>
          <w:b/>
          <w:i/>
          <w:lang w:val="en-GB"/>
        </w:rPr>
        <w:t xml:space="preserve">diversity </w:t>
      </w:r>
      <w:r w:rsidRPr="007918C3">
        <w:rPr>
          <w:lang w:val="en-GB"/>
        </w:rPr>
        <w:t>are the components and integral parts of the company's DNA which is the key to success (inditex.com, 2022 (E)). In this case, as well, it is evident that the human resource managers of the company are the catalytic forces behind the promotion of diversity and inclusion in the workplace.</w:t>
      </w:r>
    </w:p>
    <w:p w14:paraId="1812D27B" w14:textId="77777777" w:rsidR="008870BB" w:rsidRPr="007918C3" w:rsidRDefault="00ED52EE">
      <w:pPr>
        <w:rPr>
          <w:lang w:val="en-GB"/>
        </w:rPr>
      </w:pPr>
      <w:r w:rsidRPr="007918C3">
        <w:rPr>
          <w:lang w:val="en-GB"/>
        </w:rPr>
        <w:lastRenderedPageBreak/>
        <w:t xml:space="preserve">On the other hand, it is also observed that during the pandemic times the role of the concerned company in contributing to the employees was immense. According to the claims of the authority, </w:t>
      </w:r>
      <w:r w:rsidRPr="007918C3">
        <w:rPr>
          <w:b/>
          <w:i/>
          <w:lang w:val="en-GB"/>
        </w:rPr>
        <w:t xml:space="preserve">Inditex </w:t>
      </w:r>
      <w:r w:rsidRPr="007918C3">
        <w:rPr>
          <w:lang w:val="en-GB"/>
        </w:rPr>
        <w:t>has invested over €40.4 million in order to provide 177 million PPE kits (inditex.com, 2022 (F)). This activity of the company has been extremely effective in terms of creating an example of reducing biases within the society as well as the organisation. It has been observed that the management did not differentiate between the people before providing them with the aid which had a significant positive impact on the mindset of the employees. In other words, this step by the company has been the catalyst in encouraging the employees to maintain a sense of equality and inclusiveness within the working system to derive the best performance for the betterment of the organisation.</w:t>
      </w:r>
    </w:p>
    <w:p w14:paraId="252181AA" w14:textId="77777777" w:rsidR="008870BB" w:rsidRPr="007918C3" w:rsidRDefault="00ED52EE">
      <w:pPr>
        <w:rPr>
          <w:lang w:val="en-GB"/>
        </w:rPr>
      </w:pPr>
      <w:r w:rsidRPr="007918C3">
        <w:rPr>
          <w:lang w:val="en-GB"/>
        </w:rPr>
        <w:t xml:space="preserve">Another important role of a human resource manager is to </w:t>
      </w:r>
      <w:r w:rsidRPr="007918C3">
        <w:rPr>
          <w:b/>
          <w:i/>
          <w:lang w:val="en-GB"/>
        </w:rPr>
        <w:t>ensure recruitment tactics</w:t>
      </w:r>
      <w:r w:rsidRPr="007918C3">
        <w:rPr>
          <w:lang w:val="en-GB"/>
        </w:rPr>
        <w:t xml:space="preserve"> for involving potential employees from diverse cultures within the working system. As per the viewpoints of Dias </w:t>
      </w:r>
      <w:r w:rsidRPr="007918C3">
        <w:rPr>
          <w:i/>
          <w:lang w:val="en-GB"/>
        </w:rPr>
        <w:t xml:space="preserve">et al. </w:t>
      </w:r>
      <w:r w:rsidRPr="007918C3">
        <w:rPr>
          <w:lang w:val="en-GB"/>
        </w:rPr>
        <w:t>(2020), a human resource manager can play the role of a catalyst in recruiting potential individuals from diverse cultures and ethnicities. In this way, the chances of diversifying the workplace can be increased by a significant margin which will further result in increasing the performance level of the organisation. As per the claims of the organisation, it has the goal of attracting and retaining a diverse pool of talents for strategic positions in the company (static.inditex.com, 2017). In this case, the management of the organisation has mainly focused on fostering equal opportunities for all the employees within the working system so that they can move forward in their respective careers.</w:t>
      </w:r>
    </w:p>
    <w:p w14:paraId="11782D74" w14:textId="77777777" w:rsidR="008870BB" w:rsidRPr="007918C3" w:rsidRDefault="00ED52EE">
      <w:pPr>
        <w:pStyle w:val="Heading2"/>
        <w:rPr>
          <w:lang w:val="en-GB"/>
        </w:rPr>
      </w:pPr>
      <w:bookmarkStart w:id="8" w:name="_p0kfgjfx1d41" w:colFirst="0" w:colLast="0"/>
      <w:bookmarkStart w:id="9" w:name="_Toc101993465"/>
      <w:bookmarkEnd w:id="8"/>
      <w:r w:rsidRPr="007918C3">
        <w:rPr>
          <w:lang w:val="en-GB"/>
        </w:rPr>
        <w:t>Evaluation of flexible working in creating inequality in the workplace</w:t>
      </w:r>
      <w:bookmarkEnd w:id="9"/>
    </w:p>
    <w:p w14:paraId="4A7474AF" w14:textId="77777777" w:rsidR="008870BB" w:rsidRPr="007918C3" w:rsidRDefault="00ED52EE">
      <w:pPr>
        <w:rPr>
          <w:lang w:val="en-GB"/>
        </w:rPr>
      </w:pPr>
      <w:r w:rsidRPr="007918C3">
        <w:rPr>
          <w:lang w:val="en-GB"/>
        </w:rPr>
        <w:t xml:space="preserve">It has been observed that through the means of </w:t>
      </w:r>
      <w:r w:rsidRPr="007918C3">
        <w:rPr>
          <w:b/>
          <w:i/>
          <w:lang w:val="en-GB"/>
        </w:rPr>
        <w:t xml:space="preserve">flexible working </w:t>
      </w:r>
      <w:r w:rsidRPr="007918C3">
        <w:rPr>
          <w:lang w:val="en-GB"/>
        </w:rPr>
        <w:t xml:space="preserve">a sense of diversity and inclusiveness can be inculcated within the workplace (acas.org.uk, 2021). In this context, there are several issues that can also foster inequalities within the same, leading to degrading the level of performance to a great extent. It has been observed that </w:t>
      </w:r>
      <w:r w:rsidRPr="007918C3">
        <w:rPr>
          <w:b/>
          <w:i/>
          <w:lang w:val="en-GB"/>
        </w:rPr>
        <w:t xml:space="preserve">communication issues </w:t>
      </w:r>
      <w:r w:rsidRPr="007918C3">
        <w:rPr>
          <w:lang w:val="en-GB"/>
        </w:rPr>
        <w:t xml:space="preserve">are the main factors that can catalyse the issues and concerns among the employees in a diverse workplace. In the words of </w:t>
      </w:r>
      <w:proofErr w:type="spellStart"/>
      <w:r w:rsidRPr="007918C3">
        <w:rPr>
          <w:lang w:val="en-GB"/>
        </w:rPr>
        <w:t>Jongen</w:t>
      </w:r>
      <w:proofErr w:type="spellEnd"/>
      <w:r w:rsidRPr="007918C3">
        <w:rPr>
          <w:lang w:val="en-GB"/>
        </w:rPr>
        <w:t xml:space="preserve"> </w:t>
      </w:r>
      <w:r w:rsidRPr="007918C3">
        <w:rPr>
          <w:i/>
          <w:lang w:val="en-GB"/>
        </w:rPr>
        <w:t xml:space="preserve">et al. </w:t>
      </w:r>
      <w:r w:rsidRPr="007918C3">
        <w:rPr>
          <w:lang w:val="en-GB"/>
        </w:rPr>
        <w:t>(2018), lack of communication among the team members can certainly become one of the formidable factors in increasing issues within a workforce. Hence, this kind of situation can also result in creating lots of confusion and conflicts among the employees.</w:t>
      </w:r>
    </w:p>
    <w:p w14:paraId="70AD4A98" w14:textId="77777777" w:rsidR="008870BB" w:rsidRPr="007918C3" w:rsidRDefault="00ED52EE">
      <w:pPr>
        <w:rPr>
          <w:lang w:val="en-GB"/>
        </w:rPr>
      </w:pPr>
      <w:r w:rsidRPr="007918C3">
        <w:rPr>
          <w:b/>
          <w:i/>
          <w:lang w:val="en-GB"/>
        </w:rPr>
        <w:lastRenderedPageBreak/>
        <w:t xml:space="preserve">Cultural misunderstandings </w:t>
      </w:r>
      <w:r w:rsidRPr="007918C3">
        <w:rPr>
          <w:lang w:val="en-GB"/>
        </w:rPr>
        <w:t xml:space="preserve">are also quite effective in creating inequalities within a diverse workforce resulting in increasing conflicts within the same. As stated by Cletus </w:t>
      </w:r>
      <w:r w:rsidRPr="007918C3">
        <w:rPr>
          <w:i/>
          <w:lang w:val="en-GB"/>
        </w:rPr>
        <w:t xml:space="preserve">et al. </w:t>
      </w:r>
      <w:r w:rsidRPr="007918C3">
        <w:rPr>
          <w:lang w:val="en-GB"/>
        </w:rPr>
        <w:t xml:space="preserve">(2018), it is quite normal to have cultural misunderstandings in a diverse workforce. In this context, it can be observed that dissimilarities between the views and perspectives of the employees are the key factor behind creating confusion as well as conflicts between the employees resulting in degrading the overall performance level by a significant margin. Hence, these kinds of situations within the workplace of </w:t>
      </w:r>
      <w:r w:rsidRPr="007918C3">
        <w:rPr>
          <w:b/>
          <w:i/>
          <w:lang w:val="en-GB"/>
        </w:rPr>
        <w:t xml:space="preserve">Inditex </w:t>
      </w:r>
      <w:r w:rsidRPr="007918C3">
        <w:rPr>
          <w:lang w:val="en-GB"/>
        </w:rPr>
        <w:t>can certainly result in losing the competitive edge in the concerned market. Differences in views and beliefs of the employees can certainly create differences and inequalities between them to a great extent.</w:t>
      </w:r>
    </w:p>
    <w:p w14:paraId="43138E13" w14:textId="77777777" w:rsidR="008870BB" w:rsidRPr="007918C3" w:rsidRDefault="00ED52EE">
      <w:pPr>
        <w:rPr>
          <w:lang w:val="en-GB"/>
        </w:rPr>
      </w:pPr>
      <w:r w:rsidRPr="007918C3">
        <w:rPr>
          <w:lang w:val="en-GB"/>
        </w:rPr>
        <w:t xml:space="preserve">Flexible working can also have some problems of </w:t>
      </w:r>
      <w:r w:rsidRPr="007918C3">
        <w:rPr>
          <w:b/>
          <w:i/>
          <w:lang w:val="en-GB"/>
        </w:rPr>
        <w:t xml:space="preserve">discrimination </w:t>
      </w:r>
      <w:r w:rsidRPr="007918C3">
        <w:rPr>
          <w:lang w:val="en-GB"/>
        </w:rPr>
        <w:t xml:space="preserve">which can further result in decreasing their engagement levels to a great extent. As per the viewpoints of </w:t>
      </w:r>
      <w:proofErr w:type="spellStart"/>
      <w:r w:rsidRPr="007918C3">
        <w:rPr>
          <w:lang w:val="en-GB"/>
        </w:rPr>
        <w:t>Stangl</w:t>
      </w:r>
      <w:proofErr w:type="spellEnd"/>
      <w:r w:rsidRPr="007918C3">
        <w:rPr>
          <w:lang w:val="en-GB"/>
        </w:rPr>
        <w:t xml:space="preserve"> </w:t>
      </w:r>
      <w:r w:rsidRPr="007918C3">
        <w:rPr>
          <w:i/>
          <w:lang w:val="en-GB"/>
        </w:rPr>
        <w:t xml:space="preserve">et al. </w:t>
      </w:r>
      <w:r w:rsidRPr="007918C3">
        <w:rPr>
          <w:lang w:val="en-GB"/>
        </w:rPr>
        <w:t xml:space="preserve">(2019), discrimination within the workplace can certainly turn out to be a formidable reason behind decreasing engagement levels of the employees. Henceforth, this kind of situation can certainly result in losing the competitiveness for </w:t>
      </w:r>
      <w:r w:rsidRPr="007918C3">
        <w:rPr>
          <w:b/>
          <w:i/>
          <w:lang w:val="en-GB"/>
        </w:rPr>
        <w:t xml:space="preserve">Inditex </w:t>
      </w:r>
      <w:r w:rsidRPr="007918C3">
        <w:rPr>
          <w:lang w:val="en-GB"/>
        </w:rPr>
        <w:t>in the concerned market. According to the findings of Sava (2022), people in the United Kingdom were suffering from the issues of a lack of IT infrastructure to continue working from home. Hence, situations like this can also foster a sense of discrimination among the employees and make them feel alienated and isolated from the company resulting in decreasing their engagement levels.</w:t>
      </w:r>
    </w:p>
    <w:p w14:paraId="603E3542" w14:textId="77777777" w:rsidR="008870BB" w:rsidRPr="007918C3" w:rsidRDefault="00ED52EE">
      <w:pPr>
        <w:rPr>
          <w:lang w:val="en-GB"/>
        </w:rPr>
      </w:pPr>
      <w:r w:rsidRPr="007918C3">
        <w:rPr>
          <w:lang w:val="en-GB"/>
        </w:rPr>
        <w:t xml:space="preserve">It is also found that due to the </w:t>
      </w:r>
      <w:r w:rsidRPr="007918C3">
        <w:rPr>
          <w:b/>
          <w:i/>
          <w:lang w:val="en-GB"/>
        </w:rPr>
        <w:t>lack of communication</w:t>
      </w:r>
      <w:r w:rsidRPr="007918C3">
        <w:rPr>
          <w:lang w:val="en-GB"/>
        </w:rPr>
        <w:t xml:space="preserve"> and </w:t>
      </w:r>
      <w:r w:rsidRPr="007918C3">
        <w:rPr>
          <w:b/>
          <w:i/>
          <w:lang w:val="en-GB"/>
        </w:rPr>
        <w:t xml:space="preserve">cultural misunderstanding, </w:t>
      </w:r>
      <w:r w:rsidRPr="007918C3">
        <w:rPr>
          <w:lang w:val="en-GB"/>
        </w:rPr>
        <w:t xml:space="preserve">there can be serious issues of slower decision-making within the workplace. As per the opinion of Biswas and Das (2020), a lack of communication within a working system can certainly result in making the entire decision-making process slower than ever. In that case, this issue can surely turn out to be one of the most formidable concerns for the management of </w:t>
      </w:r>
      <w:r w:rsidRPr="007918C3">
        <w:rPr>
          <w:b/>
          <w:i/>
          <w:lang w:val="en-GB"/>
        </w:rPr>
        <w:t xml:space="preserve">Inditex </w:t>
      </w:r>
      <w:r w:rsidRPr="007918C3">
        <w:rPr>
          <w:lang w:val="en-GB"/>
        </w:rPr>
        <w:t>as their performance and productivity will surely be affected. Differences in views and perspectives are the main reasons that confusion is created resulting in degrading the overall performance. Hence, this can also play a very crucial role in losing the competitive edge over the rival companies in the market.</w:t>
      </w:r>
    </w:p>
    <w:p w14:paraId="4D8E1452" w14:textId="77777777" w:rsidR="008870BB" w:rsidRPr="007918C3" w:rsidRDefault="00ED52EE">
      <w:pPr>
        <w:pStyle w:val="Heading2"/>
        <w:rPr>
          <w:lang w:val="en-GB"/>
        </w:rPr>
      </w:pPr>
      <w:bookmarkStart w:id="10" w:name="_q4leay941tz1" w:colFirst="0" w:colLast="0"/>
      <w:bookmarkStart w:id="11" w:name="_Toc101993466"/>
      <w:bookmarkEnd w:id="10"/>
      <w:r w:rsidRPr="007918C3">
        <w:rPr>
          <w:lang w:val="en-GB"/>
        </w:rPr>
        <w:t>Analysis of the role of human resource managers in addressing the concerns of inequality</w:t>
      </w:r>
      <w:bookmarkEnd w:id="11"/>
    </w:p>
    <w:p w14:paraId="5EAE647B" w14:textId="77777777" w:rsidR="008870BB" w:rsidRPr="007918C3" w:rsidRDefault="00ED52EE">
      <w:pPr>
        <w:rPr>
          <w:lang w:val="en-GB"/>
        </w:rPr>
      </w:pPr>
      <w:r w:rsidRPr="007918C3">
        <w:rPr>
          <w:lang w:val="en-GB"/>
        </w:rPr>
        <w:t xml:space="preserve">The role of human resource managers is immensely important in addressing the concerns of inequality within the working system of an organisation. One of the core strategies that a human </w:t>
      </w:r>
      <w:r w:rsidRPr="007918C3">
        <w:rPr>
          <w:lang w:val="en-GB"/>
        </w:rPr>
        <w:lastRenderedPageBreak/>
        <w:t xml:space="preserve">resource manager can opt for is that of promoting collaboration within the workplace so that the level of communication and interaction can be maintained. According to the viewpoint of Azizi </w:t>
      </w:r>
      <w:r w:rsidRPr="007918C3">
        <w:rPr>
          <w:i/>
          <w:lang w:val="en-GB"/>
        </w:rPr>
        <w:t xml:space="preserve">et al. </w:t>
      </w:r>
      <w:r w:rsidRPr="007918C3">
        <w:rPr>
          <w:lang w:val="en-GB"/>
        </w:rPr>
        <w:t xml:space="preserve">(2021), a human resource manager has the key capability of improving communication and collaboration among the employees within a working process. As far as the management of </w:t>
      </w:r>
      <w:r w:rsidRPr="007918C3">
        <w:rPr>
          <w:b/>
          <w:i/>
          <w:lang w:val="en-GB"/>
        </w:rPr>
        <w:t xml:space="preserve">Inditex </w:t>
      </w:r>
      <w:r w:rsidRPr="007918C3">
        <w:rPr>
          <w:lang w:val="en-GB"/>
        </w:rPr>
        <w:t>is concerned, it has always been active in enhancing the level of communication with the employees and maintaining a sustainable business model. This will certainly lower the level of confusion among the employees and foster harmony and brotherhood.</w:t>
      </w:r>
    </w:p>
    <w:p w14:paraId="6351A297" w14:textId="77777777" w:rsidR="008870BB" w:rsidRPr="007918C3" w:rsidRDefault="00ED52EE">
      <w:pPr>
        <w:rPr>
          <w:lang w:val="en-GB"/>
        </w:rPr>
      </w:pPr>
      <w:r w:rsidRPr="007918C3">
        <w:rPr>
          <w:b/>
          <w:i/>
          <w:lang w:val="en-GB"/>
        </w:rPr>
        <w:t xml:space="preserve">Taking a holistic approach </w:t>
      </w:r>
      <w:r w:rsidRPr="007918C3">
        <w:rPr>
          <w:lang w:val="en-GB"/>
        </w:rPr>
        <w:t xml:space="preserve">toward maintaining diversity and inclusion is also another option for the human resource managers through which they will be able to focus on diversifying the workplace. In this case, an effective recruitment policy of appointing employees from diverse cultures will certainly prove to be immensely impactful. According to the opinion of Gould </w:t>
      </w:r>
      <w:r w:rsidRPr="007918C3">
        <w:rPr>
          <w:i/>
          <w:lang w:val="en-GB"/>
        </w:rPr>
        <w:t xml:space="preserve">et al. </w:t>
      </w:r>
      <w:r w:rsidRPr="007918C3">
        <w:rPr>
          <w:lang w:val="en-GB"/>
        </w:rPr>
        <w:t>(2020), employing people from different cultural and ethnic backgrounds can certainly help in diversifying the entire working system. On the other hand, this will also lead to an increase in the chances of exchanging perceptions and ideas which in turn can help in generating innovation. In other words, the role of a human resource manager is to inculcate diversity so that innovation can be generated by the employees.</w:t>
      </w:r>
    </w:p>
    <w:p w14:paraId="4DD767E0" w14:textId="77777777" w:rsidR="008870BB" w:rsidRPr="007918C3" w:rsidRDefault="00ED52EE">
      <w:pPr>
        <w:rPr>
          <w:lang w:val="en-GB"/>
        </w:rPr>
      </w:pPr>
      <w:r w:rsidRPr="007918C3">
        <w:rPr>
          <w:b/>
          <w:i/>
          <w:lang w:val="en-GB"/>
        </w:rPr>
        <w:t xml:space="preserve">Treating every employee with equality </w:t>
      </w:r>
      <w:r w:rsidRPr="007918C3">
        <w:rPr>
          <w:lang w:val="en-GB"/>
        </w:rPr>
        <w:t xml:space="preserve">can certainly result in minimising the chances of inequality within the working system. Providing equal training to every employee for enhancing their performance levels can also make them think that equality is the key to success. In the opinion of </w:t>
      </w:r>
      <w:proofErr w:type="spellStart"/>
      <w:r w:rsidRPr="007918C3">
        <w:rPr>
          <w:lang w:val="en-GB"/>
        </w:rPr>
        <w:t>Meijerink</w:t>
      </w:r>
      <w:proofErr w:type="spellEnd"/>
      <w:r w:rsidRPr="007918C3">
        <w:rPr>
          <w:lang w:val="en-GB"/>
        </w:rPr>
        <w:t xml:space="preserve"> </w:t>
      </w:r>
      <w:r w:rsidRPr="007918C3">
        <w:rPr>
          <w:i/>
          <w:lang w:val="en-GB"/>
        </w:rPr>
        <w:t xml:space="preserve">et al. </w:t>
      </w:r>
      <w:r w:rsidRPr="007918C3">
        <w:rPr>
          <w:lang w:val="en-GB"/>
        </w:rPr>
        <w:t>(2020), increasing equality within the workplace can certainly play a key role in enhancing the engagement level of the employees to a great extent. Equal training for the employees will certainly make them feel equal with each other as they will be gaining skills equally for further enhancement of their respective careers. Hence, this can also have a key role in enhancing the overall performance of the organisation and gaining a competitive advantage in the concerned market.</w:t>
      </w:r>
    </w:p>
    <w:p w14:paraId="5BB8E13A" w14:textId="77777777" w:rsidR="008870BB" w:rsidRPr="007918C3" w:rsidRDefault="00ED52EE">
      <w:pPr>
        <w:rPr>
          <w:lang w:val="en-GB"/>
        </w:rPr>
      </w:pPr>
      <w:r w:rsidRPr="007918C3">
        <w:rPr>
          <w:b/>
          <w:i/>
          <w:lang w:val="en-GB"/>
        </w:rPr>
        <w:t>Taking proper care of the employee welfare and benefits</w:t>
      </w:r>
      <w:r w:rsidRPr="007918C3">
        <w:rPr>
          <w:lang w:val="en-GB"/>
        </w:rPr>
        <w:t xml:space="preserve"> can also have a key role to play in inculcating equality within a working system. The fact is that providing the employees with an equal </w:t>
      </w:r>
      <w:proofErr w:type="gramStart"/>
      <w:r w:rsidRPr="007918C3">
        <w:rPr>
          <w:lang w:val="en-GB"/>
        </w:rPr>
        <w:t>amount</w:t>
      </w:r>
      <w:proofErr w:type="gramEnd"/>
      <w:r w:rsidRPr="007918C3">
        <w:rPr>
          <w:lang w:val="en-GB"/>
        </w:rPr>
        <w:t xml:space="preserve"> of benefits will certainly make them feel less discriminated against and increase affection towards each other. As per the statement of </w:t>
      </w:r>
      <w:proofErr w:type="spellStart"/>
      <w:r w:rsidRPr="007918C3">
        <w:rPr>
          <w:lang w:val="en-GB"/>
        </w:rPr>
        <w:t>Sendawula</w:t>
      </w:r>
      <w:proofErr w:type="spellEnd"/>
      <w:r w:rsidRPr="007918C3">
        <w:rPr>
          <w:lang w:val="en-GB"/>
        </w:rPr>
        <w:t xml:space="preserve"> </w:t>
      </w:r>
      <w:r w:rsidRPr="007918C3">
        <w:rPr>
          <w:i/>
          <w:lang w:val="en-GB"/>
        </w:rPr>
        <w:t xml:space="preserve">et al. </w:t>
      </w:r>
      <w:r w:rsidRPr="007918C3">
        <w:rPr>
          <w:lang w:val="en-GB"/>
        </w:rPr>
        <w:t xml:space="preserve">(2018), maintaining equality between the employees in case of training and development can certainly increase their </w:t>
      </w:r>
      <w:r w:rsidRPr="007918C3">
        <w:rPr>
          <w:lang w:val="en-GB"/>
        </w:rPr>
        <w:lastRenderedPageBreak/>
        <w:t>engagement levels by a significant margin. This will also have a key role to play in eliminating the chances of inequality and discrimination within the working process. Hence, an enhanced level of performance and productivity can also be ensured for the concerned organisation to sustain the competition.</w:t>
      </w:r>
    </w:p>
    <w:p w14:paraId="6D63B2E6" w14:textId="77777777" w:rsidR="002B7895" w:rsidRPr="007918C3" w:rsidRDefault="002B7895">
      <w:pPr>
        <w:rPr>
          <w:b/>
          <w:lang w:val="en-GB"/>
        </w:rPr>
      </w:pPr>
      <w:bookmarkStart w:id="12" w:name="_491spyipsrof" w:colFirst="0" w:colLast="0"/>
      <w:bookmarkEnd w:id="12"/>
      <w:r w:rsidRPr="007918C3">
        <w:rPr>
          <w:lang w:val="en-GB"/>
        </w:rPr>
        <w:br w:type="page"/>
      </w:r>
    </w:p>
    <w:p w14:paraId="5EA55AA4" w14:textId="5DBE6CE0" w:rsidR="008870BB" w:rsidRPr="007918C3" w:rsidRDefault="00ED52EE">
      <w:pPr>
        <w:pStyle w:val="Heading1"/>
        <w:rPr>
          <w:lang w:val="en-GB"/>
        </w:rPr>
      </w:pPr>
      <w:bookmarkStart w:id="13" w:name="_Toc101993467"/>
      <w:r w:rsidRPr="007918C3">
        <w:rPr>
          <w:lang w:val="en-GB"/>
        </w:rPr>
        <w:lastRenderedPageBreak/>
        <w:t>Conclusion</w:t>
      </w:r>
      <w:bookmarkEnd w:id="13"/>
    </w:p>
    <w:p w14:paraId="089326FD" w14:textId="47949694" w:rsidR="004D1BFC" w:rsidRPr="007918C3" w:rsidRDefault="00ED52EE">
      <w:pPr>
        <w:rPr>
          <w:lang w:val="en-GB"/>
        </w:rPr>
      </w:pPr>
      <w:r w:rsidRPr="007918C3">
        <w:rPr>
          <w:lang w:val="en-GB"/>
        </w:rPr>
        <w:t>It has been observed that proper management of people within an organisation can certainly lead to enhancing the overall performance by a significant margin. Since the outbreak of the global pandemic, the trend of working from home has emerged as it has proved to be extremely safe for the employees and organisations in terms of avoiding the consequences of the pandemic. The role of flexible working is immense with respect to inculcating diversity and inclusivity in an organisation. The role of human resource managers is also quite inevitable as far as promoting diversity and minimising inequalities within the working system. In this context, a proper recruitment policy with the aim to employ individuals from different cultural and ethnic backgrounds will be quite effective as far as generating innovation is concerned.</w:t>
      </w:r>
    </w:p>
    <w:p w14:paraId="2A617A5E" w14:textId="77777777" w:rsidR="004D1BFC" w:rsidRPr="007918C3" w:rsidRDefault="004D1BFC">
      <w:pPr>
        <w:rPr>
          <w:lang w:val="en-GB"/>
        </w:rPr>
      </w:pPr>
      <w:r w:rsidRPr="007918C3">
        <w:rPr>
          <w:lang w:val="en-GB"/>
        </w:rPr>
        <w:br w:type="page"/>
      </w:r>
    </w:p>
    <w:p w14:paraId="78A03060" w14:textId="77777777" w:rsidR="004D1BFC" w:rsidRPr="007918C3" w:rsidRDefault="004D1BFC" w:rsidP="004D1BFC">
      <w:pPr>
        <w:pStyle w:val="Heading1"/>
        <w:rPr>
          <w:lang w:val="en-GB"/>
        </w:rPr>
      </w:pPr>
      <w:bookmarkStart w:id="14" w:name="_n1n8e0yo6rvf" w:colFirst="0" w:colLast="0"/>
      <w:bookmarkStart w:id="15" w:name="_Toc101993468"/>
      <w:bookmarkEnd w:id="14"/>
      <w:r w:rsidRPr="007918C3">
        <w:rPr>
          <w:lang w:val="en-GB"/>
        </w:rPr>
        <w:lastRenderedPageBreak/>
        <w:t>Reference List</w:t>
      </w:r>
      <w:bookmarkEnd w:id="15"/>
    </w:p>
    <w:p w14:paraId="346CD6FA" w14:textId="77777777" w:rsidR="004D1BFC" w:rsidRPr="007918C3" w:rsidRDefault="004D1BFC" w:rsidP="004D1BFC">
      <w:pPr>
        <w:rPr>
          <w:lang w:val="en-GB"/>
        </w:rPr>
      </w:pPr>
      <w:proofErr w:type="spellStart"/>
      <w:r w:rsidRPr="007918C3">
        <w:rPr>
          <w:lang w:val="en-GB"/>
        </w:rPr>
        <w:t>Abualoush</w:t>
      </w:r>
      <w:proofErr w:type="spellEnd"/>
      <w:r w:rsidRPr="007918C3">
        <w:rPr>
          <w:lang w:val="en-GB"/>
        </w:rPr>
        <w:t xml:space="preserve">, S., </w:t>
      </w:r>
      <w:proofErr w:type="spellStart"/>
      <w:r w:rsidRPr="007918C3">
        <w:rPr>
          <w:lang w:val="en-GB"/>
        </w:rPr>
        <w:t>Bataineh</w:t>
      </w:r>
      <w:proofErr w:type="spellEnd"/>
      <w:r w:rsidRPr="007918C3">
        <w:rPr>
          <w:lang w:val="en-GB"/>
        </w:rPr>
        <w:t xml:space="preserve">, K. and </w:t>
      </w:r>
      <w:proofErr w:type="spellStart"/>
      <w:r w:rsidRPr="007918C3">
        <w:rPr>
          <w:lang w:val="en-GB"/>
        </w:rPr>
        <w:t>Alrowwad</w:t>
      </w:r>
      <w:proofErr w:type="spellEnd"/>
      <w:r w:rsidRPr="007918C3">
        <w:rPr>
          <w:lang w:val="en-GB"/>
        </w:rPr>
        <w:t xml:space="preserve">, A.A., 2018. The role of knowledge management process and intellectual capital as intermediary variables between knowledge management infrastructure and organization performance. </w:t>
      </w:r>
      <w:r w:rsidRPr="007918C3">
        <w:rPr>
          <w:i/>
          <w:lang w:val="en-GB"/>
        </w:rPr>
        <w:t>Interdisciplinary Journal of Information, Knowledge, and Management,</w:t>
      </w:r>
      <w:r w:rsidRPr="007918C3">
        <w:rPr>
          <w:lang w:val="en-GB"/>
        </w:rPr>
        <w:t xml:space="preserve"> 13, p.279.</w:t>
      </w:r>
    </w:p>
    <w:p w14:paraId="4E7FF149" w14:textId="77777777" w:rsidR="004D1BFC" w:rsidRPr="007918C3" w:rsidRDefault="004D1BFC" w:rsidP="004D1BFC">
      <w:pPr>
        <w:rPr>
          <w:lang w:val="en-GB"/>
        </w:rPr>
      </w:pPr>
      <w:r w:rsidRPr="007918C3">
        <w:rPr>
          <w:lang w:val="en-GB"/>
        </w:rPr>
        <w:t xml:space="preserve">acas.org.uk, 2021. </w:t>
      </w:r>
      <w:r w:rsidRPr="007918C3">
        <w:rPr>
          <w:i/>
          <w:lang w:val="en-GB"/>
        </w:rPr>
        <w:t>New study reveals half of employers expect more flexible working requests from staff after the pandemic is over.</w:t>
      </w:r>
      <w:r w:rsidRPr="007918C3">
        <w:rPr>
          <w:lang w:val="en-GB"/>
        </w:rPr>
        <w:t xml:space="preserve"> [Online]. ACAS</w:t>
      </w:r>
      <w:r w:rsidRPr="007918C3">
        <w:rPr>
          <w:i/>
          <w:lang w:val="en-GB"/>
        </w:rPr>
        <w:t xml:space="preserve">. </w:t>
      </w:r>
      <w:r w:rsidRPr="007918C3">
        <w:rPr>
          <w:lang w:val="en-GB"/>
        </w:rPr>
        <w:t xml:space="preserve">Available at: </w:t>
      </w:r>
      <w:hyperlink r:id="rId8" w:anchor=":~:text=Acas%20commissioned%20YouGov%20to%20ask,remotely%20part%20of%20the%20week">
        <w:r w:rsidRPr="007918C3">
          <w:rPr>
            <w:lang w:val="en-GB"/>
          </w:rPr>
          <w:t>https://www.acas.org.uk/new-study-reveals-half-of-employers-expect-more-flexible-working-after-pandemic#:~:text=Acas%20commissioned%20YouGov%20to%20ask,remotely%20part%20of%20the%20week</w:t>
        </w:r>
      </w:hyperlink>
      <w:r w:rsidRPr="007918C3">
        <w:rPr>
          <w:lang w:val="en-GB"/>
        </w:rPr>
        <w:t xml:space="preserve"> [Accessed 26 April 2022]</w:t>
      </w:r>
    </w:p>
    <w:p w14:paraId="1D586DC4" w14:textId="77777777" w:rsidR="004D1BFC" w:rsidRPr="007918C3" w:rsidRDefault="004D1BFC" w:rsidP="004D1BFC">
      <w:pPr>
        <w:rPr>
          <w:lang w:val="en-GB"/>
        </w:rPr>
      </w:pPr>
      <w:r w:rsidRPr="007918C3">
        <w:rPr>
          <w:lang w:val="en-GB"/>
        </w:rPr>
        <w:t xml:space="preserve">Azizi, M.R., </w:t>
      </w:r>
      <w:proofErr w:type="spellStart"/>
      <w:r w:rsidRPr="007918C3">
        <w:rPr>
          <w:lang w:val="en-GB"/>
        </w:rPr>
        <w:t>Atlasi</w:t>
      </w:r>
      <w:proofErr w:type="spellEnd"/>
      <w:r w:rsidRPr="007918C3">
        <w:rPr>
          <w:lang w:val="en-GB"/>
        </w:rPr>
        <w:t xml:space="preserve">, R., </w:t>
      </w:r>
      <w:proofErr w:type="spellStart"/>
      <w:r w:rsidRPr="007918C3">
        <w:rPr>
          <w:lang w:val="en-GB"/>
        </w:rPr>
        <w:t>Ziapour</w:t>
      </w:r>
      <w:proofErr w:type="spellEnd"/>
      <w:r w:rsidRPr="007918C3">
        <w:rPr>
          <w:lang w:val="en-GB"/>
        </w:rPr>
        <w:t xml:space="preserve">, A., Abbas, J. and </w:t>
      </w:r>
      <w:proofErr w:type="spellStart"/>
      <w:r w:rsidRPr="007918C3">
        <w:rPr>
          <w:lang w:val="en-GB"/>
        </w:rPr>
        <w:t>Naemi</w:t>
      </w:r>
      <w:proofErr w:type="spellEnd"/>
      <w:r w:rsidRPr="007918C3">
        <w:rPr>
          <w:lang w:val="en-GB"/>
        </w:rPr>
        <w:t xml:space="preserve">, R., 2021. Innovative human resource management strategies during the COVID-19 pandemic: A systematic narrative review approach. </w:t>
      </w:r>
      <w:proofErr w:type="spellStart"/>
      <w:r w:rsidRPr="007918C3">
        <w:rPr>
          <w:i/>
          <w:lang w:val="en-GB"/>
        </w:rPr>
        <w:t>Heliyon</w:t>
      </w:r>
      <w:proofErr w:type="spellEnd"/>
      <w:r w:rsidRPr="007918C3">
        <w:rPr>
          <w:lang w:val="en-GB"/>
        </w:rPr>
        <w:t>, 7(6), p.e07233.</w:t>
      </w:r>
    </w:p>
    <w:p w14:paraId="6477AF6C" w14:textId="77777777" w:rsidR="004D1BFC" w:rsidRPr="007918C3" w:rsidRDefault="004D1BFC" w:rsidP="004D1BFC">
      <w:pPr>
        <w:rPr>
          <w:lang w:val="en-GB"/>
        </w:rPr>
      </w:pPr>
      <w:r w:rsidRPr="007918C3">
        <w:rPr>
          <w:lang w:val="en-GB"/>
        </w:rPr>
        <w:t xml:space="preserve">Biswas, T.K. and Das, M.C., 2020. Selection of the barriers of supply chain management in Indian manufacturing sectors due to COVID-19 impacts. </w:t>
      </w:r>
      <w:r w:rsidRPr="007918C3">
        <w:rPr>
          <w:i/>
          <w:lang w:val="en-GB"/>
        </w:rPr>
        <w:t>Operational Research in Engineering Sciences: Theory and Applications,</w:t>
      </w:r>
      <w:r w:rsidRPr="007918C3">
        <w:rPr>
          <w:lang w:val="en-GB"/>
        </w:rPr>
        <w:t xml:space="preserve"> 3(3), pp.1-12.</w:t>
      </w:r>
    </w:p>
    <w:p w14:paraId="5E91BD6A" w14:textId="77777777" w:rsidR="004D1BFC" w:rsidRPr="007918C3" w:rsidRDefault="004D1BFC" w:rsidP="004D1BFC">
      <w:pPr>
        <w:rPr>
          <w:lang w:val="en-GB"/>
        </w:rPr>
      </w:pPr>
      <w:r w:rsidRPr="007918C3">
        <w:rPr>
          <w:lang w:val="en-GB"/>
        </w:rPr>
        <w:t xml:space="preserve">Clark, D., 2022. </w:t>
      </w:r>
      <w:r w:rsidRPr="007918C3">
        <w:rPr>
          <w:i/>
          <w:lang w:val="en-GB"/>
        </w:rPr>
        <w:t>Reasons for working from home in Coronavirus in Great Britain July 2021.</w:t>
      </w:r>
      <w:r w:rsidRPr="007918C3">
        <w:rPr>
          <w:lang w:val="en-GB"/>
        </w:rPr>
        <w:t xml:space="preserve"> [Online]. Statista. Available at: </w:t>
      </w:r>
      <w:hyperlink r:id="rId9">
        <w:r w:rsidRPr="007918C3">
          <w:rPr>
            <w:lang w:val="en-GB"/>
          </w:rPr>
          <w:t>https://www.statista.com/statistics/1208563/coronavirus-reasons-for-working-from-home-in-britain/</w:t>
        </w:r>
      </w:hyperlink>
      <w:r w:rsidRPr="007918C3">
        <w:rPr>
          <w:lang w:val="en-GB"/>
        </w:rPr>
        <w:t xml:space="preserve"> [Accessed 26 April 2022]</w:t>
      </w:r>
    </w:p>
    <w:p w14:paraId="181C7D07" w14:textId="77777777" w:rsidR="004D1BFC" w:rsidRPr="007918C3" w:rsidRDefault="004D1BFC" w:rsidP="004D1BFC">
      <w:pPr>
        <w:rPr>
          <w:lang w:val="en-GB"/>
        </w:rPr>
      </w:pPr>
      <w:r w:rsidRPr="007918C3">
        <w:rPr>
          <w:lang w:val="en-GB"/>
        </w:rPr>
        <w:t xml:space="preserve">Cletus, H.E., Mahmood, N.A., Umar, A. and Ibrahim, A.D., 2018. Prospects and challenges of workplace diversity in modern day organizations: A critical review. </w:t>
      </w:r>
      <w:r w:rsidRPr="007918C3">
        <w:rPr>
          <w:i/>
          <w:lang w:val="en-GB"/>
        </w:rPr>
        <w:t>HOLISTICA–Journal of Business and Public Administration,</w:t>
      </w:r>
      <w:r w:rsidRPr="007918C3">
        <w:rPr>
          <w:lang w:val="en-GB"/>
        </w:rPr>
        <w:t xml:space="preserve"> 9(2), pp.35-52.</w:t>
      </w:r>
    </w:p>
    <w:p w14:paraId="17F53024" w14:textId="77777777" w:rsidR="004D1BFC" w:rsidRPr="007918C3" w:rsidRDefault="004D1BFC" w:rsidP="004D1BFC">
      <w:pPr>
        <w:rPr>
          <w:lang w:val="en-GB"/>
        </w:rPr>
      </w:pPr>
      <w:r w:rsidRPr="007918C3">
        <w:rPr>
          <w:lang w:val="en-GB"/>
        </w:rPr>
        <w:t xml:space="preserve">Dias, D., Zhu, C.J. and </w:t>
      </w:r>
      <w:proofErr w:type="spellStart"/>
      <w:r w:rsidRPr="007918C3">
        <w:rPr>
          <w:lang w:val="en-GB"/>
        </w:rPr>
        <w:t>Samaratunge</w:t>
      </w:r>
      <w:proofErr w:type="spellEnd"/>
      <w:r w:rsidRPr="007918C3">
        <w:rPr>
          <w:lang w:val="en-GB"/>
        </w:rPr>
        <w:t xml:space="preserve">, R., 2020. Examining the role of cultural exposure in improving intercultural competence: implications for HRM practices in multicultural organizations. </w:t>
      </w:r>
      <w:r w:rsidRPr="007918C3">
        <w:rPr>
          <w:i/>
          <w:lang w:val="en-GB"/>
        </w:rPr>
        <w:t>The International Journal of Human Resource Management,</w:t>
      </w:r>
      <w:r w:rsidRPr="007918C3">
        <w:rPr>
          <w:lang w:val="en-GB"/>
        </w:rPr>
        <w:t xml:space="preserve"> 31(11), pp.1359-1378.</w:t>
      </w:r>
    </w:p>
    <w:p w14:paraId="34448A34" w14:textId="77777777" w:rsidR="004D1BFC" w:rsidRPr="007918C3" w:rsidRDefault="004D1BFC" w:rsidP="004D1BFC">
      <w:pPr>
        <w:rPr>
          <w:lang w:val="en-GB"/>
        </w:rPr>
      </w:pPr>
      <w:r w:rsidRPr="007918C3">
        <w:rPr>
          <w:lang w:val="en-GB"/>
        </w:rPr>
        <w:lastRenderedPageBreak/>
        <w:t xml:space="preserve">Gould, R., Harris, S.P., Mullin, C. and Jones, R., 2020. Disability, diversity, and corporate social responsibility: learning from recognized leaders in inclusion. </w:t>
      </w:r>
      <w:r w:rsidRPr="007918C3">
        <w:rPr>
          <w:i/>
          <w:lang w:val="en-GB"/>
        </w:rPr>
        <w:t>Journal of Vocational Rehabilitation,</w:t>
      </w:r>
      <w:r w:rsidRPr="007918C3">
        <w:rPr>
          <w:lang w:val="en-GB"/>
        </w:rPr>
        <w:t xml:space="preserve"> 52(1), pp.29-42.</w:t>
      </w:r>
    </w:p>
    <w:p w14:paraId="4476BE6A" w14:textId="77777777" w:rsidR="004D1BFC" w:rsidRPr="007918C3" w:rsidRDefault="004D1BFC" w:rsidP="004D1BFC">
      <w:pPr>
        <w:rPr>
          <w:lang w:val="en-GB"/>
        </w:rPr>
      </w:pPr>
      <w:r w:rsidRPr="007918C3">
        <w:rPr>
          <w:lang w:val="en-GB"/>
        </w:rPr>
        <w:t xml:space="preserve">inditex.com, 2022 (A). </w:t>
      </w:r>
      <w:r w:rsidRPr="007918C3">
        <w:rPr>
          <w:i/>
          <w:lang w:val="en-GB"/>
        </w:rPr>
        <w:t xml:space="preserve">Who We Are? </w:t>
      </w:r>
      <w:r w:rsidRPr="007918C3">
        <w:rPr>
          <w:lang w:val="en-GB"/>
        </w:rPr>
        <w:t xml:space="preserve">[Online]. Inditex. Available at: </w:t>
      </w:r>
      <w:hyperlink r:id="rId10">
        <w:r w:rsidRPr="007918C3">
          <w:rPr>
            <w:lang w:val="en-GB"/>
          </w:rPr>
          <w:t>https://www.inditex.com/about-us/who-we-are</w:t>
        </w:r>
      </w:hyperlink>
      <w:r w:rsidRPr="007918C3">
        <w:rPr>
          <w:lang w:val="en-GB"/>
        </w:rPr>
        <w:t xml:space="preserve"> [Accessed 26 April 2022]</w:t>
      </w:r>
    </w:p>
    <w:p w14:paraId="1A73B3F7" w14:textId="77777777" w:rsidR="004D1BFC" w:rsidRPr="007918C3" w:rsidRDefault="004D1BFC" w:rsidP="004D1BFC">
      <w:pPr>
        <w:rPr>
          <w:lang w:val="en-GB"/>
        </w:rPr>
      </w:pPr>
      <w:r w:rsidRPr="007918C3">
        <w:rPr>
          <w:lang w:val="en-GB"/>
        </w:rPr>
        <w:t xml:space="preserve">inditex.com, 2022 (B). </w:t>
      </w:r>
      <w:r w:rsidRPr="007918C3">
        <w:rPr>
          <w:i/>
          <w:lang w:val="en-GB"/>
        </w:rPr>
        <w:t>OUR COMMITMENT TO PEOPLE.</w:t>
      </w:r>
      <w:r w:rsidRPr="007918C3">
        <w:rPr>
          <w:lang w:val="en-GB"/>
        </w:rPr>
        <w:t xml:space="preserve"> [Online]. Inditex. Available at: </w:t>
      </w:r>
      <w:hyperlink r:id="rId11">
        <w:r w:rsidRPr="007918C3">
          <w:rPr>
            <w:lang w:val="en-GB"/>
          </w:rPr>
          <w:t>https://www.inditex.com/en/our-commitment-to-people</w:t>
        </w:r>
      </w:hyperlink>
      <w:r w:rsidRPr="007918C3">
        <w:rPr>
          <w:lang w:val="en-GB"/>
        </w:rPr>
        <w:t xml:space="preserve"> [Accessed 26 April 2022]</w:t>
      </w:r>
    </w:p>
    <w:p w14:paraId="63CBBAD5" w14:textId="77777777" w:rsidR="004D1BFC" w:rsidRPr="007918C3" w:rsidRDefault="004D1BFC" w:rsidP="004D1BFC">
      <w:pPr>
        <w:rPr>
          <w:lang w:val="en-GB"/>
        </w:rPr>
      </w:pPr>
      <w:r w:rsidRPr="007918C3">
        <w:rPr>
          <w:lang w:val="en-GB"/>
        </w:rPr>
        <w:t xml:space="preserve">inditex.com, 2022 (C). OUR EMPLOYEES. [Online]. </w:t>
      </w:r>
      <w:r w:rsidRPr="007918C3">
        <w:rPr>
          <w:i/>
          <w:lang w:val="en-GB"/>
        </w:rPr>
        <w:t>Inditex</w:t>
      </w:r>
      <w:r w:rsidRPr="007918C3">
        <w:rPr>
          <w:lang w:val="en-GB"/>
        </w:rPr>
        <w:t xml:space="preserve">. Available at: </w:t>
      </w:r>
      <w:hyperlink r:id="rId12">
        <w:r w:rsidRPr="007918C3">
          <w:rPr>
            <w:lang w:val="en-GB"/>
          </w:rPr>
          <w:t>https://www.inditex.com/our-commitment-to-people/our-employees</w:t>
        </w:r>
      </w:hyperlink>
      <w:r w:rsidRPr="007918C3">
        <w:rPr>
          <w:lang w:val="en-GB"/>
        </w:rPr>
        <w:t xml:space="preserve"> [Accessed 26 April 2022]</w:t>
      </w:r>
    </w:p>
    <w:p w14:paraId="19CB6EC0" w14:textId="77777777" w:rsidR="004D1BFC" w:rsidRPr="007918C3" w:rsidRDefault="004D1BFC" w:rsidP="004D1BFC">
      <w:pPr>
        <w:rPr>
          <w:lang w:val="en-GB"/>
        </w:rPr>
      </w:pPr>
      <w:r w:rsidRPr="007918C3">
        <w:rPr>
          <w:lang w:val="en-GB"/>
        </w:rPr>
        <w:t xml:space="preserve">inditex.com, 2022 (D). </w:t>
      </w:r>
      <w:r w:rsidRPr="007918C3">
        <w:rPr>
          <w:i/>
          <w:lang w:val="en-GB"/>
        </w:rPr>
        <w:t>CUSTOMERS</w:t>
      </w:r>
      <w:r w:rsidRPr="007918C3">
        <w:rPr>
          <w:lang w:val="en-GB"/>
        </w:rPr>
        <w:t xml:space="preserve">. [Online]. Inditex. Available at: </w:t>
      </w:r>
      <w:hyperlink r:id="rId13">
        <w:r w:rsidRPr="007918C3">
          <w:rPr>
            <w:lang w:val="en-GB"/>
          </w:rPr>
          <w:t>https://www.inditex.com/en/how-we-do-business/our-model/customers</w:t>
        </w:r>
      </w:hyperlink>
      <w:r w:rsidRPr="007918C3">
        <w:rPr>
          <w:lang w:val="en-GB"/>
        </w:rPr>
        <w:t xml:space="preserve"> [Accessed 26 April 2022]</w:t>
      </w:r>
    </w:p>
    <w:p w14:paraId="2C646869" w14:textId="77777777" w:rsidR="004D1BFC" w:rsidRPr="007918C3" w:rsidRDefault="004D1BFC" w:rsidP="004D1BFC">
      <w:pPr>
        <w:rPr>
          <w:lang w:val="en-GB"/>
        </w:rPr>
      </w:pPr>
      <w:r w:rsidRPr="007918C3">
        <w:rPr>
          <w:lang w:val="en-GB"/>
        </w:rPr>
        <w:t xml:space="preserve">inditex.com, 2022 (E). </w:t>
      </w:r>
      <w:r w:rsidRPr="007918C3">
        <w:rPr>
          <w:i/>
          <w:lang w:val="en-GB"/>
        </w:rPr>
        <w:t xml:space="preserve">EQUALITY AND DIVERSITY. </w:t>
      </w:r>
      <w:r w:rsidRPr="007918C3">
        <w:rPr>
          <w:lang w:val="en-GB"/>
        </w:rPr>
        <w:t xml:space="preserve">[Online]. Inditex. Available at: </w:t>
      </w:r>
      <w:hyperlink r:id="rId14">
        <w:r w:rsidRPr="007918C3">
          <w:rPr>
            <w:lang w:val="en-GB"/>
          </w:rPr>
          <w:t>https://www.inditex.com/en/our-commitment-to-people/our-employees/equality-diversity</w:t>
        </w:r>
      </w:hyperlink>
      <w:r w:rsidRPr="007918C3">
        <w:rPr>
          <w:lang w:val="en-GB"/>
        </w:rPr>
        <w:t xml:space="preserve"> [Accessed 26 April 2022]</w:t>
      </w:r>
    </w:p>
    <w:p w14:paraId="23064183" w14:textId="77777777" w:rsidR="004D1BFC" w:rsidRPr="007918C3" w:rsidRDefault="004D1BFC" w:rsidP="004D1BFC">
      <w:pPr>
        <w:rPr>
          <w:lang w:val="en-GB"/>
        </w:rPr>
      </w:pPr>
      <w:r w:rsidRPr="007918C3">
        <w:rPr>
          <w:lang w:val="en-GB"/>
        </w:rPr>
        <w:t xml:space="preserve">inditex.com, 2022 (F). </w:t>
      </w:r>
      <w:r w:rsidRPr="007918C3">
        <w:rPr>
          <w:i/>
          <w:lang w:val="en-GB"/>
        </w:rPr>
        <w:t xml:space="preserve">EMERGENCY AID DURING THE COVID-19 PANDEMIC. </w:t>
      </w:r>
      <w:r w:rsidRPr="007918C3">
        <w:rPr>
          <w:lang w:val="en-GB"/>
        </w:rPr>
        <w:t xml:space="preserve">[Online]. Inditex. Available at: </w:t>
      </w:r>
      <w:hyperlink r:id="rId15">
        <w:r w:rsidRPr="007918C3">
          <w:rPr>
            <w:lang w:val="en-GB"/>
          </w:rPr>
          <w:t>https://www.inditex.com/covid-19</w:t>
        </w:r>
      </w:hyperlink>
      <w:r w:rsidRPr="007918C3">
        <w:rPr>
          <w:lang w:val="en-GB"/>
        </w:rPr>
        <w:t xml:space="preserve"> [Accessed 26 April 2022]</w:t>
      </w:r>
    </w:p>
    <w:p w14:paraId="420C0F5D" w14:textId="77777777" w:rsidR="004D1BFC" w:rsidRPr="007918C3" w:rsidRDefault="004D1BFC" w:rsidP="004D1BFC">
      <w:pPr>
        <w:rPr>
          <w:lang w:val="en-GB"/>
        </w:rPr>
      </w:pPr>
      <w:proofErr w:type="spellStart"/>
      <w:r w:rsidRPr="007918C3">
        <w:rPr>
          <w:lang w:val="en-GB"/>
        </w:rPr>
        <w:t>Jongen</w:t>
      </w:r>
      <w:proofErr w:type="spellEnd"/>
      <w:r w:rsidRPr="007918C3">
        <w:rPr>
          <w:lang w:val="en-GB"/>
        </w:rPr>
        <w:t xml:space="preserve">, C., McCalman, J. and Bainbridge, R., 2018. Health workforce cultural competency interventions: a systematic scoping review. </w:t>
      </w:r>
      <w:r w:rsidRPr="007918C3">
        <w:rPr>
          <w:i/>
          <w:lang w:val="en-GB"/>
        </w:rPr>
        <w:t xml:space="preserve">BMC health services research, </w:t>
      </w:r>
      <w:r w:rsidRPr="007918C3">
        <w:rPr>
          <w:lang w:val="en-GB"/>
        </w:rPr>
        <w:t>18(1), pp.1-15.</w:t>
      </w:r>
    </w:p>
    <w:p w14:paraId="63B63548" w14:textId="77777777" w:rsidR="004D1BFC" w:rsidRPr="007918C3" w:rsidRDefault="004D1BFC" w:rsidP="004D1BFC">
      <w:pPr>
        <w:rPr>
          <w:lang w:val="en-GB"/>
        </w:rPr>
      </w:pPr>
      <w:proofErr w:type="spellStart"/>
      <w:r w:rsidRPr="007918C3">
        <w:rPr>
          <w:lang w:val="en-GB"/>
        </w:rPr>
        <w:t>Kuknor</w:t>
      </w:r>
      <w:proofErr w:type="spellEnd"/>
      <w:r w:rsidRPr="007918C3">
        <w:rPr>
          <w:lang w:val="en-GB"/>
        </w:rPr>
        <w:t xml:space="preserve">, S.C. and Bhattacharya, S., 2020. Inclusive leadership: new age leadership to foster organizational inclusion. </w:t>
      </w:r>
      <w:r w:rsidRPr="007918C3">
        <w:rPr>
          <w:i/>
          <w:lang w:val="en-GB"/>
        </w:rPr>
        <w:t>European Journal of Training and Development</w:t>
      </w:r>
      <w:r w:rsidRPr="007918C3">
        <w:rPr>
          <w:lang w:val="en-GB"/>
        </w:rPr>
        <w:t>. pp. 1-27.</w:t>
      </w:r>
    </w:p>
    <w:p w14:paraId="6026E478" w14:textId="77777777" w:rsidR="004D1BFC" w:rsidRPr="007918C3" w:rsidRDefault="004D1BFC" w:rsidP="004D1BFC">
      <w:pPr>
        <w:rPr>
          <w:lang w:val="en-GB"/>
        </w:rPr>
      </w:pPr>
      <w:r w:rsidRPr="007918C3">
        <w:rPr>
          <w:lang w:val="en-GB"/>
        </w:rPr>
        <w:t xml:space="preserve">Meagher, F., 2019. </w:t>
      </w:r>
      <w:r w:rsidRPr="007918C3">
        <w:rPr>
          <w:i/>
          <w:lang w:val="en-GB"/>
        </w:rPr>
        <w:t xml:space="preserve">Flexible working: a step to creating more inclusive workplaces. </w:t>
      </w:r>
      <w:r w:rsidRPr="007918C3">
        <w:rPr>
          <w:lang w:val="en-GB"/>
        </w:rPr>
        <w:t xml:space="preserve">[Online]. CIPD. Available at: </w:t>
      </w:r>
      <w:hyperlink r:id="rId16" w:anchor="gref">
        <w:r w:rsidRPr="007918C3">
          <w:rPr>
            <w:lang w:val="en-GB"/>
          </w:rPr>
          <w:t>https://www.cipd.co.uk/news-views/news-articles/flexible-working#gref</w:t>
        </w:r>
      </w:hyperlink>
      <w:r w:rsidRPr="007918C3">
        <w:rPr>
          <w:lang w:val="en-GB"/>
        </w:rPr>
        <w:t xml:space="preserve"> [Accessed 26 April 2022]</w:t>
      </w:r>
    </w:p>
    <w:p w14:paraId="4F17BD37" w14:textId="77777777" w:rsidR="004D1BFC" w:rsidRPr="007918C3" w:rsidRDefault="004D1BFC" w:rsidP="004D1BFC">
      <w:pPr>
        <w:rPr>
          <w:lang w:val="en-GB"/>
        </w:rPr>
      </w:pPr>
      <w:proofErr w:type="spellStart"/>
      <w:r w:rsidRPr="007918C3">
        <w:rPr>
          <w:lang w:val="en-GB"/>
        </w:rPr>
        <w:t>Meijerink</w:t>
      </w:r>
      <w:proofErr w:type="spellEnd"/>
      <w:r w:rsidRPr="007918C3">
        <w:rPr>
          <w:lang w:val="en-GB"/>
        </w:rPr>
        <w:t>, J., Bos-</w:t>
      </w:r>
      <w:proofErr w:type="spellStart"/>
      <w:r w:rsidRPr="007918C3">
        <w:rPr>
          <w:lang w:val="en-GB"/>
        </w:rPr>
        <w:t>Nehles</w:t>
      </w:r>
      <w:proofErr w:type="spellEnd"/>
      <w:r w:rsidRPr="007918C3">
        <w:rPr>
          <w:lang w:val="en-GB"/>
        </w:rPr>
        <w:t xml:space="preserve">, A. and de Leede, J., 2020. How employees’ pro-activity translates high-commitment HRM systems into work engagement: The mediating role of job crafting. </w:t>
      </w:r>
      <w:r w:rsidRPr="007918C3">
        <w:rPr>
          <w:i/>
          <w:lang w:val="en-GB"/>
        </w:rPr>
        <w:t>The International Journal of Human Resource Management,</w:t>
      </w:r>
      <w:r w:rsidRPr="007918C3">
        <w:rPr>
          <w:lang w:val="en-GB"/>
        </w:rPr>
        <w:t xml:space="preserve"> 31(22), pp.2893-2918.</w:t>
      </w:r>
    </w:p>
    <w:p w14:paraId="5CC2B6DA" w14:textId="77777777" w:rsidR="004D1BFC" w:rsidRPr="007918C3" w:rsidRDefault="004D1BFC" w:rsidP="004D1BFC">
      <w:pPr>
        <w:rPr>
          <w:lang w:val="en-GB"/>
        </w:rPr>
      </w:pPr>
      <w:r w:rsidRPr="007918C3">
        <w:rPr>
          <w:lang w:val="en-GB"/>
        </w:rPr>
        <w:lastRenderedPageBreak/>
        <w:t xml:space="preserve">Sava, J. A., 2022. </w:t>
      </w:r>
      <w:r w:rsidRPr="007918C3">
        <w:rPr>
          <w:i/>
          <w:lang w:val="en-GB"/>
        </w:rPr>
        <w:t xml:space="preserve">Work from home &amp; remote work - Statistics &amp; Facts. </w:t>
      </w:r>
      <w:r w:rsidRPr="007918C3">
        <w:rPr>
          <w:lang w:val="en-GB"/>
        </w:rPr>
        <w:t xml:space="preserve">[Online]. Statista. Available at: </w:t>
      </w:r>
      <w:hyperlink r:id="rId17" w:anchor="topicHeader__wrapper">
        <w:r w:rsidRPr="007918C3">
          <w:rPr>
            <w:lang w:val="en-GB"/>
          </w:rPr>
          <w:t>https://www.statista.com/topics/6565/work-from-home-and-remote-work/#topicHeader__wrapper</w:t>
        </w:r>
      </w:hyperlink>
      <w:r w:rsidRPr="007918C3">
        <w:rPr>
          <w:lang w:val="en-GB"/>
        </w:rPr>
        <w:t xml:space="preserve"> [Accessed 26 April 2022]</w:t>
      </w:r>
    </w:p>
    <w:p w14:paraId="34EDBB2A" w14:textId="77777777" w:rsidR="004D1BFC" w:rsidRPr="007918C3" w:rsidRDefault="004D1BFC" w:rsidP="004D1BFC">
      <w:pPr>
        <w:rPr>
          <w:lang w:val="en-GB"/>
        </w:rPr>
      </w:pPr>
      <w:proofErr w:type="spellStart"/>
      <w:r w:rsidRPr="007918C3">
        <w:rPr>
          <w:lang w:val="en-GB"/>
        </w:rPr>
        <w:t>Schloemer</w:t>
      </w:r>
      <w:proofErr w:type="spellEnd"/>
      <w:r w:rsidRPr="007918C3">
        <w:rPr>
          <w:lang w:val="en-GB"/>
        </w:rPr>
        <w:t xml:space="preserve">-Jarvis, A., Bader, B. and </w:t>
      </w:r>
      <w:proofErr w:type="spellStart"/>
      <w:r w:rsidRPr="007918C3">
        <w:rPr>
          <w:lang w:val="en-GB"/>
        </w:rPr>
        <w:t>Böhm</w:t>
      </w:r>
      <w:proofErr w:type="spellEnd"/>
      <w:r w:rsidRPr="007918C3">
        <w:rPr>
          <w:lang w:val="en-GB"/>
        </w:rPr>
        <w:t xml:space="preserve">, S.A., 2022. The role of human resource practices for including persons with disabilities in the workforce: a systematic literature review. </w:t>
      </w:r>
      <w:r w:rsidRPr="007918C3">
        <w:rPr>
          <w:i/>
          <w:lang w:val="en-GB"/>
        </w:rPr>
        <w:t>The International Journal of Human Resource Management,</w:t>
      </w:r>
      <w:r w:rsidRPr="007918C3">
        <w:rPr>
          <w:lang w:val="en-GB"/>
        </w:rPr>
        <w:t xml:space="preserve"> 33(1), pp.45-98.</w:t>
      </w:r>
    </w:p>
    <w:p w14:paraId="1F31F84D" w14:textId="77777777" w:rsidR="004D1BFC" w:rsidRPr="007918C3" w:rsidRDefault="004D1BFC" w:rsidP="004D1BFC">
      <w:pPr>
        <w:rPr>
          <w:lang w:val="en-GB"/>
        </w:rPr>
      </w:pPr>
      <w:proofErr w:type="spellStart"/>
      <w:r w:rsidRPr="007918C3">
        <w:rPr>
          <w:lang w:val="en-GB"/>
        </w:rPr>
        <w:t>Sendawula</w:t>
      </w:r>
      <w:proofErr w:type="spellEnd"/>
      <w:r w:rsidRPr="007918C3">
        <w:rPr>
          <w:lang w:val="en-GB"/>
        </w:rPr>
        <w:t xml:space="preserve">, K., </w:t>
      </w:r>
      <w:proofErr w:type="spellStart"/>
      <w:r w:rsidRPr="007918C3">
        <w:rPr>
          <w:lang w:val="en-GB"/>
        </w:rPr>
        <w:t>Nakyejwe</w:t>
      </w:r>
      <w:proofErr w:type="spellEnd"/>
      <w:r w:rsidRPr="007918C3">
        <w:rPr>
          <w:lang w:val="en-GB"/>
        </w:rPr>
        <w:t xml:space="preserve"> </w:t>
      </w:r>
      <w:proofErr w:type="spellStart"/>
      <w:r w:rsidRPr="007918C3">
        <w:rPr>
          <w:lang w:val="en-GB"/>
        </w:rPr>
        <w:t>Kimuli</w:t>
      </w:r>
      <w:proofErr w:type="spellEnd"/>
      <w:r w:rsidRPr="007918C3">
        <w:rPr>
          <w:lang w:val="en-GB"/>
        </w:rPr>
        <w:t xml:space="preserve">, S., </w:t>
      </w:r>
      <w:proofErr w:type="spellStart"/>
      <w:r w:rsidRPr="007918C3">
        <w:rPr>
          <w:lang w:val="en-GB"/>
        </w:rPr>
        <w:t>Bananuka</w:t>
      </w:r>
      <w:proofErr w:type="spellEnd"/>
      <w:r w:rsidRPr="007918C3">
        <w:rPr>
          <w:lang w:val="en-GB"/>
        </w:rPr>
        <w:t xml:space="preserve">, J. and </w:t>
      </w:r>
      <w:proofErr w:type="spellStart"/>
      <w:r w:rsidRPr="007918C3">
        <w:rPr>
          <w:lang w:val="en-GB"/>
        </w:rPr>
        <w:t>Najjemba</w:t>
      </w:r>
      <w:proofErr w:type="spellEnd"/>
      <w:r w:rsidRPr="007918C3">
        <w:rPr>
          <w:lang w:val="en-GB"/>
        </w:rPr>
        <w:t xml:space="preserve"> </w:t>
      </w:r>
      <w:proofErr w:type="spellStart"/>
      <w:r w:rsidRPr="007918C3">
        <w:rPr>
          <w:lang w:val="en-GB"/>
        </w:rPr>
        <w:t>Muganga</w:t>
      </w:r>
      <w:proofErr w:type="spellEnd"/>
      <w:r w:rsidRPr="007918C3">
        <w:rPr>
          <w:lang w:val="en-GB"/>
        </w:rPr>
        <w:t xml:space="preserve">, G., 2018. Training, employee engagement and employee performance: Evidence from Uganda’s health sector. </w:t>
      </w:r>
      <w:r w:rsidRPr="007918C3">
        <w:rPr>
          <w:i/>
          <w:lang w:val="en-GB"/>
        </w:rPr>
        <w:t xml:space="preserve">Cogent Business &amp; Management, </w:t>
      </w:r>
      <w:r w:rsidRPr="007918C3">
        <w:rPr>
          <w:lang w:val="en-GB"/>
        </w:rPr>
        <w:t>5(1), p.1470891.</w:t>
      </w:r>
    </w:p>
    <w:p w14:paraId="5B0F64BC" w14:textId="77777777" w:rsidR="004D1BFC" w:rsidRPr="007918C3" w:rsidRDefault="004D1BFC" w:rsidP="004D1BFC">
      <w:pPr>
        <w:rPr>
          <w:lang w:val="en-GB"/>
        </w:rPr>
      </w:pPr>
      <w:r w:rsidRPr="007918C3">
        <w:rPr>
          <w:lang w:val="en-GB"/>
        </w:rPr>
        <w:t xml:space="preserve">Singh, S.K., Gupta, S., </w:t>
      </w:r>
      <w:proofErr w:type="spellStart"/>
      <w:r w:rsidRPr="007918C3">
        <w:rPr>
          <w:lang w:val="en-GB"/>
        </w:rPr>
        <w:t>Busso</w:t>
      </w:r>
      <w:proofErr w:type="spellEnd"/>
      <w:r w:rsidRPr="007918C3">
        <w:rPr>
          <w:lang w:val="en-GB"/>
        </w:rPr>
        <w:t xml:space="preserve">, D. and Kamboj, S., 2021. Top management knowledge value, knowledge sharing practices, open innovation and organizational performance. </w:t>
      </w:r>
      <w:r w:rsidRPr="007918C3">
        <w:rPr>
          <w:i/>
          <w:lang w:val="en-GB"/>
        </w:rPr>
        <w:t>Journal of Business Research</w:t>
      </w:r>
      <w:r w:rsidRPr="007918C3">
        <w:rPr>
          <w:lang w:val="en-GB"/>
        </w:rPr>
        <w:t>, 128, pp.788-798.</w:t>
      </w:r>
    </w:p>
    <w:p w14:paraId="78985410" w14:textId="77777777" w:rsidR="004D1BFC" w:rsidRPr="007918C3" w:rsidRDefault="004D1BFC" w:rsidP="004D1BFC">
      <w:pPr>
        <w:rPr>
          <w:lang w:val="en-GB"/>
        </w:rPr>
      </w:pPr>
      <w:proofErr w:type="spellStart"/>
      <w:r w:rsidRPr="007918C3">
        <w:rPr>
          <w:lang w:val="en-GB"/>
        </w:rPr>
        <w:t>Stangl</w:t>
      </w:r>
      <w:proofErr w:type="spellEnd"/>
      <w:r w:rsidRPr="007918C3">
        <w:rPr>
          <w:lang w:val="en-GB"/>
        </w:rPr>
        <w:t xml:space="preserve">, A.L., Earnshaw, V.A., </w:t>
      </w:r>
      <w:proofErr w:type="spellStart"/>
      <w:r w:rsidRPr="007918C3">
        <w:rPr>
          <w:lang w:val="en-GB"/>
        </w:rPr>
        <w:t>Logie</w:t>
      </w:r>
      <w:proofErr w:type="spellEnd"/>
      <w:r w:rsidRPr="007918C3">
        <w:rPr>
          <w:lang w:val="en-GB"/>
        </w:rPr>
        <w:t xml:space="preserve">, C.H., van </w:t>
      </w:r>
      <w:proofErr w:type="spellStart"/>
      <w:r w:rsidRPr="007918C3">
        <w:rPr>
          <w:lang w:val="en-GB"/>
        </w:rPr>
        <w:t>Brakel</w:t>
      </w:r>
      <w:proofErr w:type="spellEnd"/>
      <w:r w:rsidRPr="007918C3">
        <w:rPr>
          <w:lang w:val="en-GB"/>
        </w:rPr>
        <w:t xml:space="preserve">, W., C </w:t>
      </w:r>
      <w:proofErr w:type="spellStart"/>
      <w:r w:rsidRPr="007918C3">
        <w:rPr>
          <w:lang w:val="en-GB"/>
        </w:rPr>
        <w:t>Simbayi</w:t>
      </w:r>
      <w:proofErr w:type="spellEnd"/>
      <w:r w:rsidRPr="007918C3">
        <w:rPr>
          <w:lang w:val="en-GB"/>
        </w:rPr>
        <w:t xml:space="preserve">, L., Barré, I. and Dovidio, J.F., 2019. The Health Stigma and Discrimination Framework: a global, crosscutting framework to inform research, intervention development, and policy on health-related stigmas. </w:t>
      </w:r>
      <w:r w:rsidRPr="007918C3">
        <w:rPr>
          <w:i/>
          <w:lang w:val="en-GB"/>
        </w:rPr>
        <w:t>BMC medicine,</w:t>
      </w:r>
      <w:r w:rsidRPr="007918C3">
        <w:rPr>
          <w:lang w:val="en-GB"/>
        </w:rPr>
        <w:t xml:space="preserve"> 17(1), pp.1-13.</w:t>
      </w:r>
    </w:p>
    <w:p w14:paraId="533C339B" w14:textId="26544031" w:rsidR="008870BB" w:rsidRPr="007918C3" w:rsidRDefault="004D1BFC">
      <w:pPr>
        <w:rPr>
          <w:lang w:val="en-GB"/>
        </w:rPr>
      </w:pPr>
      <w:r w:rsidRPr="007918C3">
        <w:rPr>
          <w:lang w:val="en-GB"/>
        </w:rPr>
        <w:t>static.inditex.com, 2017.</w:t>
      </w:r>
      <w:r w:rsidRPr="007918C3">
        <w:rPr>
          <w:i/>
          <w:lang w:val="en-GB"/>
        </w:rPr>
        <w:t xml:space="preserve"> DIVERSITY &amp; INCLUSION POLICY.</w:t>
      </w:r>
      <w:r w:rsidRPr="007918C3">
        <w:rPr>
          <w:lang w:val="en-GB"/>
        </w:rPr>
        <w:t xml:space="preserve"> [Online]. Inditex. Available at: </w:t>
      </w:r>
      <w:hyperlink r:id="rId18">
        <w:r w:rsidRPr="007918C3">
          <w:rPr>
            <w:lang w:val="en-GB"/>
          </w:rPr>
          <w:t>https://static.inditex.com/annual_report_2017/assets/pdf/politica_diversidad_en.pdf</w:t>
        </w:r>
      </w:hyperlink>
      <w:r w:rsidRPr="007918C3">
        <w:rPr>
          <w:lang w:val="en-GB"/>
        </w:rPr>
        <w:t xml:space="preserve"> [Accessed 26 April 2022]</w:t>
      </w:r>
    </w:p>
    <w:sectPr w:rsidR="008870BB" w:rsidRPr="007918C3">
      <w:headerReference w:type="default" r:id="rId19"/>
      <w:footerReference w:type="default" r:id="rId20"/>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C970C" w14:textId="77777777" w:rsidR="00DF54AF" w:rsidRDefault="00DF54AF" w:rsidP="00FF064C">
      <w:pPr>
        <w:spacing w:after="0" w:line="240" w:lineRule="auto"/>
      </w:pPr>
      <w:r>
        <w:separator/>
      </w:r>
    </w:p>
  </w:endnote>
  <w:endnote w:type="continuationSeparator" w:id="0">
    <w:p w14:paraId="46C92AD9" w14:textId="77777777" w:rsidR="00DF54AF" w:rsidRDefault="00DF54AF" w:rsidP="00FF0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485408"/>
      <w:docPartObj>
        <w:docPartGallery w:val="Page Numbers (Bottom of Page)"/>
        <w:docPartUnique/>
      </w:docPartObj>
    </w:sdtPr>
    <w:sdtEndPr>
      <w:rPr>
        <w:noProof/>
        <w:sz w:val="20"/>
        <w:szCs w:val="20"/>
      </w:rPr>
    </w:sdtEndPr>
    <w:sdtContent>
      <w:p w14:paraId="2CB964C1" w14:textId="407BEB4D" w:rsidR="008A6E76" w:rsidRPr="008A6E76" w:rsidRDefault="008A6E76">
        <w:pPr>
          <w:pStyle w:val="Footer"/>
          <w:jc w:val="right"/>
          <w:rPr>
            <w:sz w:val="20"/>
            <w:szCs w:val="20"/>
          </w:rPr>
        </w:pPr>
        <w:r w:rsidRPr="008A6E76">
          <w:rPr>
            <w:sz w:val="20"/>
            <w:szCs w:val="20"/>
          </w:rPr>
          <w:fldChar w:fldCharType="begin"/>
        </w:r>
        <w:r w:rsidRPr="008A6E76">
          <w:rPr>
            <w:sz w:val="20"/>
            <w:szCs w:val="20"/>
          </w:rPr>
          <w:instrText xml:space="preserve"> PAGE   \* MERGEFORMAT </w:instrText>
        </w:r>
        <w:r w:rsidRPr="008A6E76">
          <w:rPr>
            <w:sz w:val="20"/>
            <w:szCs w:val="20"/>
          </w:rPr>
          <w:fldChar w:fldCharType="separate"/>
        </w:r>
        <w:r w:rsidRPr="008A6E76">
          <w:rPr>
            <w:noProof/>
            <w:sz w:val="20"/>
            <w:szCs w:val="20"/>
          </w:rPr>
          <w:t>2</w:t>
        </w:r>
        <w:r w:rsidRPr="008A6E76">
          <w:rPr>
            <w:noProof/>
            <w:sz w:val="20"/>
            <w:szCs w:val="20"/>
          </w:rPr>
          <w:fldChar w:fldCharType="end"/>
        </w:r>
      </w:p>
    </w:sdtContent>
  </w:sdt>
  <w:p w14:paraId="44515875" w14:textId="77777777" w:rsidR="008A6E76" w:rsidRDefault="008A6E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0BA5A" w14:textId="77777777" w:rsidR="00DF54AF" w:rsidRDefault="00DF54AF" w:rsidP="00FF064C">
      <w:pPr>
        <w:spacing w:after="0" w:line="240" w:lineRule="auto"/>
      </w:pPr>
      <w:r>
        <w:separator/>
      </w:r>
    </w:p>
  </w:footnote>
  <w:footnote w:type="continuationSeparator" w:id="0">
    <w:p w14:paraId="0AD06D7D" w14:textId="77777777" w:rsidR="00DF54AF" w:rsidRDefault="00DF54AF" w:rsidP="00FF06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639AC" w14:textId="77777777" w:rsidR="00FF064C" w:rsidRDefault="00FF064C" w:rsidP="00FF064C">
    <w:pPr>
      <w:pStyle w:val="Header"/>
      <w:jc w:val="lef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0BB"/>
    <w:rsid w:val="002B7895"/>
    <w:rsid w:val="002C4F6A"/>
    <w:rsid w:val="004C6F56"/>
    <w:rsid w:val="004D1BFC"/>
    <w:rsid w:val="005C40DA"/>
    <w:rsid w:val="007918C3"/>
    <w:rsid w:val="007A3583"/>
    <w:rsid w:val="008870BB"/>
    <w:rsid w:val="008A6E76"/>
    <w:rsid w:val="00D826A3"/>
    <w:rsid w:val="00DF54AF"/>
    <w:rsid w:val="00E04902"/>
    <w:rsid w:val="00ED3655"/>
    <w:rsid w:val="00ED52EE"/>
    <w:rsid w:val="00FF06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9FA53"/>
  <w15:docId w15:val="{68541EDA-A25A-4415-89D7-732259D6C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F06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64C"/>
  </w:style>
  <w:style w:type="paragraph" w:styleId="Footer">
    <w:name w:val="footer"/>
    <w:basedOn w:val="Normal"/>
    <w:link w:val="FooterChar"/>
    <w:uiPriority w:val="99"/>
    <w:unhideWhenUsed/>
    <w:rsid w:val="00FF06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64C"/>
  </w:style>
  <w:style w:type="paragraph" w:customStyle="1" w:styleId="Default">
    <w:name w:val="Default"/>
    <w:rsid w:val="00FF064C"/>
    <w:pPr>
      <w:autoSpaceDE w:val="0"/>
      <w:autoSpaceDN w:val="0"/>
      <w:adjustRightInd w:val="0"/>
      <w:spacing w:after="0" w:line="240" w:lineRule="auto"/>
      <w:jc w:val="left"/>
    </w:pPr>
    <w:rPr>
      <w:rFonts w:ascii="Arial" w:hAnsi="Arial" w:cs="Arial"/>
      <w:color w:val="000000"/>
    </w:rPr>
  </w:style>
  <w:style w:type="paragraph" w:styleId="TOCHeading">
    <w:name w:val="TOC Heading"/>
    <w:basedOn w:val="Heading1"/>
    <w:next w:val="Normal"/>
    <w:uiPriority w:val="39"/>
    <w:unhideWhenUsed/>
    <w:qFormat/>
    <w:rsid w:val="002C4F6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C4F6A"/>
    <w:pPr>
      <w:spacing w:after="100"/>
    </w:pPr>
  </w:style>
  <w:style w:type="paragraph" w:styleId="TOC2">
    <w:name w:val="toc 2"/>
    <w:basedOn w:val="Normal"/>
    <w:next w:val="Normal"/>
    <w:autoRedefine/>
    <w:uiPriority w:val="39"/>
    <w:unhideWhenUsed/>
    <w:rsid w:val="002C4F6A"/>
    <w:pPr>
      <w:spacing w:after="100"/>
      <w:ind w:left="240"/>
    </w:pPr>
  </w:style>
  <w:style w:type="character" w:styleId="Hyperlink">
    <w:name w:val="Hyperlink"/>
    <w:basedOn w:val="DefaultParagraphFont"/>
    <w:uiPriority w:val="99"/>
    <w:unhideWhenUsed/>
    <w:rsid w:val="002C4F6A"/>
    <w:rPr>
      <w:color w:val="0000FF" w:themeColor="hyperlink"/>
      <w:u w:val="single"/>
    </w:rPr>
  </w:style>
  <w:style w:type="table" w:styleId="TableGrid">
    <w:name w:val="Table Grid"/>
    <w:basedOn w:val="TableNormal"/>
    <w:uiPriority w:val="59"/>
    <w:rsid w:val="00ED36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04902"/>
    <w:pPr>
      <w:spacing w:before="100" w:beforeAutospacing="1" w:after="100" w:afterAutospacing="1" w:line="240" w:lineRule="auto"/>
      <w:jc w:val="left"/>
    </w:pPr>
    <w:rPr>
      <w:lang w:val="en-US"/>
    </w:rPr>
  </w:style>
  <w:style w:type="character" w:styleId="Strong">
    <w:name w:val="Strong"/>
    <w:basedOn w:val="DefaultParagraphFont"/>
    <w:uiPriority w:val="22"/>
    <w:qFormat/>
    <w:rsid w:val="00E04902"/>
    <w:rPr>
      <w:b/>
      <w:bCs/>
    </w:rPr>
  </w:style>
  <w:style w:type="character" w:customStyle="1" w:styleId="markedcontent">
    <w:name w:val="markedcontent"/>
    <w:basedOn w:val="DefaultParagraphFont"/>
    <w:rsid w:val="00E049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new-study-reveals-half-of-employers-expect-more-flexible-working-after-pandemic" TargetMode="External"/><Relationship Id="rId13" Type="http://schemas.openxmlformats.org/officeDocument/2006/relationships/hyperlink" Target="https://www.inditex.com/en/how-we-do-business/our-model/customers" TargetMode="External"/><Relationship Id="rId18" Type="http://schemas.openxmlformats.org/officeDocument/2006/relationships/hyperlink" Target="https://static.inditex.com/annual_report_2017/assets/pdf/politica_diversidad_en.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inditex.com/our-commitment-to-people/our-employees" TargetMode="External"/><Relationship Id="rId17" Type="http://schemas.openxmlformats.org/officeDocument/2006/relationships/hyperlink" Target="https://www.statista.com/topics/6565/work-from-home-and-remote-work/" TargetMode="External"/><Relationship Id="rId2" Type="http://schemas.openxmlformats.org/officeDocument/2006/relationships/styles" Target="styles.xml"/><Relationship Id="rId16" Type="http://schemas.openxmlformats.org/officeDocument/2006/relationships/hyperlink" Target="https://www.cipd.co.uk/news-views/news-articles/flexible-work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ditex.com/en/our-commitment-to-people" TargetMode="External"/><Relationship Id="rId5" Type="http://schemas.openxmlformats.org/officeDocument/2006/relationships/footnotes" Target="footnotes.xml"/><Relationship Id="rId15" Type="http://schemas.openxmlformats.org/officeDocument/2006/relationships/hyperlink" Target="https://www.inditex.com/covid-19" TargetMode="External"/><Relationship Id="rId10" Type="http://schemas.openxmlformats.org/officeDocument/2006/relationships/hyperlink" Target="https://www.inditex.com/about-us/who-we-ar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tatista.com/statistics/1208563/coronavirus-reasons-for-working-from-home-in-britain/" TargetMode="External"/><Relationship Id="rId14" Type="http://schemas.openxmlformats.org/officeDocument/2006/relationships/hyperlink" Target="https://www.inditex.com/en/our-commitment-to-people/our-employees/equality-divers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5CC0AD-B6A3-453C-91A1-19D558057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3644</Words>
  <Characters>20777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melinte</cp:lastModifiedBy>
  <cp:revision>3</cp:revision>
  <dcterms:created xsi:type="dcterms:W3CDTF">2022-04-27T17:31:00Z</dcterms:created>
  <dcterms:modified xsi:type="dcterms:W3CDTF">2022-05-01T11:11:00Z</dcterms:modified>
</cp:coreProperties>
</file>