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sidP="20C9F860">
      <w:pPr>
        <w:rPr>
          <w:rFonts w:ascii="Arial" w:eastAsia="Arial" w:hAnsi="Arial" w:cs="Arial"/>
        </w:rPr>
      </w:pPr>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rsidP="20C9F860">
      <w:pPr>
        <w:rPr>
          <w:rFonts w:ascii="Arial" w:eastAsia="Arial" w:hAnsi="Arial" w:cs="Arial"/>
        </w:rPr>
      </w:pPr>
    </w:p>
    <w:p w14:paraId="00DE7510" w14:textId="684CC594" w:rsidR="00063B4C" w:rsidRDefault="00063B4C" w:rsidP="20C9F860">
      <w:pPr>
        <w:rPr>
          <w:rFonts w:ascii="Arial" w:eastAsia="Arial" w:hAnsi="Arial" w:cs="Arial"/>
        </w:rPr>
      </w:pPr>
    </w:p>
    <w:p w14:paraId="62B6C1AB" w14:textId="77777777" w:rsidR="00063B4C" w:rsidRDefault="00063B4C" w:rsidP="20C9F860">
      <w:pPr>
        <w:rPr>
          <w:rFonts w:ascii="Arial" w:eastAsia="Arial" w:hAnsi="Arial" w:cs="Arial"/>
        </w:rPr>
      </w:pPr>
    </w:p>
    <w:p w14:paraId="19C1447B" w14:textId="77777777" w:rsidR="00063B4C" w:rsidRDefault="00063B4C" w:rsidP="20C9F860">
      <w:pPr>
        <w:ind w:right="1229"/>
        <w:rPr>
          <w:rFonts w:ascii="Arial" w:eastAsia="Arial" w:hAnsi="Arial" w:cs="Arial"/>
        </w:rPr>
      </w:pPr>
    </w:p>
    <w:p w14:paraId="4BD32C57" w14:textId="2FA64C13" w:rsidR="00063B4C" w:rsidRPr="00063B4C" w:rsidRDefault="00063B4C" w:rsidP="20C9F860">
      <w:pPr>
        <w:ind w:right="1229"/>
        <w:rPr>
          <w:rFonts w:ascii="Arial" w:eastAsia="Arial" w:hAnsi="Arial" w:cs="Arial"/>
          <w:b/>
          <w:bCs/>
          <w:sz w:val="40"/>
          <w:szCs w:val="40"/>
        </w:rPr>
      </w:pPr>
      <w:r w:rsidRPr="20C9F860">
        <w:rPr>
          <w:rFonts w:ascii="Arial" w:eastAsia="Arial" w:hAnsi="Arial" w:cs="Arial"/>
          <w:b/>
          <w:bCs/>
          <w:sz w:val="40"/>
          <w:szCs w:val="40"/>
        </w:rPr>
        <w:t>Institute of Inner-City Learning Birmingham Campus</w:t>
      </w:r>
    </w:p>
    <w:p w14:paraId="7F58ECA1" w14:textId="77777777" w:rsidR="00063B4C" w:rsidRPr="00063B4C" w:rsidRDefault="00063B4C" w:rsidP="20C9F860">
      <w:pPr>
        <w:pStyle w:val="BodyText"/>
        <w:jc w:val="center"/>
        <w:rPr>
          <w:rFonts w:eastAsia="Arial" w:cs="Arial"/>
          <w:b/>
          <w:bCs/>
          <w:sz w:val="40"/>
          <w:szCs w:val="40"/>
        </w:rPr>
      </w:pPr>
    </w:p>
    <w:p w14:paraId="3009F44A" w14:textId="2F598781" w:rsidR="00063B4C" w:rsidRPr="00063B4C" w:rsidRDefault="00063B4C" w:rsidP="20C9F860">
      <w:pPr>
        <w:spacing w:line="813" w:lineRule="exact"/>
        <w:rPr>
          <w:rFonts w:ascii="Arial" w:eastAsia="Arial" w:hAnsi="Arial" w:cs="Arial"/>
        </w:rPr>
      </w:pPr>
      <w:r w:rsidRPr="20C9F860">
        <w:rPr>
          <w:rFonts w:ascii="Arial" w:eastAsia="Arial" w:hAnsi="Arial" w:cs="Arial"/>
          <w:b/>
          <w:bCs/>
          <w:sz w:val="40"/>
          <w:szCs w:val="40"/>
        </w:rPr>
        <w:t>BSc (Hons) Health and Social Care</w:t>
      </w:r>
      <w:r>
        <w:br/>
      </w:r>
    </w:p>
    <w:p w14:paraId="08ED8C42" w14:textId="50C13CA6" w:rsidR="00063B4C" w:rsidRPr="00063B4C" w:rsidRDefault="00063B4C" w:rsidP="20C9F860">
      <w:pPr>
        <w:spacing w:line="1342" w:lineRule="exact"/>
        <w:jc w:val="left"/>
        <w:rPr>
          <w:rFonts w:ascii="Arial" w:eastAsia="Arial" w:hAnsi="Arial" w:cs="Arial"/>
        </w:rPr>
      </w:pPr>
      <w:r w:rsidRPr="20C9F860">
        <w:rPr>
          <w:rFonts w:ascii="Arial" w:eastAsia="Arial" w:hAnsi="Arial" w:cs="Arial"/>
        </w:rPr>
        <w:t xml:space="preserve">DISSERTATION </w:t>
      </w:r>
    </w:p>
    <w:p w14:paraId="5B270734" w14:textId="55782988" w:rsidR="00063B4C" w:rsidRDefault="00063B4C" w:rsidP="20C9F860">
      <w:pPr>
        <w:rPr>
          <w:rFonts w:ascii="Arial" w:eastAsia="Arial" w:hAnsi="Arial" w:cs="Arial"/>
        </w:rPr>
      </w:pPr>
    </w:p>
    <w:p w14:paraId="2C0F81B3" w14:textId="77777777" w:rsidR="00995444" w:rsidRDefault="00995444" w:rsidP="20C9F860">
      <w:pPr>
        <w:pStyle w:val="Heading1"/>
        <w:ind w:left="0"/>
        <w:rPr>
          <w:rFonts w:eastAsia="Arial" w:cs="Arial"/>
          <w:sz w:val="22"/>
          <w:szCs w:val="22"/>
        </w:rPr>
      </w:pPr>
    </w:p>
    <w:p w14:paraId="2CA040FF" w14:textId="5FA04458" w:rsidR="090184E5" w:rsidRDefault="090184E5" w:rsidP="20C9F860">
      <w:pPr>
        <w:pStyle w:val="Heading1"/>
        <w:ind w:left="0"/>
        <w:rPr>
          <w:rFonts w:eastAsia="Arial" w:cs="Arial"/>
          <w:sz w:val="22"/>
          <w:szCs w:val="22"/>
        </w:rPr>
      </w:pPr>
    </w:p>
    <w:p w14:paraId="6D29CD44" w14:textId="75C545B1" w:rsidR="00063B4C" w:rsidRPr="00063B4C" w:rsidRDefault="00063B4C" w:rsidP="20C9F860">
      <w:pPr>
        <w:pStyle w:val="Heading1"/>
        <w:ind w:left="0"/>
        <w:rPr>
          <w:rFonts w:eastAsia="Arial" w:cs="Arial"/>
          <w:sz w:val="22"/>
          <w:szCs w:val="22"/>
        </w:rPr>
      </w:pPr>
      <w:r w:rsidRPr="20C9F860">
        <w:rPr>
          <w:rFonts w:eastAsia="Arial" w:cs="Arial"/>
          <w:sz w:val="22"/>
          <w:szCs w:val="22"/>
        </w:rPr>
        <w:t>Disclaimer</w:t>
      </w:r>
    </w:p>
    <w:p w14:paraId="489370DD" w14:textId="38FAC726" w:rsidR="00604A87" w:rsidRPr="0073280B" w:rsidRDefault="00063B4C" w:rsidP="20C9F860">
      <w:pPr>
        <w:spacing w:before="62"/>
        <w:ind w:right="96"/>
        <w:rPr>
          <w:rFonts w:ascii="Arial" w:eastAsia="Arial" w:hAnsi="Arial" w:cs="Arial"/>
          <w:b/>
          <w:bCs/>
        </w:rPr>
      </w:pPr>
      <w:r w:rsidRPr="20C9F860">
        <w:rPr>
          <w:rFonts w:ascii="Arial" w:eastAsia="Arial" w:hAnsi="Arial" w:cs="Arial"/>
        </w:rPr>
        <w:t xml:space="preserve">This document was correct at the time of publication. The Module Coordinator reserves the right to modify any </w:t>
      </w:r>
      <w:r w:rsidR="267643E4" w:rsidRPr="20C9F860">
        <w:rPr>
          <w:rFonts w:ascii="Arial" w:eastAsia="Arial" w:hAnsi="Arial" w:cs="Arial"/>
        </w:rPr>
        <w:t>statement,</w:t>
      </w:r>
      <w:r w:rsidRPr="20C9F860">
        <w:rPr>
          <w:rFonts w:ascii="Arial" w:eastAsia="Arial" w:hAnsi="Arial" w:cs="Arial"/>
        </w:rPr>
        <w:t xml:space="preserve"> if necessary, make variations to the content or methods of delivery of programmes of study, to discontinue programmes, or merge or combine programmes if such actions </w:t>
      </w:r>
      <w:r w:rsidR="680863FC" w:rsidRPr="20C9F860">
        <w:rPr>
          <w:rFonts w:ascii="Arial" w:eastAsia="Arial" w:hAnsi="Arial" w:cs="Arial"/>
        </w:rPr>
        <w:t>are</w:t>
      </w:r>
      <w:r w:rsidRPr="20C9F860">
        <w:rPr>
          <w:rFonts w:ascii="Arial" w:eastAsia="Arial" w:hAnsi="Arial" w:cs="Arial"/>
        </w:rPr>
        <w:t xml:space="preserve"> necessary by UWTSD. Every effort will be made to keep disruption to a minimum, and to give as much notice as possible. An electronic copy of this handbook can be found on the Moodle page for the module.</w:t>
      </w:r>
    </w:p>
    <w:p w14:paraId="3492E4C4" w14:textId="629A044C" w:rsidR="00604A87" w:rsidRPr="0073280B" w:rsidRDefault="00604A87" w:rsidP="20C9F860">
      <w:pPr>
        <w:spacing w:before="62"/>
        <w:ind w:right="96"/>
        <w:rPr>
          <w:rFonts w:ascii="Arial" w:eastAsia="Arial" w:hAnsi="Arial" w:cs="Arial"/>
          <w:b/>
          <w:bCs/>
        </w:rPr>
      </w:pPr>
      <w:r w:rsidRPr="20C9F860">
        <w:rPr>
          <w:rFonts w:ascii="Arial" w:eastAsia="Arial" w:hAnsi="Arial" w:cs="Arial"/>
          <w:b/>
          <w:bCs/>
        </w:rPr>
        <w:t>DECLARATION</w:t>
      </w:r>
    </w:p>
    <w:p w14:paraId="113CAAED" w14:textId="2CC33593" w:rsidR="00604A87" w:rsidRPr="00604A87" w:rsidRDefault="00604A87" w:rsidP="20C9F860">
      <w:pPr>
        <w:rPr>
          <w:rFonts w:ascii="Arial" w:eastAsia="Arial" w:hAnsi="Arial" w:cs="Arial"/>
        </w:rPr>
      </w:pPr>
      <w:r w:rsidRPr="20C9F860">
        <w:rPr>
          <w:rFonts w:ascii="Arial" w:eastAsia="Arial" w:hAnsi="Arial" w:cs="Arial"/>
        </w:rPr>
        <w:t>This work has not previously been accepted in substance for any degree and is not being concurrently submitted in candidature for any degree</w:t>
      </w:r>
    </w:p>
    <w:p w14:paraId="3EF51212" w14:textId="48A0A49E" w:rsidR="00604A87" w:rsidRPr="00604A87" w:rsidRDefault="00604A87" w:rsidP="20C9F860">
      <w:pPr>
        <w:rPr>
          <w:rFonts w:ascii="Arial" w:eastAsia="Arial" w:hAnsi="Arial" w:cs="Arial"/>
        </w:rPr>
      </w:pPr>
      <w:r w:rsidRPr="393020AF">
        <w:rPr>
          <w:rFonts w:ascii="Arial" w:eastAsia="Arial" w:hAnsi="Arial" w:cs="Arial"/>
        </w:rPr>
        <w:t>Signed</w:t>
      </w:r>
      <w:r w:rsidR="6AFA3C34" w:rsidRPr="393020AF">
        <w:rPr>
          <w:rFonts w:ascii="Arial" w:eastAsia="Arial" w:hAnsi="Arial" w:cs="Arial"/>
        </w:rPr>
        <w:t xml:space="preserve">   AYESHA MASOOD </w:t>
      </w:r>
    </w:p>
    <w:p w14:paraId="16B6CB34" w14:textId="480E10FA" w:rsidR="00604A87" w:rsidRPr="00604A87" w:rsidRDefault="00604A87" w:rsidP="20C9F860">
      <w:pPr>
        <w:rPr>
          <w:rFonts w:ascii="Arial" w:eastAsia="Arial" w:hAnsi="Arial" w:cs="Arial"/>
        </w:rPr>
      </w:pPr>
      <w:r w:rsidRPr="393020AF">
        <w:rPr>
          <w:rFonts w:ascii="Arial" w:eastAsia="Arial" w:hAnsi="Arial" w:cs="Arial"/>
        </w:rPr>
        <w:t>Dat</w:t>
      </w:r>
      <w:r w:rsidR="6FD2F7C9" w:rsidRPr="393020AF">
        <w:rPr>
          <w:rFonts w:ascii="Arial" w:eastAsia="Arial" w:hAnsi="Arial" w:cs="Arial"/>
        </w:rPr>
        <w:t>e        23/11/2025</w:t>
      </w:r>
    </w:p>
    <w:p w14:paraId="7D9E43A8" w14:textId="77777777" w:rsidR="00604A87" w:rsidRPr="00604A87" w:rsidRDefault="00604A87" w:rsidP="20C9F860">
      <w:pPr>
        <w:rPr>
          <w:rFonts w:ascii="Arial" w:eastAsia="Arial" w:hAnsi="Arial" w:cs="Arial"/>
          <w:kern w:val="32"/>
        </w:rPr>
      </w:pPr>
      <w:r w:rsidRPr="20C9F860">
        <w:rPr>
          <w:rFonts w:ascii="Arial" w:eastAsia="Arial" w:hAnsi="Arial" w:cs="Arial"/>
          <w:b/>
          <w:bCs/>
        </w:rPr>
        <w:t xml:space="preserve">STATEMENT 1 </w:t>
      </w:r>
    </w:p>
    <w:p w14:paraId="189DE0A6" w14:textId="710F2765" w:rsidR="00604A87" w:rsidRPr="00604A87" w:rsidRDefault="00604A87" w:rsidP="20C9F860">
      <w:pPr>
        <w:rPr>
          <w:rFonts w:ascii="Arial" w:eastAsia="Arial" w:hAnsi="Arial" w:cs="Arial"/>
        </w:rPr>
      </w:pPr>
      <w:r w:rsidRPr="20C9F860">
        <w:rPr>
          <w:rFonts w:ascii="Arial" w:eastAsia="Arial" w:hAnsi="Arial" w:cs="Arial"/>
        </w:rPr>
        <w:t>This dissertation is being submitted in partial fulfilment of the requirements for the degree of BSc.</w:t>
      </w:r>
    </w:p>
    <w:p w14:paraId="39F661A6" w14:textId="3F42F005" w:rsidR="00604A87" w:rsidRPr="00604A87" w:rsidRDefault="00604A87" w:rsidP="393020AF">
      <w:pPr>
        <w:rPr>
          <w:rFonts w:ascii="Arial" w:eastAsia="Arial" w:hAnsi="Arial" w:cs="Arial"/>
        </w:rPr>
      </w:pPr>
      <w:r w:rsidRPr="393020AF">
        <w:rPr>
          <w:rFonts w:ascii="Arial" w:eastAsia="Arial" w:hAnsi="Arial" w:cs="Arial"/>
        </w:rPr>
        <w:t>Signed</w:t>
      </w:r>
      <w:r w:rsidR="1F436DE7" w:rsidRPr="393020AF">
        <w:rPr>
          <w:rFonts w:ascii="Arial" w:eastAsia="Arial" w:hAnsi="Arial" w:cs="Arial"/>
        </w:rPr>
        <w:t xml:space="preserve">   AYESHA MASOOD</w:t>
      </w:r>
    </w:p>
    <w:p w14:paraId="21F5E413" w14:textId="41E34FFF" w:rsidR="00604A87" w:rsidRPr="00604A87" w:rsidRDefault="00604A87" w:rsidP="20C9F860">
      <w:pPr>
        <w:rPr>
          <w:rFonts w:ascii="Arial" w:eastAsia="Arial" w:hAnsi="Arial" w:cs="Arial"/>
        </w:rPr>
      </w:pPr>
      <w:r w:rsidRPr="393020AF">
        <w:rPr>
          <w:rFonts w:ascii="Arial" w:eastAsia="Arial" w:hAnsi="Arial" w:cs="Arial"/>
        </w:rPr>
        <w:t>Date</w:t>
      </w:r>
      <w:r w:rsidR="723118D9" w:rsidRPr="393020AF">
        <w:rPr>
          <w:rFonts w:ascii="Arial" w:eastAsia="Arial" w:hAnsi="Arial" w:cs="Arial"/>
        </w:rPr>
        <w:t xml:space="preserve">      23/11/2025</w:t>
      </w:r>
    </w:p>
    <w:p w14:paraId="713B64B9" w14:textId="77777777" w:rsidR="00604A87" w:rsidRPr="00604A87" w:rsidRDefault="00604A87" w:rsidP="20C9F860">
      <w:pPr>
        <w:rPr>
          <w:rFonts w:ascii="Arial" w:eastAsia="Arial" w:hAnsi="Arial" w:cs="Arial"/>
        </w:rPr>
      </w:pPr>
      <w:r w:rsidRPr="20C9F860">
        <w:rPr>
          <w:rFonts w:ascii="Arial" w:eastAsia="Arial" w:hAnsi="Arial" w:cs="Arial"/>
          <w:b/>
          <w:bCs/>
        </w:rPr>
        <w:t>STATEMENT 2</w:t>
      </w:r>
    </w:p>
    <w:p w14:paraId="4AA5D04A" w14:textId="61EA115A" w:rsidR="00604A87" w:rsidRPr="00604A87" w:rsidRDefault="00604A87" w:rsidP="20C9F860">
      <w:pPr>
        <w:rPr>
          <w:rFonts w:ascii="Arial" w:eastAsia="Arial" w:hAnsi="Arial" w:cs="Arial"/>
        </w:rPr>
      </w:pPr>
      <w:r w:rsidRPr="20C9F860">
        <w:rPr>
          <w:rFonts w:ascii="Arial" w:eastAsia="Arial" w:hAnsi="Arial" w:cs="Arial"/>
        </w:rPr>
        <w:t>This dissertation is the result of my own independent work/investigation, except where otherwise stated. Other sources are acknowledged by footnotes giving explicit references</w:t>
      </w:r>
      <w:r w:rsidR="2CC4772F" w:rsidRPr="20C9F860">
        <w:rPr>
          <w:rFonts w:ascii="Arial" w:eastAsia="Arial" w:hAnsi="Arial" w:cs="Arial"/>
        </w:rPr>
        <w:t xml:space="preserve">. </w:t>
      </w:r>
      <w:r w:rsidRPr="20C9F860">
        <w:rPr>
          <w:rFonts w:ascii="Arial" w:eastAsia="Arial" w:hAnsi="Arial" w:cs="Arial"/>
        </w:rPr>
        <w:t>A bibliography is appended.</w:t>
      </w:r>
    </w:p>
    <w:p w14:paraId="319A31E7" w14:textId="44D4F3DD" w:rsidR="00604A87" w:rsidRPr="00604A87" w:rsidRDefault="00604A87" w:rsidP="393020AF">
      <w:pPr>
        <w:rPr>
          <w:rFonts w:ascii="Arial" w:eastAsia="Arial" w:hAnsi="Arial" w:cs="Arial"/>
        </w:rPr>
      </w:pPr>
      <w:r w:rsidRPr="393020AF">
        <w:rPr>
          <w:rFonts w:ascii="Arial" w:eastAsia="Arial" w:hAnsi="Arial" w:cs="Arial"/>
        </w:rPr>
        <w:t>Signed</w:t>
      </w:r>
      <w:r w:rsidR="22F89F5B" w:rsidRPr="393020AF">
        <w:rPr>
          <w:rFonts w:ascii="Arial" w:eastAsia="Arial" w:hAnsi="Arial" w:cs="Arial"/>
        </w:rPr>
        <w:t xml:space="preserve">   AYESHA MASOOD</w:t>
      </w:r>
    </w:p>
    <w:p w14:paraId="1CB40FFB" w14:textId="2494267C" w:rsidR="00604A87" w:rsidRPr="00604A87" w:rsidRDefault="00604A87" w:rsidP="20C9F860">
      <w:pPr>
        <w:rPr>
          <w:rFonts w:ascii="Arial" w:eastAsia="Arial" w:hAnsi="Arial" w:cs="Arial"/>
        </w:rPr>
      </w:pPr>
      <w:r w:rsidRPr="393020AF">
        <w:rPr>
          <w:rFonts w:ascii="Arial" w:eastAsia="Arial" w:hAnsi="Arial" w:cs="Arial"/>
        </w:rPr>
        <w:t>Date</w:t>
      </w:r>
      <w:r w:rsidR="548B7FCE" w:rsidRPr="393020AF">
        <w:rPr>
          <w:rFonts w:ascii="Arial" w:eastAsia="Arial" w:hAnsi="Arial" w:cs="Arial"/>
        </w:rPr>
        <w:t xml:space="preserve">       23/11/2025</w:t>
      </w:r>
    </w:p>
    <w:p w14:paraId="42D5D0C6" w14:textId="77777777" w:rsidR="00604A87" w:rsidRPr="00604A87" w:rsidRDefault="00604A87" w:rsidP="20C9F860">
      <w:pPr>
        <w:rPr>
          <w:rFonts w:ascii="Arial" w:eastAsia="Arial" w:hAnsi="Arial" w:cs="Arial"/>
        </w:rPr>
      </w:pPr>
      <w:r w:rsidRPr="20C9F860">
        <w:rPr>
          <w:rFonts w:ascii="Arial" w:eastAsia="Arial" w:hAnsi="Arial" w:cs="Arial"/>
          <w:b/>
          <w:bCs/>
        </w:rPr>
        <w:t>STATEMENT 3</w:t>
      </w:r>
    </w:p>
    <w:p w14:paraId="4B58546E" w14:textId="61CCB29A" w:rsidR="00604A87" w:rsidRPr="00604A87" w:rsidRDefault="00604A87" w:rsidP="20C9F860">
      <w:pPr>
        <w:rPr>
          <w:rFonts w:ascii="Arial" w:eastAsia="Arial" w:hAnsi="Arial" w:cs="Arial"/>
        </w:rPr>
      </w:pPr>
      <w:r w:rsidRPr="20C9F860">
        <w:rPr>
          <w:rFonts w:ascii="Arial" w:eastAsia="Arial" w:hAnsi="Arial" w:cs="Arial"/>
        </w:rPr>
        <w:t>I hereby give consent for my dissertation, if accepted, to be available for photocopying and for interlibrary loan, and for the title and summary to be made available to outside organisations.</w:t>
      </w:r>
    </w:p>
    <w:p w14:paraId="5C25443E" w14:textId="150111ED" w:rsidR="00604A87" w:rsidRPr="00604A87" w:rsidRDefault="00604A87" w:rsidP="393020AF">
      <w:pPr>
        <w:rPr>
          <w:rFonts w:ascii="Arial" w:eastAsia="Arial" w:hAnsi="Arial" w:cs="Arial"/>
        </w:rPr>
      </w:pPr>
      <w:r w:rsidRPr="393020AF">
        <w:rPr>
          <w:rFonts w:ascii="Arial" w:eastAsia="Arial" w:hAnsi="Arial" w:cs="Arial"/>
        </w:rPr>
        <w:t>Signed</w:t>
      </w:r>
      <w:r w:rsidR="79241E7B" w:rsidRPr="393020AF">
        <w:rPr>
          <w:rFonts w:ascii="Arial" w:eastAsia="Arial" w:hAnsi="Arial" w:cs="Arial"/>
        </w:rPr>
        <w:t xml:space="preserve">    AYESHA MASOOD</w:t>
      </w:r>
    </w:p>
    <w:p w14:paraId="021196D1" w14:textId="22B940F0" w:rsidR="00604A87" w:rsidRPr="00604A87" w:rsidRDefault="00604A87" w:rsidP="20C9F86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Arial" w:hAnsi="Arial" w:cs="Arial"/>
        </w:rPr>
      </w:pPr>
      <w:r w:rsidRPr="393020AF">
        <w:rPr>
          <w:rFonts w:ascii="Arial" w:eastAsia="Arial" w:hAnsi="Arial" w:cs="Arial"/>
        </w:rPr>
        <w:t>Date</w:t>
      </w:r>
      <w:r w:rsidR="33314420" w:rsidRPr="393020AF">
        <w:rPr>
          <w:rFonts w:ascii="Arial" w:eastAsia="Arial" w:hAnsi="Arial" w:cs="Arial"/>
        </w:rPr>
        <w:t>23/11/2025</w:t>
      </w:r>
    </w:p>
    <w:p w14:paraId="77D38054" w14:textId="77777777" w:rsidR="00604A87" w:rsidRPr="00604A87" w:rsidRDefault="00604A87" w:rsidP="20C9F860">
      <w:pPr>
        <w:rPr>
          <w:rFonts w:ascii="Arial" w:eastAsia="Arial" w:hAnsi="Arial" w:cs="Arial"/>
          <w:b/>
          <w:bCs/>
        </w:rPr>
      </w:pPr>
      <w:r w:rsidRPr="20C9F860">
        <w:rPr>
          <w:rFonts w:ascii="Arial" w:eastAsia="Arial" w:hAnsi="Arial" w:cs="Arial"/>
          <w:b/>
          <w:bCs/>
        </w:rPr>
        <w:t>STATEMENT 4</w:t>
      </w:r>
    </w:p>
    <w:p w14:paraId="0A15E499" w14:textId="1F9546C0" w:rsidR="00604A87" w:rsidRPr="00604A87" w:rsidRDefault="00604A87" w:rsidP="20C9F860">
      <w:pPr>
        <w:rPr>
          <w:rFonts w:ascii="Arial" w:eastAsia="Arial" w:hAnsi="Arial" w:cs="Arial"/>
        </w:rPr>
      </w:pPr>
      <w:r w:rsidRPr="20C9F860">
        <w:rPr>
          <w:rFonts w:ascii="Arial" w:eastAsia="Arial" w:hAnsi="Arial" w:cs="Arial"/>
        </w:rPr>
        <w:t>I hereby give consent for my dissertation, if accepted, to be available on the university’s IT system to those who have consent to use the system.</w:t>
      </w:r>
    </w:p>
    <w:p w14:paraId="73D7762F" w14:textId="33281863" w:rsidR="00604A87" w:rsidRPr="00604A87" w:rsidRDefault="00604A87" w:rsidP="393020AF">
      <w:pPr>
        <w:rPr>
          <w:rFonts w:ascii="Arial" w:eastAsia="Arial" w:hAnsi="Arial" w:cs="Arial"/>
        </w:rPr>
      </w:pPr>
      <w:r w:rsidRPr="393020AF">
        <w:rPr>
          <w:rFonts w:ascii="Arial" w:eastAsia="Arial" w:hAnsi="Arial" w:cs="Arial"/>
        </w:rPr>
        <w:t>Signed</w:t>
      </w:r>
      <w:r w:rsidR="73137799" w:rsidRPr="393020AF">
        <w:rPr>
          <w:rFonts w:ascii="Arial" w:eastAsia="Arial" w:hAnsi="Arial" w:cs="Arial"/>
        </w:rPr>
        <w:t xml:space="preserve"> AYESHA MASOOD</w:t>
      </w:r>
    </w:p>
    <w:p w14:paraId="47F934FB" w14:textId="5780ADA1" w:rsidR="00995444" w:rsidRPr="00995444" w:rsidRDefault="00604A87" w:rsidP="393020A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240" w:after="240"/>
        <w:rPr>
          <w:rFonts w:ascii="Arial" w:eastAsia="Arial" w:hAnsi="Arial" w:cs="Arial"/>
        </w:rPr>
      </w:pPr>
      <w:r w:rsidRPr="393020AF">
        <w:rPr>
          <w:rFonts w:ascii="Arial" w:eastAsia="Arial" w:hAnsi="Arial" w:cs="Arial"/>
        </w:rPr>
        <w:t>Date</w:t>
      </w:r>
      <w:r w:rsidR="727732F5" w:rsidRPr="393020AF">
        <w:rPr>
          <w:rFonts w:ascii="Arial" w:eastAsia="Arial" w:hAnsi="Arial" w:cs="Arial"/>
        </w:rPr>
        <w:t xml:space="preserve">   23/11/2025</w:t>
      </w:r>
    </w:p>
    <w:p w14:paraId="1F7C414B" w14:textId="6B14F608" w:rsidR="00995444" w:rsidRPr="00995444" w:rsidRDefault="05B4E6CF" w:rsidP="20C9F86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before="240" w:after="240"/>
        <w:rPr>
          <w:rFonts w:ascii="Arial" w:eastAsia="Arial" w:hAnsi="Arial" w:cs="Arial"/>
          <w:color w:val="000000" w:themeColor="text1"/>
        </w:rPr>
      </w:pPr>
      <w:r w:rsidRPr="20C9F860">
        <w:rPr>
          <w:rFonts w:ascii="Arial" w:eastAsia="Arial" w:hAnsi="Arial" w:cs="Arial"/>
          <w:b/>
          <w:bCs/>
          <w:color w:val="000000" w:themeColor="text1"/>
        </w:rPr>
        <w:t>My Project Title:</w:t>
      </w:r>
    </w:p>
    <w:p w14:paraId="2617D0CC" w14:textId="26F1BCE3" w:rsidR="00995444" w:rsidRPr="00995444" w:rsidRDefault="05B4E6CF" w:rsidP="20C9F860">
      <w:pPr>
        <w:spacing w:before="240" w:after="240"/>
        <w:rPr>
          <w:rFonts w:ascii="Arial" w:eastAsia="Arial" w:hAnsi="Arial" w:cs="Arial"/>
          <w:b/>
          <w:bCs/>
          <w:color w:val="000000" w:themeColor="text1"/>
        </w:rPr>
      </w:pPr>
      <w:r w:rsidRPr="20C9F860">
        <w:rPr>
          <w:rFonts w:ascii="Arial" w:eastAsia="Arial" w:hAnsi="Arial" w:cs="Arial"/>
          <w:b/>
          <w:bCs/>
          <w:color w:val="000000" w:themeColor="text1"/>
        </w:rPr>
        <w:t>Understanding the Barriers Parents Face in Accessing Autism Support for Children Under 12 in the UK</w:t>
      </w:r>
    </w:p>
    <w:p w14:paraId="0FC75915" w14:textId="715C3404" w:rsidR="00995444" w:rsidRPr="00995444" w:rsidRDefault="00995444" w:rsidP="20C9F8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b/>
          <w:bCs/>
        </w:rPr>
      </w:pPr>
    </w:p>
    <w:p w14:paraId="1F5E0430" w14:textId="15EB4345" w:rsidR="00995444" w:rsidRPr="00995444" w:rsidRDefault="6442036E" w:rsidP="20C9F860">
      <w:pPr>
        <w:spacing w:before="240" w:after="240"/>
        <w:jc w:val="center"/>
        <w:rPr>
          <w:rFonts w:ascii="Arial" w:eastAsia="Arial" w:hAnsi="Arial" w:cs="Arial"/>
          <w:color w:val="000000" w:themeColor="text1"/>
        </w:rPr>
      </w:pPr>
      <w:r w:rsidRPr="20C9F860">
        <w:rPr>
          <w:rFonts w:ascii="Arial" w:eastAsia="Arial" w:hAnsi="Arial" w:cs="Arial"/>
          <w:b/>
          <w:bCs/>
          <w:color w:val="000000" w:themeColor="text1"/>
        </w:rPr>
        <w:t xml:space="preserve">STUDENT NAME AYESHA MASOOD </w:t>
      </w:r>
    </w:p>
    <w:p w14:paraId="7737120E" w14:textId="53F36A06" w:rsidR="00995444" w:rsidRPr="00995444" w:rsidRDefault="6442036E" w:rsidP="20C9F860">
      <w:pPr>
        <w:spacing w:before="240" w:after="240"/>
        <w:jc w:val="center"/>
        <w:rPr>
          <w:rFonts w:ascii="Arial" w:eastAsia="Arial" w:hAnsi="Arial" w:cs="Arial"/>
          <w:color w:val="000000" w:themeColor="text1"/>
        </w:rPr>
      </w:pPr>
      <w:r w:rsidRPr="20C9F860">
        <w:rPr>
          <w:rFonts w:ascii="Arial" w:eastAsia="Arial" w:hAnsi="Arial" w:cs="Arial"/>
          <w:b/>
          <w:bCs/>
          <w:color w:val="000000" w:themeColor="text1"/>
        </w:rPr>
        <w:t xml:space="preserve">STUDENT ID 2220784 </w:t>
      </w:r>
    </w:p>
    <w:p w14:paraId="7D022C7E" w14:textId="2BD4538D" w:rsidR="00995444" w:rsidRPr="00E3275C" w:rsidRDefault="00995444" w:rsidP="00E3275C">
      <w:pPr>
        <w:spacing w:before="240" w:after="240"/>
        <w:rPr>
          <w:rFonts w:ascii="Arial" w:eastAsia="Arial" w:hAnsi="Arial" w:cs="Arial"/>
          <w:color w:val="000000" w:themeColor="text1"/>
        </w:rPr>
      </w:pPr>
    </w:p>
    <w:p w14:paraId="78A0C5F3" w14:textId="1395EA25" w:rsidR="00995444" w:rsidRPr="00995444" w:rsidRDefault="00995444" w:rsidP="20C9F860">
      <w:pPr>
        <w:spacing w:after="0" w:line="276" w:lineRule="auto"/>
        <w:jc w:val="center"/>
        <w:rPr>
          <w:rFonts w:ascii="Arial" w:eastAsia="Arial" w:hAnsi="Arial" w:cs="Arial"/>
        </w:rPr>
      </w:pPr>
    </w:p>
    <w:p w14:paraId="705E4251" w14:textId="2FCE473A" w:rsidR="00995444" w:rsidRPr="00995444" w:rsidRDefault="00995444" w:rsidP="20C9F860">
      <w:pPr>
        <w:spacing w:after="0" w:line="276" w:lineRule="auto"/>
        <w:jc w:val="center"/>
        <w:rPr>
          <w:rFonts w:ascii="Arial" w:eastAsia="Arial" w:hAnsi="Arial" w:cs="Arial"/>
        </w:rPr>
      </w:pPr>
    </w:p>
    <w:p w14:paraId="53F1047E" w14:textId="1F36078F" w:rsidR="00995444" w:rsidRPr="00995444" w:rsidRDefault="00995444" w:rsidP="20C9F860">
      <w:pPr>
        <w:spacing w:after="0" w:line="276" w:lineRule="auto"/>
        <w:jc w:val="center"/>
        <w:rPr>
          <w:rFonts w:ascii="Arial" w:eastAsia="Arial" w:hAnsi="Arial" w:cs="Arial"/>
        </w:rPr>
      </w:pPr>
    </w:p>
    <w:p w14:paraId="30B4370E" w14:textId="4504901E" w:rsidR="00995444" w:rsidRPr="00995444" w:rsidRDefault="00995444" w:rsidP="20C9F860">
      <w:pPr>
        <w:spacing w:after="0" w:line="276" w:lineRule="auto"/>
        <w:jc w:val="center"/>
        <w:rPr>
          <w:rFonts w:ascii="Arial" w:eastAsia="Arial" w:hAnsi="Arial" w:cs="Arial"/>
        </w:rPr>
      </w:pPr>
    </w:p>
    <w:p w14:paraId="710F42E7" w14:textId="288EFC76" w:rsidR="00995444" w:rsidRPr="00995444" w:rsidRDefault="00995444" w:rsidP="20C9F860">
      <w:pPr>
        <w:spacing w:after="0" w:line="276" w:lineRule="auto"/>
        <w:jc w:val="center"/>
        <w:rPr>
          <w:rFonts w:ascii="Arial" w:eastAsia="Arial" w:hAnsi="Arial" w:cs="Arial"/>
        </w:rPr>
      </w:pPr>
    </w:p>
    <w:p w14:paraId="2F62578C" w14:textId="569BDEEE" w:rsidR="00995444" w:rsidRPr="00995444" w:rsidRDefault="00995444" w:rsidP="20C9F860">
      <w:pPr>
        <w:spacing w:after="0" w:line="276" w:lineRule="auto"/>
        <w:jc w:val="center"/>
        <w:rPr>
          <w:rFonts w:ascii="Arial" w:eastAsia="Arial" w:hAnsi="Arial" w:cs="Arial"/>
        </w:rPr>
      </w:pPr>
    </w:p>
    <w:p w14:paraId="00EE063C" w14:textId="3A943FC4" w:rsidR="00995444" w:rsidRPr="00995444" w:rsidRDefault="00995444" w:rsidP="20C9F860">
      <w:pPr>
        <w:spacing w:after="0" w:line="276" w:lineRule="auto"/>
        <w:jc w:val="center"/>
        <w:rPr>
          <w:rFonts w:ascii="Arial" w:eastAsia="Arial" w:hAnsi="Arial" w:cs="Arial"/>
        </w:rPr>
      </w:pPr>
    </w:p>
    <w:p w14:paraId="4AF03418" w14:textId="46DC1291" w:rsidR="00995444" w:rsidRPr="00995444" w:rsidRDefault="00995444" w:rsidP="20C9F860">
      <w:pPr>
        <w:spacing w:after="0" w:line="276" w:lineRule="auto"/>
        <w:jc w:val="center"/>
        <w:rPr>
          <w:rFonts w:ascii="Arial" w:eastAsia="Arial" w:hAnsi="Arial" w:cs="Arial"/>
        </w:rPr>
      </w:pPr>
    </w:p>
    <w:p w14:paraId="0CEF9FC2" w14:textId="2D5076DC" w:rsidR="00995444" w:rsidRPr="00995444" w:rsidRDefault="00995444" w:rsidP="20C9F860">
      <w:pPr>
        <w:spacing w:after="0" w:line="276" w:lineRule="auto"/>
        <w:jc w:val="center"/>
        <w:rPr>
          <w:rFonts w:ascii="Arial" w:eastAsia="Arial" w:hAnsi="Arial" w:cs="Arial"/>
        </w:rPr>
      </w:pPr>
    </w:p>
    <w:p w14:paraId="6F1B6F80" w14:textId="0820C1E1" w:rsidR="00995444" w:rsidRPr="00995444" w:rsidRDefault="00995444" w:rsidP="20C9F860">
      <w:pPr>
        <w:spacing w:after="0" w:line="276" w:lineRule="auto"/>
        <w:jc w:val="center"/>
        <w:rPr>
          <w:rFonts w:ascii="Arial" w:eastAsia="Arial" w:hAnsi="Arial" w:cs="Arial"/>
        </w:rPr>
      </w:pPr>
    </w:p>
    <w:p w14:paraId="0EE4AB3D" w14:textId="4095C8CB" w:rsidR="00995444" w:rsidRPr="00995444" w:rsidRDefault="00995444" w:rsidP="20C9F860">
      <w:pPr>
        <w:spacing w:after="0" w:line="276" w:lineRule="auto"/>
        <w:jc w:val="center"/>
        <w:rPr>
          <w:rFonts w:ascii="Arial" w:eastAsia="Arial" w:hAnsi="Arial" w:cs="Arial"/>
        </w:rPr>
      </w:pPr>
    </w:p>
    <w:p w14:paraId="0E420BD2" w14:textId="2E8B1C4B" w:rsidR="00995444" w:rsidRPr="00995444" w:rsidRDefault="00995444" w:rsidP="20C9F860">
      <w:pPr>
        <w:spacing w:after="0" w:line="276" w:lineRule="auto"/>
        <w:jc w:val="center"/>
        <w:rPr>
          <w:rFonts w:ascii="Arial" w:eastAsia="Arial" w:hAnsi="Arial" w:cs="Arial"/>
        </w:rPr>
      </w:pPr>
    </w:p>
    <w:p w14:paraId="3B8F4FD0" w14:textId="0698ABC3" w:rsidR="00995444" w:rsidRPr="00995444" w:rsidRDefault="00995444" w:rsidP="20C9F860">
      <w:pPr>
        <w:spacing w:after="0" w:line="276" w:lineRule="auto"/>
        <w:jc w:val="center"/>
        <w:rPr>
          <w:rFonts w:ascii="Arial" w:eastAsia="Arial" w:hAnsi="Arial" w:cs="Arial"/>
        </w:rPr>
      </w:pPr>
    </w:p>
    <w:p w14:paraId="1B581406" w14:textId="3148BD3E" w:rsidR="00995444" w:rsidRPr="00995444" w:rsidRDefault="00995444" w:rsidP="20C9F860">
      <w:pPr>
        <w:spacing w:after="0" w:line="276" w:lineRule="auto"/>
        <w:jc w:val="center"/>
        <w:rPr>
          <w:rFonts w:ascii="Arial" w:eastAsia="Arial" w:hAnsi="Arial" w:cs="Arial"/>
        </w:rPr>
      </w:pPr>
    </w:p>
    <w:p w14:paraId="4EFF0770" w14:textId="5D9DD6D2" w:rsidR="00995444" w:rsidRPr="00995444" w:rsidRDefault="00995444" w:rsidP="20C9F860">
      <w:pPr>
        <w:spacing w:after="0" w:line="276" w:lineRule="auto"/>
        <w:jc w:val="center"/>
        <w:rPr>
          <w:rFonts w:ascii="Arial" w:eastAsia="Arial" w:hAnsi="Arial" w:cs="Arial"/>
        </w:rPr>
      </w:pPr>
    </w:p>
    <w:p w14:paraId="6D0693C8" w14:textId="3E15E529" w:rsidR="00995444" w:rsidRPr="00995444" w:rsidRDefault="00995444" w:rsidP="20C9F860">
      <w:pPr>
        <w:spacing w:after="0" w:line="276" w:lineRule="auto"/>
        <w:jc w:val="center"/>
        <w:rPr>
          <w:rFonts w:ascii="Arial" w:eastAsia="Arial" w:hAnsi="Arial" w:cs="Arial"/>
        </w:rPr>
      </w:pPr>
    </w:p>
    <w:p w14:paraId="72D0A82F" w14:textId="2ADFA592" w:rsidR="00995444" w:rsidRPr="00995444" w:rsidRDefault="00995444" w:rsidP="20C9F860">
      <w:pPr>
        <w:spacing w:after="0" w:line="276" w:lineRule="auto"/>
        <w:jc w:val="center"/>
        <w:rPr>
          <w:rFonts w:ascii="Arial" w:eastAsia="Arial" w:hAnsi="Arial" w:cs="Arial"/>
        </w:rPr>
      </w:pPr>
    </w:p>
    <w:p w14:paraId="63065AF6" w14:textId="1DCBDD63" w:rsidR="00995444" w:rsidRPr="00995444" w:rsidRDefault="00995444" w:rsidP="20C9F860">
      <w:pPr>
        <w:spacing w:after="0" w:line="276" w:lineRule="auto"/>
        <w:jc w:val="center"/>
        <w:rPr>
          <w:rFonts w:ascii="Arial" w:eastAsia="Arial" w:hAnsi="Arial" w:cs="Arial"/>
        </w:rPr>
      </w:pPr>
    </w:p>
    <w:p w14:paraId="6D0E9206" w14:textId="64125609" w:rsidR="00995444" w:rsidRPr="00995444" w:rsidRDefault="00995444" w:rsidP="20C9F860">
      <w:pPr>
        <w:spacing w:after="0" w:line="276" w:lineRule="auto"/>
        <w:jc w:val="center"/>
        <w:rPr>
          <w:rFonts w:ascii="Arial" w:eastAsia="Arial" w:hAnsi="Arial" w:cs="Arial"/>
        </w:rPr>
      </w:pPr>
    </w:p>
    <w:p w14:paraId="003F00E9" w14:textId="31477E59" w:rsidR="00995444" w:rsidRPr="00995444" w:rsidRDefault="00995444" w:rsidP="20C9F860">
      <w:pPr>
        <w:spacing w:after="0" w:line="276" w:lineRule="auto"/>
        <w:jc w:val="center"/>
        <w:rPr>
          <w:rFonts w:ascii="Arial" w:eastAsia="Arial" w:hAnsi="Arial" w:cs="Arial"/>
        </w:rPr>
      </w:pPr>
    </w:p>
    <w:p w14:paraId="10A742CC" w14:textId="1B9C68DA" w:rsidR="00995444" w:rsidRPr="00995444" w:rsidRDefault="00995444" w:rsidP="20C9F860">
      <w:pPr>
        <w:spacing w:after="0" w:line="276" w:lineRule="auto"/>
        <w:jc w:val="center"/>
        <w:rPr>
          <w:rFonts w:ascii="Arial" w:eastAsia="Arial" w:hAnsi="Arial" w:cs="Arial"/>
        </w:rPr>
      </w:pPr>
    </w:p>
    <w:p w14:paraId="15B65189" w14:textId="0012CD40" w:rsidR="00995444" w:rsidRPr="00995444" w:rsidRDefault="00995444" w:rsidP="20C9F860">
      <w:pPr>
        <w:spacing w:after="0" w:line="276" w:lineRule="auto"/>
        <w:jc w:val="center"/>
        <w:rPr>
          <w:rFonts w:ascii="Arial" w:eastAsia="Arial" w:hAnsi="Arial" w:cs="Arial"/>
        </w:rPr>
      </w:pPr>
    </w:p>
    <w:p w14:paraId="4DD7658E" w14:textId="288F73B1" w:rsidR="00995444" w:rsidRPr="00995444" w:rsidRDefault="00995444" w:rsidP="20C9F860">
      <w:pPr>
        <w:spacing w:after="0" w:line="276" w:lineRule="auto"/>
        <w:jc w:val="center"/>
        <w:rPr>
          <w:rFonts w:ascii="Arial" w:eastAsia="Arial" w:hAnsi="Arial" w:cs="Arial"/>
        </w:rPr>
      </w:pPr>
    </w:p>
    <w:p w14:paraId="2057C793" w14:textId="061C111E" w:rsidR="00995444" w:rsidRPr="00995444" w:rsidRDefault="00995444" w:rsidP="20C9F860">
      <w:pPr>
        <w:spacing w:after="0" w:line="276" w:lineRule="auto"/>
        <w:jc w:val="center"/>
        <w:rPr>
          <w:rFonts w:ascii="Arial" w:eastAsia="Arial" w:hAnsi="Arial" w:cs="Arial"/>
        </w:rPr>
      </w:pPr>
      <w:r w:rsidRPr="20C9F860">
        <w:rPr>
          <w:rFonts w:ascii="Arial" w:eastAsia="Arial" w:hAnsi="Arial" w:cs="Arial"/>
        </w:rPr>
        <w:t>Dissertation submitted as part of the requirements for the award BSc (Hons) Health and Social Care</w:t>
      </w:r>
    </w:p>
    <w:p w14:paraId="03004EEE" w14:textId="77777777" w:rsidR="00063B4C" w:rsidRDefault="00063B4C" w:rsidP="20C9F860">
      <w:pPr>
        <w:rPr>
          <w:rFonts w:ascii="Arial" w:eastAsia="Arial" w:hAnsi="Arial" w:cs="Arial"/>
        </w:rPr>
      </w:pPr>
    </w:p>
    <w:p w14:paraId="65358A57" w14:textId="77777777" w:rsidR="00995444" w:rsidRDefault="00995444" w:rsidP="20C9F860">
      <w:pPr>
        <w:rPr>
          <w:rFonts w:ascii="Arial" w:eastAsia="Arial" w:hAnsi="Arial" w:cs="Arial"/>
        </w:rPr>
      </w:pPr>
    </w:p>
    <w:p w14:paraId="0F4A849F" w14:textId="1AD8A180" w:rsidR="00995444" w:rsidRPr="0025020C" w:rsidRDefault="00995444" w:rsidP="20C9F86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w:hAnsi="Arial" w:cs="Arial"/>
        </w:rPr>
      </w:pPr>
      <w:r w:rsidRPr="20C9F860">
        <w:rPr>
          <w:rFonts w:ascii="Arial" w:eastAsia="Arial" w:hAnsi="Arial" w:cs="Arial"/>
          <w:b/>
          <w:bCs/>
        </w:rPr>
        <w:t xml:space="preserve">ACKNOWLEDGEMENTS </w:t>
      </w:r>
    </w:p>
    <w:p w14:paraId="18F37361" w14:textId="37A0A4E8" w:rsidR="00995444" w:rsidRDefault="035696B1" w:rsidP="20C9F860">
      <w:pPr>
        <w:spacing w:before="240" w:after="240"/>
        <w:rPr>
          <w:rFonts w:ascii="Arial" w:eastAsia="Arial" w:hAnsi="Arial" w:cs="Arial"/>
        </w:rPr>
      </w:pPr>
      <w:r w:rsidRPr="20C9F860">
        <w:rPr>
          <w:rFonts w:ascii="Arial" w:eastAsia="Arial" w:hAnsi="Arial" w:cs="Arial"/>
        </w:rPr>
        <w:t xml:space="preserve">I would like to express my sincere thanks to my supervisor, Joanne Davies, for her guidance, </w:t>
      </w:r>
      <w:r w:rsidR="32A69E0D" w:rsidRPr="20C9F860">
        <w:rPr>
          <w:rFonts w:ascii="Arial" w:eastAsia="Arial" w:hAnsi="Arial" w:cs="Arial"/>
        </w:rPr>
        <w:t>encouragement,</w:t>
      </w:r>
      <w:r w:rsidRPr="20C9F860">
        <w:rPr>
          <w:rFonts w:ascii="Arial" w:eastAsia="Arial" w:hAnsi="Arial" w:cs="Arial"/>
        </w:rPr>
        <w:t xml:space="preserve"> and constructive feedback throughout this dissertation. Her support has been invaluable in helping me to shape and refine my ideas.</w:t>
      </w:r>
    </w:p>
    <w:p w14:paraId="1720FB41" w14:textId="1D70A45A" w:rsidR="00995444" w:rsidRDefault="035696B1" w:rsidP="20C9F860">
      <w:pPr>
        <w:spacing w:before="240" w:after="240"/>
        <w:rPr>
          <w:rFonts w:ascii="Arial" w:eastAsia="Arial" w:hAnsi="Arial" w:cs="Arial"/>
        </w:rPr>
      </w:pPr>
      <w:r w:rsidRPr="20C9F860">
        <w:rPr>
          <w:rFonts w:ascii="Arial" w:eastAsia="Arial" w:hAnsi="Arial" w:cs="Arial"/>
        </w:rPr>
        <w:t>I am also grateful to the lecturers and staff at the Institute of Inner-City Learning, Birmingham Campus, for their teaching and support during my studies.</w:t>
      </w:r>
    </w:p>
    <w:p w14:paraId="72C86337" w14:textId="3765F4CA" w:rsidR="00995444" w:rsidRDefault="035696B1" w:rsidP="20C9F860">
      <w:pPr>
        <w:spacing w:before="240" w:after="240"/>
        <w:rPr>
          <w:rFonts w:ascii="Arial" w:eastAsia="Arial" w:hAnsi="Arial" w:cs="Arial"/>
        </w:rPr>
      </w:pPr>
      <w:r w:rsidRPr="20C9F860">
        <w:rPr>
          <w:rFonts w:ascii="Arial" w:eastAsia="Arial" w:hAnsi="Arial" w:cs="Arial"/>
        </w:rPr>
        <w:t>Special thanks go to my family and friends for their patience, understanding and constant encouragement, particularly during the more challenging stages of this project. Their belief in me has kept me motivated.</w:t>
      </w:r>
    </w:p>
    <w:p w14:paraId="267853DE" w14:textId="6BCE8E40" w:rsidR="00995444" w:rsidRDefault="035696B1" w:rsidP="20C9F860">
      <w:pPr>
        <w:spacing w:before="240" w:after="240"/>
        <w:rPr>
          <w:rFonts w:ascii="Arial" w:eastAsia="Arial" w:hAnsi="Arial" w:cs="Arial"/>
        </w:rPr>
      </w:pPr>
      <w:r w:rsidRPr="20C9F860">
        <w:rPr>
          <w:rFonts w:ascii="Arial" w:eastAsia="Arial" w:hAnsi="Arial" w:cs="Arial"/>
        </w:rPr>
        <w:t>Finally, I would like to acknowledge all the parents and autistic children whose experiences are discussed in the literature. Their stories have been central to this dissertation and continue to highlight the importance of improving autism support services in the UK.</w:t>
      </w:r>
    </w:p>
    <w:p w14:paraId="40A3E6C2" w14:textId="7D9591C6" w:rsidR="00995444" w:rsidRDefault="00995444" w:rsidP="20C9F860">
      <w:pPr>
        <w:rPr>
          <w:rFonts w:ascii="Arial" w:eastAsia="Arial" w:hAnsi="Arial" w:cs="Arial"/>
        </w:rPr>
      </w:pPr>
    </w:p>
    <w:p w14:paraId="2B855E72" w14:textId="0AECE004" w:rsidR="20C9F860" w:rsidRDefault="20C9F860" w:rsidP="20C9F860">
      <w:pPr>
        <w:rPr>
          <w:rFonts w:ascii="Arial" w:eastAsia="Arial" w:hAnsi="Arial" w:cs="Arial"/>
          <w:b/>
          <w:bCs/>
        </w:rPr>
      </w:pPr>
    </w:p>
    <w:p w14:paraId="159266A7" w14:textId="028B1D57" w:rsidR="20C9F860" w:rsidRDefault="20C9F860" w:rsidP="20C9F860">
      <w:pPr>
        <w:rPr>
          <w:rFonts w:ascii="Arial" w:eastAsia="Arial" w:hAnsi="Arial" w:cs="Arial"/>
          <w:b/>
          <w:bCs/>
        </w:rPr>
      </w:pPr>
    </w:p>
    <w:p w14:paraId="117D92A4" w14:textId="65DF217D" w:rsidR="20C9F860" w:rsidRDefault="20C9F860" w:rsidP="20C9F860">
      <w:pPr>
        <w:rPr>
          <w:rFonts w:ascii="Arial" w:eastAsia="Arial" w:hAnsi="Arial" w:cs="Arial"/>
          <w:b/>
          <w:bCs/>
        </w:rPr>
      </w:pPr>
    </w:p>
    <w:p w14:paraId="4F55F5C4" w14:textId="6E3C86CE" w:rsidR="20C9F860" w:rsidRDefault="20C9F860" w:rsidP="20C9F860">
      <w:pPr>
        <w:rPr>
          <w:rFonts w:ascii="Arial" w:eastAsia="Arial" w:hAnsi="Arial" w:cs="Arial"/>
          <w:b/>
          <w:bCs/>
        </w:rPr>
      </w:pPr>
    </w:p>
    <w:p w14:paraId="1FE59D84" w14:textId="250918E4" w:rsidR="20C9F860" w:rsidRDefault="20C9F860" w:rsidP="20C9F860">
      <w:pPr>
        <w:rPr>
          <w:rFonts w:ascii="Arial" w:eastAsia="Arial" w:hAnsi="Arial" w:cs="Arial"/>
          <w:b/>
          <w:bCs/>
        </w:rPr>
      </w:pPr>
    </w:p>
    <w:p w14:paraId="129CE3C9" w14:textId="07B019AC" w:rsidR="20C9F860" w:rsidRDefault="20C9F860" w:rsidP="20C9F860">
      <w:pPr>
        <w:rPr>
          <w:rFonts w:ascii="Arial" w:eastAsia="Arial" w:hAnsi="Arial" w:cs="Arial"/>
          <w:b/>
          <w:bCs/>
        </w:rPr>
      </w:pPr>
    </w:p>
    <w:p w14:paraId="2FD236E2" w14:textId="5A82FD32" w:rsidR="20C9F860" w:rsidRDefault="20C9F860" w:rsidP="20C9F860">
      <w:pPr>
        <w:rPr>
          <w:rFonts w:ascii="Arial" w:eastAsia="Arial" w:hAnsi="Arial" w:cs="Arial"/>
          <w:b/>
          <w:bCs/>
        </w:rPr>
      </w:pPr>
    </w:p>
    <w:p w14:paraId="4EDDFA9F" w14:textId="4389FF60" w:rsidR="20C9F860" w:rsidRDefault="20C9F860" w:rsidP="20C9F860">
      <w:pPr>
        <w:rPr>
          <w:rFonts w:ascii="Arial" w:eastAsia="Arial" w:hAnsi="Arial" w:cs="Arial"/>
          <w:b/>
          <w:bCs/>
        </w:rPr>
      </w:pPr>
    </w:p>
    <w:p w14:paraId="5BA13EBA" w14:textId="0E53B34D" w:rsidR="20C9F860" w:rsidRDefault="20C9F860" w:rsidP="20C9F860">
      <w:pPr>
        <w:rPr>
          <w:rFonts w:ascii="Arial" w:eastAsia="Arial" w:hAnsi="Arial" w:cs="Arial"/>
          <w:b/>
          <w:bCs/>
        </w:rPr>
      </w:pPr>
    </w:p>
    <w:p w14:paraId="2AD4D9BF" w14:textId="09D54425" w:rsidR="09F1F728" w:rsidRDefault="09F1F728" w:rsidP="09F1F728">
      <w:pPr>
        <w:rPr>
          <w:rFonts w:ascii="Arial" w:eastAsia="Arial" w:hAnsi="Arial" w:cs="Arial"/>
          <w:b/>
          <w:bCs/>
        </w:rPr>
      </w:pPr>
    </w:p>
    <w:p w14:paraId="6EA21394" w14:textId="463B0331" w:rsidR="0B9B3F42" w:rsidRDefault="0B9B3F42" w:rsidP="0B9B3F42">
      <w:pPr>
        <w:rPr>
          <w:rFonts w:ascii="Arial" w:eastAsia="Arial" w:hAnsi="Arial" w:cs="Arial"/>
          <w:b/>
          <w:bCs/>
        </w:rPr>
      </w:pPr>
    </w:p>
    <w:p w14:paraId="044696B3" w14:textId="763EB86B" w:rsidR="0B9B3F42" w:rsidRDefault="0B9B3F42" w:rsidP="0B9B3F42">
      <w:pPr>
        <w:rPr>
          <w:rFonts w:ascii="Arial" w:eastAsia="Arial" w:hAnsi="Arial" w:cs="Arial"/>
          <w:b/>
          <w:bCs/>
        </w:rPr>
      </w:pPr>
    </w:p>
    <w:p w14:paraId="68249928" w14:textId="41C96E44" w:rsidR="0073280B" w:rsidRPr="0025020C" w:rsidRDefault="0073280B" w:rsidP="20C9F860">
      <w:pPr>
        <w:rPr>
          <w:rFonts w:ascii="Arial" w:eastAsia="Arial" w:hAnsi="Arial" w:cs="Arial"/>
        </w:rPr>
      </w:pPr>
      <w:r w:rsidRPr="20C9F860">
        <w:rPr>
          <w:rFonts w:ascii="Arial" w:eastAsia="Arial" w:hAnsi="Arial" w:cs="Arial"/>
          <w:b/>
          <w:bCs/>
        </w:rPr>
        <w:t>ABSTRACT</w:t>
      </w:r>
      <w:r w:rsidRPr="20C9F860">
        <w:rPr>
          <w:rFonts w:ascii="Arial" w:eastAsia="Arial" w:hAnsi="Arial" w:cs="Arial"/>
        </w:rPr>
        <w:t xml:space="preserve"> </w:t>
      </w:r>
    </w:p>
    <w:p w14:paraId="3B251983" w14:textId="2370C5A2" w:rsidR="00804B94" w:rsidRPr="00EF6341" w:rsidRDefault="42E85F2A" w:rsidP="20C9F860">
      <w:pPr>
        <w:spacing w:before="240" w:after="240"/>
        <w:rPr>
          <w:rFonts w:ascii="Arial" w:eastAsia="Arial" w:hAnsi="Arial" w:cs="Arial"/>
        </w:rPr>
      </w:pPr>
      <w:r w:rsidRPr="20C9F860">
        <w:rPr>
          <w:rFonts w:ascii="Arial" w:eastAsia="Arial" w:hAnsi="Arial" w:cs="Arial"/>
        </w:rPr>
        <w:t xml:space="preserve">This dissertation explores the barriers parents face when accessing autism support services for children under 12 in the UK. Autism Spectrum Disorder (ASD) is a lifelong neurodevelopmental condition, and </w:t>
      </w:r>
      <w:r w:rsidR="1E3EE54B" w:rsidRPr="20C9F860">
        <w:rPr>
          <w:rFonts w:ascii="Arial" w:eastAsia="Arial" w:hAnsi="Arial" w:cs="Arial"/>
        </w:rPr>
        <w:t>timely access</w:t>
      </w:r>
      <w:r w:rsidRPr="20C9F860">
        <w:rPr>
          <w:rFonts w:ascii="Arial" w:eastAsia="Arial" w:hAnsi="Arial" w:cs="Arial"/>
        </w:rPr>
        <w:t xml:space="preserve"> to assessment, intervention and educational support is widely recognised as crucial for children’s development and family wellbeing. Despite national policies such as the Autism Act (2009), the SEND Code of Practice (2015) and the National Autism Strategy (2021), many families continue to report difficulties in obtaining timely and appropriate support.</w:t>
      </w:r>
    </w:p>
    <w:p w14:paraId="530E3592" w14:textId="11E9F86B" w:rsidR="00804B94" w:rsidRPr="00EF6341" w:rsidRDefault="42E85F2A" w:rsidP="20C9F860">
      <w:pPr>
        <w:spacing w:before="240" w:after="240"/>
        <w:rPr>
          <w:rFonts w:ascii="Arial" w:eastAsia="Arial" w:hAnsi="Arial" w:cs="Arial"/>
        </w:rPr>
      </w:pPr>
      <w:r w:rsidRPr="20C9F860">
        <w:rPr>
          <w:rFonts w:ascii="Arial" w:eastAsia="Arial" w:hAnsi="Arial" w:cs="Arial"/>
        </w:rPr>
        <w:t xml:space="preserve">A secondary, desk-based methodology was used, drawing on peer-reviewed journal articles, national policy documents and professional guidelines published </w:t>
      </w:r>
      <w:r w:rsidR="779AA4FA" w:rsidRPr="20C9F860">
        <w:rPr>
          <w:rFonts w:ascii="Arial" w:eastAsia="Arial" w:hAnsi="Arial" w:cs="Arial"/>
        </w:rPr>
        <w:t>from</w:t>
      </w:r>
      <w:r w:rsidRPr="20C9F860">
        <w:rPr>
          <w:rFonts w:ascii="Arial" w:eastAsia="Arial" w:hAnsi="Arial" w:cs="Arial"/>
        </w:rPr>
        <w:t xml:space="preserve"> 2014 onwards. A structured search strategy, clear inclusion and exclusion criteria, and validation tools such as the CRAAP test were applied to ensure the credibility and relevance of the evidence. The literature was analysed using thematic coding, leading to the development of three key themes.</w:t>
      </w:r>
    </w:p>
    <w:p w14:paraId="3E1E84F1" w14:textId="7FD9D102" w:rsidR="00804B94" w:rsidRPr="00EF6341" w:rsidRDefault="42E85F2A" w:rsidP="20C9F860">
      <w:pPr>
        <w:spacing w:before="240" w:after="240"/>
        <w:rPr>
          <w:rFonts w:ascii="Arial" w:eastAsia="Arial" w:hAnsi="Arial" w:cs="Arial"/>
        </w:rPr>
      </w:pPr>
      <w:r w:rsidRPr="20C9F860">
        <w:rPr>
          <w:rFonts w:ascii="Arial" w:eastAsia="Arial" w:hAnsi="Arial" w:cs="Arial"/>
        </w:rPr>
        <w:t xml:space="preserve">The findings show that systemic and structural barriers—such as long waiting times, fragmented referral </w:t>
      </w:r>
      <w:r w:rsidR="03A975B8" w:rsidRPr="20C9F860">
        <w:rPr>
          <w:rFonts w:ascii="Arial" w:eastAsia="Arial" w:hAnsi="Arial" w:cs="Arial"/>
        </w:rPr>
        <w:t>pathways,</w:t>
      </w:r>
      <w:r w:rsidRPr="20C9F860">
        <w:rPr>
          <w:rFonts w:ascii="Arial" w:eastAsia="Arial" w:hAnsi="Arial" w:cs="Arial"/>
        </w:rPr>
        <w:t xml:space="preserve"> and workforce shortages—are widespread and significantly delay early intervention. Sociocultural and economic barriers also shape access, with families from minority ethnic and lower-income backgrounds facing additional challenges, including language barriers, limited cultural competence within services and financial constraints. A third theme highlights the emotional impact on parents, who frequently describe </w:t>
      </w:r>
      <w:r w:rsidR="4267F014" w:rsidRPr="20C9F860">
        <w:rPr>
          <w:rFonts w:ascii="Arial" w:eastAsia="Arial" w:hAnsi="Arial" w:cs="Arial"/>
        </w:rPr>
        <w:t>elevated levels</w:t>
      </w:r>
      <w:r w:rsidRPr="20C9F860">
        <w:rPr>
          <w:rFonts w:ascii="Arial" w:eastAsia="Arial" w:hAnsi="Arial" w:cs="Arial"/>
        </w:rPr>
        <w:t xml:space="preserve"> of stress, </w:t>
      </w:r>
      <w:r w:rsidR="47746CCF" w:rsidRPr="20C9F860">
        <w:rPr>
          <w:rFonts w:ascii="Arial" w:eastAsia="Arial" w:hAnsi="Arial" w:cs="Arial"/>
        </w:rPr>
        <w:t>isolation,</w:t>
      </w:r>
      <w:r w:rsidRPr="20C9F860">
        <w:rPr>
          <w:rFonts w:ascii="Arial" w:eastAsia="Arial" w:hAnsi="Arial" w:cs="Arial"/>
        </w:rPr>
        <w:t xml:space="preserve"> and a sense of having to “fight” the system to secure support for their child.</w:t>
      </w:r>
    </w:p>
    <w:p w14:paraId="231CC4EC" w14:textId="62C893BE" w:rsidR="00804B94" w:rsidRPr="00EF6341" w:rsidRDefault="42E85F2A" w:rsidP="20C9F860">
      <w:pPr>
        <w:spacing w:before="240" w:after="240"/>
        <w:rPr>
          <w:rFonts w:ascii="Arial" w:eastAsia="Arial" w:hAnsi="Arial" w:cs="Arial"/>
        </w:rPr>
      </w:pPr>
      <w:r w:rsidRPr="20C9F860">
        <w:rPr>
          <w:rFonts w:ascii="Arial" w:eastAsia="Arial" w:hAnsi="Arial" w:cs="Arial"/>
        </w:rPr>
        <w:t xml:space="preserve">Limitations of this research include its reliance on secondary data and the absence of primary parent voices within this study. However, the consistency of findings across multiple sources strengthens the conclusions. The dissertation recommends reducing waiting times and improving service coordination, increasing cultural competence and accessibility, and strengthening post-diagnostic and family support. These recommendations aim to inform future health, social </w:t>
      </w:r>
      <w:r w:rsidR="2C1F3459" w:rsidRPr="20C9F860">
        <w:rPr>
          <w:rFonts w:ascii="Arial" w:eastAsia="Arial" w:hAnsi="Arial" w:cs="Arial"/>
        </w:rPr>
        <w:t>care,</w:t>
      </w:r>
      <w:r w:rsidRPr="20C9F860">
        <w:rPr>
          <w:rFonts w:ascii="Arial" w:eastAsia="Arial" w:hAnsi="Arial" w:cs="Arial"/>
        </w:rPr>
        <w:t xml:space="preserve"> and education practice, and to promote more equitable access to autism support services for children under 12 and their families.</w:t>
      </w:r>
    </w:p>
    <w:p w14:paraId="57E76326" w14:textId="355D666C" w:rsidR="00804B94" w:rsidRPr="00EF6341" w:rsidRDefault="00804B94" w:rsidP="20C9F860">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rPr>
          <w:rFonts w:eastAsia="Arial" w:cs="Arial"/>
          <w:sz w:val="22"/>
          <w:szCs w:val="22"/>
        </w:rPr>
      </w:pPr>
    </w:p>
    <w:p w14:paraId="0A7BFE7E" w14:textId="6B9B1776" w:rsidR="00804B94" w:rsidRPr="00EF6341" w:rsidRDefault="00804B94" w:rsidP="20C9F860">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rPr>
          <w:rFonts w:eastAsia="Arial" w:cs="Arial"/>
          <w:sz w:val="22"/>
          <w:szCs w:val="22"/>
        </w:rPr>
      </w:pPr>
    </w:p>
    <w:p w14:paraId="15BFA27A" w14:textId="56325592" w:rsidR="00804B94" w:rsidRPr="00EF6341" w:rsidRDefault="00804B94" w:rsidP="20C9F860">
      <w:pPr>
        <w:pStyle w:val="Head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0"/>
        <w:rPr>
          <w:rFonts w:eastAsia="Arial" w:cs="Arial"/>
          <w:sz w:val="22"/>
          <w:szCs w:val="22"/>
        </w:rPr>
      </w:pPr>
      <w:r w:rsidRPr="20C9F860">
        <w:rPr>
          <w:rFonts w:eastAsia="Arial" w:cs="Arial"/>
          <w:sz w:val="22"/>
          <w:szCs w:val="22"/>
        </w:rPr>
        <w:t>Table of Contents</w:t>
      </w:r>
    </w:p>
    <w:p w14:paraId="43CB15F2" w14:textId="44F06540" w:rsidR="00730C3C" w:rsidRPr="00EF6341" w:rsidRDefault="45E63856"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Acknowledgements</w:t>
      </w:r>
      <w:r w:rsidR="4B35673F" w:rsidRPr="7D08271D">
        <w:rPr>
          <w:rFonts w:ascii="Arial" w:eastAsia="Arial" w:hAnsi="Arial" w:cs="Arial"/>
        </w:rPr>
        <w:t xml:space="preserve">    </w:t>
      </w:r>
      <w:r w:rsidR="0FD776ED" w:rsidRPr="7D08271D">
        <w:rPr>
          <w:rFonts w:ascii="Arial" w:eastAsia="Arial" w:hAnsi="Arial" w:cs="Arial"/>
        </w:rPr>
        <w:t>................................................... 4</w:t>
      </w:r>
      <w:r w:rsidR="4B35673F" w:rsidRPr="7D08271D">
        <w:rPr>
          <w:rFonts w:ascii="Arial" w:eastAsia="Arial" w:hAnsi="Arial" w:cs="Arial"/>
        </w:rPr>
        <w:t xml:space="preserve">                            </w:t>
      </w:r>
    </w:p>
    <w:p w14:paraId="2E754CF0" w14:textId="7D23C843" w:rsidR="00730C3C" w:rsidRPr="00EF6341" w:rsidRDefault="45E63856"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Abstract</w:t>
      </w:r>
      <w:r w:rsidR="09CC0C91" w:rsidRPr="7D08271D">
        <w:rPr>
          <w:rFonts w:ascii="Arial" w:eastAsia="Arial" w:hAnsi="Arial" w:cs="Arial"/>
        </w:rPr>
        <w:t xml:space="preserve"> ...............................................................5</w:t>
      </w:r>
    </w:p>
    <w:p w14:paraId="6C36ADBF" w14:textId="64BBC39A"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Chapter 1: Introduction</w:t>
      </w:r>
      <w:r w:rsidR="709FAFC4" w:rsidRPr="7D08271D">
        <w:rPr>
          <w:rFonts w:ascii="Arial" w:eastAsia="Arial" w:hAnsi="Arial" w:cs="Arial"/>
        </w:rPr>
        <w:t xml:space="preserve">........................................... </w:t>
      </w:r>
      <w:r w:rsidR="3F585E05" w:rsidRPr="7D08271D">
        <w:rPr>
          <w:rFonts w:ascii="Arial" w:eastAsia="Arial" w:hAnsi="Arial" w:cs="Arial"/>
        </w:rPr>
        <w:t>9</w:t>
      </w:r>
    </w:p>
    <w:p w14:paraId="70E327D9" w14:textId="3FA235A3"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1.1 Introduction</w:t>
      </w:r>
      <w:r w:rsidR="63DAB87F" w:rsidRPr="7D08271D">
        <w:rPr>
          <w:rFonts w:ascii="Arial" w:eastAsia="Arial" w:hAnsi="Arial" w:cs="Arial"/>
        </w:rPr>
        <w:t xml:space="preserve"> .......................................................9</w:t>
      </w:r>
    </w:p>
    <w:p w14:paraId="62723B2E" w14:textId="57F12C0D"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1.2 Definitions and Terminology</w:t>
      </w:r>
      <w:r w:rsidR="1628C380" w:rsidRPr="7D08271D">
        <w:rPr>
          <w:rFonts w:ascii="Arial" w:eastAsia="Arial" w:hAnsi="Arial" w:cs="Arial"/>
        </w:rPr>
        <w:t xml:space="preserve"> ............................9</w:t>
      </w:r>
      <w:r w:rsidR="1E155B9A" w:rsidRPr="7D08271D">
        <w:rPr>
          <w:rFonts w:ascii="Arial" w:eastAsia="Arial" w:hAnsi="Arial" w:cs="Arial"/>
        </w:rPr>
        <w:t xml:space="preserve"> 10</w:t>
      </w:r>
    </w:p>
    <w:p w14:paraId="1EEA03E0" w14:textId="28A1CB81"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1.3 Rationale for Research</w:t>
      </w:r>
      <w:r w:rsidR="66ED4B54" w:rsidRPr="7D08271D">
        <w:rPr>
          <w:rFonts w:ascii="Arial" w:eastAsia="Arial" w:hAnsi="Arial" w:cs="Arial"/>
        </w:rPr>
        <w:t>...................................1</w:t>
      </w:r>
      <w:r w:rsidR="5DBF9F8B" w:rsidRPr="7D08271D">
        <w:rPr>
          <w:rFonts w:ascii="Arial" w:eastAsia="Arial" w:hAnsi="Arial" w:cs="Arial"/>
        </w:rPr>
        <w:t>1</w:t>
      </w:r>
    </w:p>
    <w:p w14:paraId="140259D5" w14:textId="0A94EC67"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1.4 Aim and Objectives</w:t>
      </w:r>
      <w:r w:rsidR="61004475" w:rsidRPr="7D08271D">
        <w:rPr>
          <w:rFonts w:ascii="Arial" w:eastAsia="Arial" w:hAnsi="Arial" w:cs="Arial"/>
        </w:rPr>
        <w:t xml:space="preserve"> .....................................</w:t>
      </w:r>
      <w:r w:rsidR="2BEE8F18" w:rsidRPr="7D08271D">
        <w:rPr>
          <w:rFonts w:ascii="Arial" w:eastAsia="Arial" w:hAnsi="Arial" w:cs="Arial"/>
        </w:rPr>
        <w:t xml:space="preserve">   12</w:t>
      </w:r>
    </w:p>
    <w:p w14:paraId="45AA03A6" w14:textId="2DAB4D8A"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1.5 Chapter Conclusion</w:t>
      </w:r>
      <w:r w:rsidR="3CDCB915" w:rsidRPr="7D08271D">
        <w:rPr>
          <w:rFonts w:ascii="Arial" w:eastAsia="Arial" w:hAnsi="Arial" w:cs="Arial"/>
        </w:rPr>
        <w:t xml:space="preserve"> .........................................12</w:t>
      </w:r>
    </w:p>
    <w:p w14:paraId="3535AED9" w14:textId="6BBE4A54"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Chapter 2: Background Information and Analysis</w:t>
      </w:r>
      <w:r w:rsidR="7D5AD7B6" w:rsidRPr="7D08271D">
        <w:rPr>
          <w:rFonts w:ascii="Arial" w:eastAsia="Arial" w:hAnsi="Arial" w:cs="Arial"/>
        </w:rPr>
        <w:t xml:space="preserve"> ...........13 </w:t>
      </w:r>
    </w:p>
    <w:p w14:paraId="714160E9" w14:textId="767E0E14" w:rsidR="00730C3C" w:rsidRPr="00EF6341" w:rsidRDefault="0DABD65F" w:rsidP="20C9F860">
      <w:pPr>
        <w:pStyle w:val="ListParagraph"/>
        <w:numPr>
          <w:ilvl w:val="0"/>
          <w:numId w:val="1"/>
        </w:numPr>
        <w:spacing w:before="240" w:after="240" w:line="360" w:lineRule="auto"/>
        <w:rPr>
          <w:rFonts w:ascii="Arial" w:eastAsia="Arial" w:hAnsi="Arial" w:cs="Arial"/>
        </w:rPr>
      </w:pPr>
      <w:r w:rsidRPr="7D08271D">
        <w:rPr>
          <w:rFonts w:ascii="Arial" w:eastAsia="Arial" w:hAnsi="Arial" w:cs="Arial"/>
        </w:rPr>
        <w:t>2.1 Introduction</w:t>
      </w:r>
      <w:r w:rsidR="47406F37" w:rsidRPr="7D08271D">
        <w:rPr>
          <w:rFonts w:ascii="Arial" w:eastAsia="Arial" w:hAnsi="Arial" w:cs="Arial"/>
        </w:rPr>
        <w:t>.............................................13</w:t>
      </w:r>
    </w:p>
    <w:p w14:paraId="7E6A5FD5" w14:textId="5EAFA753"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2.2 Historical Background</w:t>
      </w:r>
      <w:r w:rsidR="7AC2A85E" w:rsidRPr="393020AF">
        <w:rPr>
          <w:rFonts w:ascii="Arial" w:eastAsia="Arial" w:hAnsi="Arial" w:cs="Arial"/>
        </w:rPr>
        <w:t>............................</w:t>
      </w:r>
      <w:r w:rsidR="65CEBD60" w:rsidRPr="393020AF">
        <w:rPr>
          <w:rFonts w:ascii="Arial" w:eastAsia="Arial" w:hAnsi="Arial" w:cs="Arial"/>
        </w:rPr>
        <w:t>13</w:t>
      </w:r>
    </w:p>
    <w:p w14:paraId="174D97C2" w14:textId="57041025"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2.3 Theoretical Background</w:t>
      </w:r>
      <w:r w:rsidR="619EFEB3" w:rsidRPr="393020AF">
        <w:rPr>
          <w:rFonts w:ascii="Arial" w:eastAsia="Arial" w:hAnsi="Arial" w:cs="Arial"/>
        </w:rPr>
        <w:t>...........................</w:t>
      </w:r>
      <w:r w:rsidR="33A50D7B" w:rsidRPr="393020AF">
        <w:rPr>
          <w:rFonts w:ascii="Arial" w:eastAsia="Arial" w:hAnsi="Arial" w:cs="Arial"/>
        </w:rPr>
        <w:t>14</w:t>
      </w:r>
    </w:p>
    <w:p w14:paraId="78566770" w14:textId="16DE6341"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2.4 International Context</w:t>
      </w:r>
      <w:r w:rsidR="6375D80A" w:rsidRPr="393020AF">
        <w:rPr>
          <w:rFonts w:ascii="Arial" w:eastAsia="Arial" w:hAnsi="Arial" w:cs="Arial"/>
        </w:rPr>
        <w:t>................................</w:t>
      </w:r>
      <w:r w:rsidR="0E4BDD18" w:rsidRPr="393020AF">
        <w:rPr>
          <w:rFonts w:ascii="Arial" w:eastAsia="Arial" w:hAnsi="Arial" w:cs="Arial"/>
        </w:rPr>
        <w:t>15</w:t>
      </w:r>
    </w:p>
    <w:p w14:paraId="7CD20680" w14:textId="37C78181" w:rsidR="00730C3C" w:rsidRPr="00EF6341" w:rsidRDefault="45E63856"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2.5 National/Local UK Conte</w:t>
      </w:r>
      <w:r w:rsidR="060C78A4" w:rsidRPr="393020AF">
        <w:rPr>
          <w:rFonts w:ascii="Arial" w:eastAsia="Arial" w:hAnsi="Arial" w:cs="Arial"/>
        </w:rPr>
        <w:t>nt</w:t>
      </w:r>
      <w:r w:rsidR="6588082A" w:rsidRPr="393020AF">
        <w:rPr>
          <w:rFonts w:ascii="Arial" w:eastAsia="Arial" w:hAnsi="Arial" w:cs="Arial"/>
        </w:rPr>
        <w:t>..........................16</w:t>
      </w:r>
    </w:p>
    <w:p w14:paraId="6F1AF2A3" w14:textId="3FF21777" w:rsidR="00730C3C" w:rsidRPr="00EF6341" w:rsidRDefault="45E63856"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2.6 Chapter Conclusion</w:t>
      </w:r>
      <w:r w:rsidR="189E0E26" w:rsidRPr="393020AF">
        <w:rPr>
          <w:rFonts w:ascii="Arial" w:eastAsia="Arial" w:hAnsi="Arial" w:cs="Arial"/>
        </w:rPr>
        <w:t>............................................17</w:t>
      </w:r>
    </w:p>
    <w:p w14:paraId="37759570" w14:textId="30C32C86" w:rsidR="00730C3C" w:rsidRPr="00EF6341" w:rsidRDefault="45E63856"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Chapter 3: Methods and Search Strategy</w:t>
      </w:r>
      <w:r w:rsidR="79282FD8" w:rsidRPr="393020AF">
        <w:rPr>
          <w:rFonts w:ascii="Arial" w:eastAsia="Arial" w:hAnsi="Arial" w:cs="Arial"/>
        </w:rPr>
        <w:t>.................19</w:t>
      </w:r>
    </w:p>
    <w:p w14:paraId="1A6B91D7" w14:textId="25C71BD7"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3.1 Introduction</w:t>
      </w:r>
      <w:r w:rsidR="153AD7D5" w:rsidRPr="393020AF">
        <w:rPr>
          <w:rFonts w:ascii="Arial" w:eastAsia="Arial" w:hAnsi="Arial" w:cs="Arial"/>
        </w:rPr>
        <w:t>...........................................19</w:t>
      </w:r>
    </w:p>
    <w:p w14:paraId="5EABCB5A" w14:textId="1EB2071B"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3.2 Search Strategy</w:t>
      </w:r>
      <w:r w:rsidR="524EEAAC" w:rsidRPr="393020AF">
        <w:rPr>
          <w:rFonts w:ascii="Arial" w:eastAsia="Arial" w:hAnsi="Arial" w:cs="Arial"/>
        </w:rPr>
        <w:t>......................................19</w:t>
      </w:r>
    </w:p>
    <w:p w14:paraId="63B44097" w14:textId="140ACB3A"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3.3 Searching for Information</w:t>
      </w:r>
      <w:r w:rsidR="7014DB67" w:rsidRPr="393020AF">
        <w:rPr>
          <w:rFonts w:ascii="Arial" w:eastAsia="Arial" w:hAnsi="Arial" w:cs="Arial"/>
        </w:rPr>
        <w:t>........................20</w:t>
      </w:r>
    </w:p>
    <w:p w14:paraId="04FDEFF7" w14:textId="4F292238"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3.4 Research Validation</w:t>
      </w:r>
      <w:r w:rsidR="162748F8" w:rsidRPr="393020AF">
        <w:rPr>
          <w:rFonts w:ascii="Arial" w:eastAsia="Arial" w:hAnsi="Arial" w:cs="Arial"/>
        </w:rPr>
        <w:t>.................................21</w:t>
      </w:r>
    </w:p>
    <w:p w14:paraId="4C6DA0EE" w14:textId="5C06BFC7"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3.5 Inclusion and Exclusion Criteria</w:t>
      </w:r>
      <w:r w:rsidR="5EFB2A61" w:rsidRPr="393020AF">
        <w:rPr>
          <w:rFonts w:ascii="Arial" w:eastAsia="Arial" w:hAnsi="Arial" w:cs="Arial"/>
        </w:rPr>
        <w:t xml:space="preserve">...............21 22 </w:t>
      </w:r>
    </w:p>
    <w:p w14:paraId="390B31AA" w14:textId="40F22096"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3.6 Analysing Research</w:t>
      </w:r>
      <w:r w:rsidR="08F18520" w:rsidRPr="393020AF">
        <w:rPr>
          <w:rFonts w:ascii="Arial" w:eastAsia="Arial" w:hAnsi="Arial" w:cs="Arial"/>
        </w:rPr>
        <w:t>.................................22 23</w:t>
      </w:r>
    </w:p>
    <w:p w14:paraId="7B6BBB8A" w14:textId="61D55946"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3.7 Ethical Considerations</w:t>
      </w:r>
      <w:r w:rsidR="4E7A6829" w:rsidRPr="393020AF">
        <w:rPr>
          <w:rFonts w:ascii="Arial" w:eastAsia="Arial" w:hAnsi="Arial" w:cs="Arial"/>
        </w:rPr>
        <w:t>..............................24</w:t>
      </w:r>
    </w:p>
    <w:p w14:paraId="430AC94E" w14:textId="00C6EEB8"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3.8 Chapter Conclusion</w:t>
      </w:r>
      <w:r w:rsidR="267F1AC5" w:rsidRPr="393020AF">
        <w:rPr>
          <w:rFonts w:ascii="Arial" w:eastAsia="Arial" w:hAnsi="Arial" w:cs="Arial"/>
        </w:rPr>
        <w:t>.................................24</w:t>
      </w:r>
    </w:p>
    <w:p w14:paraId="2A54BFC5" w14:textId="7A925236"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Chapter 4: Findings and Discussion</w:t>
      </w:r>
      <w:r w:rsidR="778A66E0" w:rsidRPr="393020AF">
        <w:rPr>
          <w:rFonts w:ascii="Arial" w:eastAsia="Arial" w:hAnsi="Arial" w:cs="Arial"/>
        </w:rPr>
        <w:t>.................25</w:t>
      </w:r>
    </w:p>
    <w:p w14:paraId="08E94142" w14:textId="6D06A5D6"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4.1 Introduction</w:t>
      </w:r>
      <w:r w:rsidR="1569783A" w:rsidRPr="393020AF">
        <w:rPr>
          <w:rFonts w:ascii="Arial" w:eastAsia="Arial" w:hAnsi="Arial" w:cs="Arial"/>
        </w:rPr>
        <w:t>..................................................25</w:t>
      </w:r>
    </w:p>
    <w:p w14:paraId="2D25611B" w14:textId="363D14DC"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4.2 Thematic Analysis</w:t>
      </w:r>
      <w:r w:rsidR="50D78AEC" w:rsidRPr="393020AF">
        <w:rPr>
          <w:rFonts w:ascii="Arial" w:eastAsia="Arial" w:hAnsi="Arial" w:cs="Arial"/>
        </w:rPr>
        <w:t>.......................................25</w:t>
      </w:r>
    </w:p>
    <w:p w14:paraId="716762AF" w14:textId="33F5CD02"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4.3 Theme 1: Systemic and Structural Barriers</w:t>
      </w:r>
      <w:r w:rsidR="25732C55" w:rsidRPr="393020AF">
        <w:rPr>
          <w:rFonts w:ascii="Arial" w:eastAsia="Arial" w:hAnsi="Arial" w:cs="Arial"/>
        </w:rPr>
        <w:t>...........26 2</w:t>
      </w:r>
      <w:r w:rsidR="3BA78AB7" w:rsidRPr="393020AF">
        <w:rPr>
          <w:rFonts w:ascii="Arial" w:eastAsia="Arial" w:hAnsi="Arial" w:cs="Arial"/>
        </w:rPr>
        <w:t>7 28 29</w:t>
      </w:r>
    </w:p>
    <w:p w14:paraId="3A8C165B" w14:textId="761857CF"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4.4 Theme 2: Sociocultural and Economic Barriers</w:t>
      </w:r>
      <w:r w:rsidR="79AEE178" w:rsidRPr="393020AF">
        <w:rPr>
          <w:rFonts w:ascii="Arial" w:eastAsia="Arial" w:hAnsi="Arial" w:cs="Arial"/>
        </w:rPr>
        <w:t>......30 31 32 33</w:t>
      </w:r>
    </w:p>
    <w:p w14:paraId="3856CF99" w14:textId="13B881F3"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4.5 Theme 3: Parental Experiences and Emotional Impact</w:t>
      </w:r>
      <w:r w:rsidR="466A9FE1" w:rsidRPr="393020AF">
        <w:rPr>
          <w:rFonts w:ascii="Arial" w:eastAsia="Arial" w:hAnsi="Arial" w:cs="Arial"/>
        </w:rPr>
        <w:t>...34 35 36</w:t>
      </w:r>
    </w:p>
    <w:p w14:paraId="5839723B" w14:textId="28F4B06A"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4.6 Chapter Conclusion</w:t>
      </w:r>
      <w:r w:rsidR="0A4B8C3B" w:rsidRPr="393020AF">
        <w:rPr>
          <w:rFonts w:ascii="Arial" w:eastAsia="Arial" w:hAnsi="Arial" w:cs="Arial"/>
        </w:rPr>
        <w:t xml:space="preserve"> .............................37 38 39 40 </w:t>
      </w:r>
    </w:p>
    <w:p w14:paraId="253A5E10" w14:textId="3A673DDE"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Chapter 5: Conclusion and Recommendations</w:t>
      </w:r>
      <w:r w:rsidR="1F6A3CCD" w:rsidRPr="393020AF">
        <w:rPr>
          <w:rFonts w:ascii="Arial" w:eastAsia="Arial" w:hAnsi="Arial" w:cs="Arial"/>
        </w:rPr>
        <w:t xml:space="preserve">.............41 </w:t>
      </w:r>
      <w:r w:rsidR="74D82CE4" w:rsidRPr="393020AF">
        <w:rPr>
          <w:rFonts w:ascii="Arial" w:eastAsia="Arial" w:hAnsi="Arial" w:cs="Arial"/>
        </w:rPr>
        <w:t>42 43</w:t>
      </w:r>
    </w:p>
    <w:p w14:paraId="2034D8F5" w14:textId="00081501"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5.1 Overall Conclusion</w:t>
      </w:r>
      <w:r w:rsidR="6225ACE3" w:rsidRPr="393020AF">
        <w:rPr>
          <w:rFonts w:ascii="Arial" w:eastAsia="Arial" w:hAnsi="Arial" w:cs="Arial"/>
        </w:rPr>
        <w:t>......................44</w:t>
      </w:r>
    </w:p>
    <w:p w14:paraId="38DF48E7" w14:textId="06A2CEBB"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 xml:space="preserve">5.2 </w:t>
      </w:r>
      <w:r w:rsidR="7054DAB0" w:rsidRPr="393020AF">
        <w:rPr>
          <w:rFonts w:ascii="Arial" w:eastAsia="Arial" w:hAnsi="Arial" w:cs="Arial"/>
        </w:rPr>
        <w:t>Recommendations ........................</w:t>
      </w:r>
      <w:r w:rsidR="2626AF35" w:rsidRPr="393020AF">
        <w:rPr>
          <w:rFonts w:ascii="Arial" w:eastAsia="Arial" w:hAnsi="Arial" w:cs="Arial"/>
        </w:rPr>
        <w:t>45</w:t>
      </w:r>
    </w:p>
    <w:p w14:paraId="496CE210" w14:textId="33EFB4C0" w:rsidR="00730C3C" w:rsidRPr="00EF6341" w:rsidRDefault="0DABD65F" w:rsidP="20C9F860">
      <w:pPr>
        <w:pStyle w:val="ListParagraph"/>
        <w:numPr>
          <w:ilvl w:val="0"/>
          <w:numId w:val="1"/>
        </w:numPr>
        <w:spacing w:before="240" w:after="240" w:line="360" w:lineRule="auto"/>
        <w:rPr>
          <w:rFonts w:ascii="Arial" w:eastAsia="Arial" w:hAnsi="Arial" w:cs="Arial"/>
        </w:rPr>
      </w:pPr>
      <w:r w:rsidRPr="393020AF">
        <w:rPr>
          <w:rFonts w:ascii="Arial" w:eastAsia="Arial" w:hAnsi="Arial" w:cs="Arial"/>
        </w:rPr>
        <w:t>Chapter 6: References</w:t>
      </w:r>
      <w:r w:rsidR="2AB99D67" w:rsidRPr="393020AF">
        <w:rPr>
          <w:rFonts w:ascii="Arial" w:eastAsia="Arial" w:hAnsi="Arial" w:cs="Arial"/>
        </w:rPr>
        <w:t>.......................47 48 49 50 51</w:t>
      </w:r>
    </w:p>
    <w:p w14:paraId="6A795E87" w14:textId="71C24A3A" w:rsidR="00730C3C" w:rsidRPr="00EF6341" w:rsidRDefault="45E63856" w:rsidP="20C9F860">
      <w:pPr>
        <w:pStyle w:val="ListParagraph"/>
        <w:numPr>
          <w:ilvl w:val="0"/>
          <w:numId w:val="1"/>
        </w:numPr>
        <w:spacing w:before="240" w:after="240" w:line="360" w:lineRule="auto"/>
        <w:rPr>
          <w:rFonts w:ascii="Arial" w:eastAsia="Arial" w:hAnsi="Arial" w:cs="Arial"/>
          <w:b/>
          <w:bCs/>
        </w:rPr>
      </w:pPr>
      <w:r w:rsidRPr="393020AF">
        <w:rPr>
          <w:rFonts w:ascii="Arial" w:eastAsia="Arial" w:hAnsi="Arial" w:cs="Arial"/>
        </w:rPr>
        <w:t>6.2 Appendices</w:t>
      </w:r>
      <w:r w:rsidR="707292B1" w:rsidRPr="393020AF">
        <w:rPr>
          <w:rFonts w:ascii="Arial" w:eastAsia="Arial" w:hAnsi="Arial" w:cs="Arial"/>
        </w:rPr>
        <w:t>.................................52 53 54</w:t>
      </w:r>
    </w:p>
    <w:p w14:paraId="423FB99C" w14:textId="1871726D" w:rsidR="00730C3C" w:rsidRPr="00EF6341" w:rsidRDefault="00730C3C" w:rsidP="58BA14D5">
      <w:pPr>
        <w:pStyle w:val="ListParagraph"/>
        <w:spacing w:before="240" w:after="240" w:line="360" w:lineRule="auto"/>
        <w:ind w:left="720"/>
        <w:rPr>
          <w:rFonts w:ascii="Arial" w:eastAsia="Arial" w:hAnsi="Arial" w:cs="Arial"/>
          <w:b/>
          <w:bCs/>
        </w:rPr>
      </w:pPr>
    </w:p>
    <w:p w14:paraId="79313B1A" w14:textId="2362CD1D" w:rsidR="00730C3C" w:rsidRPr="00EF6341" w:rsidRDefault="00730C3C" w:rsidP="58BA14D5">
      <w:pPr>
        <w:pStyle w:val="ListParagraph"/>
        <w:spacing w:before="240" w:after="240" w:line="360" w:lineRule="auto"/>
        <w:ind w:left="720"/>
        <w:rPr>
          <w:rFonts w:ascii="Arial" w:eastAsia="Arial" w:hAnsi="Arial" w:cs="Arial"/>
          <w:b/>
          <w:bCs/>
        </w:rPr>
      </w:pPr>
    </w:p>
    <w:p w14:paraId="4AF9B6F5" w14:textId="6094F7AF" w:rsidR="00730C3C" w:rsidRPr="00EF6341" w:rsidRDefault="00730C3C" w:rsidP="58BA14D5">
      <w:pPr>
        <w:pStyle w:val="ListParagraph"/>
        <w:spacing w:before="240" w:after="240" w:line="360" w:lineRule="auto"/>
        <w:ind w:left="720"/>
        <w:rPr>
          <w:rFonts w:ascii="Arial" w:eastAsia="Arial" w:hAnsi="Arial" w:cs="Arial"/>
          <w:b/>
          <w:bCs/>
        </w:rPr>
      </w:pPr>
    </w:p>
    <w:p w14:paraId="1769FF62" w14:textId="5B7D7E34" w:rsidR="00730C3C" w:rsidRPr="00EF6341" w:rsidRDefault="00730C3C" w:rsidP="58BA14D5">
      <w:pPr>
        <w:pStyle w:val="ListParagraph"/>
        <w:spacing w:before="240" w:after="240" w:line="360" w:lineRule="auto"/>
        <w:ind w:left="720"/>
        <w:rPr>
          <w:rFonts w:ascii="Arial" w:eastAsia="Arial" w:hAnsi="Arial" w:cs="Arial"/>
          <w:b/>
          <w:bCs/>
        </w:rPr>
      </w:pPr>
    </w:p>
    <w:p w14:paraId="4E665B1C" w14:textId="0B1E3A26" w:rsidR="00730C3C" w:rsidRPr="00EF6341" w:rsidRDefault="00730C3C" w:rsidP="58BA14D5">
      <w:pPr>
        <w:pStyle w:val="ListParagraph"/>
        <w:spacing w:before="240" w:after="240" w:line="360" w:lineRule="auto"/>
        <w:ind w:left="720"/>
        <w:rPr>
          <w:rFonts w:ascii="Arial" w:eastAsia="Arial" w:hAnsi="Arial" w:cs="Arial"/>
          <w:b/>
          <w:bCs/>
        </w:rPr>
      </w:pPr>
    </w:p>
    <w:p w14:paraId="687CB7F0" w14:textId="667C3076" w:rsidR="00730C3C" w:rsidRPr="00EF6341" w:rsidRDefault="00730C3C" w:rsidP="58BA14D5">
      <w:pPr>
        <w:pStyle w:val="ListParagraph"/>
        <w:spacing w:before="240" w:after="240" w:line="360" w:lineRule="auto"/>
        <w:ind w:left="720"/>
        <w:rPr>
          <w:rFonts w:ascii="Arial" w:eastAsia="Arial" w:hAnsi="Arial" w:cs="Arial"/>
          <w:b/>
          <w:bCs/>
        </w:rPr>
      </w:pPr>
    </w:p>
    <w:p w14:paraId="020BAA86" w14:textId="09E73406" w:rsidR="00730C3C" w:rsidRPr="00EF6341" w:rsidRDefault="00730C3C" w:rsidP="58BA14D5">
      <w:pPr>
        <w:pStyle w:val="ListParagraph"/>
        <w:spacing w:before="240" w:after="240" w:line="360" w:lineRule="auto"/>
        <w:ind w:left="720"/>
        <w:rPr>
          <w:rFonts w:ascii="Arial" w:eastAsia="Arial" w:hAnsi="Arial" w:cs="Arial"/>
          <w:b/>
          <w:bCs/>
        </w:rPr>
      </w:pPr>
    </w:p>
    <w:p w14:paraId="4647AA49" w14:textId="5016B5C8" w:rsidR="00730C3C" w:rsidRPr="00EF6341" w:rsidRDefault="00730C3C" w:rsidP="58BA14D5">
      <w:pPr>
        <w:pStyle w:val="ListParagraph"/>
        <w:spacing w:before="240" w:after="240" w:line="360" w:lineRule="auto"/>
        <w:ind w:left="720"/>
        <w:rPr>
          <w:rFonts w:ascii="Arial" w:eastAsia="Arial" w:hAnsi="Arial" w:cs="Arial"/>
          <w:b/>
          <w:bCs/>
        </w:rPr>
      </w:pPr>
    </w:p>
    <w:p w14:paraId="1A23030C" w14:textId="0261AC49" w:rsidR="00730C3C" w:rsidRPr="00EF6341" w:rsidRDefault="00730C3C" w:rsidP="58BA14D5">
      <w:pPr>
        <w:pStyle w:val="ListParagraph"/>
        <w:spacing w:before="240" w:after="240" w:line="360" w:lineRule="auto"/>
        <w:ind w:left="720"/>
        <w:rPr>
          <w:rFonts w:ascii="Arial" w:eastAsia="Arial" w:hAnsi="Arial" w:cs="Arial"/>
          <w:b/>
          <w:bCs/>
        </w:rPr>
      </w:pPr>
    </w:p>
    <w:p w14:paraId="6E9F0324" w14:textId="50036B46" w:rsidR="00730C3C" w:rsidRPr="00EF6341" w:rsidRDefault="00730C3C" w:rsidP="58BA14D5">
      <w:pPr>
        <w:spacing w:before="240" w:after="240"/>
        <w:ind w:left="720"/>
        <w:rPr>
          <w:rFonts w:ascii="Arial" w:eastAsia="Arial" w:hAnsi="Arial" w:cs="Arial"/>
          <w:b/>
          <w:bCs/>
        </w:rPr>
      </w:pPr>
    </w:p>
    <w:p w14:paraId="2B966DD2" w14:textId="01B6B694" w:rsidR="0B9B3F42" w:rsidRDefault="0B9B3F42" w:rsidP="0B9B3F42">
      <w:pPr>
        <w:spacing w:before="240" w:after="240"/>
        <w:ind w:left="720"/>
        <w:rPr>
          <w:rFonts w:ascii="Arial" w:eastAsia="Arial" w:hAnsi="Arial" w:cs="Arial"/>
          <w:b/>
          <w:bCs/>
        </w:rPr>
      </w:pPr>
    </w:p>
    <w:p w14:paraId="58452D18" w14:textId="4EAFB5C7" w:rsidR="00730C3C" w:rsidRPr="00EF6341" w:rsidRDefault="5B292EF3" w:rsidP="58BA14D5">
      <w:pPr>
        <w:spacing w:before="240" w:after="240"/>
        <w:ind w:left="720"/>
        <w:rPr>
          <w:rFonts w:ascii="Arial" w:eastAsia="Arial" w:hAnsi="Arial" w:cs="Arial"/>
          <w:b/>
          <w:bCs/>
        </w:rPr>
      </w:pPr>
      <w:r w:rsidRPr="58BA14D5">
        <w:rPr>
          <w:rFonts w:ascii="Arial" w:eastAsia="Arial" w:hAnsi="Arial" w:cs="Arial"/>
          <w:b/>
          <w:bCs/>
        </w:rPr>
        <w:t xml:space="preserve">CHAPTER 1: Introduction </w:t>
      </w:r>
    </w:p>
    <w:p w14:paraId="69941E5D" w14:textId="77777777" w:rsidR="00EF6341" w:rsidRPr="00EF6341" w:rsidRDefault="00EF6341" w:rsidP="20C9F860">
      <w:pPr>
        <w:pStyle w:val="BodyText"/>
        <w:spacing w:line="360" w:lineRule="auto"/>
        <w:rPr>
          <w:rFonts w:eastAsia="Arial" w:cs="Arial"/>
        </w:rPr>
      </w:pPr>
    </w:p>
    <w:p w14:paraId="7EB24CC9" w14:textId="22FC233C" w:rsidR="00BD2909" w:rsidRPr="00BD2909"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1.1 Introduction</w:t>
      </w:r>
    </w:p>
    <w:p w14:paraId="578B8E5F" w14:textId="02D297F2" w:rsidR="0C8A1F7C" w:rsidRDefault="0C8A1F7C" w:rsidP="20C9F860">
      <w:pPr>
        <w:spacing w:before="240" w:after="240"/>
        <w:rPr>
          <w:rFonts w:ascii="Arial" w:eastAsia="Arial" w:hAnsi="Arial" w:cs="Arial"/>
          <w:color w:val="000000" w:themeColor="text1"/>
        </w:rPr>
      </w:pPr>
      <w:r w:rsidRPr="20C9F860">
        <w:rPr>
          <w:rFonts w:ascii="Arial" w:eastAsia="Arial" w:hAnsi="Arial" w:cs="Arial"/>
          <w:color w:val="000000" w:themeColor="text1"/>
        </w:rPr>
        <w:t>Autism Spectrum Disorder (ASD) is a lifelong developmental condition that affects how individuals communicate, interact, and experience the world (NICE, 2021). First access to support is considered vital for children, as timely intervention can improve learning, behaviour, and overall wellbeing (National Autistic Society, 2022). In the UK, support for children under 12 with autism involves a combination of health, education, and social care services, including diagnostic assessments, speech and language therapy, and educational support through Special Educational Needs (SEN) provision (Department of Health and Social Care, 2021).</w:t>
      </w:r>
    </w:p>
    <w:p w14:paraId="4CF8819A" w14:textId="4BA3F986" w:rsidR="0C8A1F7C" w:rsidRDefault="0C8A1F7C" w:rsidP="20C9F860">
      <w:pPr>
        <w:spacing w:before="240" w:after="240"/>
        <w:rPr>
          <w:rFonts w:ascii="Arial" w:eastAsia="Arial" w:hAnsi="Arial" w:cs="Arial"/>
          <w:color w:val="000000" w:themeColor="text1"/>
        </w:rPr>
      </w:pPr>
      <w:r w:rsidRPr="20C9F860">
        <w:rPr>
          <w:rFonts w:ascii="Arial" w:eastAsia="Arial" w:hAnsi="Arial" w:cs="Arial"/>
          <w:color w:val="000000" w:themeColor="text1"/>
        </w:rPr>
        <w:t>Despite the growing awareness of autism and the introduction of national frameworks, many families continue to report difficulties in accessing timely and effective support. Issues such as lengthy waiting times for diagnosis, inconsistent service provision across regions, and a lack of culturally appropriate support have been widely documented (Crane et al., 2016; Locke et al., 2022). These barriers not only delay children’s access to essential interventions but also increase parental stress and feelings of isolation (Russell et al., 2019).</w:t>
      </w:r>
    </w:p>
    <w:p w14:paraId="09CD9EAA" w14:textId="02A37D17" w:rsidR="0C8A1F7C" w:rsidRDefault="0C8A1F7C" w:rsidP="20C9F860">
      <w:pPr>
        <w:spacing w:before="240" w:after="240"/>
        <w:rPr>
          <w:rFonts w:ascii="Arial" w:eastAsia="Arial" w:hAnsi="Arial" w:cs="Arial"/>
          <w:color w:val="000000" w:themeColor="text1"/>
        </w:rPr>
      </w:pPr>
      <w:r w:rsidRPr="20C9F860">
        <w:rPr>
          <w:rFonts w:ascii="Arial" w:eastAsia="Arial" w:hAnsi="Arial" w:cs="Arial"/>
          <w:color w:val="000000" w:themeColor="text1"/>
        </w:rPr>
        <w:t>The aim of this research is to explore the barriers parents face in accessing autism support services for children under 12 in the UK. By examining existing research and national policy, this study hopes to identify the nature of these barriers, evaluate how they impact families, and provide recommendations for improving accessibility and inclusivity. The research seeks to contribute to the ongoing conversation about how autism services can be made more effective and equitable for all children and families.</w:t>
      </w:r>
    </w:p>
    <w:p w14:paraId="6A27918A" w14:textId="029A5BB2" w:rsidR="090184E5" w:rsidRDefault="090184E5" w:rsidP="20C9F860">
      <w:pPr>
        <w:pStyle w:val="paragraph"/>
        <w:spacing w:before="0" w:beforeAutospacing="0" w:after="0" w:afterAutospacing="0" w:line="360" w:lineRule="auto"/>
        <w:rPr>
          <w:rStyle w:val="eop"/>
          <w:rFonts w:ascii="Arial" w:eastAsia="Arial" w:hAnsi="Arial" w:cs="Arial"/>
          <w:color w:val="0F4761"/>
          <w:sz w:val="22"/>
          <w:szCs w:val="22"/>
        </w:rPr>
      </w:pPr>
    </w:p>
    <w:p w14:paraId="18072CD8" w14:textId="77777777" w:rsidR="00BD2909" w:rsidRPr="00BD2909" w:rsidRDefault="00BD2909" w:rsidP="20C9F860">
      <w:pPr>
        <w:pStyle w:val="paragraph"/>
        <w:spacing w:before="0" w:beforeAutospacing="0" w:after="0" w:afterAutospacing="0" w:line="360" w:lineRule="auto"/>
        <w:ind w:left="1080"/>
        <w:textAlignment w:val="baseline"/>
        <w:rPr>
          <w:rFonts w:ascii="Arial" w:eastAsia="Arial" w:hAnsi="Arial" w:cs="Arial"/>
          <w:sz w:val="22"/>
          <w:szCs w:val="22"/>
        </w:rPr>
      </w:pPr>
      <w:r w:rsidRPr="20C9F860">
        <w:rPr>
          <w:rStyle w:val="eop"/>
          <w:rFonts w:ascii="Arial" w:eastAsia="Arial" w:hAnsi="Arial" w:cs="Arial"/>
          <w:sz w:val="22"/>
          <w:szCs w:val="22"/>
        </w:rPr>
        <w:t> </w:t>
      </w:r>
    </w:p>
    <w:p w14:paraId="66501BF4" w14:textId="564FE12F" w:rsidR="00BD2909" w:rsidRPr="00BD2909"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1.2 Definitions and Terminology </w:t>
      </w:r>
    </w:p>
    <w:p w14:paraId="7CAF0B34" w14:textId="28EB2583" w:rsidR="00BD2909" w:rsidRPr="00BD2909" w:rsidRDefault="4B332B1E" w:rsidP="20C9F860">
      <w:pPr>
        <w:spacing w:before="240" w:after="240"/>
        <w:textAlignment w:val="baseline"/>
        <w:rPr>
          <w:rFonts w:ascii="Arial" w:eastAsia="Arial" w:hAnsi="Arial" w:cs="Arial"/>
        </w:rPr>
      </w:pPr>
      <w:r w:rsidRPr="20C9F860">
        <w:rPr>
          <w:rFonts w:ascii="Arial" w:eastAsia="Arial" w:hAnsi="Arial" w:cs="Arial"/>
        </w:rPr>
        <w:t>To ensure clarity and consistency, it is important to define key terms and concepts used throughout this dissertation.</w:t>
      </w:r>
    </w:p>
    <w:p w14:paraId="116421DE" w14:textId="02481C1B" w:rsidR="00BD2909" w:rsidRPr="00BD2909" w:rsidRDefault="4B332B1E" w:rsidP="20C9F860">
      <w:pPr>
        <w:spacing w:before="240" w:after="240"/>
        <w:textAlignment w:val="baseline"/>
        <w:rPr>
          <w:rFonts w:ascii="Arial" w:eastAsia="Arial" w:hAnsi="Arial" w:cs="Arial"/>
        </w:rPr>
      </w:pPr>
      <w:r w:rsidRPr="20C9F860">
        <w:rPr>
          <w:rFonts w:ascii="Arial" w:eastAsia="Arial" w:hAnsi="Arial" w:cs="Arial"/>
          <w:b/>
          <w:bCs/>
        </w:rPr>
        <w:t>Autism Spectrum Disorder (ASD):</w:t>
      </w:r>
      <w:r w:rsidRPr="20C9F860">
        <w:rPr>
          <w:rFonts w:ascii="Arial" w:eastAsia="Arial" w:hAnsi="Arial" w:cs="Arial"/>
        </w:rPr>
        <w:t xml:space="preserve"> A neurodevelopmental condition characterised by persistent differences in communication, social interaction, and behaviour. The term “spectrum” reflects the wide variation in symptoms and support needs among individuals (American Psychiatric Association, 2013). This dissertation uses “autism” and “ASD” interchangeably, in line with both clinical and social perspectives.</w:t>
      </w:r>
    </w:p>
    <w:p w14:paraId="758346D2" w14:textId="178B0C34" w:rsidR="00BD2909" w:rsidRPr="00BD2909" w:rsidRDefault="4B332B1E" w:rsidP="20C9F860">
      <w:pPr>
        <w:spacing w:before="240" w:after="240"/>
        <w:textAlignment w:val="baseline"/>
        <w:rPr>
          <w:rFonts w:ascii="Arial" w:eastAsia="Arial" w:hAnsi="Arial" w:cs="Arial"/>
        </w:rPr>
      </w:pPr>
      <w:r w:rsidRPr="20C9F860">
        <w:rPr>
          <w:rFonts w:ascii="Arial" w:eastAsia="Arial" w:hAnsi="Arial" w:cs="Arial"/>
          <w:b/>
          <w:bCs/>
        </w:rPr>
        <w:t>Support Services:</w:t>
      </w:r>
      <w:r w:rsidRPr="20C9F860">
        <w:rPr>
          <w:rFonts w:ascii="Arial" w:eastAsia="Arial" w:hAnsi="Arial" w:cs="Arial"/>
        </w:rPr>
        <w:t xml:space="preserve"> This refers to health, educational, and social care services designed to support autistic children and their families. These include diagnostic services, speech and language therapy, occupational therapy, educational support, respite care, and community-based resources (NHS, 2023).</w:t>
      </w:r>
    </w:p>
    <w:p w14:paraId="0BCF536D" w14:textId="6378B1F6" w:rsidR="00BD2909" w:rsidRPr="00BD2909" w:rsidRDefault="4B332B1E" w:rsidP="20C9F860">
      <w:pPr>
        <w:spacing w:before="240" w:after="240"/>
        <w:textAlignment w:val="baseline"/>
        <w:rPr>
          <w:rFonts w:ascii="Arial" w:eastAsia="Arial" w:hAnsi="Arial" w:cs="Arial"/>
        </w:rPr>
      </w:pPr>
      <w:r w:rsidRPr="20C9F860">
        <w:rPr>
          <w:rFonts w:ascii="Arial" w:eastAsia="Arial" w:hAnsi="Arial" w:cs="Arial"/>
          <w:b/>
          <w:bCs/>
        </w:rPr>
        <w:t>Barriers:</w:t>
      </w:r>
      <w:r w:rsidRPr="20C9F860">
        <w:rPr>
          <w:rFonts w:ascii="Arial" w:eastAsia="Arial" w:hAnsi="Arial" w:cs="Arial"/>
        </w:rPr>
        <w:t xml:space="preserve"> In this context, barriers are obstacles that hinder parents’ ability to access appropriate autism services. These may be structural (e.g., long waiting times), informational (e.g., lack of awareness of services), financial (e.g., </w:t>
      </w:r>
      <w:r w:rsidR="0FB476A3" w:rsidRPr="20C9F860">
        <w:rPr>
          <w:rFonts w:ascii="Arial" w:eastAsia="Arial" w:hAnsi="Arial" w:cs="Arial"/>
        </w:rPr>
        <w:t>excessive costs</w:t>
      </w:r>
      <w:r w:rsidRPr="20C9F860">
        <w:rPr>
          <w:rFonts w:ascii="Arial" w:eastAsia="Arial" w:hAnsi="Arial" w:cs="Arial"/>
        </w:rPr>
        <w:t xml:space="preserve"> of private assessments), or cultural (e.g., limited understanding of autism within certain communities).</w:t>
      </w:r>
    </w:p>
    <w:p w14:paraId="72CF7233" w14:textId="72D4394A" w:rsidR="00BD2909" w:rsidRPr="00BD2909" w:rsidRDefault="4B332B1E" w:rsidP="20C9F860">
      <w:pPr>
        <w:spacing w:before="240" w:after="240"/>
        <w:textAlignment w:val="baseline"/>
        <w:rPr>
          <w:rFonts w:ascii="Arial" w:eastAsia="Arial" w:hAnsi="Arial" w:cs="Arial"/>
        </w:rPr>
      </w:pPr>
      <w:r w:rsidRPr="20C9F860">
        <w:rPr>
          <w:rFonts w:ascii="Arial" w:eastAsia="Arial" w:hAnsi="Arial" w:cs="Arial"/>
          <w:b/>
          <w:bCs/>
        </w:rPr>
        <w:t>Early Intervention:</w:t>
      </w:r>
      <w:r w:rsidRPr="20C9F860">
        <w:rPr>
          <w:rFonts w:ascii="Arial" w:eastAsia="Arial" w:hAnsi="Arial" w:cs="Arial"/>
        </w:rPr>
        <w:t xml:space="preserve"> Services and support provided to children in the early years, typically before school age, with the aim of enhancing development and reducing long-term difficulties (National Autistic Society, 2022).</w:t>
      </w:r>
    </w:p>
    <w:p w14:paraId="327B00CB" w14:textId="3A8248EA" w:rsidR="00BD2909" w:rsidRPr="00BD2909" w:rsidRDefault="4B332B1E" w:rsidP="20C9F860">
      <w:pPr>
        <w:pStyle w:val="Heading3"/>
        <w:spacing w:before="281" w:after="281"/>
        <w:textAlignment w:val="baseline"/>
        <w:rPr>
          <w:rFonts w:ascii="Arial" w:eastAsia="Arial" w:hAnsi="Arial" w:cs="Arial"/>
          <w:b/>
          <w:bCs/>
          <w:sz w:val="22"/>
          <w:szCs w:val="22"/>
        </w:rPr>
      </w:pPr>
      <w:r w:rsidRPr="20C9F860">
        <w:rPr>
          <w:rFonts w:ascii="Arial" w:eastAsia="Arial" w:hAnsi="Arial" w:cs="Arial"/>
          <w:b/>
          <w:bCs/>
          <w:sz w:val="22"/>
          <w:szCs w:val="22"/>
        </w:rPr>
        <w:t>Acronyms and Abbreviations</w:t>
      </w:r>
    </w:p>
    <w:p w14:paraId="4646903A" w14:textId="48E0BE4D" w:rsidR="00BD2909" w:rsidRPr="00BD2909" w:rsidRDefault="4B332B1E" w:rsidP="20C9F860">
      <w:pPr>
        <w:pStyle w:val="ListParagraph"/>
        <w:numPr>
          <w:ilvl w:val="0"/>
          <w:numId w:val="13"/>
        </w:numPr>
        <w:spacing w:before="240" w:after="240" w:line="360" w:lineRule="auto"/>
        <w:textAlignment w:val="baseline"/>
        <w:rPr>
          <w:rFonts w:ascii="Arial" w:eastAsia="Arial" w:hAnsi="Arial" w:cs="Arial"/>
        </w:rPr>
      </w:pPr>
      <w:r w:rsidRPr="20C9F860">
        <w:rPr>
          <w:rFonts w:ascii="Arial" w:eastAsia="Arial" w:hAnsi="Arial" w:cs="Arial"/>
          <w:b/>
          <w:bCs/>
        </w:rPr>
        <w:t>ASD</w:t>
      </w:r>
      <w:r w:rsidRPr="20C9F860">
        <w:rPr>
          <w:rFonts w:ascii="Arial" w:eastAsia="Arial" w:hAnsi="Arial" w:cs="Arial"/>
        </w:rPr>
        <w:t xml:space="preserve"> – </w:t>
      </w:r>
      <w:r w:rsidR="102572A4" w:rsidRPr="20C9F860">
        <w:rPr>
          <w:rFonts w:ascii="Arial" w:eastAsia="Arial" w:hAnsi="Arial" w:cs="Arial"/>
        </w:rPr>
        <w:t>autism spectrum disorder</w:t>
      </w:r>
    </w:p>
    <w:p w14:paraId="0F553C67" w14:textId="2E37C67C" w:rsidR="00BD2909" w:rsidRPr="00BD2909" w:rsidRDefault="4B332B1E" w:rsidP="20C9F860">
      <w:pPr>
        <w:pStyle w:val="ListParagraph"/>
        <w:numPr>
          <w:ilvl w:val="0"/>
          <w:numId w:val="13"/>
        </w:numPr>
        <w:spacing w:before="240" w:after="240" w:line="360" w:lineRule="auto"/>
        <w:textAlignment w:val="baseline"/>
        <w:rPr>
          <w:rFonts w:ascii="Arial" w:eastAsia="Arial" w:hAnsi="Arial" w:cs="Arial"/>
        </w:rPr>
      </w:pPr>
      <w:r w:rsidRPr="20C9F860">
        <w:rPr>
          <w:rFonts w:ascii="Arial" w:eastAsia="Arial" w:hAnsi="Arial" w:cs="Arial"/>
          <w:b/>
          <w:bCs/>
        </w:rPr>
        <w:t>NICE</w:t>
      </w:r>
      <w:r w:rsidRPr="20C9F860">
        <w:rPr>
          <w:rFonts w:ascii="Arial" w:eastAsia="Arial" w:hAnsi="Arial" w:cs="Arial"/>
        </w:rPr>
        <w:t xml:space="preserve"> – National Institute for Health and Care Excellence</w:t>
      </w:r>
    </w:p>
    <w:p w14:paraId="3E413946" w14:textId="28821D0B" w:rsidR="00BD2909" w:rsidRPr="00BD2909" w:rsidRDefault="4B332B1E" w:rsidP="20C9F860">
      <w:pPr>
        <w:pStyle w:val="ListParagraph"/>
        <w:numPr>
          <w:ilvl w:val="0"/>
          <w:numId w:val="13"/>
        </w:numPr>
        <w:spacing w:before="240" w:after="240" w:line="360" w:lineRule="auto"/>
        <w:textAlignment w:val="baseline"/>
        <w:rPr>
          <w:rFonts w:ascii="Arial" w:eastAsia="Arial" w:hAnsi="Arial" w:cs="Arial"/>
        </w:rPr>
      </w:pPr>
      <w:r w:rsidRPr="20C9F860">
        <w:rPr>
          <w:rFonts w:ascii="Arial" w:eastAsia="Arial" w:hAnsi="Arial" w:cs="Arial"/>
          <w:b/>
          <w:bCs/>
        </w:rPr>
        <w:t>NHS</w:t>
      </w:r>
      <w:r w:rsidRPr="20C9F860">
        <w:rPr>
          <w:rFonts w:ascii="Arial" w:eastAsia="Arial" w:hAnsi="Arial" w:cs="Arial"/>
        </w:rPr>
        <w:t xml:space="preserve"> – National Health Service</w:t>
      </w:r>
    </w:p>
    <w:p w14:paraId="6035E5E1" w14:textId="3D672F95" w:rsidR="00BD2909" w:rsidRPr="00BD2909" w:rsidRDefault="4B332B1E" w:rsidP="20C9F860">
      <w:pPr>
        <w:pStyle w:val="ListParagraph"/>
        <w:numPr>
          <w:ilvl w:val="0"/>
          <w:numId w:val="13"/>
        </w:numPr>
        <w:spacing w:before="240" w:after="240" w:line="360" w:lineRule="auto"/>
        <w:textAlignment w:val="baseline"/>
        <w:rPr>
          <w:rFonts w:ascii="Arial" w:eastAsia="Arial" w:hAnsi="Arial" w:cs="Arial"/>
        </w:rPr>
      </w:pPr>
      <w:r w:rsidRPr="20C9F860">
        <w:rPr>
          <w:rFonts w:ascii="Arial" w:eastAsia="Arial" w:hAnsi="Arial" w:cs="Arial"/>
          <w:b/>
          <w:bCs/>
        </w:rPr>
        <w:t>SEND</w:t>
      </w:r>
      <w:r w:rsidRPr="20C9F860">
        <w:rPr>
          <w:rFonts w:ascii="Arial" w:eastAsia="Arial" w:hAnsi="Arial" w:cs="Arial"/>
        </w:rPr>
        <w:t xml:space="preserve"> – Special Educational Needs and Disabilities</w:t>
      </w:r>
    </w:p>
    <w:p w14:paraId="70DE90FA" w14:textId="6171708A" w:rsidR="00BD2909" w:rsidRPr="00BD2909" w:rsidRDefault="4B332B1E" w:rsidP="20C9F860">
      <w:pPr>
        <w:pStyle w:val="ListParagraph"/>
        <w:numPr>
          <w:ilvl w:val="0"/>
          <w:numId w:val="13"/>
        </w:numPr>
        <w:spacing w:before="240" w:after="240" w:line="360" w:lineRule="auto"/>
        <w:textAlignment w:val="baseline"/>
        <w:rPr>
          <w:rFonts w:ascii="Arial" w:eastAsia="Arial" w:hAnsi="Arial" w:cs="Arial"/>
        </w:rPr>
      </w:pPr>
      <w:r w:rsidRPr="20C9F860">
        <w:rPr>
          <w:rFonts w:ascii="Arial" w:eastAsia="Arial" w:hAnsi="Arial" w:cs="Arial"/>
          <w:b/>
          <w:bCs/>
        </w:rPr>
        <w:t>EHCP</w:t>
      </w:r>
      <w:r w:rsidRPr="20C9F860">
        <w:rPr>
          <w:rFonts w:ascii="Arial" w:eastAsia="Arial" w:hAnsi="Arial" w:cs="Arial"/>
        </w:rPr>
        <w:t xml:space="preserve"> – Education, </w:t>
      </w:r>
      <w:r w:rsidR="7EE9FC33" w:rsidRPr="20C9F860">
        <w:rPr>
          <w:rFonts w:ascii="Arial" w:eastAsia="Arial" w:hAnsi="Arial" w:cs="Arial"/>
        </w:rPr>
        <w:t>Health,</w:t>
      </w:r>
      <w:r w:rsidRPr="20C9F860">
        <w:rPr>
          <w:rFonts w:ascii="Arial" w:eastAsia="Arial" w:hAnsi="Arial" w:cs="Arial"/>
        </w:rPr>
        <w:t xml:space="preserve"> and Care Plan</w:t>
      </w:r>
    </w:p>
    <w:p w14:paraId="7B6B98BA" w14:textId="5832ED83" w:rsidR="00BD2909" w:rsidRPr="00BD2909" w:rsidRDefault="4B332B1E" w:rsidP="20C9F860">
      <w:pPr>
        <w:spacing w:before="240" w:after="240"/>
        <w:textAlignment w:val="baseline"/>
        <w:rPr>
          <w:rStyle w:val="eop"/>
          <w:rFonts w:ascii="Arial" w:eastAsia="Arial" w:hAnsi="Arial" w:cs="Arial"/>
        </w:rPr>
      </w:pPr>
      <w:r w:rsidRPr="20C9F860">
        <w:rPr>
          <w:rFonts w:ascii="Arial" w:eastAsia="Arial" w:hAnsi="Arial" w:cs="Arial"/>
        </w:rPr>
        <w:t>These terms and acronyms will be used consistently throughout the dissertation to ensure clarity for the reader.</w:t>
      </w:r>
      <w:r w:rsidRPr="20C9F860">
        <w:rPr>
          <w:rStyle w:val="eop"/>
          <w:rFonts w:ascii="Arial" w:eastAsia="Arial" w:hAnsi="Arial" w:cs="Arial"/>
        </w:rPr>
        <w:t xml:space="preserve"> </w:t>
      </w:r>
    </w:p>
    <w:p w14:paraId="4BC66D2F" w14:textId="189D8426" w:rsidR="00BD2909" w:rsidRPr="00BD2909" w:rsidRDefault="00BD2909" w:rsidP="20C9F860">
      <w:pPr>
        <w:pStyle w:val="paragraph"/>
        <w:spacing w:before="0" w:beforeAutospacing="0" w:after="0" w:afterAutospacing="0" w:line="360" w:lineRule="auto"/>
        <w:ind w:left="1080"/>
        <w:textAlignment w:val="baseline"/>
        <w:rPr>
          <w:rFonts w:ascii="Arial" w:eastAsia="Arial" w:hAnsi="Arial" w:cs="Arial"/>
          <w:sz w:val="22"/>
          <w:szCs w:val="22"/>
        </w:rPr>
      </w:pPr>
      <w:r w:rsidRPr="20C9F860">
        <w:rPr>
          <w:rStyle w:val="eop"/>
          <w:rFonts w:ascii="Arial" w:eastAsia="Arial" w:hAnsi="Arial" w:cs="Arial"/>
          <w:sz w:val="22"/>
          <w:szCs w:val="22"/>
        </w:rPr>
        <w:t>  </w:t>
      </w:r>
    </w:p>
    <w:p w14:paraId="3458CD4B" w14:textId="0D5E0ADE" w:rsidR="00BD2909" w:rsidRPr="00BD2909" w:rsidRDefault="00BD2909" w:rsidP="20C9F860">
      <w:pPr>
        <w:pStyle w:val="paragraph"/>
        <w:spacing w:before="240" w:beforeAutospacing="0" w:after="24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1.3 Rationale for Research </w:t>
      </w:r>
    </w:p>
    <w:p w14:paraId="73B7646D" w14:textId="73088B2B" w:rsidR="00BD2909" w:rsidRPr="00BD2909" w:rsidRDefault="70A5596F" w:rsidP="20C9F860">
      <w:pPr>
        <w:pStyle w:val="paragraph"/>
        <w:spacing w:before="240" w:beforeAutospacing="0" w:after="240" w:afterAutospacing="0" w:line="360" w:lineRule="auto"/>
        <w:textAlignment w:val="baseline"/>
        <w:rPr>
          <w:rFonts w:ascii="Arial" w:eastAsia="Arial" w:hAnsi="Arial" w:cs="Arial"/>
          <w:color w:val="000000" w:themeColor="text1"/>
          <w:sz w:val="22"/>
          <w:szCs w:val="22"/>
        </w:rPr>
      </w:pPr>
      <w:r w:rsidRPr="20C9F860">
        <w:rPr>
          <w:rFonts w:ascii="Arial" w:eastAsia="Arial" w:hAnsi="Arial" w:cs="Arial"/>
          <w:color w:val="000000" w:themeColor="text1"/>
          <w:sz w:val="22"/>
          <w:szCs w:val="22"/>
        </w:rPr>
        <w:t xml:space="preserve"> The choice of this research topic reflects the growing recognition of the challenges families encounter when seeking autism support for their children. Despite policy commitments, such as the Autism Act 2009 and the NHS Long Term Plan (2019), which emphasise earlier diagnosis and improved access to care, many families continue to face systemic barriers (Department of Health and Social Care, 2021). Reports suggest that children often wait months, or even years, for diagnostic assessments, which in turn delays access to therapies and educational support (Emerson et al., 2021).</w:t>
      </w:r>
    </w:p>
    <w:p w14:paraId="24C36BF4" w14:textId="73217FB9" w:rsidR="00BD2909" w:rsidRPr="00BD2909" w:rsidRDefault="70A5596F"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Existing research highlights several issues, including regional inequalities in provision, lack of training for professionals, and inadequate cultural awareness when working with families from minority ethnic groups (Crane et al., 2016; Green et al., 2020). Parents often describe feeling dismissed by professionals or left without guidance after diagnosis, leaving them to navigate complex referral systems alone (Locke et al., 2022). These difficulties can have significant impacts, not only on children’s developmental progress but also on parental wellbeing and family stability (Russell et al., 2019).</w:t>
      </w:r>
    </w:p>
    <w:p w14:paraId="233C02E4" w14:textId="187CEB17" w:rsidR="00BD2909" w:rsidRPr="00BD2909" w:rsidRDefault="70A5596F"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While there is growing literature on autism diagnosis and intervention, there is less focus on the lived experiences of parents in accessing support, particularly for children under 12. This research aims to address that gap by synthesising evidence on the barriers families face, and by exploring how these barriers affect access to early and effective support. The findings could help inform policy and practice, ensuring that autism services become more responsive to the needs of diverse families.</w:t>
      </w:r>
    </w:p>
    <w:p w14:paraId="165773A7" w14:textId="19642D67" w:rsidR="00BD2909" w:rsidRPr="00BD2909"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p>
    <w:p w14:paraId="4F599B48" w14:textId="0FFB309E" w:rsidR="090184E5" w:rsidRDefault="090184E5" w:rsidP="20C9F860">
      <w:pPr>
        <w:pStyle w:val="paragraph"/>
        <w:spacing w:before="0" w:beforeAutospacing="0" w:after="0" w:afterAutospacing="0" w:line="360" w:lineRule="auto"/>
        <w:rPr>
          <w:rStyle w:val="normaltextrun"/>
          <w:rFonts w:ascii="Arial" w:eastAsia="Arial" w:hAnsi="Arial" w:cs="Arial"/>
          <w:color w:val="0F4761"/>
          <w:sz w:val="22"/>
          <w:szCs w:val="22"/>
        </w:rPr>
      </w:pPr>
    </w:p>
    <w:p w14:paraId="4DEAF539" w14:textId="368AD479" w:rsidR="090184E5" w:rsidRDefault="090184E5" w:rsidP="20C9F860">
      <w:pPr>
        <w:pStyle w:val="paragraph"/>
        <w:spacing w:before="0" w:beforeAutospacing="0" w:after="0" w:afterAutospacing="0" w:line="360" w:lineRule="auto"/>
        <w:rPr>
          <w:rStyle w:val="normaltextrun"/>
          <w:rFonts w:ascii="Arial" w:eastAsia="Arial" w:hAnsi="Arial" w:cs="Arial"/>
          <w:color w:val="0F4761"/>
          <w:sz w:val="22"/>
          <w:szCs w:val="22"/>
        </w:rPr>
      </w:pPr>
    </w:p>
    <w:p w14:paraId="7021B8E1" w14:textId="656E7451" w:rsidR="090184E5" w:rsidRDefault="090184E5" w:rsidP="20C9F860">
      <w:pPr>
        <w:pStyle w:val="paragraph"/>
        <w:spacing w:before="0" w:beforeAutospacing="0" w:after="0" w:afterAutospacing="0" w:line="360" w:lineRule="auto"/>
        <w:rPr>
          <w:rStyle w:val="normaltextrun"/>
          <w:rFonts w:ascii="Arial" w:eastAsia="Arial" w:hAnsi="Arial" w:cs="Arial"/>
          <w:color w:val="0F4761"/>
          <w:sz w:val="22"/>
          <w:szCs w:val="22"/>
        </w:rPr>
      </w:pPr>
    </w:p>
    <w:p w14:paraId="31ADE6DF" w14:textId="7C62AE60" w:rsidR="090184E5" w:rsidRDefault="090184E5" w:rsidP="20C9F860">
      <w:pPr>
        <w:pStyle w:val="paragraph"/>
        <w:spacing w:before="0" w:beforeAutospacing="0" w:after="0" w:afterAutospacing="0" w:line="360" w:lineRule="auto"/>
        <w:rPr>
          <w:rStyle w:val="normaltextrun"/>
          <w:rFonts w:ascii="Arial" w:eastAsia="Arial" w:hAnsi="Arial" w:cs="Arial"/>
          <w:color w:val="0F4761"/>
          <w:sz w:val="22"/>
          <w:szCs w:val="22"/>
        </w:rPr>
      </w:pPr>
    </w:p>
    <w:p w14:paraId="0686D73F" w14:textId="03419B1E" w:rsidR="20C9F860" w:rsidRDefault="20C9F860" w:rsidP="20C9F860">
      <w:pPr>
        <w:pStyle w:val="paragraph"/>
        <w:spacing w:before="0" w:beforeAutospacing="0" w:after="0" w:afterAutospacing="0" w:line="360" w:lineRule="auto"/>
        <w:rPr>
          <w:rStyle w:val="normaltextrun"/>
          <w:rFonts w:ascii="Arial" w:eastAsia="Arial" w:hAnsi="Arial" w:cs="Arial"/>
          <w:color w:val="0F4761"/>
          <w:sz w:val="22"/>
          <w:szCs w:val="22"/>
        </w:rPr>
      </w:pPr>
    </w:p>
    <w:p w14:paraId="669241A7" w14:textId="2908F890" w:rsidR="00BD2909" w:rsidRPr="00BD2909"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1.4 Aim and Objectives </w:t>
      </w:r>
    </w:p>
    <w:p w14:paraId="29A3EBB8" w14:textId="66778022" w:rsidR="00BD2909" w:rsidRPr="00BD2909" w:rsidRDefault="05C0EF47" w:rsidP="20C9F860">
      <w:pPr>
        <w:pStyle w:val="Heading3"/>
        <w:spacing w:before="281" w:after="281"/>
        <w:textAlignment w:val="baseline"/>
        <w:rPr>
          <w:rFonts w:ascii="Arial" w:eastAsia="Arial" w:hAnsi="Arial" w:cs="Arial"/>
          <w:color w:val="0F4761"/>
          <w:sz w:val="22"/>
          <w:szCs w:val="22"/>
        </w:rPr>
      </w:pPr>
      <w:r w:rsidRPr="20C9F860">
        <w:rPr>
          <w:rFonts w:ascii="Arial" w:eastAsia="Arial" w:hAnsi="Arial" w:cs="Arial"/>
          <w:b/>
          <w:bCs/>
          <w:color w:val="0F4761"/>
          <w:sz w:val="22"/>
          <w:szCs w:val="22"/>
        </w:rPr>
        <w:t>Research Aim</w:t>
      </w:r>
    </w:p>
    <w:p w14:paraId="16B2C662" w14:textId="4CA7649A" w:rsidR="00BD2909" w:rsidRPr="00BD2909" w:rsidRDefault="05C0EF47"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This research aims to explore the barriers parents face in accessing autism support services for children under 12 in the UK, with the goal of identifying challenges and suggesting improvements for more inclusive and accessible provision.</w:t>
      </w:r>
    </w:p>
    <w:p w14:paraId="42652998" w14:textId="7BE97E0D" w:rsidR="00BD2909" w:rsidRPr="00BD2909" w:rsidRDefault="05C0EF47" w:rsidP="20C9F860">
      <w:pPr>
        <w:pStyle w:val="Heading3"/>
        <w:spacing w:before="281" w:after="281"/>
        <w:textAlignment w:val="baseline"/>
        <w:rPr>
          <w:rFonts w:ascii="Arial" w:eastAsia="Arial" w:hAnsi="Arial" w:cs="Arial"/>
          <w:color w:val="0F4761"/>
          <w:sz w:val="22"/>
          <w:szCs w:val="22"/>
        </w:rPr>
      </w:pPr>
      <w:r w:rsidRPr="20C9F860">
        <w:rPr>
          <w:rFonts w:ascii="Arial" w:eastAsia="Arial" w:hAnsi="Arial" w:cs="Arial"/>
          <w:b/>
          <w:bCs/>
          <w:color w:val="0F4761"/>
          <w:sz w:val="22"/>
          <w:szCs w:val="22"/>
        </w:rPr>
        <w:t>Research Objectives</w:t>
      </w:r>
    </w:p>
    <w:p w14:paraId="342F4FD3" w14:textId="3C6C8866" w:rsidR="00BD2909" w:rsidRPr="00BD2909" w:rsidRDefault="05C0EF47" w:rsidP="20C9F860">
      <w:pPr>
        <w:pStyle w:val="ListParagraph"/>
        <w:numPr>
          <w:ilvl w:val="0"/>
          <w:numId w:val="12"/>
        </w:numPr>
        <w:spacing w:before="240" w:after="240" w:line="360" w:lineRule="auto"/>
        <w:textAlignment w:val="baseline"/>
        <w:rPr>
          <w:rFonts w:ascii="Arial" w:eastAsia="Arial" w:hAnsi="Arial" w:cs="Arial"/>
          <w:color w:val="000000" w:themeColor="text1"/>
        </w:rPr>
      </w:pPr>
      <w:r w:rsidRPr="20C9F860">
        <w:rPr>
          <w:rFonts w:ascii="Arial" w:eastAsia="Arial" w:hAnsi="Arial" w:cs="Arial"/>
          <w:b/>
          <w:bCs/>
          <w:color w:val="000000" w:themeColor="text1"/>
        </w:rPr>
        <w:t>Objective 1</w:t>
      </w:r>
      <w:r w:rsidRPr="20C9F860">
        <w:rPr>
          <w:rFonts w:ascii="Arial" w:eastAsia="Arial" w:hAnsi="Arial" w:cs="Arial"/>
          <w:color w:val="000000" w:themeColor="text1"/>
        </w:rPr>
        <w:t>: Define and examine the autism support services currently available for children under 12 in the UK, including their scope and providers.</w:t>
      </w:r>
    </w:p>
    <w:p w14:paraId="4ABD68E5" w14:textId="0ED99376" w:rsidR="00BD2909" w:rsidRPr="00BD2909" w:rsidRDefault="05C0EF47" w:rsidP="20C9F860">
      <w:pPr>
        <w:pStyle w:val="ListParagraph"/>
        <w:numPr>
          <w:ilvl w:val="0"/>
          <w:numId w:val="12"/>
        </w:numPr>
        <w:spacing w:before="240" w:after="240" w:line="360" w:lineRule="auto"/>
        <w:textAlignment w:val="baseline"/>
        <w:rPr>
          <w:rFonts w:ascii="Arial" w:eastAsia="Arial" w:hAnsi="Arial" w:cs="Arial"/>
          <w:color w:val="000000" w:themeColor="text1"/>
        </w:rPr>
      </w:pPr>
      <w:r w:rsidRPr="20C9F860">
        <w:rPr>
          <w:rFonts w:ascii="Arial" w:eastAsia="Arial" w:hAnsi="Arial" w:cs="Arial"/>
          <w:b/>
          <w:bCs/>
          <w:color w:val="000000" w:themeColor="text1"/>
        </w:rPr>
        <w:t>Objective 2</w:t>
      </w:r>
      <w:r w:rsidRPr="20C9F860">
        <w:rPr>
          <w:rFonts w:ascii="Arial" w:eastAsia="Arial" w:hAnsi="Arial" w:cs="Arial"/>
          <w:color w:val="000000" w:themeColor="text1"/>
        </w:rPr>
        <w:t>: Analyse the challenges parents encounter when accessing these services, such as waiting lists, referral processes, and cultural barriers.</w:t>
      </w:r>
    </w:p>
    <w:p w14:paraId="67B9B940" w14:textId="41F9D4D7" w:rsidR="00BD2909" w:rsidRPr="00BD2909" w:rsidRDefault="05C0EF47" w:rsidP="20C9F860">
      <w:pPr>
        <w:pStyle w:val="ListParagraph"/>
        <w:numPr>
          <w:ilvl w:val="0"/>
          <w:numId w:val="12"/>
        </w:numPr>
        <w:spacing w:before="240" w:after="240" w:line="360" w:lineRule="auto"/>
        <w:textAlignment w:val="baseline"/>
        <w:rPr>
          <w:rFonts w:ascii="Arial" w:eastAsia="Arial" w:hAnsi="Arial" w:cs="Arial"/>
          <w:color w:val="000000" w:themeColor="text1"/>
        </w:rPr>
      </w:pPr>
      <w:r w:rsidRPr="20C9F860">
        <w:rPr>
          <w:rFonts w:ascii="Arial" w:eastAsia="Arial" w:hAnsi="Arial" w:cs="Arial"/>
          <w:b/>
          <w:bCs/>
          <w:color w:val="000000" w:themeColor="text1"/>
        </w:rPr>
        <w:t>Objective 3</w:t>
      </w:r>
      <w:r w:rsidRPr="20C9F860">
        <w:rPr>
          <w:rFonts w:ascii="Arial" w:eastAsia="Arial" w:hAnsi="Arial" w:cs="Arial"/>
          <w:color w:val="000000" w:themeColor="text1"/>
        </w:rPr>
        <w:t>: Evaluate the extent to which existing support services meet the needs of families, considering differences across communities and settings.</w:t>
      </w:r>
    </w:p>
    <w:p w14:paraId="7D07A15F" w14:textId="273D987D" w:rsidR="00BD2909" w:rsidRPr="00BD2909" w:rsidRDefault="05C0EF47" w:rsidP="20C9F860">
      <w:pPr>
        <w:pStyle w:val="ListParagraph"/>
        <w:numPr>
          <w:ilvl w:val="0"/>
          <w:numId w:val="12"/>
        </w:numPr>
        <w:spacing w:before="240" w:after="240" w:line="360" w:lineRule="auto"/>
        <w:textAlignment w:val="baseline"/>
        <w:rPr>
          <w:rFonts w:ascii="Arial" w:eastAsia="Arial" w:hAnsi="Arial" w:cs="Arial"/>
          <w:color w:val="000000" w:themeColor="text1"/>
        </w:rPr>
      </w:pPr>
      <w:r w:rsidRPr="20C9F860">
        <w:rPr>
          <w:rFonts w:ascii="Arial" w:eastAsia="Arial" w:hAnsi="Arial" w:cs="Arial"/>
          <w:b/>
          <w:bCs/>
          <w:color w:val="000000" w:themeColor="text1"/>
        </w:rPr>
        <w:t>Objective 4</w:t>
      </w:r>
      <w:r w:rsidRPr="20C9F860">
        <w:rPr>
          <w:rFonts w:ascii="Arial" w:eastAsia="Arial" w:hAnsi="Arial" w:cs="Arial"/>
          <w:color w:val="000000" w:themeColor="text1"/>
        </w:rPr>
        <w:t>: Provide evidence-based recommendations on how access to support could be improved, particularly for underrepresented groups or those facing additional barriers.</w:t>
      </w:r>
    </w:p>
    <w:p w14:paraId="7FA3F3C5" w14:textId="7E1D41E9" w:rsidR="00BD2909" w:rsidRPr="00BD2909" w:rsidRDefault="00BD2909" w:rsidP="20C9F860">
      <w:pPr>
        <w:pStyle w:val="paragraph"/>
        <w:spacing w:before="0" w:beforeAutospacing="0" w:after="0" w:afterAutospacing="0" w:line="360" w:lineRule="auto"/>
        <w:textAlignment w:val="baseline"/>
        <w:rPr>
          <w:rFonts w:ascii="Arial" w:eastAsia="Arial" w:hAnsi="Arial" w:cs="Arial"/>
          <w:sz w:val="22"/>
          <w:szCs w:val="22"/>
        </w:rPr>
      </w:pPr>
      <w:r w:rsidRPr="20C9F860">
        <w:rPr>
          <w:rStyle w:val="eop"/>
          <w:rFonts w:ascii="Arial" w:eastAsia="Arial" w:hAnsi="Arial" w:cs="Arial"/>
          <w:sz w:val="22"/>
          <w:szCs w:val="22"/>
        </w:rPr>
        <w:t> </w:t>
      </w:r>
    </w:p>
    <w:p w14:paraId="4FCBBEC2" w14:textId="44564A17" w:rsidR="00BD2909" w:rsidRPr="00BD2909" w:rsidRDefault="00BD2909" w:rsidP="20C9F860">
      <w:pPr>
        <w:pStyle w:val="paragraph"/>
        <w:spacing w:before="0" w:beforeAutospacing="0" w:after="0" w:afterAutospacing="0" w:line="360" w:lineRule="auto"/>
        <w:textAlignment w:val="baseline"/>
        <w:rPr>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1.5 Conclusion </w:t>
      </w:r>
      <w:r w:rsidRPr="20C9F860">
        <w:rPr>
          <w:rStyle w:val="eop"/>
          <w:rFonts w:ascii="Arial" w:eastAsia="Arial" w:hAnsi="Arial" w:cs="Arial"/>
          <w:color w:val="0F4761"/>
          <w:sz w:val="22"/>
          <w:szCs w:val="22"/>
        </w:rPr>
        <w:t> </w:t>
      </w:r>
    </w:p>
    <w:p w14:paraId="6D3F9956" w14:textId="0716C09D" w:rsidR="000D0641" w:rsidRPr="000D0641" w:rsidRDefault="1DB9FB3C" w:rsidP="20C9F860">
      <w:pPr>
        <w:spacing w:before="240" w:after="240"/>
        <w:rPr>
          <w:rFonts w:ascii="Arial" w:eastAsia="Arial" w:hAnsi="Arial" w:cs="Arial"/>
          <w:color w:val="000000" w:themeColor="text1"/>
        </w:rPr>
      </w:pPr>
      <w:r w:rsidRPr="20C9F860">
        <w:rPr>
          <w:rFonts w:ascii="Arial" w:eastAsia="Arial" w:hAnsi="Arial" w:cs="Arial"/>
          <w:color w:val="000000" w:themeColor="text1"/>
        </w:rPr>
        <w:t>This chapter has introduced the topic of autism support services in the UK, highlighting the importance of early intervention and the difficulties many families face in accessing support. Key definitions and acronyms have been clarified, the rationale for the research has been explained, and the overall aim and objectives of the research have been set out.</w:t>
      </w:r>
    </w:p>
    <w:p w14:paraId="09B0547E" w14:textId="06F678CB" w:rsidR="000D0641" w:rsidRPr="000D0641" w:rsidRDefault="1DB9FB3C" w:rsidP="20C9F860">
      <w:pPr>
        <w:spacing w:before="240" w:after="240"/>
        <w:rPr>
          <w:rFonts w:ascii="Arial" w:eastAsia="Arial" w:hAnsi="Arial" w:cs="Arial"/>
          <w:color w:val="000000" w:themeColor="text1"/>
        </w:rPr>
      </w:pPr>
      <w:r w:rsidRPr="20C9F860">
        <w:rPr>
          <w:rFonts w:ascii="Arial" w:eastAsia="Arial" w:hAnsi="Arial" w:cs="Arial"/>
          <w:color w:val="000000" w:themeColor="text1"/>
        </w:rPr>
        <w:t>The next chapter will present a detailed literature review. It will critically examine existing studies and policy documents on autism support, exploring what is currently known about service provision and barriers to access. This review will form the foundation for analysing the gaps and challenges that this research seeks to address.</w:t>
      </w:r>
    </w:p>
    <w:p w14:paraId="33D4B98F" w14:textId="51130E1C" w:rsidR="000D0641" w:rsidRPr="000D0641" w:rsidRDefault="000D0641" w:rsidP="20C9F860">
      <w:pPr>
        <w:pStyle w:val="Heading1"/>
        <w:ind w:left="0"/>
        <w:rPr>
          <w:rFonts w:eastAsia="Arial" w:cs="Arial"/>
          <w:sz w:val="22"/>
          <w:szCs w:val="22"/>
        </w:rPr>
      </w:pPr>
      <w:r w:rsidRPr="20C9F860">
        <w:rPr>
          <w:rFonts w:eastAsia="Arial" w:cs="Arial"/>
          <w:sz w:val="22"/>
          <w:szCs w:val="22"/>
        </w:rPr>
        <w:t xml:space="preserve">CHAPTER 2 – </w:t>
      </w:r>
      <w:r w:rsidR="00BD2909" w:rsidRPr="20C9F860">
        <w:rPr>
          <w:rFonts w:eastAsia="Arial" w:cs="Arial"/>
          <w:sz w:val="22"/>
          <w:szCs w:val="22"/>
        </w:rPr>
        <w:t xml:space="preserve">Background </w:t>
      </w:r>
      <w:r w:rsidR="00F44833" w:rsidRPr="20C9F860">
        <w:rPr>
          <w:rFonts w:eastAsia="Arial" w:cs="Arial"/>
          <w:sz w:val="22"/>
          <w:szCs w:val="22"/>
        </w:rPr>
        <w:t xml:space="preserve">Information and </w:t>
      </w:r>
      <w:r w:rsidR="00BD2909" w:rsidRPr="20C9F860">
        <w:rPr>
          <w:rFonts w:eastAsia="Arial" w:cs="Arial"/>
          <w:sz w:val="22"/>
          <w:szCs w:val="22"/>
        </w:rPr>
        <w:t>Analysis</w:t>
      </w:r>
      <w:r w:rsidRPr="20C9F860">
        <w:rPr>
          <w:rFonts w:eastAsia="Arial" w:cs="Arial"/>
          <w:sz w:val="22"/>
          <w:szCs w:val="22"/>
        </w:rPr>
        <w:t xml:space="preserve"> </w:t>
      </w:r>
    </w:p>
    <w:p w14:paraId="6BA7DF87" w14:textId="7A25B942" w:rsidR="00BD2909" w:rsidRDefault="00BD2909" w:rsidP="20C9F860">
      <w:pPr>
        <w:pStyle w:val="paragraph"/>
        <w:spacing w:before="0" w:beforeAutospacing="0" w:after="0" w:afterAutospacing="0"/>
        <w:textAlignment w:val="baseline"/>
        <w:rPr>
          <w:rFonts w:ascii="Arial" w:eastAsia="Arial" w:hAnsi="Arial" w:cs="Arial"/>
          <w:color w:val="0F4761"/>
          <w:sz w:val="22"/>
          <w:szCs w:val="22"/>
        </w:rPr>
      </w:pPr>
      <w:r w:rsidRPr="20C9F860">
        <w:rPr>
          <w:rStyle w:val="eop"/>
          <w:rFonts w:ascii="Arial" w:eastAsia="Arial" w:hAnsi="Arial" w:cs="Arial"/>
          <w:color w:val="0F4761"/>
          <w:sz w:val="22"/>
          <w:szCs w:val="22"/>
        </w:rPr>
        <w:t> </w:t>
      </w:r>
    </w:p>
    <w:p w14:paraId="223734F5" w14:textId="311153A1" w:rsidR="00BD2909" w:rsidRPr="00F44833"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2.1 Introduction </w:t>
      </w:r>
    </w:p>
    <w:p w14:paraId="204E4BB2" w14:textId="5C689E02" w:rsidR="00BD2909" w:rsidRPr="00F44833" w:rsidRDefault="00BD2909" w:rsidP="20C9F860">
      <w:pPr>
        <w:pStyle w:val="paragraph"/>
        <w:spacing w:before="240" w:beforeAutospacing="0" w:after="240" w:afterAutospacing="0" w:line="360" w:lineRule="auto"/>
        <w:textAlignment w:val="baseline"/>
        <w:rPr>
          <w:rFonts w:ascii="Arial" w:eastAsia="Arial" w:hAnsi="Arial" w:cs="Arial"/>
          <w:sz w:val="22"/>
          <w:szCs w:val="22"/>
        </w:rPr>
      </w:pPr>
      <w:r w:rsidRPr="20C9F860">
        <w:rPr>
          <w:rStyle w:val="eop"/>
          <w:rFonts w:ascii="Arial" w:eastAsia="Arial" w:hAnsi="Arial" w:cs="Arial"/>
          <w:sz w:val="22"/>
          <w:szCs w:val="22"/>
        </w:rPr>
        <w:t> </w:t>
      </w:r>
      <w:r w:rsidR="020081FE" w:rsidRPr="20C9F860">
        <w:rPr>
          <w:rFonts w:ascii="Arial" w:eastAsia="Arial" w:hAnsi="Arial" w:cs="Arial"/>
          <w:color w:val="000000" w:themeColor="text1"/>
          <w:sz w:val="22"/>
          <w:szCs w:val="22"/>
        </w:rPr>
        <w:t xml:space="preserve"> The purpose of this chapter is to provide a contextual foundation for the study by examining the historical, theoretical, international, and national dimensions of autism support services. A strong background review is essential </w:t>
      </w:r>
      <w:r w:rsidR="7EAA9D67" w:rsidRPr="20C9F860">
        <w:rPr>
          <w:rFonts w:ascii="Arial" w:eastAsia="Arial" w:hAnsi="Arial" w:cs="Arial"/>
          <w:color w:val="000000" w:themeColor="text1"/>
          <w:sz w:val="22"/>
          <w:szCs w:val="22"/>
        </w:rPr>
        <w:t>to</w:t>
      </w:r>
      <w:r w:rsidR="020081FE" w:rsidRPr="20C9F860">
        <w:rPr>
          <w:rFonts w:ascii="Arial" w:eastAsia="Arial" w:hAnsi="Arial" w:cs="Arial"/>
          <w:color w:val="000000" w:themeColor="text1"/>
          <w:sz w:val="22"/>
          <w:szCs w:val="22"/>
        </w:rPr>
        <w:t xml:space="preserve"> situate the research within the broader field and to understand how contemporary barriers to accessing support for children under 12 in the UK have evolved. The chapter begins by outlining the historical development of autism as a diagnosis and the progression of support systems. It then considers key theoretical frameworks that inform current practice, followed by a review of international approaches to autism support. The discussion then narrows to the national and local UK context, highlighting policies and initiatives that have shaped service delivery. Together, these sections provide the foundation for analysing the barriers that parents face, while also demonstrating the significance of the research in relation to wider debates.</w:t>
      </w:r>
      <w:r w:rsidR="020081FE" w:rsidRPr="20C9F860">
        <w:rPr>
          <w:rFonts w:ascii="Arial" w:eastAsia="Arial" w:hAnsi="Arial" w:cs="Arial"/>
          <w:sz w:val="22"/>
          <w:szCs w:val="22"/>
        </w:rPr>
        <w:t xml:space="preserve"> </w:t>
      </w:r>
    </w:p>
    <w:p w14:paraId="1ADF7C27" w14:textId="0B21803A" w:rsidR="00BD2909" w:rsidRPr="00F44833" w:rsidRDefault="00BD2909" w:rsidP="20C9F860">
      <w:pPr>
        <w:pStyle w:val="paragraph"/>
        <w:spacing w:before="0" w:beforeAutospacing="0" w:after="0" w:afterAutospacing="0" w:line="360" w:lineRule="auto"/>
        <w:textAlignment w:val="baseline"/>
        <w:rPr>
          <w:rFonts w:ascii="Arial" w:eastAsia="Arial" w:hAnsi="Arial" w:cs="Arial"/>
          <w:sz w:val="22"/>
          <w:szCs w:val="22"/>
        </w:rPr>
      </w:pPr>
      <w:r w:rsidRPr="20C9F860">
        <w:rPr>
          <w:rStyle w:val="eop"/>
          <w:rFonts w:ascii="Arial" w:eastAsia="Arial" w:hAnsi="Arial" w:cs="Arial"/>
          <w:sz w:val="22"/>
          <w:szCs w:val="22"/>
        </w:rPr>
        <w:t> </w:t>
      </w:r>
    </w:p>
    <w:p w14:paraId="0AAAB744" w14:textId="0B6665BF" w:rsidR="00BD2909" w:rsidRPr="00F44833"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2.2 Historical Background </w:t>
      </w:r>
    </w:p>
    <w:p w14:paraId="24FCADB9" w14:textId="488D55F6" w:rsidR="00BD2909" w:rsidRPr="00F44833" w:rsidRDefault="00BD2909" w:rsidP="20C9F860">
      <w:pPr>
        <w:pStyle w:val="paragraph"/>
        <w:spacing w:before="240" w:beforeAutospacing="0" w:after="240" w:afterAutospacing="0" w:line="360" w:lineRule="auto"/>
        <w:textAlignment w:val="baseline"/>
        <w:rPr>
          <w:rFonts w:ascii="Arial" w:eastAsia="Arial" w:hAnsi="Arial" w:cs="Arial"/>
          <w:color w:val="000000" w:themeColor="text1"/>
          <w:sz w:val="22"/>
          <w:szCs w:val="22"/>
        </w:rPr>
      </w:pPr>
      <w:r w:rsidRPr="20C9F860">
        <w:rPr>
          <w:rStyle w:val="eop"/>
          <w:rFonts w:ascii="Arial" w:eastAsia="Arial" w:hAnsi="Arial" w:cs="Arial"/>
          <w:sz w:val="22"/>
          <w:szCs w:val="22"/>
        </w:rPr>
        <w:t> </w:t>
      </w:r>
      <w:r w:rsidR="7712085C" w:rsidRPr="20C9F860">
        <w:rPr>
          <w:rFonts w:ascii="Arial" w:eastAsia="Arial" w:hAnsi="Arial" w:cs="Arial"/>
          <w:color w:val="000000" w:themeColor="text1"/>
          <w:sz w:val="22"/>
          <w:szCs w:val="22"/>
        </w:rPr>
        <w:t xml:space="preserve"> Autism was first described in a clinical context by Leo Kanner in 1943, who characterised it as a profound developmental disorder marked by difficulties in social interaction and communication, alongside repetitive behaviours (Kanner, 1943). Around the same time, Hans Asperger in Vienna described a milder form of the condition later referred to as Asperger’s Syndrome (Wing, 1981). For much of the mid-20th century, autism was poorly understood and often misdiagnosed as childhood schizophrenia or behavioural disturbance (Volkmar and Klin, 2005). This limited understanding meant that many children did not receive targeted support and were often excluded from mainstream education.</w:t>
      </w:r>
    </w:p>
    <w:p w14:paraId="186BB105" w14:textId="2DED15D1" w:rsidR="00BD2909" w:rsidRPr="00F44833" w:rsidRDefault="7712085C"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The publication of successive editions of the </w:t>
      </w:r>
      <w:r w:rsidRPr="20C9F860">
        <w:rPr>
          <w:rFonts w:ascii="Arial" w:eastAsia="Arial" w:hAnsi="Arial" w:cs="Arial"/>
          <w:i/>
          <w:iCs/>
          <w:color w:val="000000" w:themeColor="text1"/>
        </w:rPr>
        <w:t>Diagnostic and Statistical Manual of Mental Disorders</w:t>
      </w:r>
      <w:r w:rsidRPr="20C9F860">
        <w:rPr>
          <w:rFonts w:ascii="Arial" w:eastAsia="Arial" w:hAnsi="Arial" w:cs="Arial"/>
          <w:color w:val="000000" w:themeColor="text1"/>
        </w:rPr>
        <w:t xml:space="preserve"> (DSM) and the International Classification of Diseases (ICD) gradually refined the diagnostic criteria for autism, recognising it as a spectrum condition (APA, 2013). These changes marked </w:t>
      </w:r>
      <w:r w:rsidR="0952F3EE" w:rsidRPr="20C9F860">
        <w:rPr>
          <w:rFonts w:ascii="Arial" w:eastAsia="Arial" w:hAnsi="Arial" w:cs="Arial"/>
          <w:color w:val="000000" w:themeColor="text1"/>
        </w:rPr>
        <w:t>a major step</w:t>
      </w:r>
      <w:r w:rsidRPr="20C9F860">
        <w:rPr>
          <w:rFonts w:ascii="Arial" w:eastAsia="Arial" w:hAnsi="Arial" w:cs="Arial"/>
          <w:color w:val="000000" w:themeColor="text1"/>
        </w:rPr>
        <w:t xml:space="preserve"> in broadening the concept of autism beyond narrow definitions and contributed to rising diagnosis rates worldwide (Russell et al., 2019).</w:t>
      </w:r>
    </w:p>
    <w:p w14:paraId="0911C924" w14:textId="118A09AF" w:rsidR="00BD2909" w:rsidRPr="00F44833" w:rsidRDefault="7712085C"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In the UK, early efforts to provide support for autistic children were </w:t>
      </w:r>
      <w:r w:rsidR="15CE45D6" w:rsidRPr="20C9F860">
        <w:rPr>
          <w:rFonts w:ascii="Arial" w:eastAsia="Arial" w:hAnsi="Arial" w:cs="Arial"/>
          <w:color w:val="000000" w:themeColor="text1"/>
        </w:rPr>
        <w:t>driven</w:t>
      </w:r>
      <w:r w:rsidRPr="20C9F860">
        <w:rPr>
          <w:rFonts w:ascii="Arial" w:eastAsia="Arial" w:hAnsi="Arial" w:cs="Arial"/>
          <w:color w:val="000000" w:themeColor="text1"/>
        </w:rPr>
        <w:t xml:space="preserve"> by voluntary organisations such as the National Autistic Society, founded in 1962, which campaigned for recognition and specialist provision (National Autistic Society, 2022). The passage of the Autism Act in 2009 represented a significant policy milestone, being the first piece of legislation in England dedicated to autism. It placed duties on local authorities and health services to improve planning and service delivery (Department of Health and Social Care, 2010). Subsequent strategies, including the 2014 statutory guidance and the 2021–2026 National Autism Strategy, have emphasised earlier identification and better support for children and families (DHSC, 2021).</w:t>
      </w:r>
    </w:p>
    <w:p w14:paraId="52457009" w14:textId="04776688" w:rsidR="00BD2909" w:rsidRPr="00F44833" w:rsidRDefault="7712085C" w:rsidP="20C9F860">
      <w:pPr>
        <w:pStyle w:val="paragraph"/>
        <w:spacing w:before="0" w:beforeAutospacing="0" w:after="0" w:afterAutospacing="0" w:line="360" w:lineRule="auto"/>
        <w:textAlignment w:val="baseline"/>
        <w:rPr>
          <w:rFonts w:ascii="Arial" w:eastAsia="Arial" w:hAnsi="Arial" w:cs="Arial"/>
          <w:color w:val="000000" w:themeColor="text1"/>
          <w:sz w:val="22"/>
          <w:szCs w:val="22"/>
        </w:rPr>
      </w:pPr>
      <w:r w:rsidRPr="20C9F860">
        <w:rPr>
          <w:rFonts w:ascii="Arial" w:eastAsia="Arial" w:hAnsi="Arial" w:cs="Arial"/>
          <w:color w:val="000000" w:themeColor="text1"/>
          <w:sz w:val="22"/>
          <w:szCs w:val="22"/>
        </w:rPr>
        <w:t>Despite these developments, historical inequities continue to shape current provision. Long waiting times for diagnostic assessments, inconsistent service delivery across regions, and limited follow-up support reflect enduring structural challenges (Crane et al., 2016). Understanding this historical evolution is crucial for analysing why present-day barriers persist and how they might be addressed.</w:t>
      </w:r>
    </w:p>
    <w:p w14:paraId="4D42201B" w14:textId="0721E3FD" w:rsidR="00BD2909" w:rsidRPr="00F44833" w:rsidRDefault="00BD2909" w:rsidP="20C9F860">
      <w:pPr>
        <w:pStyle w:val="paragraph"/>
        <w:spacing w:before="0" w:beforeAutospacing="0" w:after="0" w:afterAutospacing="0" w:line="360" w:lineRule="auto"/>
        <w:ind w:left="1440"/>
        <w:textAlignment w:val="baseline"/>
        <w:rPr>
          <w:rFonts w:ascii="Arial" w:eastAsia="Arial" w:hAnsi="Arial" w:cs="Arial"/>
          <w:sz w:val="22"/>
          <w:szCs w:val="22"/>
        </w:rPr>
      </w:pPr>
      <w:r w:rsidRPr="20C9F860">
        <w:rPr>
          <w:rStyle w:val="eop"/>
          <w:rFonts w:ascii="Arial" w:eastAsia="Arial" w:hAnsi="Arial" w:cs="Arial"/>
          <w:sz w:val="22"/>
          <w:szCs w:val="22"/>
        </w:rPr>
        <w:t>  </w:t>
      </w:r>
    </w:p>
    <w:p w14:paraId="7CD6820C" w14:textId="6D435FAF" w:rsidR="00BD2909" w:rsidRPr="00F44833"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2.3 Theoretical Background </w:t>
      </w:r>
    </w:p>
    <w:p w14:paraId="4C48092F" w14:textId="77777777" w:rsidR="00BD2909" w:rsidRPr="00F44833" w:rsidRDefault="00BD2909" w:rsidP="20C9F860">
      <w:pPr>
        <w:pStyle w:val="paragraph"/>
        <w:spacing w:before="0" w:beforeAutospacing="0" w:after="0" w:afterAutospacing="0" w:line="360" w:lineRule="auto"/>
        <w:textAlignment w:val="baseline"/>
        <w:rPr>
          <w:rFonts w:ascii="Arial" w:eastAsia="Arial" w:hAnsi="Arial" w:cs="Arial"/>
          <w:sz w:val="22"/>
          <w:szCs w:val="22"/>
        </w:rPr>
      </w:pPr>
      <w:r w:rsidRPr="20C9F860">
        <w:rPr>
          <w:rStyle w:val="eop"/>
          <w:rFonts w:ascii="Arial" w:eastAsia="Arial" w:hAnsi="Arial" w:cs="Arial"/>
          <w:sz w:val="22"/>
          <w:szCs w:val="22"/>
        </w:rPr>
        <w:t> </w:t>
      </w:r>
    </w:p>
    <w:p w14:paraId="271CBC45" w14:textId="61B3EDE4" w:rsidR="00BD2909" w:rsidRPr="00F44833" w:rsidRDefault="7A89690A"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The study of autism support services is underpinned by several theoretical frameworks that influence policy and practice.</w:t>
      </w:r>
    </w:p>
    <w:p w14:paraId="3E58FA28" w14:textId="26B482B1" w:rsidR="00BD2909" w:rsidRPr="00F44833" w:rsidRDefault="7A89690A"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One influential perspective is the </w:t>
      </w:r>
      <w:r w:rsidRPr="20C9F860">
        <w:rPr>
          <w:rFonts w:ascii="Arial" w:eastAsia="Arial" w:hAnsi="Arial" w:cs="Arial"/>
          <w:b/>
          <w:bCs/>
          <w:color w:val="000000" w:themeColor="text1"/>
        </w:rPr>
        <w:t>medical model of disability</w:t>
      </w:r>
      <w:r w:rsidRPr="20C9F860">
        <w:rPr>
          <w:rFonts w:ascii="Arial" w:eastAsia="Arial" w:hAnsi="Arial" w:cs="Arial"/>
          <w:color w:val="000000" w:themeColor="text1"/>
        </w:rPr>
        <w:t xml:space="preserve">, which views autism primarily as a disorder requiring diagnosis and treatment. This model has shaped clinical approaches, focusing on interventions to reduce symptoms or improve functioning (Oliver, 1990). While this perspective has enabled the development of evidence-based interventions such as Applied Behaviour Analysis (ABA) and speech and language therapy, it has been criticised for </w:t>
      </w:r>
      <w:r w:rsidR="58D785CC" w:rsidRPr="20C9F860">
        <w:rPr>
          <w:rFonts w:ascii="Arial" w:eastAsia="Arial" w:hAnsi="Arial" w:cs="Arial"/>
          <w:color w:val="000000" w:themeColor="text1"/>
        </w:rPr>
        <w:t>pathologizing</w:t>
      </w:r>
      <w:r w:rsidRPr="20C9F860">
        <w:rPr>
          <w:rFonts w:ascii="Arial" w:eastAsia="Arial" w:hAnsi="Arial" w:cs="Arial"/>
          <w:color w:val="000000" w:themeColor="text1"/>
        </w:rPr>
        <w:t xml:space="preserve"> autism and overlooking individual strengths (Milton, 2012).</w:t>
      </w:r>
    </w:p>
    <w:p w14:paraId="0A569C75" w14:textId="6ECDDC78" w:rsidR="00BD2909" w:rsidRPr="00F44833" w:rsidRDefault="7A89690A"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By contrast, the </w:t>
      </w:r>
      <w:r w:rsidRPr="20C9F860">
        <w:rPr>
          <w:rFonts w:ascii="Arial" w:eastAsia="Arial" w:hAnsi="Arial" w:cs="Arial"/>
          <w:b/>
          <w:bCs/>
          <w:color w:val="000000" w:themeColor="text1"/>
        </w:rPr>
        <w:t>social model of disability</w:t>
      </w:r>
      <w:r w:rsidRPr="20C9F860">
        <w:rPr>
          <w:rFonts w:ascii="Arial" w:eastAsia="Arial" w:hAnsi="Arial" w:cs="Arial"/>
          <w:color w:val="000000" w:themeColor="text1"/>
        </w:rPr>
        <w:t xml:space="preserve"> argues that disability arises not from an individual’s impairment but from societal barriers and lack of accommodations (Shakespeare, 2013). Applied to autism, this model highlights how inaccessible systems, negative attitudes, and rigid educational structures create disadvantage. The model has influenced inclusive education policies and parental advocacy for reasonable adjustments within schools (Norwich, 2014).</w:t>
      </w:r>
    </w:p>
    <w:p w14:paraId="64E4DD78" w14:textId="1EBC8112" w:rsidR="00BD2909" w:rsidRPr="00F44833" w:rsidRDefault="7A89690A"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More recently, the </w:t>
      </w:r>
      <w:r w:rsidRPr="20C9F860">
        <w:rPr>
          <w:rFonts w:ascii="Arial" w:eastAsia="Arial" w:hAnsi="Arial" w:cs="Arial"/>
          <w:b/>
          <w:bCs/>
          <w:color w:val="000000" w:themeColor="text1"/>
        </w:rPr>
        <w:t>neurodiversity paradigm</w:t>
      </w:r>
      <w:r w:rsidRPr="20C9F860">
        <w:rPr>
          <w:rFonts w:ascii="Arial" w:eastAsia="Arial" w:hAnsi="Arial" w:cs="Arial"/>
          <w:color w:val="000000" w:themeColor="text1"/>
        </w:rPr>
        <w:t xml:space="preserve"> has gained prominence. This approach views autism as a natural variation in human cognition, emphasising acceptance, strengths-based support, and the reduction of stigma (Singer, 2016). Advocates argue that neurodiversity offers a more empowering framework for understanding autism, although some critics note that it may underplay the challenges faced by individuals with high support needs (Jaarsma and Welin, 2012).</w:t>
      </w:r>
    </w:p>
    <w:p w14:paraId="14067CE3" w14:textId="08C3A0D1" w:rsidR="00BD2909" w:rsidRPr="00F44833" w:rsidRDefault="7A89690A"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Bronfenbrenner’s </w:t>
      </w:r>
      <w:r w:rsidRPr="20C9F860">
        <w:rPr>
          <w:rFonts w:ascii="Arial" w:eastAsia="Arial" w:hAnsi="Arial" w:cs="Arial"/>
          <w:b/>
          <w:bCs/>
          <w:color w:val="000000" w:themeColor="text1"/>
        </w:rPr>
        <w:t>ecological systems theory</w:t>
      </w:r>
      <w:r w:rsidRPr="20C9F860">
        <w:rPr>
          <w:rFonts w:ascii="Arial" w:eastAsia="Arial" w:hAnsi="Arial" w:cs="Arial"/>
          <w:color w:val="000000" w:themeColor="text1"/>
        </w:rPr>
        <w:t xml:space="preserve"> (1979) is also useful in understanding the context of autism support. This model suggests that a child’s development is influenced by multiple layers of interaction, from family and school to wider policy and cultural systems. Research applying this theory has shown that parental experiences of navigating autism services are shaped not only by healthcare systems but also by broader socioeconomic and cultural factors (Zuckerman et al., 2015).</w:t>
      </w:r>
    </w:p>
    <w:p w14:paraId="70E3FAB2" w14:textId="427B0BDE" w:rsidR="00BD2909" w:rsidRPr="00F44833" w:rsidRDefault="7A89690A" w:rsidP="20C9F860">
      <w:pPr>
        <w:spacing w:before="240" w:after="240"/>
        <w:textAlignment w:val="baseline"/>
        <w:rPr>
          <w:rStyle w:val="eop"/>
          <w:rFonts w:ascii="Arial" w:eastAsia="Arial" w:hAnsi="Arial" w:cs="Arial"/>
        </w:rPr>
      </w:pPr>
      <w:r w:rsidRPr="20C9F860">
        <w:rPr>
          <w:rFonts w:ascii="Arial" w:eastAsia="Arial" w:hAnsi="Arial" w:cs="Arial"/>
          <w:color w:val="000000" w:themeColor="text1"/>
        </w:rPr>
        <w:t>In practice, a combination of these frameworks influences UK autism support. For example, clinical guidelines such as NICE adopt a medical lens, while education policies reflect elements of the social model. Critically, however, there remains tension between deficit-based approaches and inclusive, strengths-based perspectives. This debate informs much of the current discussion about how services should evolve to better meet family needs.</w:t>
      </w:r>
      <w:r w:rsidRPr="20C9F860">
        <w:rPr>
          <w:rStyle w:val="eop"/>
          <w:rFonts w:ascii="Arial" w:eastAsia="Arial" w:hAnsi="Arial" w:cs="Arial"/>
        </w:rPr>
        <w:t xml:space="preserve"> </w:t>
      </w:r>
    </w:p>
    <w:p w14:paraId="1787DF7C" w14:textId="76DE09F3" w:rsidR="00BD2909" w:rsidRPr="00F44833" w:rsidRDefault="00BD2909" w:rsidP="20C9F860">
      <w:pPr>
        <w:pStyle w:val="paragraph"/>
        <w:spacing w:before="0" w:beforeAutospacing="0" w:after="0" w:afterAutospacing="0" w:line="360" w:lineRule="auto"/>
        <w:textAlignment w:val="baseline"/>
        <w:rPr>
          <w:rFonts w:ascii="Arial" w:eastAsia="Arial" w:hAnsi="Arial" w:cs="Arial"/>
          <w:sz w:val="22"/>
          <w:szCs w:val="22"/>
        </w:rPr>
      </w:pPr>
      <w:r w:rsidRPr="20C9F860">
        <w:rPr>
          <w:rStyle w:val="eop"/>
          <w:rFonts w:ascii="Arial" w:eastAsia="Arial" w:hAnsi="Arial" w:cs="Arial"/>
          <w:sz w:val="22"/>
          <w:szCs w:val="22"/>
        </w:rPr>
        <w:t> </w:t>
      </w:r>
    </w:p>
    <w:p w14:paraId="529565AC" w14:textId="6CA38D10" w:rsidR="00BD2909" w:rsidRPr="00F44833"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2.4 International Context </w:t>
      </w:r>
    </w:p>
    <w:p w14:paraId="78C19D56" w14:textId="738AEB87" w:rsidR="00BD2909" w:rsidRPr="00F44833" w:rsidRDefault="00BD2909" w:rsidP="20C9F860">
      <w:pPr>
        <w:pStyle w:val="paragraph"/>
        <w:spacing w:before="240" w:beforeAutospacing="0" w:after="240" w:afterAutospacing="0" w:line="360" w:lineRule="auto"/>
        <w:textAlignment w:val="baseline"/>
        <w:rPr>
          <w:rFonts w:ascii="Arial" w:eastAsia="Arial" w:hAnsi="Arial" w:cs="Arial"/>
          <w:color w:val="000000" w:themeColor="text1"/>
          <w:sz w:val="22"/>
          <w:szCs w:val="22"/>
        </w:rPr>
      </w:pPr>
      <w:r w:rsidRPr="20C9F860">
        <w:rPr>
          <w:rStyle w:val="eop"/>
          <w:rFonts w:ascii="Arial" w:eastAsia="Arial" w:hAnsi="Arial" w:cs="Arial"/>
          <w:sz w:val="22"/>
          <w:szCs w:val="22"/>
        </w:rPr>
        <w:t> </w:t>
      </w:r>
      <w:r w:rsidR="0FFE58D0" w:rsidRPr="20C9F860">
        <w:rPr>
          <w:rFonts w:ascii="Arial" w:eastAsia="Arial" w:hAnsi="Arial" w:cs="Arial"/>
          <w:color w:val="000000" w:themeColor="text1"/>
          <w:sz w:val="22"/>
          <w:szCs w:val="22"/>
        </w:rPr>
        <w:t xml:space="preserve"> Globally, approaches to autism support vary widely, reflecting differences in healthcare systems, cultural attitudes, and resources.</w:t>
      </w:r>
    </w:p>
    <w:p w14:paraId="3444264C" w14:textId="09D56E4C" w:rsidR="00BD2909" w:rsidRPr="00F44833" w:rsidRDefault="0FFE58D0"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In the </w:t>
      </w:r>
      <w:r w:rsidRPr="20C9F860">
        <w:rPr>
          <w:rFonts w:ascii="Arial" w:eastAsia="Arial" w:hAnsi="Arial" w:cs="Arial"/>
          <w:b/>
          <w:bCs/>
          <w:color w:val="000000" w:themeColor="text1"/>
        </w:rPr>
        <w:t>United States</w:t>
      </w:r>
      <w:r w:rsidRPr="20C9F860">
        <w:rPr>
          <w:rFonts w:ascii="Arial" w:eastAsia="Arial" w:hAnsi="Arial" w:cs="Arial"/>
          <w:color w:val="000000" w:themeColor="text1"/>
        </w:rPr>
        <w:t>, the Individuals with Disabilities Education Act (IDEA) mandates that children with autism are entitled to free and appropriate public education, with Individualised Education Programs (IEPs) outlining tailored support (U.S. Department of Education, 2019). While this framework has promoted inclusion, disparities remain in diagnosis and service access, particularly for minority and low-income families (Zuckerman et al., 2017).</w:t>
      </w:r>
    </w:p>
    <w:p w14:paraId="2C7C143D" w14:textId="29EE2274" w:rsidR="00BD2909" w:rsidRPr="00F44833" w:rsidRDefault="0FFE58D0" w:rsidP="20C9F860">
      <w:pPr>
        <w:spacing w:before="240" w:after="240"/>
        <w:textAlignment w:val="baseline"/>
        <w:rPr>
          <w:rFonts w:ascii="Arial" w:eastAsia="Arial" w:hAnsi="Arial" w:cs="Arial"/>
          <w:color w:val="000000" w:themeColor="text1"/>
        </w:rPr>
      </w:pPr>
      <w:r w:rsidRPr="20C9F860">
        <w:rPr>
          <w:rFonts w:ascii="Arial" w:eastAsia="Arial" w:hAnsi="Arial" w:cs="Arial"/>
          <w:b/>
          <w:bCs/>
          <w:color w:val="000000" w:themeColor="text1"/>
        </w:rPr>
        <w:t>Scandinavian countries</w:t>
      </w:r>
      <w:r w:rsidRPr="20C9F860">
        <w:rPr>
          <w:rFonts w:ascii="Arial" w:eastAsia="Arial" w:hAnsi="Arial" w:cs="Arial"/>
          <w:color w:val="000000" w:themeColor="text1"/>
        </w:rPr>
        <w:t xml:space="preserve"> are often cited as models of early intervention and inclusion. For instance, Sweden provides universal child health services that incorporate developmental screening, enabling earlier detection of autism and referral to specialised support (Gillberg, 2010). Similarly, Norway invests heavily in early intervention programmes and offers state-funded support for families (Bakken et al., 2019).</w:t>
      </w:r>
    </w:p>
    <w:p w14:paraId="0AD29314" w14:textId="3EB9B3D7" w:rsidR="00BD2909" w:rsidRPr="00F44833" w:rsidRDefault="0FFE58D0"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In </w:t>
      </w:r>
      <w:r w:rsidRPr="20C9F860">
        <w:rPr>
          <w:rFonts w:ascii="Arial" w:eastAsia="Arial" w:hAnsi="Arial" w:cs="Arial"/>
          <w:b/>
          <w:bCs/>
          <w:color w:val="000000" w:themeColor="text1"/>
        </w:rPr>
        <w:t>Australia</w:t>
      </w:r>
      <w:r w:rsidRPr="20C9F860">
        <w:rPr>
          <w:rFonts w:ascii="Arial" w:eastAsia="Arial" w:hAnsi="Arial" w:cs="Arial"/>
          <w:color w:val="000000" w:themeColor="text1"/>
        </w:rPr>
        <w:t>, the National Disability Insurance Scheme (NDIS) introduced in 2013 has transformed autism support by providing individualised funding packages for therapies and interventions (Bonyhady, 2019). However, critics argue that access is uneven and families in rural areas struggle to find qualified providers.</w:t>
      </w:r>
    </w:p>
    <w:p w14:paraId="3F9D6222" w14:textId="4944EE32" w:rsidR="00BD2909" w:rsidRPr="00F44833" w:rsidRDefault="0FFE58D0"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In contrast, many </w:t>
      </w:r>
      <w:r w:rsidRPr="20C9F860">
        <w:rPr>
          <w:rFonts w:ascii="Arial" w:eastAsia="Arial" w:hAnsi="Arial" w:cs="Arial"/>
          <w:b/>
          <w:bCs/>
          <w:color w:val="000000" w:themeColor="text1"/>
        </w:rPr>
        <w:t>developing countries</w:t>
      </w:r>
      <w:r w:rsidRPr="20C9F860">
        <w:rPr>
          <w:rFonts w:ascii="Arial" w:eastAsia="Arial" w:hAnsi="Arial" w:cs="Arial"/>
          <w:color w:val="000000" w:themeColor="text1"/>
        </w:rPr>
        <w:t xml:space="preserve"> face significant challenges in providing autism support. Limited awareness, stigma, and lack of trained professionals mean that children are often undiagnosed or excluded from education (WHO, 2013). For example, in parts of sub-Saharan Africa, families may rely on informal networks or non-governmental organisations due to the absence of state provision (Franz et al., 2017).</w:t>
      </w:r>
    </w:p>
    <w:p w14:paraId="4DBED637" w14:textId="5B62522C" w:rsidR="00BD2909" w:rsidRPr="00F44833" w:rsidRDefault="0FFE58D0" w:rsidP="20C9F860">
      <w:pPr>
        <w:spacing w:before="240" w:after="240"/>
        <w:textAlignment w:val="baseline"/>
        <w:rPr>
          <w:rStyle w:val="eop"/>
          <w:rFonts w:ascii="Arial" w:eastAsia="Arial" w:hAnsi="Arial" w:cs="Arial"/>
        </w:rPr>
      </w:pPr>
      <w:r w:rsidRPr="20C9F860">
        <w:rPr>
          <w:rFonts w:ascii="Arial" w:eastAsia="Arial" w:hAnsi="Arial" w:cs="Arial"/>
          <w:color w:val="000000" w:themeColor="text1"/>
        </w:rPr>
        <w:t>These international examples highlight that while progress has been made globally, barriers to access are not unique to the UK. Lessons from other contexts, particularly in early intervention and inclusive education, may inform future improvements in UK practice.</w:t>
      </w:r>
      <w:r w:rsidRPr="20C9F860">
        <w:rPr>
          <w:rStyle w:val="eop"/>
          <w:rFonts w:ascii="Arial" w:eastAsia="Arial" w:hAnsi="Arial" w:cs="Arial"/>
        </w:rPr>
        <w:t xml:space="preserve"> </w:t>
      </w:r>
    </w:p>
    <w:p w14:paraId="051FCDF2" w14:textId="60DDA953" w:rsidR="00BD2909" w:rsidRPr="00F44833" w:rsidRDefault="00BD2909" w:rsidP="20C9F860">
      <w:pPr>
        <w:pStyle w:val="paragraph"/>
        <w:spacing w:before="0" w:beforeAutospacing="0" w:after="0" w:afterAutospacing="0" w:line="360" w:lineRule="auto"/>
        <w:textAlignment w:val="baseline"/>
        <w:rPr>
          <w:rFonts w:ascii="Arial" w:eastAsia="Arial" w:hAnsi="Arial" w:cs="Arial"/>
          <w:sz w:val="22"/>
          <w:szCs w:val="22"/>
        </w:rPr>
      </w:pPr>
      <w:r w:rsidRPr="20C9F860">
        <w:rPr>
          <w:rStyle w:val="eop"/>
          <w:rFonts w:ascii="Arial" w:eastAsia="Arial" w:hAnsi="Arial" w:cs="Arial"/>
          <w:sz w:val="22"/>
          <w:szCs w:val="22"/>
        </w:rPr>
        <w:t> </w:t>
      </w:r>
    </w:p>
    <w:p w14:paraId="302C6B72" w14:textId="77777777" w:rsidR="00BD2909" w:rsidRPr="00F44833" w:rsidRDefault="00BD2909" w:rsidP="20C9F860">
      <w:pPr>
        <w:pStyle w:val="paragraph"/>
        <w:spacing w:before="0" w:beforeAutospacing="0" w:after="0" w:afterAutospacing="0" w:line="360" w:lineRule="auto"/>
        <w:ind w:left="1080"/>
        <w:textAlignment w:val="baseline"/>
        <w:rPr>
          <w:rFonts w:ascii="Arial" w:eastAsia="Arial" w:hAnsi="Arial" w:cs="Arial"/>
          <w:sz w:val="22"/>
          <w:szCs w:val="22"/>
        </w:rPr>
      </w:pPr>
      <w:r w:rsidRPr="20C9F860">
        <w:rPr>
          <w:rStyle w:val="eop"/>
          <w:rFonts w:ascii="Arial" w:eastAsia="Arial" w:hAnsi="Arial" w:cs="Arial"/>
          <w:sz w:val="22"/>
          <w:szCs w:val="22"/>
        </w:rPr>
        <w:t> </w:t>
      </w:r>
    </w:p>
    <w:p w14:paraId="0481D647" w14:textId="7ACB8D1C" w:rsidR="00BD2909" w:rsidRDefault="00BD2909" w:rsidP="20C9F860">
      <w:pPr>
        <w:pStyle w:val="paragraph"/>
        <w:spacing w:before="0" w:beforeAutospacing="0" w:after="0" w:afterAutospacing="0" w:line="360" w:lineRule="auto"/>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2.5 National/Local UK Context </w:t>
      </w:r>
    </w:p>
    <w:p w14:paraId="586C962F" w14:textId="7D04951F" w:rsidR="00BD2909" w:rsidRPr="00F44833" w:rsidRDefault="00BD2909" w:rsidP="20C9F860">
      <w:pPr>
        <w:pStyle w:val="paragraph"/>
        <w:spacing w:before="240" w:beforeAutospacing="0" w:after="240" w:afterAutospacing="0" w:line="360" w:lineRule="auto"/>
        <w:textAlignment w:val="baseline"/>
        <w:rPr>
          <w:rFonts w:ascii="Arial" w:eastAsia="Arial" w:hAnsi="Arial" w:cs="Arial"/>
          <w:color w:val="000000" w:themeColor="text1"/>
          <w:sz w:val="22"/>
          <w:szCs w:val="22"/>
        </w:rPr>
      </w:pPr>
      <w:r w:rsidRPr="20C9F860">
        <w:rPr>
          <w:rStyle w:val="eop"/>
          <w:rFonts w:ascii="Arial" w:eastAsia="Arial" w:hAnsi="Arial" w:cs="Arial"/>
          <w:sz w:val="22"/>
          <w:szCs w:val="22"/>
        </w:rPr>
        <w:t> </w:t>
      </w:r>
      <w:r w:rsidR="762610D8" w:rsidRPr="20C9F860">
        <w:rPr>
          <w:rFonts w:ascii="Arial" w:eastAsia="Arial" w:hAnsi="Arial" w:cs="Arial"/>
          <w:color w:val="000000" w:themeColor="text1"/>
          <w:sz w:val="22"/>
          <w:szCs w:val="22"/>
        </w:rPr>
        <w:t xml:space="preserve"> In the UK, autism support for children is shaped by a complex mix of health, education, and social care systems. At the national level, the </w:t>
      </w:r>
      <w:r w:rsidR="762610D8" w:rsidRPr="20C9F860">
        <w:rPr>
          <w:rFonts w:ascii="Arial" w:eastAsia="Arial" w:hAnsi="Arial" w:cs="Arial"/>
          <w:b/>
          <w:bCs/>
          <w:color w:val="000000" w:themeColor="text1"/>
          <w:sz w:val="22"/>
          <w:szCs w:val="22"/>
        </w:rPr>
        <w:t>Autism Act 2009</w:t>
      </w:r>
      <w:r w:rsidR="762610D8" w:rsidRPr="20C9F860">
        <w:rPr>
          <w:rFonts w:ascii="Arial" w:eastAsia="Arial" w:hAnsi="Arial" w:cs="Arial"/>
          <w:color w:val="000000" w:themeColor="text1"/>
          <w:sz w:val="22"/>
          <w:szCs w:val="22"/>
        </w:rPr>
        <w:t xml:space="preserve"> and subsequent national strategies set out commitments to improving diagnosis, service provision, and awareness. The </w:t>
      </w:r>
      <w:r w:rsidR="762610D8" w:rsidRPr="20C9F860">
        <w:rPr>
          <w:rFonts w:ascii="Arial" w:eastAsia="Arial" w:hAnsi="Arial" w:cs="Arial"/>
          <w:b/>
          <w:bCs/>
          <w:color w:val="000000" w:themeColor="text1"/>
          <w:sz w:val="22"/>
          <w:szCs w:val="22"/>
        </w:rPr>
        <w:t>NHS Long Term Plan (2019)</w:t>
      </w:r>
      <w:r w:rsidR="762610D8" w:rsidRPr="20C9F860">
        <w:rPr>
          <w:rFonts w:ascii="Arial" w:eastAsia="Arial" w:hAnsi="Arial" w:cs="Arial"/>
          <w:color w:val="000000" w:themeColor="text1"/>
          <w:sz w:val="22"/>
          <w:szCs w:val="22"/>
        </w:rPr>
        <w:t xml:space="preserve"> further emphasises reducing waiting times and expanding community-based support (NHS England, 2019).</w:t>
      </w:r>
    </w:p>
    <w:p w14:paraId="193556DC" w14:textId="50577D70" w:rsidR="00BD2909" w:rsidRPr="00F44833" w:rsidRDefault="762610D8"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Education policy plays a crucial role, with the </w:t>
      </w:r>
      <w:r w:rsidRPr="20C9F860">
        <w:rPr>
          <w:rFonts w:ascii="Arial" w:eastAsia="Arial" w:hAnsi="Arial" w:cs="Arial"/>
          <w:b/>
          <w:bCs/>
          <w:color w:val="000000" w:themeColor="text1"/>
        </w:rPr>
        <w:t>Special Educational Needs and Disability (SEND) Code of Practice (2015)</w:t>
      </w:r>
      <w:r w:rsidRPr="20C9F860">
        <w:rPr>
          <w:rFonts w:ascii="Arial" w:eastAsia="Arial" w:hAnsi="Arial" w:cs="Arial"/>
          <w:color w:val="000000" w:themeColor="text1"/>
        </w:rPr>
        <w:t xml:space="preserve"> providing statutory guidance on how schools should identify and support children with autism. The introduction of </w:t>
      </w:r>
      <w:r w:rsidRPr="20C9F860">
        <w:rPr>
          <w:rFonts w:ascii="Arial" w:eastAsia="Arial" w:hAnsi="Arial" w:cs="Arial"/>
          <w:b/>
          <w:bCs/>
          <w:color w:val="000000" w:themeColor="text1"/>
        </w:rPr>
        <w:t>Education, Health and Care Plans (EHCPs)</w:t>
      </w:r>
      <w:r w:rsidRPr="20C9F860">
        <w:rPr>
          <w:rFonts w:ascii="Arial" w:eastAsia="Arial" w:hAnsi="Arial" w:cs="Arial"/>
          <w:color w:val="000000" w:themeColor="text1"/>
        </w:rPr>
        <w:t xml:space="preserve"> aimed to provide more coordinated support across services. However, research shows that parents often find the process of securing an EHCP lengthy and stressful, with significant regional variation in provision (Adams et al., 2017).</w:t>
      </w:r>
    </w:p>
    <w:p w14:paraId="3710DAF0" w14:textId="5239CB0E" w:rsidR="00BD2909" w:rsidRPr="00F44833" w:rsidRDefault="762610D8"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Local authorities have responsibility for commissioning services, leading to inconsistencies across regions. Some councils have developed innovative initiatives, such as specialist autism outreach teams in schools, while others struggle due to budget constraints (House of Commons Education Committee, 2019). The National Autistic Society (2022) has highlighted “postcode lotteries” in service availability, with families in certain areas waiting years for diagnostic assessments.</w:t>
      </w:r>
    </w:p>
    <w:p w14:paraId="2E8D3915" w14:textId="21617848" w:rsidR="00BD2909" w:rsidRPr="00F44833" w:rsidRDefault="762610D8"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Cultural factors also play a role in shaping access to services. Families from minority ethnic backgrounds report difficulties due to language barriers, stigma, or lack of culturally appropriate information (Crane et al., 2016). In addition, socioeconomic status can influence access, with more affluent families often better able to navigate complex systems and secure private assessments when public services are delayed (Emerson et al., 2021).</w:t>
      </w:r>
    </w:p>
    <w:p w14:paraId="27ACF0BE" w14:textId="00B6E4C0" w:rsidR="00BD2909" w:rsidRPr="00F44833" w:rsidRDefault="762610D8"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The UK context demonstrates both progress and persistent challenges. While policies and legislation provide a framework for support, implementation on the ground remains uneven, leaving many families struggling to obtain timely and effective help.</w:t>
      </w:r>
    </w:p>
    <w:p w14:paraId="5827529B" w14:textId="58B828CB" w:rsidR="00BD2909" w:rsidRPr="00F44833" w:rsidRDefault="00BD2909" w:rsidP="20C9F860">
      <w:pPr>
        <w:pStyle w:val="paragraph"/>
        <w:spacing w:before="0" w:beforeAutospacing="0" w:after="0" w:afterAutospacing="0" w:line="360" w:lineRule="auto"/>
        <w:textAlignment w:val="baseline"/>
        <w:rPr>
          <w:rStyle w:val="eop"/>
          <w:rFonts w:ascii="Arial" w:eastAsia="Arial" w:hAnsi="Arial" w:cs="Arial"/>
          <w:sz w:val="22"/>
          <w:szCs w:val="22"/>
        </w:rPr>
      </w:pPr>
    </w:p>
    <w:p w14:paraId="09099AFE" w14:textId="77777777" w:rsidR="00BD2909" w:rsidRPr="00F44833" w:rsidRDefault="00BD2909" w:rsidP="20C9F860">
      <w:pPr>
        <w:pStyle w:val="paragraph"/>
        <w:spacing w:before="0" w:beforeAutospacing="0" w:after="0" w:afterAutospacing="0" w:line="360" w:lineRule="auto"/>
        <w:ind w:left="1080"/>
        <w:textAlignment w:val="baseline"/>
        <w:rPr>
          <w:rFonts w:ascii="Arial" w:eastAsia="Arial" w:hAnsi="Arial" w:cs="Arial"/>
          <w:sz w:val="22"/>
          <w:szCs w:val="22"/>
        </w:rPr>
      </w:pPr>
      <w:r w:rsidRPr="20C9F860">
        <w:rPr>
          <w:rStyle w:val="eop"/>
          <w:rFonts w:ascii="Arial" w:eastAsia="Arial" w:hAnsi="Arial" w:cs="Arial"/>
          <w:sz w:val="22"/>
          <w:szCs w:val="22"/>
        </w:rPr>
        <w:t> </w:t>
      </w:r>
    </w:p>
    <w:p w14:paraId="508BC363" w14:textId="53E3793C" w:rsidR="00BD2909" w:rsidRPr="00F44833" w:rsidRDefault="00BD2909" w:rsidP="20C9F860">
      <w:pPr>
        <w:pStyle w:val="paragraph"/>
        <w:spacing w:before="0" w:beforeAutospacing="0" w:after="0" w:afterAutospacing="0" w:line="360" w:lineRule="auto"/>
        <w:textAlignment w:val="baseline"/>
        <w:rPr>
          <w:rStyle w:val="eop"/>
          <w:rFonts w:ascii="Arial" w:eastAsia="Arial" w:hAnsi="Arial" w:cs="Arial"/>
          <w:color w:val="0F4761"/>
          <w:sz w:val="22"/>
          <w:szCs w:val="22"/>
        </w:rPr>
      </w:pPr>
      <w:r w:rsidRPr="20C9F860">
        <w:rPr>
          <w:rStyle w:val="normaltextrun"/>
          <w:rFonts w:ascii="Arial" w:eastAsia="Arial" w:hAnsi="Arial" w:cs="Arial"/>
          <w:color w:val="0F4761"/>
          <w:sz w:val="22"/>
          <w:szCs w:val="22"/>
        </w:rPr>
        <w:t xml:space="preserve">2.6 Conclusion </w:t>
      </w:r>
    </w:p>
    <w:p w14:paraId="73F66FD0" w14:textId="292899E0" w:rsidR="00BD2909" w:rsidRPr="00F44833" w:rsidRDefault="00BD2909" w:rsidP="20C9F860">
      <w:pPr>
        <w:pStyle w:val="paragraph"/>
        <w:spacing w:before="240" w:beforeAutospacing="0" w:after="240" w:afterAutospacing="0" w:line="360" w:lineRule="auto"/>
        <w:textAlignment w:val="baseline"/>
        <w:rPr>
          <w:rFonts w:ascii="Arial" w:eastAsia="Arial" w:hAnsi="Arial" w:cs="Arial"/>
          <w:color w:val="000000" w:themeColor="text1"/>
          <w:sz w:val="22"/>
          <w:szCs w:val="22"/>
        </w:rPr>
      </w:pPr>
      <w:r w:rsidRPr="20C9F860">
        <w:rPr>
          <w:rStyle w:val="eop"/>
          <w:rFonts w:ascii="Arial" w:eastAsia="Arial" w:hAnsi="Arial" w:cs="Arial"/>
          <w:sz w:val="22"/>
          <w:szCs w:val="22"/>
        </w:rPr>
        <w:t> </w:t>
      </w:r>
      <w:r w:rsidR="7513581A" w:rsidRPr="20C9F860">
        <w:rPr>
          <w:rFonts w:ascii="Arial" w:eastAsia="Arial" w:hAnsi="Arial" w:cs="Arial"/>
          <w:color w:val="000000" w:themeColor="text1"/>
          <w:sz w:val="22"/>
          <w:szCs w:val="22"/>
        </w:rPr>
        <w:t xml:space="preserve"> This chapter has outlined the historical, theoretical, international, and national contexts of autism support. Historically, autism has shifted from being poorly understood to a recognised spectrum condition, with legislation such as the Autism Act 2009 marking policy progress. Theoretically, the interplay between medical, social, and neurodiversity frameworks continues to influence how autism is understood and how services are delivered. Internationally, there are lessons to be learned from countries that prioritise early intervention and individualised funding, while also recognising that many nations face severe resource limitations. Within the UK, national strategies and policies exist but are inconsistently applied, leading to significant barriers for parents seeking support.</w:t>
      </w:r>
    </w:p>
    <w:p w14:paraId="657D9D25" w14:textId="3B61029C" w:rsidR="00BD2909" w:rsidRPr="00F44833" w:rsidRDefault="7513581A" w:rsidP="20C9F860">
      <w:pPr>
        <w:spacing w:before="240" w:after="240"/>
        <w:textAlignment w:val="baseline"/>
        <w:rPr>
          <w:rFonts w:ascii="Arial" w:eastAsia="Arial" w:hAnsi="Arial" w:cs="Arial"/>
          <w:color w:val="000000" w:themeColor="text1"/>
        </w:rPr>
      </w:pPr>
      <w:r w:rsidRPr="20C9F860">
        <w:rPr>
          <w:rFonts w:ascii="Arial" w:eastAsia="Arial" w:hAnsi="Arial" w:cs="Arial"/>
          <w:color w:val="000000" w:themeColor="text1"/>
        </w:rPr>
        <w:t xml:space="preserve">The insights gained from this chapter provide the foundation for the next stage of the </w:t>
      </w:r>
      <w:r w:rsidR="3EE66E36" w:rsidRPr="20C9F860">
        <w:rPr>
          <w:rFonts w:ascii="Arial" w:eastAsia="Arial" w:hAnsi="Arial" w:cs="Arial"/>
          <w:color w:val="000000" w:themeColor="text1"/>
        </w:rPr>
        <w:t>research:</w:t>
      </w:r>
      <w:r w:rsidRPr="20C9F860">
        <w:rPr>
          <w:rFonts w:ascii="Arial" w:eastAsia="Arial" w:hAnsi="Arial" w:cs="Arial"/>
          <w:color w:val="000000" w:themeColor="text1"/>
        </w:rPr>
        <w:t xml:space="preserve"> the methodology. By situating the study within its broader historical and policy context, the research is better positioned to explore the barriers families face in accessing autism support, and to identify potential areas for reform.</w:t>
      </w:r>
    </w:p>
    <w:p w14:paraId="1CD397E1" w14:textId="7010DCBA" w:rsidR="00BD2909" w:rsidRPr="00F44833" w:rsidRDefault="00BD2909" w:rsidP="20C9F860">
      <w:pPr>
        <w:pStyle w:val="paragraph"/>
        <w:spacing w:before="0" w:beforeAutospacing="0" w:after="0" w:afterAutospacing="0" w:line="360" w:lineRule="auto"/>
        <w:textAlignment w:val="baseline"/>
        <w:rPr>
          <w:rStyle w:val="eop"/>
          <w:rFonts w:ascii="Arial" w:eastAsia="Arial" w:hAnsi="Arial" w:cs="Arial"/>
          <w:sz w:val="22"/>
          <w:szCs w:val="22"/>
        </w:rPr>
      </w:pPr>
    </w:p>
    <w:p w14:paraId="466B0331" w14:textId="77777777" w:rsidR="000D0641" w:rsidRPr="00FF56FB" w:rsidRDefault="000D0641" w:rsidP="20C9F860">
      <w:pPr>
        <w:rPr>
          <w:rFonts w:ascii="Arial" w:eastAsia="Arial" w:hAnsi="Arial" w:cs="Arial"/>
        </w:rPr>
      </w:pPr>
    </w:p>
    <w:p w14:paraId="5DDAF423" w14:textId="77777777" w:rsidR="000D0641" w:rsidRDefault="000D0641" w:rsidP="20C9F860">
      <w:pPr>
        <w:rPr>
          <w:rFonts w:ascii="Arial" w:eastAsia="Arial" w:hAnsi="Arial" w:cs="Arial"/>
        </w:rPr>
      </w:pPr>
    </w:p>
    <w:p w14:paraId="0775F236" w14:textId="77777777" w:rsidR="00292A36" w:rsidRDefault="00292A36" w:rsidP="20C9F860">
      <w:pPr>
        <w:rPr>
          <w:rFonts w:ascii="Arial" w:eastAsia="Arial" w:hAnsi="Arial" w:cs="Arial"/>
        </w:rPr>
      </w:pPr>
    </w:p>
    <w:p w14:paraId="360ADA1A" w14:textId="77777777" w:rsidR="00292A36" w:rsidRDefault="00292A36" w:rsidP="20C9F860">
      <w:pPr>
        <w:rPr>
          <w:rFonts w:ascii="Arial" w:eastAsia="Arial" w:hAnsi="Arial" w:cs="Arial"/>
        </w:rPr>
      </w:pPr>
    </w:p>
    <w:p w14:paraId="4E2D256A" w14:textId="77777777" w:rsidR="00880B2D" w:rsidRDefault="00880B2D" w:rsidP="20C9F860">
      <w:pPr>
        <w:rPr>
          <w:rFonts w:ascii="Arial" w:eastAsia="Arial" w:hAnsi="Arial" w:cs="Arial"/>
        </w:rPr>
      </w:pPr>
    </w:p>
    <w:p w14:paraId="0A075791" w14:textId="77777777" w:rsidR="00880B2D" w:rsidRDefault="00880B2D" w:rsidP="20C9F860">
      <w:pPr>
        <w:rPr>
          <w:rFonts w:ascii="Arial" w:eastAsia="Arial" w:hAnsi="Arial" w:cs="Arial"/>
        </w:rPr>
      </w:pPr>
    </w:p>
    <w:p w14:paraId="407ABDAE" w14:textId="4F32BB8B" w:rsidR="00880B2D" w:rsidRDefault="00880B2D" w:rsidP="20C9F860">
      <w:pPr>
        <w:rPr>
          <w:rFonts w:ascii="Arial" w:eastAsia="Arial" w:hAnsi="Arial" w:cs="Arial"/>
        </w:rPr>
        <w:sectPr w:rsidR="00880B2D">
          <w:footerReference w:type="default" r:id="rId12"/>
          <w:pgSz w:w="11906" w:h="16838"/>
          <w:pgMar w:top="1440" w:right="1440" w:bottom="1440" w:left="1440" w:header="708" w:footer="708" w:gutter="0"/>
          <w:cols w:space="708"/>
          <w:docGrid w:linePitch="360"/>
        </w:sectPr>
      </w:pPr>
    </w:p>
    <w:p w14:paraId="398427E3" w14:textId="71A03464" w:rsidR="00292A36" w:rsidRPr="00292A36" w:rsidRDefault="00292A36" w:rsidP="20C9F860">
      <w:pPr>
        <w:rPr>
          <w:rFonts w:ascii="Arial" w:eastAsia="Arial" w:hAnsi="Arial" w:cs="Arial"/>
          <w:b/>
          <w:bCs/>
          <w:sz w:val="32"/>
          <w:szCs w:val="32"/>
        </w:rPr>
      </w:pPr>
      <w:r w:rsidRPr="20C9F860">
        <w:rPr>
          <w:rFonts w:ascii="Arial" w:eastAsia="Arial" w:hAnsi="Arial" w:cs="Arial"/>
          <w:b/>
          <w:bCs/>
          <w:sz w:val="32"/>
          <w:szCs w:val="32"/>
        </w:rPr>
        <w:t xml:space="preserve">CHAPTER 3 – </w:t>
      </w:r>
      <w:r w:rsidR="00E325CF" w:rsidRPr="20C9F860">
        <w:rPr>
          <w:rFonts w:ascii="Arial" w:eastAsia="Arial" w:hAnsi="Arial" w:cs="Arial"/>
          <w:b/>
          <w:bCs/>
          <w:sz w:val="32"/>
          <w:szCs w:val="32"/>
        </w:rPr>
        <w:t>Methods and Search Strategy</w:t>
      </w:r>
    </w:p>
    <w:p w14:paraId="5A7AB555" w14:textId="1DBEC4DF" w:rsidR="003A66FD" w:rsidRDefault="00292A36" w:rsidP="20C9F860">
      <w:pPr>
        <w:pStyle w:val="Heading2"/>
      </w:pPr>
      <w:r>
        <w:t>3.</w:t>
      </w:r>
      <w:r w:rsidR="005D7A1E">
        <w:t>1</w:t>
      </w:r>
      <w:r>
        <w:t xml:space="preserve"> –</w:t>
      </w:r>
      <w:r w:rsidR="0021364B">
        <w:t xml:space="preserve"> </w:t>
      </w:r>
      <w:r>
        <w:t>Introduction</w:t>
      </w:r>
    </w:p>
    <w:p w14:paraId="61547BBD" w14:textId="21AC40D1" w:rsidR="10128FEA" w:rsidRDefault="10128FE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This chapter outlines the methodological approach used in conducting this dissertation. The research is based on secondary, desk-based methods, drawing upon existing academic literature, policy documents, and professional guidelines. As no primary data collection was undertaken, the approach focused on reviewing and synthesising credible sources to explore the barriers parents face in accessing autism support services for children under 12 in the UK.</w:t>
      </w:r>
    </w:p>
    <w:p w14:paraId="71D148FB" w14:textId="6C6711C6" w:rsidR="10128FEA" w:rsidRDefault="10128FE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 academic methodology poster previously provided a visual overview of this approach. However, this chapter expands upon each component, including the search strategy, validation of sources, inclusion and exclusion criteria, and thematic coding process. Establishing a clear methodological framework ensures transparency and reliability, allowing the reader to understand how evidence was gathered and interpreted. Importantly, the methods used in this chapter underpin the thematic findings presented in Chapter 4, forming the bridge between the research aim and the discussion of results.</w:t>
      </w:r>
    </w:p>
    <w:p w14:paraId="6A601ABB" w14:textId="6C7A42D5" w:rsidR="090184E5" w:rsidRDefault="090184E5" w:rsidP="20C9F860"/>
    <w:p w14:paraId="644CE1D2" w14:textId="1459195E" w:rsidR="009E5B14" w:rsidRDefault="00292A36" w:rsidP="20C9F860">
      <w:pPr>
        <w:pStyle w:val="Heading2"/>
      </w:pPr>
      <w:r>
        <w:t>3.</w:t>
      </w:r>
      <w:r w:rsidR="00E40B0D">
        <w:t>2</w:t>
      </w:r>
      <w:r>
        <w:t xml:space="preserve"> – Search Strategy </w:t>
      </w:r>
    </w:p>
    <w:p w14:paraId="4BEC9B64" w14:textId="1E3059F9" w:rsidR="00B575E2" w:rsidRPr="00B575E2" w:rsidRDefault="35CA0250"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A structured search strategy was developed to identify high-quality and relevant sources. Keywords were drawn directly from the research question, including terms such as </w:t>
      </w:r>
      <w:r w:rsidRPr="20C9F860">
        <w:rPr>
          <w:rFonts w:ascii="Arial" w:eastAsia="Arial" w:hAnsi="Arial" w:cs="Arial"/>
          <w:i/>
          <w:iCs/>
          <w:color w:val="000000" w:themeColor="text1"/>
          <w:sz w:val="24"/>
          <w:szCs w:val="24"/>
        </w:rPr>
        <w:t>“autism support services,”</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“barriers,”</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“parents,”</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“children under 12,”</w:t>
      </w:r>
      <w:r w:rsidRPr="20C9F860">
        <w:rPr>
          <w:rFonts w:ascii="Arial" w:eastAsia="Arial" w:hAnsi="Arial" w:cs="Arial"/>
          <w:color w:val="000000" w:themeColor="text1"/>
          <w:sz w:val="24"/>
          <w:szCs w:val="24"/>
        </w:rPr>
        <w:t xml:space="preserve"> and </w:t>
      </w:r>
      <w:r w:rsidRPr="20C9F860">
        <w:rPr>
          <w:rFonts w:ascii="Arial" w:eastAsia="Arial" w:hAnsi="Arial" w:cs="Arial"/>
          <w:i/>
          <w:iCs/>
          <w:color w:val="000000" w:themeColor="text1"/>
          <w:sz w:val="24"/>
          <w:szCs w:val="24"/>
        </w:rPr>
        <w:t>“UK.”</w:t>
      </w:r>
      <w:r w:rsidRPr="20C9F860">
        <w:rPr>
          <w:rFonts w:ascii="Arial" w:eastAsia="Arial" w:hAnsi="Arial" w:cs="Arial"/>
          <w:color w:val="000000" w:themeColor="text1"/>
          <w:sz w:val="24"/>
          <w:szCs w:val="24"/>
        </w:rPr>
        <w:t xml:space="preserve"> Synonyms and related terms were also considered, such as </w:t>
      </w:r>
      <w:r w:rsidRPr="20C9F860">
        <w:rPr>
          <w:rFonts w:ascii="Arial" w:eastAsia="Arial" w:hAnsi="Arial" w:cs="Arial"/>
          <w:i/>
          <w:iCs/>
          <w:color w:val="000000" w:themeColor="text1"/>
          <w:sz w:val="24"/>
          <w:szCs w:val="24"/>
        </w:rPr>
        <w:t>“autism spectrum disorder (ASD),”</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“access to services,”</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“diagnostic pathways,”</w:t>
      </w:r>
      <w:r w:rsidRPr="20C9F860">
        <w:rPr>
          <w:rFonts w:ascii="Arial" w:eastAsia="Arial" w:hAnsi="Arial" w:cs="Arial"/>
          <w:color w:val="000000" w:themeColor="text1"/>
          <w:sz w:val="24"/>
          <w:szCs w:val="24"/>
        </w:rPr>
        <w:t xml:space="preserve"> and </w:t>
      </w:r>
      <w:r w:rsidRPr="20C9F860">
        <w:rPr>
          <w:rFonts w:ascii="Arial" w:eastAsia="Arial" w:hAnsi="Arial" w:cs="Arial"/>
          <w:i/>
          <w:iCs/>
          <w:color w:val="000000" w:themeColor="text1"/>
          <w:sz w:val="24"/>
          <w:szCs w:val="24"/>
        </w:rPr>
        <w:t>“health inequalities.”</w:t>
      </w:r>
    </w:p>
    <w:p w14:paraId="6C4FEA22" w14:textId="12704707" w:rsidR="00B575E2" w:rsidRPr="00B575E2" w:rsidRDefault="35CA0250"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Boolean operators (AND, OR, NOT) were used to combine these terms and refine results. For example, searches such as </w:t>
      </w:r>
      <w:r w:rsidRPr="20C9F860">
        <w:rPr>
          <w:rFonts w:ascii="Arial" w:eastAsia="Arial" w:hAnsi="Arial" w:cs="Arial"/>
          <w:i/>
          <w:iCs/>
          <w:color w:val="000000" w:themeColor="text1"/>
          <w:sz w:val="24"/>
          <w:szCs w:val="24"/>
        </w:rPr>
        <w:t>“autism AND support services AND UK”</w:t>
      </w:r>
      <w:r w:rsidRPr="20C9F860">
        <w:rPr>
          <w:rFonts w:ascii="Arial" w:eastAsia="Arial" w:hAnsi="Arial" w:cs="Arial"/>
          <w:color w:val="000000" w:themeColor="text1"/>
          <w:sz w:val="24"/>
          <w:szCs w:val="24"/>
        </w:rPr>
        <w:t xml:space="preserve"> or </w:t>
      </w:r>
      <w:r w:rsidRPr="20C9F860">
        <w:rPr>
          <w:rFonts w:ascii="Arial" w:eastAsia="Arial" w:hAnsi="Arial" w:cs="Arial"/>
          <w:i/>
          <w:iCs/>
          <w:color w:val="000000" w:themeColor="text1"/>
          <w:sz w:val="24"/>
          <w:szCs w:val="24"/>
        </w:rPr>
        <w:t>“barriers OR challenges AND parents AND autism AND children”</w:t>
      </w:r>
      <w:r w:rsidRPr="20C9F860">
        <w:rPr>
          <w:rFonts w:ascii="Arial" w:eastAsia="Arial" w:hAnsi="Arial" w:cs="Arial"/>
          <w:color w:val="000000" w:themeColor="text1"/>
          <w:sz w:val="24"/>
          <w:szCs w:val="24"/>
        </w:rPr>
        <w:t xml:space="preserve"> allowed for greater precision. NOT was applied to filter out unrelated topics, such as adult autism services, which were beyond the scope of this dissertation.</w:t>
      </w:r>
    </w:p>
    <w:p w14:paraId="3FB48764" w14:textId="31DFCE9A" w:rsidR="00B575E2" w:rsidRPr="00B575E2" w:rsidRDefault="35CA0250"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 process was recorded systematically in a search log, where search terms, databases used, and results obtained were documented. This structured approach ensured consistency and helped refine searches when initial results were either too broad or too narrow.</w:t>
      </w:r>
    </w:p>
    <w:p w14:paraId="57AFDE7A" w14:textId="2CCC7C46" w:rsidR="00B575E2" w:rsidRDefault="031D8BF6" w:rsidP="58BA14D5">
      <w:pPr>
        <w:pStyle w:val="Heading2"/>
      </w:pPr>
      <w:r>
        <w:t>3.3</w:t>
      </w:r>
      <w:r w:rsidR="1739CF42">
        <w:t>– Searching for Information</w:t>
      </w:r>
    </w:p>
    <w:p w14:paraId="462E528E" w14:textId="012501E7" w:rsidR="00B575E2" w:rsidRPr="00F84C23" w:rsidRDefault="5681EA6C"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Multiple academic databases and platforms were used to identify relevant literature. Google Scholar and PubMed were central, given their extensive coverage of peer-reviewed articles in health and social sciences (Martín-Martín et al., 2018). The UWTSD Library catalogue was also utilised, providing access to journals such as the </w:t>
      </w:r>
      <w:r w:rsidRPr="20C9F860">
        <w:rPr>
          <w:rFonts w:ascii="Arial" w:eastAsia="Arial" w:hAnsi="Arial" w:cs="Arial"/>
          <w:i/>
          <w:iCs/>
          <w:color w:val="000000" w:themeColor="text1"/>
          <w:sz w:val="24"/>
          <w:szCs w:val="24"/>
        </w:rPr>
        <w:t>British Journal of Special Education</w:t>
      </w:r>
      <w:r w:rsidRPr="20C9F860">
        <w:rPr>
          <w:rFonts w:ascii="Arial" w:eastAsia="Arial" w:hAnsi="Arial" w:cs="Arial"/>
          <w:color w:val="000000" w:themeColor="text1"/>
          <w:sz w:val="24"/>
          <w:szCs w:val="24"/>
        </w:rPr>
        <w:t xml:space="preserve"> and </w:t>
      </w:r>
      <w:r w:rsidRPr="20C9F860">
        <w:rPr>
          <w:rFonts w:ascii="Arial" w:eastAsia="Arial" w:hAnsi="Arial" w:cs="Arial"/>
          <w:i/>
          <w:iCs/>
          <w:color w:val="000000" w:themeColor="text1"/>
          <w:sz w:val="24"/>
          <w:szCs w:val="24"/>
        </w:rPr>
        <w:t>Autism</w:t>
      </w:r>
      <w:r w:rsidRPr="20C9F860">
        <w:rPr>
          <w:rFonts w:ascii="Arial" w:eastAsia="Arial" w:hAnsi="Arial" w:cs="Arial"/>
          <w:color w:val="000000" w:themeColor="text1"/>
          <w:sz w:val="24"/>
          <w:szCs w:val="24"/>
        </w:rPr>
        <w:t>. Additionally, trusted websites, including the National Institute for Health and Care Excellence (NICE) and NHS Digital, were consulted to access policy documents and clinical guidelines.</w:t>
      </w:r>
    </w:p>
    <w:p w14:paraId="4252E854" w14:textId="56961393" w:rsidR="00B575E2" w:rsidRPr="00F84C23" w:rsidRDefault="5681EA6C"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Filters were applied to narrow down results. The search was limited to studies published from 2014 onwards to ensure currency, reflecting recent changes in UK autism policy and service provision. Only peer-reviewed journal articles, government reports, and professional guidelines were included to maintain credibility. When possible, results were restricted to UK-based studies, although international research was considered where it provided transferable insights.</w:t>
      </w:r>
    </w:p>
    <w:p w14:paraId="0A85C83A" w14:textId="5CFE668C" w:rsidR="00B575E2" w:rsidRPr="00F84C23" w:rsidRDefault="5681EA6C"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The search process was iterative. Initial searches produced a high volume of results, many of which were too general or focused on adult populations. To refine this, search terms were adjusted to include </w:t>
      </w:r>
      <w:r w:rsidRPr="20C9F860">
        <w:rPr>
          <w:rFonts w:ascii="Arial" w:eastAsia="Arial" w:hAnsi="Arial" w:cs="Arial"/>
          <w:i/>
          <w:iCs/>
          <w:color w:val="000000" w:themeColor="text1"/>
          <w:sz w:val="24"/>
          <w:szCs w:val="24"/>
        </w:rPr>
        <w:t>“children,”</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“under 12,”</w:t>
      </w:r>
      <w:r w:rsidRPr="20C9F860">
        <w:rPr>
          <w:rFonts w:ascii="Arial" w:eastAsia="Arial" w:hAnsi="Arial" w:cs="Arial"/>
          <w:color w:val="000000" w:themeColor="text1"/>
          <w:sz w:val="24"/>
          <w:szCs w:val="24"/>
        </w:rPr>
        <w:t xml:space="preserve"> and </w:t>
      </w:r>
      <w:r w:rsidRPr="20C9F860">
        <w:rPr>
          <w:rFonts w:ascii="Arial" w:eastAsia="Arial" w:hAnsi="Arial" w:cs="Arial"/>
          <w:i/>
          <w:iCs/>
          <w:color w:val="000000" w:themeColor="text1"/>
          <w:sz w:val="24"/>
          <w:szCs w:val="24"/>
        </w:rPr>
        <w:t>“early intervention.”</w:t>
      </w:r>
      <w:r w:rsidRPr="20C9F860">
        <w:rPr>
          <w:rFonts w:ascii="Arial" w:eastAsia="Arial" w:hAnsi="Arial" w:cs="Arial"/>
          <w:color w:val="000000" w:themeColor="text1"/>
          <w:sz w:val="24"/>
          <w:szCs w:val="24"/>
        </w:rPr>
        <w:t xml:space="preserve"> In addition, specific combinations such as </w:t>
      </w:r>
      <w:r w:rsidRPr="20C9F860">
        <w:rPr>
          <w:rFonts w:ascii="Arial" w:eastAsia="Arial" w:hAnsi="Arial" w:cs="Arial"/>
          <w:i/>
          <w:iCs/>
          <w:color w:val="000000" w:themeColor="text1"/>
          <w:sz w:val="24"/>
          <w:szCs w:val="24"/>
        </w:rPr>
        <w:t>“waiting times AND autism diagnosis UK”</w:t>
      </w:r>
      <w:r w:rsidRPr="20C9F860">
        <w:rPr>
          <w:rFonts w:ascii="Arial" w:eastAsia="Arial" w:hAnsi="Arial" w:cs="Arial"/>
          <w:color w:val="000000" w:themeColor="text1"/>
          <w:sz w:val="24"/>
          <w:szCs w:val="24"/>
        </w:rPr>
        <w:t xml:space="preserve"> were employed to target barriers highlighted in the literature. A tracking table was used to record retrieved sources, summarise key findings, and prevent duplication. This table has been included in the appendix for transparency.</w:t>
      </w:r>
    </w:p>
    <w:p w14:paraId="264471F4" w14:textId="7292B16A" w:rsidR="00B575E2" w:rsidRPr="00B575E2" w:rsidRDefault="5514527E" w:rsidP="20C9F860">
      <w:pPr>
        <w:pStyle w:val="Heading2"/>
        <w:ind w:left="720"/>
        <w:rPr>
          <w:rFonts w:ascii="Arial" w:eastAsia="Arial" w:hAnsi="Arial" w:cs="Arial"/>
          <w:color w:val="000000" w:themeColor="text1"/>
        </w:rPr>
      </w:pPr>
      <w:r w:rsidRPr="20C9F860">
        <w:rPr>
          <w:b/>
          <w:bCs/>
          <w:color w:val="000000" w:themeColor="text1"/>
        </w:rPr>
        <w:t>3.4</w:t>
      </w:r>
      <w:r w:rsidR="00292A36" w:rsidRPr="20C9F860">
        <w:rPr>
          <w:b/>
          <w:bCs/>
          <w:color w:val="000000" w:themeColor="text1"/>
        </w:rPr>
        <w:t>– Research Validation</w:t>
      </w:r>
      <w:r>
        <w:br/>
      </w:r>
      <w:r w:rsidR="4BFAF488" w:rsidRPr="20C9F860">
        <w:rPr>
          <w:rFonts w:ascii="Arial" w:eastAsia="Arial" w:hAnsi="Arial" w:cs="Arial"/>
          <w:color w:val="000000" w:themeColor="text1"/>
        </w:rPr>
        <w:t>Ensuring the reliability and validity of sources was a key priority. Each article was initially skimmed by reading the title, abstract, introduction, and conclusion to assess its relevance to the research question. This allowed for rapid screening before deeper engagement.</w:t>
      </w:r>
    </w:p>
    <w:p w14:paraId="1F14B50F" w14:textId="0165D5E4" w:rsidR="00B575E2" w:rsidRPr="00B575E2" w:rsidRDefault="4BFAF488" w:rsidP="20C9F860">
      <w:pPr>
        <w:pStyle w:val="ListParagraph"/>
        <w:spacing w:before="240" w:after="240" w:line="360" w:lineRule="auto"/>
        <w:ind w:left="36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 CRAAP test (Currency, Relevance, Authority, Accuracy, Purpose) was applied as a formal framework to evaluate quality (Blakeslee, 2014). Priority was given to recent (post-2014) peer-reviewed publications that directly addressed barriers to autism support services for children. Sources from reputable publishers or professional organisations, such as NICE or the National Autistic Society, were considered authoritative.</w:t>
      </w:r>
    </w:p>
    <w:p w14:paraId="1B70D657" w14:textId="1CA85BAB" w:rsidR="00B575E2" w:rsidRPr="00B575E2" w:rsidRDefault="4BFAF488" w:rsidP="20C9F860">
      <w:pPr>
        <w:pStyle w:val="ListParagraph"/>
        <w:spacing w:before="240" w:after="240" w:line="360" w:lineRule="auto"/>
        <w:ind w:left="0" w:firstLine="0"/>
        <w:rPr>
          <w:rFonts w:ascii="Arial" w:eastAsia="Arial" w:hAnsi="Arial" w:cs="Arial"/>
          <w:color w:val="000000" w:themeColor="text1"/>
          <w:sz w:val="24"/>
          <w:szCs w:val="24"/>
        </w:rPr>
      </w:pPr>
      <w:r w:rsidRPr="20C9F860">
        <w:rPr>
          <w:rFonts w:ascii="Arial" w:eastAsia="Arial" w:hAnsi="Arial" w:cs="Arial"/>
          <w:color w:val="000000" w:themeColor="text1"/>
          <w:sz w:val="24"/>
          <w:szCs w:val="24"/>
        </w:rPr>
        <w:t>For example, when reviewing Russell et al. (2019), the study’s UK context and robust methodology increased confidence in its relevance, whereas older studies or those focused exclusively on adult services were excluded. By applying these validation techniques, the final body of literature included only those sources most appropriate to the dissertation’s aim and objectives.</w:t>
      </w:r>
    </w:p>
    <w:p w14:paraId="1C1CD00C" w14:textId="25CE943C" w:rsidR="00B575E2" w:rsidRPr="00B575E2" w:rsidRDefault="00B575E2" w:rsidP="20C9F860"/>
    <w:p w14:paraId="5B5904E2" w14:textId="3789F536" w:rsidR="00B575E2" w:rsidRPr="00292A36" w:rsidRDefault="062F3491" w:rsidP="20C9F860">
      <w:pPr>
        <w:pStyle w:val="Heading2"/>
        <w:ind w:left="360"/>
        <w:jc w:val="left"/>
        <w:rPr>
          <w:rFonts w:ascii="Arial" w:eastAsia="Arial" w:hAnsi="Arial" w:cs="Arial"/>
          <w:color w:val="000000" w:themeColor="text1"/>
        </w:rPr>
      </w:pPr>
      <w:r w:rsidRPr="20C9F860">
        <w:rPr>
          <w:rStyle w:val="Heading2Char"/>
        </w:rPr>
        <w:t>3.5</w:t>
      </w:r>
      <w:r w:rsidR="00292A36" w:rsidRPr="20C9F860">
        <w:rPr>
          <w:rStyle w:val="Heading2Char"/>
        </w:rPr>
        <w:t xml:space="preserve">- Inclusion and Exclusion Criteria </w:t>
      </w:r>
    </w:p>
    <w:p w14:paraId="3DAB5304" w14:textId="402CCE75" w:rsidR="00B575E2" w:rsidRPr="00292A36" w:rsidRDefault="7071B6D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Clear inclusion and exclusion criteria were developed to maintain focus and quality.</w:t>
      </w:r>
    </w:p>
    <w:p w14:paraId="3C4D6CF2" w14:textId="61CE9DF0" w:rsidR="00B575E2" w:rsidRPr="00292A36" w:rsidRDefault="7071B6D7"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Inclusion criteria</w:t>
      </w:r>
      <w:r w:rsidRPr="20C9F860">
        <w:rPr>
          <w:rFonts w:ascii="Arial" w:eastAsia="Arial" w:hAnsi="Arial" w:cs="Arial"/>
          <w:color w:val="000000" w:themeColor="text1"/>
          <w:sz w:val="24"/>
          <w:szCs w:val="24"/>
        </w:rPr>
        <w:t xml:space="preserve"> were:</w:t>
      </w:r>
    </w:p>
    <w:p w14:paraId="5A513179" w14:textId="78837061" w:rsidR="00B575E2" w:rsidRPr="00292A36" w:rsidRDefault="7071B6D7" w:rsidP="20C9F860">
      <w:pPr>
        <w:pStyle w:val="ListParagraph"/>
        <w:numPr>
          <w:ilvl w:val="0"/>
          <w:numId w:val="11"/>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Peer-reviewed journal articles published from 2014 onwards.</w:t>
      </w:r>
    </w:p>
    <w:p w14:paraId="094A12D0" w14:textId="27C396B2" w:rsidR="00B575E2" w:rsidRPr="00292A36" w:rsidRDefault="7071B6D7" w:rsidP="20C9F860">
      <w:pPr>
        <w:pStyle w:val="ListParagraph"/>
        <w:numPr>
          <w:ilvl w:val="0"/>
          <w:numId w:val="11"/>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UK-based studies, or international research with clear relevance to UK contexts.</w:t>
      </w:r>
    </w:p>
    <w:p w14:paraId="3524DAED" w14:textId="447E26A1" w:rsidR="00B575E2" w:rsidRPr="00292A36" w:rsidRDefault="7071B6D7" w:rsidP="20C9F860">
      <w:pPr>
        <w:pStyle w:val="ListParagraph"/>
        <w:numPr>
          <w:ilvl w:val="0"/>
          <w:numId w:val="11"/>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Sources focusing on children under 12, parents, and barriers to autism services.</w:t>
      </w:r>
    </w:p>
    <w:p w14:paraId="016C60E9" w14:textId="1A106347" w:rsidR="00B575E2" w:rsidRPr="00292A36" w:rsidRDefault="7071B6D7" w:rsidP="20C9F860">
      <w:pPr>
        <w:pStyle w:val="ListParagraph"/>
        <w:numPr>
          <w:ilvl w:val="0"/>
          <w:numId w:val="11"/>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Official guidelines or reports (e.g., NICE, NHS, Department of </w:t>
      </w:r>
      <w:r w:rsidR="6B01C35B" w:rsidRPr="20C9F860">
        <w:rPr>
          <w:rFonts w:ascii="Arial" w:eastAsia="Arial" w:hAnsi="Arial" w:cs="Arial"/>
          <w:color w:val="000000" w:themeColor="text1"/>
          <w:sz w:val="24"/>
          <w:szCs w:val="24"/>
        </w:rPr>
        <w:t>Health,</w:t>
      </w:r>
      <w:r w:rsidRPr="20C9F860">
        <w:rPr>
          <w:rFonts w:ascii="Arial" w:eastAsia="Arial" w:hAnsi="Arial" w:cs="Arial"/>
          <w:color w:val="000000" w:themeColor="text1"/>
          <w:sz w:val="24"/>
          <w:szCs w:val="24"/>
        </w:rPr>
        <w:t xml:space="preserve"> and Social Care).</w:t>
      </w:r>
    </w:p>
    <w:p w14:paraId="7BE0978D" w14:textId="3AD56A16" w:rsidR="00B575E2" w:rsidRPr="00292A36" w:rsidRDefault="7071B6D7"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Exclusion criteria</w:t>
      </w:r>
      <w:r w:rsidRPr="20C9F860">
        <w:rPr>
          <w:rFonts w:ascii="Arial" w:eastAsia="Arial" w:hAnsi="Arial" w:cs="Arial"/>
          <w:color w:val="000000" w:themeColor="text1"/>
          <w:sz w:val="24"/>
          <w:szCs w:val="24"/>
        </w:rPr>
        <w:t xml:space="preserve"> included:</w:t>
      </w:r>
    </w:p>
    <w:p w14:paraId="4F7C8971" w14:textId="4A42744B" w:rsidR="00B575E2" w:rsidRPr="00292A36" w:rsidRDefault="7071B6D7" w:rsidP="20C9F860">
      <w:pPr>
        <w:pStyle w:val="ListParagraph"/>
        <w:numPr>
          <w:ilvl w:val="0"/>
          <w:numId w:val="10"/>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Non-academic sources such as opinion blogs or newspaper articles.</w:t>
      </w:r>
    </w:p>
    <w:p w14:paraId="1283273B" w14:textId="19B52D2F" w:rsidR="00B575E2" w:rsidRPr="00292A36" w:rsidRDefault="7071B6D7" w:rsidP="20C9F860">
      <w:pPr>
        <w:pStyle w:val="ListParagraph"/>
        <w:numPr>
          <w:ilvl w:val="0"/>
          <w:numId w:val="10"/>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Research published before 2014.</w:t>
      </w:r>
    </w:p>
    <w:p w14:paraId="545A09DD" w14:textId="6F84ACF8" w:rsidR="00B575E2" w:rsidRPr="00292A36" w:rsidRDefault="7071B6D7" w:rsidP="20C9F860">
      <w:pPr>
        <w:pStyle w:val="ListParagraph"/>
        <w:numPr>
          <w:ilvl w:val="0"/>
          <w:numId w:val="10"/>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Studies focused exclusively on adults with autism.</w:t>
      </w:r>
    </w:p>
    <w:p w14:paraId="1D1E1957" w14:textId="16DB5D18" w:rsidR="00B575E2" w:rsidRPr="00292A36" w:rsidRDefault="7071B6D7" w:rsidP="20C9F860">
      <w:pPr>
        <w:pStyle w:val="ListParagraph"/>
        <w:numPr>
          <w:ilvl w:val="0"/>
          <w:numId w:val="10"/>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Articles not written in English.</w:t>
      </w:r>
    </w:p>
    <w:p w14:paraId="2A968386" w14:textId="1F9E5E27" w:rsidR="00B575E2" w:rsidRPr="00292A36" w:rsidRDefault="7071B6D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These criteria ensured that the review was contemporary, evidence-based, and directly aligned with the dissertation’s scope.</w:t>
      </w:r>
    </w:p>
    <w:p w14:paraId="141EC9F6" w14:textId="6C929C2E" w:rsidR="00C17A49" w:rsidRPr="00C17A49" w:rsidRDefault="551C2E89" w:rsidP="20C9F860">
      <w:pPr>
        <w:pStyle w:val="Heading2"/>
        <w:spacing w:before="240" w:after="240"/>
        <w:ind w:left="360"/>
        <w:jc w:val="left"/>
        <w:rPr>
          <w:rFonts w:ascii="Arial" w:eastAsia="Arial" w:hAnsi="Arial" w:cs="Arial"/>
          <w:color w:val="000000" w:themeColor="text1"/>
          <w:szCs w:val="24"/>
        </w:rPr>
      </w:pPr>
      <w:r w:rsidRPr="20C9F860">
        <w:rPr>
          <w:rFonts w:ascii="Arial" w:eastAsia="Arial" w:hAnsi="Arial" w:cs="Arial"/>
          <w:b/>
          <w:bCs/>
        </w:rPr>
        <w:t>3.6</w:t>
      </w:r>
      <w:r w:rsidR="00292A36" w:rsidRPr="20C9F860">
        <w:rPr>
          <w:rFonts w:ascii="Arial" w:eastAsia="Arial" w:hAnsi="Arial" w:cs="Arial"/>
          <w:b/>
          <w:bCs/>
        </w:rPr>
        <w:t xml:space="preserve">– Analysing Research </w:t>
      </w:r>
    </w:p>
    <w:p w14:paraId="7175FC2E" w14:textId="6FA0C509" w:rsidR="00C17A49" w:rsidRPr="00C17A49" w:rsidRDefault="697D9A0B" w:rsidP="20C9F860">
      <w:pPr>
        <w:pStyle w:val="Heading2"/>
        <w:spacing w:before="240" w:after="240"/>
        <w:ind w:left="360"/>
        <w:jc w:val="left"/>
        <w:rPr>
          <w:rFonts w:ascii="Arial" w:eastAsia="Arial" w:hAnsi="Arial" w:cs="Arial"/>
          <w:color w:val="000000" w:themeColor="text1"/>
          <w:szCs w:val="24"/>
        </w:rPr>
      </w:pPr>
      <w:r w:rsidRPr="20C9F860">
        <w:rPr>
          <w:rFonts w:ascii="Arial" w:eastAsia="Arial" w:hAnsi="Arial" w:cs="Arial"/>
          <w:color w:val="000000" w:themeColor="text1"/>
          <w:szCs w:val="24"/>
        </w:rPr>
        <w:t xml:space="preserve">The analysis followed a thematic coding approach, widely used in qualitative research to identify and organise recurring patterns (Nowell et al., 2017). Each article was reviewed in detail, and initial codes were generated based on recurring ideas such as </w:t>
      </w:r>
      <w:r w:rsidRPr="20C9F860">
        <w:rPr>
          <w:rFonts w:ascii="Arial" w:eastAsia="Arial" w:hAnsi="Arial" w:cs="Arial"/>
          <w:i/>
          <w:iCs/>
          <w:color w:val="000000" w:themeColor="text1"/>
          <w:szCs w:val="24"/>
        </w:rPr>
        <w:t>“waiting times,”</w:t>
      </w:r>
      <w:r w:rsidRPr="20C9F860">
        <w:rPr>
          <w:rFonts w:ascii="Arial" w:eastAsia="Arial" w:hAnsi="Arial" w:cs="Arial"/>
          <w:color w:val="000000" w:themeColor="text1"/>
          <w:szCs w:val="24"/>
        </w:rPr>
        <w:t xml:space="preserve"> </w:t>
      </w:r>
      <w:r w:rsidRPr="20C9F860">
        <w:rPr>
          <w:rFonts w:ascii="Arial" w:eastAsia="Arial" w:hAnsi="Arial" w:cs="Arial"/>
          <w:i/>
          <w:iCs/>
          <w:color w:val="000000" w:themeColor="text1"/>
          <w:szCs w:val="24"/>
        </w:rPr>
        <w:t>“diagnostic challenges,”</w:t>
      </w:r>
      <w:r w:rsidRPr="20C9F860">
        <w:rPr>
          <w:rFonts w:ascii="Arial" w:eastAsia="Arial" w:hAnsi="Arial" w:cs="Arial"/>
          <w:color w:val="000000" w:themeColor="text1"/>
          <w:szCs w:val="24"/>
        </w:rPr>
        <w:t xml:space="preserve"> </w:t>
      </w:r>
      <w:r w:rsidRPr="20C9F860">
        <w:rPr>
          <w:rFonts w:ascii="Arial" w:eastAsia="Arial" w:hAnsi="Arial" w:cs="Arial"/>
          <w:i/>
          <w:iCs/>
          <w:color w:val="000000" w:themeColor="text1"/>
          <w:szCs w:val="24"/>
        </w:rPr>
        <w:t>“parental stress,”</w:t>
      </w:r>
      <w:r w:rsidRPr="20C9F860">
        <w:rPr>
          <w:rFonts w:ascii="Arial" w:eastAsia="Arial" w:hAnsi="Arial" w:cs="Arial"/>
          <w:color w:val="000000" w:themeColor="text1"/>
          <w:szCs w:val="24"/>
        </w:rPr>
        <w:t xml:space="preserve"> </w:t>
      </w:r>
      <w:r w:rsidRPr="20C9F860">
        <w:rPr>
          <w:rFonts w:ascii="Arial" w:eastAsia="Arial" w:hAnsi="Arial" w:cs="Arial"/>
          <w:i/>
          <w:iCs/>
          <w:color w:val="000000" w:themeColor="text1"/>
          <w:szCs w:val="24"/>
        </w:rPr>
        <w:t>“cultural barriers,”</w:t>
      </w:r>
      <w:r w:rsidRPr="20C9F860">
        <w:rPr>
          <w:rFonts w:ascii="Arial" w:eastAsia="Arial" w:hAnsi="Arial" w:cs="Arial"/>
          <w:color w:val="000000" w:themeColor="text1"/>
          <w:szCs w:val="24"/>
        </w:rPr>
        <w:t xml:space="preserve"> and </w:t>
      </w:r>
      <w:r w:rsidRPr="20C9F860">
        <w:rPr>
          <w:rFonts w:ascii="Arial" w:eastAsia="Arial" w:hAnsi="Arial" w:cs="Arial"/>
          <w:i/>
          <w:iCs/>
          <w:color w:val="000000" w:themeColor="text1"/>
          <w:szCs w:val="24"/>
        </w:rPr>
        <w:t>“geographical inequalities.”</w:t>
      </w:r>
    </w:p>
    <w:p w14:paraId="237F90CD" w14:textId="68C2920E" w:rsidR="00C17A49" w:rsidRPr="00C17A49" w:rsidRDefault="697D9A0B"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These codes were then grouped into broader themes that corresponded with the research objectives. For instance, </w:t>
      </w:r>
      <w:r w:rsidRPr="20C9F860">
        <w:rPr>
          <w:rFonts w:ascii="Arial" w:eastAsia="Arial" w:hAnsi="Arial" w:cs="Arial"/>
          <w:i/>
          <w:iCs/>
          <w:color w:val="000000" w:themeColor="text1"/>
          <w:sz w:val="24"/>
          <w:szCs w:val="24"/>
        </w:rPr>
        <w:t>“waiting times”</w:t>
      </w:r>
      <w:r w:rsidRPr="20C9F860">
        <w:rPr>
          <w:rFonts w:ascii="Arial" w:eastAsia="Arial" w:hAnsi="Arial" w:cs="Arial"/>
          <w:color w:val="000000" w:themeColor="text1"/>
          <w:sz w:val="24"/>
          <w:szCs w:val="24"/>
        </w:rPr>
        <w:t xml:space="preserve"> and </w:t>
      </w:r>
      <w:r w:rsidRPr="20C9F860">
        <w:rPr>
          <w:rFonts w:ascii="Arial" w:eastAsia="Arial" w:hAnsi="Arial" w:cs="Arial"/>
          <w:i/>
          <w:iCs/>
          <w:color w:val="000000" w:themeColor="text1"/>
          <w:sz w:val="24"/>
          <w:szCs w:val="24"/>
        </w:rPr>
        <w:t>“referral delays”</w:t>
      </w:r>
      <w:r w:rsidRPr="20C9F860">
        <w:rPr>
          <w:rFonts w:ascii="Arial" w:eastAsia="Arial" w:hAnsi="Arial" w:cs="Arial"/>
          <w:color w:val="000000" w:themeColor="text1"/>
          <w:sz w:val="24"/>
          <w:szCs w:val="24"/>
        </w:rPr>
        <w:t xml:space="preserve"> were combined into a theme of </w:t>
      </w:r>
      <w:r w:rsidRPr="20C9F860">
        <w:rPr>
          <w:rFonts w:ascii="Arial" w:eastAsia="Arial" w:hAnsi="Arial" w:cs="Arial"/>
          <w:i/>
          <w:iCs/>
          <w:color w:val="000000" w:themeColor="text1"/>
          <w:sz w:val="24"/>
          <w:szCs w:val="24"/>
        </w:rPr>
        <w:t>“systemic barriers,”</w:t>
      </w:r>
      <w:r w:rsidRPr="20C9F860">
        <w:rPr>
          <w:rFonts w:ascii="Arial" w:eastAsia="Arial" w:hAnsi="Arial" w:cs="Arial"/>
          <w:color w:val="000000" w:themeColor="text1"/>
          <w:sz w:val="24"/>
          <w:szCs w:val="24"/>
        </w:rPr>
        <w:t xml:space="preserve"> while </w:t>
      </w:r>
      <w:r w:rsidRPr="20C9F860">
        <w:rPr>
          <w:rFonts w:ascii="Arial" w:eastAsia="Arial" w:hAnsi="Arial" w:cs="Arial"/>
          <w:i/>
          <w:iCs/>
          <w:color w:val="000000" w:themeColor="text1"/>
          <w:sz w:val="24"/>
          <w:szCs w:val="24"/>
        </w:rPr>
        <w:t>“language difficulties”</w:t>
      </w:r>
      <w:r w:rsidRPr="20C9F860">
        <w:rPr>
          <w:rFonts w:ascii="Arial" w:eastAsia="Arial" w:hAnsi="Arial" w:cs="Arial"/>
          <w:color w:val="000000" w:themeColor="text1"/>
          <w:sz w:val="24"/>
          <w:szCs w:val="24"/>
        </w:rPr>
        <w:t xml:space="preserve"> and </w:t>
      </w:r>
      <w:r w:rsidRPr="20C9F860">
        <w:rPr>
          <w:rFonts w:ascii="Arial" w:eastAsia="Arial" w:hAnsi="Arial" w:cs="Arial"/>
          <w:i/>
          <w:iCs/>
          <w:color w:val="000000" w:themeColor="text1"/>
          <w:sz w:val="24"/>
          <w:szCs w:val="24"/>
        </w:rPr>
        <w:t>“lack of cultural awareness”</w:t>
      </w:r>
      <w:r w:rsidRPr="20C9F860">
        <w:rPr>
          <w:rFonts w:ascii="Arial" w:eastAsia="Arial" w:hAnsi="Arial" w:cs="Arial"/>
          <w:color w:val="000000" w:themeColor="text1"/>
          <w:sz w:val="24"/>
          <w:szCs w:val="24"/>
        </w:rPr>
        <w:t xml:space="preserve"> were categorised under </w:t>
      </w:r>
      <w:r w:rsidRPr="20C9F860">
        <w:rPr>
          <w:rFonts w:ascii="Arial" w:eastAsia="Arial" w:hAnsi="Arial" w:cs="Arial"/>
          <w:i/>
          <w:iCs/>
          <w:color w:val="000000" w:themeColor="text1"/>
          <w:sz w:val="24"/>
          <w:szCs w:val="24"/>
        </w:rPr>
        <w:t>“sociocultural barriers.”</w:t>
      </w:r>
    </w:p>
    <w:p w14:paraId="3E4D5FB9" w14:textId="5419480E" w:rsidR="00C17A49" w:rsidRPr="00C17A49" w:rsidRDefault="697D9A0B" w:rsidP="20C9F860">
      <w:pPr>
        <w:rPr>
          <w:rFonts w:eastAsia="Aptos" w:cs="Aptos"/>
          <w:color w:val="000000" w:themeColor="text1"/>
          <w:sz w:val="24"/>
          <w:szCs w:val="24"/>
        </w:rPr>
      </w:pPr>
      <w:r w:rsidRPr="20C9F860">
        <w:rPr>
          <w:rFonts w:eastAsia="Aptos" w:cs="Aptos"/>
          <w:b/>
          <w:bCs/>
          <w:color w:val="000000" w:themeColor="text1"/>
          <w:sz w:val="24"/>
          <w:szCs w:val="24"/>
        </w:rPr>
        <w:t>Summary of Thematic Coding and Key Findings</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725"/>
        <w:gridCol w:w="1728"/>
        <w:gridCol w:w="2082"/>
        <w:gridCol w:w="1731"/>
        <w:gridCol w:w="1744"/>
      </w:tblGrid>
      <w:tr w:rsidR="090184E5" w14:paraId="5DECF4C2" w14:textId="77777777" w:rsidTr="20C9F860">
        <w:trPr>
          <w:trHeight w:val="300"/>
        </w:trPr>
        <w:tc>
          <w:tcPr>
            <w:tcW w:w="1800" w:type="dxa"/>
            <w:tcMar>
              <w:left w:w="105" w:type="dxa"/>
              <w:right w:w="105" w:type="dxa"/>
            </w:tcMar>
          </w:tcPr>
          <w:p w14:paraId="3BBBDF9E" w14:textId="1089CB64" w:rsidR="090184E5" w:rsidRDefault="1959D7B2" w:rsidP="20C9F860">
            <w:pPr>
              <w:jc w:val="center"/>
              <w:rPr>
                <w:rFonts w:eastAsia="Aptos" w:cs="Aptos"/>
                <w:sz w:val="24"/>
                <w:szCs w:val="24"/>
              </w:rPr>
            </w:pPr>
            <w:r w:rsidRPr="20C9F860">
              <w:rPr>
                <w:rFonts w:eastAsia="Aptos" w:cs="Aptos"/>
                <w:b/>
                <w:bCs/>
                <w:sz w:val="24"/>
                <w:szCs w:val="24"/>
              </w:rPr>
              <w:t>Author &amp; Year</w:t>
            </w:r>
          </w:p>
        </w:tc>
        <w:tc>
          <w:tcPr>
            <w:tcW w:w="1800" w:type="dxa"/>
            <w:tcMar>
              <w:left w:w="105" w:type="dxa"/>
              <w:right w:w="105" w:type="dxa"/>
            </w:tcMar>
          </w:tcPr>
          <w:p w14:paraId="0C435BA0" w14:textId="4EF0BD9A" w:rsidR="090184E5" w:rsidRDefault="1959D7B2" w:rsidP="20C9F860">
            <w:pPr>
              <w:rPr>
                <w:rFonts w:eastAsia="Aptos" w:cs="Aptos"/>
                <w:sz w:val="24"/>
                <w:szCs w:val="24"/>
              </w:rPr>
            </w:pPr>
            <w:r w:rsidRPr="20C9F860">
              <w:rPr>
                <w:rFonts w:eastAsia="Aptos" w:cs="Aptos"/>
                <w:b/>
                <w:bCs/>
                <w:sz w:val="24"/>
                <w:szCs w:val="24"/>
              </w:rPr>
              <w:t>Purpose of Study</w:t>
            </w:r>
          </w:p>
        </w:tc>
        <w:tc>
          <w:tcPr>
            <w:tcW w:w="1800" w:type="dxa"/>
            <w:tcMar>
              <w:left w:w="105" w:type="dxa"/>
              <w:right w:w="105" w:type="dxa"/>
            </w:tcMar>
          </w:tcPr>
          <w:p w14:paraId="083A07E0" w14:textId="73C3E15B" w:rsidR="090184E5" w:rsidRDefault="1959D7B2" w:rsidP="20C9F860">
            <w:pPr>
              <w:rPr>
                <w:rFonts w:eastAsia="Aptos" w:cs="Aptos"/>
                <w:sz w:val="24"/>
                <w:szCs w:val="24"/>
              </w:rPr>
            </w:pPr>
            <w:r w:rsidRPr="20C9F860">
              <w:rPr>
                <w:rFonts w:eastAsia="Aptos" w:cs="Aptos"/>
                <w:b/>
                <w:bCs/>
                <w:sz w:val="24"/>
                <w:szCs w:val="24"/>
              </w:rPr>
              <w:t>Key Findings</w:t>
            </w:r>
          </w:p>
        </w:tc>
        <w:tc>
          <w:tcPr>
            <w:tcW w:w="1800" w:type="dxa"/>
            <w:tcMar>
              <w:left w:w="105" w:type="dxa"/>
              <w:right w:w="105" w:type="dxa"/>
            </w:tcMar>
          </w:tcPr>
          <w:p w14:paraId="71888A06" w14:textId="3D442B17" w:rsidR="090184E5" w:rsidRDefault="1959D7B2" w:rsidP="20C9F860">
            <w:pPr>
              <w:rPr>
                <w:rFonts w:eastAsia="Aptos" w:cs="Aptos"/>
                <w:sz w:val="24"/>
                <w:szCs w:val="24"/>
              </w:rPr>
            </w:pPr>
            <w:r w:rsidRPr="20C9F860">
              <w:rPr>
                <w:rFonts w:eastAsia="Aptos" w:cs="Aptos"/>
                <w:b/>
                <w:bCs/>
                <w:sz w:val="24"/>
                <w:szCs w:val="24"/>
              </w:rPr>
              <w:t>Initial Codes</w:t>
            </w:r>
          </w:p>
        </w:tc>
        <w:tc>
          <w:tcPr>
            <w:tcW w:w="1800" w:type="dxa"/>
            <w:tcMar>
              <w:left w:w="105" w:type="dxa"/>
              <w:right w:w="105" w:type="dxa"/>
            </w:tcMar>
          </w:tcPr>
          <w:p w14:paraId="7D9C5F12" w14:textId="5B4BDA7E" w:rsidR="090184E5" w:rsidRDefault="1959D7B2" w:rsidP="20C9F860">
            <w:pPr>
              <w:rPr>
                <w:rFonts w:eastAsia="Aptos" w:cs="Aptos"/>
                <w:sz w:val="24"/>
                <w:szCs w:val="24"/>
              </w:rPr>
            </w:pPr>
            <w:r w:rsidRPr="20C9F860">
              <w:rPr>
                <w:rFonts w:eastAsia="Aptos" w:cs="Aptos"/>
                <w:b/>
                <w:bCs/>
                <w:sz w:val="24"/>
                <w:szCs w:val="24"/>
              </w:rPr>
              <w:t>Final Theme</w:t>
            </w:r>
          </w:p>
        </w:tc>
      </w:tr>
      <w:tr w:rsidR="090184E5" w14:paraId="5ED4FCE4" w14:textId="77777777" w:rsidTr="20C9F860">
        <w:trPr>
          <w:trHeight w:val="300"/>
        </w:trPr>
        <w:tc>
          <w:tcPr>
            <w:tcW w:w="1800" w:type="dxa"/>
            <w:tcMar>
              <w:left w:w="105" w:type="dxa"/>
              <w:right w:w="105" w:type="dxa"/>
            </w:tcMar>
          </w:tcPr>
          <w:p w14:paraId="6BAE0D4D" w14:textId="37739F0D" w:rsidR="090184E5" w:rsidRDefault="1959D7B2" w:rsidP="20C9F860">
            <w:pPr>
              <w:rPr>
                <w:rFonts w:eastAsia="Aptos" w:cs="Aptos"/>
                <w:sz w:val="24"/>
                <w:szCs w:val="24"/>
              </w:rPr>
            </w:pPr>
            <w:r w:rsidRPr="20C9F860">
              <w:rPr>
                <w:rFonts w:eastAsia="Aptos" w:cs="Aptos"/>
                <w:sz w:val="24"/>
                <w:szCs w:val="24"/>
              </w:rPr>
              <w:t>Crane et al. (2016)</w:t>
            </w:r>
          </w:p>
        </w:tc>
        <w:tc>
          <w:tcPr>
            <w:tcW w:w="1800" w:type="dxa"/>
            <w:tcMar>
              <w:left w:w="105" w:type="dxa"/>
              <w:right w:w="105" w:type="dxa"/>
            </w:tcMar>
          </w:tcPr>
          <w:p w14:paraId="60E36DCA" w14:textId="03629AD5" w:rsidR="090184E5" w:rsidRDefault="1959D7B2" w:rsidP="20C9F860">
            <w:pPr>
              <w:rPr>
                <w:rFonts w:eastAsia="Aptos" w:cs="Aptos"/>
                <w:sz w:val="24"/>
                <w:szCs w:val="24"/>
              </w:rPr>
            </w:pPr>
            <w:r w:rsidRPr="20C9F860">
              <w:rPr>
                <w:rFonts w:eastAsia="Aptos" w:cs="Aptos"/>
                <w:sz w:val="24"/>
                <w:szCs w:val="24"/>
              </w:rPr>
              <w:t>UK parents’ experiences of autism diagnosis</w:t>
            </w:r>
          </w:p>
        </w:tc>
        <w:tc>
          <w:tcPr>
            <w:tcW w:w="1800" w:type="dxa"/>
            <w:tcMar>
              <w:left w:w="105" w:type="dxa"/>
              <w:right w:w="105" w:type="dxa"/>
            </w:tcMar>
          </w:tcPr>
          <w:p w14:paraId="0A45A848" w14:textId="279F35E8" w:rsidR="090184E5" w:rsidRDefault="276AC10E" w:rsidP="20C9F860">
            <w:pPr>
              <w:rPr>
                <w:rFonts w:eastAsia="Aptos" w:cs="Aptos"/>
                <w:sz w:val="24"/>
                <w:szCs w:val="24"/>
              </w:rPr>
            </w:pPr>
            <w:r w:rsidRPr="20C9F860">
              <w:rPr>
                <w:rFonts w:eastAsia="Aptos" w:cs="Aptos"/>
                <w:sz w:val="24"/>
                <w:szCs w:val="24"/>
              </w:rPr>
              <w:t>Lengthy delays</w:t>
            </w:r>
            <w:r w:rsidR="1959D7B2" w:rsidRPr="20C9F860">
              <w:rPr>
                <w:rFonts w:eastAsia="Aptos" w:cs="Aptos"/>
                <w:sz w:val="24"/>
                <w:szCs w:val="24"/>
              </w:rPr>
              <w:t>; parents felt dismissed; lack of follow-up</w:t>
            </w:r>
          </w:p>
        </w:tc>
        <w:tc>
          <w:tcPr>
            <w:tcW w:w="1800" w:type="dxa"/>
            <w:tcMar>
              <w:left w:w="105" w:type="dxa"/>
              <w:right w:w="105" w:type="dxa"/>
            </w:tcMar>
          </w:tcPr>
          <w:p w14:paraId="4FC328B9" w14:textId="3B007AF1" w:rsidR="090184E5" w:rsidRDefault="1959D7B2" w:rsidP="20C9F860">
            <w:pPr>
              <w:rPr>
                <w:rFonts w:eastAsia="Aptos" w:cs="Aptos"/>
                <w:sz w:val="24"/>
                <w:szCs w:val="24"/>
              </w:rPr>
            </w:pPr>
            <w:r w:rsidRPr="20C9F860">
              <w:rPr>
                <w:rFonts w:eastAsia="Aptos" w:cs="Aptos"/>
                <w:sz w:val="24"/>
                <w:szCs w:val="24"/>
              </w:rPr>
              <w:t>Long waiting times; dismissed concerns; inconsistent support</w:t>
            </w:r>
          </w:p>
        </w:tc>
        <w:tc>
          <w:tcPr>
            <w:tcW w:w="1800" w:type="dxa"/>
            <w:tcMar>
              <w:left w:w="105" w:type="dxa"/>
              <w:right w:w="105" w:type="dxa"/>
            </w:tcMar>
          </w:tcPr>
          <w:p w14:paraId="5924C25E" w14:textId="5866CCB5" w:rsidR="090184E5" w:rsidRDefault="1959D7B2" w:rsidP="20C9F860">
            <w:pPr>
              <w:rPr>
                <w:rFonts w:eastAsia="Aptos" w:cs="Aptos"/>
                <w:sz w:val="24"/>
                <w:szCs w:val="24"/>
              </w:rPr>
            </w:pPr>
            <w:r w:rsidRPr="20C9F860">
              <w:rPr>
                <w:rFonts w:eastAsia="Aptos" w:cs="Aptos"/>
                <w:sz w:val="24"/>
                <w:szCs w:val="24"/>
              </w:rPr>
              <w:t>Systemic Barriers</w:t>
            </w:r>
          </w:p>
        </w:tc>
      </w:tr>
      <w:tr w:rsidR="090184E5" w14:paraId="0F76BD19" w14:textId="77777777" w:rsidTr="20C9F860">
        <w:trPr>
          <w:trHeight w:val="300"/>
        </w:trPr>
        <w:tc>
          <w:tcPr>
            <w:tcW w:w="1800" w:type="dxa"/>
            <w:tcMar>
              <w:left w:w="105" w:type="dxa"/>
              <w:right w:w="105" w:type="dxa"/>
            </w:tcMar>
          </w:tcPr>
          <w:p w14:paraId="6625D492" w14:textId="4347B53F" w:rsidR="090184E5" w:rsidRDefault="1959D7B2" w:rsidP="20C9F860">
            <w:pPr>
              <w:rPr>
                <w:rFonts w:eastAsia="Aptos" w:cs="Aptos"/>
                <w:sz w:val="24"/>
                <w:szCs w:val="24"/>
              </w:rPr>
            </w:pPr>
            <w:r w:rsidRPr="20C9F860">
              <w:rPr>
                <w:rFonts w:eastAsia="Aptos" w:cs="Aptos"/>
                <w:sz w:val="24"/>
                <w:szCs w:val="24"/>
              </w:rPr>
              <w:t>Russell et al. (2019)</w:t>
            </w:r>
          </w:p>
        </w:tc>
        <w:tc>
          <w:tcPr>
            <w:tcW w:w="1800" w:type="dxa"/>
            <w:tcMar>
              <w:left w:w="105" w:type="dxa"/>
              <w:right w:w="105" w:type="dxa"/>
            </w:tcMar>
          </w:tcPr>
          <w:p w14:paraId="54B2A1B9" w14:textId="70600B39" w:rsidR="090184E5" w:rsidRDefault="1959D7B2" w:rsidP="20C9F860">
            <w:pPr>
              <w:rPr>
                <w:rFonts w:eastAsia="Aptos" w:cs="Aptos"/>
                <w:sz w:val="24"/>
                <w:szCs w:val="24"/>
              </w:rPr>
            </w:pPr>
            <w:r w:rsidRPr="20C9F860">
              <w:rPr>
                <w:rFonts w:eastAsia="Aptos" w:cs="Aptos"/>
                <w:sz w:val="24"/>
                <w:szCs w:val="24"/>
              </w:rPr>
              <w:t>Prevalence &amp; service access in UK families</w:t>
            </w:r>
          </w:p>
        </w:tc>
        <w:tc>
          <w:tcPr>
            <w:tcW w:w="1800" w:type="dxa"/>
            <w:tcMar>
              <w:left w:w="105" w:type="dxa"/>
              <w:right w:w="105" w:type="dxa"/>
            </w:tcMar>
          </w:tcPr>
          <w:p w14:paraId="36625C63" w14:textId="5948596C" w:rsidR="090184E5" w:rsidRDefault="1959D7B2" w:rsidP="20C9F860">
            <w:pPr>
              <w:rPr>
                <w:rFonts w:eastAsia="Aptos" w:cs="Aptos"/>
                <w:sz w:val="24"/>
                <w:szCs w:val="24"/>
              </w:rPr>
            </w:pPr>
            <w:r w:rsidRPr="20C9F860">
              <w:rPr>
                <w:rFonts w:eastAsia="Aptos" w:cs="Aptos"/>
                <w:sz w:val="24"/>
                <w:szCs w:val="24"/>
              </w:rPr>
              <w:t>Limited support; families dissatisfied with services</w:t>
            </w:r>
          </w:p>
        </w:tc>
        <w:tc>
          <w:tcPr>
            <w:tcW w:w="1800" w:type="dxa"/>
            <w:tcMar>
              <w:left w:w="105" w:type="dxa"/>
              <w:right w:w="105" w:type="dxa"/>
            </w:tcMar>
          </w:tcPr>
          <w:p w14:paraId="3A1D6181" w14:textId="7D7A19CC" w:rsidR="090184E5" w:rsidRDefault="1959D7B2" w:rsidP="20C9F860">
            <w:pPr>
              <w:rPr>
                <w:rFonts w:eastAsia="Aptos" w:cs="Aptos"/>
                <w:sz w:val="24"/>
                <w:szCs w:val="24"/>
              </w:rPr>
            </w:pPr>
            <w:r w:rsidRPr="20C9F860">
              <w:rPr>
                <w:rFonts w:eastAsia="Aptos" w:cs="Aptos"/>
                <w:sz w:val="24"/>
                <w:szCs w:val="24"/>
              </w:rPr>
              <w:t>Limited provision; service gaps</w:t>
            </w:r>
          </w:p>
        </w:tc>
        <w:tc>
          <w:tcPr>
            <w:tcW w:w="1800" w:type="dxa"/>
            <w:tcMar>
              <w:left w:w="105" w:type="dxa"/>
              <w:right w:w="105" w:type="dxa"/>
            </w:tcMar>
          </w:tcPr>
          <w:p w14:paraId="5E9BDC64" w14:textId="752CDCB5" w:rsidR="090184E5" w:rsidRDefault="1959D7B2" w:rsidP="20C9F860">
            <w:pPr>
              <w:rPr>
                <w:rFonts w:eastAsia="Aptos" w:cs="Aptos"/>
                <w:sz w:val="24"/>
                <w:szCs w:val="24"/>
              </w:rPr>
            </w:pPr>
            <w:r w:rsidRPr="20C9F860">
              <w:rPr>
                <w:rFonts w:eastAsia="Aptos" w:cs="Aptos"/>
                <w:sz w:val="24"/>
                <w:szCs w:val="24"/>
              </w:rPr>
              <w:t>Systemic Barriers</w:t>
            </w:r>
          </w:p>
          <w:p w14:paraId="74A36B1E" w14:textId="26E3A06F" w:rsidR="090184E5" w:rsidRDefault="090184E5" w:rsidP="20C9F860">
            <w:pPr>
              <w:rPr>
                <w:rFonts w:eastAsia="Aptos" w:cs="Aptos"/>
                <w:sz w:val="24"/>
                <w:szCs w:val="24"/>
              </w:rPr>
            </w:pPr>
          </w:p>
        </w:tc>
      </w:tr>
      <w:tr w:rsidR="090184E5" w14:paraId="53551C06" w14:textId="77777777" w:rsidTr="20C9F860">
        <w:trPr>
          <w:trHeight w:val="300"/>
        </w:trPr>
        <w:tc>
          <w:tcPr>
            <w:tcW w:w="1800" w:type="dxa"/>
            <w:tcMar>
              <w:left w:w="105" w:type="dxa"/>
              <w:right w:w="105" w:type="dxa"/>
            </w:tcMar>
          </w:tcPr>
          <w:p w14:paraId="6AFAC598" w14:textId="1E0C9909" w:rsidR="090184E5" w:rsidRDefault="1959D7B2" w:rsidP="20C9F860">
            <w:pPr>
              <w:rPr>
                <w:rFonts w:eastAsia="Aptos" w:cs="Aptos"/>
                <w:sz w:val="24"/>
                <w:szCs w:val="24"/>
              </w:rPr>
            </w:pPr>
            <w:r w:rsidRPr="20C9F860">
              <w:rPr>
                <w:rFonts w:eastAsia="Aptos" w:cs="Aptos"/>
                <w:sz w:val="24"/>
                <w:szCs w:val="24"/>
              </w:rPr>
              <w:t>Tick et al. (2021)</w:t>
            </w:r>
          </w:p>
        </w:tc>
        <w:tc>
          <w:tcPr>
            <w:tcW w:w="1800" w:type="dxa"/>
            <w:tcMar>
              <w:left w:w="105" w:type="dxa"/>
              <w:right w:w="105" w:type="dxa"/>
            </w:tcMar>
          </w:tcPr>
          <w:p w14:paraId="742F9E0F" w14:textId="17AA2C01" w:rsidR="090184E5" w:rsidRDefault="1959D7B2" w:rsidP="20C9F860">
            <w:pPr>
              <w:rPr>
                <w:rFonts w:eastAsia="Aptos" w:cs="Aptos"/>
                <w:sz w:val="24"/>
                <w:szCs w:val="24"/>
              </w:rPr>
            </w:pPr>
            <w:r w:rsidRPr="20C9F860">
              <w:rPr>
                <w:rFonts w:eastAsia="Aptos" w:cs="Aptos"/>
                <w:sz w:val="24"/>
                <w:szCs w:val="24"/>
              </w:rPr>
              <w:t>UK diagnostic pathway review</w:t>
            </w:r>
          </w:p>
        </w:tc>
        <w:tc>
          <w:tcPr>
            <w:tcW w:w="1800" w:type="dxa"/>
            <w:tcMar>
              <w:left w:w="105" w:type="dxa"/>
              <w:right w:w="105" w:type="dxa"/>
            </w:tcMar>
          </w:tcPr>
          <w:p w14:paraId="3786FE26" w14:textId="672D7918" w:rsidR="090184E5" w:rsidRDefault="1959D7B2" w:rsidP="20C9F860">
            <w:pPr>
              <w:rPr>
                <w:rFonts w:eastAsia="Aptos" w:cs="Aptos"/>
                <w:sz w:val="24"/>
                <w:szCs w:val="24"/>
              </w:rPr>
            </w:pPr>
            <w:r w:rsidRPr="20C9F860">
              <w:rPr>
                <w:rFonts w:eastAsia="Aptos" w:cs="Aptos"/>
                <w:sz w:val="24"/>
                <w:szCs w:val="24"/>
              </w:rPr>
              <w:t>Workforce pressure; inconsistent referral routes</w:t>
            </w:r>
          </w:p>
        </w:tc>
        <w:tc>
          <w:tcPr>
            <w:tcW w:w="1800" w:type="dxa"/>
            <w:tcMar>
              <w:left w:w="105" w:type="dxa"/>
              <w:right w:w="105" w:type="dxa"/>
            </w:tcMar>
          </w:tcPr>
          <w:p w14:paraId="09505030" w14:textId="1259FD76" w:rsidR="090184E5" w:rsidRDefault="1959D7B2" w:rsidP="20C9F860">
            <w:pPr>
              <w:rPr>
                <w:rFonts w:eastAsia="Aptos" w:cs="Aptos"/>
                <w:sz w:val="24"/>
                <w:szCs w:val="24"/>
              </w:rPr>
            </w:pPr>
            <w:r w:rsidRPr="20C9F860">
              <w:rPr>
                <w:rFonts w:eastAsia="Aptos" w:cs="Aptos"/>
                <w:sz w:val="24"/>
                <w:szCs w:val="24"/>
              </w:rPr>
              <w:t>Staff shortages; varied pathways</w:t>
            </w:r>
          </w:p>
        </w:tc>
        <w:tc>
          <w:tcPr>
            <w:tcW w:w="1800" w:type="dxa"/>
            <w:tcMar>
              <w:left w:w="105" w:type="dxa"/>
              <w:right w:w="105" w:type="dxa"/>
            </w:tcMar>
          </w:tcPr>
          <w:p w14:paraId="6925EB9D" w14:textId="1DBBDA8F" w:rsidR="090184E5" w:rsidRDefault="1959D7B2" w:rsidP="20C9F860">
            <w:pPr>
              <w:rPr>
                <w:rFonts w:eastAsia="Aptos" w:cs="Aptos"/>
                <w:sz w:val="24"/>
                <w:szCs w:val="24"/>
              </w:rPr>
            </w:pPr>
            <w:r w:rsidRPr="20C9F860">
              <w:rPr>
                <w:rFonts w:eastAsia="Aptos" w:cs="Aptos"/>
                <w:sz w:val="24"/>
                <w:szCs w:val="24"/>
              </w:rPr>
              <w:t>Systemic Barriers</w:t>
            </w:r>
          </w:p>
        </w:tc>
      </w:tr>
      <w:tr w:rsidR="090184E5" w14:paraId="5311CB1E" w14:textId="77777777" w:rsidTr="20C9F860">
        <w:trPr>
          <w:trHeight w:val="300"/>
        </w:trPr>
        <w:tc>
          <w:tcPr>
            <w:tcW w:w="1800" w:type="dxa"/>
            <w:tcMar>
              <w:left w:w="105" w:type="dxa"/>
              <w:right w:w="105" w:type="dxa"/>
            </w:tcMar>
          </w:tcPr>
          <w:p w14:paraId="01042359" w14:textId="3221B1FA" w:rsidR="090184E5" w:rsidRDefault="1959D7B2" w:rsidP="20C9F860">
            <w:pPr>
              <w:rPr>
                <w:rFonts w:eastAsia="Aptos" w:cs="Aptos"/>
                <w:sz w:val="24"/>
                <w:szCs w:val="24"/>
              </w:rPr>
            </w:pPr>
            <w:r w:rsidRPr="20C9F860">
              <w:rPr>
                <w:rFonts w:eastAsia="Aptos" w:cs="Aptos"/>
                <w:sz w:val="24"/>
                <w:szCs w:val="24"/>
              </w:rPr>
              <w:t>Roman-Urrestarazu et al. (2021)</w:t>
            </w:r>
          </w:p>
        </w:tc>
        <w:tc>
          <w:tcPr>
            <w:tcW w:w="1800" w:type="dxa"/>
            <w:tcMar>
              <w:left w:w="105" w:type="dxa"/>
              <w:right w:w="105" w:type="dxa"/>
            </w:tcMar>
          </w:tcPr>
          <w:p w14:paraId="78B4EE93" w14:textId="6FB3CD5B" w:rsidR="090184E5" w:rsidRDefault="1959D7B2" w:rsidP="20C9F860">
            <w:pPr>
              <w:rPr>
                <w:rFonts w:eastAsia="Aptos" w:cs="Aptos"/>
                <w:sz w:val="24"/>
                <w:szCs w:val="24"/>
              </w:rPr>
            </w:pPr>
            <w:r w:rsidRPr="20C9F860">
              <w:rPr>
                <w:rFonts w:eastAsia="Aptos" w:cs="Aptos"/>
                <w:sz w:val="24"/>
                <w:szCs w:val="24"/>
              </w:rPr>
              <w:t>Ethnicity &amp; diagnosis across 7M children</w:t>
            </w:r>
          </w:p>
        </w:tc>
        <w:tc>
          <w:tcPr>
            <w:tcW w:w="1800" w:type="dxa"/>
            <w:tcMar>
              <w:left w:w="105" w:type="dxa"/>
              <w:right w:w="105" w:type="dxa"/>
            </w:tcMar>
          </w:tcPr>
          <w:p w14:paraId="5D39D56E" w14:textId="05821813" w:rsidR="090184E5" w:rsidRDefault="1959D7B2" w:rsidP="20C9F860">
            <w:pPr>
              <w:rPr>
                <w:rFonts w:eastAsia="Aptos" w:cs="Aptos"/>
                <w:sz w:val="24"/>
                <w:szCs w:val="24"/>
              </w:rPr>
            </w:pPr>
            <w:r w:rsidRPr="20C9F860">
              <w:rPr>
                <w:rFonts w:eastAsia="Aptos" w:cs="Aptos"/>
                <w:sz w:val="24"/>
                <w:szCs w:val="24"/>
              </w:rPr>
              <w:t>Ethnic minority children diagnosed later</w:t>
            </w:r>
          </w:p>
        </w:tc>
        <w:tc>
          <w:tcPr>
            <w:tcW w:w="1800" w:type="dxa"/>
            <w:tcMar>
              <w:left w:w="105" w:type="dxa"/>
              <w:right w:w="105" w:type="dxa"/>
            </w:tcMar>
          </w:tcPr>
          <w:p w14:paraId="610E90B7" w14:textId="7F39E432" w:rsidR="090184E5" w:rsidRDefault="1959D7B2" w:rsidP="20C9F860">
            <w:pPr>
              <w:rPr>
                <w:rFonts w:eastAsia="Aptos" w:cs="Aptos"/>
                <w:sz w:val="24"/>
                <w:szCs w:val="24"/>
              </w:rPr>
            </w:pPr>
            <w:r w:rsidRPr="20C9F860">
              <w:rPr>
                <w:rFonts w:eastAsia="Aptos" w:cs="Aptos"/>
                <w:sz w:val="24"/>
                <w:szCs w:val="24"/>
              </w:rPr>
              <w:t>Ethnic inequality; delayed diagnosis</w:t>
            </w:r>
          </w:p>
        </w:tc>
        <w:tc>
          <w:tcPr>
            <w:tcW w:w="1800" w:type="dxa"/>
            <w:tcMar>
              <w:left w:w="105" w:type="dxa"/>
              <w:right w:w="105" w:type="dxa"/>
            </w:tcMar>
          </w:tcPr>
          <w:p w14:paraId="6CE05408" w14:textId="69E7345E" w:rsidR="090184E5" w:rsidRDefault="1959D7B2" w:rsidP="20C9F860">
            <w:pPr>
              <w:rPr>
                <w:rFonts w:eastAsia="Aptos" w:cs="Aptos"/>
                <w:sz w:val="24"/>
                <w:szCs w:val="24"/>
              </w:rPr>
            </w:pPr>
            <w:r w:rsidRPr="20C9F860">
              <w:rPr>
                <w:rFonts w:eastAsia="Aptos" w:cs="Aptos"/>
                <w:sz w:val="24"/>
                <w:szCs w:val="24"/>
              </w:rPr>
              <w:t>Sociocultural Barriers</w:t>
            </w:r>
          </w:p>
        </w:tc>
      </w:tr>
      <w:tr w:rsidR="090184E5" w14:paraId="150B542B" w14:textId="77777777" w:rsidTr="20C9F860">
        <w:trPr>
          <w:trHeight w:val="300"/>
        </w:trPr>
        <w:tc>
          <w:tcPr>
            <w:tcW w:w="1800" w:type="dxa"/>
            <w:tcMar>
              <w:left w:w="105" w:type="dxa"/>
              <w:right w:w="105" w:type="dxa"/>
            </w:tcMar>
          </w:tcPr>
          <w:p w14:paraId="48C7AE7E" w14:textId="4D61AC6B" w:rsidR="090184E5" w:rsidRDefault="1959D7B2" w:rsidP="20C9F860">
            <w:pPr>
              <w:rPr>
                <w:rFonts w:eastAsia="Aptos" w:cs="Aptos"/>
                <w:sz w:val="24"/>
                <w:szCs w:val="24"/>
              </w:rPr>
            </w:pPr>
            <w:r w:rsidRPr="20C9F860">
              <w:rPr>
                <w:rFonts w:eastAsia="Aptos" w:cs="Aptos"/>
                <w:sz w:val="24"/>
                <w:szCs w:val="24"/>
              </w:rPr>
              <w:t>Lai et al. (2020)</w:t>
            </w:r>
          </w:p>
        </w:tc>
        <w:tc>
          <w:tcPr>
            <w:tcW w:w="1800" w:type="dxa"/>
            <w:tcMar>
              <w:left w:w="105" w:type="dxa"/>
              <w:right w:w="105" w:type="dxa"/>
            </w:tcMar>
          </w:tcPr>
          <w:p w14:paraId="43EDB5CA" w14:textId="6B8B8DAF" w:rsidR="090184E5" w:rsidRDefault="1959D7B2" w:rsidP="20C9F860">
            <w:pPr>
              <w:rPr>
                <w:rFonts w:eastAsia="Aptos" w:cs="Aptos"/>
                <w:sz w:val="24"/>
                <w:szCs w:val="24"/>
              </w:rPr>
            </w:pPr>
            <w:r w:rsidRPr="20C9F860">
              <w:rPr>
                <w:rFonts w:eastAsia="Aptos" w:cs="Aptos"/>
                <w:sz w:val="24"/>
                <w:szCs w:val="24"/>
              </w:rPr>
              <w:t>Parental stress &amp; mental health</w:t>
            </w:r>
          </w:p>
        </w:tc>
        <w:tc>
          <w:tcPr>
            <w:tcW w:w="1800" w:type="dxa"/>
            <w:tcMar>
              <w:left w:w="105" w:type="dxa"/>
              <w:right w:w="105" w:type="dxa"/>
            </w:tcMar>
          </w:tcPr>
          <w:p w14:paraId="6E1AA739" w14:textId="0482A8E4" w:rsidR="090184E5" w:rsidRDefault="1959D7B2" w:rsidP="20C9F860">
            <w:pPr>
              <w:rPr>
                <w:rFonts w:eastAsia="Aptos" w:cs="Aptos"/>
                <w:sz w:val="24"/>
                <w:szCs w:val="24"/>
              </w:rPr>
            </w:pPr>
            <w:r w:rsidRPr="20C9F860">
              <w:rPr>
                <w:rFonts w:eastAsia="Aptos" w:cs="Aptos"/>
                <w:sz w:val="24"/>
                <w:szCs w:val="24"/>
              </w:rPr>
              <w:t>High anxiety/depression in parents of autistic children</w:t>
            </w:r>
          </w:p>
        </w:tc>
        <w:tc>
          <w:tcPr>
            <w:tcW w:w="1800" w:type="dxa"/>
            <w:tcMar>
              <w:left w:w="105" w:type="dxa"/>
              <w:right w:w="105" w:type="dxa"/>
            </w:tcMar>
          </w:tcPr>
          <w:p w14:paraId="1B8BA54E" w14:textId="3B086611" w:rsidR="090184E5" w:rsidRDefault="1959D7B2" w:rsidP="20C9F860">
            <w:pPr>
              <w:rPr>
                <w:rFonts w:eastAsia="Aptos" w:cs="Aptos"/>
                <w:sz w:val="24"/>
                <w:szCs w:val="24"/>
              </w:rPr>
            </w:pPr>
            <w:r w:rsidRPr="20C9F860">
              <w:rPr>
                <w:rFonts w:eastAsia="Aptos" w:cs="Aptos"/>
                <w:sz w:val="24"/>
                <w:szCs w:val="24"/>
              </w:rPr>
              <w:t>Parental strain; mental health impact</w:t>
            </w:r>
          </w:p>
        </w:tc>
        <w:tc>
          <w:tcPr>
            <w:tcW w:w="1800" w:type="dxa"/>
            <w:tcMar>
              <w:left w:w="105" w:type="dxa"/>
              <w:right w:w="105" w:type="dxa"/>
            </w:tcMar>
          </w:tcPr>
          <w:p w14:paraId="2F534C06" w14:textId="7441A29F" w:rsidR="090184E5" w:rsidRDefault="1959D7B2" w:rsidP="20C9F860">
            <w:pPr>
              <w:rPr>
                <w:rFonts w:eastAsia="Aptos" w:cs="Aptos"/>
                <w:sz w:val="24"/>
                <w:szCs w:val="24"/>
              </w:rPr>
            </w:pPr>
            <w:r w:rsidRPr="20C9F860">
              <w:rPr>
                <w:rFonts w:eastAsia="Aptos" w:cs="Aptos"/>
                <w:sz w:val="24"/>
                <w:szCs w:val="24"/>
              </w:rPr>
              <w:t>Parental Experiences</w:t>
            </w:r>
          </w:p>
        </w:tc>
      </w:tr>
    </w:tbl>
    <w:p w14:paraId="02C4F626" w14:textId="232E7370" w:rsidR="00C17A49" w:rsidRPr="00C17A49" w:rsidRDefault="00C17A49" w:rsidP="20C9F860"/>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1800"/>
        <w:gridCol w:w="1800"/>
        <w:gridCol w:w="1800"/>
        <w:gridCol w:w="1800"/>
        <w:gridCol w:w="1800"/>
      </w:tblGrid>
      <w:tr w:rsidR="090184E5" w14:paraId="444359BD" w14:textId="77777777" w:rsidTr="20C9F860">
        <w:trPr>
          <w:trHeight w:val="300"/>
        </w:trPr>
        <w:tc>
          <w:tcPr>
            <w:tcW w:w="1800" w:type="dxa"/>
            <w:tcMar>
              <w:left w:w="105" w:type="dxa"/>
              <w:right w:w="105" w:type="dxa"/>
            </w:tcMar>
          </w:tcPr>
          <w:p w14:paraId="5ADC44F4" w14:textId="4C54BD54" w:rsidR="090184E5" w:rsidRDefault="1959D7B2" w:rsidP="20C9F860">
            <w:pPr>
              <w:rPr>
                <w:rFonts w:eastAsia="Aptos" w:cs="Aptos"/>
                <w:sz w:val="24"/>
                <w:szCs w:val="24"/>
              </w:rPr>
            </w:pPr>
            <w:r w:rsidRPr="20C9F860">
              <w:rPr>
                <w:rFonts w:eastAsia="Aptos" w:cs="Aptos"/>
                <w:sz w:val="24"/>
                <w:szCs w:val="24"/>
              </w:rPr>
              <w:t>Keen et al. (2021)</w:t>
            </w:r>
          </w:p>
        </w:tc>
        <w:tc>
          <w:tcPr>
            <w:tcW w:w="1800" w:type="dxa"/>
            <w:tcMar>
              <w:left w:w="105" w:type="dxa"/>
              <w:right w:w="105" w:type="dxa"/>
            </w:tcMar>
          </w:tcPr>
          <w:p w14:paraId="42AF59B6" w14:textId="66C1B73F" w:rsidR="090184E5" w:rsidRDefault="1959D7B2" w:rsidP="20C9F860">
            <w:pPr>
              <w:rPr>
                <w:rFonts w:eastAsia="Aptos" w:cs="Aptos"/>
                <w:sz w:val="24"/>
                <w:szCs w:val="24"/>
              </w:rPr>
            </w:pPr>
            <w:r w:rsidRPr="20C9F860">
              <w:rPr>
                <w:rFonts w:eastAsia="Aptos" w:cs="Aptos"/>
                <w:sz w:val="24"/>
                <w:szCs w:val="24"/>
              </w:rPr>
              <w:t>Culturally adapted parent support</w:t>
            </w:r>
          </w:p>
        </w:tc>
        <w:tc>
          <w:tcPr>
            <w:tcW w:w="1800" w:type="dxa"/>
            <w:tcMar>
              <w:left w:w="105" w:type="dxa"/>
              <w:right w:w="105" w:type="dxa"/>
            </w:tcMar>
          </w:tcPr>
          <w:p w14:paraId="4B3A4365" w14:textId="0F828DD8" w:rsidR="090184E5" w:rsidRDefault="1959D7B2" w:rsidP="20C9F860">
            <w:pPr>
              <w:rPr>
                <w:rFonts w:eastAsia="Aptos" w:cs="Aptos"/>
                <w:sz w:val="24"/>
                <w:szCs w:val="24"/>
              </w:rPr>
            </w:pPr>
            <w:r w:rsidRPr="20C9F860">
              <w:rPr>
                <w:rFonts w:eastAsia="Aptos" w:cs="Aptos"/>
                <w:sz w:val="24"/>
                <w:szCs w:val="24"/>
              </w:rPr>
              <w:t>Improved engagement when support is tailored culturally</w:t>
            </w:r>
          </w:p>
        </w:tc>
        <w:tc>
          <w:tcPr>
            <w:tcW w:w="1800" w:type="dxa"/>
            <w:tcMar>
              <w:left w:w="105" w:type="dxa"/>
              <w:right w:w="105" w:type="dxa"/>
            </w:tcMar>
          </w:tcPr>
          <w:p w14:paraId="5A68FDC7" w14:textId="78C9E099" w:rsidR="090184E5" w:rsidRDefault="1959D7B2" w:rsidP="20C9F860">
            <w:pPr>
              <w:rPr>
                <w:rFonts w:eastAsia="Aptos" w:cs="Aptos"/>
                <w:sz w:val="24"/>
                <w:szCs w:val="24"/>
              </w:rPr>
            </w:pPr>
            <w:r w:rsidRPr="20C9F860">
              <w:rPr>
                <w:rFonts w:eastAsia="Aptos" w:cs="Aptos"/>
                <w:sz w:val="24"/>
                <w:szCs w:val="24"/>
              </w:rPr>
              <w:t>Engagement rises with cultural support</w:t>
            </w:r>
          </w:p>
        </w:tc>
        <w:tc>
          <w:tcPr>
            <w:tcW w:w="1800" w:type="dxa"/>
            <w:tcMar>
              <w:left w:w="105" w:type="dxa"/>
              <w:right w:w="105" w:type="dxa"/>
            </w:tcMar>
          </w:tcPr>
          <w:p w14:paraId="707FC646" w14:textId="53EC1778" w:rsidR="090184E5" w:rsidRDefault="1959D7B2" w:rsidP="20C9F860">
            <w:pPr>
              <w:rPr>
                <w:rFonts w:eastAsia="Aptos" w:cs="Aptos"/>
                <w:sz w:val="24"/>
                <w:szCs w:val="24"/>
              </w:rPr>
            </w:pPr>
            <w:r w:rsidRPr="20C9F860">
              <w:rPr>
                <w:rFonts w:eastAsia="Aptos" w:cs="Aptos"/>
                <w:sz w:val="24"/>
                <w:szCs w:val="24"/>
              </w:rPr>
              <w:t>Sociocultural / Parental</w:t>
            </w:r>
          </w:p>
        </w:tc>
      </w:tr>
    </w:tbl>
    <w:p w14:paraId="162DDC19" w14:textId="64115E6E" w:rsidR="00C17A49" w:rsidRPr="00B01396" w:rsidRDefault="00C17A49" w:rsidP="20C9F860">
      <w:pPr>
        <w:jc w:val="left"/>
        <w:rPr>
          <w:rFonts w:eastAsia="Aptos" w:cs="Aptos"/>
          <w:color w:val="000000" w:themeColor="text1"/>
          <w:sz w:val="24"/>
          <w:szCs w:val="24"/>
        </w:rPr>
      </w:pPr>
    </w:p>
    <w:p w14:paraId="701C686E" w14:textId="3018BA9A" w:rsidR="00C17A49" w:rsidRPr="00B01396" w:rsidRDefault="00C17A49" w:rsidP="20C9F860"/>
    <w:p w14:paraId="34D844F4" w14:textId="6F564912" w:rsidR="00B01396" w:rsidRDefault="612069C7" w:rsidP="20C9F860">
      <w:pPr>
        <w:pStyle w:val="Heading2"/>
        <w:ind w:left="360"/>
      </w:pPr>
      <w:r>
        <w:t>3.7</w:t>
      </w:r>
      <w:r w:rsidR="00292A36">
        <w:t xml:space="preserve">– Ethical Considerations </w:t>
      </w:r>
    </w:p>
    <w:p w14:paraId="458F1502" w14:textId="6D838DEE" w:rsidR="001C3AF6" w:rsidRPr="001C3AF6" w:rsidRDefault="03567E8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As this dissertation is based on secondary research, no primary data collection was undertaken, and therefore issues such as informed consent or participant confidentiality were not applicable. However, ethical considerations remained essential.</w:t>
      </w:r>
    </w:p>
    <w:p w14:paraId="781FA9A2" w14:textId="443485AB" w:rsidR="001C3AF6" w:rsidRPr="001C3AF6" w:rsidRDefault="03567E8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Academic integrity was maintained by citing all sources accurately and using the Harvard referencing style consistently. Paraphrasing was applied carefully to avoid plagiarism, while direct quotations were used sparingly and only where necessary. Additionally, transparency was prioritised by documenting search strategies and decision-making processes, ensuring that the research could be replicated.</w:t>
      </w:r>
    </w:p>
    <w:p w14:paraId="7B78F2D1" w14:textId="50CBB7F3" w:rsidR="001C3AF6" w:rsidRPr="001C3AF6" w:rsidRDefault="03567E8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Finally, care was taken to present the literature fairly, without bias towards a single perspective. By critically engaging with diverse sources, the analysis remains credible and balanced.</w:t>
      </w:r>
    </w:p>
    <w:p w14:paraId="5569F915" w14:textId="68311972" w:rsidR="001C3AF6" w:rsidRPr="001C3AF6" w:rsidRDefault="001C3AF6" w:rsidP="20C9F860"/>
    <w:p w14:paraId="7F51675F" w14:textId="3C4B9295" w:rsidR="00292A36" w:rsidRDefault="00E325CF" w:rsidP="20C9F860">
      <w:pPr>
        <w:pStyle w:val="Heading2"/>
      </w:pPr>
      <w:r>
        <w:t xml:space="preserve">3.8 </w:t>
      </w:r>
      <w:r w:rsidR="00292A36">
        <w:t>– Chapter Conclusion</w:t>
      </w:r>
    </w:p>
    <w:p w14:paraId="05F7ECA8" w14:textId="73FF4151" w:rsidR="5303CD1F" w:rsidRDefault="5303CD1F"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This chapter has outlined the methods used to identify, evaluate, and analyse literature relevant to the research question. A structured search strategy, supported </w:t>
      </w:r>
      <w:r w:rsidR="0E55EBC6" w:rsidRPr="20C9F860">
        <w:rPr>
          <w:rFonts w:ascii="Arial" w:eastAsia="Arial" w:hAnsi="Arial" w:cs="Arial"/>
          <w:color w:val="000000" w:themeColor="text1"/>
          <w:sz w:val="24"/>
          <w:szCs w:val="24"/>
        </w:rPr>
        <w:t>using</w:t>
      </w:r>
      <w:r w:rsidRPr="20C9F860">
        <w:rPr>
          <w:rFonts w:ascii="Arial" w:eastAsia="Arial" w:hAnsi="Arial" w:cs="Arial"/>
          <w:color w:val="000000" w:themeColor="text1"/>
          <w:sz w:val="24"/>
          <w:szCs w:val="24"/>
        </w:rPr>
        <w:t xml:space="preserve"> Boolean operators and filters, ensured that only credible and contemporary sources were included. Validation methods, such as the CRAAP test, strengthened the reliability of the evidence base. The use of inclusion and exclusion criteria maintained a clear focus on barriers to autism support for children under 12 in the UK.</w:t>
      </w:r>
    </w:p>
    <w:p w14:paraId="036E6B7F" w14:textId="3842899F" w:rsidR="001C3AF6" w:rsidRPr="00636D9A" w:rsidRDefault="38AF1273" w:rsidP="58BA14D5">
      <w:pPr>
        <w:spacing w:before="240" w:after="240"/>
      </w:pPr>
      <w:r w:rsidRPr="58BA14D5">
        <w:rPr>
          <w:rFonts w:ascii="Arial" w:eastAsia="Arial" w:hAnsi="Arial" w:cs="Arial"/>
          <w:color w:val="000000" w:themeColor="text1"/>
          <w:sz w:val="24"/>
          <w:szCs w:val="24"/>
        </w:rPr>
        <w:t>The thematic coding approach provided a systematic way of analysing data, enabling the identification of recurring themes across the literature. These themes form the basis for Chapter 4, which will present the findings in detail, organised around the key barriers identified.</w:t>
      </w:r>
    </w:p>
    <w:p w14:paraId="3E27A013" w14:textId="7482535C" w:rsidR="001C3AF6" w:rsidRPr="00636D9A" w:rsidRDefault="696B91D2" w:rsidP="58BA14D5">
      <w:pPr>
        <w:spacing w:before="240" w:after="240"/>
        <w:rPr>
          <w:b/>
          <w:bCs/>
          <w:sz w:val="36"/>
          <w:szCs w:val="36"/>
        </w:rPr>
      </w:pPr>
      <w:r w:rsidRPr="58BA14D5">
        <w:rPr>
          <w:b/>
          <w:bCs/>
          <w:sz w:val="36"/>
          <w:szCs w:val="36"/>
        </w:rPr>
        <w:t>C</w:t>
      </w:r>
      <w:r w:rsidR="0868A3DE" w:rsidRPr="58BA14D5">
        <w:rPr>
          <w:b/>
          <w:bCs/>
          <w:sz w:val="36"/>
          <w:szCs w:val="36"/>
        </w:rPr>
        <w:t>HAPTER</w:t>
      </w:r>
      <w:r w:rsidRPr="58BA14D5">
        <w:rPr>
          <w:b/>
          <w:bCs/>
          <w:sz w:val="36"/>
          <w:szCs w:val="36"/>
        </w:rPr>
        <w:t xml:space="preserve"> 4 – Findings and Discussion </w:t>
      </w:r>
    </w:p>
    <w:p w14:paraId="1134D897" w14:textId="77777777" w:rsidR="001C3AF6" w:rsidRDefault="001C3AF6" w:rsidP="20C9F860"/>
    <w:p w14:paraId="0CB43921" w14:textId="51A20D17" w:rsidR="001C3AF6" w:rsidRPr="00636D9A" w:rsidRDefault="001C3AF6" w:rsidP="20C9F860">
      <w:pPr>
        <w:pStyle w:val="Heading2"/>
      </w:pPr>
      <w:r>
        <w:t>4.1 –</w:t>
      </w:r>
      <w:r w:rsidR="00636D9A">
        <w:t xml:space="preserve"> </w:t>
      </w:r>
      <w:r>
        <w:t xml:space="preserve">Introduction </w:t>
      </w:r>
    </w:p>
    <w:p w14:paraId="536F697E" w14:textId="3511A931" w:rsidR="00636D9A" w:rsidRDefault="0AED1B0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This chapter presents the findings of the dissertation through a thematic analysis of secondary literature, with the aim of answering the research question: </w:t>
      </w:r>
      <w:r w:rsidRPr="20C9F860">
        <w:rPr>
          <w:rFonts w:ascii="Arial" w:eastAsia="Arial" w:hAnsi="Arial" w:cs="Arial"/>
          <w:i/>
          <w:iCs/>
          <w:color w:val="000000" w:themeColor="text1"/>
          <w:sz w:val="24"/>
          <w:szCs w:val="24"/>
        </w:rPr>
        <w:t>What barriers do parents face when accessing autism support services for children under 12 in the UK?</w:t>
      </w:r>
      <w:r w:rsidRPr="20C9F860">
        <w:rPr>
          <w:rFonts w:ascii="Arial" w:eastAsia="Arial" w:hAnsi="Arial" w:cs="Arial"/>
          <w:color w:val="000000" w:themeColor="text1"/>
          <w:sz w:val="24"/>
          <w:szCs w:val="24"/>
        </w:rPr>
        <w:t xml:space="preserve"> The findings are structured into three themes which emerged from the reviewed literature: (1) systemic and structural barriers, (2) sociocultural and economic barriers, and (3) parental experiences and emotional impact. Each theme is critically discussed in relation to existing research, policy frameworks, and theoretical perspectives. The discussion highlights both the recurring challenges and the variations identified across different communities and service contexts. By adopting this thematic approach, the chapter not only identifies obstacles faced by parents but also demonstrates how these barriers intersect, reinforcing inequalities in access to autism support.</w:t>
      </w:r>
    </w:p>
    <w:p w14:paraId="49AC5888" w14:textId="1CAFFED3" w:rsidR="001C3AF6" w:rsidRPr="00636D9A" w:rsidRDefault="001C3AF6" w:rsidP="20C9F860">
      <w:pPr>
        <w:rPr>
          <w:rFonts w:ascii="Arial" w:eastAsia="Arial" w:hAnsi="Arial" w:cs="Arial"/>
          <w:b/>
          <w:bCs/>
        </w:rPr>
      </w:pPr>
      <w:r w:rsidRPr="20C9F860">
        <w:rPr>
          <w:rFonts w:ascii="Arial" w:eastAsia="Arial" w:hAnsi="Arial" w:cs="Arial"/>
          <w:b/>
          <w:bCs/>
        </w:rPr>
        <w:t xml:space="preserve">4.2 – Thematic Analysis  </w:t>
      </w:r>
    </w:p>
    <w:p w14:paraId="1F9B5EAE" w14:textId="58F1EE11" w:rsidR="00636D9A" w:rsidRDefault="4E193BC5"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Thematic analysis is a method used to identify, interpret, and report recurring patterns within qualitative data (Braun &amp; Clarke, 2019). Although often applied to primary research such as interviews, it is also recognised as a valuable approach in secondary research when reviewing existing studies (Nowell et al., 2017). It provides a systematic framework for organising findings and ensuring that key themes are supported by evidence. In this dissertation, thematic analysis was applied to the reviewed literature gathered in Chapter 3, using coding to identify recurrent issues and categorise them into broader themes.</w:t>
      </w:r>
    </w:p>
    <w:p w14:paraId="7E9C5972" w14:textId="6638A135" w:rsidR="00636D9A" w:rsidRDefault="4E193BC5"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The process involved reading each source closely, highlighting repeated ideas such as </w:t>
      </w:r>
      <w:r w:rsidRPr="20C9F860">
        <w:rPr>
          <w:rFonts w:ascii="Arial" w:eastAsia="Arial" w:hAnsi="Arial" w:cs="Arial"/>
          <w:i/>
          <w:iCs/>
          <w:color w:val="000000" w:themeColor="text1"/>
          <w:sz w:val="24"/>
          <w:szCs w:val="24"/>
        </w:rPr>
        <w:t>waiting times</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diagnostic delays</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language barriers</w:t>
      </w:r>
      <w:r w:rsidRPr="20C9F860">
        <w:rPr>
          <w:rFonts w:ascii="Arial" w:eastAsia="Arial" w:hAnsi="Arial" w:cs="Arial"/>
          <w:color w:val="000000" w:themeColor="text1"/>
          <w:sz w:val="24"/>
          <w:szCs w:val="24"/>
        </w:rPr>
        <w:t xml:space="preserve">, </w:t>
      </w:r>
      <w:r w:rsidRPr="20C9F860">
        <w:rPr>
          <w:rFonts w:ascii="Arial" w:eastAsia="Arial" w:hAnsi="Arial" w:cs="Arial"/>
          <w:i/>
          <w:iCs/>
          <w:color w:val="000000" w:themeColor="text1"/>
          <w:sz w:val="24"/>
          <w:szCs w:val="24"/>
        </w:rPr>
        <w:t>financial constraints</w:t>
      </w:r>
      <w:r w:rsidRPr="20C9F860">
        <w:rPr>
          <w:rFonts w:ascii="Arial" w:eastAsia="Arial" w:hAnsi="Arial" w:cs="Arial"/>
          <w:color w:val="000000" w:themeColor="text1"/>
          <w:sz w:val="24"/>
          <w:szCs w:val="24"/>
        </w:rPr>
        <w:t xml:space="preserve">, and </w:t>
      </w:r>
      <w:r w:rsidRPr="20C9F860">
        <w:rPr>
          <w:rFonts w:ascii="Arial" w:eastAsia="Arial" w:hAnsi="Arial" w:cs="Arial"/>
          <w:i/>
          <w:iCs/>
          <w:color w:val="000000" w:themeColor="text1"/>
          <w:sz w:val="24"/>
          <w:szCs w:val="24"/>
        </w:rPr>
        <w:t>parental stress</w:t>
      </w:r>
      <w:r w:rsidRPr="20C9F860">
        <w:rPr>
          <w:rFonts w:ascii="Arial" w:eastAsia="Arial" w:hAnsi="Arial" w:cs="Arial"/>
          <w:color w:val="000000" w:themeColor="text1"/>
          <w:sz w:val="24"/>
          <w:szCs w:val="24"/>
        </w:rPr>
        <w:t xml:space="preserve">. These were then grouped into broader categories which became the final themes. For example, “waiting times” and “fragmented referral pathways” were coded under the theme of </w:t>
      </w:r>
      <w:r w:rsidRPr="20C9F860">
        <w:rPr>
          <w:rFonts w:ascii="Arial" w:eastAsia="Arial" w:hAnsi="Arial" w:cs="Arial"/>
          <w:b/>
          <w:bCs/>
          <w:color w:val="000000" w:themeColor="text1"/>
          <w:sz w:val="24"/>
          <w:szCs w:val="24"/>
        </w:rPr>
        <w:t>systemic and structural barriers</w:t>
      </w:r>
      <w:r w:rsidRPr="20C9F860">
        <w:rPr>
          <w:rFonts w:ascii="Arial" w:eastAsia="Arial" w:hAnsi="Arial" w:cs="Arial"/>
          <w:color w:val="000000" w:themeColor="text1"/>
          <w:sz w:val="24"/>
          <w:szCs w:val="24"/>
        </w:rPr>
        <w:t xml:space="preserve">, while “language barriers” and “socio-economic inequalities” informed the theme of </w:t>
      </w:r>
      <w:r w:rsidRPr="20C9F860">
        <w:rPr>
          <w:rFonts w:ascii="Arial" w:eastAsia="Arial" w:hAnsi="Arial" w:cs="Arial"/>
          <w:b/>
          <w:bCs/>
          <w:color w:val="000000" w:themeColor="text1"/>
          <w:sz w:val="24"/>
          <w:szCs w:val="24"/>
        </w:rPr>
        <w:t>sociocultural and economic barriers</w:t>
      </w:r>
      <w:r w:rsidRPr="20C9F860">
        <w:rPr>
          <w:rFonts w:ascii="Arial" w:eastAsia="Arial" w:hAnsi="Arial" w:cs="Arial"/>
          <w:color w:val="000000" w:themeColor="text1"/>
          <w:sz w:val="24"/>
          <w:szCs w:val="24"/>
        </w:rPr>
        <w:t xml:space="preserve">. Issues relating to family stress, feelings of isolation, and struggles navigating support systems were grouped into </w:t>
      </w:r>
      <w:r w:rsidRPr="20C9F860">
        <w:rPr>
          <w:rFonts w:ascii="Arial" w:eastAsia="Arial" w:hAnsi="Arial" w:cs="Arial"/>
          <w:b/>
          <w:bCs/>
          <w:color w:val="000000" w:themeColor="text1"/>
          <w:sz w:val="24"/>
          <w:szCs w:val="24"/>
        </w:rPr>
        <w:t>parental experiences and emotional impact</w:t>
      </w:r>
      <w:r w:rsidRPr="20C9F860">
        <w:rPr>
          <w:rFonts w:ascii="Arial" w:eastAsia="Arial" w:hAnsi="Arial" w:cs="Arial"/>
          <w:color w:val="000000" w:themeColor="text1"/>
          <w:sz w:val="24"/>
          <w:szCs w:val="24"/>
        </w:rPr>
        <w:t>.</w:t>
      </w:r>
    </w:p>
    <w:p w14:paraId="5D3CFA62" w14:textId="7A462D0E" w:rsidR="00636D9A" w:rsidRDefault="4E193BC5"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By using thematic analysis in this way, the literature was not simply summarised but instead organised into a framework that reflects the complexity of barriers faced by parents. The next sections explore each theme in depth, supported by evidence from recent studies, policies, and theoretical perspectives.</w:t>
      </w:r>
    </w:p>
    <w:p w14:paraId="3B39D7B4" w14:textId="044B0690" w:rsidR="00636D9A" w:rsidRDefault="00636D9A" w:rsidP="20C9F860"/>
    <w:p w14:paraId="1E614ABD" w14:textId="1EE5EBFD" w:rsidR="001C3AF6" w:rsidRPr="00636D9A" w:rsidRDefault="001C3AF6" w:rsidP="20C9F860">
      <w:r w:rsidRPr="20C9F860">
        <w:rPr>
          <w:b/>
          <w:bCs/>
          <w:sz w:val="40"/>
          <w:szCs w:val="40"/>
        </w:rPr>
        <w:t xml:space="preserve">4.3 – Theme 1 </w:t>
      </w:r>
      <w:r w:rsidR="160F95F1" w:rsidRPr="20C9F860">
        <w:rPr>
          <w:rFonts w:ascii="Arial" w:eastAsia="Arial" w:hAnsi="Arial" w:cs="Arial"/>
          <w:b/>
          <w:bCs/>
          <w:color w:val="0F4761"/>
          <w:sz w:val="36"/>
          <w:szCs w:val="36"/>
        </w:rPr>
        <w:t>Systemic and Structural Barriers</w:t>
      </w:r>
    </w:p>
    <w:p w14:paraId="72185F59" w14:textId="51F44FB9"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Systemic and structural barriers refer to the challenges within health, education, and social care systems that hinder families from accessing timely and appropriate autism support. These barriers often stem from institutional processes such as long waiting lists, fragmented referral pathways, and a lack of coordinated service delivery across sectors (Russell et al., 2019). In the UK, autism support services are delivered through a combination of the NHS, local authorities, and schools, yet research consistently shows that parents encounter delays and inconsistencies at </w:t>
      </w:r>
      <w:r w:rsidR="3D7FA946" w:rsidRPr="20C9F860">
        <w:rPr>
          <w:rFonts w:ascii="Arial" w:eastAsia="Arial" w:hAnsi="Arial" w:cs="Arial"/>
          <w:color w:val="000000" w:themeColor="text1"/>
          <w:sz w:val="24"/>
          <w:szCs w:val="24"/>
        </w:rPr>
        <w:t>every</w:t>
      </w:r>
      <w:r w:rsidRPr="20C9F860">
        <w:rPr>
          <w:rFonts w:ascii="Arial" w:eastAsia="Arial" w:hAnsi="Arial" w:cs="Arial"/>
          <w:color w:val="000000" w:themeColor="text1"/>
          <w:sz w:val="24"/>
          <w:szCs w:val="24"/>
        </w:rPr>
        <w:t xml:space="preserve"> stage of the process (Crane et al., 2016; Tick et al., 2021).</w:t>
      </w:r>
    </w:p>
    <w:p w14:paraId="45E07722" w14:textId="68303255"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For children under 12, these barriers are particularly concerning because early intervention is strongly associated with improved developmental outcomes (NICE, 2021). However, the gap between policy recommendations and practical delivery often leaves families waiting years for a diagnosis and further support. This delay undermines the purpose of early intervention and contributes to worsening stress for both children and parents (Moula et al., 2021).</w:t>
      </w:r>
    </w:p>
    <w:p w14:paraId="006B922D" w14:textId="32B6C7F0" w:rsidR="00636D9A" w:rsidRPr="00636D9A" w:rsidRDefault="3A132817"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Historical and Policy Background</w:t>
      </w:r>
    </w:p>
    <w:p w14:paraId="2F301984" w14:textId="1C634522"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Historically, autism was poorly recognised within UK policy, but developments such as the Autism Act 2009 and the statutory guidance that followed marked a turning point. These policies require local authorities and NHS bodies to provide services for autistic people (Department of Health, 2010). More recently, the National Strategy for Autistic Children, Young People and Adults (Department of Health and Social Care, 2021) set out ambitions for earlier identification, improved staff training, and better post-diagnostic support. Despite these frameworks, studies suggest that implementation has been inconsistent, leading to a “postcode lottery” in service provision (Rutherford et al., 2016; Larkins et al., 2022).</w:t>
      </w:r>
    </w:p>
    <w:p w14:paraId="00C2CB06" w14:textId="71BE5CD7"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The SEND Code of Practice (2015) further aimed to ensure that children with special educational needs and disabilities (SEND) receive coordinated educational, health, and care support. Yet parents often report that Education, </w:t>
      </w:r>
      <w:r w:rsidR="7F9D6BAA" w:rsidRPr="20C9F860">
        <w:rPr>
          <w:rFonts w:ascii="Arial" w:eastAsia="Arial" w:hAnsi="Arial" w:cs="Arial"/>
          <w:color w:val="000000" w:themeColor="text1"/>
          <w:sz w:val="24"/>
          <w:szCs w:val="24"/>
        </w:rPr>
        <w:t>Health,</w:t>
      </w:r>
      <w:r w:rsidRPr="20C9F860">
        <w:rPr>
          <w:rFonts w:ascii="Arial" w:eastAsia="Arial" w:hAnsi="Arial" w:cs="Arial"/>
          <w:color w:val="000000" w:themeColor="text1"/>
          <w:sz w:val="24"/>
          <w:szCs w:val="24"/>
        </w:rPr>
        <w:t xml:space="preserve"> and Care Plans (EHCPs) are difficult to obtain, and schools sometimes lack resources to provide the recommended adjustments (Curran et al., 2018). This demonstrates how systemic barriers are not only linked to healthcare but also extend into education and social support structures.</w:t>
      </w:r>
    </w:p>
    <w:p w14:paraId="54B5328F" w14:textId="3CC5BEAD" w:rsidR="00636D9A" w:rsidRPr="00636D9A" w:rsidRDefault="3A132817"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Statistical Evidence</w:t>
      </w:r>
    </w:p>
    <w:p w14:paraId="044A7090" w14:textId="64D6323B"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Quantitative evidence highlights the extent of systemic challenges. A recent UK study found that the average waiting time for a child’s autism assessment exceeded 16 months, with some families waiting over three years (Campbell et al., 2022). These delays directly contradict NICE (2016) guidance, which recommends that assessments should be completed within three months of referral. Furthermore, the National Autistic Society (2021) reported that 74% of parents felt they had to “fight” for their child to receive a diagnosis and appropriate support. Such figures illustrate that systemic barriers are not isolated cases but widespread across the UK.</w:t>
      </w:r>
    </w:p>
    <w:p w14:paraId="0AFA0EA0" w14:textId="7E4ABF7C"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 delays are also compounded by workforce shortages. According to the Royal College of Psychiatrists (2021), child and adolescent mental health services (CAMHS) have faced sustained underfunding, resulting in insufficient staffing to meet demand. This shortage directly contributes to waiting lists and limits the capacity for follow-up interventions.</w:t>
      </w:r>
    </w:p>
    <w:p w14:paraId="161E16DD" w14:textId="448E29BC" w:rsidR="00636D9A" w:rsidRPr="00636D9A" w:rsidRDefault="3A132817"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Impact on Research Question</w:t>
      </w:r>
    </w:p>
    <w:p w14:paraId="0033A99C" w14:textId="1D26A35F"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Systemic barriers are central to understanding why parents struggle to access autism support for children under 12. They not only delay diagnosis but also prevent families from benefiting from early interventions. For many parents, navigating the system becomes a time-consuming and exhausting process, often requiring repeated requests, appeals, and complaints before services are provided (Locke et al., 2022). These experiences align directly with the aim of this dissertation, as they highlight how institutional structures can obstruct families’ ability to obtain timely and effective support.</w:t>
      </w:r>
    </w:p>
    <w:p w14:paraId="4C409484" w14:textId="0EC41CB1" w:rsidR="00636D9A" w:rsidRPr="00636D9A" w:rsidRDefault="3A132817"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Theoretical Framework</w:t>
      </w:r>
    </w:p>
    <w:p w14:paraId="49D1DDC0" w14:textId="2FF00813"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Bronfenbrenner’s ecological systems theory provides a useful lens to interpret systemic barriers. The model suggests that children’s development is influenced by multiple interacting systems, including the microsystem (family and school), mesosystem (relationships between settings), exosystem (local services), and macrosystem (wider policy and cultural context) (Bronfenbrenner, 1994). In the case of autism services, systemic barriers often emerge at the exosystem level, where institutional policies and practices shape the accessibility of resources. A lack of coordination between systems (e.g., health and education) disrupts the mesosystem, further complicating families’ experiences.</w:t>
      </w:r>
    </w:p>
    <w:p w14:paraId="50F8AF5C" w14:textId="355CCFF2" w:rsidR="00636D9A" w:rsidRPr="00636D9A" w:rsidRDefault="3A132817"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Positive and Negative Implications</w:t>
      </w:r>
    </w:p>
    <w:p w14:paraId="5F8A3361" w14:textId="18E8624C"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On the one hand, systemic reforms such as the SEND Code of Practice and the National Autism Strategy demonstrate growing recognition of the need for coordinated services. Parents in some local areas report improvements, including shorter waiting times and more accessible post-diagnostic support groups (Crane et al., 2016). On the other hand, the persistence of </w:t>
      </w:r>
      <w:r w:rsidR="5D737589" w:rsidRPr="20C9F860">
        <w:rPr>
          <w:rFonts w:ascii="Arial" w:eastAsia="Arial" w:hAnsi="Arial" w:cs="Arial"/>
          <w:color w:val="000000" w:themeColor="text1"/>
          <w:sz w:val="24"/>
          <w:szCs w:val="24"/>
        </w:rPr>
        <w:t>lengthy delays</w:t>
      </w:r>
      <w:r w:rsidRPr="20C9F860">
        <w:rPr>
          <w:rFonts w:ascii="Arial" w:eastAsia="Arial" w:hAnsi="Arial" w:cs="Arial"/>
          <w:color w:val="000000" w:themeColor="text1"/>
          <w:sz w:val="24"/>
          <w:szCs w:val="24"/>
        </w:rPr>
        <w:t xml:space="preserve"> and fragmented services highlights ongoing weaknesses. Without adequate funding and staffing, policy ambitions risk remaining symbolic rather than practical (Tick et al., 2021).</w:t>
      </w:r>
    </w:p>
    <w:p w14:paraId="6EE4B53C" w14:textId="128CFA29" w:rsidR="00636D9A" w:rsidRPr="00636D9A" w:rsidRDefault="3A132817"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Examples from Reviewed Articles</w:t>
      </w:r>
    </w:p>
    <w:p w14:paraId="480A40D0" w14:textId="6AAA07CE"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Crane et al. (2016) examined the experiences of over 1,000 UK parents and found that systemic delays were the most frequently reported barrier to accessing support. Parents described feeling that their concerns were dismissed by professionals and that referral pathways were unnecessarily complex. Similarly, Russell et al. (2019) highlighted that even after diagnosis, many families experienced limited follow-up, with services failing to meet ongoing needs. Campbell et al. (2022) provided quantitative support for these concerns by documenting significant diagnostic delays across the country. These studies collectively illustrate that systemic barriers remain a consistent obstacle for families and demonstrate the practical challenges that underpin this theme.</w:t>
      </w:r>
    </w:p>
    <w:p w14:paraId="20E4EB30" w14:textId="65274532" w:rsidR="00636D9A" w:rsidRPr="00636D9A" w:rsidRDefault="3A132817"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Interconnections with Other Themes</w:t>
      </w:r>
    </w:p>
    <w:p w14:paraId="495369EF" w14:textId="686D5893" w:rsidR="00636D9A" w:rsidRPr="00636D9A" w:rsidRDefault="3A132817"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Systemic and structural barriers are </w:t>
      </w:r>
      <w:r w:rsidR="0E1D59A8" w:rsidRPr="20C9F860">
        <w:rPr>
          <w:rFonts w:ascii="Arial" w:eastAsia="Arial" w:hAnsi="Arial" w:cs="Arial"/>
          <w:color w:val="000000" w:themeColor="text1"/>
          <w:sz w:val="24"/>
          <w:szCs w:val="24"/>
        </w:rPr>
        <w:t>linked</w:t>
      </w:r>
      <w:r w:rsidRPr="20C9F860">
        <w:rPr>
          <w:rFonts w:ascii="Arial" w:eastAsia="Arial" w:hAnsi="Arial" w:cs="Arial"/>
          <w:color w:val="000000" w:themeColor="text1"/>
          <w:sz w:val="24"/>
          <w:szCs w:val="24"/>
        </w:rPr>
        <w:t xml:space="preserve"> to the other themes identified in this dissertation. For example, families from ethnic minority backgrounds may experience even greater delays due to additional cultural and language barriers, which will be discussed in Theme 2. Similarly, the stress associated with navigating fragmented systems contributes directly to parental emotional strain, the focus of Theme 3. This demonstrates that systemic challenges cannot be considered in isolation but are part of an interconnected web of obstacles.</w:t>
      </w:r>
    </w:p>
    <w:p w14:paraId="7F885927" w14:textId="3B153068" w:rsidR="00636D9A" w:rsidRPr="00636D9A" w:rsidRDefault="00636D9A" w:rsidP="20C9F860">
      <w:pPr>
        <w:pStyle w:val="Heading1"/>
        <w:spacing w:line="360" w:lineRule="auto"/>
        <w:rPr>
          <w:sz w:val="28"/>
          <w:szCs w:val="28"/>
        </w:rPr>
      </w:pPr>
    </w:p>
    <w:p w14:paraId="35C7BB28" w14:textId="1CA4BF43" w:rsidR="00636D9A" w:rsidRPr="00636D9A" w:rsidRDefault="001C3AF6" w:rsidP="20C9F860">
      <w:pPr>
        <w:pStyle w:val="Heading2"/>
        <w:spacing w:before="299" w:after="299"/>
      </w:pPr>
      <w:r w:rsidRPr="20C9F860">
        <w:rPr>
          <w:b/>
          <w:bCs/>
          <w:color w:val="000000" w:themeColor="text1"/>
          <w:sz w:val="40"/>
          <w:szCs w:val="40"/>
        </w:rPr>
        <w:t>4.4 – Theme 2</w:t>
      </w:r>
      <w:r w:rsidR="67434FF6" w:rsidRPr="20C9F860">
        <w:rPr>
          <w:b/>
          <w:bCs/>
          <w:color w:val="000000" w:themeColor="text1"/>
          <w:sz w:val="40"/>
          <w:szCs w:val="40"/>
        </w:rPr>
        <w:t xml:space="preserve"> </w:t>
      </w:r>
      <w:r w:rsidR="67434FF6" w:rsidRPr="20C9F860">
        <w:rPr>
          <w:rFonts w:ascii="Arial" w:eastAsia="Arial" w:hAnsi="Arial" w:cs="Arial"/>
          <w:b/>
          <w:bCs/>
          <w:color w:val="0F4761"/>
          <w:sz w:val="36"/>
          <w:szCs w:val="36"/>
        </w:rPr>
        <w:t>Sociocultural and Economic Barriers</w:t>
      </w:r>
    </w:p>
    <w:p w14:paraId="047A7808" w14:textId="45BB4619"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Definition and Context</w:t>
      </w:r>
    </w:p>
    <w:p w14:paraId="25559CE3" w14:textId="26DC56F0"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Sociocultural and economic barriers refer to the influence of family background, cultural norms, language, and socio-economic status on access to autism support. While systemic barriers such as waiting times affect most families, evidence suggests that children from minority ethnic and lower-income households face additional difficulties in obtaining a diagnosis and accessing appropriate services (Crane et al., 2016; Eilenberg et al., 2016). These barriers often arise from mismatches between service provision and the diverse needs of families, creating inequalities in care.</w:t>
      </w:r>
    </w:p>
    <w:p w14:paraId="4C18EABB" w14:textId="7B4E9A96"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For example, a lack of culturally sensitive practice can result in professionals misinterpreting parental concerns or failing to recognise developmental differences across </w:t>
      </w:r>
      <w:r w:rsidR="37D0AC62" w:rsidRPr="20C9F860">
        <w:rPr>
          <w:rFonts w:ascii="Arial" w:eastAsia="Arial" w:hAnsi="Arial" w:cs="Arial"/>
          <w:color w:val="000000" w:themeColor="text1"/>
          <w:sz w:val="24"/>
          <w:szCs w:val="24"/>
        </w:rPr>
        <w:t>diverse cultural</w:t>
      </w:r>
      <w:r w:rsidRPr="20C9F860">
        <w:rPr>
          <w:rFonts w:ascii="Arial" w:eastAsia="Arial" w:hAnsi="Arial" w:cs="Arial"/>
          <w:color w:val="000000" w:themeColor="text1"/>
          <w:sz w:val="24"/>
          <w:szCs w:val="24"/>
        </w:rPr>
        <w:t xml:space="preserve"> contexts (Keen et al., 2021). Likewise, socio-economic disadvantage can limit parents’ ability to pursue private assessments, attend appointments, or advocate effectively for their children (Arora et al., 2018).</w:t>
      </w:r>
    </w:p>
    <w:p w14:paraId="4B4C4C0F" w14:textId="39AAF814"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Historical and Policy Background</w:t>
      </w:r>
    </w:p>
    <w:p w14:paraId="62A24331" w14:textId="006E16FF"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 UK has made commitments to promoting equality through legislation such as the Equality Act 2010, which protects against discrimination based on race, disability, and socio-economic factors. The SEND Code of Practice (2015) also emphasises that children from minority backgrounds should receive equal access to support. Nevertheless, studies continue to highlight disparities in diagnosis and service access. For instance, Roman-Urrestarazu et al. (2021) found that children from minority ethnic backgrounds were diagnosed later and were less likely to receive follow-up services compared to their White peers.</w:t>
      </w:r>
    </w:p>
    <w:p w14:paraId="01E3F20A" w14:textId="269E6A60"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Language barriers represent another long-standing challenge. Even with translation services, parents who are not fluent in English may struggle to communicate complex developmental concerns or navigate service systems (Jegatheesan et al., 2018). Although NHS policy requires the provision of interpreting services, in practice these are inconsistently available, leaving families at risk of being excluded from decision-making (Ali et al., 2022).</w:t>
      </w:r>
    </w:p>
    <w:p w14:paraId="5F1BA4F7" w14:textId="24F13DCF"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Statistical Evidence</w:t>
      </w:r>
    </w:p>
    <w:p w14:paraId="28F4F67F" w14:textId="7DB5A5CC"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Quantitative research demonstrates the scale of these inequalities. A study by Campbell et al. (2022) reported that families from lower socio-economic groups were more likely to wait longer than average for an autism diagnosis. Similarly, Lindsay et al. (2019) found that parents from ethnic minority backgrounds were less likely to report satisfaction with services, citing cultural misunderstanding and limited awareness of autism within their communities as key issues.</w:t>
      </w:r>
    </w:p>
    <w:p w14:paraId="543808FF" w14:textId="2A51F7EA"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Economic disparities also affect access to private assessments, which some families turn to bypass NHS waiting lists. However, with costs often exceeding £2,000, this option is </w:t>
      </w:r>
      <w:r w:rsidR="7A4BD1EE" w:rsidRPr="20C9F860">
        <w:rPr>
          <w:rFonts w:ascii="Arial" w:eastAsia="Arial" w:hAnsi="Arial" w:cs="Arial"/>
          <w:color w:val="000000" w:themeColor="text1"/>
          <w:sz w:val="24"/>
          <w:szCs w:val="24"/>
        </w:rPr>
        <w:t>inaccessible</w:t>
      </w:r>
      <w:r w:rsidRPr="20C9F860">
        <w:rPr>
          <w:rFonts w:ascii="Arial" w:eastAsia="Arial" w:hAnsi="Arial" w:cs="Arial"/>
          <w:color w:val="000000" w:themeColor="text1"/>
          <w:sz w:val="24"/>
          <w:szCs w:val="24"/>
        </w:rPr>
        <w:t xml:space="preserve"> for low-income households (Larkins et al., 2022). Consequently, socio-economic inequality directly influences the timeliness and quality of support.</w:t>
      </w:r>
    </w:p>
    <w:p w14:paraId="5DD469F5" w14:textId="50194F9A"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Impact on Research Question</w:t>
      </w:r>
    </w:p>
    <w:p w14:paraId="11832D12" w14:textId="6819D927"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Sociocultural and economic barriers directly address the dissertation’s aim of exploring obstacles parents face in accessing support. Families from diverse backgrounds often experience compounded challenges, where systemic issues such as long waiting lists are worsened by financial constraints or cultural misunderstandings. These barriers highlight that access to autism services is not uniform but shaped by broader social inequalities, raising important questions about equity and fairness in UK provision.</w:t>
      </w:r>
    </w:p>
    <w:p w14:paraId="53022D14" w14:textId="73E7FE2B"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Theoretical Framework</w:t>
      </w:r>
    </w:p>
    <w:p w14:paraId="0D09B451" w14:textId="264C7D7D"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Health inequality theories, such as Graham’s (2014) social determinants of health model, provide a framework for understanding how social and economic conditions influence health outcomes. Within autism services, socio-economic disadvantage and cultural marginalisation act as determinants that restrict access to timely and effective support. In addition, cultural competence theory emphasises the importance of tailoring healthcare to the cultural needs of diverse populations (Betancourt et al., 2016). Evidence suggests that when services fail to adopt culturally competent practices, families are more likely to disengage, further widening disparities.</w:t>
      </w:r>
    </w:p>
    <w:p w14:paraId="6CB601F6" w14:textId="608622DE"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Positive and Negative Implications</w:t>
      </w:r>
    </w:p>
    <w:p w14:paraId="0BEFE0B4" w14:textId="755EFC43"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One positive implication is that awareness of inequality has grown in recent years, with initiatives aimed at improving inclusivity in autism services. For instance, NHS England (2021) introduced strategies to improve community outreach and reduce health disparities. Some local services have also developed culturally specific support groups for parents, which have been shown to improve engagement and satisfaction (Keen et al., 2021).</w:t>
      </w:r>
    </w:p>
    <w:p w14:paraId="77DA84AA" w14:textId="7BC8EB2E"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However, negative implications remain significant. Persistent disparities risk creating a two-tier system where privileged families can secure faster support through private routes, while disadvantaged families face delays and limited resources. This not only undermines principles of fairness but also perpetuates cycles of disadvantage, as children who miss early interventions may require more intensive support later in life (Lai et al., 2020).</w:t>
      </w:r>
    </w:p>
    <w:p w14:paraId="2FF6EF5A" w14:textId="02FBD5E0"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Examples from Reviewed Articles</w:t>
      </w:r>
    </w:p>
    <w:p w14:paraId="2BD009DD" w14:textId="2E649998"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Crane et al. (2016) identified that families from minority ethnic backgrounds frequently reported difficulties in having their concerns taken seriously by professionals. This study highlighted that stereotypes and a lack of cultural awareness among practitioners contributed to delayed diagnoses. Eilenberg et al. (2016) similarly reported that socio-economic disadvantage was associated with reduced service access and poorer satisfaction. More recently, Lindsay et al. (2019) found that parents from ethnic minority groups described services as unresponsive and insensitive to their needs, which led to feelings of exclusion.</w:t>
      </w:r>
    </w:p>
    <w:p w14:paraId="057F62D3" w14:textId="11553CA5"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In contrast, Keen et al. (2021) presented examples of good practice, where culturally adapted parent training programmes improved engagement and outcomes for families from diverse backgrounds. These examples show that while barriers persist, targeted interventions can make services more inclusive.</w:t>
      </w:r>
    </w:p>
    <w:p w14:paraId="04809B53" w14:textId="1625502A" w:rsidR="74B34423" w:rsidRDefault="74B34423"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Interconnections with Other Themes</w:t>
      </w:r>
    </w:p>
    <w:p w14:paraId="002851F1" w14:textId="6D224BEC" w:rsidR="74B34423" w:rsidRDefault="74B34423"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Sociocultural and economic barriers overlap with systemic challenges and parental experiences. For example, while all families may face long waiting times (Theme 1), those from lower socio-economic groups have fewer resources to manage these delays, increasing stress and frustration (Theme 3). Similarly, cultural misunderstandings not only delay diagnosis but also intensify parents’ emotional burden by leaving them feeling dismissed or marginalised. This interconnectedness demonstrates that barriers must be understood as overlapping rather than isolated.</w:t>
      </w:r>
    </w:p>
    <w:p w14:paraId="0F388F78" w14:textId="63230164" w:rsidR="090184E5" w:rsidRDefault="090184E5" w:rsidP="20C9F860">
      <w:pPr>
        <w:keepNext/>
        <w:keepLines/>
      </w:pPr>
    </w:p>
    <w:p w14:paraId="0D8B4DA0" w14:textId="3FD6CA74" w:rsidR="00636D9A" w:rsidRPr="00636D9A" w:rsidRDefault="001C3AF6" w:rsidP="20C9F860">
      <w:pPr>
        <w:pStyle w:val="Heading2"/>
        <w:spacing w:before="299" w:after="299"/>
      </w:pPr>
      <w:r w:rsidRPr="20C9F860">
        <w:rPr>
          <w:color w:val="000000" w:themeColor="text1"/>
          <w:sz w:val="40"/>
          <w:szCs w:val="40"/>
        </w:rPr>
        <w:t>4.5 – Theme 3</w:t>
      </w:r>
      <w:r>
        <w:t xml:space="preserve"> </w:t>
      </w:r>
      <w:r w:rsidR="04792118" w:rsidRPr="20C9F860">
        <w:rPr>
          <w:rFonts w:ascii="Arial" w:eastAsia="Arial" w:hAnsi="Arial" w:cs="Arial"/>
          <w:b/>
          <w:bCs/>
          <w:color w:val="0F4761"/>
          <w:sz w:val="36"/>
          <w:szCs w:val="36"/>
        </w:rPr>
        <w:t>Parental Experiences and Emotional Impact</w:t>
      </w:r>
    </w:p>
    <w:p w14:paraId="12CBB804" w14:textId="0D1E0F18"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Definition and Context</w:t>
      </w:r>
    </w:p>
    <w:p w14:paraId="4ADFA5A3" w14:textId="0B0C5DB7"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Parental experiences and emotional impact refer to the lived realities of parents as they attempt to navigate autism services for their children. Beyond systemic and cultural barriers, parents often describe the process as emotionally draining, with feelings of stress, frustration, and isolation being widely reported (Locke et al., 2022). Research shows that the responsibility of advocating for a child with autism in the UK often falls heavily on parents, who must repeatedly push for assessments, educational support, and interventions (Lai et al., 2020).</w:t>
      </w:r>
    </w:p>
    <w:p w14:paraId="612A15D8" w14:textId="5F6C0142"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This theme is crucial to understanding the wider consequences of service barriers. While delays and inequities affect children’s developmental opportunities, they also profoundly shape parental well-being, family relationships, and the overall capacity of households to cope with the demands of raising a child with additional needs.</w:t>
      </w:r>
    </w:p>
    <w:p w14:paraId="0471A04A" w14:textId="6F38E69E"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Historical and Policy Background</w:t>
      </w:r>
    </w:p>
    <w:p w14:paraId="7E05FDE2" w14:textId="41AD754F"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Parental experiences have become a focus of both research and policy in recent years. The Autism Act (2009) and the National Autism Strategy (Department of Health and Social Care, 2021) recognise the importance of supporting families alongside autistic individuals. Guidance documents, including NICE recommendations (2016), stress the need for parent training and post-diagnostic support. However, many parents still report that once a diagnosis is given, ongoing services are limited or inconsistent, leaving them to “fill the gap” themselves (Moula et al., 2021).</w:t>
      </w:r>
    </w:p>
    <w:p w14:paraId="70334482" w14:textId="32420F3F"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Parental stress is not a new finding, but what has become more evident in contemporary research is the extent to which families feel they must “battle” the system. Rutherford et al. (2016) note that parents frequently describe adversarial relationships with schools or health services, where they are forced to contest decisions or appeal for resources. This sense of conflict exacerbates stress and undermines trust in services.</w:t>
      </w:r>
    </w:p>
    <w:p w14:paraId="59196A08" w14:textId="2CB1CA25"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Statistical Evidence</w:t>
      </w:r>
    </w:p>
    <w:p w14:paraId="5CE3B206" w14:textId="65029AA5"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Several studies provide quantitative insight into the parental experience. The National Autistic Society (2021) reported that 70% of parents felt they were not adequately supported during the diagnostic process, while 60% described the overall system as “not working well” for their families. Locke et al. (2022) found that parents commonly reported feelings of being ignored or dismissed, with 55% stating that professionals failed to take their concerns seriously in the </w:t>
      </w:r>
      <w:r w:rsidR="4743CA2F" w:rsidRPr="20C9F860">
        <w:rPr>
          <w:rFonts w:ascii="Arial" w:eastAsia="Arial" w:hAnsi="Arial" w:cs="Arial"/>
          <w:color w:val="000000" w:themeColor="text1"/>
          <w:sz w:val="24"/>
          <w:szCs w:val="24"/>
        </w:rPr>
        <w:t>initial stages</w:t>
      </w:r>
      <w:r w:rsidRPr="20C9F860">
        <w:rPr>
          <w:rFonts w:ascii="Arial" w:eastAsia="Arial" w:hAnsi="Arial" w:cs="Arial"/>
          <w:color w:val="000000" w:themeColor="text1"/>
          <w:sz w:val="24"/>
          <w:szCs w:val="24"/>
        </w:rPr>
        <w:t xml:space="preserve"> of seeking help.</w:t>
      </w:r>
    </w:p>
    <w:p w14:paraId="50670C82" w14:textId="348919A9"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Stress and mental health challenges are also well documented. A survey by Lai et al. (2020) showed that parents of autistic children are at significantly higher risk of anxiety and depression compared to parents of neurotypical children. This highlights that barriers to support are not only practical but also contribute directly to poorer parental well-being.</w:t>
      </w:r>
    </w:p>
    <w:p w14:paraId="5CC07BB3" w14:textId="6AF8716C"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Impact on Research Question</w:t>
      </w:r>
    </w:p>
    <w:p w14:paraId="68D637C3" w14:textId="36EFB0CF"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This theme </w:t>
      </w:r>
      <w:r w:rsidR="4384D2C7" w:rsidRPr="20C9F860">
        <w:rPr>
          <w:rFonts w:ascii="Arial" w:eastAsia="Arial" w:hAnsi="Arial" w:cs="Arial"/>
          <w:color w:val="000000" w:themeColor="text1"/>
          <w:sz w:val="24"/>
          <w:szCs w:val="24"/>
        </w:rPr>
        <w:t>relates</w:t>
      </w:r>
      <w:r w:rsidRPr="20C9F860">
        <w:rPr>
          <w:rFonts w:ascii="Arial" w:eastAsia="Arial" w:hAnsi="Arial" w:cs="Arial"/>
          <w:color w:val="000000" w:themeColor="text1"/>
          <w:sz w:val="24"/>
          <w:szCs w:val="24"/>
        </w:rPr>
        <w:t xml:space="preserve"> to the dissertation’s aim, as it demonstrates how barriers in accessing autism support extend beyond logistical challenges and into the lived experience of families. Even when services exist, if parents feel unsupported, ignored, or emotionally overwhelmed, the effectiveness of those services is diminished. By centring parental experiences, this theme underscores the human cost of systemic and sociocultural barriers and shows why reform is urgently needed.</w:t>
      </w:r>
    </w:p>
    <w:p w14:paraId="07B43DD4" w14:textId="099CE313"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Theoretical Framework</w:t>
      </w:r>
    </w:p>
    <w:p w14:paraId="73E85A45" w14:textId="7C430D9A"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Bronfenbrenner’s ecological model again provides a useful perspective, as parental stress occurs within the microsystem and mesosystem, where family life interacts with schools, health services, and community support (Bronfenbrenner, 1994). The family stress model (Conger et al., 2010) also applies here, suggesting that financial and systemic pressures lead to increased parental stress, which in turn affects family relationships and child outcomes. These frameworks highlight that barriers do not affect children in isolation but reverberate throughout family systems.</w:t>
      </w:r>
    </w:p>
    <w:p w14:paraId="2D2B7A50" w14:textId="3360B4F5"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Positive and Negative Implications</w:t>
      </w:r>
    </w:p>
    <w:p w14:paraId="2BBBBDDE" w14:textId="78797FA3"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A positive implication is that many parents demonstrate resilience and resourcefulness, often forming peer support groups, networks, and advocacy organisations (Keen et al., 2021). These networks can provide emotional support, practical advice, and a sense of solidarity that helps families cope with challenges. In some areas, schools and voluntary organisations have partnered with parents to create more collaborative approaches, improving trust and communication (Ali et al., 2022).</w:t>
      </w:r>
    </w:p>
    <w:p w14:paraId="17541A1E" w14:textId="0C173479"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However, the negative implications remain widespread. Persistent stress can lead to parental burnout, reduce parents’ ability to work, and increase financial strain (Moula et al., 2021). Feelings of isolation are particularly severe among parents who lack extended family support or belong to communities where autism is stigmatised (Jegatheesan et al., 2018). In these contexts, parents may feel doubly excluded—both from services and from their own social networks.</w:t>
      </w:r>
    </w:p>
    <w:p w14:paraId="4D8D2AD5" w14:textId="0ECE04CD"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Examples from Reviewed Articles</w:t>
      </w:r>
    </w:p>
    <w:p w14:paraId="64C1332D" w14:textId="5A8C56E1"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Locke et al. (2022) provided qualitative evidence that parents often felt unsupported, describing instances where their concerns were dismissed by professionals. Similarly, Lai et al. (2020) reported that parents frequently experienced anxiety and depression </w:t>
      </w:r>
      <w:r w:rsidR="133C8AF1" w:rsidRPr="20C9F860">
        <w:rPr>
          <w:rFonts w:ascii="Arial" w:eastAsia="Arial" w:hAnsi="Arial" w:cs="Arial"/>
          <w:color w:val="000000" w:themeColor="text1"/>
          <w:sz w:val="24"/>
          <w:szCs w:val="24"/>
        </w:rPr>
        <w:t>because of</w:t>
      </w:r>
      <w:r w:rsidRPr="20C9F860">
        <w:rPr>
          <w:rFonts w:ascii="Arial" w:eastAsia="Arial" w:hAnsi="Arial" w:cs="Arial"/>
          <w:color w:val="000000" w:themeColor="text1"/>
          <w:sz w:val="24"/>
          <w:szCs w:val="24"/>
        </w:rPr>
        <w:t xml:space="preserve"> ongoing struggles with services. Crane et al. (2016) found that parents consistently reported the process of securing support as adversarial, with some describing it as a “constant battle.”</w:t>
      </w:r>
    </w:p>
    <w:p w14:paraId="3055A136" w14:textId="5557A47E"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In contrast, Keen et al. (2021) highlighted that culturally adapted parent programmes improved parents’ feelings of competence and satisfaction, suggesting that interventions tailored to families’ needs can mitigate some of the emotional burden. These examples show both the challenges parents face and the potential for improved practices to make a difference.</w:t>
      </w:r>
    </w:p>
    <w:p w14:paraId="04EB011F" w14:textId="7AD6A1D2" w:rsidR="7FC588CA" w:rsidRDefault="7FC588CA"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Interconnections with Other Themes</w:t>
      </w:r>
    </w:p>
    <w:p w14:paraId="27652C0E" w14:textId="41E2553D" w:rsidR="7FC588CA" w:rsidRDefault="7FC588C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Parental experiences are </w:t>
      </w:r>
      <w:r w:rsidR="0E59FDF6" w:rsidRPr="20C9F860">
        <w:rPr>
          <w:rFonts w:ascii="Arial" w:eastAsia="Arial" w:hAnsi="Arial" w:cs="Arial"/>
          <w:color w:val="000000" w:themeColor="text1"/>
          <w:sz w:val="24"/>
          <w:szCs w:val="24"/>
        </w:rPr>
        <w:t>intricately connected</w:t>
      </w:r>
      <w:r w:rsidRPr="20C9F860">
        <w:rPr>
          <w:rFonts w:ascii="Arial" w:eastAsia="Arial" w:hAnsi="Arial" w:cs="Arial"/>
          <w:color w:val="000000" w:themeColor="text1"/>
          <w:sz w:val="24"/>
          <w:szCs w:val="24"/>
        </w:rPr>
        <w:t xml:space="preserve"> to systemic and sociocultural barriers. For example, the stress of waiting years for a diagnosis (Theme 1) is compounded when families cannot afford private assessments or face cultural misunderstandings (Theme 2). These combined pressures intensify parental emotional strain, demonstrating the interconnectedness of all three themes. </w:t>
      </w:r>
      <w:r w:rsidR="22ABFE9E" w:rsidRPr="20C9F860">
        <w:rPr>
          <w:rFonts w:ascii="Arial" w:eastAsia="Arial" w:hAnsi="Arial" w:cs="Arial"/>
          <w:color w:val="000000" w:themeColor="text1"/>
          <w:sz w:val="24"/>
          <w:szCs w:val="24"/>
        </w:rPr>
        <w:t>Systemic</w:t>
      </w:r>
      <w:r w:rsidRPr="20C9F860">
        <w:rPr>
          <w:rFonts w:ascii="Arial" w:eastAsia="Arial" w:hAnsi="Arial" w:cs="Arial"/>
          <w:color w:val="000000" w:themeColor="text1"/>
          <w:sz w:val="24"/>
          <w:szCs w:val="24"/>
        </w:rPr>
        <w:t xml:space="preserve"> inefficiencies and social inequalities converge to shape how parents experience the process of seeking support for their children.</w:t>
      </w:r>
    </w:p>
    <w:p w14:paraId="33ECD9D8" w14:textId="0CBBD3AE" w:rsidR="090184E5" w:rsidRDefault="090184E5" w:rsidP="20C9F860">
      <w:pPr>
        <w:keepNext/>
        <w:keepLines/>
      </w:pPr>
    </w:p>
    <w:p w14:paraId="0B7345EE" w14:textId="3A1C9AAA" w:rsidR="001C3AF6" w:rsidRDefault="001C3AF6" w:rsidP="20C9F860">
      <w:pPr>
        <w:pStyle w:val="Heading2"/>
      </w:pPr>
      <w:r>
        <w:t>4.6 – Chapter Conclusion</w:t>
      </w:r>
    </w:p>
    <w:p w14:paraId="266D9458" w14:textId="7AAA2D54" w:rsidR="5538AC0A" w:rsidRDefault="5538AC0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This chapter has presented the findings of the dissertation through a thematic analysis of secondary literature. Three key themes were identified: systemic and structural barriers, sociocultural and economic barriers, and parental experiences and emotional impact. The discussion showed that while policy frameworks such as the Autism Act 2009, the SEND Code of Practice (2015), and the National Autism Strategy (2021) have created a foundation for improved services, the reality for many families remains one of delayed diagnoses, fragmented provision, and inequitable access.</w:t>
      </w:r>
    </w:p>
    <w:p w14:paraId="68BB7E72" w14:textId="5E16C8B2" w:rsidR="5538AC0A" w:rsidRDefault="5538AC0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Systemic barriers such as long waiting lists and workforce shortages persist across the UK, undermining the principle of early intervention. These challenges are compounded for families from minority and low-income backgrounds, who face additional sociocultural and economic obstacles. The lived experiences of parents further highlight the human cost of these barriers, with many describing the process as emotionally draining and adversarial.</w:t>
      </w:r>
    </w:p>
    <w:p w14:paraId="15219F40" w14:textId="22214FC8" w:rsidR="5538AC0A" w:rsidRDefault="5538AC0A"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Overall, the findings demonstrate that barriers are interconnected rather than isolated, with systemic, social, and emotional challenges reinforcing one another. Addressing these issues requires not only policy reform but also practical improvements in service delivery, cultural competence, and family-centred support.</w:t>
      </w:r>
    </w:p>
    <w:p w14:paraId="5597043E" w14:textId="7E94145F" w:rsidR="5538AC0A" w:rsidRDefault="4597224F" w:rsidP="20C9F860">
      <w:pPr>
        <w:spacing w:before="240" w:after="240"/>
        <w:rPr>
          <w:rFonts w:ascii="Arial" w:eastAsia="Arial" w:hAnsi="Arial" w:cs="Arial"/>
          <w:color w:val="000000" w:themeColor="text1"/>
          <w:sz w:val="24"/>
          <w:szCs w:val="24"/>
        </w:rPr>
      </w:pPr>
      <w:r w:rsidRPr="393020AF">
        <w:rPr>
          <w:rFonts w:ascii="Arial" w:eastAsia="Arial" w:hAnsi="Arial" w:cs="Arial"/>
          <w:color w:val="000000" w:themeColor="text1"/>
          <w:sz w:val="24"/>
          <w:szCs w:val="24"/>
        </w:rPr>
        <w:t>The following chapter will evaluate the implications of these findings, offering recommendations for improving autism services and reducing inequalities in access for children under 12 and their families.</w:t>
      </w:r>
    </w:p>
    <w:tbl>
      <w:tblPr>
        <w:tblStyle w:val="TableGrid"/>
        <w:tblW w:w="0" w:type="auto"/>
        <w:tblLook w:val="06A0" w:firstRow="1" w:lastRow="0" w:firstColumn="1" w:lastColumn="0" w:noHBand="1" w:noVBand="1"/>
      </w:tblPr>
      <w:tblGrid>
        <w:gridCol w:w="1289"/>
        <w:gridCol w:w="1689"/>
        <w:gridCol w:w="1560"/>
        <w:gridCol w:w="1591"/>
        <w:gridCol w:w="1495"/>
        <w:gridCol w:w="1392"/>
      </w:tblGrid>
      <w:tr w:rsidR="393020AF" w14:paraId="0FC9515D" w14:textId="77777777" w:rsidTr="393020AF">
        <w:trPr>
          <w:trHeight w:val="1650"/>
        </w:trPr>
        <w:tc>
          <w:tcPr>
            <w:tcW w:w="1502" w:type="dxa"/>
          </w:tcPr>
          <w:p w14:paraId="02D4BAB0" w14:textId="1863024E" w:rsidR="393020AF" w:rsidRDefault="393020AF" w:rsidP="393020AF">
            <w:pPr>
              <w:jc w:val="center"/>
            </w:pPr>
            <w:r w:rsidRPr="393020AF">
              <w:rPr>
                <w:b/>
                <w:bCs/>
              </w:rPr>
              <w:t>Author(s) &amp; Year</w:t>
            </w:r>
          </w:p>
        </w:tc>
        <w:tc>
          <w:tcPr>
            <w:tcW w:w="1502" w:type="dxa"/>
          </w:tcPr>
          <w:p w14:paraId="5080206F" w14:textId="6C6573A2" w:rsidR="0F70C7DD" w:rsidRDefault="0F70C7DD" w:rsidP="393020AF">
            <w:pPr>
              <w:rPr>
                <w:rFonts w:ascii="Arial" w:eastAsia="Arial" w:hAnsi="Arial" w:cs="Arial"/>
                <w:sz w:val="24"/>
                <w:szCs w:val="24"/>
              </w:rPr>
            </w:pPr>
            <w:r w:rsidRPr="393020AF">
              <w:rPr>
                <w:rFonts w:ascii="Arial" w:eastAsia="Arial" w:hAnsi="Arial" w:cs="Arial"/>
                <w:sz w:val="24"/>
                <w:szCs w:val="24"/>
              </w:rPr>
              <w:t>Country Setting</w:t>
            </w:r>
          </w:p>
        </w:tc>
        <w:tc>
          <w:tcPr>
            <w:tcW w:w="1502" w:type="dxa"/>
          </w:tcPr>
          <w:p w14:paraId="48D56517" w14:textId="61D6CF0E" w:rsidR="0F70C7DD" w:rsidRDefault="0F70C7DD" w:rsidP="393020AF">
            <w:r w:rsidRPr="393020AF">
              <w:rPr>
                <w:rFonts w:ascii="Arial" w:eastAsia="Arial" w:hAnsi="Arial" w:cs="Arial"/>
                <w:sz w:val="24"/>
                <w:szCs w:val="24"/>
              </w:rPr>
              <w:t>Purpose of Study</w:t>
            </w:r>
          </w:p>
        </w:tc>
        <w:tc>
          <w:tcPr>
            <w:tcW w:w="1502" w:type="dxa"/>
          </w:tcPr>
          <w:tbl>
            <w:tblPr>
              <w:tblW w:w="0" w:type="auto"/>
              <w:tblLook w:val="06A0" w:firstRow="1" w:lastRow="0" w:firstColumn="1" w:lastColumn="0" w:noHBand="1" w:noVBand="1"/>
            </w:tblPr>
            <w:tblGrid>
              <w:gridCol w:w="1292"/>
            </w:tblGrid>
            <w:tr w:rsidR="393020AF" w14:paraId="288109EC" w14:textId="77777777" w:rsidTr="393020AF">
              <w:trPr>
                <w:trHeight w:val="300"/>
              </w:trPr>
              <w:tc>
                <w:tcPr>
                  <w:tcW w:w="1292" w:type="dxa"/>
                  <w:vAlign w:val="center"/>
                </w:tcPr>
                <w:tbl>
                  <w:tblPr>
                    <w:tblW w:w="0" w:type="auto"/>
                    <w:tblLook w:val="06A0" w:firstRow="1" w:lastRow="0" w:firstColumn="1" w:lastColumn="0" w:noHBand="1" w:noVBand="1"/>
                  </w:tblPr>
                  <w:tblGrid>
                    <w:gridCol w:w="1076"/>
                  </w:tblGrid>
                  <w:tr w:rsidR="393020AF" w14:paraId="63E770DB" w14:textId="77777777" w:rsidTr="393020AF">
                    <w:trPr>
                      <w:trHeight w:val="300"/>
                    </w:trPr>
                    <w:tc>
                      <w:tcPr>
                        <w:tcW w:w="1082" w:type="dxa"/>
                        <w:vAlign w:val="center"/>
                      </w:tcPr>
                      <w:p w14:paraId="40A4B63B" w14:textId="3CF24FF0" w:rsidR="0F70C7DD" w:rsidRDefault="0F70C7DD">
                        <w:r>
                          <w:t xml:space="preserve">Key findings </w:t>
                        </w:r>
                      </w:p>
                    </w:tc>
                  </w:tr>
                </w:tbl>
                <w:p w14:paraId="7DC5DA4D" w14:textId="05082DD5" w:rsidR="393020AF" w:rsidRDefault="393020AF"/>
              </w:tc>
            </w:tr>
          </w:tbl>
          <w:p w14:paraId="31870072" w14:textId="2951B9FC" w:rsidR="393020AF" w:rsidRDefault="393020AF" w:rsidP="393020AF">
            <w:pPr>
              <w:rPr>
                <w:rFonts w:ascii="Arial" w:eastAsia="Arial" w:hAnsi="Arial" w:cs="Arial"/>
                <w:color w:val="000000" w:themeColor="text1"/>
                <w:sz w:val="24"/>
                <w:szCs w:val="24"/>
              </w:rPr>
            </w:pPr>
          </w:p>
        </w:tc>
        <w:tc>
          <w:tcPr>
            <w:tcW w:w="1502" w:type="dxa"/>
          </w:tcPr>
          <w:p w14:paraId="612D6031" w14:textId="7A9251BD" w:rsidR="0F70C7DD" w:rsidRDefault="0F70C7DD" w:rsidP="393020AF">
            <w:r w:rsidRPr="393020AF">
              <w:rPr>
                <w:rFonts w:ascii="Arial" w:eastAsia="Arial" w:hAnsi="Arial" w:cs="Arial"/>
                <w:sz w:val="24"/>
                <w:szCs w:val="24"/>
              </w:rPr>
              <w:t>Initial Codes (Examples)</w:t>
            </w:r>
          </w:p>
        </w:tc>
        <w:tc>
          <w:tcPr>
            <w:tcW w:w="1628" w:type="dxa"/>
          </w:tcPr>
          <w:p w14:paraId="57BB620E" w14:textId="48EC7A58" w:rsidR="0F70C7DD" w:rsidRDefault="0F70C7DD" w:rsidP="393020AF">
            <w:r w:rsidRPr="393020AF">
              <w:rPr>
                <w:rFonts w:ascii="Arial" w:eastAsia="Arial" w:hAnsi="Arial" w:cs="Arial"/>
                <w:sz w:val="24"/>
                <w:szCs w:val="24"/>
              </w:rPr>
              <w:t>Final Theme</w:t>
            </w:r>
          </w:p>
        </w:tc>
      </w:tr>
      <w:tr w:rsidR="393020AF" w14:paraId="1485322B" w14:textId="77777777" w:rsidTr="393020AF">
        <w:trPr>
          <w:trHeight w:val="300"/>
        </w:trPr>
        <w:tc>
          <w:tcPr>
            <w:tcW w:w="1502" w:type="dxa"/>
          </w:tcPr>
          <w:p w14:paraId="5928DEDF" w14:textId="1B44E2D1" w:rsidR="0F70C7DD" w:rsidRDefault="0F70C7DD" w:rsidP="393020AF">
            <w:r w:rsidRPr="393020AF">
              <w:rPr>
                <w:rFonts w:ascii="Arial" w:eastAsia="Arial" w:hAnsi="Arial" w:cs="Arial"/>
                <w:sz w:val="24"/>
                <w:szCs w:val="24"/>
              </w:rPr>
              <w:t>Crane et al. (2016)</w:t>
            </w:r>
          </w:p>
        </w:tc>
        <w:tc>
          <w:tcPr>
            <w:tcW w:w="1502" w:type="dxa"/>
          </w:tcPr>
          <w:p w14:paraId="2252EE5A" w14:textId="5CC39AD4" w:rsidR="0F70C7DD" w:rsidRDefault="0F70C7DD" w:rsidP="393020AF">
            <w:r w:rsidRPr="393020AF">
              <w:rPr>
                <w:rFonts w:ascii="Arial" w:eastAsia="Arial" w:hAnsi="Arial" w:cs="Arial"/>
                <w:sz w:val="24"/>
                <w:szCs w:val="24"/>
              </w:rPr>
              <w:t>UK</w:t>
            </w:r>
          </w:p>
        </w:tc>
        <w:tc>
          <w:tcPr>
            <w:tcW w:w="1502" w:type="dxa"/>
          </w:tcPr>
          <w:p w14:paraId="5EF0CE4B" w14:textId="5148C408" w:rsidR="0F70C7DD" w:rsidRDefault="0F70C7DD" w:rsidP="393020AF">
            <w:r w:rsidRPr="393020AF">
              <w:rPr>
                <w:rFonts w:ascii="Arial" w:eastAsia="Arial" w:hAnsi="Arial" w:cs="Arial"/>
                <w:sz w:val="24"/>
                <w:szCs w:val="24"/>
              </w:rPr>
              <w:t>Explore UK parents’ experiences of autism diagnosis</w:t>
            </w:r>
          </w:p>
        </w:tc>
        <w:tc>
          <w:tcPr>
            <w:tcW w:w="1502" w:type="dxa"/>
          </w:tcPr>
          <w:p w14:paraId="611EC43B" w14:textId="4CF8D9A9" w:rsidR="0F70C7DD" w:rsidRDefault="0F70C7DD" w:rsidP="393020AF">
            <w:r w:rsidRPr="393020AF">
              <w:rPr>
                <w:rFonts w:ascii="Arial" w:eastAsia="Arial" w:hAnsi="Arial" w:cs="Arial"/>
                <w:sz w:val="24"/>
                <w:szCs w:val="24"/>
              </w:rPr>
              <w:t>Long diagnostic delays; parents felt concerns were dismissed; limited follow-up support after diagnosis</w:t>
            </w:r>
          </w:p>
        </w:tc>
        <w:tc>
          <w:tcPr>
            <w:tcW w:w="1502" w:type="dxa"/>
          </w:tcPr>
          <w:p w14:paraId="5C7233C7" w14:textId="5EAA788A" w:rsidR="0F70C7DD" w:rsidRDefault="0F70C7DD" w:rsidP="393020AF">
            <w:r w:rsidRPr="393020AF">
              <w:rPr>
                <w:rFonts w:ascii="Arial" w:eastAsia="Arial" w:hAnsi="Arial" w:cs="Arial"/>
                <w:sz w:val="24"/>
                <w:szCs w:val="24"/>
              </w:rPr>
              <w:t>Long waiting times; dismissed concerns; lack of follow-up</w:t>
            </w:r>
          </w:p>
        </w:tc>
        <w:tc>
          <w:tcPr>
            <w:tcW w:w="1628" w:type="dxa"/>
          </w:tcPr>
          <w:p w14:paraId="11128459" w14:textId="526024D1" w:rsidR="0F70C7DD" w:rsidRDefault="0F70C7DD" w:rsidP="393020AF">
            <w:r w:rsidRPr="393020AF">
              <w:rPr>
                <w:rFonts w:ascii="Arial" w:eastAsia="Arial" w:hAnsi="Arial" w:cs="Arial"/>
                <w:sz w:val="24"/>
                <w:szCs w:val="24"/>
              </w:rPr>
              <w:t>Systemic and Structural Barriers</w:t>
            </w:r>
          </w:p>
        </w:tc>
      </w:tr>
      <w:tr w:rsidR="393020AF" w14:paraId="00CA3138" w14:textId="77777777" w:rsidTr="393020AF">
        <w:trPr>
          <w:trHeight w:val="300"/>
        </w:trPr>
        <w:tc>
          <w:tcPr>
            <w:tcW w:w="1502" w:type="dxa"/>
          </w:tcPr>
          <w:p w14:paraId="4AF9400F" w14:textId="183846AE" w:rsidR="0F70C7DD" w:rsidRDefault="0F70C7DD" w:rsidP="393020AF">
            <w:r w:rsidRPr="393020AF">
              <w:rPr>
                <w:rFonts w:ascii="Arial" w:eastAsia="Arial" w:hAnsi="Arial" w:cs="Arial"/>
                <w:sz w:val="24"/>
                <w:szCs w:val="24"/>
              </w:rPr>
              <w:t>Emerson et al. (2021)</w:t>
            </w:r>
          </w:p>
        </w:tc>
        <w:tc>
          <w:tcPr>
            <w:tcW w:w="1502" w:type="dxa"/>
          </w:tcPr>
          <w:p w14:paraId="037331B2" w14:textId="1C4D4D50" w:rsidR="0F70C7DD" w:rsidRDefault="0F70C7DD" w:rsidP="393020AF">
            <w:r w:rsidRPr="393020AF">
              <w:rPr>
                <w:rFonts w:ascii="Arial" w:eastAsia="Arial" w:hAnsi="Arial" w:cs="Arial"/>
                <w:sz w:val="24"/>
                <w:szCs w:val="24"/>
              </w:rPr>
              <w:t>UK</w:t>
            </w:r>
          </w:p>
        </w:tc>
        <w:tc>
          <w:tcPr>
            <w:tcW w:w="1502" w:type="dxa"/>
          </w:tcPr>
          <w:p w14:paraId="0348A496" w14:textId="6A03D78B" w:rsidR="0F70C7DD" w:rsidRDefault="0F70C7DD" w:rsidP="393020AF">
            <w:r w:rsidRPr="393020AF">
              <w:rPr>
                <w:rFonts w:ascii="Arial" w:eastAsia="Arial" w:hAnsi="Arial" w:cs="Arial"/>
                <w:sz w:val="24"/>
                <w:szCs w:val="24"/>
              </w:rPr>
              <w:t>Examine inequalities in autism service provision</w:t>
            </w:r>
          </w:p>
        </w:tc>
        <w:tc>
          <w:tcPr>
            <w:tcW w:w="1502" w:type="dxa"/>
          </w:tcPr>
          <w:p w14:paraId="17CB8630" w14:textId="6B8BD03D" w:rsidR="0F70C7DD" w:rsidRDefault="0F70C7DD" w:rsidP="393020AF">
            <w:r w:rsidRPr="393020AF">
              <w:rPr>
                <w:rFonts w:ascii="Arial" w:eastAsia="Arial" w:hAnsi="Arial" w:cs="Arial"/>
                <w:sz w:val="24"/>
                <w:szCs w:val="24"/>
              </w:rPr>
              <w:t>Evidence of service gaps and unequal provision across UK population groups</w:t>
            </w:r>
          </w:p>
        </w:tc>
        <w:tc>
          <w:tcPr>
            <w:tcW w:w="1502" w:type="dxa"/>
          </w:tcPr>
          <w:p w14:paraId="35094543" w14:textId="19308483" w:rsidR="0F70C7DD" w:rsidRDefault="0F70C7DD" w:rsidP="393020AF">
            <w:r w:rsidRPr="393020AF">
              <w:rPr>
                <w:rFonts w:ascii="Arial" w:eastAsia="Arial" w:hAnsi="Arial" w:cs="Arial"/>
                <w:sz w:val="24"/>
                <w:szCs w:val="24"/>
              </w:rPr>
              <w:t>Service gaps; unequal provision</w:t>
            </w:r>
          </w:p>
        </w:tc>
        <w:tc>
          <w:tcPr>
            <w:tcW w:w="1628" w:type="dxa"/>
          </w:tcPr>
          <w:p w14:paraId="38C46434" w14:textId="1E7E0362" w:rsidR="0F70C7DD" w:rsidRDefault="0F70C7DD" w:rsidP="393020AF">
            <w:r w:rsidRPr="393020AF">
              <w:rPr>
                <w:rFonts w:ascii="Arial" w:eastAsia="Arial" w:hAnsi="Arial" w:cs="Arial"/>
                <w:sz w:val="24"/>
                <w:szCs w:val="24"/>
              </w:rPr>
              <w:t>Systemic and Structural Barriers</w:t>
            </w:r>
          </w:p>
        </w:tc>
      </w:tr>
      <w:tr w:rsidR="393020AF" w14:paraId="739D9ECF" w14:textId="77777777" w:rsidTr="393020AF">
        <w:trPr>
          <w:trHeight w:val="300"/>
        </w:trPr>
        <w:tc>
          <w:tcPr>
            <w:tcW w:w="1502" w:type="dxa"/>
          </w:tcPr>
          <w:p w14:paraId="32DED77E" w14:textId="53A38A67" w:rsidR="0F70C7DD" w:rsidRDefault="0F70C7DD" w:rsidP="393020AF">
            <w:r w:rsidRPr="393020AF">
              <w:rPr>
                <w:rFonts w:ascii="Arial" w:eastAsia="Arial" w:hAnsi="Arial" w:cs="Arial"/>
                <w:sz w:val="24"/>
                <w:szCs w:val="24"/>
              </w:rPr>
              <w:t>Campbell et al. (2022)</w:t>
            </w:r>
          </w:p>
        </w:tc>
        <w:tc>
          <w:tcPr>
            <w:tcW w:w="1502" w:type="dxa"/>
          </w:tcPr>
          <w:p w14:paraId="4A7F5881" w14:textId="5368FBA3" w:rsidR="0F70C7DD" w:rsidRDefault="0F70C7DD" w:rsidP="393020AF">
            <w:r w:rsidRPr="393020AF">
              <w:rPr>
                <w:rFonts w:ascii="Arial" w:eastAsia="Arial" w:hAnsi="Arial" w:cs="Arial"/>
                <w:sz w:val="24"/>
                <w:szCs w:val="24"/>
              </w:rPr>
              <w:t>UK</w:t>
            </w:r>
          </w:p>
        </w:tc>
        <w:tc>
          <w:tcPr>
            <w:tcW w:w="1502" w:type="dxa"/>
          </w:tcPr>
          <w:p w14:paraId="2EF629AD" w14:textId="6CEFEFE5" w:rsidR="0F70C7DD" w:rsidRDefault="0F70C7DD" w:rsidP="393020AF">
            <w:r w:rsidRPr="393020AF">
              <w:rPr>
                <w:rFonts w:ascii="Arial" w:eastAsia="Arial" w:hAnsi="Arial" w:cs="Arial"/>
                <w:sz w:val="24"/>
                <w:szCs w:val="24"/>
              </w:rPr>
              <w:t>Assess waiting times for autism assessments</w:t>
            </w:r>
          </w:p>
        </w:tc>
        <w:tc>
          <w:tcPr>
            <w:tcW w:w="1502" w:type="dxa"/>
          </w:tcPr>
          <w:p w14:paraId="4D61EA54" w14:textId="222DDEDB" w:rsidR="0F70C7DD" w:rsidRDefault="0F70C7DD" w:rsidP="393020AF">
            <w:r w:rsidRPr="393020AF">
              <w:rPr>
                <w:rFonts w:ascii="Arial" w:eastAsia="Arial" w:hAnsi="Arial" w:cs="Arial"/>
                <w:sz w:val="24"/>
                <w:szCs w:val="24"/>
              </w:rPr>
              <w:t>Average waiting times exceeded recommended standards; some families waited over a year</w:t>
            </w:r>
          </w:p>
        </w:tc>
        <w:tc>
          <w:tcPr>
            <w:tcW w:w="1502" w:type="dxa"/>
          </w:tcPr>
          <w:p w14:paraId="3EF2D5BB" w14:textId="2CFD3849" w:rsidR="0F70C7DD" w:rsidRDefault="0F70C7DD" w:rsidP="393020AF">
            <w:r w:rsidRPr="393020AF">
              <w:rPr>
                <w:rFonts w:ascii="Arial" w:eastAsia="Arial" w:hAnsi="Arial" w:cs="Arial"/>
                <w:sz w:val="24"/>
                <w:szCs w:val="24"/>
              </w:rPr>
              <w:t>Extended waiting times; mismatch with NICE guidance</w:t>
            </w:r>
          </w:p>
        </w:tc>
        <w:tc>
          <w:tcPr>
            <w:tcW w:w="1628" w:type="dxa"/>
          </w:tcPr>
          <w:p w14:paraId="0DE479FD" w14:textId="5FD64396" w:rsidR="0F70C7DD" w:rsidRDefault="0F70C7DD" w:rsidP="393020AF">
            <w:r w:rsidRPr="393020AF">
              <w:rPr>
                <w:rFonts w:ascii="Arial" w:eastAsia="Arial" w:hAnsi="Arial" w:cs="Arial"/>
                <w:sz w:val="24"/>
                <w:szCs w:val="24"/>
              </w:rPr>
              <w:t>Systemic and Structural Barriers</w:t>
            </w:r>
          </w:p>
        </w:tc>
      </w:tr>
      <w:tr w:rsidR="393020AF" w14:paraId="43157E60" w14:textId="77777777" w:rsidTr="393020AF">
        <w:trPr>
          <w:trHeight w:val="300"/>
        </w:trPr>
        <w:tc>
          <w:tcPr>
            <w:tcW w:w="1502" w:type="dxa"/>
          </w:tcPr>
          <w:p w14:paraId="2C5D513F" w14:textId="23E82698" w:rsidR="0F70C7DD" w:rsidRDefault="0F70C7DD" w:rsidP="393020AF">
            <w:r w:rsidRPr="393020AF">
              <w:rPr>
                <w:rFonts w:ascii="Arial" w:eastAsia="Arial" w:hAnsi="Arial" w:cs="Arial"/>
                <w:sz w:val="24"/>
                <w:szCs w:val="24"/>
              </w:rPr>
              <w:t>Eilenberg et al. (2016)</w:t>
            </w:r>
          </w:p>
        </w:tc>
        <w:tc>
          <w:tcPr>
            <w:tcW w:w="1502" w:type="dxa"/>
          </w:tcPr>
          <w:p w14:paraId="17490C6E" w14:textId="58E2B0BA" w:rsidR="26257E2D" w:rsidRDefault="26257E2D" w:rsidP="393020AF">
            <w:r w:rsidRPr="393020AF">
              <w:rPr>
                <w:rFonts w:ascii="Arial" w:eastAsia="Arial" w:hAnsi="Arial" w:cs="Arial"/>
                <w:sz w:val="24"/>
                <w:szCs w:val="24"/>
              </w:rPr>
              <w:t>USA</w:t>
            </w:r>
          </w:p>
        </w:tc>
        <w:tc>
          <w:tcPr>
            <w:tcW w:w="1502" w:type="dxa"/>
          </w:tcPr>
          <w:tbl>
            <w:tblPr>
              <w:tblW w:w="0" w:type="auto"/>
              <w:tblLook w:val="06A0" w:firstRow="1" w:lastRow="0" w:firstColumn="1" w:lastColumn="0" w:noHBand="1" w:noVBand="1"/>
            </w:tblPr>
            <w:tblGrid>
              <w:gridCol w:w="1292"/>
            </w:tblGrid>
            <w:tr w:rsidR="393020AF" w14:paraId="6336FDBE" w14:textId="77777777" w:rsidTr="393020AF">
              <w:trPr>
                <w:trHeight w:val="300"/>
              </w:trPr>
              <w:tc>
                <w:tcPr>
                  <w:tcW w:w="1292" w:type="dxa"/>
                  <w:vAlign w:val="center"/>
                </w:tcPr>
                <w:p w14:paraId="0874EB31" w14:textId="5C9FFA70" w:rsidR="393020AF" w:rsidRDefault="393020AF"/>
              </w:tc>
            </w:tr>
            <w:tr w:rsidR="393020AF" w14:paraId="24A8E85D" w14:textId="77777777" w:rsidTr="393020AF">
              <w:trPr>
                <w:trHeight w:val="300"/>
              </w:trPr>
              <w:tc>
                <w:tcPr>
                  <w:tcW w:w="1292" w:type="dxa"/>
                  <w:vAlign w:val="center"/>
                </w:tcPr>
                <w:p w14:paraId="55548579" w14:textId="39BF8896" w:rsidR="393020AF" w:rsidRDefault="393020AF" w:rsidP="393020AF">
                  <w:pPr>
                    <w:spacing w:after="0"/>
                  </w:pPr>
                  <w:r>
                    <w:t>Investigate race and ethnicity in services for autistic children</w:t>
                  </w:r>
                </w:p>
              </w:tc>
            </w:tr>
          </w:tbl>
          <w:p w14:paraId="477846F9" w14:textId="51899D67" w:rsidR="393020AF" w:rsidRDefault="393020AF" w:rsidP="393020AF">
            <w:pPr>
              <w:rPr>
                <w:rFonts w:ascii="Arial" w:eastAsia="Arial" w:hAnsi="Arial" w:cs="Arial"/>
                <w:color w:val="000000" w:themeColor="text1"/>
                <w:sz w:val="24"/>
                <w:szCs w:val="24"/>
              </w:rPr>
            </w:pPr>
          </w:p>
        </w:tc>
        <w:tc>
          <w:tcPr>
            <w:tcW w:w="1502" w:type="dxa"/>
          </w:tcPr>
          <w:p w14:paraId="5557DF0B" w14:textId="3B43E4C8" w:rsidR="5C9F8657" w:rsidRDefault="5C9F8657" w:rsidP="393020AF">
            <w:r w:rsidRPr="393020AF">
              <w:rPr>
                <w:rFonts w:ascii="Arial" w:eastAsia="Arial" w:hAnsi="Arial" w:cs="Arial"/>
                <w:sz w:val="24"/>
                <w:szCs w:val="24"/>
              </w:rPr>
              <w:t>Racial and ethnic disparities in access to services and reported satisfaction</w:t>
            </w:r>
          </w:p>
        </w:tc>
        <w:tc>
          <w:tcPr>
            <w:tcW w:w="1502" w:type="dxa"/>
          </w:tcPr>
          <w:p w14:paraId="52BBCC81" w14:textId="1EEEC5C2" w:rsidR="5C9F8657" w:rsidRDefault="5C9F8657" w:rsidP="393020AF">
            <w:r w:rsidRPr="393020AF">
              <w:rPr>
                <w:rFonts w:ascii="Arial" w:eastAsia="Arial" w:hAnsi="Arial" w:cs="Arial"/>
                <w:sz w:val="24"/>
                <w:szCs w:val="24"/>
              </w:rPr>
              <w:t>Ethnic disparities; unmet need</w:t>
            </w:r>
          </w:p>
        </w:tc>
        <w:tc>
          <w:tcPr>
            <w:tcW w:w="1628" w:type="dxa"/>
          </w:tcPr>
          <w:p w14:paraId="20A2924F" w14:textId="628D5C6A" w:rsidR="5C9F8657" w:rsidRDefault="5C9F8657" w:rsidP="393020AF">
            <w:r w:rsidRPr="393020AF">
              <w:rPr>
                <w:rFonts w:ascii="Arial" w:eastAsia="Arial" w:hAnsi="Arial" w:cs="Arial"/>
                <w:sz w:val="24"/>
                <w:szCs w:val="24"/>
              </w:rPr>
              <w:t>Sociocultural and Economic Barriers</w:t>
            </w:r>
          </w:p>
        </w:tc>
      </w:tr>
      <w:tr w:rsidR="393020AF" w14:paraId="350F960B" w14:textId="77777777" w:rsidTr="393020AF">
        <w:trPr>
          <w:trHeight w:val="300"/>
        </w:trPr>
        <w:tc>
          <w:tcPr>
            <w:tcW w:w="1502" w:type="dxa"/>
          </w:tcPr>
          <w:p w14:paraId="7D87591F" w14:textId="1261C2FC" w:rsidR="5C9F8657" w:rsidRDefault="5C9F8657" w:rsidP="393020AF">
            <w:r w:rsidRPr="393020AF">
              <w:rPr>
                <w:rFonts w:ascii="Arial" w:eastAsia="Arial" w:hAnsi="Arial" w:cs="Arial"/>
                <w:sz w:val="24"/>
                <w:szCs w:val="24"/>
              </w:rPr>
              <w:t>Roman-Urrestarazu et al. (2021)</w:t>
            </w:r>
          </w:p>
        </w:tc>
        <w:tc>
          <w:tcPr>
            <w:tcW w:w="1502" w:type="dxa"/>
          </w:tcPr>
          <w:p w14:paraId="5D616500" w14:textId="0EDFB266" w:rsidR="5C9F8657" w:rsidRDefault="5C9F8657" w:rsidP="393020AF">
            <w:r w:rsidRPr="393020AF">
              <w:rPr>
                <w:rFonts w:ascii="Arial" w:eastAsia="Arial" w:hAnsi="Arial" w:cs="Arial"/>
                <w:sz w:val="24"/>
                <w:szCs w:val="24"/>
              </w:rPr>
              <w:t>England</w:t>
            </w:r>
          </w:p>
        </w:tc>
        <w:tc>
          <w:tcPr>
            <w:tcW w:w="1502" w:type="dxa"/>
          </w:tcPr>
          <w:p w14:paraId="3624C02E" w14:textId="063ADA16" w:rsidR="5C9F8657" w:rsidRDefault="5C9F8657" w:rsidP="393020AF">
            <w:r w:rsidRPr="393020AF">
              <w:rPr>
                <w:rFonts w:ascii="Arial" w:eastAsia="Arial" w:hAnsi="Arial" w:cs="Arial"/>
                <w:sz w:val="24"/>
                <w:szCs w:val="24"/>
              </w:rPr>
              <w:t>Examine ethnicity and autism prevalence in 7 million schoolchildren</w:t>
            </w:r>
          </w:p>
        </w:tc>
        <w:tc>
          <w:tcPr>
            <w:tcW w:w="1502" w:type="dxa"/>
          </w:tcPr>
          <w:p w14:paraId="246CC49F" w14:textId="3116D62A" w:rsidR="5C9F8657" w:rsidRDefault="5C9F8657" w:rsidP="393020AF">
            <w:r w:rsidRPr="393020AF">
              <w:rPr>
                <w:rFonts w:ascii="Arial" w:eastAsia="Arial" w:hAnsi="Arial" w:cs="Arial"/>
                <w:sz w:val="24"/>
                <w:szCs w:val="24"/>
              </w:rPr>
              <w:t>Minority ethnic children diagnosed later and less likely to be recorded as autistic in school data</w:t>
            </w:r>
          </w:p>
        </w:tc>
        <w:tc>
          <w:tcPr>
            <w:tcW w:w="1502" w:type="dxa"/>
          </w:tcPr>
          <w:p w14:paraId="68A94AF5" w14:textId="4F351254" w:rsidR="5C9F8657" w:rsidRDefault="5C9F8657" w:rsidP="393020AF">
            <w:r w:rsidRPr="393020AF">
              <w:rPr>
                <w:rFonts w:ascii="Arial" w:eastAsia="Arial" w:hAnsi="Arial" w:cs="Arial"/>
                <w:sz w:val="24"/>
                <w:szCs w:val="24"/>
              </w:rPr>
              <w:t>Social disadvantage; delayed diagnosis</w:t>
            </w:r>
          </w:p>
        </w:tc>
        <w:tc>
          <w:tcPr>
            <w:tcW w:w="1628" w:type="dxa"/>
          </w:tcPr>
          <w:p w14:paraId="3C6A96E1" w14:textId="551D0245" w:rsidR="5C9F8657" w:rsidRDefault="5C9F8657" w:rsidP="393020AF">
            <w:r w:rsidRPr="393020AF">
              <w:rPr>
                <w:rFonts w:ascii="Arial" w:eastAsia="Arial" w:hAnsi="Arial" w:cs="Arial"/>
                <w:sz w:val="24"/>
                <w:szCs w:val="24"/>
              </w:rPr>
              <w:t>Sociocultural and Economic Barriers</w:t>
            </w:r>
          </w:p>
        </w:tc>
      </w:tr>
      <w:tr w:rsidR="393020AF" w14:paraId="389ABD9D" w14:textId="77777777" w:rsidTr="393020AF">
        <w:trPr>
          <w:trHeight w:val="300"/>
        </w:trPr>
        <w:tc>
          <w:tcPr>
            <w:tcW w:w="1502" w:type="dxa"/>
          </w:tcPr>
          <w:p w14:paraId="04D9C3A1" w14:textId="529CBF5E" w:rsidR="35821FAC" w:rsidRDefault="35821FAC" w:rsidP="393020AF">
            <w:r w:rsidRPr="393020AF">
              <w:rPr>
                <w:rFonts w:ascii="Arial" w:eastAsia="Arial" w:hAnsi="Arial" w:cs="Arial"/>
                <w:sz w:val="24"/>
                <w:szCs w:val="24"/>
              </w:rPr>
              <w:t>Lai et al. (2020)</w:t>
            </w:r>
          </w:p>
        </w:tc>
        <w:tc>
          <w:tcPr>
            <w:tcW w:w="1502" w:type="dxa"/>
          </w:tcPr>
          <w:p w14:paraId="256DBC3C" w14:textId="6C5BAF5C" w:rsidR="35821FAC" w:rsidRDefault="35821FAC" w:rsidP="393020AF">
            <w:r w:rsidRPr="393020AF">
              <w:rPr>
                <w:rFonts w:ascii="Arial" w:eastAsia="Arial" w:hAnsi="Arial" w:cs="Arial"/>
                <w:sz w:val="24"/>
                <w:szCs w:val="24"/>
              </w:rPr>
              <w:t>International/UK</w:t>
            </w:r>
          </w:p>
        </w:tc>
        <w:tc>
          <w:tcPr>
            <w:tcW w:w="1502" w:type="dxa"/>
          </w:tcPr>
          <w:p w14:paraId="26D24A0F" w14:textId="633F1D83" w:rsidR="35821FAC" w:rsidRDefault="35821FAC" w:rsidP="393020AF">
            <w:r w:rsidRPr="393020AF">
              <w:rPr>
                <w:rFonts w:ascii="Arial" w:eastAsia="Arial" w:hAnsi="Arial" w:cs="Arial"/>
                <w:sz w:val="24"/>
                <w:szCs w:val="24"/>
              </w:rPr>
              <w:t>Explore parental stress and wellbeing</w:t>
            </w:r>
          </w:p>
        </w:tc>
        <w:tc>
          <w:tcPr>
            <w:tcW w:w="1502" w:type="dxa"/>
          </w:tcPr>
          <w:p w14:paraId="0722360A" w14:textId="31DF7609" w:rsidR="35821FAC" w:rsidRDefault="35821FAC" w:rsidP="393020AF">
            <w:r w:rsidRPr="393020AF">
              <w:rPr>
                <w:rFonts w:ascii="Arial" w:eastAsia="Arial" w:hAnsi="Arial" w:cs="Arial"/>
                <w:sz w:val="24"/>
                <w:szCs w:val="24"/>
              </w:rPr>
              <w:t>Parents of autistic children reported high levels of stress, anxiety and depression</w:t>
            </w:r>
          </w:p>
        </w:tc>
        <w:tc>
          <w:tcPr>
            <w:tcW w:w="1502" w:type="dxa"/>
          </w:tcPr>
          <w:p w14:paraId="29561111" w14:textId="77ABB630" w:rsidR="35821FAC" w:rsidRDefault="35821FAC" w:rsidP="393020AF">
            <w:r w:rsidRPr="393020AF">
              <w:rPr>
                <w:rFonts w:ascii="Arial" w:eastAsia="Arial" w:hAnsi="Arial" w:cs="Arial"/>
                <w:sz w:val="24"/>
                <w:szCs w:val="24"/>
              </w:rPr>
              <w:t>Parental stress; mental health impact</w:t>
            </w:r>
          </w:p>
        </w:tc>
        <w:tc>
          <w:tcPr>
            <w:tcW w:w="1628" w:type="dxa"/>
          </w:tcPr>
          <w:p w14:paraId="2E80C402" w14:textId="7D48E3F1" w:rsidR="35821FAC" w:rsidRDefault="35821FAC" w:rsidP="393020AF">
            <w:r w:rsidRPr="393020AF">
              <w:rPr>
                <w:rFonts w:ascii="Arial" w:eastAsia="Arial" w:hAnsi="Arial" w:cs="Arial"/>
                <w:sz w:val="24"/>
                <w:szCs w:val="24"/>
              </w:rPr>
              <w:t>Parental Experiences and Emotional Impact</w:t>
            </w:r>
          </w:p>
        </w:tc>
      </w:tr>
      <w:tr w:rsidR="393020AF" w14:paraId="29C1AE49" w14:textId="77777777" w:rsidTr="393020AF">
        <w:trPr>
          <w:trHeight w:val="300"/>
        </w:trPr>
        <w:tc>
          <w:tcPr>
            <w:tcW w:w="1502" w:type="dxa"/>
          </w:tcPr>
          <w:p w14:paraId="517F5BAD" w14:textId="23A52B17" w:rsidR="35821FAC" w:rsidRDefault="35821FAC" w:rsidP="393020AF">
            <w:r w:rsidRPr="393020AF">
              <w:rPr>
                <w:rFonts w:ascii="Arial" w:eastAsia="Arial" w:hAnsi="Arial" w:cs="Arial"/>
                <w:sz w:val="24"/>
                <w:szCs w:val="24"/>
              </w:rPr>
              <w:t>Moula et al. (2021)</w:t>
            </w:r>
          </w:p>
        </w:tc>
        <w:tc>
          <w:tcPr>
            <w:tcW w:w="1502" w:type="dxa"/>
          </w:tcPr>
          <w:p w14:paraId="3A67C38B" w14:textId="0D011013" w:rsidR="35821FAC" w:rsidRDefault="35821FAC" w:rsidP="393020AF">
            <w:r w:rsidRPr="393020AF">
              <w:rPr>
                <w:rFonts w:ascii="Arial" w:eastAsia="Arial" w:hAnsi="Arial" w:cs="Arial"/>
                <w:sz w:val="24"/>
                <w:szCs w:val="24"/>
              </w:rPr>
              <w:t>UK</w:t>
            </w:r>
          </w:p>
        </w:tc>
        <w:tc>
          <w:tcPr>
            <w:tcW w:w="1502" w:type="dxa"/>
          </w:tcPr>
          <w:p w14:paraId="5CFE7270" w14:textId="5C168434" w:rsidR="35821FAC" w:rsidRDefault="35821FAC" w:rsidP="393020AF">
            <w:r w:rsidRPr="393020AF">
              <w:rPr>
                <w:rFonts w:ascii="Arial" w:eastAsia="Arial" w:hAnsi="Arial" w:cs="Arial"/>
                <w:sz w:val="24"/>
                <w:szCs w:val="24"/>
              </w:rPr>
              <w:t>Explore parents’ experiences of diagnosis and post-diagnostic support</w:t>
            </w:r>
          </w:p>
        </w:tc>
        <w:tc>
          <w:tcPr>
            <w:tcW w:w="1502" w:type="dxa"/>
          </w:tcPr>
          <w:p w14:paraId="7C21BF35" w14:textId="2F1C79B7" w:rsidR="35821FAC" w:rsidRDefault="35821FAC" w:rsidP="393020AF">
            <w:r w:rsidRPr="393020AF">
              <w:rPr>
                <w:rFonts w:ascii="Arial" w:eastAsia="Arial" w:hAnsi="Arial" w:cs="Arial"/>
                <w:sz w:val="24"/>
                <w:szCs w:val="24"/>
              </w:rPr>
              <w:t>Parents felt abandoned after diagnosis and uncertain about available support</w:t>
            </w:r>
          </w:p>
        </w:tc>
        <w:tc>
          <w:tcPr>
            <w:tcW w:w="1502" w:type="dxa"/>
          </w:tcPr>
          <w:p w14:paraId="2D4BC21B" w14:textId="2359D642" w:rsidR="35821FAC" w:rsidRDefault="35821FAC" w:rsidP="393020AF">
            <w:r w:rsidRPr="393020AF">
              <w:rPr>
                <w:rFonts w:ascii="Arial" w:eastAsia="Arial" w:hAnsi="Arial" w:cs="Arial"/>
                <w:sz w:val="24"/>
                <w:szCs w:val="24"/>
              </w:rPr>
              <w:t>Feeling abandoned; unclear pathways</w:t>
            </w:r>
          </w:p>
        </w:tc>
        <w:tc>
          <w:tcPr>
            <w:tcW w:w="1628" w:type="dxa"/>
          </w:tcPr>
          <w:p w14:paraId="61472B60" w14:textId="344580AE" w:rsidR="35821FAC" w:rsidRDefault="35821FAC" w:rsidP="393020AF">
            <w:r w:rsidRPr="393020AF">
              <w:rPr>
                <w:rFonts w:ascii="Arial" w:eastAsia="Arial" w:hAnsi="Arial" w:cs="Arial"/>
                <w:sz w:val="24"/>
                <w:szCs w:val="24"/>
              </w:rPr>
              <w:t>Parental Experiences and Emotional Impact</w:t>
            </w:r>
          </w:p>
        </w:tc>
      </w:tr>
    </w:tbl>
    <w:p w14:paraId="3BBB6643" w14:textId="6B81FDAE" w:rsidR="090184E5" w:rsidRDefault="090184E5" w:rsidP="20C9F860"/>
    <w:p w14:paraId="262F5D7C" w14:textId="77777777" w:rsidR="00636D9A" w:rsidRPr="00636D9A" w:rsidRDefault="00636D9A" w:rsidP="20C9F860">
      <w:pPr>
        <w:pStyle w:val="Heading1"/>
        <w:spacing w:line="360" w:lineRule="auto"/>
        <w:rPr>
          <w:rFonts w:ascii="Aptos" w:hAnsi="Aptos"/>
          <w:sz w:val="28"/>
          <w:szCs w:val="28"/>
        </w:rPr>
      </w:pPr>
    </w:p>
    <w:p w14:paraId="519EB35A" w14:textId="66720AAD" w:rsidR="00636D9A" w:rsidRPr="00636D9A" w:rsidRDefault="00636D9A" w:rsidP="393020AF">
      <w:pPr>
        <w:rPr>
          <w:rFonts w:ascii="Arial" w:eastAsia="Arial" w:hAnsi="Arial" w:cs="Arial"/>
          <w:b/>
          <w:bCs/>
          <w:sz w:val="32"/>
          <w:szCs w:val="32"/>
        </w:rPr>
      </w:pPr>
      <w:r w:rsidRPr="393020AF">
        <w:rPr>
          <w:b/>
          <w:bCs/>
          <w:sz w:val="32"/>
          <w:szCs w:val="32"/>
        </w:rPr>
        <w:t xml:space="preserve">CHAPTER 5 – Conclusion and Recommendations </w:t>
      </w:r>
    </w:p>
    <w:p w14:paraId="7676EB97" w14:textId="257926B9" w:rsidR="77F7174F" w:rsidRDefault="77F7174F" w:rsidP="20C9F860">
      <w:pPr>
        <w:pStyle w:val="Heading2"/>
        <w:spacing w:before="299" w:after="299"/>
        <w:rPr>
          <w:rFonts w:ascii="Arial" w:eastAsia="Arial" w:hAnsi="Arial" w:cs="Arial"/>
          <w:color w:val="0F4761"/>
          <w:sz w:val="36"/>
          <w:szCs w:val="36"/>
        </w:rPr>
      </w:pPr>
      <w:r w:rsidRPr="393020AF">
        <w:rPr>
          <w:rFonts w:ascii="Arial" w:eastAsia="Arial" w:hAnsi="Arial" w:cs="Arial"/>
          <w:b/>
          <w:bCs/>
          <w:color w:val="0F4761"/>
          <w:sz w:val="36"/>
          <w:szCs w:val="36"/>
        </w:rPr>
        <w:t xml:space="preserve">5.1 Overall Conclusion </w:t>
      </w:r>
    </w:p>
    <w:p w14:paraId="2C47A44B" w14:textId="673AD0D9" w:rsidR="77F7174F" w:rsidRDefault="77F7174F"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This dissertation set out to explore the barriers that parents face in accessing autism support services for children under 12 in the UK. Through a thematic analysis of secondary literature, three major themes were identified: systemic and structural barriers, sociocultural and economic barriers, and parental experiences and emotional impact.</w:t>
      </w:r>
    </w:p>
    <w:p w14:paraId="036FD826" w14:textId="6B5809FF" w:rsidR="77F7174F" w:rsidRDefault="77F7174F"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 findings highlighted that systemic challenges remain the most consistent obstacle. Long waiting lists, limited resources, and fragmented referral systems continue to delay early intervention, despite policies such as the Autism Act (2009), SEND Code of Practice (2015), and the National Autism Strategy (2021). These barriers not only undermine the effectiveness of services but also increase pressure on families.</w:t>
      </w:r>
    </w:p>
    <w:p w14:paraId="2D13F1DE" w14:textId="7DFA33C9" w:rsidR="77F7174F" w:rsidRDefault="77F7174F"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The research also revealed that access to autism support is shaped by wider social inequalities. Families from minority ethnic and lower-income backgrounds often face additional challenges, including cultural misunderstandings, language barriers, and financial constraints. These findings demonstrate that support is not evenly distributed across the UK and that disadvantaged families are most affected.</w:t>
      </w:r>
    </w:p>
    <w:p w14:paraId="29B7C11F" w14:textId="7D5EA953" w:rsidR="77F7174F" w:rsidRDefault="77F7174F"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Finally, parental experiences emphasised the human cost of these barriers. Parents frequently reported </w:t>
      </w:r>
      <w:r w:rsidR="293F1E49" w:rsidRPr="20C9F860">
        <w:rPr>
          <w:rFonts w:ascii="Arial" w:eastAsia="Arial" w:hAnsi="Arial" w:cs="Arial"/>
          <w:color w:val="000000" w:themeColor="text1"/>
          <w:sz w:val="24"/>
          <w:szCs w:val="24"/>
        </w:rPr>
        <w:t>elevated levels</w:t>
      </w:r>
      <w:r w:rsidRPr="20C9F860">
        <w:rPr>
          <w:rFonts w:ascii="Arial" w:eastAsia="Arial" w:hAnsi="Arial" w:cs="Arial"/>
          <w:color w:val="000000" w:themeColor="text1"/>
          <w:sz w:val="24"/>
          <w:szCs w:val="24"/>
        </w:rPr>
        <w:t xml:space="preserve"> of stress, isolation, and frustration when seeking support, often describing the process as a “battle.” This demonstrates that systemic and social challenges directly influence parental well-being.</w:t>
      </w:r>
    </w:p>
    <w:p w14:paraId="1951794A" w14:textId="6FE269AB" w:rsidR="77F7174F" w:rsidRDefault="77F7174F" w:rsidP="20C9F860">
      <w:pPr>
        <w:spacing w:before="240" w:after="240"/>
        <w:rPr>
          <w:rFonts w:ascii="Arial" w:eastAsia="Arial" w:hAnsi="Arial" w:cs="Arial"/>
          <w:color w:val="000000" w:themeColor="text1"/>
          <w:sz w:val="24"/>
          <w:szCs w:val="24"/>
        </w:rPr>
      </w:pPr>
      <w:r w:rsidRPr="20C9F860">
        <w:rPr>
          <w:rFonts w:ascii="Arial" w:eastAsia="Arial" w:hAnsi="Arial" w:cs="Arial"/>
          <w:color w:val="000000" w:themeColor="text1"/>
          <w:sz w:val="24"/>
          <w:szCs w:val="24"/>
        </w:rPr>
        <w:t xml:space="preserve">The research </w:t>
      </w:r>
      <w:r w:rsidR="6F31CF10" w:rsidRPr="20C9F860">
        <w:rPr>
          <w:rFonts w:ascii="Arial" w:eastAsia="Arial" w:hAnsi="Arial" w:cs="Arial"/>
          <w:color w:val="000000" w:themeColor="text1"/>
          <w:sz w:val="24"/>
          <w:szCs w:val="24"/>
        </w:rPr>
        <w:t>aims</w:t>
      </w:r>
      <w:r w:rsidRPr="20C9F860">
        <w:rPr>
          <w:rFonts w:ascii="Arial" w:eastAsia="Arial" w:hAnsi="Arial" w:cs="Arial"/>
          <w:color w:val="000000" w:themeColor="text1"/>
          <w:sz w:val="24"/>
          <w:szCs w:val="24"/>
        </w:rPr>
        <w:t xml:space="preserve"> and objectives were therefore achieved: the dissertation defined current services, analysed challenges, evaluated how well they meet family needs, and provided evidence to inform practical recommendations. The following section outlines three recommendations for improving access and equity in autism support services.</w:t>
      </w:r>
    </w:p>
    <w:p w14:paraId="50DCFAFA" w14:textId="7AB92E62" w:rsidR="090184E5" w:rsidRDefault="090184E5" w:rsidP="20C9F860">
      <w:pPr>
        <w:pStyle w:val="Heading1"/>
        <w:spacing w:line="360" w:lineRule="auto"/>
        <w:ind w:left="0"/>
        <w:rPr>
          <w:rFonts w:ascii="Aptos" w:hAnsi="Aptos"/>
        </w:rPr>
      </w:pPr>
    </w:p>
    <w:p w14:paraId="5053749D" w14:textId="77777777" w:rsidR="00636D9A" w:rsidRPr="005C5E80" w:rsidRDefault="00636D9A" w:rsidP="20C9F860"/>
    <w:p w14:paraId="48005ABF" w14:textId="643E4414" w:rsidR="00636D9A" w:rsidRPr="005C5E80" w:rsidRDefault="00636D9A" w:rsidP="20C9F860">
      <w:pPr>
        <w:pStyle w:val="Heading2"/>
      </w:pPr>
      <w:r>
        <w:t>5.</w:t>
      </w:r>
      <w:r w:rsidR="005C5E80">
        <w:t>2</w:t>
      </w:r>
      <w:r>
        <w:t xml:space="preserve"> – </w:t>
      </w:r>
      <w:r w:rsidR="005C5E80">
        <w:t>Recommendations</w:t>
      </w:r>
      <w:r>
        <w:t xml:space="preserve"> </w:t>
      </w:r>
    </w:p>
    <w:p w14:paraId="71010707" w14:textId="77777777" w:rsidR="00636D9A" w:rsidRPr="005C5E80" w:rsidRDefault="00636D9A" w:rsidP="20C9F860"/>
    <w:p w14:paraId="6C2053F1" w14:textId="591C6E9A" w:rsidR="00211184" w:rsidRPr="00636D9A" w:rsidRDefault="7E694548"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5.2.1 Recommendation 1: Reduce Waiting Times and Improve Service Coordination</w:t>
      </w:r>
    </w:p>
    <w:p w14:paraId="1B20B2B8" w14:textId="68429FE4"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Rationale:</w:t>
      </w:r>
      <w:r>
        <w:br/>
      </w:r>
      <w:r w:rsidRPr="20C9F860">
        <w:rPr>
          <w:rFonts w:ascii="Arial" w:eastAsia="Arial" w:hAnsi="Arial" w:cs="Arial"/>
          <w:color w:val="000000" w:themeColor="text1"/>
          <w:sz w:val="24"/>
          <w:szCs w:val="24"/>
        </w:rPr>
        <w:t>The most consistent finding in this dissertation was the issue of long waiting lists and fragmented services. Families frequently wait months or years for assessments, with delays undermining the principle of early intervention. Improved coordination across health, education, and social care services is necessary to ensure that support is timely and consistent.</w:t>
      </w:r>
    </w:p>
    <w:p w14:paraId="025E5DE3" w14:textId="2B86D0B9"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Practical Approach:</w:t>
      </w:r>
    </w:p>
    <w:p w14:paraId="730EBB3D" w14:textId="25C0CEC9" w:rsidR="00211184" w:rsidRPr="00636D9A" w:rsidRDefault="7E694548" w:rsidP="20C9F860">
      <w:pPr>
        <w:pStyle w:val="ListParagraph"/>
        <w:numPr>
          <w:ilvl w:val="0"/>
          <w:numId w:val="9"/>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Introduce maximum waiting time targets for autism assessments (e.g., six months), backed by additional funding and staffing for diagnostic teams.</w:t>
      </w:r>
    </w:p>
    <w:p w14:paraId="2F57A1A2" w14:textId="34EF66B9" w:rsidR="00211184" w:rsidRPr="00636D9A" w:rsidRDefault="7E694548" w:rsidP="20C9F860">
      <w:pPr>
        <w:pStyle w:val="ListParagraph"/>
        <w:numPr>
          <w:ilvl w:val="0"/>
          <w:numId w:val="9"/>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Expand the role of multidisciplinary teams, bringing together professionals such as paediatricians, speech and language therapists, and educational psychologists to streamline referral pathways.</w:t>
      </w:r>
    </w:p>
    <w:p w14:paraId="49402BAD" w14:textId="06299BF8" w:rsidR="00211184" w:rsidRPr="00636D9A" w:rsidRDefault="7E694548" w:rsidP="20C9F860">
      <w:pPr>
        <w:pStyle w:val="ListParagraph"/>
        <w:numPr>
          <w:ilvl w:val="0"/>
          <w:numId w:val="9"/>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Implement a national digital system where parents can track referrals and access information about services, improving transparency and reducing confusion.</w:t>
      </w:r>
    </w:p>
    <w:p w14:paraId="120B8BD4" w14:textId="4B32F52F"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Barriers and Limitations:</w:t>
      </w:r>
      <w:r>
        <w:br/>
      </w:r>
      <w:r w:rsidRPr="20C9F860">
        <w:rPr>
          <w:rFonts w:ascii="Arial" w:eastAsia="Arial" w:hAnsi="Arial" w:cs="Arial"/>
          <w:color w:val="000000" w:themeColor="text1"/>
          <w:sz w:val="24"/>
          <w:szCs w:val="24"/>
        </w:rPr>
        <w:t>Workforce shortages and underfunding remain major obstacles. Recruiting and training additional specialists requires long-term investment. Coordination also requires cultural change within services, as siloed working has been deeply embedded in UK practice.</w:t>
      </w:r>
    </w:p>
    <w:p w14:paraId="3A07F9C0" w14:textId="3D1BC2FA"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Overcoming Barriers:</w:t>
      </w:r>
    </w:p>
    <w:p w14:paraId="52CF0526" w14:textId="49CC3AE3" w:rsidR="00211184" w:rsidRPr="00636D9A" w:rsidRDefault="7E694548" w:rsidP="20C9F860">
      <w:pPr>
        <w:pStyle w:val="ListParagraph"/>
        <w:numPr>
          <w:ilvl w:val="0"/>
          <w:numId w:val="8"/>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Introduce financial incentives to attract professionals into child development and autism services.</w:t>
      </w:r>
    </w:p>
    <w:p w14:paraId="598D4FEC" w14:textId="7FC1202C" w:rsidR="00211184" w:rsidRPr="00636D9A" w:rsidRDefault="7E694548" w:rsidP="20C9F860">
      <w:pPr>
        <w:pStyle w:val="ListParagraph"/>
        <w:numPr>
          <w:ilvl w:val="0"/>
          <w:numId w:val="8"/>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Provide training for frontline staff on cross-sector collaboration.</w:t>
      </w:r>
    </w:p>
    <w:p w14:paraId="228E940F" w14:textId="62FED42E" w:rsidR="00211184" w:rsidRPr="00636D9A" w:rsidRDefault="7E694548" w:rsidP="20C9F860">
      <w:pPr>
        <w:pStyle w:val="ListParagraph"/>
        <w:numPr>
          <w:ilvl w:val="0"/>
          <w:numId w:val="8"/>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Pilot integrated service hubs in selected local authorities, then scale up nationally.</w:t>
      </w:r>
    </w:p>
    <w:p w14:paraId="7786C044" w14:textId="4AEACD4C" w:rsidR="00211184" w:rsidRPr="00636D9A" w:rsidRDefault="00211184" w:rsidP="20C9F860">
      <w:pPr>
        <w:rPr>
          <w:rFonts w:eastAsia="Aptos" w:cs="Aptos"/>
          <w:color w:val="000000" w:themeColor="text1"/>
          <w:sz w:val="24"/>
          <w:szCs w:val="24"/>
        </w:rPr>
      </w:pPr>
    </w:p>
    <w:p w14:paraId="042F8D1E" w14:textId="28A6546D" w:rsidR="00211184" w:rsidRPr="00636D9A" w:rsidRDefault="7E694548"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5.2.2 Recommendation 2: Increase Cultural Competence and Accessibility of Services</w:t>
      </w:r>
    </w:p>
    <w:p w14:paraId="2F965E38" w14:textId="0A452FE5"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Rationale:</w:t>
      </w:r>
      <w:r>
        <w:br/>
      </w:r>
      <w:r w:rsidRPr="20C9F860">
        <w:rPr>
          <w:rFonts w:ascii="Arial" w:eastAsia="Arial" w:hAnsi="Arial" w:cs="Arial"/>
          <w:color w:val="000000" w:themeColor="text1"/>
          <w:sz w:val="24"/>
          <w:szCs w:val="24"/>
        </w:rPr>
        <w:t>Sociocultural and economic inequalities remain a key barrier for families. Parents from minority ethnic backgrounds reported difficulties in being understood, while low-income families were disproportionately disadvantaged by private assessment costs. Services must therefore become more culturally competent and accessible.</w:t>
      </w:r>
    </w:p>
    <w:p w14:paraId="5E2CE552" w14:textId="1A37668C"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Practical Approach:</w:t>
      </w:r>
    </w:p>
    <w:p w14:paraId="128E92FA" w14:textId="193C75A7" w:rsidR="00211184" w:rsidRPr="00636D9A" w:rsidRDefault="7E694548" w:rsidP="20C9F860">
      <w:pPr>
        <w:pStyle w:val="ListParagraph"/>
        <w:numPr>
          <w:ilvl w:val="0"/>
          <w:numId w:val="7"/>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Provide mandatory cultural competence training for healthcare, education, and social care staff.</w:t>
      </w:r>
    </w:p>
    <w:p w14:paraId="24A420DF" w14:textId="3D3D22B2" w:rsidR="00211184" w:rsidRPr="00636D9A" w:rsidRDefault="7E694548" w:rsidP="20C9F860">
      <w:pPr>
        <w:pStyle w:val="ListParagraph"/>
        <w:numPr>
          <w:ilvl w:val="0"/>
          <w:numId w:val="7"/>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Ensure translation and interpreting services are consistently available across the NHS and schools.</w:t>
      </w:r>
    </w:p>
    <w:p w14:paraId="399F0E51" w14:textId="6B74F9A2" w:rsidR="00211184" w:rsidRPr="00636D9A" w:rsidRDefault="7E694548" w:rsidP="20C9F860">
      <w:pPr>
        <w:pStyle w:val="ListParagraph"/>
        <w:numPr>
          <w:ilvl w:val="0"/>
          <w:numId w:val="7"/>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Develop outreach programmes within minority communities to raise awareness of autism and available support.</w:t>
      </w:r>
    </w:p>
    <w:p w14:paraId="20A1DF18" w14:textId="73F13F84" w:rsidR="00211184" w:rsidRPr="00636D9A" w:rsidRDefault="7E694548" w:rsidP="20C9F860">
      <w:pPr>
        <w:pStyle w:val="ListParagraph"/>
        <w:numPr>
          <w:ilvl w:val="0"/>
          <w:numId w:val="7"/>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Expand funding for low-income families to cover travel costs and other expenses associated with appointments.</w:t>
      </w:r>
    </w:p>
    <w:p w14:paraId="35BFDDAC" w14:textId="7AA2C7D1"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Barriers and Limitations:</w:t>
      </w:r>
      <w:r>
        <w:br/>
      </w:r>
      <w:r w:rsidRPr="20C9F860">
        <w:rPr>
          <w:rFonts w:ascii="Arial" w:eastAsia="Arial" w:hAnsi="Arial" w:cs="Arial"/>
          <w:color w:val="000000" w:themeColor="text1"/>
          <w:sz w:val="24"/>
          <w:szCs w:val="24"/>
        </w:rPr>
        <w:t>Cultural competence training alone may not eliminate unconscious bias, and outreach programmes may initially face resistance in communities where autism is stigmatised. Financial support requires sustained funding at a time of budget pressures.</w:t>
      </w:r>
    </w:p>
    <w:p w14:paraId="2D1FD7FA" w14:textId="0E23D9E2"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Overcoming Barriers:</w:t>
      </w:r>
    </w:p>
    <w:p w14:paraId="7B127110" w14:textId="5F8C51F3" w:rsidR="00211184" w:rsidRPr="00636D9A" w:rsidRDefault="7E694548" w:rsidP="20C9F860">
      <w:pPr>
        <w:pStyle w:val="ListParagraph"/>
        <w:numPr>
          <w:ilvl w:val="0"/>
          <w:numId w:val="6"/>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Monitor and evaluate cultural competence training to ensure it translates into practice.</w:t>
      </w:r>
    </w:p>
    <w:p w14:paraId="6CF2548C" w14:textId="357202FA" w:rsidR="00211184" w:rsidRPr="00636D9A" w:rsidRDefault="7E694548" w:rsidP="20C9F860">
      <w:pPr>
        <w:pStyle w:val="ListParagraph"/>
        <w:numPr>
          <w:ilvl w:val="0"/>
          <w:numId w:val="6"/>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Partner with community leaders and organisations to improve trust and engagement.</w:t>
      </w:r>
    </w:p>
    <w:p w14:paraId="53E46291" w14:textId="65C538E1" w:rsidR="00211184" w:rsidRPr="00636D9A" w:rsidRDefault="7E694548" w:rsidP="20C9F860">
      <w:pPr>
        <w:pStyle w:val="ListParagraph"/>
        <w:numPr>
          <w:ilvl w:val="0"/>
          <w:numId w:val="6"/>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Integrate financial support into existing social welfare schemes to reduce costs of implementation.</w:t>
      </w:r>
    </w:p>
    <w:p w14:paraId="1F555E72" w14:textId="515B6910" w:rsidR="00211184" w:rsidRPr="00636D9A" w:rsidRDefault="00211184" w:rsidP="20C9F860">
      <w:pPr>
        <w:rPr>
          <w:rFonts w:eastAsia="Aptos" w:cs="Aptos"/>
          <w:color w:val="000000" w:themeColor="text1"/>
          <w:sz w:val="24"/>
          <w:szCs w:val="24"/>
        </w:rPr>
      </w:pPr>
    </w:p>
    <w:p w14:paraId="7BB0934F" w14:textId="223F1FB5" w:rsidR="00211184" w:rsidRPr="00636D9A" w:rsidRDefault="7E694548" w:rsidP="20C9F860">
      <w:pPr>
        <w:pStyle w:val="Heading3"/>
        <w:spacing w:before="281" w:after="281"/>
        <w:rPr>
          <w:rFonts w:ascii="Arial" w:eastAsia="Arial" w:hAnsi="Arial" w:cs="Arial"/>
          <w:color w:val="0F4761"/>
          <w:sz w:val="28"/>
          <w:szCs w:val="28"/>
        </w:rPr>
      </w:pPr>
      <w:r w:rsidRPr="20C9F860">
        <w:rPr>
          <w:rFonts w:ascii="Arial" w:eastAsia="Arial" w:hAnsi="Arial" w:cs="Arial"/>
          <w:b/>
          <w:bCs/>
          <w:color w:val="0F4761"/>
          <w:sz w:val="28"/>
          <w:szCs w:val="28"/>
        </w:rPr>
        <w:t>5.2.3 Recommendation 3: Strengthen Post-Diagnostic and Family Support</w:t>
      </w:r>
    </w:p>
    <w:p w14:paraId="09C1696E" w14:textId="3BE8A082"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Rationale:</w:t>
      </w:r>
      <w:r>
        <w:br/>
      </w:r>
      <w:r w:rsidRPr="20C9F860">
        <w:rPr>
          <w:rFonts w:ascii="Arial" w:eastAsia="Arial" w:hAnsi="Arial" w:cs="Arial"/>
          <w:color w:val="000000" w:themeColor="text1"/>
          <w:sz w:val="24"/>
          <w:szCs w:val="24"/>
        </w:rPr>
        <w:t>Findings showed that parents often felt unsupported after diagnosis, experiencing isolation and stress. Providing families with accessible post-diagnostic services is essential to reduce emotional burden and improve long-term outcomes for both children and parents.</w:t>
      </w:r>
    </w:p>
    <w:p w14:paraId="0446546A" w14:textId="76EE46A4"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Practical Approach:</w:t>
      </w:r>
    </w:p>
    <w:p w14:paraId="61B91CDD" w14:textId="3FF43B5C" w:rsidR="00211184" w:rsidRPr="00636D9A" w:rsidRDefault="7E694548" w:rsidP="20C9F860">
      <w:pPr>
        <w:pStyle w:val="ListParagraph"/>
        <w:numPr>
          <w:ilvl w:val="0"/>
          <w:numId w:val="5"/>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Establish structured post-diagnostic pathways that include parent training, peer support groups, and mental health services.</w:t>
      </w:r>
    </w:p>
    <w:p w14:paraId="586306D9" w14:textId="1673E16C" w:rsidR="00211184" w:rsidRPr="00636D9A" w:rsidRDefault="7E694548" w:rsidP="20C9F860">
      <w:pPr>
        <w:pStyle w:val="ListParagraph"/>
        <w:numPr>
          <w:ilvl w:val="0"/>
          <w:numId w:val="5"/>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Increase funding for voluntary and community organisations that run family support networks.</w:t>
      </w:r>
    </w:p>
    <w:p w14:paraId="50DA6FE7" w14:textId="0B0B19E1" w:rsidR="00211184" w:rsidRPr="00636D9A" w:rsidRDefault="7E694548" w:rsidP="20C9F860">
      <w:pPr>
        <w:pStyle w:val="ListParagraph"/>
        <w:numPr>
          <w:ilvl w:val="0"/>
          <w:numId w:val="5"/>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Embed family-centred approaches into schools and local authority provision, ensuring parents are treated as partners rather than passive recipients of services.</w:t>
      </w:r>
    </w:p>
    <w:p w14:paraId="174E7718" w14:textId="3F12FC0C"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Barriers and Limitations:</w:t>
      </w:r>
      <w:r>
        <w:br/>
      </w:r>
      <w:r w:rsidRPr="20C9F860">
        <w:rPr>
          <w:rFonts w:ascii="Arial" w:eastAsia="Arial" w:hAnsi="Arial" w:cs="Arial"/>
          <w:color w:val="000000" w:themeColor="text1"/>
          <w:sz w:val="24"/>
          <w:szCs w:val="24"/>
        </w:rPr>
        <w:t>Variation in local service provision risks creating further inequalities. Some areas may lack voluntary organisations to deliver support, and parents with multiple responsibilities may find it difficult to attend groups or training.</w:t>
      </w:r>
    </w:p>
    <w:p w14:paraId="4BAD8E5E" w14:textId="4E0F820E" w:rsidR="00211184" w:rsidRPr="00636D9A" w:rsidRDefault="7E694548" w:rsidP="20C9F860">
      <w:pPr>
        <w:spacing w:before="240" w:after="240"/>
        <w:rPr>
          <w:rFonts w:ascii="Arial" w:eastAsia="Arial" w:hAnsi="Arial" w:cs="Arial"/>
          <w:color w:val="000000" w:themeColor="text1"/>
          <w:sz w:val="24"/>
          <w:szCs w:val="24"/>
        </w:rPr>
      </w:pPr>
      <w:r w:rsidRPr="20C9F860">
        <w:rPr>
          <w:rFonts w:ascii="Arial" w:eastAsia="Arial" w:hAnsi="Arial" w:cs="Arial"/>
          <w:b/>
          <w:bCs/>
          <w:color w:val="000000" w:themeColor="text1"/>
          <w:sz w:val="24"/>
          <w:szCs w:val="24"/>
        </w:rPr>
        <w:t>Overcoming Barriers:</w:t>
      </w:r>
    </w:p>
    <w:p w14:paraId="4FBEBB65" w14:textId="5A92AF62" w:rsidR="00211184" w:rsidRPr="00636D9A" w:rsidRDefault="7E694548" w:rsidP="20C9F860">
      <w:pPr>
        <w:pStyle w:val="ListParagraph"/>
        <w:numPr>
          <w:ilvl w:val="0"/>
          <w:numId w:val="4"/>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Provide digital support options (online parent training, virtual support groups) to increase flexibility.</w:t>
      </w:r>
    </w:p>
    <w:p w14:paraId="67A0B48F" w14:textId="23A558A9" w:rsidR="00211184" w:rsidRPr="00636D9A" w:rsidRDefault="7E694548" w:rsidP="20C9F860">
      <w:pPr>
        <w:pStyle w:val="ListParagraph"/>
        <w:numPr>
          <w:ilvl w:val="0"/>
          <w:numId w:val="4"/>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Create national minimum standards for post-diagnostic care to reduce geographical disparities.</w:t>
      </w:r>
    </w:p>
    <w:p w14:paraId="7002CA7E" w14:textId="4669A795" w:rsidR="00211184" w:rsidRPr="00636D9A" w:rsidRDefault="7E694548" w:rsidP="20C9F860">
      <w:pPr>
        <w:pStyle w:val="ListParagraph"/>
        <w:numPr>
          <w:ilvl w:val="0"/>
          <w:numId w:val="4"/>
        </w:numPr>
        <w:spacing w:before="240" w:after="240" w:line="360" w:lineRule="auto"/>
        <w:rPr>
          <w:rFonts w:ascii="Arial" w:eastAsia="Arial" w:hAnsi="Arial" w:cs="Arial"/>
          <w:color w:val="000000" w:themeColor="text1"/>
          <w:sz w:val="24"/>
          <w:szCs w:val="24"/>
        </w:rPr>
      </w:pPr>
      <w:r w:rsidRPr="20C9F860">
        <w:rPr>
          <w:rFonts w:ascii="Arial" w:eastAsia="Arial" w:hAnsi="Arial" w:cs="Arial"/>
          <w:color w:val="000000" w:themeColor="text1"/>
          <w:sz w:val="24"/>
          <w:szCs w:val="24"/>
        </w:rPr>
        <w:t>Encourage collaboration between statutory services and voluntary organisations to maximise reach.</w:t>
      </w:r>
    </w:p>
    <w:p w14:paraId="3835FED4" w14:textId="11396B2B" w:rsidR="00211184" w:rsidRPr="00636D9A" w:rsidRDefault="00211184" w:rsidP="20C9F860">
      <w:pPr>
        <w:pStyle w:val="Heading1"/>
        <w:spacing w:line="360" w:lineRule="auto"/>
        <w:rPr>
          <w:rFonts w:ascii="Aptos" w:hAnsi="Aptos"/>
        </w:rPr>
      </w:pPr>
    </w:p>
    <w:p w14:paraId="23312203" w14:textId="5BB3F3FC" w:rsidR="00211184" w:rsidRPr="00636D9A" w:rsidRDefault="00211184" w:rsidP="20C9F860">
      <w:pPr>
        <w:pStyle w:val="Heading1"/>
        <w:spacing w:line="360" w:lineRule="auto"/>
        <w:rPr>
          <w:rFonts w:ascii="Aptos" w:hAnsi="Aptos"/>
        </w:rPr>
      </w:pPr>
    </w:p>
    <w:p w14:paraId="3FB82B21" w14:textId="53DDCC3A" w:rsidR="00211184" w:rsidRPr="00636D9A" w:rsidRDefault="00211184" w:rsidP="20C9F860">
      <w:pPr>
        <w:pStyle w:val="Heading1"/>
        <w:spacing w:line="360" w:lineRule="auto"/>
        <w:rPr>
          <w:rFonts w:ascii="Aptos" w:hAnsi="Aptos"/>
        </w:rPr>
      </w:pPr>
    </w:p>
    <w:p w14:paraId="2C166F9B" w14:textId="60F8C027" w:rsidR="00211184" w:rsidRPr="00636D9A" w:rsidRDefault="00211184" w:rsidP="20C9F860">
      <w:pPr>
        <w:pStyle w:val="Heading1"/>
        <w:spacing w:line="360" w:lineRule="auto"/>
        <w:rPr>
          <w:rFonts w:ascii="Aptos" w:hAnsi="Aptos"/>
        </w:rPr>
      </w:pPr>
    </w:p>
    <w:p w14:paraId="738FA731" w14:textId="73B444EE" w:rsidR="00211184" w:rsidRPr="00636D9A" w:rsidRDefault="00211184" w:rsidP="20C9F860">
      <w:pPr>
        <w:pStyle w:val="Heading1"/>
        <w:spacing w:line="360" w:lineRule="auto"/>
        <w:rPr>
          <w:rFonts w:ascii="Aptos" w:hAnsi="Aptos"/>
        </w:rPr>
      </w:pPr>
    </w:p>
    <w:p w14:paraId="73032616" w14:textId="055FC98D" w:rsidR="00211184" w:rsidRPr="00636D9A" w:rsidRDefault="00211184" w:rsidP="20C9F860">
      <w:pPr>
        <w:pStyle w:val="Heading1"/>
        <w:spacing w:line="360" w:lineRule="auto"/>
        <w:rPr>
          <w:rFonts w:ascii="Aptos" w:hAnsi="Aptos"/>
        </w:rPr>
      </w:pPr>
    </w:p>
    <w:p w14:paraId="2FF42D37" w14:textId="02DC4DDC" w:rsidR="00211184" w:rsidRPr="00636D9A" w:rsidRDefault="00211184" w:rsidP="20C9F860">
      <w:pPr>
        <w:pStyle w:val="Heading1"/>
        <w:spacing w:line="360" w:lineRule="auto"/>
        <w:rPr>
          <w:rFonts w:ascii="Aptos" w:hAnsi="Aptos"/>
        </w:rPr>
      </w:pPr>
    </w:p>
    <w:p w14:paraId="78EAC82F" w14:textId="0D9F785F" w:rsidR="00211184" w:rsidRPr="00636D9A" w:rsidRDefault="00211184" w:rsidP="20C9F860">
      <w:pPr>
        <w:pStyle w:val="Heading1"/>
        <w:spacing w:line="360" w:lineRule="auto"/>
        <w:rPr>
          <w:rFonts w:ascii="Aptos" w:hAnsi="Aptos"/>
        </w:rPr>
      </w:pPr>
    </w:p>
    <w:p w14:paraId="5CC569F1" w14:textId="72815B07" w:rsidR="00211184" w:rsidRPr="00636D9A" w:rsidRDefault="00211184" w:rsidP="20C9F860">
      <w:pPr>
        <w:pStyle w:val="Heading1"/>
        <w:spacing w:line="360" w:lineRule="auto"/>
        <w:rPr>
          <w:rFonts w:ascii="Aptos" w:hAnsi="Aptos"/>
        </w:rPr>
      </w:pPr>
    </w:p>
    <w:p w14:paraId="39B6C244" w14:textId="357BC43F" w:rsidR="00211184" w:rsidRPr="00636D9A" w:rsidRDefault="00211184" w:rsidP="20C9F860">
      <w:pPr>
        <w:pStyle w:val="Heading1"/>
        <w:spacing w:line="360" w:lineRule="auto"/>
        <w:rPr>
          <w:rFonts w:ascii="Aptos" w:hAnsi="Aptos"/>
        </w:rPr>
      </w:pPr>
    </w:p>
    <w:p w14:paraId="7C105E38" w14:textId="264DA5BE" w:rsidR="00211184" w:rsidRPr="00636D9A" w:rsidRDefault="00211184" w:rsidP="20C9F860">
      <w:pPr>
        <w:pStyle w:val="Heading1"/>
        <w:spacing w:line="360" w:lineRule="auto"/>
        <w:rPr>
          <w:rFonts w:ascii="Aptos" w:hAnsi="Aptos"/>
        </w:rPr>
      </w:pPr>
    </w:p>
    <w:p w14:paraId="52469755" w14:textId="4F70063B" w:rsidR="00211184" w:rsidRPr="00636D9A" w:rsidRDefault="00211184" w:rsidP="20C9F860">
      <w:pPr>
        <w:pStyle w:val="Heading1"/>
        <w:spacing w:line="360" w:lineRule="auto"/>
        <w:rPr>
          <w:rFonts w:ascii="Aptos" w:hAnsi="Aptos"/>
        </w:rPr>
      </w:pPr>
    </w:p>
    <w:p w14:paraId="17F5D854" w14:textId="6922A409" w:rsidR="00211184" w:rsidRPr="00636D9A" w:rsidRDefault="00211184" w:rsidP="20C9F860">
      <w:pPr>
        <w:pStyle w:val="Heading1"/>
        <w:spacing w:line="360" w:lineRule="auto"/>
        <w:rPr>
          <w:rFonts w:ascii="Aptos" w:hAnsi="Aptos"/>
        </w:rPr>
      </w:pPr>
    </w:p>
    <w:p w14:paraId="487B45FF" w14:textId="42DE2D8F" w:rsidR="00211184" w:rsidRPr="00636D9A" w:rsidRDefault="00211184" w:rsidP="20C9F860">
      <w:pPr>
        <w:pStyle w:val="Heading1"/>
        <w:spacing w:line="360" w:lineRule="auto"/>
        <w:rPr>
          <w:rFonts w:ascii="Aptos" w:hAnsi="Aptos"/>
        </w:rPr>
      </w:pPr>
    </w:p>
    <w:p w14:paraId="1E60318A" w14:textId="50E17A1C" w:rsidR="00211184" w:rsidRPr="00636D9A" w:rsidRDefault="00211184" w:rsidP="20C9F860">
      <w:pPr>
        <w:pStyle w:val="Heading1"/>
        <w:spacing w:line="360" w:lineRule="auto"/>
        <w:rPr>
          <w:rFonts w:ascii="Aptos" w:hAnsi="Aptos"/>
        </w:rPr>
      </w:pPr>
    </w:p>
    <w:p w14:paraId="5233AE1F" w14:textId="3A42DF25" w:rsidR="00211184" w:rsidRPr="00636D9A" w:rsidRDefault="00211184" w:rsidP="20C9F860">
      <w:pPr>
        <w:pStyle w:val="Heading1"/>
        <w:spacing w:line="360" w:lineRule="auto"/>
        <w:rPr>
          <w:rFonts w:ascii="Aptos" w:hAnsi="Aptos"/>
        </w:rPr>
      </w:pPr>
    </w:p>
    <w:p w14:paraId="0654AE93" w14:textId="5EF9101B" w:rsidR="00211184" w:rsidRPr="00636D9A" w:rsidRDefault="00211184" w:rsidP="20C9F860">
      <w:pPr>
        <w:pStyle w:val="Heading1"/>
        <w:spacing w:line="360" w:lineRule="auto"/>
        <w:rPr>
          <w:rFonts w:ascii="Aptos" w:hAnsi="Aptos"/>
        </w:rPr>
      </w:pPr>
    </w:p>
    <w:p w14:paraId="2E9B60EC" w14:textId="771A2294" w:rsidR="00211184" w:rsidRPr="00636D9A" w:rsidRDefault="00211184" w:rsidP="20C9F860">
      <w:pPr>
        <w:pStyle w:val="Heading1"/>
        <w:spacing w:line="360" w:lineRule="auto"/>
        <w:rPr>
          <w:rFonts w:ascii="Aptos" w:hAnsi="Aptos"/>
        </w:rPr>
      </w:pPr>
    </w:p>
    <w:p w14:paraId="0E95B4CB" w14:textId="5EF33116" w:rsidR="00211184" w:rsidRPr="00636D9A" w:rsidRDefault="00211184" w:rsidP="20C9F860">
      <w:pPr>
        <w:pStyle w:val="Heading1"/>
        <w:spacing w:line="360" w:lineRule="auto"/>
        <w:rPr>
          <w:rFonts w:ascii="Aptos" w:hAnsi="Aptos"/>
        </w:rPr>
      </w:pPr>
    </w:p>
    <w:p w14:paraId="3D3F3B28" w14:textId="2CA78FCE" w:rsidR="00211184" w:rsidRPr="00636D9A" w:rsidRDefault="00211184" w:rsidP="20C9F860">
      <w:pPr>
        <w:pStyle w:val="Heading1"/>
        <w:spacing w:line="360" w:lineRule="auto"/>
        <w:rPr>
          <w:rFonts w:ascii="Aptos" w:hAnsi="Aptos"/>
        </w:rPr>
      </w:pPr>
      <w:r w:rsidRPr="20C9F860">
        <w:rPr>
          <w:rFonts w:ascii="Aptos" w:hAnsi="Aptos"/>
        </w:rPr>
        <w:t xml:space="preserve">CHAPTER 6 – References and Appendices </w:t>
      </w:r>
    </w:p>
    <w:p w14:paraId="2EE69DD1" w14:textId="77777777" w:rsidR="00211184" w:rsidRDefault="00211184" w:rsidP="20C9F860"/>
    <w:p w14:paraId="020975DD" w14:textId="0A8F339C" w:rsidR="00621776" w:rsidRPr="008C38C3" w:rsidRDefault="3A5A6FB6" w:rsidP="20C9F860">
      <w:pPr>
        <w:pStyle w:val="Heading1"/>
        <w:spacing w:line="360" w:lineRule="auto"/>
        <w:ind w:left="0"/>
        <w:rPr>
          <w:rFonts w:ascii="Aptos" w:hAnsi="Aptos"/>
          <w:sz w:val="28"/>
          <w:szCs w:val="28"/>
        </w:rPr>
      </w:pPr>
      <w:r w:rsidRPr="20C9F860">
        <w:rPr>
          <w:rFonts w:ascii="Aptos" w:hAnsi="Aptos"/>
          <w:sz w:val="28"/>
          <w:szCs w:val="28"/>
        </w:rPr>
        <w:t xml:space="preserve">6.1 – References </w:t>
      </w:r>
    </w:p>
    <w:p w14:paraId="21F31351" w14:textId="3F5549E3" w:rsidR="6AEE324A" w:rsidRDefault="18D1565D" w:rsidP="20C9F860">
      <w:pPr>
        <w:spacing w:before="240" w:after="240"/>
      </w:pPr>
      <w:r w:rsidRPr="20C9F860">
        <w:rPr>
          <w:b/>
          <w:bCs/>
        </w:rPr>
        <w:t>1.</w:t>
      </w:r>
      <w:r w:rsidRPr="20C9F860">
        <w:t xml:space="preserve"> Adams, L., Tindle, A. and Roberts, E. (2017) </w:t>
      </w:r>
      <w:r w:rsidRPr="20C9F860">
        <w:rPr>
          <w:i/>
          <w:iCs/>
        </w:rPr>
        <w:t>SEND reforms evaluation: Research report.</w:t>
      </w:r>
      <w:r w:rsidRPr="20C9F860">
        <w:t xml:space="preserve"> London: Department for Education.</w:t>
      </w:r>
    </w:p>
    <w:p w14:paraId="3C90E41B" w14:textId="2A1FD1B8" w:rsidR="6AEE324A" w:rsidRDefault="18D1565D" w:rsidP="20C9F860">
      <w:pPr>
        <w:spacing w:before="240" w:after="240"/>
      </w:pPr>
      <w:r w:rsidRPr="20C9F860">
        <w:rPr>
          <w:b/>
          <w:bCs/>
        </w:rPr>
        <w:t>2.</w:t>
      </w:r>
      <w:r w:rsidRPr="20C9F860">
        <w:t xml:space="preserve"> Ali, D., Macpherson, </w:t>
      </w:r>
      <w:r w:rsidR="1B852120" w:rsidRPr="20C9F860">
        <w:t>H.,</w:t>
      </w:r>
      <w:r w:rsidRPr="20C9F860">
        <w:t xml:space="preserve"> and Collins, S. (2022) ‘Parents’ experiences of navigating autism services in the UK: communication, trust, and unmet needs’, </w:t>
      </w:r>
      <w:r w:rsidRPr="20C9F860">
        <w:rPr>
          <w:i/>
          <w:iCs/>
        </w:rPr>
        <w:t>Disability &amp; Society</w:t>
      </w:r>
      <w:r w:rsidRPr="20C9F860">
        <w:t>, 37(6), pp. 915–933.</w:t>
      </w:r>
    </w:p>
    <w:p w14:paraId="5B7AFC19" w14:textId="54F7D609" w:rsidR="6AEE324A" w:rsidRDefault="18D1565D" w:rsidP="20C9F860">
      <w:pPr>
        <w:spacing w:before="240" w:after="240"/>
      </w:pPr>
      <w:r w:rsidRPr="20C9F860">
        <w:rPr>
          <w:b/>
          <w:bCs/>
        </w:rPr>
        <w:t>3.</w:t>
      </w:r>
      <w:r w:rsidRPr="20C9F860">
        <w:t xml:space="preserve"> American Psychiatric Association (2013) </w:t>
      </w:r>
      <w:r w:rsidRPr="20C9F860">
        <w:rPr>
          <w:i/>
          <w:iCs/>
        </w:rPr>
        <w:t>Diagnostic and Statistical Manual of Mental Disorders (DSM-5).</w:t>
      </w:r>
      <w:r w:rsidRPr="20C9F860">
        <w:t xml:space="preserve"> 5th edn. Washington, DC: APA.</w:t>
      </w:r>
    </w:p>
    <w:p w14:paraId="5F1B5935" w14:textId="0B4DE926" w:rsidR="6AEE324A" w:rsidRDefault="18D1565D" w:rsidP="20C9F860">
      <w:pPr>
        <w:spacing w:before="240" w:after="240"/>
      </w:pPr>
      <w:r w:rsidRPr="20C9F860">
        <w:rPr>
          <w:b/>
          <w:bCs/>
        </w:rPr>
        <w:t>4.</w:t>
      </w:r>
      <w:r w:rsidRPr="20C9F860">
        <w:t xml:space="preserve"> Arora, N.K. et al. (2018) ‘Neurodevelopmental disorders in children aged 2–9 years: Population-based burden estimates across five regions in India’, </w:t>
      </w:r>
      <w:r w:rsidRPr="20C9F860">
        <w:rPr>
          <w:i/>
          <w:iCs/>
        </w:rPr>
        <w:t>PLoS Medicine</w:t>
      </w:r>
      <w:r w:rsidRPr="20C9F860">
        <w:t>, 15(7), e1002615.</w:t>
      </w:r>
    </w:p>
    <w:p w14:paraId="52D8528F" w14:textId="276D8036" w:rsidR="6AEE324A" w:rsidRDefault="18D1565D" w:rsidP="20C9F860">
      <w:pPr>
        <w:spacing w:before="240" w:after="240"/>
      </w:pPr>
      <w:r w:rsidRPr="20C9F860">
        <w:rPr>
          <w:b/>
          <w:bCs/>
        </w:rPr>
        <w:t>5.</w:t>
      </w:r>
      <w:r w:rsidRPr="20C9F860">
        <w:t xml:space="preserve"> Bakken, T.L., Helverschou, S.B. and Høidal, S.H. (2019) ‘The Norwegian system of autism services’, </w:t>
      </w:r>
      <w:r w:rsidRPr="20C9F860">
        <w:rPr>
          <w:i/>
          <w:iCs/>
        </w:rPr>
        <w:t>Nordic Journal of Psychiatry</w:t>
      </w:r>
      <w:r w:rsidRPr="20C9F860">
        <w:t>, 73(5), pp. 299–307.</w:t>
      </w:r>
    </w:p>
    <w:p w14:paraId="4C99632C" w14:textId="73B67AB8" w:rsidR="6AEE324A" w:rsidRDefault="18D1565D" w:rsidP="20C9F860">
      <w:pPr>
        <w:spacing w:before="240" w:after="240"/>
      </w:pPr>
      <w:r w:rsidRPr="20C9F860">
        <w:rPr>
          <w:b/>
          <w:bCs/>
        </w:rPr>
        <w:t>6.</w:t>
      </w:r>
      <w:r w:rsidRPr="20C9F860">
        <w:t xml:space="preserve"> Betancourt, J.R., Green, A.R. and Carrillo, J.E. (2016) ‘The path to equity in healthcare: cultural competence and reducing health disparities’, </w:t>
      </w:r>
      <w:r w:rsidRPr="20C9F860">
        <w:rPr>
          <w:i/>
          <w:iCs/>
        </w:rPr>
        <w:t>Health Affairs</w:t>
      </w:r>
      <w:r w:rsidRPr="20C9F860">
        <w:t>, 35(6), pp. 1099–1105.</w:t>
      </w:r>
    </w:p>
    <w:p w14:paraId="38E5BF06" w14:textId="0C4D1F70" w:rsidR="6AEE324A" w:rsidRDefault="18D1565D" w:rsidP="20C9F860">
      <w:pPr>
        <w:spacing w:before="240" w:after="240"/>
      </w:pPr>
      <w:r w:rsidRPr="20C9F860">
        <w:rPr>
          <w:b/>
          <w:bCs/>
        </w:rPr>
        <w:t>7.</w:t>
      </w:r>
      <w:r w:rsidRPr="20C9F860">
        <w:t xml:space="preserve"> Blakeslee, S. (2014) ‘The CRAAP Test’, </w:t>
      </w:r>
      <w:r w:rsidRPr="20C9F860">
        <w:rPr>
          <w:i/>
          <w:iCs/>
        </w:rPr>
        <w:t>Loex Quarterly</w:t>
      </w:r>
      <w:r w:rsidRPr="20C9F860">
        <w:t>, 31(3), pp. 6–7.</w:t>
      </w:r>
    </w:p>
    <w:p w14:paraId="3B8B942B" w14:textId="5000C6B2" w:rsidR="6AEE324A" w:rsidRDefault="18D1565D" w:rsidP="20C9F860">
      <w:pPr>
        <w:spacing w:before="240" w:after="240"/>
      </w:pPr>
      <w:r w:rsidRPr="20C9F860">
        <w:rPr>
          <w:b/>
          <w:bCs/>
        </w:rPr>
        <w:t>8.</w:t>
      </w:r>
      <w:r w:rsidRPr="20C9F860">
        <w:t xml:space="preserve"> Bonyhady, B. (2019) ‘The National Disability Insurance Scheme: Challenges and opportunities’, </w:t>
      </w:r>
      <w:r w:rsidRPr="20C9F860">
        <w:rPr>
          <w:i/>
          <w:iCs/>
        </w:rPr>
        <w:t>Australian Health Review</w:t>
      </w:r>
      <w:r w:rsidRPr="20C9F860">
        <w:t>, 43(1), pp. 2–5.</w:t>
      </w:r>
    </w:p>
    <w:p w14:paraId="04190259" w14:textId="64A25DBA" w:rsidR="6AEE324A" w:rsidRDefault="18D1565D" w:rsidP="20C9F860">
      <w:pPr>
        <w:spacing w:before="240" w:after="240"/>
      </w:pPr>
      <w:r w:rsidRPr="20C9F860">
        <w:rPr>
          <w:b/>
          <w:bCs/>
        </w:rPr>
        <w:t>9.</w:t>
      </w:r>
      <w:r w:rsidRPr="20C9F860">
        <w:t xml:space="preserve"> Braun, </w:t>
      </w:r>
      <w:bookmarkStart w:id="0" w:name="_Int_RwU9X0Uk"/>
      <w:r w:rsidRPr="20C9F860">
        <w:t>V.</w:t>
      </w:r>
      <w:bookmarkEnd w:id="0"/>
      <w:r w:rsidRPr="20C9F860">
        <w:t xml:space="preserve"> and Clarke, V. (2019) ‘Reflecting on reflexive thematic analysis’, </w:t>
      </w:r>
      <w:r w:rsidRPr="20C9F860">
        <w:rPr>
          <w:i/>
          <w:iCs/>
        </w:rPr>
        <w:t>Qualitative Research in Sport, Exercise and Health</w:t>
      </w:r>
      <w:r w:rsidRPr="20C9F860">
        <w:t>, 11(4), pp. 589–597.</w:t>
      </w:r>
    </w:p>
    <w:p w14:paraId="7B513954" w14:textId="727CD7A7" w:rsidR="6AEE324A" w:rsidRDefault="18D1565D" w:rsidP="20C9F860">
      <w:pPr>
        <w:spacing w:before="240" w:after="240"/>
      </w:pPr>
      <w:r w:rsidRPr="20C9F860">
        <w:rPr>
          <w:b/>
          <w:bCs/>
        </w:rPr>
        <w:t>10.</w:t>
      </w:r>
      <w:r w:rsidRPr="20C9F860">
        <w:t xml:space="preserve"> Bronfenbrenner, U. (1979) </w:t>
      </w:r>
      <w:r w:rsidRPr="20C9F860">
        <w:rPr>
          <w:i/>
          <w:iCs/>
        </w:rPr>
        <w:t>The ecology of human development.</w:t>
      </w:r>
      <w:r w:rsidRPr="20C9F860">
        <w:t xml:space="preserve"> Cambridge, MA: Harvard University Press.</w:t>
      </w:r>
    </w:p>
    <w:p w14:paraId="27CC845D" w14:textId="2B0793FA" w:rsidR="6AEE324A" w:rsidRDefault="18D1565D" w:rsidP="20C9F860">
      <w:pPr>
        <w:spacing w:before="240" w:after="240"/>
      </w:pPr>
      <w:r w:rsidRPr="20C9F860">
        <w:rPr>
          <w:b/>
          <w:bCs/>
        </w:rPr>
        <w:t>11.</w:t>
      </w:r>
      <w:r w:rsidRPr="20C9F860">
        <w:t xml:space="preserve"> Bronfenbrenner, U. (1994) ‘Ecological models of human development’, in </w:t>
      </w:r>
      <w:r w:rsidRPr="20C9F860">
        <w:rPr>
          <w:i/>
          <w:iCs/>
        </w:rPr>
        <w:t>International Encyclopedia of Education.</w:t>
      </w:r>
      <w:r w:rsidRPr="20C9F860">
        <w:t xml:space="preserve"> 2nd edn. Oxford: Elsevier, pp. 1643–1647.</w:t>
      </w:r>
    </w:p>
    <w:p w14:paraId="7EA4CB8C" w14:textId="0014204D" w:rsidR="6AEE324A" w:rsidRDefault="18D1565D" w:rsidP="20C9F860">
      <w:pPr>
        <w:spacing w:before="240" w:after="240"/>
      </w:pPr>
      <w:r w:rsidRPr="20C9F860">
        <w:rPr>
          <w:b/>
          <w:bCs/>
        </w:rPr>
        <w:t>12.</w:t>
      </w:r>
      <w:r w:rsidRPr="20C9F860">
        <w:t xml:space="preserve"> Campbell, D., McKenzie, K. and Trembath, D. (2022) ‘Waiting times for autism assessments: evidence from UK services and parental perspectives’, </w:t>
      </w:r>
      <w:r w:rsidRPr="20C9F860">
        <w:rPr>
          <w:i/>
          <w:iCs/>
        </w:rPr>
        <w:t>Autism</w:t>
      </w:r>
      <w:r w:rsidRPr="20C9F860">
        <w:t>, 26(3), pp. 745–757.</w:t>
      </w:r>
    </w:p>
    <w:p w14:paraId="039DA26B" w14:textId="663A27CA" w:rsidR="6AEE324A" w:rsidRDefault="18D1565D" w:rsidP="20C9F860">
      <w:pPr>
        <w:spacing w:before="240" w:after="240"/>
      </w:pPr>
      <w:r w:rsidRPr="20C9F860">
        <w:rPr>
          <w:b/>
          <w:bCs/>
        </w:rPr>
        <w:t>13.</w:t>
      </w:r>
      <w:r w:rsidRPr="20C9F860">
        <w:t xml:space="preserve"> Conger, R.D., Conger, K.J. and Martin, M.J. (2010) ‘Socioeconomic status, family processes, and individual development’, </w:t>
      </w:r>
      <w:r w:rsidRPr="20C9F860">
        <w:rPr>
          <w:i/>
          <w:iCs/>
        </w:rPr>
        <w:t>Journal of Marriage and Family</w:t>
      </w:r>
      <w:r w:rsidRPr="20C9F860">
        <w:t>, 72(3), pp. 685–703.</w:t>
      </w:r>
    </w:p>
    <w:p w14:paraId="7D3A151C" w14:textId="044FB3FB" w:rsidR="6AEE324A" w:rsidRDefault="18D1565D" w:rsidP="20C9F860">
      <w:pPr>
        <w:spacing w:before="240" w:after="240"/>
      </w:pPr>
      <w:r w:rsidRPr="20C9F860">
        <w:rPr>
          <w:b/>
          <w:bCs/>
        </w:rPr>
        <w:t>14.</w:t>
      </w:r>
      <w:r w:rsidRPr="20C9F860">
        <w:t xml:space="preserve"> Crane, L. et al. (2016) ‘Experiences of autism diagnosis: A survey of over 1000 parents in the UK’, </w:t>
      </w:r>
      <w:r w:rsidRPr="20C9F860">
        <w:rPr>
          <w:i/>
          <w:iCs/>
        </w:rPr>
        <w:t>Autism</w:t>
      </w:r>
      <w:r w:rsidRPr="20C9F860">
        <w:t>, 20(2), pp. 153–162.</w:t>
      </w:r>
    </w:p>
    <w:p w14:paraId="42110E92" w14:textId="3B7A8A8D" w:rsidR="6AEE324A" w:rsidRDefault="18D1565D" w:rsidP="20C9F860">
      <w:pPr>
        <w:spacing w:before="240" w:after="240"/>
      </w:pPr>
      <w:r w:rsidRPr="20C9F860">
        <w:rPr>
          <w:b/>
          <w:bCs/>
        </w:rPr>
        <w:t>15.</w:t>
      </w:r>
      <w:r w:rsidRPr="20C9F860">
        <w:t xml:space="preserve"> Curran, H., Mortimore, T., Riddell, </w:t>
      </w:r>
      <w:bookmarkStart w:id="1" w:name="_Int_1kYNkWeg"/>
      <w:r w:rsidRPr="20C9F860">
        <w:t>R.</w:t>
      </w:r>
      <w:bookmarkEnd w:id="1"/>
      <w:r w:rsidRPr="20C9F860">
        <w:t xml:space="preserve"> and Williams, J. (2018) ‘SEND reforms and parental experiences of Education, Health and Care Plans’, </w:t>
      </w:r>
      <w:r w:rsidRPr="20C9F860">
        <w:rPr>
          <w:i/>
          <w:iCs/>
        </w:rPr>
        <w:t>British Journal of Special Education</w:t>
      </w:r>
      <w:r w:rsidRPr="20C9F860">
        <w:t>, 45(4), pp. 454–472.</w:t>
      </w:r>
    </w:p>
    <w:p w14:paraId="067C4974" w14:textId="400E2245" w:rsidR="6AEE324A" w:rsidRDefault="18D1565D" w:rsidP="20C9F860">
      <w:pPr>
        <w:spacing w:before="240" w:after="240"/>
      </w:pPr>
      <w:r w:rsidRPr="20C9F860">
        <w:rPr>
          <w:b/>
          <w:bCs/>
        </w:rPr>
        <w:t>16.</w:t>
      </w:r>
      <w:r w:rsidRPr="20C9F860">
        <w:t xml:space="preserve"> Department of Health (2010) </w:t>
      </w:r>
      <w:r w:rsidRPr="20C9F860">
        <w:rPr>
          <w:i/>
          <w:iCs/>
        </w:rPr>
        <w:t>Implementing Fulfilling and Rewarding Lives: Statutory guidance for local authorities and NHS organisations to support implementation of the autism strategy.</w:t>
      </w:r>
      <w:r w:rsidRPr="20C9F860">
        <w:t xml:space="preserve"> London: HMSO.</w:t>
      </w:r>
    </w:p>
    <w:p w14:paraId="2172EC8D" w14:textId="1B855BA5" w:rsidR="6AEE324A" w:rsidRDefault="18D1565D" w:rsidP="20C9F860">
      <w:pPr>
        <w:spacing w:before="240" w:after="240"/>
      </w:pPr>
      <w:r w:rsidRPr="20C9F860">
        <w:rPr>
          <w:b/>
          <w:bCs/>
        </w:rPr>
        <w:t>17.</w:t>
      </w:r>
      <w:r w:rsidRPr="20C9F860">
        <w:t xml:space="preserve"> Department of Health and Social Care (2021) </w:t>
      </w:r>
      <w:r w:rsidRPr="20C9F860">
        <w:rPr>
          <w:i/>
          <w:iCs/>
        </w:rPr>
        <w:t xml:space="preserve">The national strategy for autistic children, young </w:t>
      </w:r>
      <w:bookmarkStart w:id="2" w:name="_Int_aRfcIirU"/>
      <w:r w:rsidRPr="20C9F860">
        <w:rPr>
          <w:i/>
          <w:iCs/>
        </w:rPr>
        <w:t>people</w:t>
      </w:r>
      <w:bookmarkEnd w:id="2"/>
      <w:r w:rsidRPr="20C9F860">
        <w:rPr>
          <w:i/>
          <w:iCs/>
        </w:rPr>
        <w:t xml:space="preserve"> and adults: 2021 to 2026.</w:t>
      </w:r>
      <w:r w:rsidRPr="20C9F860">
        <w:t xml:space="preserve"> London: DHSC.</w:t>
      </w:r>
    </w:p>
    <w:p w14:paraId="58A6E8E8" w14:textId="00E7F33E" w:rsidR="6AEE324A" w:rsidRDefault="18D1565D" w:rsidP="20C9F860">
      <w:pPr>
        <w:spacing w:before="240" w:after="240"/>
      </w:pPr>
      <w:r w:rsidRPr="20C9F860">
        <w:rPr>
          <w:b/>
          <w:bCs/>
        </w:rPr>
        <w:t>18.</w:t>
      </w:r>
      <w:r w:rsidRPr="20C9F860">
        <w:t xml:space="preserve"> Eilenberg, J.S. et al. (2016) ‘Disparities in services for children with autism spectrum disorder: The role of race and ethnicity’, </w:t>
      </w:r>
      <w:r w:rsidRPr="20C9F860">
        <w:rPr>
          <w:i/>
          <w:iCs/>
        </w:rPr>
        <w:t>Journal of Autism and Developmental Disorders</w:t>
      </w:r>
      <w:r w:rsidRPr="20C9F860">
        <w:t>, 46(12), pp. 4350–4362.</w:t>
      </w:r>
    </w:p>
    <w:p w14:paraId="4C2AE4F1" w14:textId="2DAECAD9" w:rsidR="6AEE324A" w:rsidRDefault="18D1565D" w:rsidP="20C9F860">
      <w:pPr>
        <w:spacing w:before="240" w:after="240"/>
      </w:pPr>
      <w:r w:rsidRPr="20C9F860">
        <w:rPr>
          <w:b/>
          <w:bCs/>
        </w:rPr>
        <w:t>19.</w:t>
      </w:r>
      <w:r w:rsidRPr="20C9F860">
        <w:t xml:space="preserve"> Emerson, E. et al. (2021) ‘Inequalities and autism service provision: Evidence from UK population surveys’, </w:t>
      </w:r>
      <w:r w:rsidRPr="20C9F860">
        <w:rPr>
          <w:i/>
          <w:iCs/>
        </w:rPr>
        <w:t>Journal of Autism and Developmental Disorders</w:t>
      </w:r>
      <w:r w:rsidRPr="20C9F860">
        <w:t>, 51(4), pp. 1221–1232.</w:t>
      </w:r>
    </w:p>
    <w:p w14:paraId="1764843D" w14:textId="5E24FA74" w:rsidR="6AEE324A" w:rsidRDefault="18D1565D" w:rsidP="20C9F860">
      <w:pPr>
        <w:spacing w:before="240" w:after="240"/>
      </w:pPr>
      <w:r w:rsidRPr="20C9F860">
        <w:rPr>
          <w:b/>
          <w:bCs/>
        </w:rPr>
        <w:t>20.</w:t>
      </w:r>
      <w:r w:rsidRPr="20C9F860">
        <w:t xml:space="preserve"> Franz, L., Chambers, </w:t>
      </w:r>
      <w:bookmarkStart w:id="3" w:name="_Int_MnuDVtPW"/>
      <w:r w:rsidRPr="20C9F860">
        <w:t>N.</w:t>
      </w:r>
      <w:bookmarkEnd w:id="3"/>
      <w:r w:rsidRPr="20C9F860">
        <w:t xml:space="preserve"> and von Isenburg, M. (2017) ‘</w:t>
      </w:r>
      <w:r w:rsidR="200D4CF0" w:rsidRPr="20C9F860">
        <w:t>autism spectrum disorder</w:t>
      </w:r>
      <w:r w:rsidRPr="20C9F860">
        <w:t xml:space="preserve"> in sub-Saharan Africa: A comprehensive scoping review’, </w:t>
      </w:r>
      <w:r w:rsidRPr="20C9F860">
        <w:rPr>
          <w:i/>
          <w:iCs/>
        </w:rPr>
        <w:t>Autism Research</w:t>
      </w:r>
      <w:r w:rsidRPr="20C9F860">
        <w:t>, 10(5), pp. 723–749.</w:t>
      </w:r>
    </w:p>
    <w:p w14:paraId="2AE6FFEE" w14:textId="0D6BA6BE" w:rsidR="6AEE324A" w:rsidRDefault="18D1565D" w:rsidP="20C9F860">
      <w:pPr>
        <w:spacing w:before="240" w:after="240"/>
      </w:pPr>
      <w:r w:rsidRPr="20C9F860">
        <w:rPr>
          <w:b/>
          <w:bCs/>
        </w:rPr>
        <w:t>21.</w:t>
      </w:r>
      <w:r w:rsidRPr="20C9F860">
        <w:t xml:space="preserve"> Gillberg, C. (2010) </w:t>
      </w:r>
      <w:r w:rsidRPr="20C9F860">
        <w:rPr>
          <w:i/>
          <w:iCs/>
        </w:rPr>
        <w:t>The essence of autism and other neurodevelopmental conditions.</w:t>
      </w:r>
      <w:r w:rsidRPr="20C9F860">
        <w:t xml:space="preserve"> London: Jessica Kingsley.</w:t>
      </w:r>
    </w:p>
    <w:p w14:paraId="4C248D65" w14:textId="60D9DCBA" w:rsidR="6AEE324A" w:rsidRDefault="18D1565D" w:rsidP="20C9F860">
      <w:pPr>
        <w:spacing w:before="240" w:after="240"/>
      </w:pPr>
      <w:r w:rsidRPr="20C9F860">
        <w:rPr>
          <w:b/>
          <w:bCs/>
        </w:rPr>
        <w:t>22.</w:t>
      </w:r>
      <w:r w:rsidRPr="20C9F860">
        <w:t xml:space="preserve"> Graham, H. (2014) ‘Social determinants and their unequal distribution: clarifying policy understandings’, </w:t>
      </w:r>
      <w:r w:rsidRPr="20C9F860">
        <w:rPr>
          <w:i/>
          <w:iCs/>
        </w:rPr>
        <w:t>Milbank Quarterly</w:t>
      </w:r>
      <w:r w:rsidRPr="20C9F860">
        <w:t>, 92(2), pp. 341–353.</w:t>
      </w:r>
    </w:p>
    <w:p w14:paraId="45F6426B" w14:textId="59778A08" w:rsidR="6AEE324A" w:rsidRDefault="18D1565D" w:rsidP="20C9F860">
      <w:pPr>
        <w:spacing w:before="240" w:after="240"/>
      </w:pPr>
      <w:r w:rsidRPr="20C9F860">
        <w:rPr>
          <w:b/>
          <w:bCs/>
        </w:rPr>
        <w:t>23.</w:t>
      </w:r>
      <w:r w:rsidRPr="20C9F860">
        <w:t xml:space="preserve"> Green, R., Crane, L., O’Hare, </w:t>
      </w:r>
      <w:bookmarkStart w:id="4" w:name="_Int_Rb0FNWRS"/>
      <w:r w:rsidRPr="20C9F860">
        <w:t>A.</w:t>
      </w:r>
      <w:bookmarkEnd w:id="4"/>
      <w:r w:rsidRPr="20C9F860">
        <w:t xml:space="preserve"> and Yorke, I. (2020) ‘Barriers to autism diagnosis for young people in the UK: The role of professionals’, </w:t>
      </w:r>
      <w:r w:rsidRPr="20C9F860">
        <w:rPr>
          <w:i/>
          <w:iCs/>
        </w:rPr>
        <w:t>Autism</w:t>
      </w:r>
      <w:r w:rsidRPr="20C9F860">
        <w:t>, 24(7), pp. 1786–1798.</w:t>
      </w:r>
    </w:p>
    <w:p w14:paraId="3FC4F514" w14:textId="3D9C79FD" w:rsidR="6AEE324A" w:rsidRDefault="18D1565D" w:rsidP="20C9F860">
      <w:pPr>
        <w:spacing w:before="240" w:after="240"/>
      </w:pPr>
      <w:r w:rsidRPr="20C9F860">
        <w:rPr>
          <w:b/>
          <w:bCs/>
        </w:rPr>
        <w:t>24.</w:t>
      </w:r>
      <w:r w:rsidRPr="20C9F860">
        <w:t xml:space="preserve"> House of Commons Education Committee (2019) </w:t>
      </w:r>
      <w:r w:rsidRPr="20C9F860">
        <w:rPr>
          <w:i/>
          <w:iCs/>
        </w:rPr>
        <w:t>Special educational needs and disabilities: First report of session 2019.</w:t>
      </w:r>
      <w:r w:rsidRPr="20C9F860">
        <w:t xml:space="preserve"> London: HMSO.</w:t>
      </w:r>
    </w:p>
    <w:p w14:paraId="6F04913A" w14:textId="7FFB95B4" w:rsidR="6AEE324A" w:rsidRDefault="18D1565D" w:rsidP="20C9F860">
      <w:pPr>
        <w:spacing w:before="240" w:after="240"/>
      </w:pPr>
      <w:r w:rsidRPr="20C9F860">
        <w:rPr>
          <w:b/>
          <w:bCs/>
        </w:rPr>
        <w:t>25.</w:t>
      </w:r>
      <w:r w:rsidRPr="20C9F860">
        <w:t xml:space="preserve"> Jaarsma, P. and Welin, S. (2012) ‘Autism as a natural human variation: Reflections on the claims of the neurodiversity movement’, </w:t>
      </w:r>
      <w:r w:rsidRPr="20C9F860">
        <w:rPr>
          <w:i/>
          <w:iCs/>
        </w:rPr>
        <w:t>Health Care Analysis</w:t>
      </w:r>
      <w:r w:rsidRPr="20C9F860">
        <w:t>, 20(1), pp. 20–30.</w:t>
      </w:r>
    </w:p>
    <w:p w14:paraId="241B3015" w14:textId="2E272CF6" w:rsidR="6AEE324A" w:rsidRDefault="18D1565D" w:rsidP="20C9F860">
      <w:pPr>
        <w:spacing w:before="240" w:after="240"/>
      </w:pPr>
      <w:r w:rsidRPr="20C9F860">
        <w:rPr>
          <w:b/>
          <w:bCs/>
        </w:rPr>
        <w:t>26.</w:t>
      </w:r>
      <w:r w:rsidRPr="20C9F860">
        <w:t xml:space="preserve"> Jegatheesan, B., Miller, P.J. and Fowler, S.A. (2018) ‘Autism from a religious and cultural perspective: A study of parental beliefs in South Asian Muslim immigrant families’, </w:t>
      </w:r>
      <w:r w:rsidRPr="20C9F860">
        <w:rPr>
          <w:i/>
          <w:iCs/>
        </w:rPr>
        <w:t>Journal of Autism and Developmental Disorders</w:t>
      </w:r>
      <w:r w:rsidRPr="20C9F860">
        <w:t>, 48(10), pp. 3532–3546.</w:t>
      </w:r>
    </w:p>
    <w:p w14:paraId="3BD0E150" w14:textId="0506C29F" w:rsidR="6AEE324A" w:rsidRDefault="18D1565D" w:rsidP="20C9F860">
      <w:pPr>
        <w:spacing w:before="240" w:after="240"/>
      </w:pPr>
      <w:r w:rsidRPr="20C9F860">
        <w:rPr>
          <w:b/>
          <w:bCs/>
        </w:rPr>
        <w:t>27.</w:t>
      </w:r>
      <w:r w:rsidRPr="20C9F860">
        <w:t xml:space="preserve"> Kanner, L. (1943) ‘Autistic disturbances of affective contact’, </w:t>
      </w:r>
      <w:r w:rsidRPr="20C9F860">
        <w:rPr>
          <w:i/>
          <w:iCs/>
        </w:rPr>
        <w:t>Nervous Child</w:t>
      </w:r>
      <w:r w:rsidRPr="20C9F860">
        <w:t>, 2(3), pp. 217–250.</w:t>
      </w:r>
    </w:p>
    <w:p w14:paraId="44CD9F9B" w14:textId="5079991D" w:rsidR="6AEE324A" w:rsidRDefault="18D1565D" w:rsidP="20C9F860">
      <w:pPr>
        <w:spacing w:before="240" w:after="240"/>
      </w:pPr>
      <w:r w:rsidRPr="20C9F860">
        <w:rPr>
          <w:b/>
          <w:bCs/>
        </w:rPr>
        <w:t>28.</w:t>
      </w:r>
      <w:r w:rsidRPr="20C9F860">
        <w:t xml:space="preserve"> Keen, D. et al. (2021) ‘Parent training and support for families of children with autism: Culturally adapted approaches’, </w:t>
      </w:r>
      <w:r w:rsidRPr="20C9F860">
        <w:rPr>
          <w:i/>
          <w:iCs/>
        </w:rPr>
        <w:t>Research in Autism Spectrum Disorders</w:t>
      </w:r>
      <w:r w:rsidRPr="20C9F860">
        <w:t>, 88, 101860.</w:t>
      </w:r>
    </w:p>
    <w:p w14:paraId="68935A44" w14:textId="251E098E" w:rsidR="6AEE324A" w:rsidRDefault="18D1565D" w:rsidP="20C9F860">
      <w:pPr>
        <w:spacing w:before="240" w:after="240"/>
      </w:pPr>
      <w:r w:rsidRPr="20C9F860">
        <w:rPr>
          <w:b/>
          <w:bCs/>
        </w:rPr>
        <w:t>29.</w:t>
      </w:r>
      <w:r w:rsidRPr="20C9F860">
        <w:t xml:space="preserve"> Larkins, C., Ridley, </w:t>
      </w:r>
      <w:bookmarkStart w:id="5" w:name="_Int_3C2EUcn9"/>
      <w:r w:rsidRPr="20C9F860">
        <w:t>J.</w:t>
      </w:r>
      <w:bookmarkEnd w:id="5"/>
      <w:r w:rsidRPr="20C9F860">
        <w:t xml:space="preserve"> and Farrelly, N. (2022) ‘A postcode lottery? Variation in children’s services for autism across the UK</w:t>
      </w:r>
      <w:r w:rsidR="60FFBB2A" w:rsidRPr="20C9F860">
        <w:t>,’</w:t>
      </w:r>
      <w:r w:rsidRPr="20C9F860">
        <w:t xml:space="preserve"> </w:t>
      </w:r>
      <w:r w:rsidRPr="20C9F860">
        <w:rPr>
          <w:i/>
          <w:iCs/>
        </w:rPr>
        <w:t>Children &amp; Society</w:t>
      </w:r>
      <w:r w:rsidRPr="20C9F860">
        <w:t>, 36(1), pp. 51–65.</w:t>
      </w:r>
    </w:p>
    <w:p w14:paraId="06B65CFC" w14:textId="560AE02C" w:rsidR="6AEE324A" w:rsidRDefault="18D1565D" w:rsidP="20C9F860">
      <w:pPr>
        <w:spacing w:before="240" w:after="240"/>
      </w:pPr>
      <w:r w:rsidRPr="20C9F860">
        <w:rPr>
          <w:b/>
          <w:bCs/>
        </w:rPr>
        <w:t>30.</w:t>
      </w:r>
      <w:r w:rsidRPr="20C9F860">
        <w:t xml:space="preserve"> Lai, W.W. et al. (2020) ‘Stress and well-being in parents of children with autism spectrum disorder’, </w:t>
      </w:r>
      <w:r w:rsidRPr="20C9F860">
        <w:rPr>
          <w:i/>
          <w:iCs/>
        </w:rPr>
        <w:t>Research in Autism Spectrum Disorders</w:t>
      </w:r>
      <w:r w:rsidRPr="20C9F860">
        <w:t>, 71, 101495.</w:t>
      </w:r>
    </w:p>
    <w:p w14:paraId="1ED75AC5" w14:textId="1CEF4144" w:rsidR="6AEE324A" w:rsidRDefault="18D1565D" w:rsidP="20C9F860">
      <w:pPr>
        <w:spacing w:before="240" w:after="240"/>
      </w:pPr>
      <w:r w:rsidRPr="20C9F860">
        <w:rPr>
          <w:b/>
          <w:bCs/>
        </w:rPr>
        <w:t>31.</w:t>
      </w:r>
      <w:r w:rsidRPr="20C9F860">
        <w:t xml:space="preserve"> Lindsay, S. et al. (2019) ‘Disability disclosure and workplace accommodation among youth with disabilities’, </w:t>
      </w:r>
      <w:r w:rsidRPr="20C9F860">
        <w:rPr>
          <w:i/>
          <w:iCs/>
        </w:rPr>
        <w:t>Disability &amp; Rehabilitation</w:t>
      </w:r>
      <w:r w:rsidRPr="20C9F860">
        <w:t>, 41(3), pp. 299–309.</w:t>
      </w:r>
    </w:p>
    <w:p w14:paraId="5734FA32" w14:textId="0E82CF1C" w:rsidR="6AEE324A" w:rsidRDefault="18D1565D" w:rsidP="20C9F860">
      <w:pPr>
        <w:spacing w:before="240" w:after="240"/>
      </w:pPr>
      <w:r w:rsidRPr="20C9F860">
        <w:rPr>
          <w:b/>
          <w:bCs/>
        </w:rPr>
        <w:t>32.</w:t>
      </w:r>
      <w:r w:rsidRPr="20C9F860">
        <w:t xml:space="preserve"> Locke, J. et al. (2022) ‘Parent experiences with autism services: Systemic barriers and family impact’, </w:t>
      </w:r>
      <w:r w:rsidRPr="20C9F860">
        <w:rPr>
          <w:i/>
          <w:iCs/>
        </w:rPr>
        <w:t>Autism</w:t>
      </w:r>
      <w:r w:rsidRPr="20C9F860">
        <w:t>, 26(5), pp. 1154–1166.</w:t>
      </w:r>
    </w:p>
    <w:p w14:paraId="4678E5FE" w14:textId="54F2C03B" w:rsidR="6AEE324A" w:rsidRDefault="18D1565D" w:rsidP="20C9F860">
      <w:pPr>
        <w:spacing w:before="240" w:after="240"/>
      </w:pPr>
      <w:r w:rsidRPr="20C9F860">
        <w:rPr>
          <w:b/>
          <w:bCs/>
        </w:rPr>
        <w:t>33.</w:t>
      </w:r>
      <w:r w:rsidRPr="20C9F860">
        <w:t xml:space="preserve"> Martín-Martín, A. et al. (2018) ‘Google Scholar, Web of Science, and Scopus: A systematic comparison’, </w:t>
      </w:r>
      <w:r w:rsidRPr="20C9F860">
        <w:rPr>
          <w:i/>
          <w:iCs/>
        </w:rPr>
        <w:t>Journal of Informetrics</w:t>
      </w:r>
      <w:r w:rsidRPr="20C9F860">
        <w:t>, 12(4), pp. 1160–1177.</w:t>
      </w:r>
    </w:p>
    <w:p w14:paraId="6180CB87" w14:textId="4EAE2580" w:rsidR="6AEE324A" w:rsidRDefault="18D1565D" w:rsidP="20C9F860">
      <w:pPr>
        <w:spacing w:before="240" w:after="240"/>
      </w:pPr>
      <w:r w:rsidRPr="20C9F860">
        <w:rPr>
          <w:b/>
          <w:bCs/>
        </w:rPr>
        <w:t>34.</w:t>
      </w:r>
      <w:r w:rsidRPr="20C9F860">
        <w:t xml:space="preserve"> Milton, D. (2012) ‘On the ontological status of autism: The “double empathy problem”’, </w:t>
      </w:r>
      <w:r w:rsidRPr="20C9F860">
        <w:rPr>
          <w:i/>
          <w:iCs/>
        </w:rPr>
        <w:t>Disability &amp; Society</w:t>
      </w:r>
      <w:r w:rsidRPr="20C9F860">
        <w:t>, 27(6), pp. 883–887.</w:t>
      </w:r>
    </w:p>
    <w:p w14:paraId="76BD8B1E" w14:textId="196787CC" w:rsidR="6AEE324A" w:rsidRDefault="18D1565D" w:rsidP="20C9F860">
      <w:pPr>
        <w:spacing w:before="240" w:after="240"/>
      </w:pPr>
      <w:r w:rsidRPr="20C9F860">
        <w:rPr>
          <w:b/>
          <w:bCs/>
        </w:rPr>
        <w:t>35.</w:t>
      </w:r>
      <w:r w:rsidRPr="20C9F860">
        <w:t xml:space="preserve"> Moula, Z., Powell, J. and Poursanidou, D. (2021) ‘Parents’ experiences of autism diagnosis and post-diagnostic support in the UK’, </w:t>
      </w:r>
      <w:r w:rsidRPr="20C9F860">
        <w:rPr>
          <w:i/>
          <w:iCs/>
        </w:rPr>
        <w:t>Journal of Autism and Developmental Disorders</w:t>
      </w:r>
      <w:r w:rsidRPr="20C9F860">
        <w:t>, 51(10), pp. 3586–3599.</w:t>
      </w:r>
    </w:p>
    <w:p w14:paraId="41120170" w14:textId="63400D95" w:rsidR="6AEE324A" w:rsidRDefault="18D1565D" w:rsidP="20C9F860">
      <w:pPr>
        <w:spacing w:before="240" w:after="240"/>
      </w:pPr>
      <w:r w:rsidRPr="20C9F860">
        <w:rPr>
          <w:b/>
          <w:bCs/>
        </w:rPr>
        <w:t>36.</w:t>
      </w:r>
      <w:r w:rsidRPr="20C9F860">
        <w:t xml:space="preserve"> National Autistic Society (2021) </w:t>
      </w:r>
      <w:r w:rsidRPr="20C9F860">
        <w:rPr>
          <w:i/>
          <w:iCs/>
        </w:rPr>
        <w:t>Broken promises: Making autism diagnosis make sense.</w:t>
      </w:r>
      <w:r w:rsidRPr="20C9F860">
        <w:t xml:space="preserve"> London: NAS.</w:t>
      </w:r>
    </w:p>
    <w:p w14:paraId="12FA2944" w14:textId="4990C973" w:rsidR="6AEE324A" w:rsidRDefault="18D1565D" w:rsidP="20C9F860">
      <w:pPr>
        <w:spacing w:before="240" w:after="240"/>
      </w:pPr>
      <w:r w:rsidRPr="20C9F860">
        <w:rPr>
          <w:b/>
          <w:bCs/>
        </w:rPr>
        <w:t>37.</w:t>
      </w:r>
      <w:r w:rsidRPr="20C9F860">
        <w:t xml:space="preserve"> National Autistic Society (2022) </w:t>
      </w:r>
      <w:r w:rsidRPr="20C9F860">
        <w:rPr>
          <w:i/>
          <w:iCs/>
        </w:rPr>
        <w:t>Why early support matters.</w:t>
      </w:r>
      <w:r w:rsidRPr="20C9F860">
        <w:t xml:space="preserve"> Available at: </w:t>
      </w:r>
      <w:hyperlink r:id="rId13">
        <w:r w:rsidRPr="20C9F860">
          <w:rPr>
            <w:rStyle w:val="Hyperlink"/>
          </w:rPr>
          <w:t>https://www.autism.org.uk</w:t>
        </w:r>
      </w:hyperlink>
    </w:p>
    <w:p w14:paraId="1923158B" w14:textId="08E2D496" w:rsidR="6AEE324A" w:rsidRDefault="18D1565D" w:rsidP="20C9F860">
      <w:pPr>
        <w:spacing w:before="240" w:after="240"/>
      </w:pPr>
      <w:r w:rsidRPr="20C9F860">
        <w:rPr>
          <w:b/>
          <w:bCs/>
        </w:rPr>
        <w:t>38.</w:t>
      </w:r>
      <w:r w:rsidRPr="20C9F860">
        <w:t xml:space="preserve"> National Institute for Health and Care Excellence (2016) </w:t>
      </w:r>
      <w:r w:rsidR="789A51EB" w:rsidRPr="20C9F860">
        <w:rPr>
          <w:i/>
          <w:iCs/>
        </w:rPr>
        <w:t>autism spectrum disorder</w:t>
      </w:r>
      <w:r w:rsidRPr="20C9F860">
        <w:rPr>
          <w:i/>
          <w:iCs/>
        </w:rPr>
        <w:t xml:space="preserve"> in under 19s: recognition, </w:t>
      </w:r>
      <w:bookmarkStart w:id="6" w:name="_Int_Zt8QoiuO"/>
      <w:r w:rsidRPr="20C9F860">
        <w:rPr>
          <w:i/>
          <w:iCs/>
        </w:rPr>
        <w:t>referral</w:t>
      </w:r>
      <w:bookmarkEnd w:id="6"/>
      <w:r w:rsidRPr="20C9F860">
        <w:rPr>
          <w:i/>
          <w:iCs/>
        </w:rPr>
        <w:t xml:space="preserve"> and diagnosis (CG128).</w:t>
      </w:r>
      <w:r w:rsidRPr="20C9F860">
        <w:t xml:space="preserve"> London: NICE.</w:t>
      </w:r>
    </w:p>
    <w:p w14:paraId="491075DE" w14:textId="37BDB581" w:rsidR="6AEE324A" w:rsidRDefault="18D1565D" w:rsidP="20C9F860">
      <w:pPr>
        <w:spacing w:before="240" w:after="240"/>
      </w:pPr>
      <w:r w:rsidRPr="20C9F860">
        <w:rPr>
          <w:b/>
          <w:bCs/>
        </w:rPr>
        <w:t>39.</w:t>
      </w:r>
      <w:r w:rsidRPr="20C9F860">
        <w:t xml:space="preserve"> National Institute for Health and Care Excellence (2021) </w:t>
      </w:r>
      <w:r w:rsidR="6F7B8E2E" w:rsidRPr="20C9F860">
        <w:rPr>
          <w:i/>
          <w:iCs/>
        </w:rPr>
        <w:t>autism spectrum disorder</w:t>
      </w:r>
      <w:r w:rsidRPr="20C9F860">
        <w:rPr>
          <w:i/>
          <w:iCs/>
        </w:rPr>
        <w:t xml:space="preserve"> in under 19s: support and management (CG170).</w:t>
      </w:r>
      <w:r w:rsidRPr="20C9F860">
        <w:t xml:space="preserve"> London: NICE.</w:t>
      </w:r>
    </w:p>
    <w:p w14:paraId="2A44D0F1" w14:textId="196888C2" w:rsidR="6AEE324A" w:rsidRDefault="18D1565D" w:rsidP="20C9F860">
      <w:pPr>
        <w:spacing w:before="240" w:after="240"/>
      </w:pPr>
      <w:r w:rsidRPr="20C9F860">
        <w:rPr>
          <w:b/>
          <w:bCs/>
        </w:rPr>
        <w:t>40.</w:t>
      </w:r>
      <w:r w:rsidRPr="20C9F860">
        <w:t xml:space="preserve"> NHS England (2019) </w:t>
      </w:r>
      <w:r w:rsidRPr="20C9F860">
        <w:rPr>
          <w:i/>
          <w:iCs/>
        </w:rPr>
        <w:t>The NHS Long Term Plan.</w:t>
      </w:r>
      <w:r w:rsidRPr="20C9F860">
        <w:t xml:space="preserve"> London: NHS England.</w:t>
      </w:r>
    </w:p>
    <w:p w14:paraId="257EFAB7" w14:textId="12496556" w:rsidR="6AEE324A" w:rsidRDefault="18D1565D" w:rsidP="20C9F860">
      <w:pPr>
        <w:spacing w:before="240" w:after="240"/>
      </w:pPr>
      <w:r w:rsidRPr="20C9F860">
        <w:rPr>
          <w:b/>
          <w:bCs/>
        </w:rPr>
        <w:t>41.</w:t>
      </w:r>
      <w:r w:rsidRPr="20C9F860">
        <w:t xml:space="preserve"> NHS England (2021) </w:t>
      </w:r>
      <w:r w:rsidRPr="20C9F860">
        <w:rPr>
          <w:i/>
          <w:iCs/>
        </w:rPr>
        <w:t>Core20PLUS5 – An approach to reducing healthcare inequalities.</w:t>
      </w:r>
      <w:r w:rsidRPr="20C9F860">
        <w:t xml:space="preserve"> London: NHS England.</w:t>
      </w:r>
    </w:p>
    <w:p w14:paraId="457A7A7F" w14:textId="7B1A3AD9" w:rsidR="6AEE324A" w:rsidRDefault="18D1565D" w:rsidP="20C9F860">
      <w:pPr>
        <w:spacing w:before="240" w:after="240"/>
      </w:pPr>
      <w:r w:rsidRPr="20C9F860">
        <w:rPr>
          <w:b/>
          <w:bCs/>
        </w:rPr>
        <w:t>42.</w:t>
      </w:r>
      <w:r w:rsidRPr="20C9F860">
        <w:t xml:space="preserve"> Oliver, M. (1990) </w:t>
      </w:r>
      <w:r w:rsidRPr="20C9F860">
        <w:rPr>
          <w:i/>
          <w:iCs/>
        </w:rPr>
        <w:t>The politics of disablement.</w:t>
      </w:r>
      <w:r w:rsidRPr="20C9F860">
        <w:t xml:space="preserve"> London: Macmillan.</w:t>
      </w:r>
    </w:p>
    <w:p w14:paraId="51F364DD" w14:textId="1221E97B" w:rsidR="6AEE324A" w:rsidRDefault="18D1565D" w:rsidP="20C9F860">
      <w:pPr>
        <w:spacing w:before="240" w:after="240"/>
      </w:pPr>
      <w:r w:rsidRPr="20C9F860">
        <w:rPr>
          <w:b/>
          <w:bCs/>
        </w:rPr>
        <w:t>43.</w:t>
      </w:r>
      <w:r w:rsidRPr="20C9F860">
        <w:t xml:space="preserve"> Roman-Urrestarazu, A. et al. (2021) ‘Association of race/ethnicity and social disadvantage with autism prevalence’, </w:t>
      </w:r>
      <w:r w:rsidRPr="20C9F860">
        <w:rPr>
          <w:i/>
          <w:iCs/>
        </w:rPr>
        <w:t>JAMA Pediatrics</w:t>
      </w:r>
      <w:r w:rsidRPr="20C9F860">
        <w:t>, 175(6), pp. e210579.</w:t>
      </w:r>
    </w:p>
    <w:p w14:paraId="37078345" w14:textId="7F7DD3AD" w:rsidR="6AEE324A" w:rsidRDefault="18D1565D" w:rsidP="20C9F860">
      <w:pPr>
        <w:spacing w:before="240" w:after="240"/>
      </w:pPr>
      <w:r w:rsidRPr="20C9F860">
        <w:rPr>
          <w:b/>
          <w:bCs/>
        </w:rPr>
        <w:t>44.</w:t>
      </w:r>
      <w:r w:rsidRPr="20C9F860">
        <w:t xml:space="preserve"> Royal College of Psychiatrists (2021) </w:t>
      </w:r>
      <w:r w:rsidRPr="20C9F860">
        <w:rPr>
          <w:i/>
          <w:iCs/>
        </w:rPr>
        <w:t>Next steps for CAMHS: Workforce and service challenges.</w:t>
      </w:r>
      <w:r w:rsidRPr="20C9F860">
        <w:t xml:space="preserve"> London: RCPsych.</w:t>
      </w:r>
    </w:p>
    <w:p w14:paraId="2259D743" w14:textId="6CB121E6" w:rsidR="6AEE324A" w:rsidRDefault="18D1565D" w:rsidP="20C9F860">
      <w:pPr>
        <w:spacing w:before="240" w:after="240"/>
      </w:pPr>
      <w:r w:rsidRPr="20C9F860">
        <w:rPr>
          <w:b/>
          <w:bCs/>
        </w:rPr>
        <w:t>45.</w:t>
      </w:r>
      <w:r w:rsidRPr="20C9F860">
        <w:t xml:space="preserve"> Russell, G. et al. (2019) ‘Time trends in autism diagnosis over 20 years’, </w:t>
      </w:r>
      <w:r w:rsidRPr="20C9F860">
        <w:rPr>
          <w:i/>
          <w:iCs/>
        </w:rPr>
        <w:t>Journal of Child Psychology and Psychiatry</w:t>
      </w:r>
      <w:r w:rsidRPr="20C9F860">
        <w:t>, 60(10), pp. 1185–1194.</w:t>
      </w:r>
    </w:p>
    <w:p w14:paraId="02D95250" w14:textId="2F742B23" w:rsidR="6AEE324A" w:rsidRDefault="18D1565D" w:rsidP="20C9F860">
      <w:pPr>
        <w:spacing w:before="240" w:after="240"/>
      </w:pPr>
      <w:r w:rsidRPr="20C9F860">
        <w:rPr>
          <w:b/>
          <w:bCs/>
        </w:rPr>
        <w:t>46.</w:t>
      </w:r>
      <w:r w:rsidRPr="20C9F860">
        <w:t xml:space="preserve"> Russell, G. et al. (2019) ‘Time trends in autism diagnosis over 20 years: Updated analysis’, </w:t>
      </w:r>
      <w:r w:rsidRPr="20C9F860">
        <w:rPr>
          <w:i/>
          <w:iCs/>
        </w:rPr>
        <w:t>Journal of Child Psychology and Psychiatry</w:t>
      </w:r>
      <w:r w:rsidRPr="20C9F860">
        <w:t>, 61(1), pp. 49–58.</w:t>
      </w:r>
    </w:p>
    <w:p w14:paraId="40922A2F" w14:textId="70F0EFC5" w:rsidR="6AEE324A" w:rsidRDefault="18D1565D" w:rsidP="20C9F860">
      <w:pPr>
        <w:spacing w:before="240" w:after="240"/>
      </w:pPr>
      <w:r w:rsidRPr="20C9F860">
        <w:rPr>
          <w:b/>
          <w:bCs/>
        </w:rPr>
        <w:t>47.</w:t>
      </w:r>
      <w:r w:rsidRPr="20C9F860">
        <w:t xml:space="preserve"> Russell, G., Rodgers, L.R., Ukoumunne, O.C. and Ford, T. (2019) ‘Prevalence of parent-reported ASD and ADHD in the UK’, </w:t>
      </w:r>
      <w:r w:rsidRPr="20C9F860">
        <w:rPr>
          <w:i/>
          <w:iCs/>
        </w:rPr>
        <w:t>Journal of Autism and Developmental Disorders</w:t>
      </w:r>
      <w:r w:rsidRPr="20C9F860">
        <w:t>, 49(3), pp. 944–952.</w:t>
      </w:r>
    </w:p>
    <w:p w14:paraId="1E50FF68" w14:textId="2CC168E9" w:rsidR="6AEE324A" w:rsidRDefault="18D1565D" w:rsidP="20C9F860">
      <w:pPr>
        <w:spacing w:before="240" w:after="240"/>
      </w:pPr>
      <w:r w:rsidRPr="20C9F860">
        <w:rPr>
          <w:b/>
          <w:bCs/>
        </w:rPr>
        <w:t>48.</w:t>
      </w:r>
      <w:r w:rsidRPr="20C9F860">
        <w:t xml:space="preserve"> Rutherford, M. et al. (2016) ‘Developing a national autism implementation plan: The Scottish experience’, </w:t>
      </w:r>
      <w:r w:rsidRPr="20C9F860">
        <w:rPr>
          <w:i/>
          <w:iCs/>
        </w:rPr>
        <w:t>Autism</w:t>
      </w:r>
      <w:r w:rsidRPr="20C9F860">
        <w:t>, 20(3), pp. 262–269.</w:t>
      </w:r>
    </w:p>
    <w:p w14:paraId="330F2633" w14:textId="652FE37D" w:rsidR="6AEE324A" w:rsidRDefault="18D1565D" w:rsidP="20C9F860">
      <w:pPr>
        <w:spacing w:before="240" w:after="240"/>
      </w:pPr>
      <w:r w:rsidRPr="20C9F860">
        <w:rPr>
          <w:b/>
          <w:bCs/>
        </w:rPr>
        <w:t>49.</w:t>
      </w:r>
      <w:r w:rsidRPr="20C9F860">
        <w:t xml:space="preserve"> Shakespeare, T. (2013) </w:t>
      </w:r>
      <w:r w:rsidRPr="20C9F860">
        <w:rPr>
          <w:i/>
          <w:iCs/>
        </w:rPr>
        <w:t>Disability rights and wrongs revisited.</w:t>
      </w:r>
      <w:r w:rsidRPr="20C9F860">
        <w:t xml:space="preserve"> 2nd edn. London: Routledge.</w:t>
      </w:r>
    </w:p>
    <w:p w14:paraId="78F02122" w14:textId="37ACDC26" w:rsidR="6AEE324A" w:rsidRDefault="18D1565D" w:rsidP="20C9F860">
      <w:pPr>
        <w:spacing w:before="240" w:after="240"/>
      </w:pPr>
      <w:r w:rsidRPr="20C9F860">
        <w:rPr>
          <w:b/>
          <w:bCs/>
        </w:rPr>
        <w:t>50.</w:t>
      </w:r>
      <w:r w:rsidRPr="20C9F860">
        <w:t xml:space="preserve"> Singer, J. (2016) </w:t>
      </w:r>
      <w:r w:rsidRPr="20C9F860">
        <w:rPr>
          <w:i/>
          <w:iCs/>
        </w:rPr>
        <w:t>Neurodiversity: The birth of an idea.</w:t>
      </w:r>
      <w:r w:rsidRPr="20C9F860">
        <w:t xml:space="preserve"> Sydney: Kindle edition.</w:t>
      </w:r>
    </w:p>
    <w:p w14:paraId="4697774F" w14:textId="42A9620B" w:rsidR="6AEE324A" w:rsidRDefault="18D1565D" w:rsidP="20C9F860">
      <w:pPr>
        <w:spacing w:before="240" w:after="240"/>
      </w:pPr>
      <w:r w:rsidRPr="20C9F860">
        <w:rPr>
          <w:b/>
          <w:bCs/>
        </w:rPr>
        <w:t>51.</w:t>
      </w:r>
      <w:r w:rsidRPr="20C9F860">
        <w:t xml:space="preserve"> Tick, B. et al. (2021) ‘Autism diagnosis in the UK: Current practice and service challenges’, </w:t>
      </w:r>
      <w:bookmarkStart w:id="7" w:name="_Int_HDTKvzZz"/>
      <w:r w:rsidRPr="20C9F860">
        <w:rPr>
          <w:i/>
          <w:iCs/>
        </w:rPr>
        <w:t>Child</w:t>
      </w:r>
      <w:bookmarkEnd w:id="7"/>
      <w:r w:rsidRPr="20C9F860">
        <w:rPr>
          <w:i/>
          <w:iCs/>
        </w:rPr>
        <w:t xml:space="preserve"> and Adolescent Mental Health</w:t>
      </w:r>
      <w:r w:rsidRPr="20C9F860">
        <w:t>, 26(1), pp. 11–18.</w:t>
      </w:r>
    </w:p>
    <w:p w14:paraId="6534E331" w14:textId="0D94C4C4" w:rsidR="6AEE324A" w:rsidRDefault="18D1565D" w:rsidP="20C9F860">
      <w:pPr>
        <w:spacing w:before="240" w:after="240"/>
      </w:pPr>
      <w:r w:rsidRPr="20C9F860">
        <w:rPr>
          <w:b/>
          <w:bCs/>
        </w:rPr>
        <w:t>52.</w:t>
      </w:r>
      <w:r w:rsidRPr="20C9F860">
        <w:t xml:space="preserve"> U.S. Department of Education (2019) </w:t>
      </w:r>
      <w:r w:rsidRPr="20C9F860">
        <w:rPr>
          <w:i/>
          <w:iCs/>
        </w:rPr>
        <w:t>Individuals with Disabilities Education Act (IDEA).</w:t>
      </w:r>
      <w:r w:rsidRPr="20C9F860">
        <w:t xml:space="preserve"> Washington, DC: U.S. Government.</w:t>
      </w:r>
    </w:p>
    <w:p w14:paraId="7FB89F50" w14:textId="14B9FCAF" w:rsidR="6AEE324A" w:rsidRDefault="18D1565D" w:rsidP="20C9F860">
      <w:pPr>
        <w:spacing w:before="240" w:after="240"/>
      </w:pPr>
      <w:r w:rsidRPr="20C9F860">
        <w:rPr>
          <w:b/>
          <w:bCs/>
        </w:rPr>
        <w:t>53.</w:t>
      </w:r>
      <w:r w:rsidRPr="20C9F860">
        <w:t xml:space="preserve"> Volkmar, F.R. and Klin, A. (2005) </w:t>
      </w:r>
      <w:r w:rsidRPr="20C9F860">
        <w:rPr>
          <w:i/>
          <w:iCs/>
        </w:rPr>
        <w:t>Handbook of autism and pervasive developmental disorders.</w:t>
      </w:r>
      <w:r w:rsidRPr="20C9F860">
        <w:t xml:space="preserve"> 3rd edn. Hoboken, NJ: Wiley.</w:t>
      </w:r>
    </w:p>
    <w:p w14:paraId="2EDF6B6C" w14:textId="597BE9EC" w:rsidR="6AEE324A" w:rsidRDefault="18D1565D" w:rsidP="20C9F860">
      <w:pPr>
        <w:spacing w:before="240" w:after="240"/>
      </w:pPr>
      <w:r w:rsidRPr="20C9F860">
        <w:rPr>
          <w:b/>
          <w:bCs/>
        </w:rPr>
        <w:t>54.</w:t>
      </w:r>
      <w:r w:rsidRPr="20C9F860">
        <w:t xml:space="preserve"> World Health Organization (2013) </w:t>
      </w:r>
      <w:r w:rsidR="2E5AC14C" w:rsidRPr="20C9F860">
        <w:rPr>
          <w:i/>
          <w:iCs/>
        </w:rPr>
        <w:t>autism spectrum disorders</w:t>
      </w:r>
      <w:r w:rsidRPr="20C9F860">
        <w:rPr>
          <w:i/>
          <w:iCs/>
        </w:rPr>
        <w:t xml:space="preserve"> and other developmental disorders: From raising awareness to building capacity.</w:t>
      </w:r>
      <w:r w:rsidRPr="20C9F860">
        <w:t xml:space="preserve"> Geneva: WHO.</w:t>
      </w:r>
    </w:p>
    <w:p w14:paraId="40DE3294" w14:textId="0AD567EB" w:rsidR="6AEE324A" w:rsidRDefault="18D1565D" w:rsidP="20C9F860">
      <w:pPr>
        <w:spacing w:before="240" w:after="240"/>
      </w:pPr>
      <w:r w:rsidRPr="20C9F860">
        <w:rPr>
          <w:b/>
          <w:bCs/>
        </w:rPr>
        <w:t>55.</w:t>
      </w:r>
      <w:r w:rsidRPr="20C9F860">
        <w:t xml:space="preserve"> Zuckerman, K., Lindly, </w:t>
      </w:r>
      <w:bookmarkStart w:id="8" w:name="_Int_KYj8Mm2t"/>
      <w:r w:rsidRPr="20C9F860">
        <w:t>O.J.</w:t>
      </w:r>
      <w:bookmarkEnd w:id="8"/>
      <w:r w:rsidRPr="20C9F860">
        <w:t xml:space="preserve"> and Sinche, B. (2015) ‘Parental concerns, provider response, and timeliness of autism diagnosis’, </w:t>
      </w:r>
      <w:r w:rsidRPr="20C9F860">
        <w:rPr>
          <w:i/>
          <w:iCs/>
        </w:rPr>
        <w:t>Journal of Pediatrics</w:t>
      </w:r>
      <w:r w:rsidRPr="20C9F860">
        <w:t>, 166(6), pp. 1431–1439.</w:t>
      </w:r>
    </w:p>
    <w:p w14:paraId="3FFD9770" w14:textId="5C6E67BF" w:rsidR="6AEE324A" w:rsidRDefault="18D1565D" w:rsidP="20C9F860">
      <w:pPr>
        <w:spacing w:before="240" w:after="240"/>
      </w:pPr>
      <w:r w:rsidRPr="20C9F860">
        <w:rPr>
          <w:b/>
          <w:bCs/>
        </w:rPr>
        <w:t>56.</w:t>
      </w:r>
      <w:r w:rsidRPr="20C9F860">
        <w:t xml:space="preserve"> Zuckerman, K.E. et al. (2017) ‘Racial, ethnic, and language disparities in early diagnosis of ASD’, </w:t>
      </w:r>
      <w:r w:rsidRPr="20C9F860">
        <w:rPr>
          <w:i/>
          <w:iCs/>
        </w:rPr>
        <w:t>Journal of the American Academy of Child and Adolescent Psychiatry</w:t>
      </w:r>
      <w:r w:rsidRPr="20C9F860">
        <w:t>, 56(7), pp. 601–609.</w:t>
      </w:r>
    </w:p>
    <w:p w14:paraId="7803894F" w14:textId="1567056F" w:rsidR="6AEE324A" w:rsidRDefault="6AEE324A" w:rsidP="20C9F860">
      <w:pPr>
        <w:pStyle w:val="Heading1"/>
        <w:spacing w:line="360" w:lineRule="auto"/>
        <w:ind w:left="0"/>
        <w:rPr>
          <w:rFonts w:ascii="Aptos" w:hAnsi="Aptos"/>
          <w:sz w:val="28"/>
          <w:szCs w:val="28"/>
        </w:rPr>
      </w:pPr>
    </w:p>
    <w:p w14:paraId="177D47C3" w14:textId="77777777" w:rsidR="00621776" w:rsidRDefault="00621776" w:rsidP="20C9F860"/>
    <w:p w14:paraId="3C7AA80C" w14:textId="77777777" w:rsidR="00621776" w:rsidRDefault="00621776" w:rsidP="20C9F860"/>
    <w:p w14:paraId="45B8B922" w14:textId="1432DC11" w:rsidR="00621776" w:rsidRPr="008C38C3" w:rsidRDefault="00621776" w:rsidP="7D08271D">
      <w:pPr>
        <w:pStyle w:val="Heading1"/>
        <w:spacing w:line="360" w:lineRule="auto"/>
        <w:ind w:left="0"/>
        <w:rPr>
          <w:rFonts w:ascii="Aptos" w:hAnsi="Aptos"/>
          <w:sz w:val="28"/>
          <w:szCs w:val="28"/>
        </w:rPr>
      </w:pPr>
    </w:p>
    <w:p w14:paraId="13FB8777" w14:textId="185EE6A6" w:rsidR="00621776" w:rsidRPr="008C38C3" w:rsidRDefault="00621776" w:rsidP="7D08271D">
      <w:pPr>
        <w:pStyle w:val="Heading1"/>
        <w:spacing w:line="360" w:lineRule="auto"/>
        <w:ind w:left="0"/>
        <w:rPr>
          <w:rFonts w:ascii="Aptos" w:hAnsi="Aptos"/>
          <w:sz w:val="28"/>
          <w:szCs w:val="28"/>
        </w:rPr>
      </w:pPr>
    </w:p>
    <w:p w14:paraId="0009E95B" w14:textId="09F820BE" w:rsidR="00621776" w:rsidRPr="008C38C3" w:rsidRDefault="00621776" w:rsidP="7D08271D">
      <w:pPr>
        <w:pStyle w:val="Heading1"/>
        <w:spacing w:line="360" w:lineRule="auto"/>
        <w:ind w:left="0"/>
        <w:rPr>
          <w:rFonts w:ascii="Aptos" w:hAnsi="Aptos"/>
          <w:sz w:val="28"/>
          <w:szCs w:val="28"/>
        </w:rPr>
      </w:pPr>
    </w:p>
    <w:p w14:paraId="4CD34DD9" w14:textId="39F60937" w:rsidR="00621776" w:rsidRPr="008C38C3" w:rsidRDefault="00621776" w:rsidP="7D08271D">
      <w:pPr>
        <w:pStyle w:val="Heading1"/>
        <w:spacing w:line="360" w:lineRule="auto"/>
        <w:ind w:left="0"/>
        <w:rPr>
          <w:rFonts w:ascii="Aptos" w:hAnsi="Aptos"/>
          <w:sz w:val="28"/>
          <w:szCs w:val="28"/>
        </w:rPr>
      </w:pPr>
    </w:p>
    <w:p w14:paraId="25272B56" w14:textId="4FC41E80" w:rsidR="00621776" w:rsidRPr="008C38C3" w:rsidRDefault="00621776" w:rsidP="7D08271D">
      <w:pPr>
        <w:pStyle w:val="Heading1"/>
        <w:spacing w:line="360" w:lineRule="auto"/>
        <w:ind w:left="0"/>
        <w:rPr>
          <w:rFonts w:ascii="Aptos" w:hAnsi="Aptos"/>
          <w:sz w:val="28"/>
          <w:szCs w:val="28"/>
        </w:rPr>
      </w:pPr>
    </w:p>
    <w:p w14:paraId="4F37C4F3" w14:textId="642E4CE8" w:rsidR="00621776" w:rsidRPr="008C38C3" w:rsidRDefault="00621776" w:rsidP="7D08271D">
      <w:pPr>
        <w:pStyle w:val="Heading1"/>
        <w:spacing w:line="360" w:lineRule="auto"/>
        <w:ind w:left="0"/>
        <w:rPr>
          <w:rFonts w:ascii="Aptos" w:hAnsi="Aptos"/>
          <w:sz w:val="28"/>
          <w:szCs w:val="28"/>
        </w:rPr>
      </w:pPr>
    </w:p>
    <w:p w14:paraId="57B898C9" w14:textId="35130975" w:rsidR="00621776" w:rsidRPr="008C38C3" w:rsidRDefault="00621776" w:rsidP="7D08271D">
      <w:pPr>
        <w:pStyle w:val="Heading1"/>
        <w:spacing w:line="360" w:lineRule="auto"/>
        <w:ind w:left="0"/>
        <w:rPr>
          <w:rFonts w:ascii="Aptos" w:hAnsi="Aptos"/>
          <w:sz w:val="28"/>
          <w:szCs w:val="28"/>
        </w:rPr>
      </w:pPr>
    </w:p>
    <w:p w14:paraId="455EAAFC" w14:textId="7C76C9C4" w:rsidR="00621776" w:rsidRPr="008C38C3" w:rsidRDefault="00621776" w:rsidP="7D08271D">
      <w:pPr>
        <w:pStyle w:val="Heading1"/>
        <w:spacing w:line="360" w:lineRule="auto"/>
        <w:ind w:left="0"/>
        <w:rPr>
          <w:rFonts w:ascii="Aptos" w:hAnsi="Aptos"/>
          <w:sz w:val="28"/>
          <w:szCs w:val="28"/>
        </w:rPr>
      </w:pPr>
    </w:p>
    <w:p w14:paraId="1B35382B" w14:textId="58232468" w:rsidR="00621776" w:rsidRPr="008C38C3" w:rsidRDefault="00621776" w:rsidP="7D08271D">
      <w:pPr>
        <w:pStyle w:val="Heading1"/>
        <w:spacing w:line="360" w:lineRule="auto"/>
        <w:ind w:left="0"/>
        <w:rPr>
          <w:rFonts w:ascii="Aptos" w:hAnsi="Aptos"/>
          <w:sz w:val="28"/>
          <w:szCs w:val="28"/>
        </w:rPr>
      </w:pPr>
    </w:p>
    <w:p w14:paraId="5389A9AD" w14:textId="70E9AD7A" w:rsidR="00621776" w:rsidRPr="008C38C3" w:rsidRDefault="00621776" w:rsidP="7D08271D">
      <w:pPr>
        <w:pStyle w:val="Heading1"/>
        <w:spacing w:line="360" w:lineRule="auto"/>
        <w:ind w:left="0"/>
        <w:rPr>
          <w:rFonts w:ascii="Aptos" w:hAnsi="Aptos"/>
          <w:sz w:val="28"/>
          <w:szCs w:val="28"/>
        </w:rPr>
      </w:pPr>
    </w:p>
    <w:p w14:paraId="7FA2FD2F" w14:textId="49065C94" w:rsidR="00621776" w:rsidRPr="008C38C3" w:rsidRDefault="00621776" w:rsidP="7D08271D">
      <w:pPr>
        <w:pStyle w:val="Heading1"/>
        <w:spacing w:line="360" w:lineRule="auto"/>
        <w:ind w:left="0"/>
        <w:rPr>
          <w:rFonts w:ascii="Aptos" w:hAnsi="Aptos"/>
          <w:sz w:val="28"/>
          <w:szCs w:val="28"/>
        </w:rPr>
      </w:pPr>
    </w:p>
    <w:p w14:paraId="6413713E" w14:textId="3EFAE60D" w:rsidR="00621776" w:rsidRPr="008C38C3" w:rsidRDefault="00621776" w:rsidP="7D08271D">
      <w:pPr>
        <w:pStyle w:val="Heading1"/>
        <w:spacing w:line="360" w:lineRule="auto"/>
        <w:ind w:left="0"/>
        <w:rPr>
          <w:rFonts w:ascii="Aptos" w:hAnsi="Aptos"/>
          <w:sz w:val="28"/>
          <w:szCs w:val="28"/>
        </w:rPr>
      </w:pPr>
    </w:p>
    <w:p w14:paraId="2B327036" w14:textId="3410C6CF" w:rsidR="00621776" w:rsidRPr="008C38C3" w:rsidRDefault="00621776" w:rsidP="7D08271D">
      <w:pPr>
        <w:pStyle w:val="Heading1"/>
        <w:spacing w:line="360" w:lineRule="auto"/>
        <w:ind w:left="0"/>
        <w:rPr>
          <w:rFonts w:ascii="Aptos" w:hAnsi="Aptos"/>
          <w:sz w:val="28"/>
          <w:szCs w:val="28"/>
        </w:rPr>
      </w:pPr>
    </w:p>
    <w:p w14:paraId="1D0D89A4" w14:textId="53EAA67F" w:rsidR="00621776" w:rsidRPr="008C38C3" w:rsidRDefault="00621776" w:rsidP="7D08271D">
      <w:pPr>
        <w:pStyle w:val="Heading1"/>
        <w:spacing w:line="360" w:lineRule="auto"/>
        <w:ind w:left="0"/>
        <w:rPr>
          <w:rFonts w:ascii="Aptos" w:hAnsi="Aptos"/>
          <w:sz w:val="28"/>
          <w:szCs w:val="28"/>
        </w:rPr>
      </w:pPr>
    </w:p>
    <w:p w14:paraId="6D7584F3" w14:textId="2198C083" w:rsidR="00621776" w:rsidRPr="008C38C3" w:rsidRDefault="00621776" w:rsidP="20C9F860">
      <w:pPr>
        <w:pStyle w:val="Heading1"/>
        <w:spacing w:line="360" w:lineRule="auto"/>
        <w:ind w:left="0"/>
        <w:rPr>
          <w:rFonts w:ascii="Aptos" w:hAnsi="Aptos"/>
          <w:sz w:val="28"/>
          <w:szCs w:val="28"/>
        </w:rPr>
      </w:pPr>
      <w:r w:rsidRPr="7D08271D">
        <w:rPr>
          <w:rFonts w:ascii="Aptos" w:hAnsi="Aptos"/>
          <w:sz w:val="28"/>
          <w:szCs w:val="28"/>
        </w:rPr>
        <w:t xml:space="preserve">6.2 – Appendices </w:t>
      </w:r>
    </w:p>
    <w:p w14:paraId="5E02AF15" w14:textId="63884053" w:rsidR="00621776" w:rsidRDefault="00621776" w:rsidP="20C9F860"/>
    <w:p w14:paraId="6BF9E4FE" w14:textId="5CCE168B" w:rsidR="008C38C3" w:rsidRDefault="5E35E5AA" w:rsidP="7D08271D">
      <w:pPr>
        <w:pStyle w:val="Heading3"/>
        <w:spacing w:before="281" w:after="281"/>
        <w:rPr>
          <w:rFonts w:ascii="Aptos" w:eastAsia="Aptos" w:hAnsi="Aptos" w:cs="Aptos"/>
          <w:b/>
          <w:bCs/>
          <w:sz w:val="28"/>
          <w:szCs w:val="28"/>
        </w:rPr>
      </w:pPr>
      <w:r w:rsidRPr="7D08271D">
        <w:rPr>
          <w:rFonts w:ascii="Aptos" w:eastAsia="Aptos" w:hAnsi="Aptos" w:cs="Aptos"/>
          <w:b/>
          <w:bCs/>
          <w:sz w:val="28"/>
          <w:szCs w:val="28"/>
        </w:rPr>
        <w:t>Appendix A – Search Strategy Log</w:t>
      </w:r>
    </w:p>
    <w:tbl>
      <w:tblPr>
        <w:tblW w:w="0" w:type="auto"/>
        <w:tblLook w:val="06A0" w:firstRow="1" w:lastRow="0" w:firstColumn="1" w:lastColumn="0" w:noHBand="1" w:noVBand="1"/>
      </w:tblPr>
      <w:tblGrid>
        <w:gridCol w:w="1423"/>
        <w:gridCol w:w="3562"/>
        <w:gridCol w:w="1678"/>
        <w:gridCol w:w="2352"/>
      </w:tblGrid>
      <w:tr w:rsidR="20C9F860" w14:paraId="3476710C" w14:textId="77777777" w:rsidTr="20C9F860">
        <w:trPr>
          <w:trHeight w:val="300"/>
        </w:trPr>
        <w:tc>
          <w:tcPr>
            <w:tcW w:w="1423" w:type="dxa"/>
            <w:vAlign w:val="center"/>
          </w:tcPr>
          <w:p w14:paraId="027191C9" w14:textId="21E3794E" w:rsidR="20C9F860" w:rsidRDefault="20C9F860" w:rsidP="20C9F860">
            <w:pPr>
              <w:spacing w:after="0"/>
              <w:jc w:val="center"/>
            </w:pPr>
            <w:r w:rsidRPr="20C9F860">
              <w:rPr>
                <w:b/>
                <w:bCs/>
              </w:rPr>
              <w:t>Database / Source</w:t>
            </w:r>
          </w:p>
        </w:tc>
        <w:tc>
          <w:tcPr>
            <w:tcW w:w="3562" w:type="dxa"/>
            <w:vAlign w:val="center"/>
          </w:tcPr>
          <w:p w14:paraId="3A2C9453" w14:textId="18BD2E69" w:rsidR="20C9F860" w:rsidRDefault="20C9F860" w:rsidP="20C9F860">
            <w:pPr>
              <w:spacing w:after="0"/>
              <w:jc w:val="center"/>
            </w:pPr>
            <w:r w:rsidRPr="20C9F860">
              <w:rPr>
                <w:b/>
                <w:bCs/>
              </w:rPr>
              <w:t>Search Terms / Boolean Strings</w:t>
            </w:r>
          </w:p>
        </w:tc>
        <w:tc>
          <w:tcPr>
            <w:tcW w:w="1678" w:type="dxa"/>
            <w:vAlign w:val="center"/>
          </w:tcPr>
          <w:p w14:paraId="43FE2137" w14:textId="6FBB217E" w:rsidR="20C9F860" w:rsidRDefault="20C9F860" w:rsidP="20C9F860">
            <w:pPr>
              <w:spacing w:after="0"/>
              <w:jc w:val="center"/>
            </w:pPr>
            <w:r w:rsidRPr="20C9F860">
              <w:rPr>
                <w:b/>
                <w:bCs/>
              </w:rPr>
              <w:t>Filters Applied</w:t>
            </w:r>
          </w:p>
        </w:tc>
        <w:tc>
          <w:tcPr>
            <w:tcW w:w="2352" w:type="dxa"/>
            <w:vAlign w:val="center"/>
          </w:tcPr>
          <w:p w14:paraId="3F521549" w14:textId="62C54B2E" w:rsidR="20C9F860" w:rsidRDefault="20C9F860" w:rsidP="20C9F860">
            <w:pPr>
              <w:spacing w:after="0"/>
              <w:jc w:val="center"/>
            </w:pPr>
            <w:r w:rsidRPr="20C9F860">
              <w:rPr>
                <w:b/>
                <w:bCs/>
              </w:rPr>
              <w:t>Notes</w:t>
            </w:r>
          </w:p>
        </w:tc>
      </w:tr>
      <w:tr w:rsidR="20C9F860" w14:paraId="73284044" w14:textId="77777777" w:rsidTr="20C9F860">
        <w:trPr>
          <w:trHeight w:val="300"/>
        </w:trPr>
        <w:tc>
          <w:tcPr>
            <w:tcW w:w="1423" w:type="dxa"/>
            <w:vAlign w:val="center"/>
          </w:tcPr>
          <w:p w14:paraId="60A56AB9" w14:textId="7B7DE5BF" w:rsidR="20C9F860" w:rsidRDefault="20C9F860" w:rsidP="20C9F860">
            <w:pPr>
              <w:spacing w:after="0"/>
            </w:pPr>
            <w:r>
              <w:t>Google Scholar</w:t>
            </w:r>
          </w:p>
        </w:tc>
        <w:tc>
          <w:tcPr>
            <w:tcW w:w="3562" w:type="dxa"/>
            <w:vAlign w:val="center"/>
          </w:tcPr>
          <w:p w14:paraId="2B49317A" w14:textId="57C45343" w:rsidR="20C9F860" w:rsidRDefault="20C9F860" w:rsidP="20C9F860">
            <w:pPr>
              <w:spacing w:after="0"/>
            </w:pPr>
            <w:r>
              <w:t>“</w:t>
            </w:r>
            <w:r w:rsidR="547DBEA9">
              <w:t>Autism</w:t>
            </w:r>
            <w:r>
              <w:t xml:space="preserve"> support services” AND parents AND “children under 12” AND UK</w:t>
            </w:r>
          </w:p>
        </w:tc>
        <w:tc>
          <w:tcPr>
            <w:tcW w:w="1678" w:type="dxa"/>
            <w:vAlign w:val="center"/>
          </w:tcPr>
          <w:p w14:paraId="4C29FFB8" w14:textId="3C632041" w:rsidR="20C9F860" w:rsidRDefault="20C9F860" w:rsidP="20C9F860">
            <w:pPr>
              <w:spacing w:after="0"/>
            </w:pPr>
            <w:r>
              <w:t>2014–2025; English; peer-reviewed</w:t>
            </w:r>
          </w:p>
        </w:tc>
        <w:tc>
          <w:tcPr>
            <w:tcW w:w="2352" w:type="dxa"/>
            <w:vAlign w:val="center"/>
          </w:tcPr>
          <w:p w14:paraId="6C236B76" w14:textId="2D58DF6E" w:rsidR="20C9F860" w:rsidRDefault="20C9F860" w:rsidP="20C9F860">
            <w:pPr>
              <w:spacing w:after="0"/>
            </w:pPr>
            <w:r>
              <w:t>Identified core studies and recurring themes</w:t>
            </w:r>
          </w:p>
        </w:tc>
      </w:tr>
      <w:tr w:rsidR="20C9F860" w14:paraId="67D41241" w14:textId="77777777" w:rsidTr="20C9F860">
        <w:trPr>
          <w:trHeight w:val="300"/>
        </w:trPr>
        <w:tc>
          <w:tcPr>
            <w:tcW w:w="1423" w:type="dxa"/>
            <w:vAlign w:val="center"/>
          </w:tcPr>
          <w:p w14:paraId="307F4F7A" w14:textId="2F5BBE3A" w:rsidR="20C9F860" w:rsidRDefault="20C9F860" w:rsidP="20C9F860">
            <w:pPr>
              <w:spacing w:after="0"/>
            </w:pPr>
            <w:r>
              <w:t>PubMed</w:t>
            </w:r>
          </w:p>
        </w:tc>
        <w:tc>
          <w:tcPr>
            <w:tcW w:w="3562" w:type="dxa"/>
            <w:vAlign w:val="center"/>
          </w:tcPr>
          <w:p w14:paraId="14C0AB88" w14:textId="46B7CB57" w:rsidR="20C9F860" w:rsidRDefault="20C9F860" w:rsidP="20C9F860">
            <w:pPr>
              <w:spacing w:after="0"/>
            </w:pPr>
            <w:r>
              <w:t>autism AND diagnosis AND “barriers to access” AND UK</w:t>
            </w:r>
          </w:p>
        </w:tc>
        <w:tc>
          <w:tcPr>
            <w:tcW w:w="1678" w:type="dxa"/>
            <w:vAlign w:val="center"/>
          </w:tcPr>
          <w:p w14:paraId="6D41F123" w14:textId="05617FB4" w:rsidR="20C9F860" w:rsidRDefault="20C9F860" w:rsidP="20C9F860">
            <w:pPr>
              <w:spacing w:after="0"/>
            </w:pPr>
            <w:r>
              <w:t>2014–2025</w:t>
            </w:r>
          </w:p>
        </w:tc>
        <w:tc>
          <w:tcPr>
            <w:tcW w:w="2352" w:type="dxa"/>
            <w:vAlign w:val="center"/>
          </w:tcPr>
          <w:p w14:paraId="3C330524" w14:textId="0A1E92D3" w:rsidR="20C9F860" w:rsidRDefault="20C9F860" w:rsidP="20C9F860">
            <w:pPr>
              <w:spacing w:after="0"/>
            </w:pPr>
            <w:r>
              <w:t>Refined to child ASD pathways</w:t>
            </w:r>
          </w:p>
        </w:tc>
      </w:tr>
      <w:tr w:rsidR="20C9F860" w14:paraId="3E2D1056" w14:textId="77777777" w:rsidTr="20C9F860">
        <w:trPr>
          <w:trHeight w:val="300"/>
        </w:trPr>
        <w:tc>
          <w:tcPr>
            <w:tcW w:w="1423" w:type="dxa"/>
            <w:vAlign w:val="center"/>
          </w:tcPr>
          <w:p w14:paraId="23CC83FC" w14:textId="7B58D77F" w:rsidR="20C9F860" w:rsidRDefault="20C9F860" w:rsidP="20C9F860">
            <w:pPr>
              <w:spacing w:after="0"/>
            </w:pPr>
            <w:r>
              <w:t>UWTSD Library Catalogue</w:t>
            </w:r>
          </w:p>
        </w:tc>
        <w:tc>
          <w:tcPr>
            <w:tcW w:w="3562" w:type="dxa"/>
            <w:vAlign w:val="center"/>
          </w:tcPr>
          <w:p w14:paraId="1936A7FA" w14:textId="39A6298F" w:rsidR="20C9F860" w:rsidRDefault="20C9F860" w:rsidP="20C9F860">
            <w:pPr>
              <w:spacing w:after="0"/>
            </w:pPr>
            <w:r>
              <w:t>autism AND barriers AND “service access”</w:t>
            </w:r>
          </w:p>
        </w:tc>
        <w:tc>
          <w:tcPr>
            <w:tcW w:w="1678" w:type="dxa"/>
            <w:vAlign w:val="center"/>
          </w:tcPr>
          <w:p w14:paraId="595D77DB" w14:textId="1A9B9603" w:rsidR="20C9F860" w:rsidRDefault="20C9F860" w:rsidP="20C9F860">
            <w:pPr>
              <w:spacing w:after="0"/>
            </w:pPr>
            <w:r>
              <w:t>UK, peer-reviewed</w:t>
            </w:r>
          </w:p>
        </w:tc>
        <w:tc>
          <w:tcPr>
            <w:tcW w:w="2352" w:type="dxa"/>
            <w:vAlign w:val="center"/>
          </w:tcPr>
          <w:p w14:paraId="5007D9D8" w14:textId="738D05F2" w:rsidR="20C9F860" w:rsidRDefault="20C9F860" w:rsidP="20C9F860">
            <w:pPr>
              <w:spacing w:after="0"/>
            </w:pPr>
            <w:r>
              <w:t>Found SEND, CAMHS and EHCP-related studies</w:t>
            </w:r>
          </w:p>
        </w:tc>
      </w:tr>
      <w:tr w:rsidR="20C9F860" w14:paraId="1F435D8E" w14:textId="77777777" w:rsidTr="20C9F860">
        <w:trPr>
          <w:trHeight w:val="300"/>
        </w:trPr>
        <w:tc>
          <w:tcPr>
            <w:tcW w:w="1423" w:type="dxa"/>
            <w:vAlign w:val="center"/>
          </w:tcPr>
          <w:p w14:paraId="6FAC23A3" w14:textId="692F3C1F" w:rsidR="20C9F860" w:rsidRDefault="20C9F860" w:rsidP="20C9F860">
            <w:pPr>
              <w:spacing w:after="0"/>
            </w:pPr>
            <w:r>
              <w:t>NICE / DHSC / NHS England</w:t>
            </w:r>
          </w:p>
        </w:tc>
        <w:tc>
          <w:tcPr>
            <w:tcW w:w="3562" w:type="dxa"/>
            <w:vAlign w:val="center"/>
          </w:tcPr>
          <w:p w14:paraId="105D0852" w14:textId="6FE933DF" w:rsidR="20C9F860" w:rsidRDefault="20C9F860" w:rsidP="20C9F860">
            <w:pPr>
              <w:spacing w:after="0"/>
            </w:pPr>
            <w:r>
              <w:t>autism strategy; autism guidelines</w:t>
            </w:r>
          </w:p>
        </w:tc>
        <w:tc>
          <w:tcPr>
            <w:tcW w:w="1678" w:type="dxa"/>
            <w:vAlign w:val="center"/>
          </w:tcPr>
          <w:p w14:paraId="31373B42" w14:textId="59B71423" w:rsidR="20C9F860" w:rsidRDefault="20C9F860" w:rsidP="20C9F860">
            <w:pPr>
              <w:spacing w:after="0"/>
            </w:pPr>
            <w:r>
              <w:t>UK policy only</w:t>
            </w:r>
          </w:p>
        </w:tc>
        <w:tc>
          <w:tcPr>
            <w:tcW w:w="2352" w:type="dxa"/>
            <w:vAlign w:val="center"/>
          </w:tcPr>
          <w:p w14:paraId="6DD31720" w14:textId="2AD6F045" w:rsidR="20C9F860" w:rsidRDefault="20C9F860" w:rsidP="20C9F860">
            <w:pPr>
              <w:spacing w:after="0"/>
            </w:pPr>
            <w:r>
              <w:t>Used for statutory and clinical guidance</w:t>
            </w:r>
          </w:p>
        </w:tc>
      </w:tr>
      <w:tr w:rsidR="20C9F860" w14:paraId="6671378E" w14:textId="77777777" w:rsidTr="20C9F860">
        <w:trPr>
          <w:trHeight w:val="300"/>
        </w:trPr>
        <w:tc>
          <w:tcPr>
            <w:tcW w:w="1423" w:type="dxa"/>
            <w:vAlign w:val="center"/>
          </w:tcPr>
          <w:p w14:paraId="61206B17" w14:textId="2A722F11" w:rsidR="20C9F860" w:rsidRDefault="20C9F860" w:rsidP="20C9F860">
            <w:pPr>
              <w:spacing w:after="0"/>
            </w:pPr>
            <w:r>
              <w:t>National Autistic Society</w:t>
            </w:r>
          </w:p>
        </w:tc>
        <w:tc>
          <w:tcPr>
            <w:tcW w:w="3562" w:type="dxa"/>
            <w:vAlign w:val="center"/>
          </w:tcPr>
          <w:p w14:paraId="2E2D38C3" w14:textId="43B2C43C" w:rsidR="20C9F860" w:rsidRDefault="20C9F860" w:rsidP="20C9F860">
            <w:pPr>
              <w:spacing w:after="0"/>
            </w:pPr>
            <w:r>
              <w:t>“</w:t>
            </w:r>
            <w:r w:rsidR="394BC5FC">
              <w:t>Waiting</w:t>
            </w:r>
            <w:r>
              <w:t xml:space="preserve"> times</w:t>
            </w:r>
            <w:bookmarkStart w:id="9" w:name="_Int_M3V2Be6L"/>
            <w:r>
              <w:t>”;</w:t>
            </w:r>
            <w:bookmarkEnd w:id="9"/>
            <w:r>
              <w:t xml:space="preserve"> “diagnosis support”</w:t>
            </w:r>
          </w:p>
        </w:tc>
        <w:tc>
          <w:tcPr>
            <w:tcW w:w="1678" w:type="dxa"/>
            <w:vAlign w:val="center"/>
          </w:tcPr>
          <w:p w14:paraId="10ADF18F" w14:textId="2A3521F4" w:rsidR="20C9F860" w:rsidRDefault="20C9F860" w:rsidP="20C9F860">
            <w:pPr>
              <w:spacing w:after="0"/>
            </w:pPr>
            <w:r>
              <w:t>UK reports</w:t>
            </w:r>
          </w:p>
        </w:tc>
        <w:tc>
          <w:tcPr>
            <w:tcW w:w="2352" w:type="dxa"/>
            <w:vAlign w:val="center"/>
          </w:tcPr>
          <w:p w14:paraId="1355D494" w14:textId="0C8D519F" w:rsidR="20C9F860" w:rsidRDefault="20C9F860" w:rsidP="20C9F860">
            <w:pPr>
              <w:spacing w:after="0"/>
            </w:pPr>
            <w:r>
              <w:t>Provided parent-reported experiences</w:t>
            </w:r>
          </w:p>
        </w:tc>
      </w:tr>
    </w:tbl>
    <w:p w14:paraId="4ACFF3FA" w14:textId="69AAD9B7" w:rsidR="008C38C3" w:rsidRDefault="70902BA6" w:rsidP="20C9F860">
      <w:pPr>
        <w:pStyle w:val="Heading3"/>
        <w:spacing w:before="281" w:after="281"/>
      </w:pPr>
      <w:r w:rsidRPr="20C9F860">
        <w:rPr>
          <w:rFonts w:ascii="Aptos" w:eastAsia="Aptos" w:hAnsi="Aptos" w:cs="Aptos"/>
          <w:b/>
          <w:bCs/>
          <w:sz w:val="28"/>
          <w:szCs w:val="28"/>
        </w:rPr>
        <w:t>Appendix B – Inclusion and Exclusion Criteria</w:t>
      </w:r>
    </w:p>
    <w:tbl>
      <w:tblPr>
        <w:tblW w:w="0" w:type="auto"/>
        <w:tblLook w:val="06A0" w:firstRow="1" w:lastRow="0" w:firstColumn="1" w:lastColumn="0" w:noHBand="1" w:noVBand="1"/>
      </w:tblPr>
      <w:tblGrid>
        <w:gridCol w:w="3478"/>
        <w:gridCol w:w="5359"/>
      </w:tblGrid>
      <w:tr w:rsidR="20C9F860" w14:paraId="440F9868" w14:textId="77777777" w:rsidTr="7D08271D">
        <w:trPr>
          <w:trHeight w:val="300"/>
        </w:trPr>
        <w:tc>
          <w:tcPr>
            <w:tcW w:w="3478" w:type="dxa"/>
            <w:vAlign w:val="center"/>
          </w:tcPr>
          <w:p w14:paraId="4AF360B5" w14:textId="26A89D31" w:rsidR="20C9F860" w:rsidRDefault="20C9F860" w:rsidP="20C9F860">
            <w:pPr>
              <w:spacing w:after="0"/>
              <w:jc w:val="center"/>
            </w:pPr>
            <w:r w:rsidRPr="20C9F860">
              <w:rPr>
                <w:b/>
                <w:bCs/>
              </w:rPr>
              <w:t>Inclusion Criteria</w:t>
            </w:r>
          </w:p>
        </w:tc>
        <w:tc>
          <w:tcPr>
            <w:tcW w:w="5359" w:type="dxa"/>
            <w:vAlign w:val="center"/>
          </w:tcPr>
          <w:p w14:paraId="05631672" w14:textId="602D40A0" w:rsidR="20C9F860" w:rsidRDefault="20C9F860" w:rsidP="20C9F860">
            <w:pPr>
              <w:spacing w:after="0"/>
              <w:jc w:val="center"/>
            </w:pPr>
            <w:r w:rsidRPr="20C9F860">
              <w:rPr>
                <w:b/>
                <w:bCs/>
              </w:rPr>
              <w:t>Exclusion Criteria</w:t>
            </w:r>
          </w:p>
        </w:tc>
      </w:tr>
      <w:tr w:rsidR="20C9F860" w14:paraId="7047BABB" w14:textId="77777777" w:rsidTr="7D08271D">
        <w:trPr>
          <w:trHeight w:val="300"/>
        </w:trPr>
        <w:tc>
          <w:tcPr>
            <w:tcW w:w="3478" w:type="dxa"/>
            <w:vAlign w:val="center"/>
          </w:tcPr>
          <w:p w14:paraId="68632489" w14:textId="3B4DC548" w:rsidR="20C9F860" w:rsidRDefault="20C9F860" w:rsidP="20C9F860">
            <w:pPr>
              <w:spacing w:after="0"/>
            </w:pPr>
            <w:r>
              <w:t>2014–2025 publications</w:t>
            </w:r>
          </w:p>
        </w:tc>
        <w:tc>
          <w:tcPr>
            <w:tcW w:w="5359" w:type="dxa"/>
            <w:vAlign w:val="center"/>
          </w:tcPr>
          <w:p w14:paraId="51D9CC2E" w14:textId="1C3773D5" w:rsidR="20C9F860" w:rsidRDefault="20C9F860" w:rsidP="20C9F860">
            <w:pPr>
              <w:spacing w:after="0"/>
            </w:pPr>
            <w:r>
              <w:t>Pre-2014 publications (unless historical context)</w:t>
            </w:r>
          </w:p>
        </w:tc>
      </w:tr>
      <w:tr w:rsidR="20C9F860" w14:paraId="5EFC4BD5" w14:textId="77777777" w:rsidTr="7D08271D">
        <w:trPr>
          <w:trHeight w:val="300"/>
        </w:trPr>
        <w:tc>
          <w:tcPr>
            <w:tcW w:w="3478" w:type="dxa"/>
            <w:vAlign w:val="center"/>
          </w:tcPr>
          <w:p w14:paraId="34E941EE" w14:textId="5A4DE464" w:rsidR="20C9F860" w:rsidRDefault="20C9F860" w:rsidP="20C9F860">
            <w:pPr>
              <w:spacing w:after="0"/>
            </w:pPr>
            <w:r>
              <w:t>UK-based or UK-relevant</w:t>
            </w:r>
          </w:p>
        </w:tc>
        <w:tc>
          <w:tcPr>
            <w:tcW w:w="5359" w:type="dxa"/>
            <w:vAlign w:val="center"/>
          </w:tcPr>
          <w:p w14:paraId="6C876614" w14:textId="67E3ABF7" w:rsidR="20C9F860" w:rsidRDefault="20C9F860" w:rsidP="20C9F860">
            <w:pPr>
              <w:spacing w:after="0"/>
            </w:pPr>
            <w:r>
              <w:t>Non-UK studies without relevance</w:t>
            </w:r>
          </w:p>
        </w:tc>
      </w:tr>
      <w:tr w:rsidR="20C9F860" w14:paraId="51519900" w14:textId="77777777" w:rsidTr="7D08271D">
        <w:trPr>
          <w:trHeight w:val="300"/>
        </w:trPr>
        <w:tc>
          <w:tcPr>
            <w:tcW w:w="3478" w:type="dxa"/>
            <w:vAlign w:val="center"/>
          </w:tcPr>
          <w:p w14:paraId="28060C0D" w14:textId="0E94C18C" w:rsidR="20C9F860" w:rsidRDefault="20C9F860" w:rsidP="20C9F860">
            <w:pPr>
              <w:spacing w:after="0"/>
            </w:pPr>
            <w:r>
              <w:t>Peer-reviewed journals</w:t>
            </w:r>
          </w:p>
        </w:tc>
        <w:tc>
          <w:tcPr>
            <w:tcW w:w="5359" w:type="dxa"/>
            <w:vAlign w:val="center"/>
          </w:tcPr>
          <w:p w14:paraId="371B59FB" w14:textId="3DC5C0DF" w:rsidR="20C9F860" w:rsidRDefault="20C9F860" w:rsidP="20C9F860">
            <w:pPr>
              <w:spacing w:after="0"/>
            </w:pPr>
            <w:r>
              <w:t>Blogs, newspapers, opinion pieces</w:t>
            </w:r>
          </w:p>
        </w:tc>
      </w:tr>
      <w:tr w:rsidR="20C9F860" w14:paraId="0133301E" w14:textId="77777777" w:rsidTr="7D08271D">
        <w:trPr>
          <w:trHeight w:val="300"/>
        </w:trPr>
        <w:tc>
          <w:tcPr>
            <w:tcW w:w="3478" w:type="dxa"/>
            <w:vAlign w:val="center"/>
          </w:tcPr>
          <w:p w14:paraId="4CD9229E" w14:textId="4DFDE65A" w:rsidR="20C9F860" w:rsidRDefault="20C9F860" w:rsidP="20C9F860">
            <w:pPr>
              <w:spacing w:after="0"/>
            </w:pPr>
            <w:r>
              <w:t>Children under 12</w:t>
            </w:r>
          </w:p>
        </w:tc>
        <w:tc>
          <w:tcPr>
            <w:tcW w:w="5359" w:type="dxa"/>
            <w:vAlign w:val="center"/>
          </w:tcPr>
          <w:p w14:paraId="30C07342" w14:textId="0847F9F4" w:rsidR="20C9F860" w:rsidRDefault="20C9F860" w:rsidP="20C9F860">
            <w:pPr>
              <w:spacing w:after="0"/>
            </w:pPr>
            <w:r>
              <w:t>Adult-only autism research</w:t>
            </w:r>
          </w:p>
        </w:tc>
      </w:tr>
      <w:tr w:rsidR="20C9F860" w14:paraId="53F4A807" w14:textId="77777777" w:rsidTr="7D08271D">
        <w:trPr>
          <w:trHeight w:val="300"/>
        </w:trPr>
        <w:tc>
          <w:tcPr>
            <w:tcW w:w="3478" w:type="dxa"/>
            <w:vAlign w:val="center"/>
          </w:tcPr>
          <w:p w14:paraId="1A95D225" w14:textId="128B4CAA" w:rsidR="20C9F860" w:rsidRDefault="20C9F860" w:rsidP="20C9F860">
            <w:pPr>
              <w:spacing w:after="0"/>
            </w:pPr>
            <w:r>
              <w:t>Parental experiences and barriers</w:t>
            </w:r>
          </w:p>
        </w:tc>
        <w:tc>
          <w:tcPr>
            <w:tcW w:w="5359" w:type="dxa"/>
            <w:vAlign w:val="center"/>
          </w:tcPr>
          <w:p w14:paraId="149EFDE4" w14:textId="016EDDE5" w:rsidR="20C9F860" w:rsidRDefault="20C9F860" w:rsidP="20C9F860">
            <w:pPr>
              <w:spacing w:after="0"/>
            </w:pPr>
            <w:r>
              <w:t>Intervention-only studies with no access information</w:t>
            </w:r>
          </w:p>
        </w:tc>
      </w:tr>
      <w:tr w:rsidR="20C9F860" w14:paraId="5254F301" w14:textId="77777777" w:rsidTr="7D08271D">
        <w:trPr>
          <w:trHeight w:val="300"/>
        </w:trPr>
        <w:tc>
          <w:tcPr>
            <w:tcW w:w="3478" w:type="dxa"/>
            <w:vAlign w:val="center"/>
          </w:tcPr>
          <w:p w14:paraId="7FFAC6A7" w14:textId="338E99C5" w:rsidR="20C9F860" w:rsidRDefault="20C9F860" w:rsidP="20C9F860">
            <w:pPr>
              <w:spacing w:after="0"/>
            </w:pPr>
            <w:r>
              <w:t>English language</w:t>
            </w:r>
          </w:p>
        </w:tc>
        <w:tc>
          <w:tcPr>
            <w:tcW w:w="5359" w:type="dxa"/>
            <w:vAlign w:val="center"/>
          </w:tcPr>
          <w:p w14:paraId="7E0C782A" w14:textId="1313899B" w:rsidR="20C9F860" w:rsidRDefault="20C9F860" w:rsidP="20C9F860">
            <w:pPr>
              <w:spacing w:after="0"/>
            </w:pPr>
            <w:r>
              <w:t>Non-English</w:t>
            </w:r>
          </w:p>
        </w:tc>
      </w:tr>
    </w:tbl>
    <w:p w14:paraId="73EBC1E4" w14:textId="256B31CB" w:rsidR="7D08271D" w:rsidRDefault="7D08271D" w:rsidP="7D08271D">
      <w:pPr>
        <w:pStyle w:val="Heading3"/>
        <w:spacing w:before="281" w:after="281"/>
        <w:rPr>
          <w:rFonts w:ascii="Aptos" w:eastAsia="Aptos" w:hAnsi="Aptos" w:cs="Aptos"/>
          <w:b/>
          <w:bCs/>
          <w:sz w:val="28"/>
          <w:szCs w:val="28"/>
        </w:rPr>
      </w:pPr>
    </w:p>
    <w:p w14:paraId="42D96440" w14:textId="3005F5F6" w:rsidR="7D08271D" w:rsidRDefault="7D08271D" w:rsidP="7D08271D">
      <w:pPr>
        <w:rPr>
          <w:b/>
          <w:bCs/>
          <w:sz w:val="28"/>
          <w:szCs w:val="28"/>
        </w:rPr>
      </w:pPr>
    </w:p>
    <w:tbl>
      <w:tblPr>
        <w:tblW w:w="9025" w:type="dxa"/>
        <w:tblLook w:val="06A0" w:firstRow="1" w:lastRow="0" w:firstColumn="1" w:lastColumn="0" w:noHBand="1" w:noVBand="1"/>
      </w:tblPr>
      <w:tblGrid>
        <w:gridCol w:w="1785"/>
        <w:gridCol w:w="1717"/>
        <w:gridCol w:w="2278"/>
        <w:gridCol w:w="1766"/>
        <w:gridCol w:w="1479"/>
      </w:tblGrid>
      <w:tr w:rsidR="20C9F860" w14:paraId="0C377A9B" w14:textId="77777777" w:rsidTr="7D08271D">
        <w:trPr>
          <w:trHeight w:val="300"/>
        </w:trPr>
        <w:tc>
          <w:tcPr>
            <w:tcW w:w="1785" w:type="dxa"/>
            <w:vAlign w:val="center"/>
          </w:tcPr>
          <w:p w14:paraId="4BA6FF9D" w14:textId="0DD3E49D" w:rsidR="7D08271D" w:rsidRDefault="7D08271D" w:rsidP="7D08271D"/>
        </w:tc>
        <w:tc>
          <w:tcPr>
            <w:tcW w:w="1717" w:type="dxa"/>
            <w:vAlign w:val="center"/>
          </w:tcPr>
          <w:p w14:paraId="461EF1A8" w14:textId="1B2EAA6F" w:rsidR="7D08271D" w:rsidRDefault="7D08271D" w:rsidP="7D08271D">
            <w:pPr>
              <w:pStyle w:val="Heading3"/>
              <w:rPr>
                <w:rFonts w:ascii="Aptos" w:eastAsia="Aptos" w:hAnsi="Aptos" w:cs="Aptos"/>
                <w:b/>
                <w:bCs/>
                <w:sz w:val="28"/>
                <w:szCs w:val="28"/>
              </w:rPr>
            </w:pPr>
          </w:p>
        </w:tc>
        <w:tc>
          <w:tcPr>
            <w:tcW w:w="2278" w:type="dxa"/>
            <w:vAlign w:val="center"/>
          </w:tcPr>
          <w:p w14:paraId="03EF99ED" w14:textId="1B2EAA6F" w:rsidR="7D08271D" w:rsidRDefault="7D08271D" w:rsidP="7D08271D">
            <w:pPr>
              <w:pStyle w:val="Heading3"/>
              <w:rPr>
                <w:rFonts w:ascii="Aptos" w:eastAsia="Aptos" w:hAnsi="Aptos" w:cs="Aptos"/>
                <w:b/>
                <w:bCs/>
                <w:sz w:val="28"/>
                <w:szCs w:val="28"/>
              </w:rPr>
            </w:pPr>
          </w:p>
        </w:tc>
        <w:tc>
          <w:tcPr>
            <w:tcW w:w="1766" w:type="dxa"/>
            <w:vAlign w:val="center"/>
          </w:tcPr>
          <w:p w14:paraId="2A45EF58" w14:textId="1B2EAA6F" w:rsidR="7D08271D" w:rsidRDefault="7D08271D" w:rsidP="7D08271D">
            <w:pPr>
              <w:pStyle w:val="Heading3"/>
              <w:rPr>
                <w:rFonts w:ascii="Aptos" w:eastAsia="Aptos" w:hAnsi="Aptos" w:cs="Aptos"/>
                <w:b/>
                <w:bCs/>
                <w:sz w:val="28"/>
                <w:szCs w:val="28"/>
              </w:rPr>
            </w:pPr>
          </w:p>
        </w:tc>
        <w:tc>
          <w:tcPr>
            <w:tcW w:w="1479" w:type="dxa"/>
            <w:vAlign w:val="center"/>
          </w:tcPr>
          <w:p w14:paraId="4C460C90" w14:textId="1B2EAA6F" w:rsidR="7D08271D" w:rsidRDefault="7D08271D" w:rsidP="7D08271D">
            <w:pPr>
              <w:pStyle w:val="Heading3"/>
              <w:rPr>
                <w:rFonts w:ascii="Aptos" w:eastAsia="Aptos" w:hAnsi="Aptos" w:cs="Aptos"/>
                <w:b/>
                <w:bCs/>
                <w:sz w:val="28"/>
                <w:szCs w:val="28"/>
              </w:rPr>
            </w:pPr>
          </w:p>
        </w:tc>
      </w:tr>
      <w:tr w:rsidR="20C9F860" w14:paraId="26CE7986" w14:textId="77777777" w:rsidTr="7D08271D">
        <w:trPr>
          <w:trHeight w:val="300"/>
        </w:trPr>
        <w:tc>
          <w:tcPr>
            <w:tcW w:w="1785" w:type="dxa"/>
            <w:vAlign w:val="center"/>
          </w:tcPr>
          <w:p w14:paraId="14D5597F" w14:textId="1B2EAA6F" w:rsidR="7D08271D" w:rsidRDefault="7D08271D" w:rsidP="7D08271D">
            <w:pPr>
              <w:pStyle w:val="Heading3"/>
              <w:rPr>
                <w:rFonts w:ascii="Aptos" w:eastAsia="Aptos" w:hAnsi="Aptos" w:cs="Aptos"/>
                <w:b/>
                <w:bCs/>
                <w:sz w:val="28"/>
                <w:szCs w:val="28"/>
              </w:rPr>
            </w:pPr>
          </w:p>
        </w:tc>
        <w:tc>
          <w:tcPr>
            <w:tcW w:w="1717" w:type="dxa"/>
            <w:vAlign w:val="center"/>
          </w:tcPr>
          <w:p w14:paraId="2A99CBA4" w14:textId="1B2EAA6F" w:rsidR="7D08271D" w:rsidRDefault="7D08271D" w:rsidP="7D08271D">
            <w:pPr>
              <w:pStyle w:val="Heading3"/>
              <w:rPr>
                <w:rFonts w:ascii="Aptos" w:eastAsia="Aptos" w:hAnsi="Aptos" w:cs="Aptos"/>
                <w:b/>
                <w:bCs/>
                <w:sz w:val="28"/>
                <w:szCs w:val="28"/>
              </w:rPr>
            </w:pPr>
          </w:p>
        </w:tc>
        <w:tc>
          <w:tcPr>
            <w:tcW w:w="2278" w:type="dxa"/>
            <w:vAlign w:val="center"/>
          </w:tcPr>
          <w:p w14:paraId="53FA5929" w14:textId="1B2EAA6F" w:rsidR="7D08271D" w:rsidRDefault="7D08271D" w:rsidP="7D08271D">
            <w:pPr>
              <w:pStyle w:val="Heading3"/>
              <w:rPr>
                <w:rFonts w:ascii="Aptos" w:eastAsia="Aptos" w:hAnsi="Aptos" w:cs="Aptos"/>
                <w:b/>
                <w:bCs/>
                <w:sz w:val="28"/>
                <w:szCs w:val="28"/>
              </w:rPr>
            </w:pPr>
          </w:p>
        </w:tc>
        <w:tc>
          <w:tcPr>
            <w:tcW w:w="1766" w:type="dxa"/>
            <w:vAlign w:val="center"/>
          </w:tcPr>
          <w:p w14:paraId="5D6319A8" w14:textId="1B2EAA6F" w:rsidR="7D08271D" w:rsidRDefault="7D08271D" w:rsidP="7D08271D">
            <w:pPr>
              <w:pStyle w:val="Heading3"/>
              <w:rPr>
                <w:rFonts w:ascii="Aptos" w:eastAsia="Aptos" w:hAnsi="Aptos" w:cs="Aptos"/>
                <w:b/>
                <w:bCs/>
                <w:sz w:val="28"/>
                <w:szCs w:val="28"/>
              </w:rPr>
            </w:pPr>
          </w:p>
        </w:tc>
        <w:tc>
          <w:tcPr>
            <w:tcW w:w="1479" w:type="dxa"/>
            <w:vAlign w:val="center"/>
          </w:tcPr>
          <w:p w14:paraId="6C09C823" w14:textId="1B2EAA6F" w:rsidR="7D08271D" w:rsidRDefault="7D08271D" w:rsidP="7D08271D">
            <w:pPr>
              <w:pStyle w:val="Heading3"/>
              <w:rPr>
                <w:rFonts w:ascii="Aptos" w:eastAsia="Aptos" w:hAnsi="Aptos" w:cs="Aptos"/>
                <w:b/>
                <w:bCs/>
                <w:sz w:val="28"/>
                <w:szCs w:val="28"/>
              </w:rPr>
            </w:pPr>
          </w:p>
        </w:tc>
      </w:tr>
      <w:tr w:rsidR="20C9F860" w14:paraId="1A8A3A61" w14:textId="77777777" w:rsidTr="7D08271D">
        <w:trPr>
          <w:trHeight w:val="300"/>
        </w:trPr>
        <w:tc>
          <w:tcPr>
            <w:tcW w:w="1785" w:type="dxa"/>
            <w:vAlign w:val="center"/>
          </w:tcPr>
          <w:p w14:paraId="75D79193" w14:textId="1B2EAA6F" w:rsidR="7D08271D" w:rsidRDefault="7D08271D" w:rsidP="7D08271D">
            <w:pPr>
              <w:pStyle w:val="Heading3"/>
              <w:rPr>
                <w:rFonts w:ascii="Aptos" w:eastAsia="Aptos" w:hAnsi="Aptos" w:cs="Aptos"/>
                <w:b/>
                <w:bCs/>
                <w:sz w:val="28"/>
                <w:szCs w:val="28"/>
              </w:rPr>
            </w:pPr>
          </w:p>
        </w:tc>
        <w:tc>
          <w:tcPr>
            <w:tcW w:w="1717" w:type="dxa"/>
            <w:vAlign w:val="center"/>
          </w:tcPr>
          <w:p w14:paraId="5D0BD095" w14:textId="1B2EAA6F" w:rsidR="7D08271D" w:rsidRDefault="7D08271D" w:rsidP="7D08271D">
            <w:pPr>
              <w:pStyle w:val="Heading3"/>
              <w:rPr>
                <w:rFonts w:ascii="Aptos" w:eastAsia="Aptos" w:hAnsi="Aptos" w:cs="Aptos"/>
                <w:b/>
                <w:bCs/>
                <w:sz w:val="28"/>
                <w:szCs w:val="28"/>
              </w:rPr>
            </w:pPr>
          </w:p>
        </w:tc>
        <w:tc>
          <w:tcPr>
            <w:tcW w:w="2278" w:type="dxa"/>
            <w:vAlign w:val="center"/>
          </w:tcPr>
          <w:p w14:paraId="4A51ECD7" w14:textId="1B2EAA6F" w:rsidR="7D08271D" w:rsidRDefault="7D08271D" w:rsidP="7D08271D">
            <w:pPr>
              <w:pStyle w:val="Heading3"/>
              <w:rPr>
                <w:rFonts w:ascii="Aptos" w:eastAsia="Aptos" w:hAnsi="Aptos" w:cs="Aptos"/>
                <w:b/>
                <w:bCs/>
                <w:sz w:val="28"/>
                <w:szCs w:val="28"/>
              </w:rPr>
            </w:pPr>
          </w:p>
        </w:tc>
        <w:tc>
          <w:tcPr>
            <w:tcW w:w="1766" w:type="dxa"/>
            <w:vAlign w:val="center"/>
          </w:tcPr>
          <w:p w14:paraId="66CD346C" w14:textId="1B2EAA6F" w:rsidR="7D08271D" w:rsidRDefault="7D08271D" w:rsidP="7D08271D">
            <w:pPr>
              <w:pStyle w:val="Heading3"/>
              <w:rPr>
                <w:rFonts w:ascii="Aptos" w:eastAsia="Aptos" w:hAnsi="Aptos" w:cs="Aptos"/>
                <w:b/>
                <w:bCs/>
                <w:sz w:val="28"/>
                <w:szCs w:val="28"/>
              </w:rPr>
            </w:pPr>
          </w:p>
        </w:tc>
        <w:tc>
          <w:tcPr>
            <w:tcW w:w="1479" w:type="dxa"/>
            <w:vAlign w:val="center"/>
          </w:tcPr>
          <w:p w14:paraId="5CB2007E" w14:textId="1B2EAA6F" w:rsidR="7D08271D" w:rsidRDefault="7D08271D" w:rsidP="7D08271D">
            <w:pPr>
              <w:pStyle w:val="Heading3"/>
              <w:rPr>
                <w:rFonts w:ascii="Aptos" w:eastAsia="Aptos" w:hAnsi="Aptos" w:cs="Aptos"/>
                <w:b/>
                <w:bCs/>
                <w:sz w:val="28"/>
                <w:szCs w:val="28"/>
              </w:rPr>
            </w:pPr>
          </w:p>
        </w:tc>
      </w:tr>
      <w:tr w:rsidR="20C9F860" w14:paraId="6C9B4EA1" w14:textId="77777777" w:rsidTr="7D08271D">
        <w:trPr>
          <w:trHeight w:val="300"/>
        </w:trPr>
        <w:tc>
          <w:tcPr>
            <w:tcW w:w="1785" w:type="dxa"/>
            <w:vAlign w:val="center"/>
          </w:tcPr>
          <w:p w14:paraId="08365384" w14:textId="1B2EAA6F" w:rsidR="7D08271D" w:rsidRDefault="7D08271D" w:rsidP="7D08271D">
            <w:pPr>
              <w:pStyle w:val="Heading3"/>
              <w:rPr>
                <w:rFonts w:ascii="Aptos" w:eastAsia="Aptos" w:hAnsi="Aptos" w:cs="Aptos"/>
                <w:b/>
                <w:bCs/>
                <w:sz w:val="28"/>
                <w:szCs w:val="28"/>
              </w:rPr>
            </w:pPr>
          </w:p>
        </w:tc>
        <w:tc>
          <w:tcPr>
            <w:tcW w:w="1717" w:type="dxa"/>
            <w:vAlign w:val="center"/>
          </w:tcPr>
          <w:p w14:paraId="0F00FB62" w14:textId="1B2EAA6F" w:rsidR="7D08271D" w:rsidRDefault="7D08271D" w:rsidP="7D08271D">
            <w:pPr>
              <w:pStyle w:val="Heading3"/>
              <w:rPr>
                <w:rFonts w:ascii="Aptos" w:eastAsia="Aptos" w:hAnsi="Aptos" w:cs="Aptos"/>
                <w:b/>
                <w:bCs/>
                <w:sz w:val="28"/>
                <w:szCs w:val="28"/>
              </w:rPr>
            </w:pPr>
          </w:p>
        </w:tc>
        <w:tc>
          <w:tcPr>
            <w:tcW w:w="2278" w:type="dxa"/>
            <w:vAlign w:val="center"/>
          </w:tcPr>
          <w:p w14:paraId="46D25E9D" w14:textId="1B2EAA6F" w:rsidR="7D08271D" w:rsidRDefault="7D08271D" w:rsidP="7D08271D">
            <w:pPr>
              <w:pStyle w:val="Heading3"/>
              <w:rPr>
                <w:rFonts w:ascii="Aptos" w:eastAsia="Aptos" w:hAnsi="Aptos" w:cs="Aptos"/>
                <w:b/>
                <w:bCs/>
                <w:sz w:val="28"/>
                <w:szCs w:val="28"/>
              </w:rPr>
            </w:pPr>
          </w:p>
        </w:tc>
        <w:tc>
          <w:tcPr>
            <w:tcW w:w="1766" w:type="dxa"/>
            <w:vAlign w:val="center"/>
          </w:tcPr>
          <w:p w14:paraId="08A45B20" w14:textId="1B2EAA6F" w:rsidR="7D08271D" w:rsidRDefault="7D08271D" w:rsidP="7D08271D">
            <w:pPr>
              <w:pStyle w:val="Heading3"/>
              <w:rPr>
                <w:rFonts w:ascii="Aptos" w:eastAsia="Aptos" w:hAnsi="Aptos" w:cs="Aptos"/>
                <w:b/>
                <w:bCs/>
                <w:sz w:val="28"/>
                <w:szCs w:val="28"/>
              </w:rPr>
            </w:pPr>
          </w:p>
        </w:tc>
        <w:tc>
          <w:tcPr>
            <w:tcW w:w="1479" w:type="dxa"/>
            <w:vAlign w:val="center"/>
          </w:tcPr>
          <w:p w14:paraId="240C9064" w14:textId="1B2EAA6F" w:rsidR="7D08271D" w:rsidRDefault="7D08271D" w:rsidP="7D08271D">
            <w:pPr>
              <w:pStyle w:val="Heading3"/>
              <w:rPr>
                <w:rFonts w:ascii="Aptos" w:eastAsia="Aptos" w:hAnsi="Aptos" w:cs="Aptos"/>
                <w:b/>
                <w:bCs/>
                <w:sz w:val="28"/>
                <w:szCs w:val="28"/>
              </w:rPr>
            </w:pPr>
          </w:p>
        </w:tc>
      </w:tr>
      <w:tr w:rsidR="20C9F860" w14:paraId="1B51EDDB" w14:textId="77777777" w:rsidTr="7D08271D">
        <w:trPr>
          <w:trHeight w:val="300"/>
        </w:trPr>
        <w:tc>
          <w:tcPr>
            <w:tcW w:w="1785" w:type="dxa"/>
            <w:vAlign w:val="center"/>
          </w:tcPr>
          <w:p w14:paraId="029B6BD2" w14:textId="1B2EAA6F" w:rsidR="7D08271D" w:rsidRDefault="7D08271D" w:rsidP="7D08271D">
            <w:pPr>
              <w:pStyle w:val="Heading3"/>
              <w:rPr>
                <w:rFonts w:ascii="Aptos" w:eastAsia="Aptos" w:hAnsi="Aptos" w:cs="Aptos"/>
                <w:b/>
                <w:bCs/>
                <w:sz w:val="28"/>
                <w:szCs w:val="28"/>
              </w:rPr>
            </w:pPr>
          </w:p>
        </w:tc>
        <w:tc>
          <w:tcPr>
            <w:tcW w:w="1717" w:type="dxa"/>
            <w:vAlign w:val="center"/>
          </w:tcPr>
          <w:p w14:paraId="3A47F2D7" w14:textId="1B2EAA6F" w:rsidR="7D08271D" w:rsidRDefault="7D08271D" w:rsidP="7D08271D">
            <w:pPr>
              <w:pStyle w:val="Heading3"/>
              <w:rPr>
                <w:rFonts w:ascii="Aptos" w:eastAsia="Aptos" w:hAnsi="Aptos" w:cs="Aptos"/>
                <w:b/>
                <w:bCs/>
                <w:sz w:val="28"/>
                <w:szCs w:val="28"/>
              </w:rPr>
            </w:pPr>
          </w:p>
        </w:tc>
        <w:tc>
          <w:tcPr>
            <w:tcW w:w="2278" w:type="dxa"/>
            <w:vAlign w:val="center"/>
          </w:tcPr>
          <w:p w14:paraId="47731363" w14:textId="1B2EAA6F" w:rsidR="7D08271D" w:rsidRDefault="7D08271D" w:rsidP="7D08271D">
            <w:pPr>
              <w:pStyle w:val="Heading3"/>
              <w:rPr>
                <w:rFonts w:ascii="Aptos" w:eastAsia="Aptos" w:hAnsi="Aptos" w:cs="Aptos"/>
                <w:b/>
                <w:bCs/>
                <w:sz w:val="28"/>
                <w:szCs w:val="28"/>
              </w:rPr>
            </w:pPr>
          </w:p>
        </w:tc>
        <w:tc>
          <w:tcPr>
            <w:tcW w:w="1766" w:type="dxa"/>
            <w:vAlign w:val="center"/>
          </w:tcPr>
          <w:p w14:paraId="2B08CE1D" w14:textId="1B2EAA6F" w:rsidR="7D08271D" w:rsidRDefault="7D08271D" w:rsidP="7D08271D">
            <w:pPr>
              <w:pStyle w:val="Heading3"/>
              <w:rPr>
                <w:rFonts w:ascii="Aptos" w:eastAsia="Aptos" w:hAnsi="Aptos" w:cs="Aptos"/>
                <w:b/>
                <w:bCs/>
                <w:sz w:val="28"/>
                <w:szCs w:val="28"/>
              </w:rPr>
            </w:pPr>
          </w:p>
        </w:tc>
        <w:tc>
          <w:tcPr>
            <w:tcW w:w="1479" w:type="dxa"/>
            <w:vAlign w:val="center"/>
          </w:tcPr>
          <w:p w14:paraId="512D1111" w14:textId="1B2EAA6F" w:rsidR="7D08271D" w:rsidRDefault="7D08271D" w:rsidP="7D08271D">
            <w:pPr>
              <w:pStyle w:val="Heading3"/>
              <w:rPr>
                <w:rFonts w:ascii="Aptos" w:eastAsia="Aptos" w:hAnsi="Aptos" w:cs="Aptos"/>
                <w:b/>
                <w:bCs/>
                <w:sz w:val="28"/>
                <w:szCs w:val="28"/>
              </w:rPr>
            </w:pPr>
          </w:p>
        </w:tc>
      </w:tr>
      <w:tr w:rsidR="20C9F860" w14:paraId="46A75263" w14:textId="77777777" w:rsidTr="7D08271D">
        <w:trPr>
          <w:trHeight w:val="300"/>
        </w:trPr>
        <w:tc>
          <w:tcPr>
            <w:tcW w:w="1785" w:type="dxa"/>
            <w:vAlign w:val="center"/>
          </w:tcPr>
          <w:p w14:paraId="59190E50" w14:textId="1B2EAA6F" w:rsidR="7D08271D" w:rsidRDefault="7D08271D" w:rsidP="7D08271D">
            <w:pPr>
              <w:pStyle w:val="Heading3"/>
              <w:rPr>
                <w:rFonts w:ascii="Aptos" w:eastAsia="Aptos" w:hAnsi="Aptos" w:cs="Aptos"/>
                <w:b/>
                <w:bCs/>
                <w:sz w:val="28"/>
                <w:szCs w:val="28"/>
              </w:rPr>
            </w:pPr>
          </w:p>
        </w:tc>
        <w:tc>
          <w:tcPr>
            <w:tcW w:w="1717" w:type="dxa"/>
            <w:vAlign w:val="center"/>
          </w:tcPr>
          <w:p w14:paraId="35C515AD" w14:textId="1B2EAA6F" w:rsidR="7D08271D" w:rsidRDefault="7D08271D" w:rsidP="7D08271D">
            <w:pPr>
              <w:pStyle w:val="Heading3"/>
              <w:rPr>
                <w:rFonts w:ascii="Aptos" w:eastAsia="Aptos" w:hAnsi="Aptos" w:cs="Aptos"/>
                <w:b/>
                <w:bCs/>
                <w:sz w:val="28"/>
                <w:szCs w:val="28"/>
              </w:rPr>
            </w:pPr>
          </w:p>
        </w:tc>
        <w:tc>
          <w:tcPr>
            <w:tcW w:w="2278" w:type="dxa"/>
            <w:vAlign w:val="center"/>
          </w:tcPr>
          <w:p w14:paraId="6495D5DC" w14:textId="1B2EAA6F" w:rsidR="7D08271D" w:rsidRDefault="7D08271D" w:rsidP="7D08271D">
            <w:pPr>
              <w:pStyle w:val="Heading3"/>
              <w:rPr>
                <w:rFonts w:ascii="Aptos" w:eastAsia="Aptos" w:hAnsi="Aptos" w:cs="Aptos"/>
                <w:b/>
                <w:bCs/>
                <w:sz w:val="28"/>
                <w:szCs w:val="28"/>
              </w:rPr>
            </w:pPr>
          </w:p>
        </w:tc>
        <w:tc>
          <w:tcPr>
            <w:tcW w:w="1766" w:type="dxa"/>
            <w:vAlign w:val="center"/>
          </w:tcPr>
          <w:p w14:paraId="3E6A7722" w14:textId="1B2EAA6F" w:rsidR="7D08271D" w:rsidRDefault="7D08271D" w:rsidP="7D08271D">
            <w:pPr>
              <w:pStyle w:val="Heading3"/>
              <w:rPr>
                <w:rFonts w:ascii="Aptos" w:eastAsia="Aptos" w:hAnsi="Aptos" w:cs="Aptos"/>
                <w:b/>
                <w:bCs/>
                <w:sz w:val="28"/>
                <w:szCs w:val="28"/>
              </w:rPr>
            </w:pPr>
          </w:p>
        </w:tc>
        <w:tc>
          <w:tcPr>
            <w:tcW w:w="1479" w:type="dxa"/>
            <w:vAlign w:val="center"/>
          </w:tcPr>
          <w:p w14:paraId="6548FC46" w14:textId="1B2EAA6F" w:rsidR="7D08271D" w:rsidRDefault="7D08271D" w:rsidP="7D08271D">
            <w:pPr>
              <w:pStyle w:val="Heading3"/>
              <w:rPr>
                <w:rFonts w:ascii="Aptos" w:eastAsia="Aptos" w:hAnsi="Aptos" w:cs="Aptos"/>
                <w:b/>
                <w:bCs/>
                <w:sz w:val="28"/>
                <w:szCs w:val="28"/>
              </w:rPr>
            </w:pPr>
          </w:p>
        </w:tc>
      </w:tr>
      <w:tr w:rsidR="20C9F860" w14:paraId="7CE10742" w14:textId="77777777" w:rsidTr="7D08271D">
        <w:trPr>
          <w:trHeight w:val="300"/>
        </w:trPr>
        <w:tc>
          <w:tcPr>
            <w:tcW w:w="1785" w:type="dxa"/>
            <w:vAlign w:val="center"/>
          </w:tcPr>
          <w:p w14:paraId="6028E2FF" w14:textId="33306F2B" w:rsidR="20C9F860" w:rsidRDefault="20C9F860" w:rsidP="20C9F860">
            <w:pPr>
              <w:spacing w:after="0"/>
            </w:pPr>
          </w:p>
        </w:tc>
        <w:tc>
          <w:tcPr>
            <w:tcW w:w="1717" w:type="dxa"/>
            <w:vAlign w:val="center"/>
          </w:tcPr>
          <w:p w14:paraId="33564A72" w14:textId="7AD2CCB2" w:rsidR="20C9F860" w:rsidRDefault="20C9F860" w:rsidP="20C9F860">
            <w:pPr>
              <w:spacing w:after="0"/>
            </w:pPr>
          </w:p>
        </w:tc>
        <w:tc>
          <w:tcPr>
            <w:tcW w:w="2278" w:type="dxa"/>
            <w:vAlign w:val="center"/>
          </w:tcPr>
          <w:p w14:paraId="57CE6FAE" w14:textId="5B6CC98A" w:rsidR="20C9F860" w:rsidRDefault="20C9F860" w:rsidP="20C9F860">
            <w:pPr>
              <w:spacing w:after="0"/>
            </w:pPr>
          </w:p>
        </w:tc>
        <w:tc>
          <w:tcPr>
            <w:tcW w:w="1766" w:type="dxa"/>
            <w:vAlign w:val="center"/>
          </w:tcPr>
          <w:p w14:paraId="4FDC398F" w14:textId="2EDFB2A2" w:rsidR="20C9F860" w:rsidRDefault="20C9F860" w:rsidP="20C9F860">
            <w:pPr>
              <w:spacing w:after="0"/>
            </w:pPr>
          </w:p>
        </w:tc>
        <w:tc>
          <w:tcPr>
            <w:tcW w:w="1479" w:type="dxa"/>
            <w:vAlign w:val="center"/>
          </w:tcPr>
          <w:p w14:paraId="7D146C29" w14:textId="7816A919" w:rsidR="20C9F860" w:rsidRDefault="20C9F860" w:rsidP="20C9F860">
            <w:pPr>
              <w:spacing w:after="0"/>
            </w:pPr>
          </w:p>
        </w:tc>
      </w:tr>
    </w:tbl>
    <w:p w14:paraId="64F4C49D" w14:textId="64769F96" w:rsidR="008C38C3" w:rsidRDefault="3F25E287" w:rsidP="7D08271D">
      <w:pPr>
        <w:pStyle w:val="Heading3"/>
        <w:rPr>
          <w:b/>
          <w:bCs/>
          <w:sz w:val="32"/>
          <w:szCs w:val="32"/>
        </w:rPr>
      </w:pPr>
      <w:r w:rsidRPr="0B9B3F42">
        <w:rPr>
          <w:b/>
          <w:bCs/>
          <w:sz w:val="32"/>
          <w:szCs w:val="32"/>
        </w:rPr>
        <w:t xml:space="preserve">Appendix </w:t>
      </w:r>
      <w:r w:rsidR="416B8F8B" w:rsidRPr="0B9B3F42">
        <w:rPr>
          <w:b/>
          <w:bCs/>
          <w:sz w:val="32"/>
          <w:szCs w:val="32"/>
        </w:rPr>
        <w:t>c</w:t>
      </w:r>
      <w:r w:rsidRPr="0B9B3F42">
        <w:rPr>
          <w:b/>
          <w:bCs/>
          <w:sz w:val="32"/>
          <w:szCs w:val="32"/>
        </w:rPr>
        <w:t xml:space="preserve"> – CRAAP Test Example</w:t>
      </w:r>
    </w:p>
    <w:p w14:paraId="58E28582" w14:textId="43706FF7" w:rsidR="008C38C3" w:rsidRDefault="3F25E287" w:rsidP="20C9F860">
      <w:pPr>
        <w:spacing w:before="240" w:after="240"/>
      </w:pPr>
      <w:r w:rsidRPr="20C9F860">
        <w:rPr>
          <w:rFonts w:eastAsia="Aptos" w:cs="Aptos"/>
          <w:b/>
          <w:bCs/>
        </w:rPr>
        <w:t>Source Evaluated:</w:t>
      </w:r>
      <w:r w:rsidRPr="20C9F860">
        <w:rPr>
          <w:rFonts w:eastAsia="Aptos" w:cs="Aptos"/>
        </w:rPr>
        <w:t xml:space="preserve"> Russell et al. (2019)</w:t>
      </w:r>
    </w:p>
    <w:p w14:paraId="05824DF3" w14:textId="0969F19E" w:rsidR="008C38C3" w:rsidRDefault="3F25E287" w:rsidP="20C9F860">
      <w:pPr>
        <w:pStyle w:val="ListParagraph"/>
        <w:numPr>
          <w:ilvl w:val="0"/>
          <w:numId w:val="3"/>
        </w:numPr>
        <w:spacing w:before="240" w:after="240" w:line="360" w:lineRule="auto"/>
        <w:rPr>
          <w:rFonts w:ascii="Aptos" w:eastAsia="Aptos" w:hAnsi="Aptos" w:cs="Aptos"/>
        </w:rPr>
      </w:pPr>
      <w:r w:rsidRPr="20C9F860">
        <w:rPr>
          <w:rFonts w:ascii="Aptos" w:eastAsia="Aptos" w:hAnsi="Aptos" w:cs="Aptos"/>
          <w:b/>
          <w:bCs/>
        </w:rPr>
        <w:t>Currency:</w:t>
      </w:r>
      <w:r w:rsidRPr="20C9F860">
        <w:rPr>
          <w:rFonts w:ascii="Aptos" w:eastAsia="Aptos" w:hAnsi="Aptos" w:cs="Aptos"/>
        </w:rPr>
        <w:t xml:space="preserve"> Published 2019—current and relevant.</w:t>
      </w:r>
    </w:p>
    <w:p w14:paraId="3B369C0D" w14:textId="38E4B1C9" w:rsidR="008C38C3" w:rsidRDefault="3F25E287" w:rsidP="20C9F860">
      <w:pPr>
        <w:pStyle w:val="ListParagraph"/>
        <w:numPr>
          <w:ilvl w:val="0"/>
          <w:numId w:val="3"/>
        </w:numPr>
        <w:spacing w:before="240" w:after="240" w:line="360" w:lineRule="auto"/>
        <w:rPr>
          <w:rFonts w:ascii="Aptos" w:eastAsia="Aptos" w:hAnsi="Aptos" w:cs="Aptos"/>
        </w:rPr>
      </w:pPr>
      <w:r w:rsidRPr="20C9F860">
        <w:rPr>
          <w:rFonts w:ascii="Aptos" w:eastAsia="Aptos" w:hAnsi="Aptos" w:cs="Aptos"/>
          <w:b/>
          <w:bCs/>
        </w:rPr>
        <w:t>Relevance:</w:t>
      </w:r>
      <w:r w:rsidRPr="20C9F860">
        <w:rPr>
          <w:rFonts w:ascii="Aptos" w:eastAsia="Aptos" w:hAnsi="Aptos" w:cs="Aptos"/>
        </w:rPr>
        <w:t xml:space="preserve"> </w:t>
      </w:r>
      <w:r w:rsidR="720B1C4C" w:rsidRPr="20C9F860">
        <w:rPr>
          <w:rFonts w:ascii="Aptos" w:eastAsia="Aptos" w:hAnsi="Aptos" w:cs="Aptos"/>
        </w:rPr>
        <w:t>Linked</w:t>
      </w:r>
      <w:r w:rsidRPr="20C9F860">
        <w:rPr>
          <w:rFonts w:ascii="Aptos" w:eastAsia="Aptos" w:hAnsi="Aptos" w:cs="Aptos"/>
        </w:rPr>
        <w:t xml:space="preserve"> to autism diagnosis trends and access.</w:t>
      </w:r>
    </w:p>
    <w:p w14:paraId="4E2F5301" w14:textId="241D88B4" w:rsidR="008C38C3" w:rsidRDefault="3F25E287" w:rsidP="20C9F860">
      <w:pPr>
        <w:pStyle w:val="ListParagraph"/>
        <w:numPr>
          <w:ilvl w:val="0"/>
          <w:numId w:val="3"/>
        </w:numPr>
        <w:spacing w:before="240" w:after="240" w:line="360" w:lineRule="auto"/>
        <w:rPr>
          <w:rFonts w:ascii="Aptos" w:eastAsia="Aptos" w:hAnsi="Aptos" w:cs="Aptos"/>
        </w:rPr>
      </w:pPr>
      <w:r w:rsidRPr="20C9F860">
        <w:rPr>
          <w:rFonts w:ascii="Aptos" w:eastAsia="Aptos" w:hAnsi="Aptos" w:cs="Aptos"/>
          <w:b/>
          <w:bCs/>
        </w:rPr>
        <w:t>Authority:</w:t>
      </w:r>
      <w:r w:rsidRPr="20C9F860">
        <w:rPr>
          <w:rFonts w:ascii="Aptos" w:eastAsia="Aptos" w:hAnsi="Aptos" w:cs="Aptos"/>
        </w:rPr>
        <w:t xml:space="preserve"> Peer-reviewed; reputable authors and journal.</w:t>
      </w:r>
    </w:p>
    <w:p w14:paraId="53B42B64" w14:textId="0F3D09C0" w:rsidR="008C38C3" w:rsidRDefault="3F25E287" w:rsidP="20C9F860">
      <w:pPr>
        <w:pStyle w:val="ListParagraph"/>
        <w:numPr>
          <w:ilvl w:val="0"/>
          <w:numId w:val="3"/>
        </w:numPr>
        <w:spacing w:before="240" w:after="240" w:line="360" w:lineRule="auto"/>
        <w:rPr>
          <w:rFonts w:ascii="Aptos" w:eastAsia="Aptos" w:hAnsi="Aptos" w:cs="Aptos"/>
        </w:rPr>
      </w:pPr>
      <w:r w:rsidRPr="20C9F860">
        <w:rPr>
          <w:rFonts w:ascii="Aptos" w:eastAsia="Aptos" w:hAnsi="Aptos" w:cs="Aptos"/>
          <w:b/>
          <w:bCs/>
        </w:rPr>
        <w:t>Accuracy:</w:t>
      </w:r>
      <w:r w:rsidRPr="20C9F860">
        <w:rPr>
          <w:rFonts w:ascii="Aptos" w:eastAsia="Aptos" w:hAnsi="Aptos" w:cs="Aptos"/>
        </w:rPr>
        <w:t xml:space="preserve"> Transparent methodology; </w:t>
      </w:r>
      <w:r w:rsidR="231A6ECF" w:rsidRPr="20C9F860">
        <w:rPr>
          <w:rFonts w:ascii="Aptos" w:eastAsia="Aptos" w:hAnsi="Aptos" w:cs="Aptos"/>
        </w:rPr>
        <w:t>evidence based</w:t>
      </w:r>
      <w:r w:rsidRPr="20C9F860">
        <w:rPr>
          <w:rFonts w:ascii="Aptos" w:eastAsia="Aptos" w:hAnsi="Aptos" w:cs="Aptos"/>
        </w:rPr>
        <w:t>.</w:t>
      </w:r>
    </w:p>
    <w:p w14:paraId="45501793" w14:textId="58F769D8" w:rsidR="008C38C3" w:rsidRDefault="3F25E287" w:rsidP="20C9F860">
      <w:pPr>
        <w:pStyle w:val="ListParagraph"/>
        <w:numPr>
          <w:ilvl w:val="0"/>
          <w:numId w:val="3"/>
        </w:numPr>
        <w:spacing w:before="240" w:after="240" w:line="360" w:lineRule="auto"/>
        <w:rPr>
          <w:rFonts w:ascii="Aptos" w:eastAsia="Aptos" w:hAnsi="Aptos" w:cs="Aptos"/>
        </w:rPr>
      </w:pPr>
      <w:r w:rsidRPr="20C9F860">
        <w:rPr>
          <w:rFonts w:ascii="Aptos" w:eastAsia="Aptos" w:hAnsi="Aptos" w:cs="Aptos"/>
          <w:b/>
          <w:bCs/>
        </w:rPr>
        <w:t>Purpose:</w:t>
      </w:r>
      <w:r w:rsidRPr="20C9F860">
        <w:rPr>
          <w:rFonts w:ascii="Aptos" w:eastAsia="Aptos" w:hAnsi="Aptos" w:cs="Aptos"/>
        </w:rPr>
        <w:t xml:space="preserve"> Inform policy and practice; not biased.</w:t>
      </w:r>
    </w:p>
    <w:p w14:paraId="14C5791C" w14:textId="69C6874C" w:rsidR="008C38C3" w:rsidRDefault="008C38C3" w:rsidP="20C9F860"/>
    <w:p w14:paraId="1A1DDEB3" w14:textId="1BD4FB4A" w:rsidR="008C38C3" w:rsidRDefault="3F25E287" w:rsidP="20C9F860">
      <w:pPr>
        <w:pStyle w:val="Heading3"/>
        <w:spacing w:before="281" w:after="281"/>
      </w:pPr>
      <w:r w:rsidRPr="0B9B3F42">
        <w:rPr>
          <w:rFonts w:ascii="Aptos" w:eastAsia="Aptos" w:hAnsi="Aptos" w:cs="Aptos"/>
          <w:b/>
          <w:bCs/>
          <w:sz w:val="28"/>
          <w:szCs w:val="28"/>
        </w:rPr>
        <w:t xml:space="preserve">Appendix </w:t>
      </w:r>
      <w:r w:rsidR="38D0C180" w:rsidRPr="0B9B3F42">
        <w:rPr>
          <w:rFonts w:ascii="Aptos" w:eastAsia="Aptos" w:hAnsi="Aptos" w:cs="Aptos"/>
          <w:b/>
          <w:bCs/>
          <w:sz w:val="28"/>
          <w:szCs w:val="28"/>
        </w:rPr>
        <w:t>d</w:t>
      </w:r>
      <w:r w:rsidRPr="0B9B3F42">
        <w:rPr>
          <w:rFonts w:ascii="Aptos" w:eastAsia="Aptos" w:hAnsi="Aptos" w:cs="Aptos"/>
          <w:b/>
          <w:bCs/>
          <w:sz w:val="28"/>
          <w:szCs w:val="28"/>
        </w:rPr>
        <w:t xml:space="preserve"> – Ethical Considerations Statement</w:t>
      </w:r>
    </w:p>
    <w:p w14:paraId="709A8E8E" w14:textId="1150963C" w:rsidR="008C38C3" w:rsidRDefault="3F25E287" w:rsidP="20C9F860">
      <w:pPr>
        <w:spacing w:before="240" w:after="240"/>
      </w:pPr>
      <w:r w:rsidRPr="20C9F860">
        <w:rPr>
          <w:rFonts w:eastAsia="Aptos" w:cs="Aptos"/>
        </w:rPr>
        <w:t xml:space="preserve">This dissertation used </w:t>
      </w:r>
      <w:r w:rsidRPr="20C9F860">
        <w:rPr>
          <w:rFonts w:eastAsia="Aptos" w:cs="Aptos"/>
          <w:b/>
          <w:bCs/>
        </w:rPr>
        <w:t>secondary data only</w:t>
      </w:r>
      <w:r w:rsidRPr="20C9F860">
        <w:rPr>
          <w:rFonts w:eastAsia="Aptos" w:cs="Aptos"/>
        </w:rPr>
        <w:t>, so no participant involvement occurred. Ethical integrity was maintained by:</w:t>
      </w:r>
    </w:p>
    <w:p w14:paraId="14828221" w14:textId="627C070A" w:rsidR="008C38C3" w:rsidRDefault="3F25E287" w:rsidP="20C9F860">
      <w:pPr>
        <w:pStyle w:val="ListParagraph"/>
        <w:numPr>
          <w:ilvl w:val="0"/>
          <w:numId w:val="2"/>
        </w:numPr>
        <w:spacing w:before="240" w:after="240" w:line="360" w:lineRule="auto"/>
        <w:rPr>
          <w:rFonts w:ascii="Aptos" w:eastAsia="Aptos" w:hAnsi="Aptos" w:cs="Aptos"/>
        </w:rPr>
      </w:pPr>
      <w:r w:rsidRPr="20C9F860">
        <w:rPr>
          <w:rFonts w:ascii="Aptos" w:eastAsia="Aptos" w:hAnsi="Aptos" w:cs="Aptos"/>
        </w:rPr>
        <w:t>Using publicly available sources</w:t>
      </w:r>
    </w:p>
    <w:p w14:paraId="5C28F7AD" w14:textId="60551E2A" w:rsidR="008C38C3" w:rsidRDefault="3F25E287" w:rsidP="20C9F860">
      <w:pPr>
        <w:pStyle w:val="ListParagraph"/>
        <w:numPr>
          <w:ilvl w:val="0"/>
          <w:numId w:val="2"/>
        </w:numPr>
        <w:spacing w:before="240" w:after="240" w:line="360" w:lineRule="auto"/>
        <w:rPr>
          <w:rFonts w:ascii="Aptos" w:eastAsia="Aptos" w:hAnsi="Aptos" w:cs="Aptos"/>
        </w:rPr>
      </w:pPr>
      <w:r w:rsidRPr="20C9F860">
        <w:rPr>
          <w:rFonts w:ascii="Aptos" w:eastAsia="Aptos" w:hAnsi="Aptos" w:cs="Aptos"/>
        </w:rPr>
        <w:t>Correct Harvard referencing</w:t>
      </w:r>
    </w:p>
    <w:p w14:paraId="0F102E07" w14:textId="38C320C9" w:rsidR="008C38C3" w:rsidRDefault="3F25E287" w:rsidP="20C9F860">
      <w:pPr>
        <w:pStyle w:val="ListParagraph"/>
        <w:numPr>
          <w:ilvl w:val="0"/>
          <w:numId w:val="2"/>
        </w:numPr>
        <w:spacing w:before="240" w:after="240" w:line="360" w:lineRule="auto"/>
        <w:rPr>
          <w:rFonts w:ascii="Aptos" w:eastAsia="Aptos" w:hAnsi="Aptos" w:cs="Aptos"/>
        </w:rPr>
      </w:pPr>
      <w:r w:rsidRPr="20C9F860">
        <w:rPr>
          <w:rFonts w:ascii="Aptos" w:eastAsia="Aptos" w:hAnsi="Aptos" w:cs="Aptos"/>
        </w:rPr>
        <w:t>Avoiding plagiarism</w:t>
      </w:r>
    </w:p>
    <w:p w14:paraId="668F692F" w14:textId="0D78FA7A" w:rsidR="008C38C3" w:rsidRDefault="3F25E287" w:rsidP="20C9F860">
      <w:pPr>
        <w:pStyle w:val="ListParagraph"/>
        <w:numPr>
          <w:ilvl w:val="0"/>
          <w:numId w:val="2"/>
        </w:numPr>
        <w:spacing w:before="240" w:after="240" w:line="360" w:lineRule="auto"/>
        <w:rPr>
          <w:rFonts w:ascii="Aptos" w:eastAsia="Aptos" w:hAnsi="Aptos" w:cs="Aptos"/>
        </w:rPr>
      </w:pPr>
      <w:r w:rsidRPr="20C9F860">
        <w:rPr>
          <w:rFonts w:ascii="Aptos" w:eastAsia="Aptos" w:hAnsi="Aptos" w:cs="Aptos"/>
        </w:rPr>
        <w:t>Presenting findings accurately and respectfully</w:t>
      </w:r>
    </w:p>
    <w:p w14:paraId="0593F837" w14:textId="24B18FE9" w:rsidR="008C38C3" w:rsidRDefault="3F25E287" w:rsidP="20C9F860">
      <w:pPr>
        <w:spacing w:before="240" w:after="240"/>
      </w:pPr>
      <w:r w:rsidRPr="20C9F860">
        <w:rPr>
          <w:rFonts w:eastAsia="Aptos" w:cs="Aptos"/>
        </w:rPr>
        <w:t>No formal ethical approval was required.</w:t>
      </w:r>
    </w:p>
    <w:p w14:paraId="78D375C0" w14:textId="66129157" w:rsidR="008C38C3" w:rsidRDefault="008C38C3" w:rsidP="20C9F860"/>
    <w:p w14:paraId="0D5F3838" w14:textId="77777777" w:rsidR="008C38C3" w:rsidRDefault="008C38C3" w:rsidP="20C9F860"/>
    <w:p w14:paraId="438D3C08" w14:textId="77777777" w:rsidR="008C38C3" w:rsidRDefault="008C38C3" w:rsidP="20C9F860"/>
    <w:p w14:paraId="18FF6044" w14:textId="77777777" w:rsidR="008C38C3" w:rsidRDefault="008C38C3" w:rsidP="20C9F860"/>
    <w:p w14:paraId="268CFD1F" w14:textId="77777777" w:rsidR="008C38C3" w:rsidRDefault="008C38C3" w:rsidP="20C9F860"/>
    <w:p w14:paraId="2440A778" w14:textId="77777777" w:rsidR="008C38C3" w:rsidRDefault="008C38C3" w:rsidP="20C9F860"/>
    <w:p w14:paraId="5122D4D8" w14:textId="77777777" w:rsidR="008C38C3" w:rsidRDefault="008C38C3" w:rsidP="20C9F860"/>
    <w:p w14:paraId="4944E244" w14:textId="77777777" w:rsidR="008C38C3" w:rsidRDefault="008C38C3" w:rsidP="20C9F860"/>
    <w:p w14:paraId="5DA0FD87" w14:textId="77777777" w:rsidR="008C38C3" w:rsidRDefault="008C38C3" w:rsidP="20C9F860"/>
    <w:p w14:paraId="6ED1B63A" w14:textId="77777777" w:rsidR="000264A2" w:rsidRDefault="000264A2" w:rsidP="20C9F860"/>
    <w:p w14:paraId="01E01220" w14:textId="77777777" w:rsidR="008C38C3" w:rsidRDefault="008C38C3" w:rsidP="20C9F860"/>
    <w:p w14:paraId="4B599C86" w14:textId="03AE3B96" w:rsidR="43F4E925" w:rsidRDefault="43F4E925" w:rsidP="20C9F86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eastAsia="Arial Unicode MS"/>
        </w:rPr>
      </w:pPr>
    </w:p>
    <w:p w14:paraId="6513C1A2" w14:textId="03F5E7FE" w:rsidR="43F4E925" w:rsidRDefault="43F4E925" w:rsidP="20C9F86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eastAsia="Arial Unicode MS"/>
        </w:rPr>
      </w:pPr>
    </w:p>
    <w:p w14:paraId="70C7CA0C" w14:textId="77777777" w:rsidR="008C38C3" w:rsidRPr="008C38C3" w:rsidRDefault="008C38C3" w:rsidP="20C9F860"/>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8EC28" w14:textId="77777777" w:rsidR="00F32F52" w:rsidRDefault="00F32F52" w:rsidP="00211184">
      <w:pPr>
        <w:spacing w:after="0" w:line="240" w:lineRule="auto"/>
      </w:pPr>
      <w:r>
        <w:separator/>
      </w:r>
    </w:p>
  </w:endnote>
  <w:endnote w:type="continuationSeparator" w:id="0">
    <w:p w14:paraId="26E9ADDC" w14:textId="77777777" w:rsidR="00F32F52" w:rsidRDefault="00F32F52"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0EAD6" w14:textId="77777777" w:rsidR="00F32F52" w:rsidRDefault="00F32F52" w:rsidP="00211184">
      <w:pPr>
        <w:spacing w:after="0" w:line="240" w:lineRule="auto"/>
      </w:pPr>
      <w:r>
        <w:separator/>
      </w:r>
    </w:p>
  </w:footnote>
  <w:footnote w:type="continuationSeparator" w:id="0">
    <w:p w14:paraId="1F05CEC8" w14:textId="77777777" w:rsidR="00F32F52" w:rsidRDefault="00F32F52"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Z2OECj+H9F9/Ka" int2:id="1JIrDp1d">
      <int2:state int2:value="Rejected" int2:type="spell"/>
    </int2:textHash>
    <int2:textHash int2:hashCode="wGtjiT0kOQmA93" int2:id="3udy02XU">
      <int2:state int2:value="Rejected" int2:type="spell"/>
    </int2:textHash>
    <int2:textHash int2:hashCode="Jne8XCboDCEI2H" int2:id="9rLjmpK7">
      <int2:state int2:value="Rejected" int2:type="spell"/>
    </int2:textHash>
    <int2:textHash int2:hashCode="eNpnAchnqn6phF" int2:id="FvCYZWN2">
      <int2:state int2:value="Rejected" int2:type="spell"/>
    </int2:textHash>
    <int2:textHash int2:hashCode="xUuMF7WWyRsLuV" int2:id="GEH7ExBw">
      <int2:state int2:value="Rejected" int2:type="spell"/>
    </int2:textHash>
    <int2:textHash int2:hashCode="GBJ/gSRiauC5L0" int2:id="JwpXN5Ug">
      <int2:state int2:value="Rejected" int2:type="spell"/>
    </int2:textHash>
    <int2:textHash int2:hashCode="EMa5RS7cFFvcsa" int2:id="N9oHJtJc">
      <int2:state int2:value="Rejected" int2:type="spell"/>
    </int2:textHash>
    <int2:textHash int2:hashCode="ZIm3xWqHqUKyWC" int2:id="TAfOGrmx">
      <int2:state int2:value="Rejected" int2:type="spell"/>
    </int2:textHash>
    <int2:textHash int2:hashCode="TaUNCpEh0sOBot" int2:id="brChAhfv">
      <int2:state int2:value="Rejected" int2:type="spell"/>
    </int2:textHash>
    <int2:textHash int2:hashCode="3jY1Sgsf7bS8Tb" int2:id="fLB46lfj">
      <int2:state int2:value="Rejected" int2:type="spell"/>
    </int2:textHash>
    <int2:textHash int2:hashCode="Y7rxyEYEGk+h8X" int2:id="iGJQk2IW">
      <int2:state int2:value="Rejected" int2:type="spell"/>
    </int2:textHash>
    <int2:textHash int2:hashCode="RaWKRTO9Uyavty" int2:id="ogeXYQGM">
      <int2:state int2:value="Rejected" int2:type="spell"/>
    </int2:textHash>
    <int2:textHash int2:hashCode="6IX2hyC0oRihLP" int2:id="pZeypvAS">
      <int2:state int2:value="Rejected" int2:type="spell"/>
    </int2:textHash>
    <int2:textHash int2:hashCode="WBLTTbU5PQjx+V" int2:id="qho682lA">
      <int2:state int2:value="Rejected" int2:type="spell"/>
    </int2:textHash>
    <int2:textHash int2:hashCode="XyTxPRlbrYy0XO" int2:id="umilA5CC">
      <int2:state int2:value="Rejected" int2:type="spell"/>
    </int2:textHash>
    <int2:bookmark int2:bookmarkName="_Int_3C2EUcn9" int2:invalidationBookmarkName="" int2:hashCode="Uzp5OH9w+wqWrK" int2:id="2IYFEURm">
      <int2:state int2:value="Rejected" int2:type="style"/>
    </int2:bookmark>
    <int2:bookmark int2:bookmarkName="_Int_Rb0FNWRS" int2:invalidationBookmarkName="" int2:hashCode="TJqKKD8CyIWf9G" int2:id="3XST0ZlN">
      <int2:state int2:value="Rejected" int2:type="style"/>
    </int2:bookmark>
    <int2:bookmark int2:bookmarkName="_Int_KYj8Mm2t" int2:invalidationBookmarkName="" int2:hashCode="MNiIxg1CYT1MYy" int2:id="9oAuavLQ">
      <int2:state int2:value="Rejected" int2:type="style"/>
    </int2:bookmark>
    <int2:bookmark int2:bookmarkName="_Int_aRfcIirU" int2:invalidationBookmarkName="" int2:hashCode="qzzMjboqDPehzk" int2:id="J9KCnjLV">
      <int2:state int2:value="Rejected" int2:type="style"/>
    </int2:bookmark>
    <int2:bookmark int2:bookmarkName="_Int_MnuDVtPW" int2:invalidationBookmarkName="" int2:hashCode="1wvXvcZNNvM3vk" int2:id="ODIFEfYp">
      <int2:state int2:value="Rejected" int2:type="style"/>
    </int2:bookmark>
    <int2:bookmark int2:bookmarkName="_Int_Zt8QoiuO" int2:invalidationBookmarkName="" int2:hashCode="M7iK79NVQE4SgS" int2:id="OKkTFfF5">
      <int2:state int2:value="Rejected" int2:type="style"/>
    </int2:bookmark>
    <int2:bookmark int2:bookmarkName="_Int_M3V2Be6L" int2:invalidationBookmarkName="" int2:hashCode="BfQOn9YK8DuJQN" int2:id="Ofu1Je0k">
      <int2:state int2:value="Rejected" int2:type="style"/>
    </int2:bookmark>
    <int2:bookmark int2:bookmarkName="_Int_RwU9X0Uk" int2:invalidationBookmarkName="" int2:hashCode="ncaJKe4Ujr96Su" int2:id="hvDWxYg0">
      <int2:state int2:value="Rejected" int2:type="style"/>
    </int2:bookmark>
    <int2:bookmark int2:bookmarkName="_Int_HDTKvzZz" int2:invalidationBookmarkName="" int2:hashCode="aELHTE1RIr0oxc" int2:id="kd0jPmBJ">
      <int2:state int2:value="Rejected" int2:type="style"/>
    </int2:bookmark>
    <int2:bookmark int2:bookmarkName="_Int_1kYNkWeg" int2:invalidationBookmarkName="" int2:hashCode="d/hG+iXuH0JdFC" int2:id="o1TbVvo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8A98"/>
    <w:multiLevelType w:val="hybridMultilevel"/>
    <w:tmpl w:val="FFFFFFFF"/>
    <w:lvl w:ilvl="0" w:tplc="A80209CE">
      <w:start w:val="1"/>
      <w:numFmt w:val="bullet"/>
      <w:lvlText w:val=""/>
      <w:lvlJc w:val="left"/>
      <w:pPr>
        <w:ind w:left="720" w:hanging="360"/>
      </w:pPr>
      <w:rPr>
        <w:rFonts w:ascii="Symbol" w:hAnsi="Symbol" w:hint="default"/>
      </w:rPr>
    </w:lvl>
    <w:lvl w:ilvl="1" w:tplc="92EE3F3E">
      <w:start w:val="1"/>
      <w:numFmt w:val="bullet"/>
      <w:lvlText w:val="o"/>
      <w:lvlJc w:val="left"/>
      <w:pPr>
        <w:ind w:left="1440" w:hanging="360"/>
      </w:pPr>
      <w:rPr>
        <w:rFonts w:ascii="Courier New" w:hAnsi="Courier New" w:hint="default"/>
      </w:rPr>
    </w:lvl>
    <w:lvl w:ilvl="2" w:tplc="B5DE7B00">
      <w:start w:val="1"/>
      <w:numFmt w:val="bullet"/>
      <w:lvlText w:val=""/>
      <w:lvlJc w:val="left"/>
      <w:pPr>
        <w:ind w:left="2160" w:hanging="360"/>
      </w:pPr>
      <w:rPr>
        <w:rFonts w:ascii="Wingdings" w:hAnsi="Wingdings" w:hint="default"/>
      </w:rPr>
    </w:lvl>
    <w:lvl w:ilvl="3" w:tplc="292CC9FA">
      <w:start w:val="1"/>
      <w:numFmt w:val="bullet"/>
      <w:lvlText w:val=""/>
      <w:lvlJc w:val="left"/>
      <w:pPr>
        <w:ind w:left="2880" w:hanging="360"/>
      </w:pPr>
      <w:rPr>
        <w:rFonts w:ascii="Symbol" w:hAnsi="Symbol" w:hint="default"/>
      </w:rPr>
    </w:lvl>
    <w:lvl w:ilvl="4" w:tplc="250C986A">
      <w:start w:val="1"/>
      <w:numFmt w:val="bullet"/>
      <w:lvlText w:val="o"/>
      <w:lvlJc w:val="left"/>
      <w:pPr>
        <w:ind w:left="3600" w:hanging="360"/>
      </w:pPr>
      <w:rPr>
        <w:rFonts w:ascii="Courier New" w:hAnsi="Courier New" w:hint="default"/>
      </w:rPr>
    </w:lvl>
    <w:lvl w:ilvl="5" w:tplc="B19E7188">
      <w:start w:val="1"/>
      <w:numFmt w:val="bullet"/>
      <w:lvlText w:val=""/>
      <w:lvlJc w:val="left"/>
      <w:pPr>
        <w:ind w:left="4320" w:hanging="360"/>
      </w:pPr>
      <w:rPr>
        <w:rFonts w:ascii="Wingdings" w:hAnsi="Wingdings" w:hint="default"/>
      </w:rPr>
    </w:lvl>
    <w:lvl w:ilvl="6" w:tplc="EE9C9D70">
      <w:start w:val="1"/>
      <w:numFmt w:val="bullet"/>
      <w:lvlText w:val=""/>
      <w:lvlJc w:val="left"/>
      <w:pPr>
        <w:ind w:left="5040" w:hanging="360"/>
      </w:pPr>
      <w:rPr>
        <w:rFonts w:ascii="Symbol" w:hAnsi="Symbol" w:hint="default"/>
      </w:rPr>
    </w:lvl>
    <w:lvl w:ilvl="7" w:tplc="7E282658">
      <w:start w:val="1"/>
      <w:numFmt w:val="bullet"/>
      <w:lvlText w:val="o"/>
      <w:lvlJc w:val="left"/>
      <w:pPr>
        <w:ind w:left="5760" w:hanging="360"/>
      </w:pPr>
      <w:rPr>
        <w:rFonts w:ascii="Courier New" w:hAnsi="Courier New" w:hint="default"/>
      </w:rPr>
    </w:lvl>
    <w:lvl w:ilvl="8" w:tplc="867E3456">
      <w:start w:val="1"/>
      <w:numFmt w:val="bullet"/>
      <w:lvlText w:val=""/>
      <w:lvlJc w:val="left"/>
      <w:pPr>
        <w:ind w:left="6480" w:hanging="360"/>
      </w:pPr>
      <w:rPr>
        <w:rFonts w:ascii="Wingdings" w:hAnsi="Wingdings" w:hint="default"/>
      </w:rPr>
    </w:lvl>
  </w:abstractNum>
  <w:abstractNum w:abstractNumId="1" w15:restartNumberingAfterBreak="0">
    <w:nsid w:val="0BF34628"/>
    <w:multiLevelType w:val="hybridMultilevel"/>
    <w:tmpl w:val="FFFFFFFF"/>
    <w:lvl w:ilvl="0" w:tplc="D0C46AF8">
      <w:start w:val="1"/>
      <w:numFmt w:val="bullet"/>
      <w:lvlText w:val=""/>
      <w:lvlJc w:val="left"/>
      <w:pPr>
        <w:ind w:left="720" w:hanging="360"/>
      </w:pPr>
      <w:rPr>
        <w:rFonts w:ascii="Symbol" w:hAnsi="Symbol" w:hint="default"/>
      </w:rPr>
    </w:lvl>
    <w:lvl w:ilvl="1" w:tplc="1248A3A4">
      <w:start w:val="1"/>
      <w:numFmt w:val="bullet"/>
      <w:lvlText w:val="o"/>
      <w:lvlJc w:val="left"/>
      <w:pPr>
        <w:ind w:left="1440" w:hanging="360"/>
      </w:pPr>
      <w:rPr>
        <w:rFonts w:ascii="Courier New" w:hAnsi="Courier New" w:hint="default"/>
      </w:rPr>
    </w:lvl>
    <w:lvl w:ilvl="2" w:tplc="33BE7F6A">
      <w:start w:val="1"/>
      <w:numFmt w:val="bullet"/>
      <w:lvlText w:val=""/>
      <w:lvlJc w:val="left"/>
      <w:pPr>
        <w:ind w:left="2160" w:hanging="360"/>
      </w:pPr>
      <w:rPr>
        <w:rFonts w:ascii="Wingdings" w:hAnsi="Wingdings" w:hint="default"/>
      </w:rPr>
    </w:lvl>
    <w:lvl w:ilvl="3" w:tplc="73E6B0D6">
      <w:start w:val="1"/>
      <w:numFmt w:val="bullet"/>
      <w:lvlText w:val=""/>
      <w:lvlJc w:val="left"/>
      <w:pPr>
        <w:ind w:left="2880" w:hanging="360"/>
      </w:pPr>
      <w:rPr>
        <w:rFonts w:ascii="Symbol" w:hAnsi="Symbol" w:hint="default"/>
      </w:rPr>
    </w:lvl>
    <w:lvl w:ilvl="4" w:tplc="8B4A23BA">
      <w:start w:val="1"/>
      <w:numFmt w:val="bullet"/>
      <w:lvlText w:val="o"/>
      <w:lvlJc w:val="left"/>
      <w:pPr>
        <w:ind w:left="3600" w:hanging="360"/>
      </w:pPr>
      <w:rPr>
        <w:rFonts w:ascii="Courier New" w:hAnsi="Courier New" w:hint="default"/>
      </w:rPr>
    </w:lvl>
    <w:lvl w:ilvl="5" w:tplc="FF26F076">
      <w:start w:val="1"/>
      <w:numFmt w:val="bullet"/>
      <w:lvlText w:val=""/>
      <w:lvlJc w:val="left"/>
      <w:pPr>
        <w:ind w:left="4320" w:hanging="360"/>
      </w:pPr>
      <w:rPr>
        <w:rFonts w:ascii="Wingdings" w:hAnsi="Wingdings" w:hint="default"/>
      </w:rPr>
    </w:lvl>
    <w:lvl w:ilvl="6" w:tplc="9EDC0AC8">
      <w:start w:val="1"/>
      <w:numFmt w:val="bullet"/>
      <w:lvlText w:val=""/>
      <w:lvlJc w:val="left"/>
      <w:pPr>
        <w:ind w:left="5040" w:hanging="360"/>
      </w:pPr>
      <w:rPr>
        <w:rFonts w:ascii="Symbol" w:hAnsi="Symbol" w:hint="default"/>
      </w:rPr>
    </w:lvl>
    <w:lvl w:ilvl="7" w:tplc="13D4086A">
      <w:start w:val="1"/>
      <w:numFmt w:val="bullet"/>
      <w:lvlText w:val="o"/>
      <w:lvlJc w:val="left"/>
      <w:pPr>
        <w:ind w:left="5760" w:hanging="360"/>
      </w:pPr>
      <w:rPr>
        <w:rFonts w:ascii="Courier New" w:hAnsi="Courier New" w:hint="default"/>
      </w:rPr>
    </w:lvl>
    <w:lvl w:ilvl="8" w:tplc="49FCD592">
      <w:start w:val="1"/>
      <w:numFmt w:val="bullet"/>
      <w:lvlText w:val=""/>
      <w:lvlJc w:val="left"/>
      <w:pPr>
        <w:ind w:left="6480" w:hanging="360"/>
      </w:pPr>
      <w:rPr>
        <w:rFonts w:ascii="Wingdings" w:hAnsi="Wingdings" w:hint="default"/>
      </w:rPr>
    </w:lvl>
  </w:abstractNum>
  <w:abstractNum w:abstractNumId="2" w15:restartNumberingAfterBreak="0">
    <w:nsid w:val="0DCA1ADB"/>
    <w:multiLevelType w:val="hybridMultilevel"/>
    <w:tmpl w:val="FFFFFFFF"/>
    <w:lvl w:ilvl="0" w:tplc="BCF6B4EE">
      <w:start w:val="1"/>
      <w:numFmt w:val="bullet"/>
      <w:lvlText w:val=""/>
      <w:lvlJc w:val="left"/>
      <w:pPr>
        <w:ind w:left="720" w:hanging="360"/>
      </w:pPr>
      <w:rPr>
        <w:rFonts w:ascii="Symbol" w:hAnsi="Symbol" w:hint="default"/>
      </w:rPr>
    </w:lvl>
    <w:lvl w:ilvl="1" w:tplc="C4EC40E6">
      <w:start w:val="1"/>
      <w:numFmt w:val="bullet"/>
      <w:lvlText w:val="o"/>
      <w:lvlJc w:val="left"/>
      <w:pPr>
        <w:ind w:left="1440" w:hanging="360"/>
      </w:pPr>
      <w:rPr>
        <w:rFonts w:ascii="Courier New" w:hAnsi="Courier New" w:hint="default"/>
      </w:rPr>
    </w:lvl>
    <w:lvl w:ilvl="2" w:tplc="03A2A4D4">
      <w:start w:val="1"/>
      <w:numFmt w:val="bullet"/>
      <w:lvlText w:val=""/>
      <w:lvlJc w:val="left"/>
      <w:pPr>
        <w:ind w:left="2160" w:hanging="360"/>
      </w:pPr>
      <w:rPr>
        <w:rFonts w:ascii="Wingdings" w:hAnsi="Wingdings" w:hint="default"/>
      </w:rPr>
    </w:lvl>
    <w:lvl w:ilvl="3" w:tplc="EFA642E4">
      <w:start w:val="1"/>
      <w:numFmt w:val="bullet"/>
      <w:lvlText w:val=""/>
      <w:lvlJc w:val="left"/>
      <w:pPr>
        <w:ind w:left="2880" w:hanging="360"/>
      </w:pPr>
      <w:rPr>
        <w:rFonts w:ascii="Symbol" w:hAnsi="Symbol" w:hint="default"/>
      </w:rPr>
    </w:lvl>
    <w:lvl w:ilvl="4" w:tplc="714CE4D0">
      <w:start w:val="1"/>
      <w:numFmt w:val="bullet"/>
      <w:lvlText w:val="o"/>
      <w:lvlJc w:val="left"/>
      <w:pPr>
        <w:ind w:left="3600" w:hanging="360"/>
      </w:pPr>
      <w:rPr>
        <w:rFonts w:ascii="Courier New" w:hAnsi="Courier New" w:hint="default"/>
      </w:rPr>
    </w:lvl>
    <w:lvl w:ilvl="5" w:tplc="A438A66E">
      <w:start w:val="1"/>
      <w:numFmt w:val="bullet"/>
      <w:lvlText w:val=""/>
      <w:lvlJc w:val="left"/>
      <w:pPr>
        <w:ind w:left="4320" w:hanging="360"/>
      </w:pPr>
      <w:rPr>
        <w:rFonts w:ascii="Wingdings" w:hAnsi="Wingdings" w:hint="default"/>
      </w:rPr>
    </w:lvl>
    <w:lvl w:ilvl="6" w:tplc="419AFE3E">
      <w:start w:val="1"/>
      <w:numFmt w:val="bullet"/>
      <w:lvlText w:val=""/>
      <w:lvlJc w:val="left"/>
      <w:pPr>
        <w:ind w:left="5040" w:hanging="360"/>
      </w:pPr>
      <w:rPr>
        <w:rFonts w:ascii="Symbol" w:hAnsi="Symbol" w:hint="default"/>
      </w:rPr>
    </w:lvl>
    <w:lvl w:ilvl="7" w:tplc="2D86CF5A">
      <w:start w:val="1"/>
      <w:numFmt w:val="bullet"/>
      <w:lvlText w:val="o"/>
      <w:lvlJc w:val="left"/>
      <w:pPr>
        <w:ind w:left="5760" w:hanging="360"/>
      </w:pPr>
      <w:rPr>
        <w:rFonts w:ascii="Courier New" w:hAnsi="Courier New" w:hint="default"/>
      </w:rPr>
    </w:lvl>
    <w:lvl w:ilvl="8" w:tplc="2CA2AA50">
      <w:start w:val="1"/>
      <w:numFmt w:val="bullet"/>
      <w:lvlText w:val=""/>
      <w:lvlJc w:val="left"/>
      <w:pPr>
        <w:ind w:left="6480" w:hanging="360"/>
      </w:pPr>
      <w:rPr>
        <w:rFonts w:ascii="Wingdings" w:hAnsi="Wingdings" w:hint="default"/>
      </w:rPr>
    </w:lvl>
  </w:abstractNum>
  <w:abstractNum w:abstractNumId="3" w15:restartNumberingAfterBreak="0">
    <w:nsid w:val="18FE6960"/>
    <w:multiLevelType w:val="hybridMultilevel"/>
    <w:tmpl w:val="FFFFFFFF"/>
    <w:lvl w:ilvl="0" w:tplc="496AD5C2">
      <w:start w:val="1"/>
      <w:numFmt w:val="bullet"/>
      <w:lvlText w:val=""/>
      <w:lvlJc w:val="left"/>
      <w:pPr>
        <w:ind w:left="720" w:hanging="360"/>
      </w:pPr>
      <w:rPr>
        <w:rFonts w:ascii="Symbol" w:hAnsi="Symbol" w:hint="default"/>
      </w:rPr>
    </w:lvl>
    <w:lvl w:ilvl="1" w:tplc="0CCAF65E">
      <w:start w:val="1"/>
      <w:numFmt w:val="bullet"/>
      <w:lvlText w:val="o"/>
      <w:lvlJc w:val="left"/>
      <w:pPr>
        <w:ind w:left="1440" w:hanging="360"/>
      </w:pPr>
      <w:rPr>
        <w:rFonts w:ascii="Courier New" w:hAnsi="Courier New" w:hint="default"/>
      </w:rPr>
    </w:lvl>
    <w:lvl w:ilvl="2" w:tplc="3A5C5F1E">
      <w:start w:val="1"/>
      <w:numFmt w:val="bullet"/>
      <w:lvlText w:val=""/>
      <w:lvlJc w:val="left"/>
      <w:pPr>
        <w:ind w:left="2160" w:hanging="360"/>
      </w:pPr>
      <w:rPr>
        <w:rFonts w:ascii="Wingdings" w:hAnsi="Wingdings" w:hint="default"/>
      </w:rPr>
    </w:lvl>
    <w:lvl w:ilvl="3" w:tplc="9A727BDE">
      <w:start w:val="1"/>
      <w:numFmt w:val="bullet"/>
      <w:lvlText w:val=""/>
      <w:lvlJc w:val="left"/>
      <w:pPr>
        <w:ind w:left="2880" w:hanging="360"/>
      </w:pPr>
      <w:rPr>
        <w:rFonts w:ascii="Symbol" w:hAnsi="Symbol" w:hint="default"/>
      </w:rPr>
    </w:lvl>
    <w:lvl w:ilvl="4" w:tplc="55565774">
      <w:start w:val="1"/>
      <w:numFmt w:val="bullet"/>
      <w:lvlText w:val="o"/>
      <w:lvlJc w:val="left"/>
      <w:pPr>
        <w:ind w:left="3600" w:hanging="360"/>
      </w:pPr>
      <w:rPr>
        <w:rFonts w:ascii="Courier New" w:hAnsi="Courier New" w:hint="default"/>
      </w:rPr>
    </w:lvl>
    <w:lvl w:ilvl="5" w:tplc="5E9E411C">
      <w:start w:val="1"/>
      <w:numFmt w:val="bullet"/>
      <w:lvlText w:val=""/>
      <w:lvlJc w:val="left"/>
      <w:pPr>
        <w:ind w:left="4320" w:hanging="360"/>
      </w:pPr>
      <w:rPr>
        <w:rFonts w:ascii="Wingdings" w:hAnsi="Wingdings" w:hint="default"/>
      </w:rPr>
    </w:lvl>
    <w:lvl w:ilvl="6" w:tplc="3FA4F2E2">
      <w:start w:val="1"/>
      <w:numFmt w:val="bullet"/>
      <w:lvlText w:val=""/>
      <w:lvlJc w:val="left"/>
      <w:pPr>
        <w:ind w:left="5040" w:hanging="360"/>
      </w:pPr>
      <w:rPr>
        <w:rFonts w:ascii="Symbol" w:hAnsi="Symbol" w:hint="default"/>
      </w:rPr>
    </w:lvl>
    <w:lvl w:ilvl="7" w:tplc="4ABA4BDC">
      <w:start w:val="1"/>
      <w:numFmt w:val="bullet"/>
      <w:lvlText w:val="o"/>
      <w:lvlJc w:val="left"/>
      <w:pPr>
        <w:ind w:left="5760" w:hanging="360"/>
      </w:pPr>
      <w:rPr>
        <w:rFonts w:ascii="Courier New" w:hAnsi="Courier New" w:hint="default"/>
      </w:rPr>
    </w:lvl>
    <w:lvl w:ilvl="8" w:tplc="CAA4ACA8">
      <w:start w:val="1"/>
      <w:numFmt w:val="bullet"/>
      <w:lvlText w:val=""/>
      <w:lvlJc w:val="left"/>
      <w:pPr>
        <w:ind w:left="6480" w:hanging="360"/>
      </w:pPr>
      <w:rPr>
        <w:rFonts w:ascii="Wingdings" w:hAnsi="Wingdings" w:hint="default"/>
      </w:rPr>
    </w:lvl>
  </w:abstractNum>
  <w:abstractNum w:abstractNumId="4" w15:restartNumberingAfterBreak="0">
    <w:nsid w:val="193C89FA"/>
    <w:multiLevelType w:val="hybridMultilevel"/>
    <w:tmpl w:val="FFFFFFFF"/>
    <w:lvl w:ilvl="0" w:tplc="2E26C9AA">
      <w:start w:val="1"/>
      <w:numFmt w:val="bullet"/>
      <w:lvlText w:val=""/>
      <w:lvlJc w:val="left"/>
      <w:pPr>
        <w:ind w:left="720" w:hanging="360"/>
      </w:pPr>
      <w:rPr>
        <w:rFonts w:ascii="Symbol" w:hAnsi="Symbol" w:hint="default"/>
      </w:rPr>
    </w:lvl>
    <w:lvl w:ilvl="1" w:tplc="F29CDE46">
      <w:start w:val="1"/>
      <w:numFmt w:val="bullet"/>
      <w:lvlText w:val="o"/>
      <w:lvlJc w:val="left"/>
      <w:pPr>
        <w:ind w:left="1440" w:hanging="360"/>
      </w:pPr>
      <w:rPr>
        <w:rFonts w:ascii="Courier New" w:hAnsi="Courier New" w:hint="default"/>
      </w:rPr>
    </w:lvl>
    <w:lvl w:ilvl="2" w:tplc="C73836B0">
      <w:start w:val="1"/>
      <w:numFmt w:val="bullet"/>
      <w:lvlText w:val=""/>
      <w:lvlJc w:val="left"/>
      <w:pPr>
        <w:ind w:left="2160" w:hanging="360"/>
      </w:pPr>
      <w:rPr>
        <w:rFonts w:ascii="Wingdings" w:hAnsi="Wingdings" w:hint="default"/>
      </w:rPr>
    </w:lvl>
    <w:lvl w:ilvl="3" w:tplc="4BECF560">
      <w:start w:val="1"/>
      <w:numFmt w:val="bullet"/>
      <w:lvlText w:val=""/>
      <w:lvlJc w:val="left"/>
      <w:pPr>
        <w:ind w:left="2880" w:hanging="360"/>
      </w:pPr>
      <w:rPr>
        <w:rFonts w:ascii="Symbol" w:hAnsi="Symbol" w:hint="default"/>
      </w:rPr>
    </w:lvl>
    <w:lvl w:ilvl="4" w:tplc="EDD4A222">
      <w:start w:val="1"/>
      <w:numFmt w:val="bullet"/>
      <w:lvlText w:val="o"/>
      <w:lvlJc w:val="left"/>
      <w:pPr>
        <w:ind w:left="3600" w:hanging="360"/>
      </w:pPr>
      <w:rPr>
        <w:rFonts w:ascii="Courier New" w:hAnsi="Courier New" w:hint="default"/>
      </w:rPr>
    </w:lvl>
    <w:lvl w:ilvl="5" w:tplc="5D086E6A">
      <w:start w:val="1"/>
      <w:numFmt w:val="bullet"/>
      <w:lvlText w:val=""/>
      <w:lvlJc w:val="left"/>
      <w:pPr>
        <w:ind w:left="4320" w:hanging="360"/>
      </w:pPr>
      <w:rPr>
        <w:rFonts w:ascii="Wingdings" w:hAnsi="Wingdings" w:hint="default"/>
      </w:rPr>
    </w:lvl>
    <w:lvl w:ilvl="6" w:tplc="72C2DFC4">
      <w:start w:val="1"/>
      <w:numFmt w:val="bullet"/>
      <w:lvlText w:val=""/>
      <w:lvlJc w:val="left"/>
      <w:pPr>
        <w:ind w:left="5040" w:hanging="360"/>
      </w:pPr>
      <w:rPr>
        <w:rFonts w:ascii="Symbol" w:hAnsi="Symbol" w:hint="default"/>
      </w:rPr>
    </w:lvl>
    <w:lvl w:ilvl="7" w:tplc="2356064E">
      <w:start w:val="1"/>
      <w:numFmt w:val="bullet"/>
      <w:lvlText w:val="o"/>
      <w:lvlJc w:val="left"/>
      <w:pPr>
        <w:ind w:left="5760" w:hanging="360"/>
      </w:pPr>
      <w:rPr>
        <w:rFonts w:ascii="Courier New" w:hAnsi="Courier New" w:hint="default"/>
      </w:rPr>
    </w:lvl>
    <w:lvl w:ilvl="8" w:tplc="1B145224">
      <w:start w:val="1"/>
      <w:numFmt w:val="bullet"/>
      <w:lvlText w:val=""/>
      <w:lvlJc w:val="left"/>
      <w:pPr>
        <w:ind w:left="6480" w:hanging="360"/>
      </w:pPr>
      <w:rPr>
        <w:rFonts w:ascii="Wingdings" w:hAnsi="Wingdings" w:hint="default"/>
      </w:rPr>
    </w:lvl>
  </w:abstractNum>
  <w:abstractNum w:abstractNumId="5" w15:restartNumberingAfterBreak="0">
    <w:nsid w:val="29B45B36"/>
    <w:multiLevelType w:val="hybridMultilevel"/>
    <w:tmpl w:val="FFFFFFFF"/>
    <w:lvl w:ilvl="0" w:tplc="DF987806">
      <w:start w:val="1"/>
      <w:numFmt w:val="bullet"/>
      <w:lvlText w:val=""/>
      <w:lvlJc w:val="left"/>
      <w:pPr>
        <w:ind w:left="720" w:hanging="360"/>
      </w:pPr>
      <w:rPr>
        <w:rFonts w:ascii="Symbol" w:hAnsi="Symbol" w:hint="default"/>
      </w:rPr>
    </w:lvl>
    <w:lvl w:ilvl="1" w:tplc="0212D57E">
      <w:start w:val="1"/>
      <w:numFmt w:val="bullet"/>
      <w:lvlText w:val="o"/>
      <w:lvlJc w:val="left"/>
      <w:pPr>
        <w:ind w:left="1440" w:hanging="360"/>
      </w:pPr>
      <w:rPr>
        <w:rFonts w:ascii="Courier New" w:hAnsi="Courier New" w:hint="default"/>
      </w:rPr>
    </w:lvl>
    <w:lvl w:ilvl="2" w:tplc="FDDA5000">
      <w:start w:val="1"/>
      <w:numFmt w:val="bullet"/>
      <w:lvlText w:val=""/>
      <w:lvlJc w:val="left"/>
      <w:pPr>
        <w:ind w:left="2160" w:hanging="360"/>
      </w:pPr>
      <w:rPr>
        <w:rFonts w:ascii="Wingdings" w:hAnsi="Wingdings" w:hint="default"/>
      </w:rPr>
    </w:lvl>
    <w:lvl w:ilvl="3" w:tplc="A4BC46FC">
      <w:start w:val="1"/>
      <w:numFmt w:val="bullet"/>
      <w:lvlText w:val=""/>
      <w:lvlJc w:val="left"/>
      <w:pPr>
        <w:ind w:left="2880" w:hanging="360"/>
      </w:pPr>
      <w:rPr>
        <w:rFonts w:ascii="Symbol" w:hAnsi="Symbol" w:hint="default"/>
      </w:rPr>
    </w:lvl>
    <w:lvl w:ilvl="4" w:tplc="9346833A">
      <w:start w:val="1"/>
      <w:numFmt w:val="bullet"/>
      <w:lvlText w:val="o"/>
      <w:lvlJc w:val="left"/>
      <w:pPr>
        <w:ind w:left="3600" w:hanging="360"/>
      </w:pPr>
      <w:rPr>
        <w:rFonts w:ascii="Courier New" w:hAnsi="Courier New" w:hint="default"/>
      </w:rPr>
    </w:lvl>
    <w:lvl w:ilvl="5" w:tplc="BB869D14">
      <w:start w:val="1"/>
      <w:numFmt w:val="bullet"/>
      <w:lvlText w:val=""/>
      <w:lvlJc w:val="left"/>
      <w:pPr>
        <w:ind w:left="4320" w:hanging="360"/>
      </w:pPr>
      <w:rPr>
        <w:rFonts w:ascii="Wingdings" w:hAnsi="Wingdings" w:hint="default"/>
      </w:rPr>
    </w:lvl>
    <w:lvl w:ilvl="6" w:tplc="A8D684F4">
      <w:start w:val="1"/>
      <w:numFmt w:val="bullet"/>
      <w:lvlText w:val=""/>
      <w:lvlJc w:val="left"/>
      <w:pPr>
        <w:ind w:left="5040" w:hanging="360"/>
      </w:pPr>
      <w:rPr>
        <w:rFonts w:ascii="Symbol" w:hAnsi="Symbol" w:hint="default"/>
      </w:rPr>
    </w:lvl>
    <w:lvl w:ilvl="7" w:tplc="E53CAEFC">
      <w:start w:val="1"/>
      <w:numFmt w:val="bullet"/>
      <w:lvlText w:val="o"/>
      <w:lvlJc w:val="left"/>
      <w:pPr>
        <w:ind w:left="5760" w:hanging="360"/>
      </w:pPr>
      <w:rPr>
        <w:rFonts w:ascii="Courier New" w:hAnsi="Courier New" w:hint="default"/>
      </w:rPr>
    </w:lvl>
    <w:lvl w:ilvl="8" w:tplc="7CF4037A">
      <w:start w:val="1"/>
      <w:numFmt w:val="bullet"/>
      <w:lvlText w:val=""/>
      <w:lvlJc w:val="left"/>
      <w:pPr>
        <w:ind w:left="6480" w:hanging="360"/>
      </w:pPr>
      <w:rPr>
        <w:rFonts w:ascii="Wingdings" w:hAnsi="Wingdings" w:hint="default"/>
      </w:rPr>
    </w:lvl>
  </w:abstractNum>
  <w:abstractNum w:abstractNumId="6" w15:restartNumberingAfterBreak="0">
    <w:nsid w:val="2A14D302"/>
    <w:multiLevelType w:val="hybridMultilevel"/>
    <w:tmpl w:val="FFFFFFFF"/>
    <w:lvl w:ilvl="0" w:tplc="012A1E10">
      <w:start w:val="1"/>
      <w:numFmt w:val="bullet"/>
      <w:lvlText w:val=""/>
      <w:lvlJc w:val="left"/>
      <w:pPr>
        <w:ind w:left="720" w:hanging="360"/>
      </w:pPr>
      <w:rPr>
        <w:rFonts w:ascii="Symbol" w:hAnsi="Symbol" w:hint="default"/>
      </w:rPr>
    </w:lvl>
    <w:lvl w:ilvl="1" w:tplc="C2B400EA">
      <w:start w:val="1"/>
      <w:numFmt w:val="bullet"/>
      <w:lvlText w:val="o"/>
      <w:lvlJc w:val="left"/>
      <w:pPr>
        <w:ind w:left="1440" w:hanging="360"/>
      </w:pPr>
      <w:rPr>
        <w:rFonts w:ascii="Courier New" w:hAnsi="Courier New" w:hint="default"/>
      </w:rPr>
    </w:lvl>
    <w:lvl w:ilvl="2" w:tplc="64CC5EF4">
      <w:start w:val="1"/>
      <w:numFmt w:val="bullet"/>
      <w:lvlText w:val=""/>
      <w:lvlJc w:val="left"/>
      <w:pPr>
        <w:ind w:left="2160" w:hanging="360"/>
      </w:pPr>
      <w:rPr>
        <w:rFonts w:ascii="Wingdings" w:hAnsi="Wingdings" w:hint="default"/>
      </w:rPr>
    </w:lvl>
    <w:lvl w:ilvl="3" w:tplc="35F2E7BC">
      <w:start w:val="1"/>
      <w:numFmt w:val="bullet"/>
      <w:lvlText w:val=""/>
      <w:lvlJc w:val="left"/>
      <w:pPr>
        <w:ind w:left="2880" w:hanging="360"/>
      </w:pPr>
      <w:rPr>
        <w:rFonts w:ascii="Symbol" w:hAnsi="Symbol" w:hint="default"/>
      </w:rPr>
    </w:lvl>
    <w:lvl w:ilvl="4" w:tplc="D13469BE">
      <w:start w:val="1"/>
      <w:numFmt w:val="bullet"/>
      <w:lvlText w:val="o"/>
      <w:lvlJc w:val="left"/>
      <w:pPr>
        <w:ind w:left="3600" w:hanging="360"/>
      </w:pPr>
      <w:rPr>
        <w:rFonts w:ascii="Courier New" w:hAnsi="Courier New" w:hint="default"/>
      </w:rPr>
    </w:lvl>
    <w:lvl w:ilvl="5" w:tplc="FA74C8F6">
      <w:start w:val="1"/>
      <w:numFmt w:val="bullet"/>
      <w:lvlText w:val=""/>
      <w:lvlJc w:val="left"/>
      <w:pPr>
        <w:ind w:left="4320" w:hanging="360"/>
      </w:pPr>
      <w:rPr>
        <w:rFonts w:ascii="Wingdings" w:hAnsi="Wingdings" w:hint="default"/>
      </w:rPr>
    </w:lvl>
    <w:lvl w:ilvl="6" w:tplc="380EE7E0">
      <w:start w:val="1"/>
      <w:numFmt w:val="bullet"/>
      <w:lvlText w:val=""/>
      <w:lvlJc w:val="left"/>
      <w:pPr>
        <w:ind w:left="5040" w:hanging="360"/>
      </w:pPr>
      <w:rPr>
        <w:rFonts w:ascii="Symbol" w:hAnsi="Symbol" w:hint="default"/>
      </w:rPr>
    </w:lvl>
    <w:lvl w:ilvl="7" w:tplc="0F545EE8">
      <w:start w:val="1"/>
      <w:numFmt w:val="bullet"/>
      <w:lvlText w:val="o"/>
      <w:lvlJc w:val="left"/>
      <w:pPr>
        <w:ind w:left="5760" w:hanging="360"/>
      </w:pPr>
      <w:rPr>
        <w:rFonts w:ascii="Courier New" w:hAnsi="Courier New" w:hint="default"/>
      </w:rPr>
    </w:lvl>
    <w:lvl w:ilvl="8" w:tplc="56764C04">
      <w:start w:val="1"/>
      <w:numFmt w:val="bullet"/>
      <w:lvlText w:val=""/>
      <w:lvlJc w:val="left"/>
      <w:pPr>
        <w:ind w:left="6480" w:hanging="360"/>
      </w:pPr>
      <w:rPr>
        <w:rFonts w:ascii="Wingdings" w:hAnsi="Wingdings" w:hint="default"/>
      </w:rPr>
    </w:lvl>
  </w:abstractNum>
  <w:abstractNum w:abstractNumId="7" w15:restartNumberingAfterBreak="0">
    <w:nsid w:val="5E620512"/>
    <w:multiLevelType w:val="hybridMultilevel"/>
    <w:tmpl w:val="FFFFFFFF"/>
    <w:lvl w:ilvl="0" w:tplc="F6B8A404">
      <w:start w:val="1"/>
      <w:numFmt w:val="bullet"/>
      <w:lvlText w:val=""/>
      <w:lvlJc w:val="left"/>
      <w:pPr>
        <w:ind w:left="720" w:hanging="360"/>
      </w:pPr>
      <w:rPr>
        <w:rFonts w:ascii="Symbol" w:hAnsi="Symbol" w:hint="default"/>
      </w:rPr>
    </w:lvl>
    <w:lvl w:ilvl="1" w:tplc="BC4AF1D0">
      <w:start w:val="1"/>
      <w:numFmt w:val="bullet"/>
      <w:lvlText w:val="o"/>
      <w:lvlJc w:val="left"/>
      <w:pPr>
        <w:ind w:left="1440" w:hanging="360"/>
      </w:pPr>
      <w:rPr>
        <w:rFonts w:ascii="Courier New" w:hAnsi="Courier New" w:hint="default"/>
      </w:rPr>
    </w:lvl>
    <w:lvl w:ilvl="2" w:tplc="4F4EE5EC">
      <w:start w:val="1"/>
      <w:numFmt w:val="bullet"/>
      <w:lvlText w:val=""/>
      <w:lvlJc w:val="left"/>
      <w:pPr>
        <w:ind w:left="2160" w:hanging="360"/>
      </w:pPr>
      <w:rPr>
        <w:rFonts w:ascii="Wingdings" w:hAnsi="Wingdings" w:hint="default"/>
      </w:rPr>
    </w:lvl>
    <w:lvl w:ilvl="3" w:tplc="3E1412EC">
      <w:start w:val="1"/>
      <w:numFmt w:val="bullet"/>
      <w:lvlText w:val=""/>
      <w:lvlJc w:val="left"/>
      <w:pPr>
        <w:ind w:left="2880" w:hanging="360"/>
      </w:pPr>
      <w:rPr>
        <w:rFonts w:ascii="Symbol" w:hAnsi="Symbol" w:hint="default"/>
      </w:rPr>
    </w:lvl>
    <w:lvl w:ilvl="4" w:tplc="349EE3F2">
      <w:start w:val="1"/>
      <w:numFmt w:val="bullet"/>
      <w:lvlText w:val="o"/>
      <w:lvlJc w:val="left"/>
      <w:pPr>
        <w:ind w:left="3600" w:hanging="360"/>
      </w:pPr>
      <w:rPr>
        <w:rFonts w:ascii="Courier New" w:hAnsi="Courier New" w:hint="default"/>
      </w:rPr>
    </w:lvl>
    <w:lvl w:ilvl="5" w:tplc="4510DCB8">
      <w:start w:val="1"/>
      <w:numFmt w:val="bullet"/>
      <w:lvlText w:val=""/>
      <w:lvlJc w:val="left"/>
      <w:pPr>
        <w:ind w:left="4320" w:hanging="360"/>
      </w:pPr>
      <w:rPr>
        <w:rFonts w:ascii="Wingdings" w:hAnsi="Wingdings" w:hint="default"/>
      </w:rPr>
    </w:lvl>
    <w:lvl w:ilvl="6" w:tplc="0D8AB0C2">
      <w:start w:val="1"/>
      <w:numFmt w:val="bullet"/>
      <w:lvlText w:val=""/>
      <w:lvlJc w:val="left"/>
      <w:pPr>
        <w:ind w:left="5040" w:hanging="360"/>
      </w:pPr>
      <w:rPr>
        <w:rFonts w:ascii="Symbol" w:hAnsi="Symbol" w:hint="default"/>
      </w:rPr>
    </w:lvl>
    <w:lvl w:ilvl="7" w:tplc="863C3690">
      <w:start w:val="1"/>
      <w:numFmt w:val="bullet"/>
      <w:lvlText w:val="o"/>
      <w:lvlJc w:val="left"/>
      <w:pPr>
        <w:ind w:left="5760" w:hanging="360"/>
      </w:pPr>
      <w:rPr>
        <w:rFonts w:ascii="Courier New" w:hAnsi="Courier New" w:hint="default"/>
      </w:rPr>
    </w:lvl>
    <w:lvl w:ilvl="8" w:tplc="8A267C6A">
      <w:start w:val="1"/>
      <w:numFmt w:val="bullet"/>
      <w:lvlText w:val=""/>
      <w:lvlJc w:val="left"/>
      <w:pPr>
        <w:ind w:left="6480" w:hanging="360"/>
      </w:pPr>
      <w:rPr>
        <w:rFonts w:ascii="Wingdings" w:hAnsi="Wingdings" w:hint="default"/>
      </w:rPr>
    </w:lvl>
  </w:abstractNum>
  <w:abstractNum w:abstractNumId="8" w15:restartNumberingAfterBreak="0">
    <w:nsid w:val="5EFF3B6B"/>
    <w:multiLevelType w:val="hybridMultilevel"/>
    <w:tmpl w:val="FFFFFFFF"/>
    <w:lvl w:ilvl="0" w:tplc="015EE1EE">
      <w:start w:val="1"/>
      <w:numFmt w:val="bullet"/>
      <w:lvlText w:val=""/>
      <w:lvlJc w:val="left"/>
      <w:pPr>
        <w:ind w:left="720" w:hanging="360"/>
      </w:pPr>
      <w:rPr>
        <w:rFonts w:ascii="Symbol" w:hAnsi="Symbol" w:hint="default"/>
      </w:rPr>
    </w:lvl>
    <w:lvl w:ilvl="1" w:tplc="0CF8F68C">
      <w:start w:val="1"/>
      <w:numFmt w:val="bullet"/>
      <w:lvlText w:val="o"/>
      <w:lvlJc w:val="left"/>
      <w:pPr>
        <w:ind w:left="1440" w:hanging="360"/>
      </w:pPr>
      <w:rPr>
        <w:rFonts w:ascii="Courier New" w:hAnsi="Courier New" w:hint="default"/>
      </w:rPr>
    </w:lvl>
    <w:lvl w:ilvl="2" w:tplc="DDBE754A">
      <w:start w:val="1"/>
      <w:numFmt w:val="bullet"/>
      <w:lvlText w:val=""/>
      <w:lvlJc w:val="left"/>
      <w:pPr>
        <w:ind w:left="2160" w:hanging="360"/>
      </w:pPr>
      <w:rPr>
        <w:rFonts w:ascii="Wingdings" w:hAnsi="Wingdings" w:hint="default"/>
      </w:rPr>
    </w:lvl>
    <w:lvl w:ilvl="3" w:tplc="06680726">
      <w:start w:val="1"/>
      <w:numFmt w:val="bullet"/>
      <w:lvlText w:val=""/>
      <w:lvlJc w:val="left"/>
      <w:pPr>
        <w:ind w:left="2880" w:hanging="360"/>
      </w:pPr>
      <w:rPr>
        <w:rFonts w:ascii="Symbol" w:hAnsi="Symbol" w:hint="default"/>
      </w:rPr>
    </w:lvl>
    <w:lvl w:ilvl="4" w:tplc="A6C8BC7E">
      <w:start w:val="1"/>
      <w:numFmt w:val="bullet"/>
      <w:lvlText w:val="o"/>
      <w:lvlJc w:val="left"/>
      <w:pPr>
        <w:ind w:left="3600" w:hanging="360"/>
      </w:pPr>
      <w:rPr>
        <w:rFonts w:ascii="Courier New" w:hAnsi="Courier New" w:hint="default"/>
      </w:rPr>
    </w:lvl>
    <w:lvl w:ilvl="5" w:tplc="A9AE2266">
      <w:start w:val="1"/>
      <w:numFmt w:val="bullet"/>
      <w:lvlText w:val=""/>
      <w:lvlJc w:val="left"/>
      <w:pPr>
        <w:ind w:left="4320" w:hanging="360"/>
      </w:pPr>
      <w:rPr>
        <w:rFonts w:ascii="Wingdings" w:hAnsi="Wingdings" w:hint="default"/>
      </w:rPr>
    </w:lvl>
    <w:lvl w:ilvl="6" w:tplc="1B001D70">
      <w:start w:val="1"/>
      <w:numFmt w:val="bullet"/>
      <w:lvlText w:val=""/>
      <w:lvlJc w:val="left"/>
      <w:pPr>
        <w:ind w:left="5040" w:hanging="360"/>
      </w:pPr>
      <w:rPr>
        <w:rFonts w:ascii="Symbol" w:hAnsi="Symbol" w:hint="default"/>
      </w:rPr>
    </w:lvl>
    <w:lvl w:ilvl="7" w:tplc="C17668C4">
      <w:start w:val="1"/>
      <w:numFmt w:val="bullet"/>
      <w:lvlText w:val="o"/>
      <w:lvlJc w:val="left"/>
      <w:pPr>
        <w:ind w:left="5760" w:hanging="360"/>
      </w:pPr>
      <w:rPr>
        <w:rFonts w:ascii="Courier New" w:hAnsi="Courier New" w:hint="default"/>
      </w:rPr>
    </w:lvl>
    <w:lvl w:ilvl="8" w:tplc="B3D4638C">
      <w:start w:val="1"/>
      <w:numFmt w:val="bullet"/>
      <w:lvlText w:val=""/>
      <w:lvlJc w:val="left"/>
      <w:pPr>
        <w:ind w:left="6480" w:hanging="360"/>
      </w:pPr>
      <w:rPr>
        <w:rFonts w:ascii="Wingdings" w:hAnsi="Wingdings" w:hint="default"/>
      </w:rPr>
    </w:lvl>
  </w:abstractNum>
  <w:abstractNum w:abstractNumId="9" w15:restartNumberingAfterBreak="0">
    <w:nsid w:val="683C69C5"/>
    <w:multiLevelType w:val="hybridMultilevel"/>
    <w:tmpl w:val="FFFFFFFF"/>
    <w:lvl w:ilvl="0" w:tplc="4AE6E6B2">
      <w:start w:val="1"/>
      <w:numFmt w:val="bullet"/>
      <w:lvlText w:val=""/>
      <w:lvlJc w:val="left"/>
      <w:pPr>
        <w:ind w:left="720" w:hanging="360"/>
      </w:pPr>
      <w:rPr>
        <w:rFonts w:ascii="Symbol" w:hAnsi="Symbol" w:hint="default"/>
      </w:rPr>
    </w:lvl>
    <w:lvl w:ilvl="1" w:tplc="00E6B200">
      <w:start w:val="1"/>
      <w:numFmt w:val="bullet"/>
      <w:lvlText w:val="o"/>
      <w:lvlJc w:val="left"/>
      <w:pPr>
        <w:ind w:left="1440" w:hanging="360"/>
      </w:pPr>
      <w:rPr>
        <w:rFonts w:ascii="Courier New" w:hAnsi="Courier New" w:hint="default"/>
      </w:rPr>
    </w:lvl>
    <w:lvl w:ilvl="2" w:tplc="403C8AAC">
      <w:start w:val="1"/>
      <w:numFmt w:val="bullet"/>
      <w:lvlText w:val=""/>
      <w:lvlJc w:val="left"/>
      <w:pPr>
        <w:ind w:left="2160" w:hanging="360"/>
      </w:pPr>
      <w:rPr>
        <w:rFonts w:ascii="Wingdings" w:hAnsi="Wingdings" w:hint="default"/>
      </w:rPr>
    </w:lvl>
    <w:lvl w:ilvl="3" w:tplc="63786EA6">
      <w:start w:val="1"/>
      <w:numFmt w:val="bullet"/>
      <w:lvlText w:val=""/>
      <w:lvlJc w:val="left"/>
      <w:pPr>
        <w:ind w:left="2880" w:hanging="360"/>
      </w:pPr>
      <w:rPr>
        <w:rFonts w:ascii="Symbol" w:hAnsi="Symbol" w:hint="default"/>
      </w:rPr>
    </w:lvl>
    <w:lvl w:ilvl="4" w:tplc="679411FA">
      <w:start w:val="1"/>
      <w:numFmt w:val="bullet"/>
      <w:lvlText w:val="o"/>
      <w:lvlJc w:val="left"/>
      <w:pPr>
        <w:ind w:left="3600" w:hanging="360"/>
      </w:pPr>
      <w:rPr>
        <w:rFonts w:ascii="Courier New" w:hAnsi="Courier New" w:hint="default"/>
      </w:rPr>
    </w:lvl>
    <w:lvl w:ilvl="5" w:tplc="128607C8">
      <w:start w:val="1"/>
      <w:numFmt w:val="bullet"/>
      <w:lvlText w:val=""/>
      <w:lvlJc w:val="left"/>
      <w:pPr>
        <w:ind w:left="4320" w:hanging="360"/>
      </w:pPr>
      <w:rPr>
        <w:rFonts w:ascii="Wingdings" w:hAnsi="Wingdings" w:hint="default"/>
      </w:rPr>
    </w:lvl>
    <w:lvl w:ilvl="6" w:tplc="D6DE8830">
      <w:start w:val="1"/>
      <w:numFmt w:val="bullet"/>
      <w:lvlText w:val=""/>
      <w:lvlJc w:val="left"/>
      <w:pPr>
        <w:ind w:left="5040" w:hanging="360"/>
      </w:pPr>
      <w:rPr>
        <w:rFonts w:ascii="Symbol" w:hAnsi="Symbol" w:hint="default"/>
      </w:rPr>
    </w:lvl>
    <w:lvl w:ilvl="7" w:tplc="30C2E8FC">
      <w:start w:val="1"/>
      <w:numFmt w:val="bullet"/>
      <w:lvlText w:val="o"/>
      <w:lvlJc w:val="left"/>
      <w:pPr>
        <w:ind w:left="5760" w:hanging="360"/>
      </w:pPr>
      <w:rPr>
        <w:rFonts w:ascii="Courier New" w:hAnsi="Courier New" w:hint="default"/>
      </w:rPr>
    </w:lvl>
    <w:lvl w:ilvl="8" w:tplc="A0A2DCF0">
      <w:start w:val="1"/>
      <w:numFmt w:val="bullet"/>
      <w:lvlText w:val=""/>
      <w:lvlJc w:val="left"/>
      <w:pPr>
        <w:ind w:left="6480" w:hanging="360"/>
      </w:pPr>
      <w:rPr>
        <w:rFonts w:ascii="Wingdings" w:hAnsi="Wingdings" w:hint="default"/>
      </w:rPr>
    </w:lvl>
  </w:abstractNum>
  <w:abstractNum w:abstractNumId="10" w15:restartNumberingAfterBreak="0">
    <w:nsid w:val="6A249B16"/>
    <w:multiLevelType w:val="hybridMultilevel"/>
    <w:tmpl w:val="FFFFFFFF"/>
    <w:lvl w:ilvl="0" w:tplc="9FA4E16C">
      <w:start w:val="1"/>
      <w:numFmt w:val="bullet"/>
      <w:lvlText w:val=""/>
      <w:lvlJc w:val="left"/>
      <w:pPr>
        <w:ind w:left="720" w:hanging="360"/>
      </w:pPr>
      <w:rPr>
        <w:rFonts w:ascii="Symbol" w:hAnsi="Symbol" w:hint="default"/>
      </w:rPr>
    </w:lvl>
    <w:lvl w:ilvl="1" w:tplc="A498E2BE">
      <w:start w:val="1"/>
      <w:numFmt w:val="bullet"/>
      <w:lvlText w:val="o"/>
      <w:lvlJc w:val="left"/>
      <w:pPr>
        <w:ind w:left="1440" w:hanging="360"/>
      </w:pPr>
      <w:rPr>
        <w:rFonts w:ascii="Courier New" w:hAnsi="Courier New" w:hint="default"/>
      </w:rPr>
    </w:lvl>
    <w:lvl w:ilvl="2" w:tplc="204C52EC">
      <w:start w:val="1"/>
      <w:numFmt w:val="bullet"/>
      <w:lvlText w:val=""/>
      <w:lvlJc w:val="left"/>
      <w:pPr>
        <w:ind w:left="2160" w:hanging="360"/>
      </w:pPr>
      <w:rPr>
        <w:rFonts w:ascii="Wingdings" w:hAnsi="Wingdings" w:hint="default"/>
      </w:rPr>
    </w:lvl>
    <w:lvl w:ilvl="3" w:tplc="ABBCFA1C">
      <w:start w:val="1"/>
      <w:numFmt w:val="bullet"/>
      <w:lvlText w:val=""/>
      <w:lvlJc w:val="left"/>
      <w:pPr>
        <w:ind w:left="2880" w:hanging="360"/>
      </w:pPr>
      <w:rPr>
        <w:rFonts w:ascii="Symbol" w:hAnsi="Symbol" w:hint="default"/>
      </w:rPr>
    </w:lvl>
    <w:lvl w:ilvl="4" w:tplc="906E2DE0">
      <w:start w:val="1"/>
      <w:numFmt w:val="bullet"/>
      <w:lvlText w:val="o"/>
      <w:lvlJc w:val="left"/>
      <w:pPr>
        <w:ind w:left="3600" w:hanging="360"/>
      </w:pPr>
      <w:rPr>
        <w:rFonts w:ascii="Courier New" w:hAnsi="Courier New" w:hint="default"/>
      </w:rPr>
    </w:lvl>
    <w:lvl w:ilvl="5" w:tplc="31CE227A">
      <w:start w:val="1"/>
      <w:numFmt w:val="bullet"/>
      <w:lvlText w:val=""/>
      <w:lvlJc w:val="left"/>
      <w:pPr>
        <w:ind w:left="4320" w:hanging="360"/>
      </w:pPr>
      <w:rPr>
        <w:rFonts w:ascii="Wingdings" w:hAnsi="Wingdings" w:hint="default"/>
      </w:rPr>
    </w:lvl>
    <w:lvl w:ilvl="6" w:tplc="00F413BE">
      <w:start w:val="1"/>
      <w:numFmt w:val="bullet"/>
      <w:lvlText w:val=""/>
      <w:lvlJc w:val="left"/>
      <w:pPr>
        <w:ind w:left="5040" w:hanging="360"/>
      </w:pPr>
      <w:rPr>
        <w:rFonts w:ascii="Symbol" w:hAnsi="Symbol" w:hint="default"/>
      </w:rPr>
    </w:lvl>
    <w:lvl w:ilvl="7" w:tplc="D2E077FE">
      <w:start w:val="1"/>
      <w:numFmt w:val="bullet"/>
      <w:lvlText w:val="o"/>
      <w:lvlJc w:val="left"/>
      <w:pPr>
        <w:ind w:left="5760" w:hanging="360"/>
      </w:pPr>
      <w:rPr>
        <w:rFonts w:ascii="Courier New" w:hAnsi="Courier New" w:hint="default"/>
      </w:rPr>
    </w:lvl>
    <w:lvl w:ilvl="8" w:tplc="D898F7F4">
      <w:start w:val="1"/>
      <w:numFmt w:val="bullet"/>
      <w:lvlText w:val=""/>
      <w:lvlJc w:val="left"/>
      <w:pPr>
        <w:ind w:left="6480" w:hanging="360"/>
      </w:pPr>
      <w:rPr>
        <w:rFonts w:ascii="Wingdings" w:hAnsi="Wingdings" w:hint="default"/>
      </w:rPr>
    </w:lvl>
  </w:abstractNum>
  <w:abstractNum w:abstractNumId="11" w15:restartNumberingAfterBreak="0">
    <w:nsid w:val="739AF75D"/>
    <w:multiLevelType w:val="hybridMultilevel"/>
    <w:tmpl w:val="FFFFFFFF"/>
    <w:lvl w:ilvl="0" w:tplc="BD12DB9C">
      <w:start w:val="1"/>
      <w:numFmt w:val="bullet"/>
      <w:lvlText w:val=""/>
      <w:lvlJc w:val="left"/>
      <w:pPr>
        <w:ind w:left="720" w:hanging="360"/>
      </w:pPr>
      <w:rPr>
        <w:rFonts w:ascii="Symbol" w:hAnsi="Symbol" w:hint="default"/>
      </w:rPr>
    </w:lvl>
    <w:lvl w:ilvl="1" w:tplc="8F0EA3AC">
      <w:start w:val="1"/>
      <w:numFmt w:val="bullet"/>
      <w:lvlText w:val="o"/>
      <w:lvlJc w:val="left"/>
      <w:pPr>
        <w:ind w:left="1440" w:hanging="360"/>
      </w:pPr>
      <w:rPr>
        <w:rFonts w:ascii="Courier New" w:hAnsi="Courier New" w:hint="default"/>
      </w:rPr>
    </w:lvl>
    <w:lvl w:ilvl="2" w:tplc="95EE48FC">
      <w:start w:val="1"/>
      <w:numFmt w:val="bullet"/>
      <w:lvlText w:val=""/>
      <w:lvlJc w:val="left"/>
      <w:pPr>
        <w:ind w:left="2160" w:hanging="360"/>
      </w:pPr>
      <w:rPr>
        <w:rFonts w:ascii="Wingdings" w:hAnsi="Wingdings" w:hint="default"/>
      </w:rPr>
    </w:lvl>
    <w:lvl w:ilvl="3" w:tplc="38D46988">
      <w:start w:val="1"/>
      <w:numFmt w:val="bullet"/>
      <w:lvlText w:val=""/>
      <w:lvlJc w:val="left"/>
      <w:pPr>
        <w:ind w:left="2880" w:hanging="360"/>
      </w:pPr>
      <w:rPr>
        <w:rFonts w:ascii="Symbol" w:hAnsi="Symbol" w:hint="default"/>
      </w:rPr>
    </w:lvl>
    <w:lvl w:ilvl="4" w:tplc="05D0390C">
      <w:start w:val="1"/>
      <w:numFmt w:val="bullet"/>
      <w:lvlText w:val="o"/>
      <w:lvlJc w:val="left"/>
      <w:pPr>
        <w:ind w:left="3600" w:hanging="360"/>
      </w:pPr>
      <w:rPr>
        <w:rFonts w:ascii="Courier New" w:hAnsi="Courier New" w:hint="default"/>
      </w:rPr>
    </w:lvl>
    <w:lvl w:ilvl="5" w:tplc="0A548A46">
      <w:start w:val="1"/>
      <w:numFmt w:val="bullet"/>
      <w:lvlText w:val=""/>
      <w:lvlJc w:val="left"/>
      <w:pPr>
        <w:ind w:left="4320" w:hanging="360"/>
      </w:pPr>
      <w:rPr>
        <w:rFonts w:ascii="Wingdings" w:hAnsi="Wingdings" w:hint="default"/>
      </w:rPr>
    </w:lvl>
    <w:lvl w:ilvl="6" w:tplc="14B0F090">
      <w:start w:val="1"/>
      <w:numFmt w:val="bullet"/>
      <w:lvlText w:val=""/>
      <w:lvlJc w:val="left"/>
      <w:pPr>
        <w:ind w:left="5040" w:hanging="360"/>
      </w:pPr>
      <w:rPr>
        <w:rFonts w:ascii="Symbol" w:hAnsi="Symbol" w:hint="default"/>
      </w:rPr>
    </w:lvl>
    <w:lvl w:ilvl="7" w:tplc="6694BF5A">
      <w:start w:val="1"/>
      <w:numFmt w:val="bullet"/>
      <w:lvlText w:val="o"/>
      <w:lvlJc w:val="left"/>
      <w:pPr>
        <w:ind w:left="5760" w:hanging="360"/>
      </w:pPr>
      <w:rPr>
        <w:rFonts w:ascii="Courier New" w:hAnsi="Courier New" w:hint="default"/>
      </w:rPr>
    </w:lvl>
    <w:lvl w:ilvl="8" w:tplc="862CD554">
      <w:start w:val="1"/>
      <w:numFmt w:val="bullet"/>
      <w:lvlText w:val=""/>
      <w:lvlJc w:val="left"/>
      <w:pPr>
        <w:ind w:left="6480" w:hanging="360"/>
      </w:pPr>
      <w:rPr>
        <w:rFonts w:ascii="Wingdings" w:hAnsi="Wingdings" w:hint="default"/>
      </w:rPr>
    </w:lvl>
  </w:abstractNum>
  <w:abstractNum w:abstractNumId="12" w15:restartNumberingAfterBreak="0">
    <w:nsid w:val="7A217567"/>
    <w:multiLevelType w:val="hybridMultilevel"/>
    <w:tmpl w:val="FFFFFFFF"/>
    <w:lvl w:ilvl="0" w:tplc="EB607F32">
      <w:start w:val="1"/>
      <w:numFmt w:val="bullet"/>
      <w:lvlText w:val=""/>
      <w:lvlJc w:val="left"/>
      <w:pPr>
        <w:ind w:left="720" w:hanging="360"/>
      </w:pPr>
      <w:rPr>
        <w:rFonts w:ascii="Symbol" w:hAnsi="Symbol" w:hint="default"/>
      </w:rPr>
    </w:lvl>
    <w:lvl w:ilvl="1" w:tplc="1ACAFC40">
      <w:start w:val="1"/>
      <w:numFmt w:val="bullet"/>
      <w:lvlText w:val="o"/>
      <w:lvlJc w:val="left"/>
      <w:pPr>
        <w:ind w:left="1440" w:hanging="360"/>
      </w:pPr>
      <w:rPr>
        <w:rFonts w:ascii="Courier New" w:hAnsi="Courier New" w:hint="default"/>
      </w:rPr>
    </w:lvl>
    <w:lvl w:ilvl="2" w:tplc="A64E779A">
      <w:start w:val="1"/>
      <w:numFmt w:val="bullet"/>
      <w:lvlText w:val=""/>
      <w:lvlJc w:val="left"/>
      <w:pPr>
        <w:ind w:left="2160" w:hanging="360"/>
      </w:pPr>
      <w:rPr>
        <w:rFonts w:ascii="Wingdings" w:hAnsi="Wingdings" w:hint="default"/>
      </w:rPr>
    </w:lvl>
    <w:lvl w:ilvl="3" w:tplc="E8A49736">
      <w:start w:val="1"/>
      <w:numFmt w:val="bullet"/>
      <w:lvlText w:val=""/>
      <w:lvlJc w:val="left"/>
      <w:pPr>
        <w:ind w:left="2880" w:hanging="360"/>
      </w:pPr>
      <w:rPr>
        <w:rFonts w:ascii="Symbol" w:hAnsi="Symbol" w:hint="default"/>
      </w:rPr>
    </w:lvl>
    <w:lvl w:ilvl="4" w:tplc="751AD0EE">
      <w:start w:val="1"/>
      <w:numFmt w:val="bullet"/>
      <w:lvlText w:val="o"/>
      <w:lvlJc w:val="left"/>
      <w:pPr>
        <w:ind w:left="3600" w:hanging="360"/>
      </w:pPr>
      <w:rPr>
        <w:rFonts w:ascii="Courier New" w:hAnsi="Courier New" w:hint="default"/>
      </w:rPr>
    </w:lvl>
    <w:lvl w:ilvl="5" w:tplc="DA4AD05C">
      <w:start w:val="1"/>
      <w:numFmt w:val="bullet"/>
      <w:lvlText w:val=""/>
      <w:lvlJc w:val="left"/>
      <w:pPr>
        <w:ind w:left="4320" w:hanging="360"/>
      </w:pPr>
      <w:rPr>
        <w:rFonts w:ascii="Wingdings" w:hAnsi="Wingdings" w:hint="default"/>
      </w:rPr>
    </w:lvl>
    <w:lvl w:ilvl="6" w:tplc="0D28FC8C">
      <w:start w:val="1"/>
      <w:numFmt w:val="bullet"/>
      <w:lvlText w:val=""/>
      <w:lvlJc w:val="left"/>
      <w:pPr>
        <w:ind w:left="5040" w:hanging="360"/>
      </w:pPr>
      <w:rPr>
        <w:rFonts w:ascii="Symbol" w:hAnsi="Symbol" w:hint="default"/>
      </w:rPr>
    </w:lvl>
    <w:lvl w:ilvl="7" w:tplc="0D40D392">
      <w:start w:val="1"/>
      <w:numFmt w:val="bullet"/>
      <w:lvlText w:val="o"/>
      <w:lvlJc w:val="left"/>
      <w:pPr>
        <w:ind w:left="5760" w:hanging="360"/>
      </w:pPr>
      <w:rPr>
        <w:rFonts w:ascii="Courier New" w:hAnsi="Courier New" w:hint="default"/>
      </w:rPr>
    </w:lvl>
    <w:lvl w:ilvl="8" w:tplc="10643DE0">
      <w:start w:val="1"/>
      <w:numFmt w:val="bullet"/>
      <w:lvlText w:val=""/>
      <w:lvlJc w:val="left"/>
      <w:pPr>
        <w:ind w:left="6480" w:hanging="360"/>
      </w:pPr>
      <w:rPr>
        <w:rFonts w:ascii="Wingdings" w:hAnsi="Wingdings" w:hint="default"/>
      </w:rPr>
    </w:lvl>
  </w:abstractNum>
  <w:num w:numId="1" w16cid:durableId="1328708529">
    <w:abstractNumId w:val="12"/>
  </w:num>
  <w:num w:numId="2" w16cid:durableId="592326472">
    <w:abstractNumId w:val="9"/>
  </w:num>
  <w:num w:numId="3" w16cid:durableId="403988671">
    <w:abstractNumId w:val="11"/>
  </w:num>
  <w:num w:numId="4" w16cid:durableId="1351224120">
    <w:abstractNumId w:val="10"/>
  </w:num>
  <w:num w:numId="5" w16cid:durableId="1665233442">
    <w:abstractNumId w:val="4"/>
  </w:num>
  <w:num w:numId="6" w16cid:durableId="2128621557">
    <w:abstractNumId w:val="0"/>
  </w:num>
  <w:num w:numId="7" w16cid:durableId="227226989">
    <w:abstractNumId w:val="3"/>
  </w:num>
  <w:num w:numId="8" w16cid:durableId="1607692663">
    <w:abstractNumId w:val="8"/>
  </w:num>
  <w:num w:numId="9" w16cid:durableId="1984235155">
    <w:abstractNumId w:val="5"/>
  </w:num>
  <w:num w:numId="10" w16cid:durableId="89662141">
    <w:abstractNumId w:val="6"/>
  </w:num>
  <w:num w:numId="11" w16cid:durableId="1240360790">
    <w:abstractNumId w:val="7"/>
  </w:num>
  <w:num w:numId="12" w16cid:durableId="2055806499">
    <w:abstractNumId w:val="2"/>
  </w:num>
  <w:num w:numId="13" w16cid:durableId="78600425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81449"/>
    <w:rsid w:val="000D05D8"/>
    <w:rsid w:val="000D0641"/>
    <w:rsid w:val="000D2B00"/>
    <w:rsid w:val="00117A82"/>
    <w:rsid w:val="0012450B"/>
    <w:rsid w:val="001601E6"/>
    <w:rsid w:val="00163FA1"/>
    <w:rsid w:val="001B3B22"/>
    <w:rsid w:val="001C3AF6"/>
    <w:rsid w:val="001D1485"/>
    <w:rsid w:val="001D70E2"/>
    <w:rsid w:val="001F19A6"/>
    <w:rsid w:val="00211184"/>
    <w:rsid w:val="0021364B"/>
    <w:rsid w:val="00220FB8"/>
    <w:rsid w:val="00222E3F"/>
    <w:rsid w:val="002419E4"/>
    <w:rsid w:val="0025020C"/>
    <w:rsid w:val="00256951"/>
    <w:rsid w:val="00264967"/>
    <w:rsid w:val="0027049D"/>
    <w:rsid w:val="002865F5"/>
    <w:rsid w:val="00292A36"/>
    <w:rsid w:val="002A50D3"/>
    <w:rsid w:val="002A6BA9"/>
    <w:rsid w:val="002D64A3"/>
    <w:rsid w:val="002F18D1"/>
    <w:rsid w:val="002F5E53"/>
    <w:rsid w:val="00312A5A"/>
    <w:rsid w:val="003135AD"/>
    <w:rsid w:val="003816F4"/>
    <w:rsid w:val="00393F39"/>
    <w:rsid w:val="003A66FD"/>
    <w:rsid w:val="003B1E32"/>
    <w:rsid w:val="003F23A7"/>
    <w:rsid w:val="004404CC"/>
    <w:rsid w:val="00471B20"/>
    <w:rsid w:val="004A5F06"/>
    <w:rsid w:val="004D3B96"/>
    <w:rsid w:val="004D4021"/>
    <w:rsid w:val="004D78DD"/>
    <w:rsid w:val="004E7730"/>
    <w:rsid w:val="005119DE"/>
    <w:rsid w:val="005446BF"/>
    <w:rsid w:val="0055147E"/>
    <w:rsid w:val="00561508"/>
    <w:rsid w:val="00590C27"/>
    <w:rsid w:val="005B3EDE"/>
    <w:rsid w:val="005B6E67"/>
    <w:rsid w:val="005C5E80"/>
    <w:rsid w:val="005D7A1E"/>
    <w:rsid w:val="005E1650"/>
    <w:rsid w:val="005E21C3"/>
    <w:rsid w:val="00604A87"/>
    <w:rsid w:val="00621776"/>
    <w:rsid w:val="00621872"/>
    <w:rsid w:val="006243BB"/>
    <w:rsid w:val="00636D9A"/>
    <w:rsid w:val="00637904"/>
    <w:rsid w:val="006A3F0D"/>
    <w:rsid w:val="006A4515"/>
    <w:rsid w:val="006B24DF"/>
    <w:rsid w:val="006C78AA"/>
    <w:rsid w:val="006D2453"/>
    <w:rsid w:val="006E0D0B"/>
    <w:rsid w:val="006F04D4"/>
    <w:rsid w:val="006F4AB2"/>
    <w:rsid w:val="00701124"/>
    <w:rsid w:val="007063BA"/>
    <w:rsid w:val="00712BE0"/>
    <w:rsid w:val="00730C3C"/>
    <w:rsid w:val="0073280B"/>
    <w:rsid w:val="007464A3"/>
    <w:rsid w:val="00750B5B"/>
    <w:rsid w:val="00750E34"/>
    <w:rsid w:val="0077163A"/>
    <w:rsid w:val="00785752"/>
    <w:rsid w:val="007A59C8"/>
    <w:rsid w:val="007A712E"/>
    <w:rsid w:val="007B5433"/>
    <w:rsid w:val="007C246B"/>
    <w:rsid w:val="007C685B"/>
    <w:rsid w:val="007E60BD"/>
    <w:rsid w:val="007F7847"/>
    <w:rsid w:val="00804B94"/>
    <w:rsid w:val="00807B11"/>
    <w:rsid w:val="0082760D"/>
    <w:rsid w:val="00860A94"/>
    <w:rsid w:val="008749D8"/>
    <w:rsid w:val="00880B2D"/>
    <w:rsid w:val="00883AB0"/>
    <w:rsid w:val="00885444"/>
    <w:rsid w:val="00894108"/>
    <w:rsid w:val="00897A86"/>
    <w:rsid w:val="008A219C"/>
    <w:rsid w:val="008A6DB1"/>
    <w:rsid w:val="008B1DFA"/>
    <w:rsid w:val="008C38C3"/>
    <w:rsid w:val="008D6F0F"/>
    <w:rsid w:val="008E7B2E"/>
    <w:rsid w:val="00916814"/>
    <w:rsid w:val="00924B74"/>
    <w:rsid w:val="00960B7C"/>
    <w:rsid w:val="00980E9B"/>
    <w:rsid w:val="00995444"/>
    <w:rsid w:val="009974EC"/>
    <w:rsid w:val="009D06C5"/>
    <w:rsid w:val="009D534C"/>
    <w:rsid w:val="009D728C"/>
    <w:rsid w:val="009E5B14"/>
    <w:rsid w:val="00A210B2"/>
    <w:rsid w:val="00A320DB"/>
    <w:rsid w:val="00A90A7A"/>
    <w:rsid w:val="00AA437C"/>
    <w:rsid w:val="00AB78F0"/>
    <w:rsid w:val="00AF03E8"/>
    <w:rsid w:val="00AF5011"/>
    <w:rsid w:val="00B01396"/>
    <w:rsid w:val="00B0676C"/>
    <w:rsid w:val="00B2418B"/>
    <w:rsid w:val="00B26973"/>
    <w:rsid w:val="00B300E6"/>
    <w:rsid w:val="00B575E2"/>
    <w:rsid w:val="00B57930"/>
    <w:rsid w:val="00B7073C"/>
    <w:rsid w:val="00B77295"/>
    <w:rsid w:val="00B858A1"/>
    <w:rsid w:val="00B975C7"/>
    <w:rsid w:val="00BB65AC"/>
    <w:rsid w:val="00BD2909"/>
    <w:rsid w:val="00C17A49"/>
    <w:rsid w:val="00C91479"/>
    <w:rsid w:val="00C92BB3"/>
    <w:rsid w:val="00CB3AF6"/>
    <w:rsid w:val="00CB3C13"/>
    <w:rsid w:val="00CE3FD1"/>
    <w:rsid w:val="00CE620E"/>
    <w:rsid w:val="00CF1ED5"/>
    <w:rsid w:val="00D13A82"/>
    <w:rsid w:val="00D13DB7"/>
    <w:rsid w:val="00D6236F"/>
    <w:rsid w:val="00DB71AC"/>
    <w:rsid w:val="00DC00D1"/>
    <w:rsid w:val="00DD02A4"/>
    <w:rsid w:val="00DD1DB2"/>
    <w:rsid w:val="00DE1A02"/>
    <w:rsid w:val="00E05C6C"/>
    <w:rsid w:val="00E14FDC"/>
    <w:rsid w:val="00E157E1"/>
    <w:rsid w:val="00E15819"/>
    <w:rsid w:val="00E17AAB"/>
    <w:rsid w:val="00E2182C"/>
    <w:rsid w:val="00E325CF"/>
    <w:rsid w:val="00E3275C"/>
    <w:rsid w:val="00E40B0D"/>
    <w:rsid w:val="00E67221"/>
    <w:rsid w:val="00E71420"/>
    <w:rsid w:val="00E94DA0"/>
    <w:rsid w:val="00EA2AE0"/>
    <w:rsid w:val="00EA5CC3"/>
    <w:rsid w:val="00EE0410"/>
    <w:rsid w:val="00EF6341"/>
    <w:rsid w:val="00F0560A"/>
    <w:rsid w:val="00F11A42"/>
    <w:rsid w:val="00F158D7"/>
    <w:rsid w:val="00F20EE5"/>
    <w:rsid w:val="00F32F52"/>
    <w:rsid w:val="00F44833"/>
    <w:rsid w:val="00F544B0"/>
    <w:rsid w:val="00F67C87"/>
    <w:rsid w:val="00F84C23"/>
    <w:rsid w:val="00FD3DE0"/>
    <w:rsid w:val="00FD7729"/>
    <w:rsid w:val="00FD7C22"/>
    <w:rsid w:val="00FE5C58"/>
    <w:rsid w:val="020081FE"/>
    <w:rsid w:val="02337BDD"/>
    <w:rsid w:val="031D8BF6"/>
    <w:rsid w:val="03567E87"/>
    <w:rsid w:val="035696B1"/>
    <w:rsid w:val="03A975B8"/>
    <w:rsid w:val="04792118"/>
    <w:rsid w:val="05B4E6CF"/>
    <w:rsid w:val="05C0EF47"/>
    <w:rsid w:val="060C78A4"/>
    <w:rsid w:val="062F3491"/>
    <w:rsid w:val="0868A3DE"/>
    <w:rsid w:val="08F18520"/>
    <w:rsid w:val="090184E5"/>
    <w:rsid w:val="0952F3EE"/>
    <w:rsid w:val="09CC0C91"/>
    <w:rsid w:val="09F1F728"/>
    <w:rsid w:val="0A4B8C3B"/>
    <w:rsid w:val="0AED1B03"/>
    <w:rsid w:val="0B9B3F42"/>
    <w:rsid w:val="0C79F544"/>
    <w:rsid w:val="0C8A1F7C"/>
    <w:rsid w:val="0CFFB609"/>
    <w:rsid w:val="0DABD65F"/>
    <w:rsid w:val="0E1D59A8"/>
    <w:rsid w:val="0E4BDD18"/>
    <w:rsid w:val="0E55EBC6"/>
    <w:rsid w:val="0E59FDF6"/>
    <w:rsid w:val="0EB08ABF"/>
    <w:rsid w:val="0F70C7DD"/>
    <w:rsid w:val="0FB476A3"/>
    <w:rsid w:val="0FD776ED"/>
    <w:rsid w:val="0FFE58D0"/>
    <w:rsid w:val="10128FEA"/>
    <w:rsid w:val="102572A4"/>
    <w:rsid w:val="11CAEF2A"/>
    <w:rsid w:val="131DC7FE"/>
    <w:rsid w:val="133C8AF1"/>
    <w:rsid w:val="153AD7D5"/>
    <w:rsid w:val="1569783A"/>
    <w:rsid w:val="15CE45D6"/>
    <w:rsid w:val="160F95F1"/>
    <w:rsid w:val="162748F8"/>
    <w:rsid w:val="1628C380"/>
    <w:rsid w:val="1739CF42"/>
    <w:rsid w:val="189E0E26"/>
    <w:rsid w:val="18D1565D"/>
    <w:rsid w:val="1959D7B2"/>
    <w:rsid w:val="1B852120"/>
    <w:rsid w:val="1DB9FB3C"/>
    <w:rsid w:val="1E155B9A"/>
    <w:rsid w:val="1E3EE54B"/>
    <w:rsid w:val="1F436DE7"/>
    <w:rsid w:val="1F6A3CCD"/>
    <w:rsid w:val="200D4CF0"/>
    <w:rsid w:val="20C9F860"/>
    <w:rsid w:val="22ABFE9E"/>
    <w:rsid w:val="22F89F5B"/>
    <w:rsid w:val="231A6ECF"/>
    <w:rsid w:val="2337D6A9"/>
    <w:rsid w:val="25732C55"/>
    <w:rsid w:val="26257E2D"/>
    <w:rsid w:val="2626AF35"/>
    <w:rsid w:val="267643E4"/>
    <w:rsid w:val="267F1AC5"/>
    <w:rsid w:val="276AC10E"/>
    <w:rsid w:val="28A1E45F"/>
    <w:rsid w:val="293F1E49"/>
    <w:rsid w:val="2AB99D67"/>
    <w:rsid w:val="2BEE8F18"/>
    <w:rsid w:val="2C1F3459"/>
    <w:rsid w:val="2C30E1B0"/>
    <w:rsid w:val="2CC4772F"/>
    <w:rsid w:val="2E5AC14C"/>
    <w:rsid w:val="32A69E0D"/>
    <w:rsid w:val="33314420"/>
    <w:rsid w:val="33A50D7B"/>
    <w:rsid w:val="35821FAC"/>
    <w:rsid w:val="35C3688D"/>
    <w:rsid w:val="35CA0250"/>
    <w:rsid w:val="37D0AC62"/>
    <w:rsid w:val="38AF1273"/>
    <w:rsid w:val="38D0C180"/>
    <w:rsid w:val="393020AF"/>
    <w:rsid w:val="394BC5FC"/>
    <w:rsid w:val="3A132817"/>
    <w:rsid w:val="3A5A6FB6"/>
    <w:rsid w:val="3AD75B52"/>
    <w:rsid w:val="3BA78AB7"/>
    <w:rsid w:val="3CDCB915"/>
    <w:rsid w:val="3D7FA946"/>
    <w:rsid w:val="3EE66E36"/>
    <w:rsid w:val="3F25E287"/>
    <w:rsid w:val="3F585E05"/>
    <w:rsid w:val="416B8F8B"/>
    <w:rsid w:val="424AFF45"/>
    <w:rsid w:val="4267F014"/>
    <w:rsid w:val="42E85F2A"/>
    <w:rsid w:val="4384D2C7"/>
    <w:rsid w:val="43F4E925"/>
    <w:rsid w:val="4597224F"/>
    <w:rsid w:val="45E63856"/>
    <w:rsid w:val="466A9FE1"/>
    <w:rsid w:val="47406F37"/>
    <w:rsid w:val="4743CA2F"/>
    <w:rsid w:val="47746CCF"/>
    <w:rsid w:val="4B332B1E"/>
    <w:rsid w:val="4B35673F"/>
    <w:rsid w:val="4BFAF488"/>
    <w:rsid w:val="4E193BC5"/>
    <w:rsid w:val="4E7A6829"/>
    <w:rsid w:val="50D78AEC"/>
    <w:rsid w:val="524EEAAC"/>
    <w:rsid w:val="5303CD1F"/>
    <w:rsid w:val="547DBEA9"/>
    <w:rsid w:val="548B7FCE"/>
    <w:rsid w:val="54B728BE"/>
    <w:rsid w:val="5514527E"/>
    <w:rsid w:val="551C2E89"/>
    <w:rsid w:val="5538AC0A"/>
    <w:rsid w:val="5681EA6C"/>
    <w:rsid w:val="58BA14D5"/>
    <w:rsid w:val="58D785CC"/>
    <w:rsid w:val="5ABCC58C"/>
    <w:rsid w:val="5B292EF3"/>
    <w:rsid w:val="5B767CC8"/>
    <w:rsid w:val="5C9F8657"/>
    <w:rsid w:val="5D737589"/>
    <w:rsid w:val="5DBF9F8B"/>
    <w:rsid w:val="5E35E5AA"/>
    <w:rsid w:val="5EFB2A61"/>
    <w:rsid w:val="60FFBB2A"/>
    <w:rsid w:val="61004475"/>
    <w:rsid w:val="612069C7"/>
    <w:rsid w:val="619EFEB3"/>
    <w:rsid w:val="6225ACE3"/>
    <w:rsid w:val="6375D80A"/>
    <w:rsid w:val="63DAB87F"/>
    <w:rsid w:val="6442036E"/>
    <w:rsid w:val="6588082A"/>
    <w:rsid w:val="65CEBD60"/>
    <w:rsid w:val="66ED4B54"/>
    <w:rsid w:val="67434FF6"/>
    <w:rsid w:val="680863FC"/>
    <w:rsid w:val="696B91D2"/>
    <w:rsid w:val="697D9A0B"/>
    <w:rsid w:val="6AEE324A"/>
    <w:rsid w:val="6AFA3C34"/>
    <w:rsid w:val="6B01C35B"/>
    <w:rsid w:val="6EC10A98"/>
    <w:rsid w:val="6F31CF10"/>
    <w:rsid w:val="6F7B8E2E"/>
    <w:rsid w:val="6FD2F7C9"/>
    <w:rsid w:val="7014DB67"/>
    <w:rsid w:val="7054DAB0"/>
    <w:rsid w:val="7071B6D7"/>
    <w:rsid w:val="707292B1"/>
    <w:rsid w:val="70902BA6"/>
    <w:rsid w:val="7098242A"/>
    <w:rsid w:val="709FAFC4"/>
    <w:rsid w:val="70A5596F"/>
    <w:rsid w:val="7121BD03"/>
    <w:rsid w:val="720B1C4C"/>
    <w:rsid w:val="723118D9"/>
    <w:rsid w:val="727732F5"/>
    <w:rsid w:val="73137799"/>
    <w:rsid w:val="74B34423"/>
    <w:rsid w:val="74D82CE4"/>
    <w:rsid w:val="7513581A"/>
    <w:rsid w:val="762610D8"/>
    <w:rsid w:val="7712085C"/>
    <w:rsid w:val="778A66E0"/>
    <w:rsid w:val="779AA4FA"/>
    <w:rsid w:val="77F7174F"/>
    <w:rsid w:val="789A51EB"/>
    <w:rsid w:val="79241E7B"/>
    <w:rsid w:val="79282FD8"/>
    <w:rsid w:val="79AEE178"/>
    <w:rsid w:val="7A4BD1EE"/>
    <w:rsid w:val="7A89690A"/>
    <w:rsid w:val="7AC2A85E"/>
    <w:rsid w:val="7D08271D"/>
    <w:rsid w:val="7D545B86"/>
    <w:rsid w:val="7D5AD7B6"/>
    <w:rsid w:val="7E694548"/>
    <w:rsid w:val="7EAA9D67"/>
    <w:rsid w:val="7EE9FC33"/>
    <w:rsid w:val="7F9D6BAA"/>
    <w:rsid w:val="7FC588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4362CD17-A11F-49AD-B1E9-65F429B1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utism.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6d23c2ef69922b733c44931301790b8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6213616fd33b07c68c4c0fe7953e06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372D71-54A0-40C2-ADE4-3B61CA85F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336678-C3E5-4E49-AC22-2AE36ED3635C}">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4.xml><?xml version="1.0" encoding="utf-8"?>
<ds:datastoreItem xmlns:ds="http://schemas.openxmlformats.org/officeDocument/2006/customXml" ds:itemID="{C0DF66C1-EF5B-4ED1-965A-1531FE4452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11535</Words>
  <Characters>65751</Characters>
  <Application>Microsoft Office Word</Application>
  <DocSecurity>4</DocSecurity>
  <Lines>547</Lines>
  <Paragraphs>154</Paragraphs>
  <ScaleCrop>false</ScaleCrop>
  <Company>University of Wales Trinity Saint David</Company>
  <LinksUpToDate>false</LinksUpToDate>
  <CharactersWithSpaces>77132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Ayesha Masood (2220784)</cp:lastModifiedBy>
  <cp:revision>19</cp:revision>
  <dcterms:created xsi:type="dcterms:W3CDTF">2025-11-21T19:44:00Z</dcterms:created>
  <dcterms:modified xsi:type="dcterms:W3CDTF">2025-11-24T08:06:00Z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