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370" w:rsidRDefault="00F32370" w:rsidP="003C14E3">
      <w:pPr>
        <w:widowControl w:val="0"/>
        <w:autoSpaceDE w:val="0"/>
        <w:autoSpaceDN w:val="0"/>
        <w:adjustRightInd w:val="0"/>
        <w:spacing w:line="280" w:lineRule="atLeast"/>
        <w:jc w:val="center"/>
        <w:rPr>
          <w:rFonts w:cs="Times"/>
          <w:u w:val="single"/>
          <w:lang w:val="en-US"/>
        </w:rPr>
      </w:pPr>
      <w:r>
        <w:rPr>
          <w:rFonts w:cs="Times"/>
          <w:u w:val="single"/>
          <w:lang w:val="en-US"/>
        </w:rPr>
        <w:t xml:space="preserve">Sam </w:t>
      </w:r>
      <w:proofErr w:type="spellStart"/>
      <w:r>
        <w:rPr>
          <w:rFonts w:cs="Times"/>
          <w:u w:val="single"/>
          <w:lang w:val="en-US"/>
        </w:rPr>
        <w:t>Gedrych</w:t>
      </w:r>
      <w:proofErr w:type="spellEnd"/>
      <w:r>
        <w:rPr>
          <w:rFonts w:cs="Times"/>
          <w:u w:val="single"/>
          <w:lang w:val="en-US"/>
        </w:rPr>
        <w:t>, 1600772.</w:t>
      </w:r>
    </w:p>
    <w:p w:rsidR="00F32370" w:rsidRDefault="00F32370" w:rsidP="003C14E3">
      <w:pPr>
        <w:widowControl w:val="0"/>
        <w:autoSpaceDE w:val="0"/>
        <w:autoSpaceDN w:val="0"/>
        <w:adjustRightInd w:val="0"/>
        <w:spacing w:line="280" w:lineRule="atLeast"/>
        <w:jc w:val="center"/>
        <w:rPr>
          <w:rFonts w:cs="Times"/>
          <w:u w:val="single"/>
          <w:lang w:val="en-US"/>
        </w:rPr>
      </w:pPr>
      <w:r>
        <w:rPr>
          <w:rFonts w:cs="Times"/>
          <w:u w:val="single"/>
          <w:lang w:val="en-US"/>
        </w:rPr>
        <w:t>Essay (question 3) for Methods and Approaches.</w:t>
      </w:r>
      <w:bookmarkStart w:id="0" w:name="_GoBack"/>
      <w:bookmarkEnd w:id="0"/>
    </w:p>
    <w:p w:rsidR="00F32370" w:rsidRDefault="00F32370">
      <w:pPr>
        <w:spacing w:after="200" w:line="276" w:lineRule="auto"/>
        <w:rPr>
          <w:rFonts w:cs="Times"/>
          <w:u w:val="single"/>
          <w:lang w:val="en-US"/>
        </w:rPr>
      </w:pPr>
      <w:r>
        <w:rPr>
          <w:rFonts w:cs="Times"/>
          <w:u w:val="single"/>
          <w:lang w:val="en-US"/>
        </w:rPr>
        <w:br w:type="page"/>
      </w:r>
    </w:p>
    <w:p w:rsidR="00F92D5B" w:rsidRDefault="003C14E3" w:rsidP="003C14E3">
      <w:pPr>
        <w:widowControl w:val="0"/>
        <w:autoSpaceDE w:val="0"/>
        <w:autoSpaceDN w:val="0"/>
        <w:adjustRightInd w:val="0"/>
        <w:spacing w:line="280" w:lineRule="atLeast"/>
        <w:jc w:val="center"/>
        <w:rPr>
          <w:rFonts w:cs="Times"/>
          <w:u w:val="single"/>
          <w:lang w:val="en-US"/>
        </w:rPr>
      </w:pPr>
      <w:r w:rsidRPr="003C14E3">
        <w:rPr>
          <w:rFonts w:cs="Times"/>
          <w:u w:val="single"/>
          <w:lang w:val="en-US"/>
        </w:rPr>
        <w:lastRenderedPageBreak/>
        <w:t>Discuss the representation of disability (physical or mental) in either Greek or Roman literature and art.</w:t>
      </w:r>
    </w:p>
    <w:p w:rsidR="003C14E3" w:rsidRDefault="003C14E3" w:rsidP="003C14E3">
      <w:pPr>
        <w:widowControl w:val="0"/>
        <w:autoSpaceDE w:val="0"/>
        <w:autoSpaceDN w:val="0"/>
        <w:adjustRightInd w:val="0"/>
        <w:spacing w:line="280" w:lineRule="atLeast"/>
        <w:jc w:val="center"/>
        <w:rPr>
          <w:rFonts w:cs="Times"/>
          <w:u w:val="single"/>
          <w:lang w:val="en-US"/>
        </w:rPr>
      </w:pPr>
    </w:p>
    <w:p w:rsidR="003C14E3" w:rsidRDefault="00425FA9" w:rsidP="003C14E3">
      <w:pPr>
        <w:widowControl w:val="0"/>
        <w:autoSpaceDE w:val="0"/>
        <w:autoSpaceDN w:val="0"/>
        <w:adjustRightInd w:val="0"/>
        <w:spacing w:line="280" w:lineRule="atLeast"/>
        <w:rPr>
          <w:rFonts w:cs="Times"/>
          <w:lang w:val="en-US"/>
        </w:rPr>
      </w:pPr>
      <w:r>
        <w:rPr>
          <w:rFonts w:cs="Times"/>
          <w:lang w:val="en-US"/>
        </w:rPr>
        <w:t>From Homer to Virgil there have been many literary characters representing the disabled community</w:t>
      </w:r>
      <w:r w:rsidR="00235005">
        <w:rPr>
          <w:rFonts w:cs="Times"/>
          <w:lang w:val="en-US"/>
        </w:rPr>
        <w:t>, combined with a rich array of artwork on pottery it is clear that disability was a topic that many Greeks in antiquity were fascinated by. As such I shall be exploring some key examples of these depictions, both literary and artistic, to demonstrate the Classical Greek understanding of disability and the role in society that handicapped people could have held.</w:t>
      </w:r>
    </w:p>
    <w:p w:rsidR="00235005" w:rsidRDefault="00235005" w:rsidP="003C14E3">
      <w:pPr>
        <w:widowControl w:val="0"/>
        <w:autoSpaceDE w:val="0"/>
        <w:autoSpaceDN w:val="0"/>
        <w:adjustRightInd w:val="0"/>
        <w:spacing w:line="280" w:lineRule="atLeast"/>
        <w:rPr>
          <w:color w:val="2A2A2A"/>
          <w:shd w:val="clear" w:color="auto" w:fill="FFFFFF"/>
        </w:rPr>
      </w:pPr>
      <w:r>
        <w:rPr>
          <w:rFonts w:cs="Times"/>
          <w:lang w:val="en-US"/>
        </w:rPr>
        <w:t xml:space="preserve">When engaging on a topic as timeless and universal as disability it becomes important to make the distinction between what we may now consider disability and </w:t>
      </w:r>
      <w:r w:rsidR="000459A4">
        <w:rPr>
          <w:rFonts w:cs="Times"/>
          <w:lang w:val="en-US"/>
        </w:rPr>
        <w:t>its historical meaning</w:t>
      </w:r>
      <w:r w:rsidR="000459A4">
        <w:rPr>
          <w:rStyle w:val="FootnoteReference"/>
          <w:rFonts w:cs="Times"/>
          <w:lang w:val="en-US"/>
        </w:rPr>
        <w:footnoteReference w:id="1"/>
      </w:r>
      <w:r w:rsidR="000459A4">
        <w:rPr>
          <w:rFonts w:cs="Times"/>
          <w:lang w:val="en-US"/>
        </w:rPr>
        <w:t>. The Oxford dictionary defines disability as: “</w:t>
      </w:r>
      <w:r w:rsidR="000459A4" w:rsidRPr="000459A4">
        <w:rPr>
          <w:i/>
          <w:color w:val="2A2A2A"/>
          <w:shd w:val="clear" w:color="auto" w:fill="FFFFFF"/>
        </w:rPr>
        <w:t>A physical or mental condition that limits a person's movements, senses, or activities.</w:t>
      </w:r>
      <w:r w:rsidR="000459A4">
        <w:rPr>
          <w:i/>
          <w:color w:val="2A2A2A"/>
          <w:shd w:val="clear" w:color="auto" w:fill="FFFFFF"/>
        </w:rPr>
        <w:t>”</w:t>
      </w:r>
      <w:r w:rsidR="00791FA9">
        <w:rPr>
          <w:rStyle w:val="FootnoteReference"/>
          <w:i/>
          <w:color w:val="2A2A2A"/>
          <w:shd w:val="clear" w:color="auto" w:fill="FFFFFF"/>
        </w:rPr>
        <w:footnoteReference w:id="2"/>
      </w:r>
      <w:r w:rsidR="00791FA9">
        <w:rPr>
          <w:color w:val="2A2A2A"/>
          <w:shd w:val="clear" w:color="auto" w:fill="FFFFFF"/>
        </w:rPr>
        <w:t xml:space="preserve"> This view represents the medical model of disability and</w:t>
      </w:r>
      <w:r w:rsidR="003F29DB">
        <w:rPr>
          <w:color w:val="2A2A2A"/>
          <w:shd w:val="clear" w:color="auto" w:fill="FFFFFF"/>
        </w:rPr>
        <w:t xml:space="preserve"> reflects the modern stance on disability by automatically classifying anyone with a physical disability as ‘disabled’. This model cannot be used when discussing the ancient Greek world as they had no fixed definition of physical disability</w:t>
      </w:r>
      <w:r w:rsidR="003F29DB">
        <w:rPr>
          <w:rStyle w:val="FootnoteReference"/>
          <w:color w:val="2A2A2A"/>
          <w:shd w:val="clear" w:color="auto" w:fill="FFFFFF"/>
        </w:rPr>
        <w:footnoteReference w:id="3"/>
      </w:r>
      <w:r w:rsidR="003F29DB">
        <w:rPr>
          <w:color w:val="2A2A2A"/>
          <w:shd w:val="clear" w:color="auto" w:fill="FFFFFF"/>
        </w:rPr>
        <w:t xml:space="preserve"> instead, as Edwards argues, a community model must be utilised as it follows that one’s ability to perform one’s role within their own community defines them as either disabled or able-bodied</w:t>
      </w:r>
      <w:r w:rsidR="003F29DB">
        <w:rPr>
          <w:rStyle w:val="FootnoteReference"/>
          <w:color w:val="2A2A2A"/>
          <w:shd w:val="clear" w:color="auto" w:fill="FFFFFF"/>
        </w:rPr>
        <w:footnoteReference w:id="4"/>
      </w:r>
      <w:r w:rsidR="003F29DB">
        <w:rPr>
          <w:color w:val="2A2A2A"/>
          <w:shd w:val="clear" w:color="auto" w:fill="FFFFFF"/>
        </w:rPr>
        <w:t>.</w:t>
      </w:r>
      <w:r w:rsidR="00196376">
        <w:rPr>
          <w:color w:val="2A2A2A"/>
          <w:shd w:val="clear" w:color="auto" w:fill="FFFFFF"/>
        </w:rPr>
        <w:t xml:space="preserve"> One further point that must be made on the use of terminology on this topic is that due to the scarcity of material mentioning disabled people and the almost ubiquitous negative connotations that come with any such mention of such people </w:t>
      </w:r>
      <w:r w:rsidR="00AE436A">
        <w:rPr>
          <w:color w:val="2A2A2A"/>
          <w:shd w:val="clear" w:color="auto" w:fill="FFFFFF"/>
        </w:rPr>
        <w:t>I must alter my terminology on this subject as to make it more faithful to the Greek understanding, hence from here on in I shall replace ‘disability’ with both ‘handicapped’ and ‘impaired’</w:t>
      </w:r>
      <w:r w:rsidR="00AE436A">
        <w:rPr>
          <w:rStyle w:val="FootnoteReference"/>
          <w:color w:val="2A2A2A"/>
          <w:shd w:val="clear" w:color="auto" w:fill="FFFFFF"/>
        </w:rPr>
        <w:footnoteReference w:id="5"/>
      </w:r>
      <w:r w:rsidR="00AE436A">
        <w:rPr>
          <w:color w:val="2A2A2A"/>
          <w:shd w:val="clear" w:color="auto" w:fill="FFFFFF"/>
        </w:rPr>
        <w:t>.</w:t>
      </w:r>
      <w:r w:rsidR="002A7217">
        <w:rPr>
          <w:color w:val="2A2A2A"/>
          <w:shd w:val="clear" w:color="auto" w:fill="FFFFFF"/>
        </w:rPr>
        <w:t xml:space="preserve"> Additionally I must clarify early on that due to the lack of source material in general regarding the topic and the fact that the material which is available originates from many different locations across Greece and even spans centuries apart I must unfortunately be forced to use a broader language when describing, thus terms like ‘classical Greece’ shall have to replace more specific terminology.</w:t>
      </w:r>
    </w:p>
    <w:p w:rsidR="00AE436A" w:rsidRDefault="00AE436A" w:rsidP="003C14E3">
      <w:pPr>
        <w:widowControl w:val="0"/>
        <w:autoSpaceDE w:val="0"/>
        <w:autoSpaceDN w:val="0"/>
        <w:adjustRightInd w:val="0"/>
        <w:spacing w:line="280" w:lineRule="atLeast"/>
        <w:rPr>
          <w:rFonts w:cs="Times"/>
          <w:lang w:val="en-US"/>
        </w:rPr>
      </w:pPr>
    </w:p>
    <w:p w:rsidR="00882F77" w:rsidRDefault="00882F77" w:rsidP="003C14E3">
      <w:pPr>
        <w:widowControl w:val="0"/>
        <w:autoSpaceDE w:val="0"/>
        <w:autoSpaceDN w:val="0"/>
        <w:adjustRightInd w:val="0"/>
        <w:spacing w:line="280" w:lineRule="atLeast"/>
        <w:rPr>
          <w:rFonts w:cs="Times"/>
          <w:lang w:val="en-US"/>
        </w:rPr>
      </w:pPr>
      <w:r>
        <w:rPr>
          <w:rFonts w:cs="Times"/>
          <w:lang w:val="en-US"/>
        </w:rPr>
        <w:t xml:space="preserve">There are many characters within the Homeric corpus that display forms of impairment, be they blind, lame or even simple however there is none such character as striking and as nuanced as </w:t>
      </w:r>
      <w:r w:rsidR="00FC782D">
        <w:rPr>
          <w:rFonts w:cs="Times"/>
          <w:lang w:val="en-US"/>
        </w:rPr>
        <w:t xml:space="preserve">the god </w:t>
      </w:r>
      <w:r>
        <w:rPr>
          <w:rFonts w:cs="Times"/>
          <w:lang w:val="en-US"/>
        </w:rPr>
        <w:t xml:space="preserve">Hephaestus. Hephaestus is the only Olympian to display any form of </w:t>
      </w:r>
      <w:r w:rsidR="00FC782D">
        <w:rPr>
          <w:rFonts w:cs="Times"/>
          <w:lang w:val="en-US"/>
        </w:rPr>
        <w:t>physical deformity</w:t>
      </w:r>
      <w:r>
        <w:rPr>
          <w:rStyle w:val="FootnoteReference"/>
          <w:rFonts w:cs="Times"/>
          <w:lang w:val="en-US"/>
        </w:rPr>
        <w:footnoteReference w:id="6"/>
      </w:r>
      <w:r>
        <w:rPr>
          <w:rFonts w:cs="Times"/>
          <w:lang w:val="en-US"/>
        </w:rPr>
        <w:t xml:space="preserve"> and because of this he is an interesting character study, his status as a god also aids this topic because there is, somewhat</w:t>
      </w:r>
      <w:r w:rsidRPr="00FC782D">
        <w:rPr>
          <w:rFonts w:cs="Times"/>
          <w:lang w:val="en-US"/>
        </w:rPr>
        <w:t xml:space="preserve"> inevitably</w:t>
      </w:r>
      <w:r>
        <w:rPr>
          <w:rFonts w:cs="Times"/>
          <w:lang w:val="en-US"/>
        </w:rPr>
        <w:t>, a great range of source material regarding him. Both representations of Hephaestus from Homer give us a negative view of the Greeks attitude towards his condition, for his lameness at birth appears to justify an attempt at exposure</w:t>
      </w:r>
      <w:r>
        <w:rPr>
          <w:rStyle w:val="FootnoteReference"/>
          <w:rFonts w:cs="Times"/>
          <w:lang w:val="en-US"/>
        </w:rPr>
        <w:footnoteReference w:id="7"/>
      </w:r>
      <w:r>
        <w:rPr>
          <w:rFonts w:cs="Times"/>
          <w:lang w:val="en-US"/>
        </w:rPr>
        <w:t xml:space="preserve"> </w:t>
      </w:r>
      <w:r w:rsidR="00FC782D">
        <w:rPr>
          <w:rFonts w:cs="Times"/>
          <w:lang w:val="en-US"/>
        </w:rPr>
        <w:t xml:space="preserve">by his father Zeus </w:t>
      </w:r>
      <w:r>
        <w:rPr>
          <w:rFonts w:cs="Times"/>
          <w:lang w:val="en-US"/>
        </w:rPr>
        <w:t>and</w:t>
      </w:r>
      <w:r w:rsidR="00FC782D">
        <w:rPr>
          <w:rFonts w:cs="Times"/>
          <w:lang w:val="en-US"/>
        </w:rPr>
        <w:t xml:space="preserve"> then</w:t>
      </w:r>
      <w:r>
        <w:rPr>
          <w:rFonts w:cs="Times"/>
          <w:lang w:val="en-US"/>
        </w:rPr>
        <w:t xml:space="preserve"> in the </w:t>
      </w:r>
      <w:r>
        <w:rPr>
          <w:rFonts w:cs="Times"/>
          <w:i/>
          <w:lang w:val="en-US"/>
        </w:rPr>
        <w:t>Iliad</w:t>
      </w:r>
      <w:r>
        <w:rPr>
          <w:rFonts w:cs="Times"/>
          <w:lang w:val="en-US"/>
        </w:rPr>
        <w:t xml:space="preserve"> his survival in his diminished state provides much </w:t>
      </w:r>
      <w:r w:rsidR="00FC782D">
        <w:rPr>
          <w:rFonts w:cs="Times"/>
          <w:lang w:val="en-US"/>
        </w:rPr>
        <w:t>to ridicule from</w:t>
      </w:r>
      <w:r>
        <w:rPr>
          <w:rFonts w:cs="Times"/>
          <w:lang w:val="en-US"/>
        </w:rPr>
        <w:t xml:space="preserve"> the other Olympians</w:t>
      </w:r>
      <w:r>
        <w:rPr>
          <w:rStyle w:val="FootnoteReference"/>
          <w:rFonts w:cs="Times"/>
          <w:lang w:val="en-US"/>
        </w:rPr>
        <w:footnoteReference w:id="8"/>
      </w:r>
      <w:r w:rsidR="003D2DE5">
        <w:rPr>
          <w:rFonts w:cs="Times"/>
          <w:lang w:val="en-US"/>
        </w:rPr>
        <w:t xml:space="preserve">. This leads to the assumption that this kind of treatment would have been received by handicapped people in </w:t>
      </w:r>
      <w:r w:rsidR="003D2DE5">
        <w:rPr>
          <w:rFonts w:cs="Times"/>
          <w:lang w:val="en-US"/>
        </w:rPr>
        <w:lastRenderedPageBreak/>
        <w:t>Ancient Greece as the social norm, for if the Gods can be seen to be making fun of a cripple then why can’t mortals do the same? Furthermore Hephaestus’ condition as a cripple</w:t>
      </w:r>
      <w:r w:rsidR="001825A9">
        <w:rPr>
          <w:rStyle w:val="FootnoteReference"/>
          <w:rFonts w:cs="Times"/>
          <w:lang w:val="en-US"/>
        </w:rPr>
        <w:footnoteReference w:id="9"/>
      </w:r>
      <w:r w:rsidR="003D2DE5">
        <w:rPr>
          <w:rFonts w:cs="Times"/>
          <w:lang w:val="en-US"/>
        </w:rPr>
        <w:t xml:space="preserve"> can be seen as suffering as mortals do, </w:t>
      </w:r>
      <w:proofErr w:type="spellStart"/>
      <w:r w:rsidR="003D2DE5">
        <w:rPr>
          <w:rFonts w:cs="Times"/>
          <w:lang w:val="en-US"/>
        </w:rPr>
        <w:t>Rinon</w:t>
      </w:r>
      <w:proofErr w:type="spellEnd"/>
      <w:r w:rsidR="003D2DE5">
        <w:rPr>
          <w:rFonts w:cs="Times"/>
          <w:lang w:val="en-US"/>
        </w:rPr>
        <w:t xml:space="preserve"> argues that even his occupation of </w:t>
      </w:r>
      <w:proofErr w:type="spellStart"/>
      <w:r w:rsidR="003D2DE5">
        <w:rPr>
          <w:rFonts w:cs="Times"/>
          <w:lang w:val="en-US"/>
        </w:rPr>
        <w:t>smithing</w:t>
      </w:r>
      <w:proofErr w:type="spellEnd"/>
      <w:r w:rsidR="003D2DE5">
        <w:rPr>
          <w:rStyle w:val="FootnoteReference"/>
          <w:rFonts w:cs="Times"/>
          <w:lang w:val="en-US"/>
        </w:rPr>
        <w:footnoteReference w:id="10"/>
      </w:r>
      <w:r w:rsidR="003D2DE5">
        <w:rPr>
          <w:rFonts w:cs="Times"/>
          <w:lang w:val="en-US"/>
        </w:rPr>
        <w:t xml:space="preserve">, a craft involving a great deal of heavy </w:t>
      </w:r>
      <w:proofErr w:type="spellStart"/>
      <w:r w:rsidR="003D2DE5">
        <w:rPr>
          <w:rFonts w:cs="Times"/>
          <w:lang w:val="en-US"/>
        </w:rPr>
        <w:t>labour</w:t>
      </w:r>
      <w:proofErr w:type="spellEnd"/>
      <w:r w:rsidR="003D2DE5">
        <w:rPr>
          <w:rFonts w:cs="Times"/>
          <w:lang w:val="en-US"/>
        </w:rPr>
        <w:t xml:space="preserve"> </w:t>
      </w:r>
      <w:r w:rsidR="00FC782D">
        <w:rPr>
          <w:rFonts w:cs="Times"/>
          <w:lang w:val="en-US"/>
        </w:rPr>
        <w:t>is reflective of his handicap as compared to the other eleven Olympians pleasure-centric occupations</w:t>
      </w:r>
      <w:r w:rsidR="00FC782D">
        <w:rPr>
          <w:rStyle w:val="FootnoteReference"/>
          <w:rFonts w:cs="Times"/>
          <w:lang w:val="en-US"/>
        </w:rPr>
        <w:footnoteReference w:id="11"/>
      </w:r>
      <w:r w:rsidR="00FC782D">
        <w:rPr>
          <w:rFonts w:cs="Times"/>
          <w:lang w:val="en-US"/>
        </w:rPr>
        <w:t xml:space="preserve"> for whom mortal tragedy that runs through the human condition is simply unknown to them. </w:t>
      </w:r>
    </w:p>
    <w:p w:rsidR="00FC782D" w:rsidRDefault="00FC782D" w:rsidP="003C14E3">
      <w:pPr>
        <w:widowControl w:val="0"/>
        <w:autoSpaceDE w:val="0"/>
        <w:autoSpaceDN w:val="0"/>
        <w:adjustRightInd w:val="0"/>
        <w:spacing w:line="280" w:lineRule="atLeast"/>
        <w:rPr>
          <w:rFonts w:cs="Times"/>
          <w:lang w:val="en-US"/>
        </w:rPr>
      </w:pPr>
      <w:r>
        <w:rPr>
          <w:rFonts w:cs="Times"/>
          <w:lang w:val="en-US"/>
        </w:rPr>
        <w:t xml:space="preserve">The notion that an impaired person may devote themselves to one particular discipline </w:t>
      </w:r>
      <w:r w:rsidR="00961B45">
        <w:rPr>
          <w:rFonts w:cs="Times"/>
          <w:lang w:val="en-US"/>
        </w:rPr>
        <w:t xml:space="preserve">and go on to master it is a </w:t>
      </w:r>
      <w:r w:rsidR="00A94B17">
        <w:rPr>
          <w:rFonts w:cs="Times"/>
          <w:lang w:val="en-US"/>
        </w:rPr>
        <w:t>recurring</w:t>
      </w:r>
      <w:r w:rsidR="00961B45">
        <w:rPr>
          <w:rFonts w:cs="Times"/>
          <w:lang w:val="en-US"/>
        </w:rPr>
        <w:t xml:space="preserve"> theme</w:t>
      </w:r>
      <w:r w:rsidR="00A94B17">
        <w:rPr>
          <w:rFonts w:cs="Times"/>
          <w:lang w:val="en-US"/>
        </w:rPr>
        <w:t xml:space="preserve"> in the Homeric corpus</w:t>
      </w:r>
      <w:r w:rsidR="00961B45">
        <w:rPr>
          <w:rFonts w:cs="Times"/>
          <w:lang w:val="en-US"/>
        </w:rPr>
        <w:t>, from Hephaestus being the greatest and most inventive blacksmith</w:t>
      </w:r>
      <w:r w:rsidR="00A94B17">
        <w:rPr>
          <w:rFonts w:cs="Times"/>
          <w:lang w:val="en-US"/>
        </w:rPr>
        <w:t xml:space="preserve"> to the “</w:t>
      </w:r>
      <w:r w:rsidR="00A94B17">
        <w:rPr>
          <w:rFonts w:cs="Times"/>
          <w:i/>
          <w:lang w:val="en-US"/>
        </w:rPr>
        <w:t>Glorious Bard”</w:t>
      </w:r>
      <w:r w:rsidR="00A94B17">
        <w:rPr>
          <w:rStyle w:val="FootnoteReference"/>
          <w:rFonts w:cs="Times"/>
          <w:i/>
          <w:lang w:val="en-US"/>
        </w:rPr>
        <w:footnoteReference w:id="12"/>
      </w:r>
      <w:r w:rsidR="00A94B17">
        <w:rPr>
          <w:rFonts w:cs="Times"/>
          <w:lang w:val="en-US"/>
        </w:rPr>
        <w:t xml:space="preserve"> Demodocus. This character provides us with a different, more positive view of physical disability in the time of Homer for no one mocks him for his blindness, indeed they praise him for his divine gift:</w:t>
      </w:r>
    </w:p>
    <w:p w:rsidR="00A94B17" w:rsidRDefault="00A94B17" w:rsidP="00A94B17">
      <w:pPr>
        <w:widowControl w:val="0"/>
        <w:autoSpaceDE w:val="0"/>
        <w:autoSpaceDN w:val="0"/>
        <w:adjustRightInd w:val="0"/>
        <w:spacing w:line="280" w:lineRule="atLeast"/>
        <w:jc w:val="center"/>
        <w:rPr>
          <w:rFonts w:cs="Times"/>
          <w:i/>
          <w:lang w:val="en-US"/>
        </w:rPr>
      </w:pPr>
      <w:r w:rsidRPr="00A94B17">
        <w:rPr>
          <w:rFonts w:cs="Times"/>
          <w:i/>
          <w:lang w:val="en-US"/>
        </w:rPr>
        <w:t>“Then the herald drew near, leading the good minstrel, whom the Muse loved above all other men, and gave him both good and evil; of his sight she deprived him, but gave him the gift of sweet song.</w:t>
      </w:r>
      <w:r>
        <w:rPr>
          <w:rFonts w:cs="Times"/>
          <w:i/>
          <w:lang w:val="en-US"/>
        </w:rPr>
        <w:t>”</w:t>
      </w:r>
      <w:r w:rsidR="001825A9">
        <w:rPr>
          <w:rStyle w:val="FootnoteReference"/>
          <w:rFonts w:cs="Times"/>
          <w:i/>
          <w:lang w:val="en-US"/>
        </w:rPr>
        <w:footnoteReference w:id="13"/>
      </w:r>
    </w:p>
    <w:p w:rsidR="0096439E" w:rsidRDefault="001825A9" w:rsidP="00A94B17">
      <w:pPr>
        <w:widowControl w:val="0"/>
        <w:autoSpaceDE w:val="0"/>
        <w:autoSpaceDN w:val="0"/>
        <w:adjustRightInd w:val="0"/>
        <w:spacing w:line="280" w:lineRule="atLeast"/>
        <w:rPr>
          <w:rFonts w:cs="Times"/>
          <w:lang w:val="en-US"/>
        </w:rPr>
      </w:pPr>
      <w:r>
        <w:rPr>
          <w:rFonts w:cs="Times"/>
          <w:lang w:val="en-US"/>
        </w:rPr>
        <w:t xml:space="preserve">This sense of divine compensation, that because he is blind he has been given the gift of great poetry echoes with the great gift of </w:t>
      </w:r>
      <w:proofErr w:type="spellStart"/>
      <w:r>
        <w:rPr>
          <w:rFonts w:cs="Times"/>
          <w:lang w:val="en-US"/>
        </w:rPr>
        <w:t>smithing</w:t>
      </w:r>
      <w:proofErr w:type="spellEnd"/>
      <w:r>
        <w:rPr>
          <w:rFonts w:cs="Times"/>
          <w:lang w:val="en-US"/>
        </w:rPr>
        <w:t xml:space="preserve"> that Hephaestus possesses, this leads me to believe that it may be reflective on what expectations ancient Greek society had on its less able members. Did all people with physical impairment dedicate themselves to one vocation and was it believed that by working through their handicap there must be some kind of divine intervention involved? </w:t>
      </w:r>
      <w:r w:rsidR="002A7217">
        <w:rPr>
          <w:rFonts w:cs="Times"/>
          <w:lang w:val="en-US"/>
        </w:rPr>
        <w:t>Whist this is merely conjecture and of course we shall struggle to ever really know what the societal norms were surrounding expectations placed on handicapped individuals in ancient Greece one topic of discussion that is fiercely debated is whether or not Homer himself was actually a blind person. Beecroft identifies blindness as the foremost recognizable biographical device in any Homeric biography noting that the possibility of bard having impaired vision was known and discussed by ancient writers</w:t>
      </w:r>
      <w:r w:rsidR="002A7217">
        <w:rPr>
          <w:rStyle w:val="FootnoteReference"/>
          <w:rFonts w:cs="Times"/>
          <w:lang w:val="en-US"/>
        </w:rPr>
        <w:footnoteReference w:id="14"/>
      </w:r>
      <w:r w:rsidR="002A7217">
        <w:rPr>
          <w:rFonts w:cs="Times"/>
          <w:lang w:val="en-US"/>
        </w:rPr>
        <w:t>. He goes on further to argue against the notion that the character of Demodocus is simply a biographical fallacy</w:t>
      </w:r>
      <w:r w:rsidR="002A7217">
        <w:rPr>
          <w:rStyle w:val="FootnoteReference"/>
          <w:rFonts w:cs="Times"/>
          <w:lang w:val="en-US"/>
        </w:rPr>
        <w:footnoteReference w:id="15"/>
      </w:r>
      <w:r w:rsidR="002A7217">
        <w:rPr>
          <w:rFonts w:cs="Times"/>
          <w:lang w:val="en-US"/>
        </w:rPr>
        <w:t xml:space="preserve"> </w:t>
      </w:r>
      <w:r w:rsidR="005D4DBF">
        <w:rPr>
          <w:rFonts w:cs="Times"/>
          <w:lang w:val="en-US"/>
        </w:rPr>
        <w:t>proving Homer is blind but instead, in my opinion very soundly, argues that a blind epic poet could have existed regardless</w:t>
      </w:r>
      <w:r w:rsidR="005D4DBF">
        <w:rPr>
          <w:rStyle w:val="FootnoteReference"/>
          <w:rFonts w:cs="Times"/>
          <w:lang w:val="en-US"/>
        </w:rPr>
        <w:footnoteReference w:id="16"/>
      </w:r>
      <w:r w:rsidR="005D4DBF">
        <w:rPr>
          <w:rFonts w:cs="Times"/>
          <w:lang w:val="en-US"/>
        </w:rPr>
        <w:t>. Why discuss the veracity and prevalence of Homeric blindness? Well it serves to show us a simple lesson, that to the ancient Greeks whilst blindness is most certainly a physical impairment it was in no way a ‘disability’ (in the modern sense) provided the inflicted person could perform their role within society.</w:t>
      </w:r>
      <w:r w:rsidR="0096439E">
        <w:rPr>
          <w:rFonts w:cs="Times"/>
          <w:lang w:val="en-US"/>
        </w:rPr>
        <w:t xml:space="preserve"> </w:t>
      </w:r>
    </w:p>
    <w:p w:rsidR="00D22594" w:rsidRDefault="0096439E" w:rsidP="00A94B17">
      <w:pPr>
        <w:widowControl w:val="0"/>
        <w:autoSpaceDE w:val="0"/>
        <w:autoSpaceDN w:val="0"/>
        <w:adjustRightInd w:val="0"/>
        <w:spacing w:line="280" w:lineRule="atLeast"/>
        <w:rPr>
          <w:rFonts w:cs="Times"/>
          <w:lang w:val="en-US"/>
        </w:rPr>
      </w:pPr>
      <w:r>
        <w:rPr>
          <w:rFonts w:cs="Times"/>
          <w:lang w:val="en-US"/>
        </w:rPr>
        <w:t>The final character in the Homeric corpus I shall briefly touch on and one who is a wholly negative representation of impairment is Thersites</w:t>
      </w:r>
      <w:r w:rsidR="00B05127">
        <w:rPr>
          <w:rFonts w:cs="Times"/>
          <w:lang w:val="en-US"/>
        </w:rPr>
        <w:t xml:space="preserve">, described as: </w:t>
      </w:r>
      <w:r w:rsidR="00B05127" w:rsidRPr="00B05127">
        <w:rPr>
          <w:rFonts w:cs="Times"/>
          <w:i/>
          <w:lang w:val="en-US"/>
        </w:rPr>
        <w:t xml:space="preserve">“bandy-legged and lame in </w:t>
      </w:r>
      <w:r w:rsidR="00B05127" w:rsidRPr="00B05127">
        <w:rPr>
          <w:rFonts w:cs="Times"/>
          <w:i/>
          <w:lang w:val="en-US"/>
        </w:rPr>
        <w:lastRenderedPageBreak/>
        <w:t>the one foot, and his two shoulders were rounded, stooping together over his chest, and above them his head was warped, and a scant stubble grew thereon.</w:t>
      </w:r>
      <w:r w:rsidR="00B05127">
        <w:rPr>
          <w:rFonts w:cs="Times"/>
          <w:i/>
          <w:lang w:val="en-US"/>
        </w:rPr>
        <w:t>”</w:t>
      </w:r>
      <w:r w:rsidR="00B05127">
        <w:rPr>
          <w:rStyle w:val="FootnoteReference"/>
          <w:rFonts w:cs="Times"/>
          <w:i/>
          <w:lang w:val="en-US"/>
        </w:rPr>
        <w:footnoteReference w:id="17"/>
      </w:r>
      <w:r w:rsidR="00B05127">
        <w:rPr>
          <w:rFonts w:cs="Times"/>
          <w:i/>
          <w:lang w:val="en-US"/>
        </w:rPr>
        <w:t xml:space="preserve"> </w:t>
      </w:r>
      <w:r w:rsidR="00B05127">
        <w:rPr>
          <w:rFonts w:cs="Times"/>
          <w:lang w:val="en-US"/>
        </w:rPr>
        <w:t>This description shows a character clearly not blessed by divine intervention but simply a fool</w:t>
      </w:r>
      <w:r w:rsidR="00B05127">
        <w:rPr>
          <w:rStyle w:val="FootnoteReference"/>
          <w:rFonts w:cs="Times"/>
          <w:lang w:val="en-US"/>
        </w:rPr>
        <w:footnoteReference w:id="18"/>
      </w:r>
      <w:r w:rsidR="00B05127">
        <w:rPr>
          <w:rFonts w:cs="Times"/>
          <w:lang w:val="en-US"/>
        </w:rPr>
        <w:t xml:space="preserve"> and whilst some authors, namely Postlethwaite, have att</w:t>
      </w:r>
      <w:r w:rsidR="007C6EE2">
        <w:rPr>
          <w:rFonts w:cs="Times"/>
          <w:lang w:val="en-US"/>
        </w:rPr>
        <w:t>empted to present him as a comic character who merely spoke out of turn unwittingly</w:t>
      </w:r>
      <w:r w:rsidR="007C6EE2">
        <w:rPr>
          <w:rStyle w:val="FootnoteReference"/>
          <w:rFonts w:cs="Times"/>
          <w:lang w:val="en-US"/>
        </w:rPr>
        <w:footnoteReference w:id="19"/>
      </w:r>
      <w:r w:rsidR="007C6EE2">
        <w:rPr>
          <w:rFonts w:cs="Times"/>
          <w:lang w:val="en-US"/>
        </w:rPr>
        <w:t xml:space="preserve">, I firmly hold the stance that Thersites speech comes from a place of naivety and low wit than a genuine addition to main theme of the story. Furthermore </w:t>
      </w:r>
      <w:r w:rsidR="00D22594">
        <w:rPr>
          <w:rFonts w:cs="Times"/>
          <w:lang w:val="en-US"/>
        </w:rPr>
        <w:t>Thersites</w:t>
      </w:r>
      <w:r w:rsidR="007C6EE2">
        <w:rPr>
          <w:rFonts w:cs="Times"/>
          <w:lang w:val="en-US"/>
        </w:rPr>
        <w:t xml:space="preserve"> subsequent beating at the hands of Odysseus</w:t>
      </w:r>
      <w:r w:rsidR="007C6EE2">
        <w:rPr>
          <w:rStyle w:val="FootnoteReference"/>
          <w:rFonts w:cs="Times"/>
          <w:lang w:val="en-US"/>
        </w:rPr>
        <w:footnoteReference w:id="20"/>
      </w:r>
      <w:r w:rsidR="00D22594">
        <w:rPr>
          <w:rFonts w:cs="Times"/>
          <w:lang w:val="en-US"/>
        </w:rPr>
        <w:t xml:space="preserve"> follows a culturally logical pattern</w:t>
      </w:r>
      <w:r w:rsidR="00D22594">
        <w:rPr>
          <w:rStyle w:val="FootnoteReference"/>
          <w:rFonts w:cs="Times"/>
          <w:lang w:val="en-US"/>
        </w:rPr>
        <w:footnoteReference w:id="21"/>
      </w:r>
      <w:r w:rsidR="00D22594">
        <w:rPr>
          <w:rFonts w:cs="Times"/>
          <w:lang w:val="en-US"/>
        </w:rPr>
        <w:t>, he spoke out of turn foolishly because he is unwise and that because he is unwise he is presented to us by Homer as being very ugly therefore on account of his stupidity and poor physical stature it is acceptable for Odysseus to beat him publicly.</w:t>
      </w:r>
      <w:r w:rsidR="00D22594">
        <w:rPr>
          <w:rStyle w:val="FootnoteReference"/>
          <w:rFonts w:cs="Times"/>
          <w:lang w:val="en-US"/>
        </w:rPr>
        <w:footnoteReference w:id="22"/>
      </w:r>
      <w:r w:rsidR="00D22594">
        <w:rPr>
          <w:rFonts w:cs="Times"/>
          <w:lang w:val="en-US"/>
        </w:rPr>
        <w:t xml:space="preserve"> </w:t>
      </w:r>
    </w:p>
    <w:p w:rsidR="00212339" w:rsidRDefault="00D22594" w:rsidP="00A94B17">
      <w:pPr>
        <w:widowControl w:val="0"/>
        <w:autoSpaceDE w:val="0"/>
        <w:autoSpaceDN w:val="0"/>
        <w:adjustRightInd w:val="0"/>
        <w:spacing w:line="280" w:lineRule="atLeast"/>
        <w:rPr>
          <w:rFonts w:cs="Times"/>
          <w:lang w:val="en-US"/>
        </w:rPr>
      </w:pPr>
      <w:r>
        <w:rPr>
          <w:rFonts w:cs="Times"/>
          <w:lang w:val="en-US"/>
        </w:rPr>
        <w:t>As we can see disability takes many different forms in the Homeric corpus and therefore more widely in the Greek world too, in addition I have shown that representations of disability vary widely between highly positive depictions combined with more normally negative portrayals and that the community model for describing impairment is a necessary tool when engaging in the topic of disability in ancient Greece.</w:t>
      </w: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212339" w:rsidRPr="00212339" w:rsidRDefault="00212339" w:rsidP="00212339">
      <w:pPr>
        <w:rPr>
          <w:rFonts w:cs="Times"/>
          <w:lang w:val="en-US"/>
        </w:rPr>
      </w:pPr>
    </w:p>
    <w:p w:rsidR="00D22594" w:rsidRDefault="00212339" w:rsidP="00212339">
      <w:pPr>
        <w:tabs>
          <w:tab w:val="left" w:pos="1125"/>
        </w:tabs>
        <w:rPr>
          <w:rFonts w:cs="Times"/>
          <w:lang w:val="en-US"/>
        </w:rPr>
      </w:pPr>
      <w:r>
        <w:rPr>
          <w:rFonts w:cs="Times"/>
          <w:lang w:val="en-US"/>
        </w:rPr>
        <w:tab/>
      </w:r>
    </w:p>
    <w:p w:rsidR="00212339" w:rsidRDefault="00212339" w:rsidP="00212339">
      <w:pPr>
        <w:tabs>
          <w:tab w:val="left" w:pos="1125"/>
        </w:tabs>
        <w:rPr>
          <w:rFonts w:cs="Times"/>
          <w:lang w:val="en-US"/>
        </w:rPr>
      </w:pPr>
      <w:r>
        <w:rPr>
          <w:rFonts w:cs="Times"/>
          <w:lang w:val="en-US"/>
        </w:rPr>
        <w:lastRenderedPageBreak/>
        <w:t>Bibliography:</w:t>
      </w:r>
    </w:p>
    <w:p w:rsidR="00DA23BC" w:rsidRDefault="00DA23BC" w:rsidP="00212339">
      <w:pPr>
        <w:tabs>
          <w:tab w:val="left" w:pos="1125"/>
        </w:tabs>
        <w:rPr>
          <w:rFonts w:cs="Times"/>
          <w:lang w:val="en-US"/>
        </w:rPr>
      </w:pPr>
      <w:r>
        <w:rPr>
          <w:rFonts w:cs="Times"/>
          <w:lang w:val="en-US"/>
        </w:rPr>
        <w:t>Ancient:</w:t>
      </w:r>
    </w:p>
    <w:p w:rsidR="00DA23BC" w:rsidRDefault="00DA23BC" w:rsidP="00DA23BC">
      <w:pPr>
        <w:pStyle w:val="ListParagraph"/>
        <w:numPr>
          <w:ilvl w:val="0"/>
          <w:numId w:val="3"/>
        </w:numPr>
        <w:tabs>
          <w:tab w:val="left" w:pos="1125"/>
        </w:tabs>
        <w:rPr>
          <w:rFonts w:cs="Times"/>
          <w:lang w:val="en-US"/>
        </w:rPr>
      </w:pPr>
      <w:r w:rsidRPr="00DA23BC">
        <w:rPr>
          <w:rFonts w:cs="Times"/>
          <w:lang w:val="en-US"/>
        </w:rPr>
        <w:t xml:space="preserve">Anonymous. </w:t>
      </w:r>
      <w:r w:rsidRPr="00DA23BC">
        <w:rPr>
          <w:rFonts w:cs="Times"/>
          <w:i/>
          <w:lang w:val="en-US"/>
        </w:rPr>
        <w:t xml:space="preserve">The Homeric Hymns and </w:t>
      </w:r>
      <w:proofErr w:type="spellStart"/>
      <w:r w:rsidRPr="00DA23BC">
        <w:rPr>
          <w:rFonts w:cs="Times"/>
          <w:i/>
          <w:lang w:val="en-US"/>
        </w:rPr>
        <w:t>Homerica</w:t>
      </w:r>
      <w:proofErr w:type="spellEnd"/>
      <w:r w:rsidRPr="00DA23BC">
        <w:rPr>
          <w:rFonts w:cs="Times"/>
          <w:i/>
          <w:lang w:val="en-US"/>
        </w:rPr>
        <w:t xml:space="preserve"> with an English Translation</w:t>
      </w:r>
      <w:r>
        <w:rPr>
          <w:rFonts w:cs="Times"/>
          <w:i/>
          <w:lang w:val="en-US"/>
        </w:rPr>
        <w:t>.</w:t>
      </w:r>
      <w:r w:rsidRPr="00DA23BC">
        <w:rPr>
          <w:rFonts w:cs="Times"/>
          <w:lang w:val="en-US"/>
        </w:rPr>
        <w:t xml:space="preserve"> Hugh G. Evelyn-White. Cambridge, </w:t>
      </w:r>
      <w:proofErr w:type="spellStart"/>
      <w:r w:rsidRPr="00DA23BC">
        <w:rPr>
          <w:rFonts w:cs="Times"/>
          <w:lang w:val="en-US"/>
        </w:rPr>
        <w:t>MA.,Harvard</w:t>
      </w:r>
      <w:proofErr w:type="spellEnd"/>
      <w:r w:rsidRPr="00DA23BC">
        <w:rPr>
          <w:rFonts w:cs="Times"/>
          <w:lang w:val="en-US"/>
        </w:rPr>
        <w:t xml:space="preserve"> University Press; London, William Heinemann Ltd. 1914.</w:t>
      </w:r>
    </w:p>
    <w:p w:rsidR="00DA23BC" w:rsidRDefault="00DA23BC" w:rsidP="00DA23BC">
      <w:pPr>
        <w:pStyle w:val="ListParagraph"/>
        <w:numPr>
          <w:ilvl w:val="0"/>
          <w:numId w:val="3"/>
        </w:numPr>
        <w:tabs>
          <w:tab w:val="left" w:pos="1125"/>
        </w:tabs>
        <w:rPr>
          <w:rFonts w:cs="Times"/>
          <w:lang w:val="en-US"/>
        </w:rPr>
      </w:pPr>
      <w:r w:rsidRPr="00DA23BC">
        <w:rPr>
          <w:rFonts w:cs="Times"/>
          <w:lang w:val="en-US"/>
        </w:rPr>
        <w:t>Homer. The Iliad with an English Translation by A.T. Murray, Ph.D. in two volumes. Cambridge, MA., Harvard University Press; London, William Heinemann, Ltd. 1924.</w:t>
      </w:r>
    </w:p>
    <w:p w:rsidR="00DA23BC" w:rsidRPr="00DA23BC" w:rsidRDefault="00DA23BC" w:rsidP="00DA23BC">
      <w:pPr>
        <w:pStyle w:val="ListParagraph"/>
        <w:numPr>
          <w:ilvl w:val="0"/>
          <w:numId w:val="3"/>
        </w:numPr>
        <w:tabs>
          <w:tab w:val="left" w:pos="1125"/>
        </w:tabs>
        <w:rPr>
          <w:rFonts w:cs="Times"/>
          <w:lang w:val="en-US"/>
        </w:rPr>
      </w:pPr>
      <w:r w:rsidRPr="00DA23BC">
        <w:rPr>
          <w:rFonts w:cs="Times"/>
          <w:lang w:val="en-US"/>
        </w:rPr>
        <w:t>Homer. The Odyssey with an English Translation by A.T. Murray, PH.D. in two volumes. Cambridge, MA., Harvard University Press; London, William Heinemann, Ltd. 1919.</w:t>
      </w:r>
    </w:p>
    <w:p w:rsidR="00DA23BC" w:rsidRDefault="00DA23BC" w:rsidP="00212339">
      <w:pPr>
        <w:tabs>
          <w:tab w:val="left" w:pos="1125"/>
        </w:tabs>
        <w:rPr>
          <w:rFonts w:cs="Times"/>
          <w:lang w:val="en-US"/>
        </w:rPr>
      </w:pPr>
      <w:r>
        <w:rPr>
          <w:rFonts w:cs="Times"/>
          <w:lang w:val="en-US"/>
        </w:rPr>
        <w:t>Modern:</w:t>
      </w:r>
    </w:p>
    <w:p w:rsidR="00212339" w:rsidRDefault="00B376AF" w:rsidP="00B376AF">
      <w:pPr>
        <w:pStyle w:val="ListParagraph"/>
        <w:numPr>
          <w:ilvl w:val="0"/>
          <w:numId w:val="1"/>
        </w:numPr>
        <w:tabs>
          <w:tab w:val="left" w:pos="1125"/>
        </w:tabs>
        <w:rPr>
          <w:rFonts w:cs="Times"/>
          <w:lang w:val="en-US"/>
        </w:rPr>
      </w:pPr>
      <w:r w:rsidRPr="00B376AF">
        <w:rPr>
          <w:rFonts w:cs="Times"/>
          <w:lang w:val="en-US"/>
        </w:rPr>
        <w:t xml:space="preserve">Beecroft, A. 2011. </w:t>
      </w:r>
      <w:r w:rsidRPr="00B376AF">
        <w:rPr>
          <w:rFonts w:cs="Times"/>
          <w:i/>
          <w:lang w:val="en-US"/>
        </w:rPr>
        <w:t>BLINDNESS AND LITERACY IN THE "LIVES" OF HOMER.</w:t>
      </w:r>
      <w:r w:rsidRPr="00B376AF">
        <w:rPr>
          <w:rFonts w:cs="Times"/>
          <w:lang w:val="en-US"/>
        </w:rPr>
        <w:t xml:space="preserve"> Cambridge: Cambridge University Press.</w:t>
      </w:r>
    </w:p>
    <w:p w:rsidR="00B376AF" w:rsidRPr="00B376AF" w:rsidRDefault="00B376AF" w:rsidP="00B376AF">
      <w:pPr>
        <w:pStyle w:val="ListParagraph"/>
        <w:numPr>
          <w:ilvl w:val="0"/>
          <w:numId w:val="1"/>
        </w:numPr>
        <w:tabs>
          <w:tab w:val="left" w:pos="1125"/>
        </w:tabs>
        <w:rPr>
          <w:rFonts w:cs="Times"/>
          <w:lang w:val="en-US"/>
        </w:rPr>
      </w:pPr>
      <w:proofErr w:type="spellStart"/>
      <w:r>
        <w:rPr>
          <w:rFonts w:cs="Times"/>
          <w:lang w:val="en-US"/>
        </w:rPr>
        <w:t>Beye</w:t>
      </w:r>
      <w:proofErr w:type="spellEnd"/>
      <w:r>
        <w:rPr>
          <w:rFonts w:cs="Times"/>
          <w:lang w:val="en-US"/>
        </w:rPr>
        <w:t>, C.R. 1968.</w:t>
      </w:r>
      <w:r>
        <w:t xml:space="preserve"> </w:t>
      </w:r>
      <w:r w:rsidRPr="00B376AF">
        <w:rPr>
          <w:i/>
        </w:rPr>
        <w:t>The Iliad, the Odyssey, and the</w:t>
      </w:r>
      <w:r w:rsidRPr="00B376AF">
        <w:rPr>
          <w:i/>
        </w:rPr>
        <w:t xml:space="preserve"> Epic Tradition.</w:t>
      </w:r>
      <w:r>
        <w:rPr>
          <w:i/>
        </w:rPr>
        <w:t xml:space="preserve"> </w:t>
      </w:r>
      <w:r>
        <w:t>London.</w:t>
      </w:r>
    </w:p>
    <w:p w:rsidR="00B376AF" w:rsidRDefault="00B376AF" w:rsidP="00B376AF">
      <w:pPr>
        <w:pStyle w:val="ListParagraph"/>
        <w:numPr>
          <w:ilvl w:val="0"/>
          <w:numId w:val="1"/>
        </w:numPr>
        <w:tabs>
          <w:tab w:val="left" w:pos="1125"/>
        </w:tabs>
        <w:rPr>
          <w:rFonts w:cs="Times"/>
          <w:lang w:val="en-US"/>
        </w:rPr>
      </w:pPr>
      <w:r>
        <w:rPr>
          <w:rFonts w:cs="Times"/>
          <w:lang w:val="en-US"/>
        </w:rPr>
        <w:t xml:space="preserve">Edwards, M.L. 1997. </w:t>
      </w:r>
      <w:r>
        <w:rPr>
          <w:rFonts w:cs="Times"/>
          <w:i/>
          <w:lang w:val="en-US"/>
        </w:rPr>
        <w:t xml:space="preserve">Constructions of Physical Disability in the Ancient Greek; the Community Concept. </w:t>
      </w:r>
      <w:r>
        <w:rPr>
          <w:rFonts w:cs="Times"/>
          <w:lang w:val="en-US"/>
        </w:rPr>
        <w:t>Michigan: The University of Michigan Press.</w:t>
      </w:r>
    </w:p>
    <w:p w:rsidR="00B376AF" w:rsidRDefault="00DA23BC" w:rsidP="00DA23BC">
      <w:pPr>
        <w:pStyle w:val="ListParagraph"/>
        <w:numPr>
          <w:ilvl w:val="0"/>
          <w:numId w:val="1"/>
        </w:numPr>
        <w:tabs>
          <w:tab w:val="left" w:pos="1125"/>
        </w:tabs>
        <w:rPr>
          <w:rFonts w:cs="Times"/>
          <w:lang w:val="en-US"/>
        </w:rPr>
      </w:pPr>
      <w:r>
        <w:rPr>
          <w:rFonts w:cs="Times"/>
          <w:lang w:val="en-US"/>
        </w:rPr>
        <w:t xml:space="preserve">Postlethwaite, N. 1988. </w:t>
      </w:r>
      <w:r w:rsidRPr="00DA23BC">
        <w:rPr>
          <w:rFonts w:cs="Times"/>
          <w:i/>
          <w:lang w:val="en-US"/>
        </w:rPr>
        <w:t>Thersites in the 'Iliad'</w:t>
      </w:r>
      <w:r>
        <w:rPr>
          <w:rFonts w:cs="Times"/>
          <w:i/>
          <w:lang w:val="en-US"/>
        </w:rPr>
        <w:t>.</w:t>
      </w:r>
      <w:r>
        <w:rPr>
          <w:rFonts w:cs="Times"/>
          <w:lang w:val="en-US"/>
        </w:rPr>
        <w:t xml:space="preserve"> Cambridge: Cambridge University Press</w:t>
      </w:r>
    </w:p>
    <w:p w:rsidR="00DA23BC" w:rsidRDefault="00DA23BC" w:rsidP="00DA23BC">
      <w:pPr>
        <w:pStyle w:val="ListParagraph"/>
        <w:numPr>
          <w:ilvl w:val="0"/>
          <w:numId w:val="1"/>
        </w:numPr>
        <w:tabs>
          <w:tab w:val="left" w:pos="1125"/>
        </w:tabs>
        <w:rPr>
          <w:rFonts w:cs="Times"/>
          <w:lang w:val="en-US"/>
        </w:rPr>
      </w:pPr>
      <w:proofErr w:type="spellStart"/>
      <w:r>
        <w:rPr>
          <w:rFonts w:cs="Times"/>
          <w:lang w:val="en-US"/>
        </w:rPr>
        <w:t>Spathari</w:t>
      </w:r>
      <w:proofErr w:type="spellEnd"/>
      <w:r>
        <w:rPr>
          <w:rFonts w:cs="Times"/>
          <w:lang w:val="en-US"/>
        </w:rPr>
        <w:t xml:space="preserve">, E. 2013. </w:t>
      </w:r>
      <w:r>
        <w:rPr>
          <w:rFonts w:cs="Times"/>
          <w:i/>
          <w:lang w:val="en-US"/>
        </w:rPr>
        <w:t>Greek Mythology.</w:t>
      </w:r>
      <w:r>
        <w:rPr>
          <w:rFonts w:cs="Times"/>
          <w:lang w:val="en-US"/>
        </w:rPr>
        <w:t xml:space="preserve"> Athens: </w:t>
      </w:r>
      <w:proofErr w:type="spellStart"/>
      <w:r>
        <w:rPr>
          <w:rFonts w:cs="Times"/>
          <w:lang w:val="en-US"/>
        </w:rPr>
        <w:t>Papadimas</w:t>
      </w:r>
      <w:proofErr w:type="spellEnd"/>
      <w:r>
        <w:rPr>
          <w:rFonts w:cs="Times"/>
          <w:lang w:val="en-US"/>
        </w:rPr>
        <w:t xml:space="preserve"> </w:t>
      </w:r>
      <w:proofErr w:type="spellStart"/>
      <w:r>
        <w:rPr>
          <w:rFonts w:cs="Times"/>
          <w:lang w:val="en-US"/>
        </w:rPr>
        <w:t>Ekdotiki</w:t>
      </w:r>
      <w:proofErr w:type="spellEnd"/>
    </w:p>
    <w:p w:rsidR="00B376AF" w:rsidRDefault="00DA23BC" w:rsidP="00212339">
      <w:pPr>
        <w:tabs>
          <w:tab w:val="left" w:pos="1125"/>
        </w:tabs>
        <w:rPr>
          <w:rFonts w:cs="Times"/>
          <w:lang w:val="en-US"/>
        </w:rPr>
      </w:pPr>
      <w:r>
        <w:rPr>
          <w:rFonts w:cs="Times"/>
          <w:lang w:val="en-US"/>
        </w:rPr>
        <w:t>Archeological:</w:t>
      </w:r>
    </w:p>
    <w:p w:rsidR="00DA23BC" w:rsidRPr="00DA23BC" w:rsidRDefault="00DA23BC" w:rsidP="00DA23BC">
      <w:pPr>
        <w:pStyle w:val="ListParagraph"/>
        <w:numPr>
          <w:ilvl w:val="0"/>
          <w:numId w:val="4"/>
        </w:numPr>
        <w:tabs>
          <w:tab w:val="left" w:pos="1125"/>
        </w:tabs>
        <w:rPr>
          <w:rFonts w:cs="Times"/>
          <w:lang w:val="en-US"/>
        </w:rPr>
      </w:pPr>
      <w:r w:rsidRPr="00DA23BC">
        <w:rPr>
          <w:rFonts w:cs="Times"/>
          <w:lang w:val="en-US"/>
        </w:rPr>
        <w:tab/>
      </w:r>
      <w:r>
        <w:rPr>
          <w:rFonts w:cs="Times"/>
          <w:lang w:val="en-US"/>
        </w:rPr>
        <w:t xml:space="preserve">Red Attic Vase, Catalogue number: </w:t>
      </w:r>
      <w:r w:rsidRPr="00DA23BC">
        <w:rPr>
          <w:rFonts w:cs="Times"/>
          <w:lang w:val="en-US"/>
        </w:rPr>
        <w:t>Toledo 1982.88</w:t>
      </w:r>
      <w:r>
        <w:rPr>
          <w:rFonts w:cs="Times"/>
          <w:lang w:val="en-US"/>
        </w:rPr>
        <w:t>,</w:t>
      </w:r>
      <w:r w:rsidRPr="00DA23BC">
        <w:rPr>
          <w:rFonts w:cs="Times"/>
          <w:lang w:val="en-US"/>
        </w:rPr>
        <w:t>Toledo Museum of Art, Toledo</w:t>
      </w:r>
      <w:r>
        <w:rPr>
          <w:rFonts w:cs="Times"/>
          <w:lang w:val="en-US"/>
        </w:rPr>
        <w:t>.</w:t>
      </w:r>
    </w:p>
    <w:sectPr w:rsidR="00DA23BC" w:rsidRPr="00DA23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14DB" w:rsidRDefault="002714DB" w:rsidP="000459A4">
      <w:r>
        <w:separator/>
      </w:r>
    </w:p>
  </w:endnote>
  <w:endnote w:type="continuationSeparator" w:id="0">
    <w:p w:rsidR="002714DB" w:rsidRDefault="002714DB" w:rsidP="00045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14DB" w:rsidRDefault="002714DB" w:rsidP="000459A4">
      <w:r>
        <w:separator/>
      </w:r>
    </w:p>
  </w:footnote>
  <w:footnote w:type="continuationSeparator" w:id="0">
    <w:p w:rsidR="002714DB" w:rsidRDefault="002714DB" w:rsidP="000459A4">
      <w:r>
        <w:continuationSeparator/>
      </w:r>
    </w:p>
  </w:footnote>
  <w:footnote w:id="1">
    <w:p w:rsidR="000459A4" w:rsidRDefault="000459A4">
      <w:pPr>
        <w:pStyle w:val="FootnoteText"/>
      </w:pPr>
      <w:r>
        <w:rPr>
          <w:rStyle w:val="FootnoteReference"/>
        </w:rPr>
        <w:footnoteRef/>
      </w:r>
      <w:r>
        <w:t xml:space="preserve"> Edwards, M.L. </w:t>
      </w:r>
      <w:r w:rsidR="00791FA9">
        <w:t xml:space="preserve"> 1997. Pg.35</w:t>
      </w:r>
    </w:p>
  </w:footnote>
  <w:footnote w:id="2">
    <w:p w:rsidR="00791FA9" w:rsidRDefault="00791FA9">
      <w:pPr>
        <w:pStyle w:val="FootnoteText"/>
      </w:pPr>
      <w:r>
        <w:rPr>
          <w:rStyle w:val="FootnoteReference"/>
        </w:rPr>
        <w:footnoteRef/>
      </w:r>
      <w:r>
        <w:t xml:space="preserve"> </w:t>
      </w:r>
      <w:r w:rsidR="00212339" w:rsidRPr="00212339">
        <w:t>https://en.oxforddictionaries.com/definition/disability</w:t>
      </w:r>
    </w:p>
  </w:footnote>
  <w:footnote w:id="3">
    <w:p w:rsidR="003F29DB" w:rsidRDefault="003F29DB">
      <w:pPr>
        <w:pStyle w:val="FootnoteText"/>
      </w:pPr>
      <w:r>
        <w:rPr>
          <w:rStyle w:val="FootnoteReference"/>
        </w:rPr>
        <w:footnoteRef/>
      </w:r>
      <w:r>
        <w:t xml:space="preserve"> Edwards, M.L. 1997. Pg.35</w:t>
      </w:r>
    </w:p>
  </w:footnote>
  <w:footnote w:id="4">
    <w:p w:rsidR="003F29DB" w:rsidRDefault="003F29DB">
      <w:pPr>
        <w:pStyle w:val="FootnoteText"/>
      </w:pPr>
      <w:r>
        <w:rPr>
          <w:rStyle w:val="FootnoteReference"/>
        </w:rPr>
        <w:footnoteRef/>
      </w:r>
      <w:r>
        <w:t xml:space="preserve"> Edwards, M.L. 1997. Pg.35</w:t>
      </w:r>
    </w:p>
  </w:footnote>
  <w:footnote w:id="5">
    <w:p w:rsidR="00AE436A" w:rsidRDefault="00AE436A">
      <w:pPr>
        <w:pStyle w:val="FootnoteText"/>
      </w:pPr>
      <w:r>
        <w:rPr>
          <w:rStyle w:val="FootnoteReference"/>
        </w:rPr>
        <w:footnoteRef/>
      </w:r>
      <w:r>
        <w:t xml:space="preserve"> </w:t>
      </w:r>
      <w:r>
        <w:t>Edwards, M.L. 1997. Pg.35</w:t>
      </w:r>
    </w:p>
  </w:footnote>
  <w:footnote w:id="6">
    <w:p w:rsidR="00882F77" w:rsidRDefault="00882F77">
      <w:pPr>
        <w:pStyle w:val="FootnoteText"/>
      </w:pPr>
      <w:r>
        <w:rPr>
          <w:rStyle w:val="FootnoteReference"/>
        </w:rPr>
        <w:footnoteRef/>
      </w:r>
      <w:r>
        <w:t xml:space="preserve"> </w:t>
      </w:r>
      <w:proofErr w:type="spellStart"/>
      <w:r>
        <w:t>Rinon</w:t>
      </w:r>
      <w:proofErr w:type="spellEnd"/>
      <w:r>
        <w:t>, Y. 2006. Pg. 1</w:t>
      </w:r>
    </w:p>
  </w:footnote>
  <w:footnote w:id="7">
    <w:p w:rsidR="00882F77" w:rsidRDefault="00882F77">
      <w:pPr>
        <w:pStyle w:val="FootnoteText"/>
      </w:pPr>
      <w:r>
        <w:rPr>
          <w:rStyle w:val="FootnoteReference"/>
        </w:rPr>
        <w:footnoteRef/>
      </w:r>
      <w:r>
        <w:t xml:space="preserve"> HH 3.317-319</w:t>
      </w:r>
    </w:p>
  </w:footnote>
  <w:footnote w:id="8">
    <w:p w:rsidR="00882F77" w:rsidRDefault="00882F77">
      <w:pPr>
        <w:pStyle w:val="FootnoteText"/>
      </w:pPr>
      <w:r>
        <w:rPr>
          <w:rStyle w:val="FootnoteReference"/>
        </w:rPr>
        <w:footnoteRef/>
      </w:r>
      <w:r>
        <w:t xml:space="preserve"> </w:t>
      </w:r>
      <w:proofErr w:type="spellStart"/>
      <w:r>
        <w:t>Hom.Il</w:t>
      </w:r>
      <w:proofErr w:type="spellEnd"/>
      <w:r>
        <w:t>. 1.561-611</w:t>
      </w:r>
    </w:p>
  </w:footnote>
  <w:footnote w:id="9">
    <w:p w:rsidR="001825A9" w:rsidRDefault="001825A9">
      <w:pPr>
        <w:pStyle w:val="FootnoteText"/>
      </w:pPr>
      <w:r>
        <w:rPr>
          <w:rStyle w:val="FootnoteReference"/>
        </w:rPr>
        <w:footnoteRef/>
      </w:r>
      <w:r>
        <w:t xml:space="preserve"> </w:t>
      </w:r>
      <w:r w:rsidRPr="001825A9">
        <w:t>Toledo 1982.88</w:t>
      </w:r>
      <w:r>
        <w:t xml:space="preserve"> – this Attic red figure vase from </w:t>
      </w:r>
      <w:r w:rsidRPr="001825A9">
        <w:t>ca. 430 - 420 B.C.</w:t>
      </w:r>
      <w:r>
        <w:t xml:space="preserve"> demonstrates Hephaestus’ physical disability, depicting him as unable to walk on his way back up to Olympus. Interestingly though this vase does not depict Hephaestus’ feet as pointing backwards as do so many other artistic depictions of cripples on pottery.</w:t>
      </w:r>
    </w:p>
  </w:footnote>
  <w:footnote w:id="10">
    <w:p w:rsidR="003D2DE5" w:rsidRDefault="003D2DE5">
      <w:pPr>
        <w:pStyle w:val="FootnoteText"/>
      </w:pPr>
      <w:r>
        <w:rPr>
          <w:rStyle w:val="FootnoteReference"/>
        </w:rPr>
        <w:footnoteRef/>
      </w:r>
      <w:r>
        <w:t xml:space="preserve"> Homer uses the epithet ‘</w:t>
      </w:r>
      <w:proofErr w:type="spellStart"/>
      <w:r>
        <w:t>Chalkeos</w:t>
      </w:r>
      <w:proofErr w:type="spellEnd"/>
      <w:r>
        <w:t>’ to describe Hephaestus as a copper-smith, thus relating this Olympian to mortal toil.</w:t>
      </w:r>
    </w:p>
  </w:footnote>
  <w:footnote w:id="11">
    <w:p w:rsidR="00FC782D" w:rsidRDefault="00FC782D">
      <w:pPr>
        <w:pStyle w:val="FootnoteText"/>
      </w:pPr>
      <w:r>
        <w:rPr>
          <w:rStyle w:val="FootnoteReference"/>
        </w:rPr>
        <w:footnoteRef/>
      </w:r>
      <w:r>
        <w:t xml:space="preserve"> </w:t>
      </w:r>
      <w:proofErr w:type="spellStart"/>
      <w:r>
        <w:t>Rinon</w:t>
      </w:r>
      <w:proofErr w:type="spellEnd"/>
      <w:r>
        <w:t>, Y. 2006. Pg.1</w:t>
      </w:r>
    </w:p>
  </w:footnote>
  <w:footnote w:id="12">
    <w:p w:rsidR="00A94B17" w:rsidRDefault="00A94B17">
      <w:pPr>
        <w:pStyle w:val="FootnoteText"/>
      </w:pPr>
      <w:r>
        <w:rPr>
          <w:rStyle w:val="FootnoteReference"/>
        </w:rPr>
        <w:footnoteRef/>
      </w:r>
      <w:r>
        <w:t xml:space="preserve"> </w:t>
      </w:r>
      <w:proofErr w:type="spellStart"/>
      <w:r>
        <w:t>Hom.Od</w:t>
      </w:r>
      <w:proofErr w:type="spellEnd"/>
      <w:r>
        <w:t xml:space="preserve"> 8.44</w:t>
      </w:r>
    </w:p>
  </w:footnote>
  <w:footnote w:id="13">
    <w:p w:rsidR="001825A9" w:rsidRDefault="001825A9">
      <w:pPr>
        <w:pStyle w:val="FootnoteText"/>
      </w:pPr>
      <w:r>
        <w:rPr>
          <w:rStyle w:val="FootnoteReference"/>
        </w:rPr>
        <w:footnoteRef/>
      </w:r>
      <w:r>
        <w:t xml:space="preserve"> </w:t>
      </w:r>
      <w:proofErr w:type="spellStart"/>
      <w:r>
        <w:t>Hom.Od</w:t>
      </w:r>
      <w:proofErr w:type="spellEnd"/>
      <w:r>
        <w:t>. 8.62-65</w:t>
      </w:r>
    </w:p>
  </w:footnote>
  <w:footnote w:id="14">
    <w:p w:rsidR="002A7217" w:rsidRDefault="002A7217">
      <w:pPr>
        <w:pStyle w:val="FootnoteText"/>
      </w:pPr>
      <w:r>
        <w:rPr>
          <w:rStyle w:val="FootnoteReference"/>
        </w:rPr>
        <w:footnoteRef/>
      </w:r>
      <w:r>
        <w:t xml:space="preserve"> Beecroft, A. 2011. Pg.1</w:t>
      </w:r>
    </w:p>
  </w:footnote>
  <w:footnote w:id="15">
    <w:p w:rsidR="002A7217" w:rsidRDefault="002A7217">
      <w:pPr>
        <w:pStyle w:val="FootnoteText"/>
      </w:pPr>
      <w:r>
        <w:rPr>
          <w:rStyle w:val="FootnoteReference"/>
        </w:rPr>
        <w:footnoteRef/>
      </w:r>
      <w:r>
        <w:t xml:space="preserve"> Beecroft, A. 2011. Pg.1</w:t>
      </w:r>
    </w:p>
  </w:footnote>
  <w:footnote w:id="16">
    <w:p w:rsidR="005D4DBF" w:rsidRDefault="005D4DBF">
      <w:pPr>
        <w:pStyle w:val="FootnoteText"/>
      </w:pPr>
      <w:r>
        <w:rPr>
          <w:rStyle w:val="FootnoteReference"/>
        </w:rPr>
        <w:footnoteRef/>
      </w:r>
      <w:r>
        <w:t xml:space="preserve"> Beecroft, A. 2011. Pg.2 – I support the view taken by Beecroft here against </w:t>
      </w:r>
      <w:proofErr w:type="spellStart"/>
      <w:r>
        <w:t>Gigante</w:t>
      </w:r>
      <w:proofErr w:type="spellEnd"/>
      <w:r>
        <w:t xml:space="preserve"> but from a slightly different perspective that epic poetry is present in many cultures where literacy isn’t necessarily present through strong oral traditions.</w:t>
      </w:r>
    </w:p>
  </w:footnote>
  <w:footnote w:id="17">
    <w:p w:rsidR="00B05127" w:rsidRDefault="00B05127">
      <w:pPr>
        <w:pStyle w:val="FootnoteText"/>
      </w:pPr>
      <w:r>
        <w:rPr>
          <w:rStyle w:val="FootnoteReference"/>
        </w:rPr>
        <w:footnoteRef/>
      </w:r>
      <w:r>
        <w:t xml:space="preserve"> </w:t>
      </w:r>
      <w:proofErr w:type="spellStart"/>
      <w:r>
        <w:t>Hom.Il</w:t>
      </w:r>
      <w:proofErr w:type="spellEnd"/>
      <w:r>
        <w:t>. 2.215-220</w:t>
      </w:r>
    </w:p>
  </w:footnote>
  <w:footnote w:id="18">
    <w:p w:rsidR="00B05127" w:rsidRDefault="00B05127">
      <w:pPr>
        <w:pStyle w:val="FootnoteText"/>
      </w:pPr>
      <w:r>
        <w:rPr>
          <w:rStyle w:val="FootnoteReference"/>
        </w:rPr>
        <w:footnoteRef/>
      </w:r>
      <w:r>
        <w:t xml:space="preserve"> </w:t>
      </w:r>
      <w:proofErr w:type="spellStart"/>
      <w:r>
        <w:t>Beye</w:t>
      </w:r>
      <w:proofErr w:type="spellEnd"/>
      <w:r>
        <w:t>, C.R. 1968. Pg.86</w:t>
      </w:r>
    </w:p>
  </w:footnote>
  <w:footnote w:id="19">
    <w:p w:rsidR="007C6EE2" w:rsidRDefault="007C6EE2">
      <w:pPr>
        <w:pStyle w:val="FootnoteText"/>
      </w:pPr>
      <w:r>
        <w:rPr>
          <w:rStyle w:val="FootnoteReference"/>
        </w:rPr>
        <w:footnoteRef/>
      </w:r>
      <w:r>
        <w:t xml:space="preserve"> Postlethwaite, N. 1988.</w:t>
      </w:r>
    </w:p>
  </w:footnote>
  <w:footnote w:id="20">
    <w:p w:rsidR="007C6EE2" w:rsidRDefault="007C6EE2">
      <w:pPr>
        <w:pStyle w:val="FootnoteText"/>
      </w:pPr>
      <w:r>
        <w:rPr>
          <w:rStyle w:val="FootnoteReference"/>
        </w:rPr>
        <w:footnoteRef/>
      </w:r>
      <w:r>
        <w:t xml:space="preserve"> </w:t>
      </w:r>
      <w:proofErr w:type="spellStart"/>
      <w:r>
        <w:t>Hom.Il</w:t>
      </w:r>
      <w:proofErr w:type="spellEnd"/>
      <w:r>
        <w:t xml:space="preserve"> 2.265-270</w:t>
      </w:r>
    </w:p>
  </w:footnote>
  <w:footnote w:id="21">
    <w:p w:rsidR="00D22594" w:rsidRDefault="00D22594">
      <w:pPr>
        <w:pStyle w:val="FootnoteText"/>
      </w:pPr>
      <w:r>
        <w:rPr>
          <w:rStyle w:val="FootnoteReference"/>
        </w:rPr>
        <w:footnoteRef/>
      </w:r>
      <w:r>
        <w:t xml:space="preserve"> I use this phrase as a loose term to describe the set of virtues discussed by ancient Greek philosophers starting with Socrates from around the 5</w:t>
      </w:r>
      <w:r w:rsidRPr="00D22594">
        <w:rPr>
          <w:vertAlign w:val="superscript"/>
        </w:rPr>
        <w:t>th</w:t>
      </w:r>
      <w:r>
        <w:t xml:space="preserve"> century B.C.E as these reflect the culture at the time.</w:t>
      </w:r>
    </w:p>
  </w:footnote>
  <w:footnote w:id="22">
    <w:p w:rsidR="00D22594" w:rsidRDefault="00D22594">
      <w:pPr>
        <w:pStyle w:val="FootnoteText"/>
      </w:pPr>
      <w:r>
        <w:rPr>
          <w:rStyle w:val="FootnoteReference"/>
        </w:rPr>
        <w:footnoteRef/>
      </w:r>
      <w:r>
        <w:t xml:space="preserve"> Rankin, H.D. 1972. Pg.36-60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E41D04"/>
    <w:multiLevelType w:val="hybridMultilevel"/>
    <w:tmpl w:val="D2BC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D1C4D"/>
    <w:multiLevelType w:val="hybridMultilevel"/>
    <w:tmpl w:val="FC5AB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175F9D"/>
    <w:multiLevelType w:val="hybridMultilevel"/>
    <w:tmpl w:val="C4660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E643B6"/>
    <w:multiLevelType w:val="hybridMultilevel"/>
    <w:tmpl w:val="A612B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4E3"/>
    <w:rsid w:val="000459A4"/>
    <w:rsid w:val="00107763"/>
    <w:rsid w:val="00136858"/>
    <w:rsid w:val="001825A9"/>
    <w:rsid w:val="00196376"/>
    <w:rsid w:val="00212339"/>
    <w:rsid w:val="00235005"/>
    <w:rsid w:val="002658CF"/>
    <w:rsid w:val="002714DB"/>
    <w:rsid w:val="002817EE"/>
    <w:rsid w:val="002A7217"/>
    <w:rsid w:val="002C12FF"/>
    <w:rsid w:val="00335E32"/>
    <w:rsid w:val="00383B12"/>
    <w:rsid w:val="003C14E3"/>
    <w:rsid w:val="003D2DE5"/>
    <w:rsid w:val="003F29DB"/>
    <w:rsid w:val="00414195"/>
    <w:rsid w:val="00425FA9"/>
    <w:rsid w:val="005D4DBF"/>
    <w:rsid w:val="00772196"/>
    <w:rsid w:val="007857AE"/>
    <w:rsid w:val="0078766C"/>
    <w:rsid w:val="00790EED"/>
    <w:rsid w:val="00791FA9"/>
    <w:rsid w:val="007C4AF2"/>
    <w:rsid w:val="007C6EE2"/>
    <w:rsid w:val="007F0330"/>
    <w:rsid w:val="00882F77"/>
    <w:rsid w:val="00887D8D"/>
    <w:rsid w:val="00950C68"/>
    <w:rsid w:val="00961B45"/>
    <w:rsid w:val="0096439E"/>
    <w:rsid w:val="00A042C6"/>
    <w:rsid w:val="00A94B17"/>
    <w:rsid w:val="00AE436A"/>
    <w:rsid w:val="00B05127"/>
    <w:rsid w:val="00B376AF"/>
    <w:rsid w:val="00BE415C"/>
    <w:rsid w:val="00D22594"/>
    <w:rsid w:val="00DA23BC"/>
    <w:rsid w:val="00DE28E7"/>
    <w:rsid w:val="00DF137F"/>
    <w:rsid w:val="00DF1DBA"/>
    <w:rsid w:val="00DF5568"/>
    <w:rsid w:val="00F164D7"/>
    <w:rsid w:val="00F27DB5"/>
    <w:rsid w:val="00F32370"/>
    <w:rsid w:val="00F92D5B"/>
    <w:rsid w:val="00FC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62FBE"/>
  <w15:chartTrackingRefBased/>
  <w15:docId w15:val="{8AB13C9C-3256-4FD1-9F40-F4E06EC6E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14E3"/>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459A4"/>
    <w:rPr>
      <w:sz w:val="20"/>
      <w:szCs w:val="20"/>
    </w:rPr>
  </w:style>
  <w:style w:type="character" w:customStyle="1" w:styleId="FootnoteTextChar">
    <w:name w:val="Footnote Text Char"/>
    <w:basedOn w:val="DefaultParagraphFont"/>
    <w:link w:val="FootnoteText"/>
    <w:uiPriority w:val="99"/>
    <w:semiHidden/>
    <w:rsid w:val="000459A4"/>
    <w:rPr>
      <w:rFonts w:eastAsiaTheme="minorEastAsia"/>
      <w:sz w:val="20"/>
      <w:szCs w:val="20"/>
    </w:rPr>
  </w:style>
  <w:style w:type="character" w:styleId="FootnoteReference">
    <w:name w:val="footnote reference"/>
    <w:basedOn w:val="DefaultParagraphFont"/>
    <w:uiPriority w:val="99"/>
    <w:semiHidden/>
    <w:unhideWhenUsed/>
    <w:rsid w:val="000459A4"/>
    <w:rPr>
      <w:vertAlign w:val="superscript"/>
    </w:rPr>
  </w:style>
  <w:style w:type="paragraph" w:styleId="ListParagraph">
    <w:name w:val="List Paragraph"/>
    <w:basedOn w:val="Normal"/>
    <w:uiPriority w:val="34"/>
    <w:qFormat/>
    <w:rsid w:val="00B37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940223">
      <w:bodyDiv w:val="1"/>
      <w:marLeft w:val="0"/>
      <w:marRight w:val="0"/>
      <w:marTop w:val="0"/>
      <w:marBottom w:val="0"/>
      <w:divBdr>
        <w:top w:val="none" w:sz="0" w:space="0" w:color="auto"/>
        <w:left w:val="none" w:sz="0" w:space="0" w:color="auto"/>
        <w:bottom w:val="none" w:sz="0" w:space="0" w:color="auto"/>
        <w:right w:val="none" w:sz="0" w:space="0" w:color="auto"/>
      </w:divBdr>
    </w:div>
    <w:div w:id="966160861">
      <w:bodyDiv w:val="1"/>
      <w:marLeft w:val="0"/>
      <w:marRight w:val="0"/>
      <w:marTop w:val="0"/>
      <w:marBottom w:val="0"/>
      <w:divBdr>
        <w:top w:val="none" w:sz="0" w:space="0" w:color="auto"/>
        <w:left w:val="none" w:sz="0" w:space="0" w:color="auto"/>
        <w:bottom w:val="none" w:sz="0" w:space="0" w:color="auto"/>
        <w:right w:val="none" w:sz="0" w:space="0" w:color="auto"/>
      </w:divBdr>
    </w:div>
    <w:div w:id="121073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CE134-0874-46FF-8B4D-6A47DE7C4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1403</Words>
  <Characters>7087</Characters>
  <Application>Microsoft Office Word</Application>
  <DocSecurity>0</DocSecurity>
  <Lines>133</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2017-11-28T19:08:00Z</dcterms:created>
  <dcterms:modified xsi:type="dcterms:W3CDTF">2017-11-28T19:08:00Z</dcterms:modified>
</cp:coreProperties>
</file>