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kern w:val="2"/>
          <w:sz w:val="24"/>
          <w:szCs w:val="24"/>
          <w:lang w:val="en-GB" w:eastAsia="zh-CN"/>
          <w14:ligatures w14:val="standardContextual"/>
        </w:rPr>
        <w:id w:val="1802191154"/>
        <w:docPartObj>
          <w:docPartGallery w:val="Cover Pages"/>
          <w:docPartUnique/>
        </w:docPartObj>
      </w:sdtPr>
      <w:sdtEndPr>
        <w:rPr>
          <w:rFonts w:ascii="Arial" w:hAnsi="Arial" w:cs="Arial"/>
          <w:color w:val="auto"/>
        </w:rPr>
      </w:sdtEndPr>
      <w:sdtContent>
        <w:p w14:paraId="4BCF95D2" w14:textId="3F93FF67" w:rsidR="008C57CA" w:rsidRPr="008322AE" w:rsidRDefault="008C57CA">
          <w:pPr>
            <w:pStyle w:val="NoSpacing"/>
            <w:spacing w:before="1540" w:after="240"/>
            <w:jc w:val="center"/>
            <w:rPr>
              <w:rFonts w:ascii="Arial" w:hAnsi="Arial" w:cs="Arial"/>
              <w:color w:val="156082" w:themeColor="accent1"/>
            </w:rPr>
          </w:pPr>
          <w:r w:rsidRPr="008322AE">
            <w:rPr>
              <w:rFonts w:ascii="Arial" w:hAnsi="Arial" w:cs="Arial"/>
              <w:noProof/>
              <w:color w:val="156082" w:themeColor="accent1"/>
            </w:rPr>
            <w:drawing>
              <wp:inline distT="0" distB="0" distL="0" distR="0" wp14:anchorId="2246FFD1" wp14:editId="18D0CA2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56"/>
              <w:szCs w:val="56"/>
            </w:rPr>
            <w:alias w:val="Title"/>
            <w:tag w:val=""/>
            <w:id w:val="1735040861"/>
            <w:placeholder>
              <w:docPart w:val="221E7D54CFDE47AEA6654976D7A50433"/>
            </w:placeholder>
            <w:dataBinding w:prefixMappings="xmlns:ns0='http://purl.org/dc/elements/1.1/' xmlns:ns1='http://schemas.openxmlformats.org/package/2006/metadata/core-properties' " w:xpath="/ns1:coreProperties[1]/ns0:title[1]" w:storeItemID="{6C3C8BC8-F283-45AE-878A-BAB7291924A1}"/>
            <w:text/>
          </w:sdtPr>
          <w:sdtEndPr/>
          <w:sdtContent>
            <w:p w14:paraId="75B3899B" w14:textId="266CC744" w:rsidR="008C57CA" w:rsidRPr="008322AE" w:rsidRDefault="008C57CA">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56"/>
                  <w:szCs w:val="56"/>
                </w:rPr>
              </w:pPr>
              <w:r w:rsidRPr="008322AE">
                <w:rPr>
                  <w:rFonts w:ascii="Arial" w:eastAsiaTheme="majorEastAsia" w:hAnsi="Arial" w:cs="Arial"/>
                  <w:caps/>
                  <w:color w:val="156082" w:themeColor="accent1"/>
                  <w:sz w:val="56"/>
                  <w:szCs w:val="56"/>
                </w:rPr>
                <w:t>Essay</w:t>
              </w:r>
            </w:p>
          </w:sdtContent>
        </w:sdt>
        <w:sdt>
          <w:sdtPr>
            <w:rPr>
              <w:rFonts w:ascii="Arial" w:hAnsi="Arial" w:cs="Arial"/>
              <w:color w:val="156082" w:themeColor="accent1"/>
              <w:kern w:val="2"/>
              <w:sz w:val="28"/>
              <w:szCs w:val="28"/>
              <w:lang w:val="en-GB" w:eastAsia="zh-CN"/>
              <w14:ligatures w14:val="standardContextual"/>
            </w:rPr>
            <w:alias w:val="Subtitle"/>
            <w:tag w:val=""/>
            <w:id w:val="328029620"/>
            <w:placeholder>
              <w:docPart w:val="F48D032B8C2943748541101539F57D61"/>
            </w:placeholder>
            <w:dataBinding w:prefixMappings="xmlns:ns0='http://purl.org/dc/elements/1.1/' xmlns:ns1='http://schemas.openxmlformats.org/package/2006/metadata/core-properties' " w:xpath="/ns1:coreProperties[1]/ns0:subject[1]" w:storeItemID="{6C3C8BC8-F283-45AE-878A-BAB7291924A1}"/>
            <w:text/>
          </w:sdtPr>
          <w:sdtEndPr/>
          <w:sdtContent>
            <w:p w14:paraId="03B2E3DE" w14:textId="65356C4C" w:rsidR="008C57CA" w:rsidRPr="008322AE" w:rsidRDefault="0066695F" w:rsidP="0066695F">
              <w:pPr>
                <w:pStyle w:val="NoSpacing"/>
                <w:jc w:val="center"/>
                <w:rPr>
                  <w:rFonts w:ascii="Arial" w:hAnsi="Arial" w:cs="Arial"/>
                  <w:color w:val="156082" w:themeColor="accent1"/>
                  <w:sz w:val="28"/>
                  <w:szCs w:val="28"/>
                </w:rPr>
              </w:pPr>
              <w:r w:rsidRPr="0066695F">
                <w:rPr>
                  <w:rFonts w:ascii="Arial" w:hAnsi="Arial" w:cs="Arial"/>
                  <w:color w:val="156082" w:themeColor="accent1"/>
                  <w:kern w:val="2"/>
                  <w:sz w:val="28"/>
                  <w:szCs w:val="28"/>
                  <w:lang w:val="en-GB" w:eastAsia="zh-CN"/>
                  <w14:ligatures w14:val="standardContextual"/>
                </w:rPr>
                <w:t>The Importance of Time Management and Academic Integrity for Academic and Professional Success</w:t>
              </w:r>
            </w:p>
          </w:sdtContent>
        </w:sdt>
        <w:p w14:paraId="00DC6623" w14:textId="0248623F" w:rsidR="008C57CA" w:rsidRPr="008322AE" w:rsidRDefault="008C57CA">
          <w:pPr>
            <w:pStyle w:val="NoSpacing"/>
            <w:spacing w:before="480"/>
            <w:jc w:val="center"/>
            <w:rPr>
              <w:rFonts w:ascii="Arial" w:hAnsi="Arial" w:cs="Arial"/>
              <w:color w:val="156082" w:themeColor="accent1"/>
            </w:rPr>
          </w:pPr>
          <w:r w:rsidRPr="008322AE">
            <w:rPr>
              <w:rFonts w:ascii="Arial" w:hAnsi="Arial" w:cs="Arial"/>
              <w:noProof/>
              <w:color w:val="156082" w:themeColor="accent1"/>
            </w:rPr>
            <w:drawing>
              <wp:inline distT="0" distB="0" distL="0" distR="0" wp14:anchorId="62137712" wp14:editId="7ECA1E35">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E08DD35" w14:textId="2DEDCD46" w:rsidR="008C57CA" w:rsidRPr="008322AE" w:rsidRDefault="000505DF">
          <w:pPr>
            <w:rPr>
              <w:rFonts w:ascii="Arial" w:hAnsi="Arial" w:cs="Arial"/>
            </w:rPr>
          </w:pPr>
          <w:r w:rsidRPr="008322AE">
            <w:rPr>
              <w:rFonts w:ascii="Arial" w:hAnsi="Arial" w:cs="Arial"/>
              <w:noProof/>
              <w:color w:val="156082" w:themeColor="accent1"/>
            </w:rPr>
            <mc:AlternateContent>
              <mc:Choice Requires="wps">
                <w:drawing>
                  <wp:anchor distT="0" distB="0" distL="114300" distR="114300" simplePos="0" relativeHeight="251659264" behindDoc="0" locked="0" layoutInCell="1" allowOverlap="1" wp14:anchorId="1CE6DA66" wp14:editId="16E8CDBA">
                    <wp:simplePos x="0" y="0"/>
                    <wp:positionH relativeFrom="margin">
                      <wp:align>right</wp:align>
                    </wp:positionH>
                    <wp:positionV relativeFrom="page">
                      <wp:posOffset>7132320</wp:posOffset>
                    </wp:positionV>
                    <wp:extent cx="6553200" cy="557784"/>
                    <wp:effectExtent l="0" t="0" r="2540" b="635"/>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EC1057" w14:textId="7E8CFD84" w:rsidR="008C57CA" w:rsidRPr="00E62B0C" w:rsidRDefault="000505DF" w:rsidP="00C73B90">
                                <w:pPr>
                                  <w:pStyle w:val="NoSpacing"/>
                                  <w:spacing w:after="40" w:line="360" w:lineRule="auto"/>
                                  <w:rPr>
                                    <w:rFonts w:ascii="Arial" w:hAnsi="Arial" w:cs="Arial"/>
                                    <w:color w:val="156082" w:themeColor="accent1"/>
                                    <w:sz w:val="28"/>
                                    <w:szCs w:val="28"/>
                                  </w:rPr>
                                </w:pPr>
                                <w:r w:rsidRPr="00E62B0C">
                                  <w:rPr>
                                    <w:rFonts w:ascii="Arial" w:hAnsi="Arial" w:cs="Arial"/>
                                    <w:color w:val="156082" w:themeColor="accent1"/>
                                    <w:sz w:val="28"/>
                                    <w:szCs w:val="28"/>
                                  </w:rPr>
                                  <w:t>Student Name: YZ (</w:t>
                                </w:r>
                                <w:proofErr w:type="spellStart"/>
                                <w:r w:rsidRPr="00E62B0C">
                                  <w:rPr>
                                    <w:rFonts w:ascii="Arial" w:hAnsi="Arial" w:cs="Arial"/>
                                    <w:color w:val="156082" w:themeColor="accent1"/>
                                    <w:sz w:val="28"/>
                                    <w:szCs w:val="28"/>
                                  </w:rPr>
                                  <w:t>xxxxxxx</w:t>
                                </w:r>
                                <w:proofErr w:type="spellEnd"/>
                                <w:r w:rsidRPr="00E62B0C">
                                  <w:rPr>
                                    <w:rFonts w:ascii="Arial" w:hAnsi="Arial" w:cs="Arial"/>
                                    <w:color w:val="156082" w:themeColor="accent1"/>
                                    <w:sz w:val="28"/>
                                    <w:szCs w:val="28"/>
                                  </w:rPr>
                                  <w:t>)</w:t>
                                </w:r>
                              </w:p>
                              <w:p w14:paraId="1F275CD9" w14:textId="4073456D" w:rsidR="00BB4FFB" w:rsidRPr="00E62B0C" w:rsidRDefault="000505DF" w:rsidP="00C73B90">
                                <w:pPr>
                                  <w:pStyle w:val="NoSpacing"/>
                                  <w:spacing w:after="40" w:line="360" w:lineRule="auto"/>
                                  <w:rPr>
                                    <w:rFonts w:ascii="Arial" w:hAnsi="Arial" w:cs="Arial"/>
                                    <w:caps/>
                                    <w:color w:val="156082" w:themeColor="accent1"/>
                                    <w:sz w:val="28"/>
                                    <w:szCs w:val="28"/>
                                  </w:rPr>
                                </w:pPr>
                                <w:r w:rsidRPr="00E62B0C">
                                  <w:rPr>
                                    <w:rFonts w:ascii="Arial" w:hAnsi="Arial" w:cs="Arial"/>
                                    <w:color w:val="156082" w:themeColor="accent1"/>
                                    <w:sz w:val="28"/>
                                    <w:szCs w:val="28"/>
                                  </w:rPr>
                                  <w:t>Academic, Industry, and Digital Skills (BMTP4015)</w:t>
                                </w:r>
                              </w:p>
                              <w:p w14:paraId="1A03F066" w14:textId="2619A04D" w:rsidR="006D5A87" w:rsidRPr="00E62B0C" w:rsidRDefault="000505DF" w:rsidP="00C73B90">
                                <w:pPr>
                                  <w:pStyle w:val="NoSpacing"/>
                                  <w:spacing w:line="360" w:lineRule="auto"/>
                                  <w:rPr>
                                    <w:rFonts w:ascii="Arial" w:hAnsi="Arial" w:cs="Arial"/>
                                    <w:caps/>
                                    <w:color w:val="156082" w:themeColor="accent1"/>
                                    <w:sz w:val="28"/>
                                    <w:szCs w:val="28"/>
                                  </w:rPr>
                                </w:pPr>
                                <w:r w:rsidRPr="00E62B0C">
                                  <w:rPr>
                                    <w:rFonts w:ascii="Arial" w:hAnsi="Arial" w:cs="Arial"/>
                                    <w:color w:val="156082" w:themeColor="accent1"/>
                                    <w:sz w:val="28"/>
                                    <w:szCs w:val="28"/>
                                  </w:rPr>
                                  <w:t>Lecturer: Lisa Bassler</w:t>
                                </w:r>
                              </w:p>
                              <w:p w14:paraId="0F6ABF88" w14:textId="0EAE4117" w:rsidR="008C57CA" w:rsidRPr="00E62B0C" w:rsidRDefault="00FC6B27" w:rsidP="00C73B90">
                                <w:pPr>
                                  <w:pStyle w:val="NoSpacing"/>
                                  <w:spacing w:line="360" w:lineRule="auto"/>
                                  <w:rPr>
                                    <w:rFonts w:ascii="Arial" w:hAnsi="Arial" w:cs="Arial"/>
                                    <w:color w:val="156082" w:themeColor="accent1"/>
                                    <w:sz w:val="28"/>
                                    <w:szCs w:val="28"/>
                                  </w:rPr>
                                </w:pPr>
                                <w:sdt>
                                  <w:sdtPr>
                                    <w:rPr>
                                      <w:rFonts w:ascii="Arial" w:hAnsi="Arial" w:cs="Arial"/>
                                      <w:color w:val="156082"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0505DF" w:rsidRPr="00E62B0C">
                                      <w:rPr>
                                        <w:rFonts w:ascii="Arial" w:hAnsi="Arial" w:cs="Arial"/>
                                        <w:color w:val="156082" w:themeColor="accent1"/>
                                        <w:sz w:val="28"/>
                                        <w:szCs w:val="28"/>
                                      </w:rPr>
                                      <w:t>W</w:t>
                                    </w:r>
                                  </w:sdtContent>
                                </w:sdt>
                                <w:r w:rsidR="000505DF" w:rsidRPr="00E62B0C">
                                  <w:rPr>
                                    <w:rFonts w:ascii="Arial" w:hAnsi="Arial" w:cs="Arial"/>
                                    <w:color w:val="156082" w:themeColor="accent1"/>
                                    <w:sz w:val="28"/>
                                    <w:szCs w:val="28"/>
                                  </w:rPr>
                                  <w:t xml:space="preserve">ord Count: </w:t>
                                </w:r>
                                <w:proofErr w:type="spellStart"/>
                                <w:r w:rsidR="00FB6BB8">
                                  <w:rPr>
                                    <w:rFonts w:ascii="Arial" w:hAnsi="Arial" w:cs="Arial"/>
                                    <w:color w:val="156082" w:themeColor="accent1"/>
                                    <w:sz w:val="28"/>
                                    <w:szCs w:val="28"/>
                                  </w:rPr>
                                  <w:t>xxxx</w:t>
                                </w:r>
                                <w:proofErr w:type="spellEnd"/>
                                <w:r w:rsidR="000505DF" w:rsidRPr="00E62B0C">
                                  <w:rPr>
                                    <w:rFonts w:ascii="Arial" w:hAnsi="Arial" w:cs="Arial"/>
                                    <w:color w:val="156082" w:themeColor="accent1"/>
                                    <w:sz w:val="28"/>
                                    <w:szCs w:val="28"/>
                                  </w:rPr>
                                  <w:t xml:space="preserve"> words</w:t>
                                </w:r>
                              </w:p>
                              <w:p w14:paraId="41316121" w14:textId="203AEDC4" w:rsidR="000505DF" w:rsidRPr="00E62B0C" w:rsidRDefault="00C73B90" w:rsidP="00C73B90">
                                <w:pPr>
                                  <w:pStyle w:val="NoSpacing"/>
                                  <w:spacing w:line="360" w:lineRule="auto"/>
                                  <w:rPr>
                                    <w:rFonts w:ascii="Arial" w:hAnsi="Arial" w:cs="Arial"/>
                                    <w:color w:val="156082" w:themeColor="accent1"/>
                                    <w:sz w:val="28"/>
                                    <w:szCs w:val="28"/>
                                  </w:rPr>
                                </w:pPr>
                                <w:r w:rsidRPr="00E62B0C">
                                  <w:rPr>
                                    <w:rFonts w:ascii="Arial" w:hAnsi="Arial" w:cs="Arial"/>
                                    <w:color w:val="156082" w:themeColor="accent1"/>
                                    <w:sz w:val="28"/>
                                    <w:szCs w:val="28"/>
                                  </w:rPr>
                                  <w:t xml:space="preserve">Date: </w:t>
                                </w:r>
                                <w:r w:rsidR="00174189" w:rsidRPr="00E62B0C">
                                  <w:rPr>
                                    <w:rFonts w:ascii="Arial" w:hAnsi="Arial" w:cs="Arial"/>
                                    <w:color w:val="156082" w:themeColor="accent1"/>
                                    <w:sz w:val="28"/>
                                    <w:szCs w:val="28"/>
                                  </w:rPr>
                                  <w:t>1</w:t>
                                </w:r>
                                <w:r w:rsidR="00B559E3">
                                  <w:rPr>
                                    <w:rFonts w:ascii="Arial" w:hAnsi="Arial" w:cs="Arial"/>
                                    <w:color w:val="156082" w:themeColor="accent1"/>
                                    <w:sz w:val="28"/>
                                    <w:szCs w:val="28"/>
                                  </w:rPr>
                                  <w:t>5</w:t>
                                </w:r>
                                <w:r w:rsidR="000505DF" w:rsidRPr="00E62B0C">
                                  <w:rPr>
                                    <w:rFonts w:ascii="Arial" w:hAnsi="Arial" w:cs="Arial"/>
                                    <w:color w:val="156082" w:themeColor="accent1"/>
                                    <w:sz w:val="28"/>
                                    <w:szCs w:val="28"/>
                                    <w:vertAlign w:val="superscript"/>
                                  </w:rPr>
                                  <w:t>th</w:t>
                                </w:r>
                                <w:r w:rsidR="000505DF" w:rsidRPr="00E62B0C">
                                  <w:rPr>
                                    <w:rFonts w:ascii="Arial" w:hAnsi="Arial" w:cs="Arial"/>
                                    <w:color w:val="156082" w:themeColor="accent1"/>
                                    <w:sz w:val="28"/>
                                    <w:szCs w:val="28"/>
                                  </w:rPr>
                                  <w:t xml:space="preserve"> </w:t>
                                </w:r>
                                <w:r w:rsidR="00174189" w:rsidRPr="00E62B0C">
                                  <w:rPr>
                                    <w:rFonts w:ascii="Arial" w:hAnsi="Arial" w:cs="Arial"/>
                                    <w:color w:val="156082" w:themeColor="accent1"/>
                                    <w:sz w:val="28"/>
                                    <w:szCs w:val="28"/>
                                  </w:rPr>
                                  <w:t>November</w:t>
                                </w:r>
                                <w:r w:rsidR="000505DF" w:rsidRPr="00E62B0C">
                                  <w:rPr>
                                    <w:rFonts w:ascii="Arial" w:hAnsi="Arial" w:cs="Arial"/>
                                    <w:color w:val="156082" w:themeColor="accent1"/>
                                    <w:sz w:val="28"/>
                                    <w:szCs w:val="28"/>
                                  </w:rPr>
                                  <w:t xml:space="preserve"> 202</w:t>
                                </w:r>
                                <w:r w:rsidR="00B559E3">
                                  <w:rPr>
                                    <w:rFonts w:ascii="Arial" w:hAnsi="Arial" w:cs="Arial"/>
                                    <w:color w:val="156082" w:themeColor="accent1"/>
                                    <w:sz w:val="28"/>
                                    <w:szCs w:val="28"/>
                                  </w:rPr>
                                  <w:t>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CE6DA66" id="_x0000_t202" coordsize="21600,21600" o:spt="202" path="m,l,21600r21600,l21600,xe">
                    <v:stroke joinstyle="miter"/>
                    <v:path gradientshapeok="t" o:connecttype="rect"/>
                  </v:shapetype>
                  <v:shape id="Text Box 44" o:spid="_x0000_s1026" type="#_x0000_t202" style="position:absolute;margin-left:464.8pt;margin-top:561.6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" filled="f" stroked="f" strokeweight=".5pt">
                    <v:textbox style="mso-fit-shape-to-text:t" inset="0,0,0,0">
                      <w:txbxContent>
                        <w:p w14:paraId="57EC1057" w14:textId="7E8CFD84" w:rsidR="008C57CA" w:rsidRPr="00E62B0C" w:rsidRDefault="000505DF" w:rsidP="00C73B90">
                          <w:pPr>
                            <w:pStyle w:val="NoSpacing"/>
                            <w:spacing w:after="40" w:line="360" w:lineRule="auto"/>
                            <w:rPr>
                              <w:rFonts w:ascii="Arial" w:hAnsi="Arial" w:cs="Arial"/>
                              <w:color w:val="156082" w:themeColor="accent1"/>
                              <w:sz w:val="28"/>
                              <w:szCs w:val="28"/>
                            </w:rPr>
                          </w:pPr>
                          <w:r w:rsidRPr="00E62B0C">
                            <w:rPr>
                              <w:rFonts w:ascii="Arial" w:hAnsi="Arial" w:cs="Arial"/>
                              <w:color w:val="156082" w:themeColor="accent1"/>
                              <w:sz w:val="28"/>
                              <w:szCs w:val="28"/>
                            </w:rPr>
                            <w:t>Student Name: YZ (</w:t>
                          </w:r>
                          <w:proofErr w:type="spellStart"/>
                          <w:r w:rsidRPr="00E62B0C">
                            <w:rPr>
                              <w:rFonts w:ascii="Arial" w:hAnsi="Arial" w:cs="Arial"/>
                              <w:color w:val="156082" w:themeColor="accent1"/>
                              <w:sz w:val="28"/>
                              <w:szCs w:val="28"/>
                            </w:rPr>
                            <w:t>xxxxxxx</w:t>
                          </w:r>
                          <w:proofErr w:type="spellEnd"/>
                          <w:r w:rsidRPr="00E62B0C">
                            <w:rPr>
                              <w:rFonts w:ascii="Arial" w:hAnsi="Arial" w:cs="Arial"/>
                              <w:color w:val="156082" w:themeColor="accent1"/>
                              <w:sz w:val="28"/>
                              <w:szCs w:val="28"/>
                            </w:rPr>
                            <w:t>)</w:t>
                          </w:r>
                        </w:p>
                        <w:p w14:paraId="1F275CD9" w14:textId="4073456D" w:rsidR="00BB4FFB" w:rsidRPr="00E62B0C" w:rsidRDefault="000505DF" w:rsidP="00C73B90">
                          <w:pPr>
                            <w:pStyle w:val="NoSpacing"/>
                            <w:spacing w:after="40" w:line="360" w:lineRule="auto"/>
                            <w:rPr>
                              <w:rFonts w:ascii="Arial" w:hAnsi="Arial" w:cs="Arial"/>
                              <w:caps/>
                              <w:color w:val="156082" w:themeColor="accent1"/>
                              <w:sz w:val="28"/>
                              <w:szCs w:val="28"/>
                            </w:rPr>
                          </w:pPr>
                          <w:r w:rsidRPr="00E62B0C">
                            <w:rPr>
                              <w:rFonts w:ascii="Arial" w:hAnsi="Arial" w:cs="Arial"/>
                              <w:color w:val="156082" w:themeColor="accent1"/>
                              <w:sz w:val="28"/>
                              <w:szCs w:val="28"/>
                            </w:rPr>
                            <w:t>Academic, Industry, and Digital Skills (BMTP4015)</w:t>
                          </w:r>
                        </w:p>
                        <w:p w14:paraId="1A03F066" w14:textId="2619A04D" w:rsidR="006D5A87" w:rsidRPr="00E62B0C" w:rsidRDefault="000505DF" w:rsidP="00C73B90">
                          <w:pPr>
                            <w:pStyle w:val="NoSpacing"/>
                            <w:spacing w:line="360" w:lineRule="auto"/>
                            <w:rPr>
                              <w:rFonts w:ascii="Arial" w:hAnsi="Arial" w:cs="Arial"/>
                              <w:caps/>
                              <w:color w:val="156082" w:themeColor="accent1"/>
                              <w:sz w:val="28"/>
                              <w:szCs w:val="28"/>
                            </w:rPr>
                          </w:pPr>
                          <w:r w:rsidRPr="00E62B0C">
                            <w:rPr>
                              <w:rFonts w:ascii="Arial" w:hAnsi="Arial" w:cs="Arial"/>
                              <w:color w:val="156082" w:themeColor="accent1"/>
                              <w:sz w:val="28"/>
                              <w:szCs w:val="28"/>
                            </w:rPr>
                            <w:t>Lecturer: Lisa Bassler</w:t>
                          </w:r>
                        </w:p>
                        <w:p w14:paraId="0F6ABF88" w14:textId="0EAE4117" w:rsidR="008C57CA" w:rsidRPr="00E62B0C" w:rsidRDefault="00FC6B27" w:rsidP="00C73B90">
                          <w:pPr>
                            <w:pStyle w:val="NoSpacing"/>
                            <w:spacing w:line="360" w:lineRule="auto"/>
                            <w:rPr>
                              <w:rFonts w:ascii="Arial" w:hAnsi="Arial" w:cs="Arial"/>
                              <w:color w:val="156082" w:themeColor="accent1"/>
                              <w:sz w:val="28"/>
                              <w:szCs w:val="28"/>
                            </w:rPr>
                          </w:pPr>
                          <w:sdt>
                            <w:sdtPr>
                              <w:rPr>
                                <w:rFonts w:ascii="Arial" w:hAnsi="Arial" w:cs="Arial"/>
                                <w:color w:val="156082"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0505DF" w:rsidRPr="00E62B0C">
                                <w:rPr>
                                  <w:rFonts w:ascii="Arial" w:hAnsi="Arial" w:cs="Arial"/>
                                  <w:color w:val="156082" w:themeColor="accent1"/>
                                  <w:sz w:val="28"/>
                                  <w:szCs w:val="28"/>
                                </w:rPr>
                                <w:t>W</w:t>
                              </w:r>
                            </w:sdtContent>
                          </w:sdt>
                          <w:r w:rsidR="000505DF" w:rsidRPr="00E62B0C">
                            <w:rPr>
                              <w:rFonts w:ascii="Arial" w:hAnsi="Arial" w:cs="Arial"/>
                              <w:color w:val="156082" w:themeColor="accent1"/>
                              <w:sz w:val="28"/>
                              <w:szCs w:val="28"/>
                            </w:rPr>
                            <w:t xml:space="preserve">ord Count: </w:t>
                          </w:r>
                          <w:proofErr w:type="spellStart"/>
                          <w:r w:rsidR="00FB6BB8">
                            <w:rPr>
                              <w:rFonts w:ascii="Arial" w:hAnsi="Arial" w:cs="Arial"/>
                              <w:color w:val="156082" w:themeColor="accent1"/>
                              <w:sz w:val="28"/>
                              <w:szCs w:val="28"/>
                            </w:rPr>
                            <w:t>xxxx</w:t>
                          </w:r>
                          <w:proofErr w:type="spellEnd"/>
                          <w:r w:rsidR="000505DF" w:rsidRPr="00E62B0C">
                            <w:rPr>
                              <w:rFonts w:ascii="Arial" w:hAnsi="Arial" w:cs="Arial"/>
                              <w:color w:val="156082" w:themeColor="accent1"/>
                              <w:sz w:val="28"/>
                              <w:szCs w:val="28"/>
                            </w:rPr>
                            <w:t xml:space="preserve"> words</w:t>
                          </w:r>
                        </w:p>
                        <w:p w14:paraId="41316121" w14:textId="203AEDC4" w:rsidR="000505DF" w:rsidRPr="00E62B0C" w:rsidRDefault="00C73B90" w:rsidP="00C73B90">
                          <w:pPr>
                            <w:pStyle w:val="NoSpacing"/>
                            <w:spacing w:line="360" w:lineRule="auto"/>
                            <w:rPr>
                              <w:rFonts w:ascii="Arial" w:hAnsi="Arial" w:cs="Arial"/>
                              <w:color w:val="156082" w:themeColor="accent1"/>
                              <w:sz w:val="28"/>
                              <w:szCs w:val="28"/>
                            </w:rPr>
                          </w:pPr>
                          <w:r w:rsidRPr="00E62B0C">
                            <w:rPr>
                              <w:rFonts w:ascii="Arial" w:hAnsi="Arial" w:cs="Arial"/>
                              <w:color w:val="156082" w:themeColor="accent1"/>
                              <w:sz w:val="28"/>
                              <w:szCs w:val="28"/>
                            </w:rPr>
                            <w:t xml:space="preserve">Date: </w:t>
                          </w:r>
                          <w:r w:rsidR="00174189" w:rsidRPr="00E62B0C">
                            <w:rPr>
                              <w:rFonts w:ascii="Arial" w:hAnsi="Arial" w:cs="Arial"/>
                              <w:color w:val="156082" w:themeColor="accent1"/>
                              <w:sz w:val="28"/>
                              <w:szCs w:val="28"/>
                            </w:rPr>
                            <w:t>1</w:t>
                          </w:r>
                          <w:r w:rsidR="00B559E3">
                            <w:rPr>
                              <w:rFonts w:ascii="Arial" w:hAnsi="Arial" w:cs="Arial"/>
                              <w:color w:val="156082" w:themeColor="accent1"/>
                              <w:sz w:val="28"/>
                              <w:szCs w:val="28"/>
                            </w:rPr>
                            <w:t>5</w:t>
                          </w:r>
                          <w:r w:rsidR="000505DF" w:rsidRPr="00E62B0C">
                            <w:rPr>
                              <w:rFonts w:ascii="Arial" w:hAnsi="Arial" w:cs="Arial"/>
                              <w:color w:val="156082" w:themeColor="accent1"/>
                              <w:sz w:val="28"/>
                              <w:szCs w:val="28"/>
                              <w:vertAlign w:val="superscript"/>
                            </w:rPr>
                            <w:t>th</w:t>
                          </w:r>
                          <w:r w:rsidR="000505DF" w:rsidRPr="00E62B0C">
                            <w:rPr>
                              <w:rFonts w:ascii="Arial" w:hAnsi="Arial" w:cs="Arial"/>
                              <w:color w:val="156082" w:themeColor="accent1"/>
                              <w:sz w:val="28"/>
                              <w:szCs w:val="28"/>
                            </w:rPr>
                            <w:t xml:space="preserve"> </w:t>
                          </w:r>
                          <w:r w:rsidR="00174189" w:rsidRPr="00E62B0C">
                            <w:rPr>
                              <w:rFonts w:ascii="Arial" w:hAnsi="Arial" w:cs="Arial"/>
                              <w:color w:val="156082" w:themeColor="accent1"/>
                              <w:sz w:val="28"/>
                              <w:szCs w:val="28"/>
                            </w:rPr>
                            <w:t>November</w:t>
                          </w:r>
                          <w:r w:rsidR="000505DF" w:rsidRPr="00E62B0C">
                            <w:rPr>
                              <w:rFonts w:ascii="Arial" w:hAnsi="Arial" w:cs="Arial"/>
                              <w:color w:val="156082" w:themeColor="accent1"/>
                              <w:sz w:val="28"/>
                              <w:szCs w:val="28"/>
                            </w:rPr>
                            <w:t xml:space="preserve"> 202</w:t>
                          </w:r>
                          <w:r w:rsidR="00B559E3">
                            <w:rPr>
                              <w:rFonts w:ascii="Arial" w:hAnsi="Arial" w:cs="Arial"/>
                              <w:color w:val="156082" w:themeColor="accent1"/>
                              <w:sz w:val="28"/>
                              <w:szCs w:val="28"/>
                            </w:rPr>
                            <w:t>6</w:t>
                          </w:r>
                        </w:p>
                      </w:txbxContent>
                    </v:textbox>
                    <w10:wrap anchorx="margin" anchory="page"/>
                  </v:shape>
                </w:pict>
              </mc:Fallback>
            </mc:AlternateContent>
          </w:r>
          <w:r w:rsidR="008C57CA" w:rsidRPr="008322AE">
            <w:rPr>
              <w:rFonts w:ascii="Arial" w:hAnsi="Arial" w:cs="Arial"/>
            </w:rPr>
            <w:br w:type="page"/>
          </w:r>
        </w:p>
      </w:sdtContent>
    </w:sdt>
    <w:p w14:paraId="64E3512E" w14:textId="376C2E60" w:rsidR="00091775" w:rsidRPr="008322AE" w:rsidRDefault="003416CE">
      <w:pPr>
        <w:rPr>
          <w:rFonts w:ascii="Arial" w:hAnsi="Arial" w:cs="Arial"/>
          <w:b/>
          <w:bCs/>
        </w:rPr>
      </w:pPr>
      <w:r w:rsidRPr="008322AE">
        <w:rPr>
          <w:rFonts w:ascii="Arial" w:hAnsi="Arial" w:cs="Arial"/>
          <w:b/>
          <w:bCs/>
        </w:rPr>
        <w:lastRenderedPageBreak/>
        <w:t>AI Acknowledgement Statement</w:t>
      </w:r>
    </w:p>
    <w:p w14:paraId="32C9EAB6" w14:textId="1ED1355B" w:rsidR="00042228" w:rsidRDefault="0042504C" w:rsidP="00FD7C79">
      <w:pPr>
        <w:spacing w:line="360" w:lineRule="auto"/>
        <w:jc w:val="both"/>
        <w:rPr>
          <w:rFonts w:ascii="Arial" w:hAnsi="Arial" w:cs="Arial"/>
        </w:rPr>
      </w:pPr>
      <w:r w:rsidRPr="008322AE">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285FEA5" w14:textId="77777777" w:rsidR="0031761C" w:rsidRDefault="0031761C" w:rsidP="0042504C">
      <w:pPr>
        <w:jc w:val="both"/>
        <w:rPr>
          <w:rFonts w:ascii="Arial" w:hAnsi="Arial" w:cs="Arial"/>
        </w:rPr>
      </w:pPr>
    </w:p>
    <w:p w14:paraId="01588DA2" w14:textId="77777777" w:rsidR="0031761C" w:rsidRDefault="0031761C" w:rsidP="0042504C">
      <w:pPr>
        <w:jc w:val="both"/>
        <w:rPr>
          <w:rFonts w:ascii="Arial" w:hAnsi="Arial" w:cs="Arial"/>
        </w:rPr>
      </w:pPr>
    </w:p>
    <w:p w14:paraId="131393EC" w14:textId="77777777" w:rsidR="0031761C" w:rsidRDefault="0031761C" w:rsidP="0042504C">
      <w:pPr>
        <w:jc w:val="both"/>
        <w:rPr>
          <w:rFonts w:ascii="Arial" w:hAnsi="Arial" w:cs="Arial"/>
        </w:rPr>
      </w:pPr>
    </w:p>
    <w:p w14:paraId="37C8AEDE" w14:textId="77777777" w:rsidR="0031761C" w:rsidRDefault="0031761C" w:rsidP="0042504C">
      <w:pPr>
        <w:jc w:val="both"/>
        <w:rPr>
          <w:rFonts w:ascii="Arial" w:hAnsi="Arial" w:cs="Arial"/>
        </w:rPr>
      </w:pPr>
    </w:p>
    <w:p w14:paraId="1BE7BF3D" w14:textId="77777777" w:rsidR="0031761C" w:rsidRDefault="0031761C" w:rsidP="0042504C">
      <w:pPr>
        <w:jc w:val="both"/>
        <w:rPr>
          <w:rFonts w:ascii="Arial" w:hAnsi="Arial" w:cs="Arial"/>
        </w:rPr>
      </w:pPr>
    </w:p>
    <w:p w14:paraId="32E7C606" w14:textId="77777777" w:rsidR="0031761C" w:rsidRDefault="0031761C" w:rsidP="0042504C">
      <w:pPr>
        <w:jc w:val="both"/>
        <w:rPr>
          <w:rFonts w:ascii="Arial" w:hAnsi="Arial" w:cs="Arial"/>
        </w:rPr>
      </w:pPr>
    </w:p>
    <w:p w14:paraId="488109D1" w14:textId="77777777" w:rsidR="0031761C" w:rsidRDefault="0031761C" w:rsidP="0042504C">
      <w:pPr>
        <w:jc w:val="both"/>
        <w:rPr>
          <w:rFonts w:ascii="Arial" w:hAnsi="Arial" w:cs="Arial"/>
        </w:rPr>
      </w:pPr>
    </w:p>
    <w:p w14:paraId="7019F182" w14:textId="77777777" w:rsidR="0031761C" w:rsidRDefault="0031761C" w:rsidP="0042504C">
      <w:pPr>
        <w:jc w:val="both"/>
        <w:rPr>
          <w:rFonts w:ascii="Arial" w:hAnsi="Arial" w:cs="Arial"/>
        </w:rPr>
      </w:pPr>
    </w:p>
    <w:p w14:paraId="42E750BD" w14:textId="77777777" w:rsidR="0031761C" w:rsidRDefault="0031761C" w:rsidP="0042504C">
      <w:pPr>
        <w:jc w:val="both"/>
        <w:rPr>
          <w:rFonts w:ascii="Arial" w:hAnsi="Arial" w:cs="Arial"/>
        </w:rPr>
      </w:pPr>
    </w:p>
    <w:p w14:paraId="14396171" w14:textId="77777777" w:rsidR="0031761C" w:rsidRDefault="0031761C" w:rsidP="0042504C">
      <w:pPr>
        <w:jc w:val="both"/>
        <w:rPr>
          <w:rFonts w:ascii="Arial" w:hAnsi="Arial" w:cs="Arial"/>
        </w:rPr>
      </w:pPr>
    </w:p>
    <w:p w14:paraId="78056AED" w14:textId="77777777" w:rsidR="0031761C" w:rsidRDefault="0031761C" w:rsidP="0042504C">
      <w:pPr>
        <w:jc w:val="both"/>
        <w:rPr>
          <w:rFonts w:ascii="Arial" w:hAnsi="Arial" w:cs="Arial"/>
        </w:rPr>
      </w:pPr>
    </w:p>
    <w:p w14:paraId="00E988B0" w14:textId="77777777" w:rsidR="0031761C" w:rsidRDefault="0031761C" w:rsidP="0042504C">
      <w:pPr>
        <w:jc w:val="both"/>
        <w:rPr>
          <w:rFonts w:ascii="Arial" w:hAnsi="Arial" w:cs="Arial"/>
        </w:rPr>
      </w:pPr>
    </w:p>
    <w:p w14:paraId="5FAD859D" w14:textId="77777777" w:rsidR="0031761C" w:rsidRDefault="0031761C" w:rsidP="0042504C">
      <w:pPr>
        <w:jc w:val="both"/>
        <w:rPr>
          <w:rFonts w:ascii="Arial" w:hAnsi="Arial" w:cs="Arial"/>
        </w:rPr>
      </w:pPr>
    </w:p>
    <w:p w14:paraId="5412CC96" w14:textId="77777777" w:rsidR="0031761C" w:rsidRDefault="0031761C" w:rsidP="0042504C">
      <w:pPr>
        <w:jc w:val="both"/>
        <w:rPr>
          <w:rFonts w:ascii="Arial" w:hAnsi="Arial" w:cs="Arial"/>
        </w:rPr>
      </w:pPr>
    </w:p>
    <w:p w14:paraId="4FA51D71" w14:textId="77777777" w:rsidR="0031761C" w:rsidRDefault="0031761C" w:rsidP="0042504C">
      <w:pPr>
        <w:jc w:val="both"/>
        <w:rPr>
          <w:rFonts w:ascii="Arial" w:hAnsi="Arial" w:cs="Arial"/>
        </w:rPr>
      </w:pPr>
    </w:p>
    <w:p w14:paraId="7591C8E8" w14:textId="77777777" w:rsidR="0031761C" w:rsidRDefault="0031761C" w:rsidP="0042504C">
      <w:pPr>
        <w:jc w:val="both"/>
        <w:rPr>
          <w:rFonts w:ascii="Arial" w:hAnsi="Arial" w:cs="Arial"/>
        </w:rPr>
      </w:pPr>
    </w:p>
    <w:p w14:paraId="3A36E83A" w14:textId="77777777" w:rsidR="0031761C" w:rsidRDefault="0031761C" w:rsidP="0042504C">
      <w:pPr>
        <w:jc w:val="both"/>
        <w:rPr>
          <w:rFonts w:ascii="Arial" w:hAnsi="Arial" w:cs="Arial"/>
        </w:rPr>
      </w:pPr>
    </w:p>
    <w:p w14:paraId="79115B44" w14:textId="77777777" w:rsidR="0031761C" w:rsidRDefault="0031761C" w:rsidP="0042504C">
      <w:pPr>
        <w:jc w:val="both"/>
        <w:rPr>
          <w:rFonts w:ascii="Arial" w:hAnsi="Arial" w:cs="Arial"/>
        </w:rPr>
      </w:pPr>
    </w:p>
    <w:p w14:paraId="240AA161" w14:textId="77777777" w:rsidR="0031761C" w:rsidRDefault="0031761C" w:rsidP="0042504C">
      <w:pPr>
        <w:jc w:val="both"/>
        <w:rPr>
          <w:rFonts w:ascii="Arial" w:hAnsi="Arial" w:cs="Arial"/>
        </w:rPr>
      </w:pPr>
    </w:p>
    <w:p w14:paraId="471B65C2" w14:textId="77777777" w:rsidR="0031761C" w:rsidRDefault="0031761C" w:rsidP="0042504C">
      <w:pPr>
        <w:jc w:val="both"/>
        <w:rPr>
          <w:rFonts w:ascii="Arial" w:hAnsi="Arial" w:cs="Arial"/>
        </w:rPr>
      </w:pPr>
    </w:p>
    <w:p w14:paraId="1D0FCB59" w14:textId="77777777" w:rsidR="0031761C" w:rsidRDefault="0031761C" w:rsidP="0042504C">
      <w:pPr>
        <w:jc w:val="both"/>
        <w:rPr>
          <w:rFonts w:ascii="Arial" w:hAnsi="Arial" w:cs="Arial"/>
        </w:rPr>
      </w:pPr>
    </w:p>
    <w:p w14:paraId="429B0F16" w14:textId="77777777" w:rsidR="0031761C" w:rsidRDefault="0031761C" w:rsidP="0042504C">
      <w:pPr>
        <w:jc w:val="both"/>
        <w:rPr>
          <w:rFonts w:ascii="Arial" w:hAnsi="Arial" w:cs="Arial"/>
        </w:rPr>
      </w:pPr>
    </w:p>
    <w:p w14:paraId="4AA68F9C" w14:textId="77777777" w:rsidR="0031761C" w:rsidRDefault="0031761C" w:rsidP="0042504C">
      <w:pPr>
        <w:jc w:val="both"/>
        <w:rPr>
          <w:rFonts w:ascii="Arial" w:hAnsi="Arial" w:cs="Arial"/>
        </w:rPr>
      </w:pPr>
    </w:p>
    <w:p w14:paraId="1CDFF088" w14:textId="77777777" w:rsidR="0031761C" w:rsidRDefault="0031761C" w:rsidP="0042504C">
      <w:pPr>
        <w:jc w:val="both"/>
        <w:rPr>
          <w:rFonts w:ascii="Arial" w:hAnsi="Arial" w:cs="Arial"/>
        </w:rPr>
      </w:pPr>
    </w:p>
    <w:p w14:paraId="5B812061" w14:textId="297272F3" w:rsidR="0031761C" w:rsidRPr="00796858" w:rsidRDefault="009366E9" w:rsidP="00827B4F">
      <w:pPr>
        <w:spacing w:line="360" w:lineRule="auto"/>
        <w:jc w:val="both"/>
        <w:rPr>
          <w:rFonts w:ascii="Arial" w:hAnsi="Arial" w:cs="Arial"/>
          <w:color w:val="000000" w:themeColor="text1"/>
        </w:rPr>
      </w:pPr>
      <w:r w:rsidRPr="00796858">
        <w:rPr>
          <w:rFonts w:ascii="Arial" w:hAnsi="Arial" w:cs="Arial"/>
          <w:color w:val="000000" w:themeColor="text1"/>
        </w:rPr>
        <w:lastRenderedPageBreak/>
        <w:t>T</w:t>
      </w:r>
      <w:r w:rsidR="0031761C" w:rsidRPr="00796858">
        <w:rPr>
          <w:rFonts w:ascii="Arial" w:hAnsi="Arial" w:cs="Arial"/>
          <w:color w:val="000000" w:themeColor="text1"/>
        </w:rPr>
        <w:t>he hospitality industry is one of the most dynamic and globally significant service sectors, providing diverse career opportunities in accommodation, food and beverage, tourism, and event management. To meet the complex demands of this expanding industry, hospitality education increasingly emphasi</w:t>
      </w:r>
      <w:r w:rsidR="008A468C" w:rsidRPr="00796858">
        <w:rPr>
          <w:rFonts w:ascii="Arial" w:hAnsi="Arial" w:cs="Arial"/>
          <w:color w:val="000000" w:themeColor="text1"/>
        </w:rPr>
        <w:t>s</w:t>
      </w:r>
      <w:r w:rsidR="0031761C" w:rsidRPr="00796858">
        <w:rPr>
          <w:rFonts w:ascii="Arial" w:hAnsi="Arial" w:cs="Arial"/>
          <w:color w:val="000000" w:themeColor="text1"/>
        </w:rPr>
        <w:t>es the need for experiential learning through hotel placements. These placements, often referred to as industrial training or internships, bridge the gap between classroom theory and real-world practice by allowing students to experience the professional environment of a hotel firsthand (Riley et al., 20</w:t>
      </w:r>
      <w:r w:rsidR="00827B4F" w:rsidRPr="00796858">
        <w:rPr>
          <w:rFonts w:ascii="Arial" w:hAnsi="Arial" w:cs="Arial"/>
          <w:color w:val="000000" w:themeColor="text1"/>
        </w:rPr>
        <w:t>2</w:t>
      </w:r>
      <w:r w:rsidR="0031761C" w:rsidRPr="00796858">
        <w:rPr>
          <w:rFonts w:ascii="Arial" w:hAnsi="Arial" w:cs="Arial"/>
          <w:color w:val="000000" w:themeColor="text1"/>
        </w:rPr>
        <w:t>2). Through such experiences, students develop not only technical and managerial competencies but also interpersonal skills that are essential for success in a service-oriented profession.</w:t>
      </w:r>
      <w:r w:rsidR="00D00573" w:rsidRPr="00796858">
        <w:rPr>
          <w:rFonts w:ascii="Arial" w:hAnsi="Arial" w:cs="Arial"/>
          <w:color w:val="000000" w:themeColor="text1"/>
        </w:rPr>
        <w:t xml:space="preserve"> This essay discusses the importance of hotel placements in the context of hospitality education in the United </w:t>
      </w:r>
      <w:r w:rsidR="00207098" w:rsidRPr="00796858">
        <w:rPr>
          <w:rFonts w:ascii="Arial" w:hAnsi="Arial" w:cs="Arial"/>
          <w:color w:val="000000" w:themeColor="text1"/>
        </w:rPr>
        <w:t>Kingdom</w:t>
      </w:r>
      <w:r w:rsidR="00D00573" w:rsidRPr="00796858">
        <w:rPr>
          <w:rFonts w:ascii="Arial" w:hAnsi="Arial" w:cs="Arial"/>
          <w:color w:val="000000" w:themeColor="text1"/>
        </w:rPr>
        <w:t>.</w:t>
      </w:r>
    </w:p>
    <w:p w14:paraId="03C41DAE" w14:textId="77078408"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Hotel placements are structured training program</w:t>
      </w:r>
      <w:r w:rsidR="008A468C" w:rsidRPr="00796858">
        <w:rPr>
          <w:rFonts w:ascii="Arial" w:hAnsi="Arial" w:cs="Arial"/>
          <w:color w:val="000000" w:themeColor="text1"/>
        </w:rPr>
        <w:t>me</w:t>
      </w:r>
      <w:r w:rsidRPr="00796858">
        <w:rPr>
          <w:rFonts w:ascii="Arial" w:hAnsi="Arial" w:cs="Arial"/>
          <w:color w:val="000000" w:themeColor="text1"/>
        </w:rPr>
        <w:t>s that form a critical part of hospitality management curricula. They are typically arranged in collaboration between educational institutions and hotel organi</w:t>
      </w:r>
      <w:r w:rsidR="004E220B" w:rsidRPr="00796858">
        <w:rPr>
          <w:rFonts w:ascii="Arial" w:hAnsi="Arial" w:cs="Arial"/>
          <w:color w:val="000000" w:themeColor="text1"/>
        </w:rPr>
        <w:t>s</w:t>
      </w:r>
      <w:r w:rsidRPr="00796858">
        <w:rPr>
          <w:rFonts w:ascii="Arial" w:hAnsi="Arial" w:cs="Arial"/>
          <w:color w:val="000000" w:themeColor="text1"/>
        </w:rPr>
        <w:t>ations, both nationally and internationally, to provide students with exposure to daily hotel operations. These placements usually last from three months to a year, depending on institutional and industry requirements. Their main objective is to familiari</w:t>
      </w:r>
      <w:r w:rsidR="008A468C" w:rsidRPr="00796858">
        <w:rPr>
          <w:rFonts w:ascii="Arial" w:hAnsi="Arial" w:cs="Arial"/>
          <w:color w:val="000000" w:themeColor="text1"/>
        </w:rPr>
        <w:t>s</w:t>
      </w:r>
      <w:r w:rsidRPr="00796858">
        <w:rPr>
          <w:rFonts w:ascii="Arial" w:hAnsi="Arial" w:cs="Arial"/>
          <w:color w:val="000000" w:themeColor="text1"/>
        </w:rPr>
        <w:t>e students with the operational aspects of the hospitality business, such as front office management, housekeeping, food and beverage service, kitchen operations, and sales and marketing (Cooper et al., 20</w:t>
      </w:r>
      <w:r w:rsidR="00051857" w:rsidRPr="00796858">
        <w:rPr>
          <w:rFonts w:ascii="Arial" w:hAnsi="Arial" w:cs="Arial"/>
          <w:color w:val="000000" w:themeColor="text1"/>
        </w:rPr>
        <w:t>1</w:t>
      </w:r>
      <w:r w:rsidRPr="00796858">
        <w:rPr>
          <w:rFonts w:ascii="Arial" w:hAnsi="Arial" w:cs="Arial"/>
          <w:color w:val="000000" w:themeColor="text1"/>
        </w:rPr>
        <w:t>8). By engaging in these departments, students learn the importance of teamwork, attention to detail, communication, and customer satisfaction, all of which are vital components of hospitality service.</w:t>
      </w:r>
    </w:p>
    <w:p w14:paraId="15B35A08" w14:textId="2C7D80F1"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The placement process generally begins with a preparatory phase conducted by the educational institution. This phase often includes workshops on interview techniques, résumé development, and professional grooming to help students meet industry expectations. Many universities host recruitment drives where leading hotel chains such as Hilton, Marriott, and Accor select students for internships through interviews and assessments (</w:t>
      </w:r>
      <w:r w:rsidR="00051857" w:rsidRPr="00796858">
        <w:rPr>
          <w:rFonts w:ascii="Arial" w:hAnsi="Arial" w:cs="Arial"/>
          <w:color w:val="000000" w:themeColor="text1"/>
        </w:rPr>
        <w:t>Lewis</w:t>
      </w:r>
      <w:r w:rsidRPr="00796858">
        <w:rPr>
          <w:rFonts w:ascii="Arial" w:hAnsi="Arial" w:cs="Arial"/>
          <w:color w:val="000000" w:themeColor="text1"/>
        </w:rPr>
        <w:t>, 20</w:t>
      </w:r>
      <w:r w:rsidR="00051857" w:rsidRPr="00796858">
        <w:rPr>
          <w:rFonts w:ascii="Arial" w:hAnsi="Arial" w:cs="Arial"/>
          <w:color w:val="000000" w:themeColor="text1"/>
        </w:rPr>
        <w:t>2</w:t>
      </w:r>
      <w:r w:rsidRPr="00796858">
        <w:rPr>
          <w:rFonts w:ascii="Arial" w:hAnsi="Arial" w:cs="Arial"/>
          <w:color w:val="000000" w:themeColor="text1"/>
        </w:rPr>
        <w:t xml:space="preserve">5). Once selected, trainees are typically rotated across various departments to gain holistic exposure to hotel operations. For instance, in the front office, students learn guest handling and reservations; in housekeeping, they manage room maintenance and hygiene standards; in food and beverage, they assist in restaurant and banquet services; while in kitchen operations, they participate in food preparation and menu planning. </w:t>
      </w:r>
      <w:r w:rsidR="00827B4F" w:rsidRPr="00796858">
        <w:rPr>
          <w:rFonts w:ascii="Arial" w:hAnsi="Arial" w:cs="Arial"/>
          <w:color w:val="000000" w:themeColor="text1"/>
        </w:rPr>
        <w:t>S</w:t>
      </w:r>
      <w:r w:rsidRPr="00796858">
        <w:rPr>
          <w:rFonts w:ascii="Arial" w:hAnsi="Arial" w:cs="Arial"/>
          <w:color w:val="000000" w:themeColor="text1"/>
        </w:rPr>
        <w:t xml:space="preserve">uch rotations allow students to appreciate the </w:t>
      </w:r>
      <w:r w:rsidRPr="00796858">
        <w:rPr>
          <w:rFonts w:ascii="Arial" w:hAnsi="Arial" w:cs="Arial"/>
          <w:color w:val="000000" w:themeColor="text1"/>
        </w:rPr>
        <w:lastRenderedPageBreak/>
        <w:t>interconnectedness of hotel departments and the teamwork required to deliver consistent guest experiences.</w:t>
      </w:r>
    </w:p>
    <w:p w14:paraId="1C9192C4" w14:textId="50124B04"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During the placement period, students are supervised and evaluated by both hotel mentors and academic coordinators. Assessment criteria often include punctuality, professionalism, initiative, and performance in assigned tasks. At the end of the internship, students usually submit a reflective report summari</w:t>
      </w:r>
      <w:r w:rsidR="008A468C" w:rsidRPr="00796858">
        <w:rPr>
          <w:rFonts w:ascii="Arial" w:hAnsi="Arial" w:cs="Arial"/>
          <w:color w:val="000000" w:themeColor="text1"/>
        </w:rPr>
        <w:t>s</w:t>
      </w:r>
      <w:r w:rsidRPr="00796858">
        <w:rPr>
          <w:rFonts w:ascii="Arial" w:hAnsi="Arial" w:cs="Arial"/>
          <w:color w:val="000000" w:themeColor="text1"/>
        </w:rPr>
        <w:t>ing their learning outcomes, challenges, and personal development</w:t>
      </w:r>
      <w:r w:rsidR="004C4A22" w:rsidRPr="00796858">
        <w:rPr>
          <w:rFonts w:ascii="Arial" w:hAnsi="Arial" w:cs="Arial"/>
          <w:color w:val="000000" w:themeColor="text1"/>
        </w:rPr>
        <w:t>.</w:t>
      </w:r>
    </w:p>
    <w:p w14:paraId="17B822FA" w14:textId="72DFAD56"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The benefits of hotel placements are extensive. First and foremost, they provide students with practical skills that cannot be fully acquired in classroom settings. While academic courses introduce theoretical concepts of management, marketing, and service quality, placements allow students to apply these concepts in real-life scenarios. They learn to manage guest complaints, handle peak-hour pressures, and maintain service standards under time constraints (</w:t>
      </w:r>
      <w:r w:rsidR="00051857" w:rsidRPr="00796858">
        <w:rPr>
          <w:rFonts w:ascii="Arial" w:hAnsi="Arial" w:cs="Arial"/>
          <w:color w:val="000000" w:themeColor="text1"/>
        </w:rPr>
        <w:t>Jones</w:t>
      </w:r>
      <w:r w:rsidRPr="00796858">
        <w:rPr>
          <w:rFonts w:ascii="Arial" w:hAnsi="Arial" w:cs="Arial"/>
          <w:color w:val="000000" w:themeColor="text1"/>
        </w:rPr>
        <w:t>, 20</w:t>
      </w:r>
      <w:r w:rsidR="00051857" w:rsidRPr="00796858">
        <w:rPr>
          <w:rFonts w:ascii="Arial" w:hAnsi="Arial" w:cs="Arial"/>
          <w:color w:val="000000" w:themeColor="text1"/>
        </w:rPr>
        <w:t>23</w:t>
      </w:r>
      <w:r w:rsidRPr="00796858">
        <w:rPr>
          <w:rFonts w:ascii="Arial" w:hAnsi="Arial" w:cs="Arial"/>
          <w:color w:val="000000" w:themeColor="text1"/>
        </w:rPr>
        <w:t>). Such experiences foster problem-solving abilities and confidence, making graduates more competent and adaptable professionals.</w:t>
      </w:r>
    </w:p>
    <w:p w14:paraId="0E228606" w14:textId="0E2C785E"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Secondly, placements facilitate professional networking opportunities. Students interact with hotel employees, managers, and guests from diverse cultural and professional backgrounds, which can lead to valuable industry connections and even pre-placement job offers (</w:t>
      </w:r>
      <w:r w:rsidR="00051857" w:rsidRPr="00796858">
        <w:rPr>
          <w:rFonts w:ascii="Arial" w:hAnsi="Arial" w:cs="Arial"/>
          <w:color w:val="000000" w:themeColor="text1"/>
        </w:rPr>
        <w:t>Bryant</w:t>
      </w:r>
      <w:r w:rsidRPr="00796858">
        <w:rPr>
          <w:rFonts w:ascii="Arial" w:hAnsi="Arial" w:cs="Arial"/>
          <w:color w:val="000000" w:themeColor="text1"/>
        </w:rPr>
        <w:t>, 20</w:t>
      </w:r>
      <w:r w:rsidR="00051857" w:rsidRPr="00796858">
        <w:rPr>
          <w:rFonts w:ascii="Arial" w:hAnsi="Arial" w:cs="Arial"/>
          <w:color w:val="000000" w:themeColor="text1"/>
        </w:rPr>
        <w:t>22</w:t>
      </w:r>
      <w:r w:rsidRPr="00796858">
        <w:rPr>
          <w:rFonts w:ascii="Arial" w:hAnsi="Arial" w:cs="Arial"/>
          <w:color w:val="000000" w:themeColor="text1"/>
        </w:rPr>
        <w:t>). These interactions also enhance cultural awareness and interpersonal communication skills, which are increasingly important in the global hospitality industry. Furthermore, placements expose students to the operational realities of hospitality work, such as long hours, high expectations, and the importance of maintaining a positive attitude. By experiencing these realities firsthand, students develop resilience, patience, and a deeper appreciation for the service profession (</w:t>
      </w:r>
      <w:r w:rsidR="00051857" w:rsidRPr="00796858">
        <w:rPr>
          <w:rFonts w:ascii="Arial" w:hAnsi="Arial" w:cs="Arial"/>
          <w:color w:val="000000" w:themeColor="text1"/>
        </w:rPr>
        <w:t>Rodriguez</w:t>
      </w:r>
      <w:r w:rsidRPr="00796858">
        <w:rPr>
          <w:rFonts w:ascii="Arial" w:hAnsi="Arial" w:cs="Arial"/>
          <w:color w:val="000000" w:themeColor="text1"/>
        </w:rPr>
        <w:t>, 20</w:t>
      </w:r>
      <w:r w:rsidR="00051857" w:rsidRPr="00796858">
        <w:rPr>
          <w:rFonts w:ascii="Arial" w:hAnsi="Arial" w:cs="Arial"/>
          <w:color w:val="000000" w:themeColor="text1"/>
        </w:rPr>
        <w:t>21</w:t>
      </w:r>
      <w:r w:rsidRPr="00796858">
        <w:rPr>
          <w:rFonts w:ascii="Arial" w:hAnsi="Arial" w:cs="Arial"/>
          <w:color w:val="000000" w:themeColor="text1"/>
        </w:rPr>
        <w:t>).</w:t>
      </w:r>
    </w:p>
    <w:p w14:paraId="5D7C464E" w14:textId="4088C180"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Another key advantage of placements is the opportunity to bridge the gap between theoretical learning and practice. Concepts taught in classrooms, such as customer relationship management or service recovery, become tangible when students apply them in real hotel environments. For example, dealing with a dissatisfied guest allows a trainee to practice empathy and communication skills while applying service recovery theories learned in lectures (</w:t>
      </w:r>
      <w:r w:rsidR="002B1B71" w:rsidRPr="00796858">
        <w:rPr>
          <w:rFonts w:ascii="Arial" w:hAnsi="Arial" w:cs="Arial"/>
          <w:color w:val="000000" w:themeColor="text1"/>
        </w:rPr>
        <w:t>Wang</w:t>
      </w:r>
      <w:r w:rsidRPr="00796858">
        <w:rPr>
          <w:rFonts w:ascii="Arial" w:hAnsi="Arial" w:cs="Arial"/>
          <w:color w:val="000000" w:themeColor="text1"/>
        </w:rPr>
        <w:t>, 20</w:t>
      </w:r>
      <w:r w:rsidR="002B1B71" w:rsidRPr="00796858">
        <w:rPr>
          <w:rFonts w:ascii="Arial" w:hAnsi="Arial" w:cs="Arial"/>
          <w:color w:val="000000" w:themeColor="text1"/>
        </w:rPr>
        <w:t>1</w:t>
      </w:r>
      <w:r w:rsidRPr="00796858">
        <w:rPr>
          <w:rFonts w:ascii="Arial" w:hAnsi="Arial" w:cs="Arial"/>
          <w:color w:val="000000" w:themeColor="text1"/>
        </w:rPr>
        <w:t xml:space="preserve">8). This process of experiential learning enables students to link academic knowledge with professional performance, </w:t>
      </w:r>
      <w:r w:rsidRPr="00796858">
        <w:rPr>
          <w:rFonts w:ascii="Arial" w:hAnsi="Arial" w:cs="Arial"/>
          <w:color w:val="000000" w:themeColor="text1"/>
        </w:rPr>
        <w:lastRenderedPageBreak/>
        <w:t>thus enhancing their employability upon graduation. Employers in the hospitality sector consistently value candidates who possess practical training and a demonstrated understanding of industry operations (</w:t>
      </w:r>
      <w:r w:rsidR="002B1B71" w:rsidRPr="00796858">
        <w:rPr>
          <w:rFonts w:ascii="Arial" w:hAnsi="Arial" w:cs="Arial"/>
          <w:color w:val="000000" w:themeColor="text1"/>
        </w:rPr>
        <w:t>Jones</w:t>
      </w:r>
      <w:r w:rsidRPr="00796858">
        <w:rPr>
          <w:rFonts w:ascii="Arial" w:hAnsi="Arial" w:cs="Arial"/>
          <w:color w:val="000000" w:themeColor="text1"/>
        </w:rPr>
        <w:t>, 20</w:t>
      </w:r>
      <w:r w:rsidR="002B1B71" w:rsidRPr="00796858">
        <w:rPr>
          <w:rFonts w:ascii="Arial" w:hAnsi="Arial" w:cs="Arial"/>
          <w:color w:val="000000" w:themeColor="text1"/>
        </w:rPr>
        <w:t>23</w:t>
      </w:r>
      <w:r w:rsidRPr="00796858">
        <w:rPr>
          <w:rFonts w:ascii="Arial" w:hAnsi="Arial" w:cs="Arial"/>
          <w:color w:val="000000" w:themeColor="text1"/>
        </w:rPr>
        <w:t>).</w:t>
      </w:r>
    </w:p>
    <w:p w14:paraId="03A20C09" w14:textId="7B73CB81"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 xml:space="preserve">Despite their numerous benefits, hotel placements also present challenges. One of the most common issues faced by students is the demanding workload. </w:t>
      </w:r>
      <w:r w:rsidR="00F800E9" w:rsidRPr="00796858">
        <w:rPr>
          <w:rFonts w:asciiTheme="majorHAnsi" w:hAnsiTheme="majorHAnsi" w:cs="Arial"/>
          <w:color w:val="000000" w:themeColor="text1"/>
        </w:rPr>
        <w:t xml:space="preserve">According to Mullins (2019, p.60), “work can help fulfil a number of purposes including providing the individual with a sense of perceived identity”. </w:t>
      </w:r>
      <w:r w:rsidRPr="00796858">
        <w:rPr>
          <w:rFonts w:ascii="Arial" w:hAnsi="Arial" w:cs="Arial"/>
          <w:color w:val="000000" w:themeColor="text1"/>
        </w:rPr>
        <w:t>The hospitality industry operates around the clock, requiring interns to work long hours, including weekends and holidays. This can lead to physical and mental fatigue if not managed properly (</w:t>
      </w:r>
      <w:r w:rsidR="003C6976" w:rsidRPr="00796858">
        <w:rPr>
          <w:rFonts w:ascii="Arial" w:hAnsi="Arial" w:cs="Arial"/>
          <w:color w:val="000000" w:themeColor="text1"/>
        </w:rPr>
        <w:t>Friedel and Baxter</w:t>
      </w:r>
      <w:r w:rsidRPr="00796858">
        <w:rPr>
          <w:rFonts w:ascii="Arial" w:hAnsi="Arial" w:cs="Arial"/>
          <w:color w:val="000000" w:themeColor="text1"/>
        </w:rPr>
        <w:t>, 20</w:t>
      </w:r>
      <w:r w:rsidR="003C6976" w:rsidRPr="00796858">
        <w:rPr>
          <w:rFonts w:ascii="Arial" w:hAnsi="Arial" w:cs="Arial"/>
          <w:color w:val="000000" w:themeColor="text1"/>
        </w:rPr>
        <w:t>24</w:t>
      </w:r>
      <w:r w:rsidRPr="00796858">
        <w:rPr>
          <w:rFonts w:ascii="Arial" w:hAnsi="Arial" w:cs="Arial"/>
          <w:color w:val="000000" w:themeColor="text1"/>
        </w:rPr>
        <w:t xml:space="preserve">). Additionally, supervision quality can vary across hotels. In busy establishments, mentors may not always have sufficient time to provide consistent guidance, leading to uneven learning experiences (Maxwell, </w:t>
      </w:r>
      <w:r w:rsidR="003C6976" w:rsidRPr="00796858">
        <w:rPr>
          <w:rFonts w:ascii="Arial" w:hAnsi="Arial" w:cs="Arial"/>
          <w:color w:val="000000" w:themeColor="text1"/>
        </w:rPr>
        <w:t>2019</w:t>
      </w:r>
      <w:r w:rsidRPr="00796858">
        <w:rPr>
          <w:rFonts w:ascii="Arial" w:hAnsi="Arial" w:cs="Arial"/>
          <w:color w:val="000000" w:themeColor="text1"/>
        </w:rPr>
        <w:t>). Some students may find themselves performing repetitive or menial tasks, such as polishing cutlery or folding linen, which can diminish motivation and restrict learning.</w:t>
      </w:r>
    </w:p>
    <w:p w14:paraId="7AB465BF" w14:textId="4D3BD11F"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Another challenge lies in the inconsistency of training standards across different hotels. While some organi</w:t>
      </w:r>
      <w:r w:rsidR="008A468C" w:rsidRPr="00796858">
        <w:rPr>
          <w:rFonts w:ascii="Arial" w:hAnsi="Arial" w:cs="Arial"/>
          <w:color w:val="000000" w:themeColor="text1"/>
        </w:rPr>
        <w:t>s</w:t>
      </w:r>
      <w:r w:rsidRPr="00796858">
        <w:rPr>
          <w:rFonts w:ascii="Arial" w:hAnsi="Arial" w:cs="Arial"/>
          <w:color w:val="000000" w:themeColor="text1"/>
        </w:rPr>
        <w:t>ations have well-structured internship programs with clear learning objectives, others may lack formal training plans, resulting in varied educational outcomes (</w:t>
      </w:r>
      <w:r w:rsidR="003C6976" w:rsidRPr="00796858">
        <w:rPr>
          <w:rFonts w:ascii="Arial" w:hAnsi="Arial" w:cs="Arial"/>
          <w:color w:val="000000" w:themeColor="text1"/>
        </w:rPr>
        <w:t>Wang</w:t>
      </w:r>
      <w:r w:rsidRPr="00796858">
        <w:rPr>
          <w:rFonts w:ascii="Arial" w:hAnsi="Arial" w:cs="Arial"/>
          <w:color w:val="000000" w:themeColor="text1"/>
        </w:rPr>
        <w:t>, 20</w:t>
      </w:r>
      <w:r w:rsidR="003C6976" w:rsidRPr="00796858">
        <w:rPr>
          <w:rFonts w:ascii="Arial" w:hAnsi="Arial" w:cs="Arial"/>
          <w:color w:val="000000" w:themeColor="text1"/>
        </w:rPr>
        <w:t>1</w:t>
      </w:r>
      <w:r w:rsidRPr="00796858">
        <w:rPr>
          <w:rFonts w:ascii="Arial" w:hAnsi="Arial" w:cs="Arial"/>
          <w:color w:val="000000" w:themeColor="text1"/>
        </w:rPr>
        <w:t>8). Furthermore, students undertaking international placements may encounter cultural differences and communication barriers, which, while valuable for intercultural learning, can also cause initial discomfort and adjustment difficulties (</w:t>
      </w:r>
      <w:r w:rsidR="003C6976" w:rsidRPr="00796858">
        <w:rPr>
          <w:rFonts w:ascii="Arial" w:hAnsi="Arial" w:cs="Arial"/>
          <w:color w:val="000000" w:themeColor="text1"/>
        </w:rPr>
        <w:t>Jones</w:t>
      </w:r>
      <w:r w:rsidRPr="00796858">
        <w:rPr>
          <w:rFonts w:ascii="Arial" w:hAnsi="Arial" w:cs="Arial"/>
          <w:color w:val="000000" w:themeColor="text1"/>
        </w:rPr>
        <w:t>, 20</w:t>
      </w:r>
      <w:r w:rsidR="003C6976" w:rsidRPr="00796858">
        <w:rPr>
          <w:rFonts w:ascii="Arial" w:hAnsi="Arial" w:cs="Arial"/>
          <w:color w:val="000000" w:themeColor="text1"/>
        </w:rPr>
        <w:t>23</w:t>
      </w:r>
      <w:r w:rsidRPr="00796858">
        <w:rPr>
          <w:rFonts w:ascii="Arial" w:hAnsi="Arial" w:cs="Arial"/>
          <w:color w:val="000000" w:themeColor="text1"/>
        </w:rPr>
        <w:t>).</w:t>
      </w:r>
    </w:p>
    <w:p w14:paraId="75B03E3B" w14:textId="6FAC4436"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To overcome these challenges, close collaboration between educational institutions and the hospitality industry is essential. Universities must ensure that hotels offering placements adhere to agreed training standards and provide meaningful learning opportunities. Regular communication between academic supervisors and hotel mentors can help monitor student progress and resolve issues promptly (</w:t>
      </w:r>
      <w:r w:rsidR="003C6976" w:rsidRPr="00796858">
        <w:rPr>
          <w:rFonts w:ascii="Arial" w:hAnsi="Arial" w:cs="Arial"/>
          <w:color w:val="000000" w:themeColor="text1"/>
        </w:rPr>
        <w:t>Bryant</w:t>
      </w:r>
      <w:r w:rsidRPr="00796858">
        <w:rPr>
          <w:rFonts w:ascii="Arial" w:hAnsi="Arial" w:cs="Arial"/>
          <w:color w:val="000000" w:themeColor="text1"/>
        </w:rPr>
        <w:t>, 20</w:t>
      </w:r>
      <w:r w:rsidR="003C6976" w:rsidRPr="00796858">
        <w:rPr>
          <w:rFonts w:ascii="Arial" w:hAnsi="Arial" w:cs="Arial"/>
          <w:color w:val="000000" w:themeColor="text1"/>
        </w:rPr>
        <w:t>22</w:t>
      </w:r>
      <w:r w:rsidRPr="00796858">
        <w:rPr>
          <w:rFonts w:ascii="Arial" w:hAnsi="Arial" w:cs="Arial"/>
          <w:color w:val="000000" w:themeColor="text1"/>
        </w:rPr>
        <w:t xml:space="preserve">). Some institutions have implemented cooperative education models, where academic study alternates with industry placements throughout the program. This approach fosters continuous learning and professional growth while strengthening ties between academia and industry (Barron, </w:t>
      </w:r>
      <w:r w:rsidR="003C6976" w:rsidRPr="00796858">
        <w:rPr>
          <w:rFonts w:ascii="Arial" w:hAnsi="Arial" w:cs="Arial"/>
          <w:color w:val="000000" w:themeColor="text1"/>
        </w:rPr>
        <w:t>2020</w:t>
      </w:r>
      <w:r w:rsidRPr="00796858">
        <w:rPr>
          <w:rFonts w:ascii="Arial" w:hAnsi="Arial" w:cs="Arial"/>
          <w:color w:val="000000" w:themeColor="text1"/>
        </w:rPr>
        <w:t>).</w:t>
      </w:r>
    </w:p>
    <w:p w14:paraId="5D00F8C4" w14:textId="77777777" w:rsidR="006D57CC" w:rsidRPr="00796858" w:rsidRDefault="006D57CC" w:rsidP="00827B4F">
      <w:pPr>
        <w:spacing w:line="360" w:lineRule="auto"/>
        <w:jc w:val="both"/>
        <w:rPr>
          <w:rFonts w:ascii="Arial" w:hAnsi="Arial" w:cs="Arial"/>
          <w:color w:val="000000" w:themeColor="text1"/>
        </w:rPr>
      </w:pPr>
    </w:p>
    <w:p w14:paraId="034D2262" w14:textId="61612AF4" w:rsidR="001D780F" w:rsidRPr="00796858" w:rsidRDefault="000D111B" w:rsidP="00827B4F">
      <w:pPr>
        <w:spacing w:line="360" w:lineRule="auto"/>
        <w:jc w:val="both"/>
        <w:rPr>
          <w:rFonts w:ascii="Arial" w:hAnsi="Arial" w:cs="Arial"/>
          <w:color w:val="000000" w:themeColor="text1"/>
        </w:rPr>
      </w:pPr>
      <w:r w:rsidRPr="00796858">
        <w:rPr>
          <w:rFonts w:ascii="Arial" w:hAnsi="Arial" w:cs="Arial"/>
          <w:color w:val="000000" w:themeColor="text1"/>
        </w:rPr>
        <w:lastRenderedPageBreak/>
        <w:t>The hotel sector is synonymous with working hours that are long, unpredictable and result in poor outcomes for employees. Arguably, they constitute one of the most significant features of the employment relationship, yet little research exists to explore the factors influencing the scheduling of hours and the degree of control employees can exert on their pattern of work. This article aims to help fill this gap by exploring what shapes employee working hours and the extent to which each side of the employment relationship exercises control. Qualitative research was conducted with purposive sampling used to identify and interview employees in the UK hotel sector, combined with managers responsible for budgetary control over labour and for setting work schedules. The findings suggest that a combination of customer demand patterns and the choice by employers to minimise</w:t>
      </w:r>
      <w:r w:rsidR="00B12B45" w:rsidRPr="00796858">
        <w:rPr>
          <w:rFonts w:ascii="Arial" w:hAnsi="Arial" w:cs="Arial"/>
          <w:color w:val="000000" w:themeColor="text1"/>
        </w:rPr>
        <w:t xml:space="preserve"> </w:t>
      </w:r>
      <w:r w:rsidRPr="00796858">
        <w:rPr>
          <w:rFonts w:ascii="Arial" w:hAnsi="Arial" w:cs="Arial"/>
          <w:color w:val="000000" w:themeColor="text1"/>
        </w:rPr>
        <w:t>labour costs effectively reduce employees’ ability to control or challenge work schedules. The lack of employee voice is structured into the employment relationship, depriving workers of a healthy work-life balance, their ability to take breaks and legally entitled pay.</w:t>
      </w:r>
    </w:p>
    <w:p w14:paraId="0550425E" w14:textId="0427BB67"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In recent years, the integration of technology has also enhanced the placement experience. Virtual hotel simulations, property management systems, and online training modules allow students to familiari</w:t>
      </w:r>
      <w:r w:rsidR="008A468C" w:rsidRPr="00796858">
        <w:rPr>
          <w:rFonts w:ascii="Arial" w:hAnsi="Arial" w:cs="Arial"/>
          <w:color w:val="000000" w:themeColor="text1"/>
        </w:rPr>
        <w:t>s</w:t>
      </w:r>
      <w:r w:rsidRPr="00796858">
        <w:rPr>
          <w:rFonts w:ascii="Arial" w:hAnsi="Arial" w:cs="Arial"/>
          <w:color w:val="000000" w:themeColor="text1"/>
        </w:rPr>
        <w:t>e themselves with operational tools before beginning their placements. Such innovations ensure that students enter the workplace better prepared and more confident in their abilities.</w:t>
      </w:r>
    </w:p>
    <w:p w14:paraId="730EB709" w14:textId="77777777"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In conclusion, hotel placements are a vital component of hospitality education, offering students the opportunity to apply academic knowledge in professional environments, develop industry-specific skills, and gain an understanding of real-world challenges. They not only enhance employability but also cultivate essential attributes such as adaptability, professionalism, and customer orientation. Although challenges such as workload, inconsistent supervision, and cultural adjustment persist, these can be mitigated through strong institutional support and collaboration with industry partners. As the global hospitality sector continues to evolve in response to technological and social changes, the importance of experiential learning through hotel placements remains central to preparing the next generation of hospitality professionals. By combining theory with practice, hotel placements contribute significantly to producing capable, confident, and service-oriented graduates ready to thrive in a competitive global market.</w:t>
      </w:r>
    </w:p>
    <w:p w14:paraId="45A3CE9B" w14:textId="77777777" w:rsidR="006E2B94" w:rsidRDefault="006E2B94" w:rsidP="0042504C">
      <w:pPr>
        <w:jc w:val="both"/>
        <w:rPr>
          <w:rFonts w:ascii="Arial" w:hAnsi="Arial" w:cs="Arial"/>
          <w:b/>
          <w:bCs/>
          <w:sz w:val="28"/>
          <w:szCs w:val="28"/>
        </w:rPr>
      </w:pPr>
    </w:p>
    <w:p w14:paraId="3C01BEE9" w14:textId="61AB1B71" w:rsidR="00FD7C79" w:rsidRPr="004C4A22" w:rsidRDefault="00FD7C79" w:rsidP="0042504C">
      <w:pPr>
        <w:jc w:val="both"/>
        <w:rPr>
          <w:rFonts w:ascii="Arial" w:hAnsi="Arial" w:cs="Arial"/>
          <w:b/>
          <w:bCs/>
          <w:sz w:val="28"/>
          <w:szCs w:val="28"/>
        </w:rPr>
      </w:pPr>
      <w:r w:rsidRPr="004C4A22">
        <w:rPr>
          <w:rFonts w:ascii="Arial" w:hAnsi="Arial" w:cs="Arial"/>
          <w:b/>
          <w:bCs/>
          <w:sz w:val="28"/>
          <w:szCs w:val="28"/>
        </w:rPr>
        <w:t>Reference List</w:t>
      </w:r>
      <w:r w:rsidR="00D80E9A">
        <w:rPr>
          <w:rFonts w:ascii="Arial" w:hAnsi="Arial" w:cs="Arial"/>
          <w:b/>
          <w:bCs/>
          <w:sz w:val="28"/>
          <w:szCs w:val="28"/>
        </w:rPr>
        <w:t xml:space="preserve"> (fictional</w:t>
      </w:r>
      <w:r w:rsidR="002C26AB">
        <w:rPr>
          <w:rFonts w:ascii="Arial" w:hAnsi="Arial" w:cs="Arial"/>
          <w:b/>
          <w:bCs/>
          <w:sz w:val="28"/>
          <w:szCs w:val="28"/>
        </w:rPr>
        <w:t>)</w:t>
      </w:r>
    </w:p>
    <w:p w14:paraId="72F986F0" w14:textId="7533200B" w:rsidR="00C816E0" w:rsidRDefault="00C816E0" w:rsidP="00C816E0">
      <w:pPr>
        <w:jc w:val="both"/>
        <w:rPr>
          <w:rFonts w:ascii="Arial" w:hAnsi="Arial" w:cs="Arial"/>
        </w:rPr>
      </w:pPr>
      <w:r w:rsidRPr="00C816E0">
        <w:rPr>
          <w:rFonts w:ascii="Arial" w:hAnsi="Arial" w:cs="Arial"/>
        </w:rPr>
        <w:t>Barron</w:t>
      </w:r>
      <w:r>
        <w:rPr>
          <w:rFonts w:ascii="Arial" w:hAnsi="Arial" w:cs="Arial"/>
        </w:rPr>
        <w:t>, O</w:t>
      </w:r>
      <w:r w:rsidR="00BA5A20">
        <w:rPr>
          <w:rFonts w:ascii="Arial" w:hAnsi="Arial" w:cs="Arial"/>
        </w:rPr>
        <w:t>.</w:t>
      </w:r>
      <w:r>
        <w:rPr>
          <w:rFonts w:ascii="Arial" w:hAnsi="Arial" w:cs="Arial"/>
        </w:rPr>
        <w:t xml:space="preserve"> </w:t>
      </w:r>
      <w:r w:rsidRPr="00C816E0">
        <w:rPr>
          <w:rFonts w:ascii="Arial" w:hAnsi="Arial" w:cs="Arial"/>
        </w:rPr>
        <w:t>(</w:t>
      </w:r>
      <w:r w:rsidR="00AC6228">
        <w:rPr>
          <w:rFonts w:ascii="Arial" w:hAnsi="Arial" w:cs="Arial"/>
        </w:rPr>
        <w:t>2020</w:t>
      </w:r>
      <w:r w:rsidRPr="00C816E0">
        <w:rPr>
          <w:rFonts w:ascii="Arial" w:hAnsi="Arial" w:cs="Arial"/>
        </w:rPr>
        <w:t xml:space="preserve">) </w:t>
      </w:r>
      <w:r>
        <w:rPr>
          <w:rFonts w:ascii="Arial" w:hAnsi="Arial" w:cs="Arial"/>
        </w:rPr>
        <w:t>‘</w:t>
      </w:r>
      <w:r w:rsidRPr="00C816E0">
        <w:rPr>
          <w:rFonts w:ascii="Arial" w:hAnsi="Arial" w:cs="Arial"/>
        </w:rPr>
        <w:t>F</w:t>
      </w:r>
      <w:r w:rsidR="00BA5A20">
        <w:rPr>
          <w:rFonts w:ascii="Arial" w:hAnsi="Arial" w:cs="Arial"/>
        </w:rPr>
        <w:t>ictional</w:t>
      </w:r>
      <w:r w:rsidRPr="00C816E0">
        <w:rPr>
          <w:rFonts w:ascii="Arial" w:hAnsi="Arial" w:cs="Arial"/>
        </w:rPr>
        <w:t xml:space="preserve"> referenc</w:t>
      </w:r>
      <w:r>
        <w:rPr>
          <w:rFonts w:ascii="Arial" w:hAnsi="Arial" w:cs="Arial"/>
        </w:rPr>
        <w:t xml:space="preserve">ing’, </w:t>
      </w:r>
      <w:r w:rsidRPr="00C816E0">
        <w:rPr>
          <w:rFonts w:ascii="Arial" w:hAnsi="Arial" w:cs="Arial"/>
          <w:i/>
          <w:iCs/>
        </w:rPr>
        <w:t xml:space="preserve">International Journal of </w:t>
      </w:r>
      <w:r w:rsidR="00BA5A20">
        <w:rPr>
          <w:rFonts w:ascii="Arial" w:hAnsi="Arial" w:cs="Arial"/>
          <w:i/>
          <w:iCs/>
        </w:rPr>
        <w:t>Fictional Referencing</w:t>
      </w:r>
      <w:r w:rsidRPr="00C816E0">
        <w:rPr>
          <w:rFonts w:ascii="Arial" w:hAnsi="Arial" w:cs="Arial"/>
          <w:i/>
          <w:iCs/>
        </w:rPr>
        <w:t xml:space="preserve"> Management</w:t>
      </w:r>
      <w:r w:rsidRPr="00C816E0">
        <w:rPr>
          <w:rFonts w:ascii="Arial" w:hAnsi="Arial" w:cs="Arial"/>
        </w:rPr>
        <w:t xml:space="preserve">, </w:t>
      </w:r>
      <w:r w:rsidR="004C4A22">
        <w:rPr>
          <w:rFonts w:ascii="Arial" w:hAnsi="Arial" w:cs="Arial"/>
        </w:rPr>
        <w:t xml:space="preserve">Vol. </w:t>
      </w:r>
      <w:r w:rsidRPr="00C816E0">
        <w:rPr>
          <w:rFonts w:ascii="Arial" w:hAnsi="Arial" w:cs="Arial"/>
        </w:rPr>
        <w:t>5(</w:t>
      </w:r>
      <w:r w:rsidR="000F3EC9">
        <w:rPr>
          <w:rFonts w:ascii="Arial" w:hAnsi="Arial" w:cs="Arial"/>
        </w:rPr>
        <w:t>4</w:t>
      </w:r>
      <w:r w:rsidRPr="00C816E0">
        <w:rPr>
          <w:rFonts w:ascii="Arial" w:hAnsi="Arial" w:cs="Arial"/>
        </w:rPr>
        <w:t>), pp.5</w:t>
      </w:r>
      <w:r>
        <w:rPr>
          <w:rFonts w:ascii="Arial" w:hAnsi="Arial" w:cs="Arial"/>
        </w:rPr>
        <w:t>-</w:t>
      </w:r>
      <w:r w:rsidRPr="00C816E0">
        <w:rPr>
          <w:rFonts w:ascii="Arial" w:hAnsi="Arial" w:cs="Arial"/>
        </w:rPr>
        <w:t>8.</w:t>
      </w:r>
    </w:p>
    <w:p w14:paraId="3C8A69D5" w14:textId="4A5AEA38" w:rsidR="00AC6228" w:rsidRPr="00C816E0" w:rsidRDefault="00AC6228" w:rsidP="00C816E0">
      <w:pPr>
        <w:jc w:val="both"/>
        <w:rPr>
          <w:rFonts w:ascii="Arial" w:hAnsi="Arial" w:cs="Arial"/>
        </w:rPr>
      </w:pPr>
      <w:r>
        <w:rPr>
          <w:rFonts w:ascii="Arial" w:hAnsi="Arial" w:cs="Arial"/>
        </w:rPr>
        <w:t xml:space="preserve">Bryant, A. (2022) </w:t>
      </w:r>
      <w:r w:rsidR="00E63FBF" w:rsidRPr="00E63FBF">
        <w:rPr>
          <w:rFonts w:ascii="Arial" w:hAnsi="Arial" w:cs="Arial"/>
          <w:i/>
          <w:iCs/>
        </w:rPr>
        <w:t>Fictional Harvard Referen</w:t>
      </w:r>
      <w:r w:rsidR="00E63FBF">
        <w:rPr>
          <w:rFonts w:ascii="Arial" w:hAnsi="Arial" w:cs="Arial"/>
          <w:i/>
          <w:iCs/>
        </w:rPr>
        <w:t>ci</w:t>
      </w:r>
      <w:r w:rsidR="00E63FBF" w:rsidRPr="00E63FBF">
        <w:rPr>
          <w:rFonts w:ascii="Arial" w:hAnsi="Arial" w:cs="Arial"/>
          <w:i/>
          <w:iCs/>
        </w:rPr>
        <w:t>n</w:t>
      </w:r>
      <w:r w:rsidR="00E63FBF">
        <w:rPr>
          <w:rFonts w:ascii="Arial" w:hAnsi="Arial" w:cs="Arial"/>
          <w:i/>
          <w:iCs/>
        </w:rPr>
        <w:t>g</w:t>
      </w:r>
      <w:r w:rsidR="00E63FBF">
        <w:rPr>
          <w:rFonts w:ascii="Arial" w:hAnsi="Arial" w:cs="Arial"/>
        </w:rPr>
        <w:t xml:space="preserve">. Available at: </w:t>
      </w:r>
      <w:proofErr w:type="spellStart"/>
      <w:r w:rsidR="00E63FBF">
        <w:rPr>
          <w:rFonts w:ascii="Arial" w:hAnsi="Arial" w:cs="Arial"/>
        </w:rPr>
        <w:t>fictionalhyperlink</w:t>
      </w:r>
      <w:proofErr w:type="spellEnd"/>
      <w:r w:rsidR="00E63FBF">
        <w:rPr>
          <w:rFonts w:ascii="Arial" w:hAnsi="Arial" w:cs="Arial"/>
        </w:rPr>
        <w:t xml:space="preserve"> (Accessed: 28</w:t>
      </w:r>
      <w:r w:rsidR="00E63FBF" w:rsidRPr="00E63FBF">
        <w:rPr>
          <w:rFonts w:ascii="Arial" w:hAnsi="Arial" w:cs="Arial"/>
          <w:vertAlign w:val="superscript"/>
        </w:rPr>
        <w:t>th</w:t>
      </w:r>
      <w:r w:rsidR="00E63FBF">
        <w:rPr>
          <w:rFonts w:ascii="Arial" w:hAnsi="Arial" w:cs="Arial"/>
        </w:rPr>
        <w:t xml:space="preserve"> October 2025).</w:t>
      </w:r>
    </w:p>
    <w:p w14:paraId="379E8821" w14:textId="13176350" w:rsidR="00C816E0" w:rsidRDefault="00C816E0" w:rsidP="00C816E0">
      <w:pPr>
        <w:jc w:val="both"/>
        <w:rPr>
          <w:rFonts w:ascii="Arial" w:hAnsi="Arial" w:cs="Arial"/>
        </w:rPr>
      </w:pPr>
      <w:r w:rsidRPr="00C816E0">
        <w:rPr>
          <w:rFonts w:ascii="Arial" w:hAnsi="Arial" w:cs="Arial"/>
        </w:rPr>
        <w:t xml:space="preserve">Cooper, C., </w:t>
      </w:r>
      <w:r w:rsidR="009A1AF7">
        <w:rPr>
          <w:rFonts w:ascii="Arial" w:hAnsi="Arial" w:cs="Arial"/>
        </w:rPr>
        <w:t>Sullivan</w:t>
      </w:r>
      <w:r w:rsidRPr="00C816E0">
        <w:rPr>
          <w:rFonts w:ascii="Arial" w:hAnsi="Arial" w:cs="Arial"/>
        </w:rPr>
        <w:t xml:space="preserve">, </w:t>
      </w:r>
      <w:r w:rsidR="009A1AF7">
        <w:rPr>
          <w:rFonts w:ascii="Arial" w:hAnsi="Arial" w:cs="Arial"/>
        </w:rPr>
        <w:t>K</w:t>
      </w:r>
      <w:r w:rsidRPr="00C816E0">
        <w:rPr>
          <w:rFonts w:ascii="Arial" w:hAnsi="Arial" w:cs="Arial"/>
        </w:rPr>
        <w:t xml:space="preserve">., </w:t>
      </w:r>
      <w:r w:rsidR="000F3EC9">
        <w:rPr>
          <w:rFonts w:ascii="Arial" w:hAnsi="Arial" w:cs="Arial"/>
        </w:rPr>
        <w:t>Muhammad</w:t>
      </w:r>
      <w:r w:rsidRPr="00C816E0">
        <w:rPr>
          <w:rFonts w:ascii="Arial" w:hAnsi="Arial" w:cs="Arial"/>
        </w:rPr>
        <w:t xml:space="preserve">, </w:t>
      </w:r>
      <w:r w:rsidR="000F3EC9">
        <w:rPr>
          <w:rFonts w:ascii="Arial" w:hAnsi="Arial" w:cs="Arial"/>
        </w:rPr>
        <w:t>V</w:t>
      </w:r>
      <w:r w:rsidRPr="00C816E0">
        <w:rPr>
          <w:rFonts w:ascii="Arial" w:hAnsi="Arial" w:cs="Arial"/>
        </w:rPr>
        <w:t>., G</w:t>
      </w:r>
      <w:r w:rsidR="000F3EC9">
        <w:rPr>
          <w:rFonts w:ascii="Arial" w:hAnsi="Arial" w:cs="Arial"/>
        </w:rPr>
        <w:t>raham</w:t>
      </w:r>
      <w:r w:rsidRPr="00C816E0">
        <w:rPr>
          <w:rFonts w:ascii="Arial" w:hAnsi="Arial" w:cs="Arial"/>
        </w:rPr>
        <w:t xml:space="preserve">, D. and </w:t>
      </w:r>
      <w:r w:rsidR="000F3EC9">
        <w:rPr>
          <w:rFonts w:ascii="Arial" w:hAnsi="Arial" w:cs="Arial"/>
        </w:rPr>
        <w:t>Warren</w:t>
      </w:r>
      <w:r w:rsidRPr="00C816E0">
        <w:rPr>
          <w:rFonts w:ascii="Arial" w:hAnsi="Arial" w:cs="Arial"/>
        </w:rPr>
        <w:t xml:space="preserve">, </w:t>
      </w:r>
      <w:r w:rsidR="000F3EC9">
        <w:rPr>
          <w:rFonts w:ascii="Arial" w:hAnsi="Arial" w:cs="Arial"/>
        </w:rPr>
        <w:t>N</w:t>
      </w:r>
      <w:r w:rsidRPr="00C816E0">
        <w:rPr>
          <w:rFonts w:ascii="Arial" w:hAnsi="Arial" w:cs="Arial"/>
        </w:rPr>
        <w:t>. (20</w:t>
      </w:r>
      <w:r w:rsidR="000F3EC9">
        <w:rPr>
          <w:rFonts w:ascii="Arial" w:hAnsi="Arial" w:cs="Arial"/>
        </w:rPr>
        <w:t>18</w:t>
      </w:r>
      <w:r w:rsidRPr="00C816E0">
        <w:rPr>
          <w:rFonts w:ascii="Arial" w:hAnsi="Arial" w:cs="Arial"/>
        </w:rPr>
        <w:t xml:space="preserve">) </w:t>
      </w:r>
      <w:r w:rsidRPr="00C816E0">
        <w:rPr>
          <w:rFonts w:ascii="Arial" w:hAnsi="Arial" w:cs="Arial"/>
          <w:i/>
          <w:iCs/>
        </w:rPr>
        <w:t xml:space="preserve">Tourism: </w:t>
      </w:r>
      <w:r w:rsidR="000F3EC9">
        <w:rPr>
          <w:rFonts w:ascii="Arial" w:hAnsi="Arial" w:cs="Arial"/>
          <w:i/>
          <w:iCs/>
        </w:rPr>
        <w:t>Fictional References</w:t>
      </w:r>
      <w:r w:rsidRPr="00C816E0">
        <w:rPr>
          <w:rFonts w:ascii="Arial" w:hAnsi="Arial" w:cs="Arial"/>
          <w:i/>
          <w:iCs/>
        </w:rPr>
        <w:t xml:space="preserve"> and </w:t>
      </w:r>
      <w:r w:rsidR="000F3EC9">
        <w:rPr>
          <w:rFonts w:ascii="Arial" w:hAnsi="Arial" w:cs="Arial"/>
          <w:i/>
          <w:iCs/>
        </w:rPr>
        <w:t>Essay</w:t>
      </w:r>
      <w:r w:rsidR="004D54FE">
        <w:rPr>
          <w:rFonts w:ascii="Arial" w:hAnsi="Arial" w:cs="Arial"/>
          <w:i/>
          <w:iCs/>
        </w:rPr>
        <w:t>s</w:t>
      </w:r>
      <w:r w:rsidRPr="00C816E0">
        <w:rPr>
          <w:rFonts w:ascii="Arial" w:hAnsi="Arial" w:cs="Arial"/>
        </w:rPr>
        <w:t>. 4</w:t>
      </w:r>
      <w:r w:rsidRPr="00C816E0">
        <w:rPr>
          <w:rFonts w:ascii="Arial" w:hAnsi="Arial" w:cs="Arial"/>
          <w:vertAlign w:val="superscript"/>
        </w:rPr>
        <w:t>th</w:t>
      </w:r>
      <w:r w:rsidR="009A1AF7">
        <w:rPr>
          <w:rFonts w:ascii="Arial" w:hAnsi="Arial" w:cs="Arial"/>
        </w:rPr>
        <w:t xml:space="preserve"> </w:t>
      </w:r>
      <w:proofErr w:type="spellStart"/>
      <w:r w:rsidRPr="00C816E0">
        <w:rPr>
          <w:rFonts w:ascii="Arial" w:hAnsi="Arial" w:cs="Arial"/>
        </w:rPr>
        <w:t>ed</w:t>
      </w:r>
      <w:r w:rsidR="009A1AF7">
        <w:rPr>
          <w:rFonts w:ascii="Arial" w:hAnsi="Arial" w:cs="Arial"/>
        </w:rPr>
        <w:t>n</w:t>
      </w:r>
      <w:proofErr w:type="spellEnd"/>
      <w:r w:rsidRPr="00C816E0">
        <w:rPr>
          <w:rFonts w:ascii="Arial" w:hAnsi="Arial" w:cs="Arial"/>
        </w:rPr>
        <w:t xml:space="preserve">. </w:t>
      </w:r>
      <w:r w:rsidR="000F3EC9">
        <w:rPr>
          <w:rFonts w:ascii="Arial" w:hAnsi="Arial" w:cs="Arial"/>
        </w:rPr>
        <w:t>Fictional</w:t>
      </w:r>
      <w:r w:rsidRPr="00C816E0">
        <w:rPr>
          <w:rFonts w:ascii="Arial" w:hAnsi="Arial" w:cs="Arial"/>
        </w:rPr>
        <w:t xml:space="preserve"> Education</w:t>
      </w:r>
      <w:r w:rsidR="000F3EC9">
        <w:rPr>
          <w:rFonts w:ascii="Arial" w:hAnsi="Arial" w:cs="Arial"/>
        </w:rPr>
        <w:t xml:space="preserve"> Ltd</w:t>
      </w:r>
      <w:r w:rsidRPr="00C816E0">
        <w:rPr>
          <w:rFonts w:ascii="Arial" w:hAnsi="Arial" w:cs="Arial"/>
        </w:rPr>
        <w:t>.</w:t>
      </w:r>
    </w:p>
    <w:p w14:paraId="3BDF98FB" w14:textId="13C1ADB3" w:rsidR="009A1AF7" w:rsidRPr="00C816E0" w:rsidRDefault="009A1AF7" w:rsidP="00C816E0">
      <w:pPr>
        <w:jc w:val="both"/>
        <w:rPr>
          <w:rFonts w:ascii="Arial" w:hAnsi="Arial" w:cs="Arial"/>
        </w:rPr>
      </w:pPr>
      <w:r>
        <w:rPr>
          <w:rFonts w:ascii="Arial" w:hAnsi="Arial" w:cs="Arial"/>
        </w:rPr>
        <w:t>Friedel</w:t>
      </w:r>
      <w:r w:rsidRPr="00C816E0">
        <w:rPr>
          <w:rFonts w:ascii="Arial" w:hAnsi="Arial" w:cs="Arial"/>
        </w:rPr>
        <w:t>, T.</w:t>
      </w:r>
      <w:r>
        <w:rPr>
          <w:rFonts w:ascii="Arial" w:hAnsi="Arial" w:cs="Arial"/>
        </w:rPr>
        <w:t xml:space="preserve"> and Baxter, A.</w:t>
      </w:r>
      <w:r w:rsidRPr="00C816E0">
        <w:rPr>
          <w:rFonts w:ascii="Arial" w:hAnsi="Arial" w:cs="Arial"/>
        </w:rPr>
        <w:t xml:space="preserve"> (20</w:t>
      </w:r>
      <w:r w:rsidR="00976DEE">
        <w:rPr>
          <w:rFonts w:ascii="Arial" w:hAnsi="Arial" w:cs="Arial"/>
        </w:rPr>
        <w:t>24</w:t>
      </w:r>
      <w:r w:rsidRPr="00C816E0">
        <w:rPr>
          <w:rFonts w:ascii="Arial" w:hAnsi="Arial" w:cs="Arial"/>
        </w:rPr>
        <w:t xml:space="preserve">) </w:t>
      </w:r>
      <w:r w:rsidRPr="00823437">
        <w:rPr>
          <w:rFonts w:ascii="Arial" w:hAnsi="Arial" w:cs="Arial"/>
        </w:rPr>
        <w:t>‘</w:t>
      </w:r>
      <w:r w:rsidRPr="00C816E0">
        <w:rPr>
          <w:rFonts w:ascii="Arial" w:hAnsi="Arial" w:cs="Arial"/>
        </w:rPr>
        <w:t xml:space="preserve">Reflections on </w:t>
      </w:r>
      <w:r w:rsidR="00823437" w:rsidRPr="00823437">
        <w:rPr>
          <w:rFonts w:ascii="Arial" w:hAnsi="Arial" w:cs="Arial"/>
        </w:rPr>
        <w:t>fictional</w:t>
      </w:r>
      <w:r w:rsidRPr="00823437">
        <w:rPr>
          <w:rFonts w:ascii="Arial" w:hAnsi="Arial" w:cs="Arial"/>
        </w:rPr>
        <w:t xml:space="preserve"> references:</w:t>
      </w:r>
      <w:r w:rsidRPr="00C816E0">
        <w:rPr>
          <w:rFonts w:ascii="Arial" w:hAnsi="Arial" w:cs="Arial"/>
        </w:rPr>
        <w:t xml:space="preserve"> Challenging </w:t>
      </w:r>
      <w:r w:rsidRPr="00823437">
        <w:rPr>
          <w:rFonts w:ascii="Arial" w:hAnsi="Arial" w:cs="Arial"/>
        </w:rPr>
        <w:t>academic integrity in academia’</w:t>
      </w:r>
      <w:r w:rsidR="00823437">
        <w:rPr>
          <w:rFonts w:ascii="Arial" w:hAnsi="Arial" w:cs="Arial"/>
        </w:rPr>
        <w:t>,</w:t>
      </w:r>
      <w:r w:rsidRPr="00C816E0">
        <w:rPr>
          <w:rFonts w:ascii="Arial" w:hAnsi="Arial" w:cs="Arial"/>
        </w:rPr>
        <w:t xml:space="preserve"> </w:t>
      </w:r>
      <w:r w:rsidRPr="00C816E0">
        <w:rPr>
          <w:rFonts w:ascii="Arial" w:hAnsi="Arial" w:cs="Arial"/>
          <w:i/>
          <w:iCs/>
        </w:rPr>
        <w:t xml:space="preserve">Journal of </w:t>
      </w:r>
      <w:r>
        <w:rPr>
          <w:rFonts w:ascii="Arial" w:hAnsi="Arial" w:cs="Arial"/>
          <w:i/>
          <w:iCs/>
        </w:rPr>
        <w:t>Fictional</w:t>
      </w:r>
      <w:r w:rsidRPr="00BA5A20">
        <w:rPr>
          <w:rFonts w:ascii="Arial" w:hAnsi="Arial" w:cs="Arial"/>
          <w:i/>
          <w:iCs/>
        </w:rPr>
        <w:t xml:space="preserve"> Referencing</w:t>
      </w:r>
      <w:r w:rsidRPr="00C816E0">
        <w:rPr>
          <w:rFonts w:ascii="Arial" w:hAnsi="Arial" w:cs="Arial"/>
        </w:rPr>
        <w:t xml:space="preserve">, </w:t>
      </w:r>
      <w:r w:rsidR="004C4A22">
        <w:rPr>
          <w:rFonts w:ascii="Arial" w:hAnsi="Arial" w:cs="Arial"/>
        </w:rPr>
        <w:t xml:space="preserve">Vol. </w:t>
      </w:r>
      <w:r w:rsidRPr="00C816E0">
        <w:rPr>
          <w:rFonts w:ascii="Arial" w:hAnsi="Arial" w:cs="Arial"/>
        </w:rPr>
        <w:t>13(2), pp. 124–135.</w:t>
      </w:r>
    </w:p>
    <w:p w14:paraId="57D927EA" w14:textId="4711270E" w:rsidR="00C816E0" w:rsidRPr="00C816E0" w:rsidRDefault="004C4A22" w:rsidP="00C816E0">
      <w:pPr>
        <w:jc w:val="both"/>
        <w:rPr>
          <w:rFonts w:ascii="Arial" w:hAnsi="Arial" w:cs="Arial"/>
        </w:rPr>
      </w:pPr>
      <w:r>
        <w:rPr>
          <w:rFonts w:ascii="Arial" w:hAnsi="Arial" w:cs="Arial"/>
        </w:rPr>
        <w:t>Jones</w:t>
      </w:r>
      <w:r w:rsidR="00C816E0" w:rsidRPr="00C816E0">
        <w:rPr>
          <w:rFonts w:ascii="Arial" w:hAnsi="Arial" w:cs="Arial"/>
        </w:rPr>
        <w:t xml:space="preserve">, </w:t>
      </w:r>
      <w:r>
        <w:rPr>
          <w:rFonts w:ascii="Arial" w:hAnsi="Arial" w:cs="Arial"/>
        </w:rPr>
        <w:t>N</w:t>
      </w:r>
      <w:r w:rsidR="00C816E0" w:rsidRPr="00C816E0">
        <w:rPr>
          <w:rFonts w:ascii="Arial" w:hAnsi="Arial" w:cs="Arial"/>
        </w:rPr>
        <w:t>. (20</w:t>
      </w:r>
      <w:r>
        <w:rPr>
          <w:rFonts w:ascii="Arial" w:hAnsi="Arial" w:cs="Arial"/>
        </w:rPr>
        <w:t>23</w:t>
      </w:r>
      <w:r w:rsidR="00C816E0" w:rsidRPr="00C816E0">
        <w:rPr>
          <w:rFonts w:ascii="Arial" w:hAnsi="Arial" w:cs="Arial"/>
        </w:rPr>
        <w:t xml:space="preserve">) </w:t>
      </w:r>
      <w:r w:rsidRPr="004C4A22">
        <w:rPr>
          <w:rFonts w:ascii="Arial" w:hAnsi="Arial" w:cs="Arial"/>
        </w:rPr>
        <w:t>‘</w:t>
      </w:r>
      <w:r w:rsidR="00C816E0" w:rsidRPr="00C816E0">
        <w:rPr>
          <w:rFonts w:ascii="Arial" w:hAnsi="Arial" w:cs="Arial"/>
        </w:rPr>
        <w:t xml:space="preserve">Challenges in </w:t>
      </w:r>
      <w:r w:rsidRPr="004C4A22">
        <w:rPr>
          <w:rFonts w:ascii="Arial" w:hAnsi="Arial" w:cs="Arial"/>
        </w:rPr>
        <w:t>fictional referencing’,</w:t>
      </w:r>
      <w:r w:rsidR="00C816E0" w:rsidRPr="00C816E0">
        <w:rPr>
          <w:rFonts w:ascii="Arial" w:hAnsi="Arial" w:cs="Arial"/>
        </w:rPr>
        <w:t xml:space="preserve"> </w:t>
      </w:r>
      <w:r w:rsidR="00C816E0" w:rsidRPr="00C816E0">
        <w:rPr>
          <w:rFonts w:ascii="Arial" w:hAnsi="Arial" w:cs="Arial"/>
          <w:i/>
          <w:iCs/>
        </w:rPr>
        <w:t xml:space="preserve">International Journal of </w:t>
      </w:r>
      <w:r w:rsidRPr="004C4A22">
        <w:rPr>
          <w:rFonts w:ascii="Arial" w:hAnsi="Arial" w:cs="Arial"/>
          <w:i/>
          <w:iCs/>
        </w:rPr>
        <w:t>Fictional Referencing</w:t>
      </w:r>
      <w:r w:rsidR="00C816E0" w:rsidRPr="00C816E0">
        <w:rPr>
          <w:rFonts w:ascii="Arial" w:hAnsi="Arial" w:cs="Arial"/>
          <w:i/>
          <w:iCs/>
        </w:rPr>
        <w:t xml:space="preserve"> Management</w:t>
      </w:r>
      <w:r w:rsidR="00C816E0" w:rsidRPr="00C816E0">
        <w:rPr>
          <w:rFonts w:ascii="Arial" w:hAnsi="Arial" w:cs="Arial"/>
        </w:rPr>
        <w:t xml:space="preserve">, </w:t>
      </w:r>
      <w:r>
        <w:rPr>
          <w:rFonts w:ascii="Arial" w:hAnsi="Arial" w:cs="Arial"/>
        </w:rPr>
        <w:t xml:space="preserve">Vol. </w:t>
      </w:r>
      <w:r w:rsidR="00C816E0" w:rsidRPr="00C816E0">
        <w:rPr>
          <w:rFonts w:ascii="Arial" w:hAnsi="Arial" w:cs="Arial"/>
        </w:rPr>
        <w:t>12(6), pp.30</w:t>
      </w:r>
      <w:r>
        <w:rPr>
          <w:rFonts w:ascii="Arial" w:hAnsi="Arial" w:cs="Arial"/>
        </w:rPr>
        <w:t>2</w:t>
      </w:r>
      <w:r w:rsidR="00ED19F2">
        <w:rPr>
          <w:rFonts w:ascii="Arial" w:hAnsi="Arial" w:cs="Arial"/>
        </w:rPr>
        <w:t>-</w:t>
      </w:r>
      <w:r w:rsidR="00C816E0" w:rsidRPr="00C816E0">
        <w:rPr>
          <w:rFonts w:ascii="Arial" w:hAnsi="Arial" w:cs="Arial"/>
        </w:rPr>
        <w:t>310.</w:t>
      </w:r>
    </w:p>
    <w:p w14:paraId="7C11FDB5" w14:textId="4711D7A4" w:rsidR="00C816E0" w:rsidRPr="00C816E0" w:rsidRDefault="000F3EC9" w:rsidP="00C816E0">
      <w:pPr>
        <w:jc w:val="both"/>
        <w:rPr>
          <w:rFonts w:ascii="Arial" w:hAnsi="Arial" w:cs="Arial"/>
        </w:rPr>
      </w:pPr>
      <w:r>
        <w:rPr>
          <w:rFonts w:ascii="Arial" w:hAnsi="Arial" w:cs="Arial"/>
        </w:rPr>
        <w:t>Lewis</w:t>
      </w:r>
      <w:r w:rsidR="00C816E0" w:rsidRPr="00C816E0">
        <w:rPr>
          <w:rFonts w:ascii="Arial" w:hAnsi="Arial" w:cs="Arial"/>
        </w:rPr>
        <w:t xml:space="preserve">, </w:t>
      </w:r>
      <w:r>
        <w:rPr>
          <w:rFonts w:ascii="Arial" w:hAnsi="Arial" w:cs="Arial"/>
        </w:rPr>
        <w:t>I</w:t>
      </w:r>
      <w:r w:rsidR="00C816E0" w:rsidRPr="00C816E0">
        <w:rPr>
          <w:rFonts w:ascii="Arial" w:hAnsi="Arial" w:cs="Arial"/>
        </w:rPr>
        <w:t>. (20</w:t>
      </w:r>
      <w:r>
        <w:rPr>
          <w:rFonts w:ascii="Arial" w:hAnsi="Arial" w:cs="Arial"/>
        </w:rPr>
        <w:t>25</w:t>
      </w:r>
      <w:r w:rsidR="00C816E0" w:rsidRPr="00C816E0">
        <w:rPr>
          <w:rFonts w:ascii="Arial" w:hAnsi="Arial" w:cs="Arial"/>
        </w:rPr>
        <w:t xml:space="preserve">) </w:t>
      </w:r>
      <w:r w:rsidR="004C4A22" w:rsidRPr="004C4A22">
        <w:rPr>
          <w:rFonts w:ascii="Arial" w:hAnsi="Arial" w:cs="Arial"/>
        </w:rPr>
        <w:t>‘</w:t>
      </w:r>
      <w:r w:rsidRPr="004C4A22">
        <w:rPr>
          <w:rFonts w:ascii="Arial" w:hAnsi="Arial" w:cs="Arial"/>
        </w:rPr>
        <w:t>Fictional</w:t>
      </w:r>
      <w:r w:rsidR="00C816E0" w:rsidRPr="00C816E0">
        <w:rPr>
          <w:rFonts w:ascii="Arial" w:hAnsi="Arial" w:cs="Arial"/>
        </w:rPr>
        <w:t xml:space="preserve"> Studies: Developing a Subject through </w:t>
      </w:r>
      <w:r w:rsidRPr="004C4A22">
        <w:rPr>
          <w:rFonts w:ascii="Arial" w:hAnsi="Arial" w:cs="Arial"/>
        </w:rPr>
        <w:t>Fictional</w:t>
      </w:r>
      <w:r w:rsidR="00C816E0" w:rsidRPr="00C816E0">
        <w:rPr>
          <w:rFonts w:ascii="Arial" w:hAnsi="Arial" w:cs="Arial"/>
        </w:rPr>
        <w:t xml:space="preserve"> Learning</w:t>
      </w:r>
      <w:r w:rsidR="004C4A22" w:rsidRPr="004C4A22">
        <w:rPr>
          <w:rFonts w:ascii="Arial" w:hAnsi="Arial" w:cs="Arial"/>
        </w:rPr>
        <w:t>’,</w:t>
      </w:r>
      <w:r w:rsidR="00C816E0" w:rsidRPr="00C816E0">
        <w:rPr>
          <w:rFonts w:ascii="Arial" w:hAnsi="Arial" w:cs="Arial"/>
          <w:i/>
          <w:iCs/>
        </w:rPr>
        <w:t xml:space="preserve"> Journal of </w:t>
      </w:r>
      <w:r w:rsidR="004C4A22" w:rsidRPr="004C4A22">
        <w:rPr>
          <w:rFonts w:ascii="Arial" w:hAnsi="Arial" w:cs="Arial"/>
          <w:i/>
          <w:iCs/>
        </w:rPr>
        <w:t>Fictional Harvard Referencing</w:t>
      </w:r>
      <w:r w:rsidR="00C816E0" w:rsidRPr="00C816E0">
        <w:rPr>
          <w:rFonts w:ascii="Arial" w:hAnsi="Arial" w:cs="Arial"/>
        </w:rPr>
        <w:t xml:space="preserve">, </w:t>
      </w:r>
      <w:r w:rsidR="004C4A22">
        <w:rPr>
          <w:rFonts w:ascii="Arial" w:hAnsi="Arial" w:cs="Arial"/>
        </w:rPr>
        <w:t xml:space="preserve">Vol. </w:t>
      </w:r>
      <w:r w:rsidR="00C816E0" w:rsidRPr="00C816E0">
        <w:rPr>
          <w:rFonts w:ascii="Arial" w:hAnsi="Arial" w:cs="Arial"/>
        </w:rPr>
        <w:t>27(2), pp.41</w:t>
      </w:r>
      <w:r w:rsidR="00ED19F2">
        <w:rPr>
          <w:rFonts w:ascii="Arial" w:hAnsi="Arial" w:cs="Arial"/>
        </w:rPr>
        <w:t>-</w:t>
      </w:r>
      <w:r w:rsidR="00C816E0" w:rsidRPr="00C816E0">
        <w:rPr>
          <w:rFonts w:ascii="Arial" w:hAnsi="Arial" w:cs="Arial"/>
        </w:rPr>
        <w:t>50.</w:t>
      </w:r>
    </w:p>
    <w:p w14:paraId="593F0E80" w14:textId="3BA3C240" w:rsidR="00C816E0" w:rsidRDefault="00C816E0" w:rsidP="00C816E0">
      <w:pPr>
        <w:jc w:val="both"/>
        <w:rPr>
          <w:rFonts w:ascii="Arial" w:hAnsi="Arial" w:cs="Arial"/>
        </w:rPr>
      </w:pPr>
      <w:r w:rsidRPr="00C816E0">
        <w:rPr>
          <w:rFonts w:ascii="Arial" w:hAnsi="Arial" w:cs="Arial"/>
        </w:rPr>
        <w:t xml:space="preserve">Riley, M., </w:t>
      </w:r>
      <w:r w:rsidR="009A1AF7">
        <w:rPr>
          <w:rFonts w:ascii="Arial" w:hAnsi="Arial" w:cs="Arial"/>
        </w:rPr>
        <w:t>Smith</w:t>
      </w:r>
      <w:r w:rsidRPr="00C816E0">
        <w:rPr>
          <w:rFonts w:ascii="Arial" w:hAnsi="Arial" w:cs="Arial"/>
        </w:rPr>
        <w:t xml:space="preserve">, </w:t>
      </w:r>
      <w:r w:rsidR="009A1AF7">
        <w:rPr>
          <w:rFonts w:ascii="Arial" w:hAnsi="Arial" w:cs="Arial"/>
        </w:rPr>
        <w:t>B</w:t>
      </w:r>
      <w:r w:rsidRPr="00C816E0">
        <w:rPr>
          <w:rFonts w:ascii="Arial" w:hAnsi="Arial" w:cs="Arial"/>
        </w:rPr>
        <w:t>.</w:t>
      </w:r>
      <w:r w:rsidR="009A1AF7">
        <w:rPr>
          <w:rFonts w:ascii="Arial" w:hAnsi="Arial" w:cs="Arial"/>
        </w:rPr>
        <w:t>, Flynn, P.</w:t>
      </w:r>
      <w:r w:rsidRPr="00C816E0">
        <w:rPr>
          <w:rFonts w:ascii="Arial" w:hAnsi="Arial" w:cs="Arial"/>
        </w:rPr>
        <w:t xml:space="preserve"> and </w:t>
      </w:r>
      <w:r w:rsidR="009A1AF7">
        <w:rPr>
          <w:rFonts w:ascii="Arial" w:hAnsi="Arial" w:cs="Arial"/>
        </w:rPr>
        <w:t>Johnston</w:t>
      </w:r>
      <w:r w:rsidRPr="00C816E0">
        <w:rPr>
          <w:rFonts w:ascii="Arial" w:hAnsi="Arial" w:cs="Arial"/>
        </w:rPr>
        <w:t>, E. (20</w:t>
      </w:r>
      <w:r w:rsidR="009A1AF7">
        <w:rPr>
          <w:rFonts w:ascii="Arial" w:hAnsi="Arial" w:cs="Arial"/>
        </w:rPr>
        <w:t>2</w:t>
      </w:r>
      <w:r w:rsidRPr="00C816E0">
        <w:rPr>
          <w:rFonts w:ascii="Arial" w:hAnsi="Arial" w:cs="Arial"/>
        </w:rPr>
        <w:t xml:space="preserve">2) </w:t>
      </w:r>
      <w:r w:rsidR="009A1AF7">
        <w:rPr>
          <w:rFonts w:ascii="Arial" w:hAnsi="Arial" w:cs="Arial"/>
          <w:i/>
          <w:iCs/>
        </w:rPr>
        <w:t>Writing fictional references for essays</w:t>
      </w:r>
      <w:r w:rsidRPr="00C816E0">
        <w:rPr>
          <w:rFonts w:ascii="Arial" w:hAnsi="Arial" w:cs="Arial"/>
        </w:rPr>
        <w:t xml:space="preserve">. </w:t>
      </w:r>
      <w:r w:rsidR="009A1AF7">
        <w:rPr>
          <w:rFonts w:ascii="Arial" w:hAnsi="Arial" w:cs="Arial"/>
        </w:rPr>
        <w:t>Fictional</w:t>
      </w:r>
      <w:r w:rsidRPr="00C816E0">
        <w:rPr>
          <w:rFonts w:ascii="Arial" w:hAnsi="Arial" w:cs="Arial"/>
        </w:rPr>
        <w:t xml:space="preserve"> Publications.</w:t>
      </w:r>
    </w:p>
    <w:p w14:paraId="125E0968" w14:textId="7A7CAE8D" w:rsidR="004C4A22" w:rsidRPr="00C816E0" w:rsidRDefault="004C4A22" w:rsidP="00C816E0">
      <w:pPr>
        <w:jc w:val="both"/>
        <w:rPr>
          <w:rFonts w:ascii="Arial" w:hAnsi="Arial" w:cs="Arial"/>
        </w:rPr>
      </w:pPr>
      <w:r>
        <w:rPr>
          <w:rFonts w:ascii="Arial" w:hAnsi="Arial" w:cs="Arial"/>
        </w:rPr>
        <w:t xml:space="preserve">Wang, X. (2018) </w:t>
      </w:r>
      <w:r w:rsidRPr="004C4A22">
        <w:rPr>
          <w:rFonts w:ascii="Arial" w:hAnsi="Arial" w:cs="Arial"/>
          <w:i/>
          <w:iCs/>
        </w:rPr>
        <w:t>Referencing: Fiction</w:t>
      </w:r>
      <w:r>
        <w:rPr>
          <w:rFonts w:ascii="Arial" w:hAnsi="Arial" w:cs="Arial"/>
        </w:rPr>
        <w:t>. 3</w:t>
      </w:r>
      <w:r w:rsidRPr="004C4A22">
        <w:rPr>
          <w:rFonts w:ascii="Arial" w:hAnsi="Arial" w:cs="Arial"/>
          <w:vertAlign w:val="superscript"/>
        </w:rPr>
        <w:t>rd</w:t>
      </w:r>
      <w:r>
        <w:rPr>
          <w:rFonts w:ascii="Arial" w:hAnsi="Arial" w:cs="Arial"/>
        </w:rPr>
        <w:t xml:space="preserve"> </w:t>
      </w:r>
      <w:proofErr w:type="spellStart"/>
      <w:r>
        <w:rPr>
          <w:rFonts w:ascii="Arial" w:hAnsi="Arial" w:cs="Arial"/>
        </w:rPr>
        <w:t>edn</w:t>
      </w:r>
      <w:proofErr w:type="spellEnd"/>
      <w:r>
        <w:rPr>
          <w:rFonts w:ascii="Arial" w:hAnsi="Arial" w:cs="Arial"/>
        </w:rPr>
        <w:t xml:space="preserve">. </w:t>
      </w:r>
      <w:proofErr w:type="spellStart"/>
      <w:r>
        <w:rPr>
          <w:rFonts w:ascii="Arial" w:hAnsi="Arial" w:cs="Arial"/>
        </w:rPr>
        <w:t>HarvardReferencingPublishing</w:t>
      </w:r>
      <w:proofErr w:type="spellEnd"/>
      <w:r>
        <w:rPr>
          <w:rFonts w:ascii="Arial" w:hAnsi="Arial" w:cs="Arial"/>
        </w:rPr>
        <w:t>.</w:t>
      </w:r>
    </w:p>
    <w:p w14:paraId="6C4DE84C" w14:textId="77777777" w:rsidR="00C816E0" w:rsidRDefault="00C816E0" w:rsidP="0042504C">
      <w:pPr>
        <w:jc w:val="both"/>
        <w:rPr>
          <w:rFonts w:ascii="Arial" w:hAnsi="Arial" w:cs="Arial"/>
        </w:rPr>
      </w:pPr>
    </w:p>
    <w:p w14:paraId="334719DB" w14:textId="77777777" w:rsidR="00D80E9A" w:rsidRDefault="00D80E9A" w:rsidP="0042504C">
      <w:pPr>
        <w:jc w:val="both"/>
        <w:rPr>
          <w:rFonts w:ascii="Arial" w:hAnsi="Arial" w:cs="Arial"/>
        </w:rPr>
      </w:pPr>
    </w:p>
    <w:p w14:paraId="270415C2" w14:textId="77777777" w:rsidR="00D80E9A" w:rsidRDefault="00D80E9A" w:rsidP="0042504C">
      <w:pPr>
        <w:jc w:val="both"/>
        <w:rPr>
          <w:rFonts w:ascii="Arial" w:hAnsi="Arial" w:cs="Arial"/>
        </w:rPr>
      </w:pPr>
    </w:p>
    <w:p w14:paraId="7FD83336" w14:textId="77777777" w:rsidR="00D80E9A" w:rsidRDefault="00D80E9A" w:rsidP="0042504C">
      <w:pPr>
        <w:jc w:val="both"/>
        <w:rPr>
          <w:rFonts w:ascii="Arial" w:hAnsi="Arial" w:cs="Arial"/>
        </w:rPr>
      </w:pPr>
    </w:p>
    <w:p w14:paraId="1D9B5C24" w14:textId="77777777" w:rsidR="00D80E9A" w:rsidRDefault="00D80E9A" w:rsidP="0042504C">
      <w:pPr>
        <w:jc w:val="both"/>
        <w:rPr>
          <w:rFonts w:ascii="Arial" w:hAnsi="Arial" w:cs="Arial"/>
        </w:rPr>
      </w:pPr>
    </w:p>
    <w:p w14:paraId="382316A0" w14:textId="77777777" w:rsidR="00D80E9A" w:rsidRDefault="00D80E9A" w:rsidP="0042504C">
      <w:pPr>
        <w:jc w:val="both"/>
        <w:rPr>
          <w:rFonts w:ascii="Arial" w:hAnsi="Arial" w:cs="Arial"/>
        </w:rPr>
      </w:pPr>
    </w:p>
    <w:p w14:paraId="54C875BA" w14:textId="77777777" w:rsidR="00D80E9A" w:rsidRDefault="00D80E9A" w:rsidP="0042504C">
      <w:pPr>
        <w:jc w:val="both"/>
        <w:rPr>
          <w:rFonts w:ascii="Arial" w:hAnsi="Arial" w:cs="Arial"/>
        </w:rPr>
      </w:pPr>
    </w:p>
    <w:p w14:paraId="61C9014B" w14:textId="77777777" w:rsidR="00D80E9A" w:rsidRDefault="00D80E9A" w:rsidP="0042504C">
      <w:pPr>
        <w:jc w:val="both"/>
        <w:rPr>
          <w:rFonts w:ascii="Arial" w:hAnsi="Arial" w:cs="Arial"/>
        </w:rPr>
      </w:pPr>
    </w:p>
    <w:p w14:paraId="75725780" w14:textId="77777777" w:rsidR="00D80E9A" w:rsidRDefault="00D80E9A" w:rsidP="0042504C">
      <w:pPr>
        <w:jc w:val="both"/>
        <w:rPr>
          <w:rFonts w:ascii="Arial" w:hAnsi="Arial" w:cs="Arial"/>
        </w:rPr>
      </w:pPr>
    </w:p>
    <w:p w14:paraId="467FD235" w14:textId="77777777" w:rsidR="00D80E9A" w:rsidRDefault="00D80E9A" w:rsidP="0042504C">
      <w:pPr>
        <w:jc w:val="both"/>
        <w:rPr>
          <w:rFonts w:ascii="Arial" w:hAnsi="Arial" w:cs="Arial"/>
        </w:rPr>
      </w:pPr>
    </w:p>
    <w:p w14:paraId="6D8232C2" w14:textId="77777777" w:rsidR="00D80E9A" w:rsidRDefault="00D80E9A" w:rsidP="0042504C">
      <w:pPr>
        <w:jc w:val="both"/>
        <w:rPr>
          <w:rFonts w:ascii="Arial" w:hAnsi="Arial" w:cs="Arial"/>
        </w:rPr>
      </w:pPr>
    </w:p>
    <w:p w14:paraId="20E28983" w14:textId="77777777" w:rsidR="00D80E9A" w:rsidRDefault="00D80E9A" w:rsidP="0042504C">
      <w:pPr>
        <w:jc w:val="both"/>
        <w:rPr>
          <w:rFonts w:ascii="Arial" w:hAnsi="Arial" w:cs="Arial"/>
        </w:rPr>
      </w:pPr>
    </w:p>
    <w:p w14:paraId="0F68368F" w14:textId="77777777" w:rsidR="00D80E9A" w:rsidRDefault="00D80E9A" w:rsidP="0042504C">
      <w:pPr>
        <w:jc w:val="both"/>
        <w:rPr>
          <w:rFonts w:ascii="Arial" w:hAnsi="Arial" w:cs="Arial"/>
        </w:rPr>
      </w:pPr>
    </w:p>
    <w:p w14:paraId="5C66CFC2" w14:textId="7C433B64" w:rsidR="00D80E9A" w:rsidRPr="00D80E9A" w:rsidRDefault="00D80E9A" w:rsidP="0042504C">
      <w:pPr>
        <w:jc w:val="both"/>
        <w:rPr>
          <w:rFonts w:ascii="Arial" w:hAnsi="Arial" w:cs="Arial"/>
          <w:b/>
          <w:bCs/>
        </w:rPr>
      </w:pPr>
      <w:r w:rsidRPr="00D80E9A">
        <w:rPr>
          <w:rFonts w:ascii="Arial" w:hAnsi="Arial" w:cs="Arial"/>
          <w:b/>
          <w:bCs/>
        </w:rPr>
        <w:lastRenderedPageBreak/>
        <w:t>Reference List</w:t>
      </w:r>
      <w:r>
        <w:rPr>
          <w:rFonts w:ascii="Arial" w:hAnsi="Arial" w:cs="Arial"/>
          <w:b/>
          <w:bCs/>
        </w:rPr>
        <w:t xml:space="preserve"> (real)</w:t>
      </w:r>
    </w:p>
    <w:p w14:paraId="66BD7CD0" w14:textId="045A6AB2" w:rsidR="00D80E9A" w:rsidRDefault="00D80E9A" w:rsidP="0042504C">
      <w:pPr>
        <w:jc w:val="both"/>
        <w:rPr>
          <w:rFonts w:ascii="Arial" w:hAnsi="Arial" w:cs="Arial"/>
        </w:rPr>
      </w:pPr>
      <w:r w:rsidRPr="00D80E9A">
        <w:rPr>
          <w:rFonts w:ascii="Arial" w:hAnsi="Arial" w:cs="Arial"/>
        </w:rPr>
        <w:t xml:space="preserve">Bailey, S. (2020) </w:t>
      </w:r>
      <w:r w:rsidRPr="00D80E9A">
        <w:rPr>
          <w:rFonts w:ascii="Arial" w:hAnsi="Arial" w:cs="Arial"/>
          <w:i/>
          <w:iCs/>
        </w:rPr>
        <w:t>Academic writing for international students of business and economics</w:t>
      </w:r>
      <w:r w:rsidRPr="00D80E9A">
        <w:rPr>
          <w:rFonts w:ascii="Arial" w:hAnsi="Arial" w:cs="Arial"/>
        </w:rPr>
        <w:t>. 3</w:t>
      </w:r>
      <w:r w:rsidRPr="00D80E9A">
        <w:rPr>
          <w:rFonts w:ascii="Arial" w:hAnsi="Arial" w:cs="Arial"/>
          <w:vertAlign w:val="superscript"/>
        </w:rPr>
        <w:t>rd</w:t>
      </w:r>
      <w:r>
        <w:rPr>
          <w:rFonts w:ascii="Arial" w:hAnsi="Arial" w:cs="Arial"/>
        </w:rPr>
        <w:t xml:space="preserve"> </w:t>
      </w:r>
      <w:proofErr w:type="spellStart"/>
      <w:r w:rsidRPr="00D80E9A">
        <w:rPr>
          <w:rFonts w:ascii="Arial" w:hAnsi="Arial" w:cs="Arial"/>
        </w:rPr>
        <w:t>edn</w:t>
      </w:r>
      <w:proofErr w:type="spellEnd"/>
      <w:r w:rsidRPr="00D80E9A">
        <w:rPr>
          <w:rFonts w:ascii="Arial" w:hAnsi="Arial" w:cs="Arial"/>
        </w:rPr>
        <w:t>. Routledge</w:t>
      </w:r>
      <w:r>
        <w:rPr>
          <w:rFonts w:ascii="Arial" w:hAnsi="Arial" w:cs="Arial"/>
        </w:rPr>
        <w:t>.</w:t>
      </w:r>
    </w:p>
    <w:p w14:paraId="5E06C32E" w14:textId="1B5836BF" w:rsidR="00D80E9A" w:rsidRDefault="00D80E9A" w:rsidP="0042504C">
      <w:pPr>
        <w:jc w:val="both"/>
        <w:rPr>
          <w:rFonts w:ascii="Arial" w:hAnsi="Arial" w:cs="Arial"/>
        </w:rPr>
      </w:pPr>
      <w:r w:rsidRPr="00D80E9A">
        <w:rPr>
          <w:rFonts w:ascii="Arial" w:hAnsi="Arial" w:cs="Arial"/>
        </w:rPr>
        <w:t xml:space="preserve">Bolton, G. and </w:t>
      </w:r>
      <w:proofErr w:type="spellStart"/>
      <w:r w:rsidRPr="00D80E9A">
        <w:rPr>
          <w:rFonts w:ascii="Arial" w:hAnsi="Arial" w:cs="Arial"/>
        </w:rPr>
        <w:t>Delderfield</w:t>
      </w:r>
      <w:proofErr w:type="spellEnd"/>
      <w:r w:rsidRPr="00D80E9A">
        <w:rPr>
          <w:rFonts w:ascii="Arial" w:hAnsi="Arial" w:cs="Arial"/>
        </w:rPr>
        <w:t xml:space="preserve">, R. (2018) </w:t>
      </w:r>
      <w:r w:rsidRPr="00D80E9A">
        <w:rPr>
          <w:rFonts w:ascii="Arial" w:hAnsi="Arial" w:cs="Arial"/>
          <w:i/>
          <w:iCs/>
        </w:rPr>
        <w:t>Reflective practice: writing and professional development</w:t>
      </w:r>
      <w:r w:rsidRPr="00D80E9A">
        <w:rPr>
          <w:rFonts w:ascii="Arial" w:hAnsi="Arial" w:cs="Arial"/>
        </w:rPr>
        <w:t>. 5</w:t>
      </w:r>
      <w:r w:rsidRPr="00D80E9A">
        <w:rPr>
          <w:rFonts w:ascii="Arial" w:hAnsi="Arial" w:cs="Arial"/>
          <w:vertAlign w:val="superscript"/>
        </w:rPr>
        <w:t>th</w:t>
      </w:r>
      <w:r>
        <w:rPr>
          <w:rFonts w:ascii="Arial" w:hAnsi="Arial" w:cs="Arial"/>
        </w:rPr>
        <w:t xml:space="preserve"> </w:t>
      </w:r>
      <w:proofErr w:type="spellStart"/>
      <w:r w:rsidRPr="00D80E9A">
        <w:rPr>
          <w:rFonts w:ascii="Arial" w:hAnsi="Arial" w:cs="Arial"/>
        </w:rPr>
        <w:t>edn</w:t>
      </w:r>
      <w:proofErr w:type="spellEnd"/>
      <w:r w:rsidRPr="00D80E9A">
        <w:rPr>
          <w:rFonts w:ascii="Arial" w:hAnsi="Arial" w:cs="Arial"/>
        </w:rPr>
        <w:t>. SAGE</w:t>
      </w:r>
      <w:r>
        <w:rPr>
          <w:rFonts w:ascii="Arial" w:hAnsi="Arial" w:cs="Arial"/>
        </w:rPr>
        <w:t>.</w:t>
      </w:r>
    </w:p>
    <w:p w14:paraId="22471D0B" w14:textId="6CE6A10E" w:rsidR="00D80E9A" w:rsidRDefault="00D80E9A" w:rsidP="0042504C">
      <w:pPr>
        <w:jc w:val="both"/>
        <w:rPr>
          <w:rFonts w:ascii="Arial" w:hAnsi="Arial" w:cs="Arial"/>
        </w:rPr>
      </w:pPr>
      <w:r w:rsidRPr="00D80E9A">
        <w:rPr>
          <w:rFonts w:ascii="Arial" w:hAnsi="Arial" w:cs="Arial"/>
        </w:rPr>
        <w:t xml:space="preserve">Cottrell, S. (2024) </w:t>
      </w:r>
      <w:r w:rsidRPr="00D80E9A">
        <w:rPr>
          <w:rFonts w:ascii="Arial" w:hAnsi="Arial" w:cs="Arial"/>
          <w:i/>
          <w:iCs/>
        </w:rPr>
        <w:t>The study skills handbook</w:t>
      </w:r>
      <w:r w:rsidRPr="00D80E9A">
        <w:rPr>
          <w:rFonts w:ascii="Arial" w:hAnsi="Arial" w:cs="Arial"/>
        </w:rPr>
        <w:t>. 6</w:t>
      </w:r>
      <w:r w:rsidRPr="00D80E9A">
        <w:rPr>
          <w:rFonts w:ascii="Arial" w:hAnsi="Arial" w:cs="Arial"/>
          <w:vertAlign w:val="superscript"/>
        </w:rPr>
        <w:t>th</w:t>
      </w:r>
      <w:r>
        <w:rPr>
          <w:rFonts w:ascii="Arial" w:hAnsi="Arial" w:cs="Arial"/>
        </w:rPr>
        <w:t xml:space="preserve"> </w:t>
      </w:r>
      <w:proofErr w:type="spellStart"/>
      <w:r w:rsidRPr="00D80E9A">
        <w:rPr>
          <w:rFonts w:ascii="Arial" w:hAnsi="Arial" w:cs="Arial"/>
        </w:rPr>
        <w:t>edn</w:t>
      </w:r>
      <w:proofErr w:type="spellEnd"/>
      <w:r w:rsidRPr="00D80E9A">
        <w:rPr>
          <w:rFonts w:ascii="Arial" w:hAnsi="Arial" w:cs="Arial"/>
        </w:rPr>
        <w:t>. Bloomsbury Publishing Plc.</w:t>
      </w:r>
    </w:p>
    <w:p w14:paraId="20018F45" w14:textId="5707CC52" w:rsidR="00D80E9A" w:rsidRDefault="00D80E9A" w:rsidP="0042504C">
      <w:pPr>
        <w:jc w:val="both"/>
        <w:rPr>
          <w:rFonts w:ascii="Arial" w:hAnsi="Arial" w:cs="Arial"/>
        </w:rPr>
      </w:pPr>
      <w:r w:rsidRPr="00D80E9A">
        <w:rPr>
          <w:rFonts w:ascii="Arial" w:hAnsi="Arial" w:cs="Arial"/>
        </w:rPr>
        <w:t xml:space="preserve">Cottrell, S. (2021) </w:t>
      </w:r>
      <w:r w:rsidRPr="00D80E9A">
        <w:rPr>
          <w:rFonts w:ascii="Arial" w:hAnsi="Arial" w:cs="Arial"/>
          <w:i/>
          <w:iCs/>
        </w:rPr>
        <w:t>Skills for success: personal development and employability</w:t>
      </w:r>
      <w:r w:rsidRPr="00D80E9A">
        <w:rPr>
          <w:rFonts w:ascii="Arial" w:hAnsi="Arial" w:cs="Arial"/>
        </w:rPr>
        <w:t>. 4</w:t>
      </w:r>
      <w:r w:rsidRPr="00D80E9A">
        <w:rPr>
          <w:rFonts w:ascii="Arial" w:hAnsi="Arial" w:cs="Arial"/>
          <w:vertAlign w:val="superscript"/>
        </w:rPr>
        <w:t>th</w:t>
      </w:r>
      <w:r>
        <w:rPr>
          <w:rFonts w:ascii="Arial" w:hAnsi="Arial" w:cs="Arial"/>
        </w:rPr>
        <w:t xml:space="preserve"> </w:t>
      </w:r>
      <w:proofErr w:type="spellStart"/>
      <w:r w:rsidRPr="00D80E9A">
        <w:rPr>
          <w:rFonts w:ascii="Arial" w:hAnsi="Arial" w:cs="Arial"/>
        </w:rPr>
        <w:t>edn</w:t>
      </w:r>
      <w:proofErr w:type="spellEnd"/>
      <w:r w:rsidRPr="00D80E9A">
        <w:rPr>
          <w:rFonts w:ascii="Arial" w:hAnsi="Arial" w:cs="Arial"/>
        </w:rPr>
        <w:t>.</w:t>
      </w:r>
      <w:r>
        <w:rPr>
          <w:rFonts w:ascii="Arial" w:hAnsi="Arial" w:cs="Arial"/>
        </w:rPr>
        <w:t xml:space="preserve"> </w:t>
      </w:r>
      <w:r w:rsidRPr="00D80E9A">
        <w:rPr>
          <w:rFonts w:ascii="Arial" w:hAnsi="Arial" w:cs="Arial"/>
        </w:rPr>
        <w:t>Red Globe Press</w:t>
      </w:r>
      <w:r>
        <w:rPr>
          <w:rFonts w:ascii="Arial" w:hAnsi="Arial" w:cs="Arial"/>
        </w:rPr>
        <w:t>.</w:t>
      </w:r>
    </w:p>
    <w:p w14:paraId="762B86BE" w14:textId="77777777" w:rsidR="00D80E9A" w:rsidRDefault="00D80E9A" w:rsidP="00D80E9A">
      <w:pPr>
        <w:jc w:val="both"/>
        <w:rPr>
          <w:rFonts w:ascii="Arial" w:hAnsi="Arial" w:cs="Arial"/>
        </w:rPr>
      </w:pPr>
      <w:r w:rsidRPr="00D80E9A">
        <w:rPr>
          <w:rFonts w:ascii="Arial" w:hAnsi="Arial" w:cs="Arial"/>
        </w:rPr>
        <w:t xml:space="preserve">Greetham, B. (2016) </w:t>
      </w:r>
      <w:r w:rsidRPr="00D80E9A">
        <w:rPr>
          <w:rFonts w:ascii="Arial" w:hAnsi="Arial" w:cs="Arial"/>
          <w:i/>
          <w:iCs/>
        </w:rPr>
        <w:t>Smart thinking: how to think conceptually, design solutions and make decisions</w:t>
      </w:r>
      <w:r w:rsidRPr="00D80E9A">
        <w:rPr>
          <w:rFonts w:ascii="Arial" w:hAnsi="Arial" w:cs="Arial"/>
        </w:rPr>
        <w:t>. Palgrave Macmillan.</w:t>
      </w:r>
    </w:p>
    <w:p w14:paraId="1953D691" w14:textId="77777777" w:rsidR="00D80E9A" w:rsidRDefault="00D80E9A" w:rsidP="0042504C">
      <w:pPr>
        <w:jc w:val="both"/>
        <w:rPr>
          <w:rFonts w:ascii="Arial" w:hAnsi="Arial" w:cs="Arial"/>
        </w:rPr>
      </w:pPr>
      <w:r w:rsidRPr="00D80E9A">
        <w:rPr>
          <w:rFonts w:ascii="Arial" w:hAnsi="Arial" w:cs="Arial"/>
        </w:rPr>
        <w:t xml:space="preserve">McMillan, K. (2021) </w:t>
      </w:r>
      <w:r w:rsidRPr="00D80E9A">
        <w:rPr>
          <w:rFonts w:ascii="Arial" w:hAnsi="Arial" w:cs="Arial"/>
          <w:i/>
          <w:iCs/>
        </w:rPr>
        <w:t>The study skills book: your essential guide for university success</w:t>
      </w:r>
      <w:r w:rsidRPr="00D80E9A">
        <w:rPr>
          <w:rFonts w:ascii="Arial" w:hAnsi="Arial" w:cs="Arial"/>
        </w:rPr>
        <w:t>. 4</w:t>
      </w:r>
      <w:r w:rsidRPr="00D80E9A">
        <w:rPr>
          <w:rFonts w:ascii="Arial" w:hAnsi="Arial" w:cs="Arial"/>
          <w:vertAlign w:val="superscript"/>
        </w:rPr>
        <w:t>th</w:t>
      </w:r>
      <w:r>
        <w:rPr>
          <w:rFonts w:ascii="Arial" w:hAnsi="Arial" w:cs="Arial"/>
        </w:rPr>
        <w:t xml:space="preserve"> </w:t>
      </w:r>
      <w:proofErr w:type="spellStart"/>
      <w:r w:rsidRPr="00D80E9A">
        <w:rPr>
          <w:rFonts w:ascii="Arial" w:hAnsi="Arial" w:cs="Arial"/>
        </w:rPr>
        <w:t>edn</w:t>
      </w:r>
      <w:proofErr w:type="spellEnd"/>
      <w:r w:rsidRPr="00D80E9A">
        <w:rPr>
          <w:rFonts w:ascii="Arial" w:hAnsi="Arial" w:cs="Arial"/>
        </w:rPr>
        <w:t>. Pearson Education Limited.</w:t>
      </w:r>
    </w:p>
    <w:p w14:paraId="0292F62C" w14:textId="77777777" w:rsidR="00D80E9A" w:rsidRDefault="00D80E9A" w:rsidP="0042504C">
      <w:pPr>
        <w:jc w:val="both"/>
        <w:rPr>
          <w:rFonts w:ascii="Arial" w:hAnsi="Arial" w:cs="Arial"/>
        </w:rPr>
      </w:pPr>
      <w:r w:rsidRPr="00D80E9A">
        <w:rPr>
          <w:rFonts w:ascii="Arial" w:hAnsi="Arial" w:cs="Arial"/>
        </w:rPr>
        <w:t xml:space="preserve">Mullins, L. (2019) </w:t>
      </w:r>
      <w:r w:rsidRPr="00D80E9A">
        <w:rPr>
          <w:rFonts w:ascii="Arial" w:hAnsi="Arial" w:cs="Arial"/>
          <w:i/>
          <w:iCs/>
        </w:rPr>
        <w:t>Organisational behaviour in the workplace</w:t>
      </w:r>
      <w:r w:rsidRPr="00D80E9A">
        <w:rPr>
          <w:rFonts w:ascii="Arial" w:hAnsi="Arial" w:cs="Arial"/>
        </w:rPr>
        <w:t>. 12</w:t>
      </w:r>
      <w:r w:rsidRPr="00D80E9A">
        <w:rPr>
          <w:rFonts w:ascii="Arial" w:hAnsi="Arial" w:cs="Arial"/>
          <w:vertAlign w:val="superscript"/>
        </w:rPr>
        <w:t>th</w:t>
      </w:r>
      <w:r>
        <w:rPr>
          <w:rFonts w:ascii="Arial" w:hAnsi="Arial" w:cs="Arial"/>
        </w:rPr>
        <w:t xml:space="preserve"> </w:t>
      </w:r>
      <w:proofErr w:type="spellStart"/>
      <w:r w:rsidRPr="00D80E9A">
        <w:rPr>
          <w:rFonts w:ascii="Arial" w:hAnsi="Arial" w:cs="Arial"/>
        </w:rPr>
        <w:t>edn</w:t>
      </w:r>
      <w:proofErr w:type="spellEnd"/>
      <w:r w:rsidRPr="00D80E9A">
        <w:rPr>
          <w:rFonts w:ascii="Arial" w:hAnsi="Arial" w:cs="Arial"/>
        </w:rPr>
        <w:t>. Pearson Education Limited.</w:t>
      </w:r>
    </w:p>
    <w:p w14:paraId="23F54ED0" w14:textId="77777777" w:rsidR="00D80E9A" w:rsidRDefault="00D80E9A" w:rsidP="0042504C">
      <w:pPr>
        <w:jc w:val="both"/>
        <w:rPr>
          <w:rFonts w:ascii="Arial" w:hAnsi="Arial" w:cs="Arial"/>
        </w:rPr>
      </w:pPr>
      <w:r w:rsidRPr="00D80E9A">
        <w:rPr>
          <w:rFonts w:ascii="Arial" w:hAnsi="Arial" w:cs="Arial"/>
        </w:rPr>
        <w:t xml:space="preserve">Thompson, N. (2018) </w:t>
      </w:r>
      <w:r w:rsidRPr="00D80E9A">
        <w:rPr>
          <w:rFonts w:ascii="Arial" w:hAnsi="Arial" w:cs="Arial"/>
          <w:i/>
          <w:iCs/>
        </w:rPr>
        <w:t>Effective communication: a guide for the people professions</w:t>
      </w:r>
      <w:r w:rsidRPr="00D80E9A">
        <w:rPr>
          <w:rFonts w:ascii="Arial" w:hAnsi="Arial" w:cs="Arial"/>
        </w:rPr>
        <w:t>. 3</w:t>
      </w:r>
      <w:r w:rsidRPr="00D80E9A">
        <w:rPr>
          <w:rFonts w:ascii="Arial" w:hAnsi="Arial" w:cs="Arial"/>
          <w:vertAlign w:val="superscript"/>
        </w:rPr>
        <w:t>rd</w:t>
      </w:r>
      <w:r>
        <w:rPr>
          <w:rFonts w:ascii="Arial" w:hAnsi="Arial" w:cs="Arial"/>
        </w:rPr>
        <w:t xml:space="preserve"> </w:t>
      </w:r>
      <w:proofErr w:type="spellStart"/>
      <w:r w:rsidRPr="00D80E9A">
        <w:rPr>
          <w:rFonts w:ascii="Arial" w:hAnsi="Arial" w:cs="Arial"/>
        </w:rPr>
        <w:t>edn</w:t>
      </w:r>
      <w:proofErr w:type="spellEnd"/>
      <w:r w:rsidRPr="00D80E9A">
        <w:rPr>
          <w:rFonts w:ascii="Arial" w:hAnsi="Arial" w:cs="Arial"/>
        </w:rPr>
        <w:t xml:space="preserve">. </w:t>
      </w:r>
      <w:r>
        <w:rPr>
          <w:rFonts w:ascii="Arial" w:hAnsi="Arial" w:cs="Arial"/>
        </w:rPr>
        <w:t>P</w:t>
      </w:r>
      <w:r w:rsidRPr="00D80E9A">
        <w:rPr>
          <w:rFonts w:ascii="Arial" w:hAnsi="Arial" w:cs="Arial"/>
        </w:rPr>
        <w:t>algrave Macmillan.</w:t>
      </w:r>
    </w:p>
    <w:p w14:paraId="04C06C27" w14:textId="2238FCDA" w:rsidR="00D80E9A" w:rsidRPr="008322AE" w:rsidRDefault="00D80E9A" w:rsidP="0042504C">
      <w:pPr>
        <w:jc w:val="both"/>
        <w:rPr>
          <w:rFonts w:ascii="Arial" w:hAnsi="Arial" w:cs="Arial"/>
        </w:rPr>
      </w:pPr>
    </w:p>
    <w:sectPr w:rsidR="00D80E9A" w:rsidRPr="008322AE" w:rsidSect="008C57CA">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C4B70" w14:textId="77777777" w:rsidR="00FC6B27" w:rsidRDefault="00FC6B27" w:rsidP="006D545F">
      <w:pPr>
        <w:spacing w:after="0" w:line="240" w:lineRule="auto"/>
      </w:pPr>
      <w:r>
        <w:separator/>
      </w:r>
    </w:p>
  </w:endnote>
  <w:endnote w:type="continuationSeparator" w:id="0">
    <w:p w14:paraId="3346029F" w14:textId="77777777" w:rsidR="00FC6B27" w:rsidRDefault="00FC6B27" w:rsidP="006D5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D54D2" w14:textId="77777777" w:rsidR="0075503C" w:rsidRDefault="007550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4129713"/>
      <w:docPartObj>
        <w:docPartGallery w:val="Page Numbers (Bottom of Page)"/>
        <w:docPartUnique/>
      </w:docPartObj>
    </w:sdtPr>
    <w:sdtEndPr>
      <w:rPr>
        <w:color w:val="7F7F7F" w:themeColor="background1" w:themeShade="7F"/>
        <w:spacing w:val="60"/>
      </w:rPr>
    </w:sdtEndPr>
    <w:sdtContent>
      <w:p w14:paraId="2A85E90A" w14:textId="249ADD53" w:rsidR="00823437" w:rsidRDefault="0082343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B0F13C" w14:textId="77777777" w:rsidR="006D545F" w:rsidRDefault="006D54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11E0" w14:textId="77777777" w:rsidR="0075503C" w:rsidRDefault="007550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787D7" w14:textId="77777777" w:rsidR="00FC6B27" w:rsidRDefault="00FC6B27" w:rsidP="006D545F">
      <w:pPr>
        <w:spacing w:after="0" w:line="240" w:lineRule="auto"/>
      </w:pPr>
      <w:r>
        <w:separator/>
      </w:r>
    </w:p>
  </w:footnote>
  <w:footnote w:type="continuationSeparator" w:id="0">
    <w:p w14:paraId="2311556F" w14:textId="77777777" w:rsidR="00FC6B27" w:rsidRDefault="00FC6B27" w:rsidP="006D54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626A3" w14:textId="77777777" w:rsidR="0075503C" w:rsidRDefault="007550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656702"/>
      <w:docPartObj>
        <w:docPartGallery w:val="Watermarks"/>
        <w:docPartUnique/>
      </w:docPartObj>
    </w:sdtPr>
    <w:sdtEndPr/>
    <w:sdtContent>
      <w:p w14:paraId="015C4A6A" w14:textId="645EE129" w:rsidR="0075503C" w:rsidRDefault="00FC6B27">
        <w:pPr>
          <w:pStyle w:val="Header"/>
        </w:pPr>
        <w:r>
          <w:rPr>
            <w:noProof/>
          </w:rPr>
          <w:pict w14:anchorId="42EA49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732486" o:spid="_x0000_s1027" type="#_x0000_t136" style="position:absolute;margin-left:0;margin-top:0;width:494.9pt;height:164.95pt;rotation:315;z-index:-251658752;mso-position-horizontal:center;mso-position-horizontal-relative:margin;mso-position-vertical:center;mso-position-vertical-relative:margin" o:allowincell="f" fillcolor="silver" stroked="f">
              <v:fill opacity=".5"/>
              <v:textpath style="font-family:&quot;Calibri&quot;;font-size:1pt" string="DO NOT COPY"/>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69659" w14:textId="77777777" w:rsidR="0075503C" w:rsidRDefault="007550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2D7"/>
    <w:rsid w:val="00000FDA"/>
    <w:rsid w:val="000310EB"/>
    <w:rsid w:val="00042228"/>
    <w:rsid w:val="000505DF"/>
    <w:rsid w:val="00051857"/>
    <w:rsid w:val="00091775"/>
    <w:rsid w:val="000D111B"/>
    <w:rsid w:val="000F3EC9"/>
    <w:rsid w:val="00150700"/>
    <w:rsid w:val="00172026"/>
    <w:rsid w:val="00174189"/>
    <w:rsid w:val="001D780F"/>
    <w:rsid w:val="00207098"/>
    <w:rsid w:val="00237711"/>
    <w:rsid w:val="002B1B71"/>
    <w:rsid w:val="002C26AB"/>
    <w:rsid w:val="0031761C"/>
    <w:rsid w:val="00336175"/>
    <w:rsid w:val="003416CE"/>
    <w:rsid w:val="003439EA"/>
    <w:rsid w:val="003C6976"/>
    <w:rsid w:val="003E4C02"/>
    <w:rsid w:val="0042504C"/>
    <w:rsid w:val="004C4A22"/>
    <w:rsid w:val="004D54FE"/>
    <w:rsid w:val="004E1D37"/>
    <w:rsid w:val="004E220B"/>
    <w:rsid w:val="0057347B"/>
    <w:rsid w:val="0066695F"/>
    <w:rsid w:val="006D545F"/>
    <w:rsid w:val="006D57CC"/>
    <w:rsid w:val="006D5A87"/>
    <w:rsid w:val="006E2B94"/>
    <w:rsid w:val="0075503C"/>
    <w:rsid w:val="00796858"/>
    <w:rsid w:val="00823437"/>
    <w:rsid w:val="00827B4F"/>
    <w:rsid w:val="008322AE"/>
    <w:rsid w:val="0083250D"/>
    <w:rsid w:val="00832942"/>
    <w:rsid w:val="008A468C"/>
    <w:rsid w:val="008C57CA"/>
    <w:rsid w:val="00902369"/>
    <w:rsid w:val="00931979"/>
    <w:rsid w:val="009366E9"/>
    <w:rsid w:val="00976DEE"/>
    <w:rsid w:val="0098189C"/>
    <w:rsid w:val="009A1AF7"/>
    <w:rsid w:val="009E74DD"/>
    <w:rsid w:val="00AA645D"/>
    <w:rsid w:val="00AC6228"/>
    <w:rsid w:val="00B12B45"/>
    <w:rsid w:val="00B559E3"/>
    <w:rsid w:val="00BA5A20"/>
    <w:rsid w:val="00BB4FFB"/>
    <w:rsid w:val="00BD60BB"/>
    <w:rsid w:val="00C73B90"/>
    <w:rsid w:val="00C816E0"/>
    <w:rsid w:val="00CA6DAD"/>
    <w:rsid w:val="00D00573"/>
    <w:rsid w:val="00D10A2E"/>
    <w:rsid w:val="00D477BD"/>
    <w:rsid w:val="00D80E9A"/>
    <w:rsid w:val="00DD62D7"/>
    <w:rsid w:val="00DE1BAA"/>
    <w:rsid w:val="00E0033F"/>
    <w:rsid w:val="00E62B0C"/>
    <w:rsid w:val="00E63FBF"/>
    <w:rsid w:val="00EB39A9"/>
    <w:rsid w:val="00ED19F2"/>
    <w:rsid w:val="00F12E41"/>
    <w:rsid w:val="00F800E9"/>
    <w:rsid w:val="00FB6BB8"/>
    <w:rsid w:val="00FC6B27"/>
    <w:rsid w:val="00FD7C79"/>
    <w:rsid w:val="374C5D49"/>
    <w:rsid w:val="6F67DB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46F116"/>
  <w15:chartTrackingRefBased/>
  <w15:docId w15:val="{0A1634EB-20C0-453D-BD8B-EAF963DA3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62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62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62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62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62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62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62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62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62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2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62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62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62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62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62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62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62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62D7"/>
    <w:rPr>
      <w:rFonts w:eastAsiaTheme="majorEastAsia" w:cstheme="majorBidi"/>
      <w:color w:val="272727" w:themeColor="text1" w:themeTint="D8"/>
    </w:rPr>
  </w:style>
  <w:style w:type="paragraph" w:styleId="Title">
    <w:name w:val="Title"/>
    <w:basedOn w:val="Normal"/>
    <w:next w:val="Normal"/>
    <w:link w:val="TitleChar"/>
    <w:uiPriority w:val="10"/>
    <w:qFormat/>
    <w:rsid w:val="00DD62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62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62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62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62D7"/>
    <w:pPr>
      <w:spacing w:before="160"/>
      <w:jc w:val="center"/>
    </w:pPr>
    <w:rPr>
      <w:i/>
      <w:iCs/>
      <w:color w:val="404040" w:themeColor="text1" w:themeTint="BF"/>
    </w:rPr>
  </w:style>
  <w:style w:type="character" w:customStyle="1" w:styleId="QuoteChar">
    <w:name w:val="Quote Char"/>
    <w:basedOn w:val="DefaultParagraphFont"/>
    <w:link w:val="Quote"/>
    <w:uiPriority w:val="29"/>
    <w:rsid w:val="00DD62D7"/>
    <w:rPr>
      <w:i/>
      <w:iCs/>
      <w:color w:val="404040" w:themeColor="text1" w:themeTint="BF"/>
    </w:rPr>
  </w:style>
  <w:style w:type="paragraph" w:styleId="ListParagraph">
    <w:name w:val="List Paragraph"/>
    <w:basedOn w:val="Normal"/>
    <w:uiPriority w:val="34"/>
    <w:qFormat/>
    <w:rsid w:val="00DD62D7"/>
    <w:pPr>
      <w:ind w:left="720"/>
      <w:contextualSpacing/>
    </w:pPr>
  </w:style>
  <w:style w:type="character" w:styleId="IntenseEmphasis">
    <w:name w:val="Intense Emphasis"/>
    <w:basedOn w:val="DefaultParagraphFont"/>
    <w:uiPriority w:val="21"/>
    <w:qFormat/>
    <w:rsid w:val="00DD62D7"/>
    <w:rPr>
      <w:i/>
      <w:iCs/>
      <w:color w:val="0F4761" w:themeColor="accent1" w:themeShade="BF"/>
    </w:rPr>
  </w:style>
  <w:style w:type="paragraph" w:styleId="IntenseQuote">
    <w:name w:val="Intense Quote"/>
    <w:basedOn w:val="Normal"/>
    <w:next w:val="Normal"/>
    <w:link w:val="IntenseQuoteChar"/>
    <w:uiPriority w:val="30"/>
    <w:qFormat/>
    <w:rsid w:val="00DD6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62D7"/>
    <w:rPr>
      <w:i/>
      <w:iCs/>
      <w:color w:val="0F4761" w:themeColor="accent1" w:themeShade="BF"/>
    </w:rPr>
  </w:style>
  <w:style w:type="character" w:styleId="IntenseReference">
    <w:name w:val="Intense Reference"/>
    <w:basedOn w:val="DefaultParagraphFont"/>
    <w:uiPriority w:val="32"/>
    <w:qFormat/>
    <w:rsid w:val="00DD62D7"/>
    <w:rPr>
      <w:b/>
      <w:bCs/>
      <w:smallCaps/>
      <w:color w:val="0F4761" w:themeColor="accent1" w:themeShade="BF"/>
      <w:spacing w:val="5"/>
    </w:rPr>
  </w:style>
  <w:style w:type="paragraph" w:styleId="Header">
    <w:name w:val="header"/>
    <w:basedOn w:val="Normal"/>
    <w:link w:val="HeaderChar"/>
    <w:uiPriority w:val="99"/>
    <w:unhideWhenUsed/>
    <w:rsid w:val="006D54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45F"/>
  </w:style>
  <w:style w:type="paragraph" w:styleId="Footer">
    <w:name w:val="footer"/>
    <w:basedOn w:val="Normal"/>
    <w:link w:val="FooterChar"/>
    <w:uiPriority w:val="99"/>
    <w:unhideWhenUsed/>
    <w:rsid w:val="006D54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45F"/>
  </w:style>
  <w:style w:type="paragraph" w:styleId="NoSpacing">
    <w:name w:val="No Spacing"/>
    <w:link w:val="NoSpacingChar"/>
    <w:uiPriority w:val="1"/>
    <w:qFormat/>
    <w:rsid w:val="008C57C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8C57CA"/>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689959">
      <w:bodyDiv w:val="1"/>
      <w:marLeft w:val="0"/>
      <w:marRight w:val="0"/>
      <w:marTop w:val="0"/>
      <w:marBottom w:val="0"/>
      <w:divBdr>
        <w:top w:val="none" w:sz="0" w:space="0" w:color="auto"/>
        <w:left w:val="none" w:sz="0" w:space="0" w:color="auto"/>
        <w:bottom w:val="none" w:sz="0" w:space="0" w:color="auto"/>
        <w:right w:val="none" w:sz="0" w:space="0" w:color="auto"/>
      </w:divBdr>
    </w:div>
    <w:div w:id="1020159091">
      <w:bodyDiv w:val="1"/>
      <w:marLeft w:val="0"/>
      <w:marRight w:val="0"/>
      <w:marTop w:val="0"/>
      <w:marBottom w:val="0"/>
      <w:divBdr>
        <w:top w:val="none" w:sz="0" w:space="0" w:color="auto"/>
        <w:left w:val="none" w:sz="0" w:space="0" w:color="auto"/>
        <w:bottom w:val="none" w:sz="0" w:space="0" w:color="auto"/>
        <w:right w:val="none" w:sz="0" w:space="0" w:color="auto"/>
      </w:divBdr>
    </w:div>
    <w:div w:id="1127625724">
      <w:bodyDiv w:val="1"/>
      <w:marLeft w:val="0"/>
      <w:marRight w:val="0"/>
      <w:marTop w:val="0"/>
      <w:marBottom w:val="0"/>
      <w:divBdr>
        <w:top w:val="none" w:sz="0" w:space="0" w:color="auto"/>
        <w:left w:val="none" w:sz="0" w:space="0" w:color="auto"/>
        <w:bottom w:val="none" w:sz="0" w:space="0" w:color="auto"/>
        <w:right w:val="none" w:sz="0" w:space="0" w:color="auto"/>
      </w:divBdr>
    </w:div>
    <w:div w:id="2072772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21E7D54CFDE47AEA6654976D7A50433"/>
        <w:category>
          <w:name w:val="General"/>
          <w:gallery w:val="placeholder"/>
        </w:category>
        <w:types>
          <w:type w:val="bbPlcHdr"/>
        </w:types>
        <w:behaviors>
          <w:behavior w:val="content"/>
        </w:behaviors>
        <w:guid w:val="{968B931B-DAC2-4268-A13E-8B5D555F812D}"/>
      </w:docPartPr>
      <w:docPartBody>
        <w:p w:rsidR="00F12E41" w:rsidRDefault="00F12E41" w:rsidP="00F12E41">
          <w:pPr>
            <w:pStyle w:val="221E7D54CFDE47AEA6654976D7A50433"/>
          </w:pPr>
          <w:r>
            <w:rPr>
              <w:rFonts w:asciiTheme="majorHAnsi" w:eastAsiaTheme="majorEastAsia" w:hAnsiTheme="majorHAnsi" w:cstheme="majorBidi"/>
              <w:caps/>
              <w:color w:val="156082" w:themeColor="accent1"/>
              <w:sz w:val="80"/>
              <w:szCs w:val="80"/>
            </w:rPr>
            <w:t>[Document title]</w:t>
          </w:r>
        </w:p>
      </w:docPartBody>
    </w:docPart>
    <w:docPart>
      <w:docPartPr>
        <w:name w:val="F48D032B8C2943748541101539F57D61"/>
        <w:category>
          <w:name w:val="General"/>
          <w:gallery w:val="placeholder"/>
        </w:category>
        <w:types>
          <w:type w:val="bbPlcHdr"/>
        </w:types>
        <w:behaviors>
          <w:behavior w:val="content"/>
        </w:behaviors>
        <w:guid w:val="{FDFB2289-0A28-4BF4-9BE9-6D8D3B385B3E}"/>
      </w:docPartPr>
      <w:docPartBody>
        <w:p w:rsidR="00F12E41" w:rsidRDefault="00F12E41" w:rsidP="00F12E41">
          <w:pPr>
            <w:pStyle w:val="F48D032B8C2943748541101539F57D6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E41"/>
    <w:rsid w:val="00140B3A"/>
    <w:rsid w:val="00172026"/>
    <w:rsid w:val="00336175"/>
    <w:rsid w:val="00380D8A"/>
    <w:rsid w:val="004E1D37"/>
    <w:rsid w:val="0057347B"/>
    <w:rsid w:val="0083250D"/>
    <w:rsid w:val="00840988"/>
    <w:rsid w:val="00873485"/>
    <w:rsid w:val="00902369"/>
    <w:rsid w:val="00BD60BB"/>
    <w:rsid w:val="00CA6DAD"/>
    <w:rsid w:val="00E163BF"/>
    <w:rsid w:val="00EB39A9"/>
    <w:rsid w:val="00F12E4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21E7D54CFDE47AEA6654976D7A50433">
    <w:name w:val="221E7D54CFDE47AEA6654976D7A50433"/>
    <w:rsid w:val="00F12E41"/>
  </w:style>
  <w:style w:type="paragraph" w:customStyle="1" w:styleId="F48D032B8C2943748541101539F57D61">
    <w:name w:val="F48D032B8C2943748541101539F57D61"/>
    <w:rsid w:val="00F12E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W</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1866</Words>
  <Characters>10638</Characters>
  <Application>Microsoft Office Word</Application>
  <DocSecurity>0</DocSecurity>
  <Lines>88</Lines>
  <Paragraphs>24</Paragraphs>
  <ScaleCrop>false</ScaleCrop>
  <Company>University of Wales Trinity Saint David</Company>
  <LinksUpToDate>false</LinksUpToDate>
  <CharactersWithSpaces>12480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The Importance of Time Management and Academic Integrity for Academic and Professional Success</dc:subject>
  <dc:creator>Lisa-Marie Bassler</dc:creator>
  <cp:keywords/>
  <dc:description/>
  <cp:lastModifiedBy>Lisa-Marie Bassler</cp:lastModifiedBy>
  <cp:revision>56</cp:revision>
  <dcterms:created xsi:type="dcterms:W3CDTF">2025-10-28T12:22:00Z</dcterms:created>
  <dcterms:modified xsi:type="dcterms:W3CDTF">2026-10-17T15:02:00Z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5aa3cc25-5225-4c3d-86c4-d3ec653e0051</vt:lpwstr>
  </property>
</Properties>
</file>