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Becky Mckay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Student Number 1602218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This assignment will evaluate how current initiatives support the development of numeracy across the curriculum  in School A.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School A is a Roman Catholic Primary school situated in Swansea West, the area itself is affluent however many of the children are arrive at school by bus from other areas of Swansea. The school was last inspected by Estyn in October 2017 and the report was published in December 2017.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School A has 171 pupils between the ages of 3 and 11 with six mixed age classes, it has just 4% pupils who have free school meals which is well below the national average of 19%. There are 18% of its pupils who have an Additional learning Need and 23% for whom English is an additional language. There are no pupils for whom Welsh is their first language.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During the past two years the school has seen a turbulent time with many changes to the senior management team. The previous Head Master was off due to long term health issues and the deputy head still remains on sick leave after more than a year. The acting head since September 2017 has recently been appointed the permanent head, accepting the job after a successful interview with the board of governors. This has given the school, its pupils and staff some much needed stability. Two temporary deputy head teachers have been working in the role since January 2017. Since September 2017, due to falling pupil numbers mixed classes have been introduced to the school. The school has bought into 'Cornerstones', curriculum scheme to aid teachers with the planning for the mixed classes. The scheme offers a variety of topics for each year group and these topics give links to the Literacy and Numeracy Framework and the National Curriculum. However it has been noted that it offers much fewer links to numeracy and mathematical development in the majority of its topics. For example, one topic links to eight parts of the Literacy  Framework but only two parts of the Numeracy Framework.</w:t>
      </w:r>
      <w:r w:rsidRPr="009023B9">
        <w:rPr>
          <w:rFonts w:ascii="Arial" w:eastAsia="Times New Roman" w:hAnsi="Arial" w:cs="Arial"/>
          <w:b/>
          <w:bCs/>
          <w:sz w:val="28"/>
          <w:szCs w:val="28"/>
          <w:lang w:eastAsia="en-GB"/>
        </w:rPr>
        <w:t xml:space="preserve"> </w:t>
      </w:r>
      <w:r w:rsidRPr="009023B9">
        <w:rPr>
          <w:rFonts w:ascii="Arial" w:eastAsia="Times New Roman" w:hAnsi="Arial" w:cs="Arial"/>
          <w:sz w:val="28"/>
          <w:szCs w:val="28"/>
          <w:lang w:eastAsia="en-GB"/>
        </w:rPr>
        <w:t>The Estyn report stated that the teachers awareness of the Literacy and Numeracy Framework is secure in School A.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lastRenderedPageBreak/>
        <w:t>Most pupils across the school have a sound knowledge of mathematical concepts, however most pupils apply a limited range of numeracy skills purposefully across other areas of the curriculum. One of the five recommendations from Estyn is 'Plans for pupils to have more opportunities to apply their numeracy skills in other areas need to be put in place.' (Estyn, 2017)</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This essay will look at in detail two specific classes in school A. Nursery and a mixed Reception/Year 1 class. There are two specific groups in the current nursery cohort, the Frogs, those who are already four and those who will be four in the coming academic year, these children  will be progressing to reception next September and the rising threes which are known as the Tadpoles. These Children will spend one year plus in the nursery class. The nursery class is run by one full time teacher and one full time teaching assistant who also runs the afternoon Stay and Play sessions. The Reception/Year One  class has a full time teacher, one fulltime teaching assistant and one part time teaching assistant. These two classes are based in a separate unit from the remainder of the school and have their own play ground and outdoor provision.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The Literacy and Numeracy Framework became a statutory curriculum requirement in September 2013. The framework was developed in partnership with an advisory panel which consisted of local authority literacy and numeracy advisors. The framework is split into two main parts, Literacy and Numeracy and these are split into further strands. The Numeracy strands are: developing numerical reasoning, using number skills, using measuring skills and using data skills. These four strands are then split into further more detailed elements.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"The LNF focuses on the learners’ acquisition of and ability to apply the skills and concepts they have learned to complete realistic tasks appropriate for their stage of development." (National Literacy and Numeracy Framework, 2013).  The guidance to the Literacy and Numeracy Framework is different in its wording to many other educational documents. It discusses talk about children being able to complete work that is appropriate for their stage of development, not simply to be pigeon holed in to their year group. The framework is flexible in that it allows teachers to move children on if they are able to complete an element or it also allows for flexibility for those children who require additional help in understanding particular elements or strands of the Framework.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lastRenderedPageBreak/>
        <w:t>The National Literacy and Numeracy Framework  is designed to help teachers embed literacy and numeracy into all subjects for learners aged five to fourteen, from the Reception class to the end of year nine. There is also an additional part of the  framework for nursery children and for those who are deemed more able than Year nine ability.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Staff are able to use the Literacy and Numeracy Framework to integrate numeracy into the majority of subjects and topics they are teaching. The framework is designed to enable teachers to monitor, asses and report on individual children's performance and progress. The Literacy and Numeracy Framework will help teachers and support staff identify which pupils are working beyond their expected level and can be aiming towards higher levels and also which pupils maybe under achieving and would benefit from some additional help and intervention groups. It gives annual expectations for children aged between five and fourteen and progression indicators for those children who have an additional learning need. The Foundation Phase Framework for Wales (revised in 2015) sets out the curriculum for three to seven year olds. The Framework has the Literacy and Numeracy Framework incorporated into it. In addition to the Foundation Phase document, School A uses the ERW (Education through Regional Working) scheme to plan its maths and numeracy into the curriculum.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Numeracy is being embedded throughout  the school day and across the curriculum. School A uses the Foundation Phase document which has the Literacy and Numeracy Framework incorporated into it. By following this document it ensures that lessons are planned with numeracy being taught through real life contexts and numeracy being applied across the curriculum. In the Foundation Phase numeracy is embedded and applied across  the curriculum through play, roleplay and themed work. The Literacy and Numeracy Framework aims to make maths relevant in everyday life, ensuring that children will have the necessary skills and confidence to use their knowledge in a daily basis.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The Cockcroft report, Mathematics Counts written by Doctor WH Cockcroft was published in 1982 just over 30 years before the Literacy and Numeracy Framework was made statutory in Wales. The Cockcroft report discusses how adults need to be able to use numeracy in everyday life. Tasks such as counting, paying for things, being able to tell the time, reading timetables, weighing and measuring.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lastRenderedPageBreak/>
        <w:t>These are all numeracy skills which are elements of the Literacy and Numeracy Framework and skills which are relevant in everyday life. Cockcroft stated that "teachers should not expect pupils to commit things to memory without understanding them first" (Cockcroft, 1982), children reciting times tables is a prime example of this. Children are able to recite their tables without having any real meaning of them. Practical work is essential for children to understand mathematics in any relevant context. He also states that standardised tests only measure some aspects of mathematical development. Numerical reasoning test have been introduced to the end of year tests from Year two upwards. </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The Literacy and Numeracy framework promotes meaningful learning experiences across the framework which are linked to real life situations, providing children with relevant meaningful learning experiences.  Numeracy across the curriculum helps children make links to other subject and transfers their maths skills to other subjects. Relevant cross curricular activities and lessons increases pupils exposure to numeracy and enhances their knowledge and understanding therefor giving numeracy a sense of purpose in the other activities. It is important that children understand how subjects are linked together  through numeracy which brings maths to life ad make it relevant. Innovative lessons and teaching in school A keeps children motivated and encourages those who previously though they were 'unable to do maths'. As numeracy is the ability to understand and work with number, School A links numeracy to the majority of its other subjects. Examples of these links are shown below. Increased understanding of numeracy give pupils the ability to use maths in everyday life.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Literacy – creating time lines and putting events even from simple stories into chronological order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Geography – distance, directions are and volume can all be measured and linked to a geography topic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Physical Education – rotation, movement, spatial awareness, sequencing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Art - Patterns, sequencing, symmetry and scale can be incorporated into art lessons.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b/>
          <w:bCs/>
          <w:sz w:val="28"/>
          <w:szCs w:val="28"/>
          <w:lang w:eastAsia="en-GB"/>
        </w:rPr>
        <w:lastRenderedPageBreak/>
        <w:t> </w:t>
      </w: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Current Initiatives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There are several current initiatives which school A use to support the development of Numeracy. These include :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Learning through play in the Foundation Phase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Numicon – introduced to the school in 2013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Displays and working walls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Talk it Solve it – used from Year One upwards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Rich Starters/ Rich Activities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Each of the above initiatives are used  throughout the Foundation Phase from Nursery to Year Two/Three. The Writer believes that Learning though play is more important and relevant initiative to those in the Foundation Phase than at any other time in their education. Play Learning though play is no more important than in the nursery class. Planning is based around three groups, the first two groups are partaking in focused activities led by the teacher and teaching assistant and the final group are using the enhanced provision activities which is entirely child led learning. Learning though play is a highly successful initiative in which the children explore their surrounding areas that have been enhanced with resources relevant to the topic being studied. Numeracy is introduced to the majority of areas within the  enhanced provision.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Numicon was introduced to school A in 2013. It is the main initiative used throughout the whole of the Foundation phase. It is used on a daily basis  from Nursery to Year Two and beyond for those pupils who need additional help with numeracy throughout years three to six. Throughout the foundation phase classes Numicon is readily available for the children to use in their play, and in both continuous and enhanced provision.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 xml:space="preserve">The introduction of Numicon into school A appears to have been a successful investment. By giving the children  tactile and visual representation of numbers and their connections they are able to </w:t>
      </w:r>
      <w:r w:rsidRPr="009023B9">
        <w:rPr>
          <w:rFonts w:ascii="Arial" w:eastAsia="Times New Roman" w:hAnsi="Arial" w:cs="Arial"/>
          <w:sz w:val="28"/>
          <w:szCs w:val="28"/>
          <w:lang w:eastAsia="en-GB"/>
        </w:rPr>
        <w:lastRenderedPageBreak/>
        <w:t>visualise number properties, number bonds and it helps promote independent learning. In the Reception/Year One class Numicon is used in the Café role play area. Children have free access to the Numicon purse where play money is attached to the relevant number Numicon. Thus building immediate links to numeracy and money through play. Using Numicon in the role play areas is directly linked to Managing Money in the Literacy and Numeracy Framework and for those children who do not yet understand the concept of money it does give them an awareness of the purpose of money through role-play.  Numicon in play is central to building up children's confidence about their own numeracy, critical thinking and reasoning skills. Numicon is also used in the 'Creation Station', a creative area which the children are free to use in continuous provision time. A Numicon number is placed on specific art resources and the children are allowed to use that amount of Numicon in their art work and creations. This is making the children aware of how many resources they are allowed to use each time, while making the Numicon relevant to their activity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Displays and working walls are used throughout school A to promote and support numeracy development. Throughout the autumn term the Reception/Year One class have been studying 2D and 3d shapes, the working wall which the children helped to create includes a selection of shapes which they brought from home things such as boxes for cubes and cuboids. This makes the working wall far more relevant to the class and one which they are able to use in their work. These are visual links so the shapes are everyday objects which are already familiar to the children. Children are encouraged to use the working walls in their quest to become independent learners.  The  working wall currently links to using geometry and shapes within the Framework. The working wall changed throughout the year as topics change. Displays however can prove distracting for some children and a classroom that is very busy visually can have a sensory overload for children with an additional learning need or for those who simply become easily distracted.  For other, do they know where to find the information they require for their work? But for the majority this incentive remains an excellent support of numeracy within the classroom.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lastRenderedPageBreak/>
        <w:t>Talk it, Solve it has been used throughout Key stage 2 in School A for the last 3 years. Since September 2017 it has been introduced into the Foundation phase, used primarily for children in Year One and Two, it is however used for the more able and talented children in the Reception year group. Children work in small groups of approximately five or six children to solve a numeracy problem. This helps to develops their numerical reasoning skills while also contributing to their oracy skills. As the groups are kept small it enables all the children to participate within the short 10 minute session. However for those who are shy and dislike group work this numeracy initiative may prove too challenging. It is up to the staff member to make sure that all the group contribute to the outcome of the task and not just those who are more vocal. Talk it, Solve it links directly to the developing numerical reasoning strand of the Literacy and Numeracy Framework and links with the reasoning part of the end of year tests.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School A uses the ERW (Education through Regional Working) scheme to plan its maths and numeracy into the curriculum. The scheme gives Rich Starters to aid teachers in their planning. The Rich Starters are an excellent way to develop numerical reasoning. Under the Numeracy strand Managing Money, Rich Starters for Nursery and Reception include 'What is money and why do we need it?' Nrich  tasks are used in the enhanced provision and children will work independently or in pairs to complete the Nrich tasks which are set out in the form of challenge cards. The children are encouraged to peer and self assess in the Nrich tasks to develop confidence and increase understanding.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While the above initiatives are more formal and are structured into the school time- table, there are many initiatives which are less so and take place incidentally throughout the school day. Lining up in first, second, third etc. numerical reasoning by sorting coloured plates and cutlery in the home corner, nursery counting rhymes, stories linked to numeracy for example the Hungry Caterpillar and Oliver's Vegetables, days of the week songs and counting songs, patterns in Numicon and art work.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lastRenderedPageBreak/>
        <w:t>There are many more examples of Numeracy being immersered into the school day almost without the children realising it. Incidental numeracy that is used  in the schools daily routine is probably the most effective initiative to support to development of numeracy. This works especially well in the Foundation phase where children thrive on routine and repetition. This ensures that a solid foundation and meaningful numerical understanding is given to the children in all strands and elements of the Literacy and Numeracy Framework. Maths is taught as separate subject whilst numeracy is applied in other subjects throughout the curriculum. </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In conclusion it can be seen from the last Estyn report and previous end of year test results that School A is in part successfully utilising its  current initiatives which support the development of numeracy. However one recommendation from Estyn is for pupils to have more opportunities to apply their numeracy skills in other areas. The numeracy skills appear to be in place but the children now need the chances to use their skills and knowledge across the curriculum and beyond their school day. Expectations from the Literacy and Numeracy framework are set high to raise attainment levels.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The Donaldson Report entitled – Successful Futures published in February 2015 gives a total of 68 recommendations to move Welsh education forward. In his introduction Donaldson states 'the origins of the current curriculum lie in the Education Act 1988 when the world was a very different place" (Donaldson 1988).  He moves on to discuss that the curriculum needs to be changed in order to prepare children for success in a world that is rapidly changing. A simpler structure for the curriculum is required. His review finds that Literacy and Numeracy must mean more to children than basic competence, they must acknowledge their own role in thinking and their ability to use language confidently and creatively.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The current Literacy and Numeracy Framework does allow for those children who are more able and talented to work at a higher level and those who have additional learning needs are able to work at a level aimed at younger children. Donaldson proposes that the new curriculum will be children aged three to sixteen and will be a continuum without phases and without key stages.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t> </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lastRenderedPageBreak/>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Although the Donaldson recommendation have yet to become statutory numeracy within the Welsh Education system appears to have a bright future.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4"/>
          <w:szCs w:val="24"/>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lastRenderedPageBreak/>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t>References</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 xml:space="preserve">England: HMSO, The Cockcroft Report (1982) </w:t>
      </w:r>
      <w:r w:rsidRPr="009023B9">
        <w:rPr>
          <w:rFonts w:ascii="Arial" w:eastAsia="Times New Roman" w:hAnsi="Arial" w:cs="Arial"/>
          <w:i/>
          <w:iCs/>
          <w:sz w:val="28"/>
          <w:szCs w:val="28"/>
          <w:lang w:eastAsia="en-GB"/>
        </w:rPr>
        <w:t>Mathematics Counts</w:t>
      </w: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t>{Online}. Available at:</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hyperlink r:id="rId4" w:tgtFrame="_blank" w:history="1">
        <w:r w:rsidRPr="009023B9">
          <w:rPr>
            <w:rFonts w:ascii="Arial" w:eastAsia="Times New Roman" w:hAnsi="Arial" w:cs="Arial"/>
            <w:color w:val="0563C1"/>
            <w:sz w:val="28"/>
            <w:szCs w:val="28"/>
            <w:u w:val="single"/>
            <w:lang w:eastAsia="en-GB"/>
          </w:rPr>
          <w:t>http://www.educationengland.org.uk/documents/cockcroft/cockcroft1982.html</w:t>
        </w:r>
      </w:hyperlink>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Donaldson (February 2015 ) Successful Futures.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t>{Online}. Available at :</w:t>
      </w:r>
      <w:r w:rsidRPr="009023B9">
        <w:rPr>
          <w:rFonts w:ascii="Arial" w:eastAsia="Times New Roman" w:hAnsi="Arial" w:cs="Arial"/>
          <w:b/>
          <w:bCs/>
          <w:sz w:val="28"/>
          <w:szCs w:val="28"/>
          <w:lang w:eastAsia="en-GB"/>
        </w:rPr>
        <w:t xml:space="preserve"> </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http://gov.wales/docs/dcells/publications/150225-successful-futures-en.pdf</w:t>
      </w:r>
      <w:r w:rsidRPr="009023B9">
        <w:rPr>
          <w:rFonts w:ascii="Arial" w:eastAsia="Times New Roman" w:hAnsi="Arial" w:cs="Arial"/>
          <w:b/>
          <w:bCs/>
          <w:sz w:val="28"/>
          <w:szCs w:val="28"/>
          <w:lang w:eastAsia="en-GB"/>
        </w:rPr>
        <w:t xml:space="preserve"> </w:t>
      </w:r>
      <w:r w:rsidRPr="009023B9">
        <w:rPr>
          <w:rFonts w:ascii="Arial" w:eastAsia="Times New Roman" w:hAnsi="Arial" w:cs="Arial"/>
          <w:sz w:val="28"/>
          <w:szCs w:val="28"/>
          <w:lang w:eastAsia="en-GB"/>
        </w:rPr>
        <w:t>(Accessed: 4 January 2018)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hyperlink r:id="rId5" w:tgtFrame="_blank" w:history="1">
        <w:r w:rsidRPr="009023B9">
          <w:rPr>
            <w:rFonts w:ascii="Arial" w:eastAsia="Times New Roman" w:hAnsi="Arial" w:cs="Arial"/>
            <w:color w:val="0563C1"/>
            <w:sz w:val="28"/>
            <w:szCs w:val="28"/>
            <w:u w:val="single"/>
            <w:lang w:eastAsia="en-GB"/>
          </w:rPr>
          <w:t>https://www.estyn.gov.wales/provider/6703303</w:t>
        </w:r>
      </w:hyperlink>
      <w:r w:rsidRPr="009023B9">
        <w:rPr>
          <w:rFonts w:ascii="Arial" w:eastAsia="Times New Roman" w:hAnsi="Arial" w:cs="Arial"/>
          <w:sz w:val="28"/>
          <w:szCs w:val="28"/>
          <w:lang w:eastAsia="en-GB"/>
        </w:rPr>
        <w:t xml:space="preserve"> (Accessed 19 December 2017).</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b/>
          <w:bCs/>
          <w:sz w:val="28"/>
          <w:szCs w:val="28"/>
          <w:lang w:eastAsia="en-GB"/>
        </w:rPr>
        <w:t> </w:t>
      </w:r>
      <w:hyperlink r:id="rId6" w:tgtFrame="_blank" w:history="1">
        <w:r w:rsidRPr="009023B9">
          <w:rPr>
            <w:rFonts w:ascii="Arial" w:eastAsia="Times New Roman" w:hAnsi="Arial" w:cs="Arial"/>
            <w:color w:val="0563C1"/>
            <w:sz w:val="28"/>
            <w:szCs w:val="28"/>
            <w:u w:val="single"/>
            <w:lang w:eastAsia="en-GB"/>
          </w:rPr>
          <w:t>https://www.theguardian.com/teacher-network/teacher-blog/2012/nov/15/mathematics-crosscurricular-appeal</w:t>
        </w:r>
      </w:hyperlink>
      <w:r w:rsidRPr="009023B9">
        <w:rPr>
          <w:rFonts w:ascii="Arial" w:eastAsia="Times New Roman" w:hAnsi="Arial" w:cs="Arial"/>
          <w:sz w:val="28"/>
          <w:szCs w:val="28"/>
          <w:lang w:eastAsia="en-GB"/>
        </w:rPr>
        <w:t xml:space="preserve"> ( Accessed: 19 December 2017)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lastRenderedPageBreak/>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t>Wales: National Literacy and Numeracy Framework (2013). Cardiff: Welsh Assembly Government.</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eastAsia="en-GB"/>
        </w:rPr>
        <w:t>{Online}. Available at :</w:t>
      </w: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sz w:val="28"/>
          <w:szCs w:val="28"/>
          <w:lang w:eastAsia="en-GB"/>
        </w:rPr>
        <w:t>http://learning.gov.wales/docs/learningwales/publications/130415-lnf-guidance-en.pdf (Accessed: 5 January 2018)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b/>
          <w:bCs/>
          <w:sz w:val="24"/>
          <w:szCs w:val="24"/>
          <w:lang w:eastAsia="en-GB"/>
        </w:rPr>
        <w:t> </w:t>
      </w:r>
      <w:r w:rsidRPr="009023B9">
        <w:rPr>
          <w:rFonts w:ascii="Arial" w:eastAsia="Times New Roman" w:hAnsi="Arial" w:cs="Arial"/>
          <w:sz w:val="24"/>
          <w:szCs w:val="24"/>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9023B9">
        <w:rPr>
          <w:rFonts w:ascii="Arial" w:eastAsia="Times New Roman" w:hAnsi="Arial" w:cs="Arial"/>
          <w:b/>
          <w:bCs/>
          <w:sz w:val="28"/>
          <w:szCs w:val="28"/>
          <w:lang w:eastAsia="en-GB"/>
        </w:rPr>
        <w:t> </w:t>
      </w:r>
      <w:r w:rsidRPr="009023B9">
        <w:rPr>
          <w:rFonts w:ascii="Arial" w:eastAsia="Times New Roman" w:hAnsi="Arial" w:cs="Arial"/>
          <w:sz w:val="28"/>
          <w:szCs w:val="28"/>
          <w:lang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023B9" w:rsidRPr="009023B9" w:rsidRDefault="009023B9" w:rsidP="009023B9">
      <w:pPr>
        <w:spacing w:before="100" w:beforeAutospacing="1" w:after="100" w:afterAutospacing="1" w:line="240" w:lineRule="auto"/>
        <w:textAlignment w:val="baseline"/>
        <w:rPr>
          <w:rFonts w:ascii="Times New Roman" w:eastAsia="Times New Roman" w:hAnsi="Times New Roman" w:cs="Times New Roman"/>
          <w:sz w:val="24"/>
          <w:szCs w:val="24"/>
          <w:lang w:val="en-US" w:eastAsia="en-GB"/>
        </w:rPr>
      </w:pPr>
      <w:r w:rsidRPr="009023B9">
        <w:rPr>
          <w:rFonts w:ascii="Arial" w:eastAsia="Times New Roman" w:hAnsi="Arial" w:cs="Arial"/>
          <w:sz w:val="28"/>
          <w:szCs w:val="28"/>
          <w:lang w:val="en-US" w:eastAsia="en-GB"/>
        </w:rPr>
        <w:t> </w:t>
      </w:r>
    </w:p>
    <w:p w:rsidR="009C0EA8" w:rsidRDefault="009023B9">
      <w:bookmarkStart w:id="0" w:name="_GoBack"/>
      <w:bookmarkEnd w:id="0"/>
    </w:p>
    <w:sectPr w:rsidR="009C0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3B9"/>
    <w:rsid w:val="00191672"/>
    <w:rsid w:val="00225D77"/>
    <w:rsid w:val="00902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9CD7A6-38B4-435E-BE3F-874EF0181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9023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9023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9023B9"/>
  </w:style>
  <w:style w:type="character" w:customStyle="1" w:styleId="normaltextrun">
    <w:name w:val="normaltextrun"/>
    <w:basedOn w:val="DefaultParagraphFont"/>
    <w:rsid w:val="009023B9"/>
  </w:style>
  <w:style w:type="character" w:customStyle="1" w:styleId="spellingerror">
    <w:name w:val="spellingerror"/>
    <w:basedOn w:val="DefaultParagraphFont"/>
    <w:rsid w:val="009023B9"/>
  </w:style>
  <w:style w:type="character" w:customStyle="1" w:styleId="eop">
    <w:name w:val="eop"/>
    <w:basedOn w:val="DefaultParagraphFont"/>
    <w:rsid w:val="009023B9"/>
  </w:style>
  <w:style w:type="character" w:styleId="Hyperlink">
    <w:name w:val="Hyperlink"/>
    <w:basedOn w:val="DefaultParagraphFont"/>
    <w:uiPriority w:val="99"/>
    <w:semiHidden/>
    <w:unhideWhenUsed/>
    <w:rsid w:val="009023B9"/>
    <w:rPr>
      <w:color w:val="0000FF"/>
      <w:u w:val="single"/>
    </w:rPr>
  </w:style>
  <w:style w:type="character" w:styleId="FollowedHyperlink">
    <w:name w:val="FollowedHyperlink"/>
    <w:basedOn w:val="DefaultParagraphFont"/>
    <w:uiPriority w:val="99"/>
    <w:semiHidden/>
    <w:unhideWhenUsed/>
    <w:rsid w:val="009023B9"/>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5570420">
      <w:bodyDiv w:val="1"/>
      <w:marLeft w:val="0"/>
      <w:marRight w:val="0"/>
      <w:marTop w:val="0"/>
      <w:marBottom w:val="0"/>
      <w:divBdr>
        <w:top w:val="none" w:sz="0" w:space="0" w:color="auto"/>
        <w:left w:val="none" w:sz="0" w:space="0" w:color="auto"/>
        <w:bottom w:val="none" w:sz="0" w:space="0" w:color="auto"/>
        <w:right w:val="none" w:sz="0" w:space="0" w:color="auto"/>
      </w:divBdr>
      <w:divsChild>
        <w:div w:id="272247111">
          <w:marLeft w:val="0"/>
          <w:marRight w:val="0"/>
          <w:marTop w:val="0"/>
          <w:marBottom w:val="0"/>
          <w:divBdr>
            <w:top w:val="none" w:sz="0" w:space="0" w:color="auto"/>
            <w:left w:val="none" w:sz="0" w:space="0" w:color="auto"/>
            <w:bottom w:val="none" w:sz="0" w:space="0" w:color="auto"/>
            <w:right w:val="none" w:sz="0" w:space="0" w:color="auto"/>
          </w:divBdr>
        </w:div>
        <w:div w:id="618606273">
          <w:marLeft w:val="0"/>
          <w:marRight w:val="0"/>
          <w:marTop w:val="0"/>
          <w:marBottom w:val="0"/>
          <w:divBdr>
            <w:top w:val="none" w:sz="0" w:space="0" w:color="auto"/>
            <w:left w:val="none" w:sz="0" w:space="0" w:color="auto"/>
            <w:bottom w:val="none" w:sz="0" w:space="0" w:color="auto"/>
            <w:right w:val="none" w:sz="0" w:space="0" w:color="auto"/>
          </w:divBdr>
        </w:div>
        <w:div w:id="1023017052">
          <w:marLeft w:val="0"/>
          <w:marRight w:val="0"/>
          <w:marTop w:val="0"/>
          <w:marBottom w:val="0"/>
          <w:divBdr>
            <w:top w:val="none" w:sz="0" w:space="0" w:color="auto"/>
            <w:left w:val="none" w:sz="0" w:space="0" w:color="auto"/>
            <w:bottom w:val="none" w:sz="0" w:space="0" w:color="auto"/>
            <w:right w:val="none" w:sz="0" w:space="0" w:color="auto"/>
          </w:divBdr>
        </w:div>
        <w:div w:id="1627008659">
          <w:marLeft w:val="0"/>
          <w:marRight w:val="0"/>
          <w:marTop w:val="0"/>
          <w:marBottom w:val="0"/>
          <w:divBdr>
            <w:top w:val="none" w:sz="0" w:space="0" w:color="auto"/>
            <w:left w:val="none" w:sz="0" w:space="0" w:color="auto"/>
            <w:bottom w:val="none" w:sz="0" w:space="0" w:color="auto"/>
            <w:right w:val="none" w:sz="0" w:space="0" w:color="auto"/>
          </w:divBdr>
        </w:div>
        <w:div w:id="1096291034">
          <w:marLeft w:val="0"/>
          <w:marRight w:val="0"/>
          <w:marTop w:val="0"/>
          <w:marBottom w:val="0"/>
          <w:divBdr>
            <w:top w:val="none" w:sz="0" w:space="0" w:color="auto"/>
            <w:left w:val="none" w:sz="0" w:space="0" w:color="auto"/>
            <w:bottom w:val="none" w:sz="0" w:space="0" w:color="auto"/>
            <w:right w:val="none" w:sz="0" w:space="0" w:color="auto"/>
          </w:divBdr>
        </w:div>
        <w:div w:id="814833070">
          <w:marLeft w:val="0"/>
          <w:marRight w:val="0"/>
          <w:marTop w:val="0"/>
          <w:marBottom w:val="0"/>
          <w:divBdr>
            <w:top w:val="none" w:sz="0" w:space="0" w:color="auto"/>
            <w:left w:val="none" w:sz="0" w:space="0" w:color="auto"/>
            <w:bottom w:val="none" w:sz="0" w:space="0" w:color="auto"/>
            <w:right w:val="none" w:sz="0" w:space="0" w:color="auto"/>
          </w:divBdr>
        </w:div>
        <w:div w:id="244148915">
          <w:marLeft w:val="0"/>
          <w:marRight w:val="0"/>
          <w:marTop w:val="0"/>
          <w:marBottom w:val="0"/>
          <w:divBdr>
            <w:top w:val="none" w:sz="0" w:space="0" w:color="auto"/>
            <w:left w:val="none" w:sz="0" w:space="0" w:color="auto"/>
            <w:bottom w:val="none" w:sz="0" w:space="0" w:color="auto"/>
            <w:right w:val="none" w:sz="0" w:space="0" w:color="auto"/>
          </w:divBdr>
        </w:div>
        <w:div w:id="1963878785">
          <w:marLeft w:val="0"/>
          <w:marRight w:val="0"/>
          <w:marTop w:val="0"/>
          <w:marBottom w:val="0"/>
          <w:divBdr>
            <w:top w:val="none" w:sz="0" w:space="0" w:color="auto"/>
            <w:left w:val="none" w:sz="0" w:space="0" w:color="auto"/>
            <w:bottom w:val="none" w:sz="0" w:space="0" w:color="auto"/>
            <w:right w:val="none" w:sz="0" w:space="0" w:color="auto"/>
          </w:divBdr>
        </w:div>
        <w:div w:id="407970372">
          <w:marLeft w:val="0"/>
          <w:marRight w:val="0"/>
          <w:marTop w:val="0"/>
          <w:marBottom w:val="0"/>
          <w:divBdr>
            <w:top w:val="none" w:sz="0" w:space="0" w:color="auto"/>
            <w:left w:val="none" w:sz="0" w:space="0" w:color="auto"/>
            <w:bottom w:val="none" w:sz="0" w:space="0" w:color="auto"/>
            <w:right w:val="none" w:sz="0" w:space="0" w:color="auto"/>
          </w:divBdr>
        </w:div>
        <w:div w:id="505246577">
          <w:marLeft w:val="0"/>
          <w:marRight w:val="0"/>
          <w:marTop w:val="0"/>
          <w:marBottom w:val="0"/>
          <w:divBdr>
            <w:top w:val="none" w:sz="0" w:space="0" w:color="auto"/>
            <w:left w:val="none" w:sz="0" w:space="0" w:color="auto"/>
            <w:bottom w:val="none" w:sz="0" w:space="0" w:color="auto"/>
            <w:right w:val="none" w:sz="0" w:space="0" w:color="auto"/>
          </w:divBdr>
        </w:div>
        <w:div w:id="1840929301">
          <w:marLeft w:val="0"/>
          <w:marRight w:val="0"/>
          <w:marTop w:val="0"/>
          <w:marBottom w:val="0"/>
          <w:divBdr>
            <w:top w:val="none" w:sz="0" w:space="0" w:color="auto"/>
            <w:left w:val="none" w:sz="0" w:space="0" w:color="auto"/>
            <w:bottom w:val="none" w:sz="0" w:space="0" w:color="auto"/>
            <w:right w:val="none" w:sz="0" w:space="0" w:color="auto"/>
          </w:divBdr>
        </w:div>
        <w:div w:id="1392880">
          <w:marLeft w:val="0"/>
          <w:marRight w:val="0"/>
          <w:marTop w:val="0"/>
          <w:marBottom w:val="0"/>
          <w:divBdr>
            <w:top w:val="none" w:sz="0" w:space="0" w:color="auto"/>
            <w:left w:val="none" w:sz="0" w:space="0" w:color="auto"/>
            <w:bottom w:val="none" w:sz="0" w:space="0" w:color="auto"/>
            <w:right w:val="none" w:sz="0" w:space="0" w:color="auto"/>
          </w:divBdr>
        </w:div>
        <w:div w:id="1193955527">
          <w:marLeft w:val="0"/>
          <w:marRight w:val="0"/>
          <w:marTop w:val="0"/>
          <w:marBottom w:val="0"/>
          <w:divBdr>
            <w:top w:val="none" w:sz="0" w:space="0" w:color="auto"/>
            <w:left w:val="none" w:sz="0" w:space="0" w:color="auto"/>
            <w:bottom w:val="none" w:sz="0" w:space="0" w:color="auto"/>
            <w:right w:val="none" w:sz="0" w:space="0" w:color="auto"/>
          </w:divBdr>
        </w:div>
        <w:div w:id="82261937">
          <w:marLeft w:val="0"/>
          <w:marRight w:val="0"/>
          <w:marTop w:val="0"/>
          <w:marBottom w:val="0"/>
          <w:divBdr>
            <w:top w:val="none" w:sz="0" w:space="0" w:color="auto"/>
            <w:left w:val="none" w:sz="0" w:space="0" w:color="auto"/>
            <w:bottom w:val="none" w:sz="0" w:space="0" w:color="auto"/>
            <w:right w:val="none" w:sz="0" w:space="0" w:color="auto"/>
          </w:divBdr>
        </w:div>
        <w:div w:id="526798136">
          <w:marLeft w:val="0"/>
          <w:marRight w:val="0"/>
          <w:marTop w:val="0"/>
          <w:marBottom w:val="0"/>
          <w:divBdr>
            <w:top w:val="none" w:sz="0" w:space="0" w:color="auto"/>
            <w:left w:val="none" w:sz="0" w:space="0" w:color="auto"/>
            <w:bottom w:val="none" w:sz="0" w:space="0" w:color="auto"/>
            <w:right w:val="none" w:sz="0" w:space="0" w:color="auto"/>
          </w:divBdr>
        </w:div>
        <w:div w:id="2098204646">
          <w:marLeft w:val="0"/>
          <w:marRight w:val="0"/>
          <w:marTop w:val="0"/>
          <w:marBottom w:val="0"/>
          <w:divBdr>
            <w:top w:val="none" w:sz="0" w:space="0" w:color="auto"/>
            <w:left w:val="none" w:sz="0" w:space="0" w:color="auto"/>
            <w:bottom w:val="none" w:sz="0" w:space="0" w:color="auto"/>
            <w:right w:val="none" w:sz="0" w:space="0" w:color="auto"/>
          </w:divBdr>
        </w:div>
        <w:div w:id="1975865096">
          <w:marLeft w:val="0"/>
          <w:marRight w:val="0"/>
          <w:marTop w:val="0"/>
          <w:marBottom w:val="0"/>
          <w:divBdr>
            <w:top w:val="none" w:sz="0" w:space="0" w:color="auto"/>
            <w:left w:val="none" w:sz="0" w:space="0" w:color="auto"/>
            <w:bottom w:val="none" w:sz="0" w:space="0" w:color="auto"/>
            <w:right w:val="none" w:sz="0" w:space="0" w:color="auto"/>
          </w:divBdr>
        </w:div>
        <w:div w:id="2005621280">
          <w:marLeft w:val="0"/>
          <w:marRight w:val="0"/>
          <w:marTop w:val="0"/>
          <w:marBottom w:val="0"/>
          <w:divBdr>
            <w:top w:val="none" w:sz="0" w:space="0" w:color="auto"/>
            <w:left w:val="none" w:sz="0" w:space="0" w:color="auto"/>
            <w:bottom w:val="none" w:sz="0" w:space="0" w:color="auto"/>
            <w:right w:val="none" w:sz="0" w:space="0" w:color="auto"/>
          </w:divBdr>
        </w:div>
        <w:div w:id="813569247">
          <w:marLeft w:val="0"/>
          <w:marRight w:val="0"/>
          <w:marTop w:val="0"/>
          <w:marBottom w:val="0"/>
          <w:divBdr>
            <w:top w:val="none" w:sz="0" w:space="0" w:color="auto"/>
            <w:left w:val="none" w:sz="0" w:space="0" w:color="auto"/>
            <w:bottom w:val="none" w:sz="0" w:space="0" w:color="auto"/>
            <w:right w:val="none" w:sz="0" w:space="0" w:color="auto"/>
          </w:divBdr>
        </w:div>
        <w:div w:id="867765918">
          <w:marLeft w:val="0"/>
          <w:marRight w:val="0"/>
          <w:marTop w:val="0"/>
          <w:marBottom w:val="0"/>
          <w:divBdr>
            <w:top w:val="none" w:sz="0" w:space="0" w:color="auto"/>
            <w:left w:val="none" w:sz="0" w:space="0" w:color="auto"/>
            <w:bottom w:val="none" w:sz="0" w:space="0" w:color="auto"/>
            <w:right w:val="none" w:sz="0" w:space="0" w:color="auto"/>
          </w:divBdr>
        </w:div>
        <w:div w:id="1596984229">
          <w:marLeft w:val="0"/>
          <w:marRight w:val="0"/>
          <w:marTop w:val="0"/>
          <w:marBottom w:val="0"/>
          <w:divBdr>
            <w:top w:val="none" w:sz="0" w:space="0" w:color="auto"/>
            <w:left w:val="none" w:sz="0" w:space="0" w:color="auto"/>
            <w:bottom w:val="none" w:sz="0" w:space="0" w:color="auto"/>
            <w:right w:val="none" w:sz="0" w:space="0" w:color="auto"/>
          </w:divBdr>
        </w:div>
        <w:div w:id="889997103">
          <w:marLeft w:val="0"/>
          <w:marRight w:val="0"/>
          <w:marTop w:val="0"/>
          <w:marBottom w:val="0"/>
          <w:divBdr>
            <w:top w:val="none" w:sz="0" w:space="0" w:color="auto"/>
            <w:left w:val="none" w:sz="0" w:space="0" w:color="auto"/>
            <w:bottom w:val="none" w:sz="0" w:space="0" w:color="auto"/>
            <w:right w:val="none" w:sz="0" w:space="0" w:color="auto"/>
          </w:divBdr>
        </w:div>
        <w:div w:id="1777675647">
          <w:marLeft w:val="0"/>
          <w:marRight w:val="0"/>
          <w:marTop w:val="0"/>
          <w:marBottom w:val="0"/>
          <w:divBdr>
            <w:top w:val="none" w:sz="0" w:space="0" w:color="auto"/>
            <w:left w:val="none" w:sz="0" w:space="0" w:color="auto"/>
            <w:bottom w:val="none" w:sz="0" w:space="0" w:color="auto"/>
            <w:right w:val="none" w:sz="0" w:space="0" w:color="auto"/>
          </w:divBdr>
        </w:div>
        <w:div w:id="1674796115">
          <w:marLeft w:val="0"/>
          <w:marRight w:val="0"/>
          <w:marTop w:val="0"/>
          <w:marBottom w:val="0"/>
          <w:divBdr>
            <w:top w:val="none" w:sz="0" w:space="0" w:color="auto"/>
            <w:left w:val="none" w:sz="0" w:space="0" w:color="auto"/>
            <w:bottom w:val="none" w:sz="0" w:space="0" w:color="auto"/>
            <w:right w:val="none" w:sz="0" w:space="0" w:color="auto"/>
          </w:divBdr>
        </w:div>
        <w:div w:id="131103212">
          <w:marLeft w:val="0"/>
          <w:marRight w:val="0"/>
          <w:marTop w:val="0"/>
          <w:marBottom w:val="0"/>
          <w:divBdr>
            <w:top w:val="none" w:sz="0" w:space="0" w:color="auto"/>
            <w:left w:val="none" w:sz="0" w:space="0" w:color="auto"/>
            <w:bottom w:val="none" w:sz="0" w:space="0" w:color="auto"/>
            <w:right w:val="none" w:sz="0" w:space="0" w:color="auto"/>
          </w:divBdr>
        </w:div>
        <w:div w:id="2078165628">
          <w:marLeft w:val="0"/>
          <w:marRight w:val="0"/>
          <w:marTop w:val="0"/>
          <w:marBottom w:val="0"/>
          <w:divBdr>
            <w:top w:val="none" w:sz="0" w:space="0" w:color="auto"/>
            <w:left w:val="none" w:sz="0" w:space="0" w:color="auto"/>
            <w:bottom w:val="none" w:sz="0" w:space="0" w:color="auto"/>
            <w:right w:val="none" w:sz="0" w:space="0" w:color="auto"/>
          </w:divBdr>
        </w:div>
        <w:div w:id="278033732">
          <w:marLeft w:val="0"/>
          <w:marRight w:val="0"/>
          <w:marTop w:val="0"/>
          <w:marBottom w:val="0"/>
          <w:divBdr>
            <w:top w:val="none" w:sz="0" w:space="0" w:color="auto"/>
            <w:left w:val="none" w:sz="0" w:space="0" w:color="auto"/>
            <w:bottom w:val="none" w:sz="0" w:space="0" w:color="auto"/>
            <w:right w:val="none" w:sz="0" w:space="0" w:color="auto"/>
          </w:divBdr>
        </w:div>
        <w:div w:id="1850441399">
          <w:marLeft w:val="0"/>
          <w:marRight w:val="0"/>
          <w:marTop w:val="0"/>
          <w:marBottom w:val="0"/>
          <w:divBdr>
            <w:top w:val="none" w:sz="0" w:space="0" w:color="auto"/>
            <w:left w:val="none" w:sz="0" w:space="0" w:color="auto"/>
            <w:bottom w:val="none" w:sz="0" w:space="0" w:color="auto"/>
            <w:right w:val="none" w:sz="0" w:space="0" w:color="auto"/>
          </w:divBdr>
        </w:div>
        <w:div w:id="1325819751">
          <w:marLeft w:val="0"/>
          <w:marRight w:val="0"/>
          <w:marTop w:val="0"/>
          <w:marBottom w:val="0"/>
          <w:divBdr>
            <w:top w:val="none" w:sz="0" w:space="0" w:color="auto"/>
            <w:left w:val="none" w:sz="0" w:space="0" w:color="auto"/>
            <w:bottom w:val="none" w:sz="0" w:space="0" w:color="auto"/>
            <w:right w:val="none" w:sz="0" w:space="0" w:color="auto"/>
          </w:divBdr>
        </w:div>
        <w:div w:id="1958295022">
          <w:marLeft w:val="0"/>
          <w:marRight w:val="0"/>
          <w:marTop w:val="0"/>
          <w:marBottom w:val="0"/>
          <w:divBdr>
            <w:top w:val="none" w:sz="0" w:space="0" w:color="auto"/>
            <w:left w:val="none" w:sz="0" w:space="0" w:color="auto"/>
            <w:bottom w:val="none" w:sz="0" w:space="0" w:color="auto"/>
            <w:right w:val="none" w:sz="0" w:space="0" w:color="auto"/>
          </w:divBdr>
        </w:div>
        <w:div w:id="2017461116">
          <w:marLeft w:val="0"/>
          <w:marRight w:val="0"/>
          <w:marTop w:val="0"/>
          <w:marBottom w:val="0"/>
          <w:divBdr>
            <w:top w:val="none" w:sz="0" w:space="0" w:color="auto"/>
            <w:left w:val="none" w:sz="0" w:space="0" w:color="auto"/>
            <w:bottom w:val="none" w:sz="0" w:space="0" w:color="auto"/>
            <w:right w:val="none" w:sz="0" w:space="0" w:color="auto"/>
          </w:divBdr>
        </w:div>
        <w:div w:id="806051404">
          <w:marLeft w:val="0"/>
          <w:marRight w:val="0"/>
          <w:marTop w:val="0"/>
          <w:marBottom w:val="0"/>
          <w:divBdr>
            <w:top w:val="none" w:sz="0" w:space="0" w:color="auto"/>
            <w:left w:val="none" w:sz="0" w:space="0" w:color="auto"/>
            <w:bottom w:val="none" w:sz="0" w:space="0" w:color="auto"/>
            <w:right w:val="none" w:sz="0" w:space="0" w:color="auto"/>
          </w:divBdr>
        </w:div>
        <w:div w:id="551580148">
          <w:marLeft w:val="0"/>
          <w:marRight w:val="0"/>
          <w:marTop w:val="0"/>
          <w:marBottom w:val="0"/>
          <w:divBdr>
            <w:top w:val="none" w:sz="0" w:space="0" w:color="auto"/>
            <w:left w:val="none" w:sz="0" w:space="0" w:color="auto"/>
            <w:bottom w:val="none" w:sz="0" w:space="0" w:color="auto"/>
            <w:right w:val="none" w:sz="0" w:space="0" w:color="auto"/>
          </w:divBdr>
        </w:div>
        <w:div w:id="1378385569">
          <w:marLeft w:val="0"/>
          <w:marRight w:val="0"/>
          <w:marTop w:val="0"/>
          <w:marBottom w:val="0"/>
          <w:divBdr>
            <w:top w:val="none" w:sz="0" w:space="0" w:color="auto"/>
            <w:left w:val="none" w:sz="0" w:space="0" w:color="auto"/>
            <w:bottom w:val="none" w:sz="0" w:space="0" w:color="auto"/>
            <w:right w:val="none" w:sz="0" w:space="0" w:color="auto"/>
          </w:divBdr>
        </w:div>
        <w:div w:id="433087592">
          <w:marLeft w:val="0"/>
          <w:marRight w:val="0"/>
          <w:marTop w:val="0"/>
          <w:marBottom w:val="0"/>
          <w:divBdr>
            <w:top w:val="none" w:sz="0" w:space="0" w:color="auto"/>
            <w:left w:val="none" w:sz="0" w:space="0" w:color="auto"/>
            <w:bottom w:val="none" w:sz="0" w:space="0" w:color="auto"/>
            <w:right w:val="none" w:sz="0" w:space="0" w:color="auto"/>
          </w:divBdr>
        </w:div>
        <w:div w:id="86194556">
          <w:marLeft w:val="0"/>
          <w:marRight w:val="0"/>
          <w:marTop w:val="0"/>
          <w:marBottom w:val="0"/>
          <w:divBdr>
            <w:top w:val="none" w:sz="0" w:space="0" w:color="auto"/>
            <w:left w:val="none" w:sz="0" w:space="0" w:color="auto"/>
            <w:bottom w:val="none" w:sz="0" w:space="0" w:color="auto"/>
            <w:right w:val="none" w:sz="0" w:space="0" w:color="auto"/>
          </w:divBdr>
        </w:div>
        <w:div w:id="1662655004">
          <w:marLeft w:val="0"/>
          <w:marRight w:val="0"/>
          <w:marTop w:val="0"/>
          <w:marBottom w:val="0"/>
          <w:divBdr>
            <w:top w:val="none" w:sz="0" w:space="0" w:color="auto"/>
            <w:left w:val="none" w:sz="0" w:space="0" w:color="auto"/>
            <w:bottom w:val="none" w:sz="0" w:space="0" w:color="auto"/>
            <w:right w:val="none" w:sz="0" w:space="0" w:color="auto"/>
          </w:divBdr>
        </w:div>
        <w:div w:id="683676213">
          <w:marLeft w:val="0"/>
          <w:marRight w:val="0"/>
          <w:marTop w:val="0"/>
          <w:marBottom w:val="0"/>
          <w:divBdr>
            <w:top w:val="none" w:sz="0" w:space="0" w:color="auto"/>
            <w:left w:val="none" w:sz="0" w:space="0" w:color="auto"/>
            <w:bottom w:val="none" w:sz="0" w:space="0" w:color="auto"/>
            <w:right w:val="none" w:sz="0" w:space="0" w:color="auto"/>
          </w:divBdr>
        </w:div>
        <w:div w:id="69230510">
          <w:marLeft w:val="0"/>
          <w:marRight w:val="0"/>
          <w:marTop w:val="0"/>
          <w:marBottom w:val="0"/>
          <w:divBdr>
            <w:top w:val="none" w:sz="0" w:space="0" w:color="auto"/>
            <w:left w:val="none" w:sz="0" w:space="0" w:color="auto"/>
            <w:bottom w:val="none" w:sz="0" w:space="0" w:color="auto"/>
            <w:right w:val="none" w:sz="0" w:space="0" w:color="auto"/>
          </w:divBdr>
        </w:div>
        <w:div w:id="855383330">
          <w:marLeft w:val="0"/>
          <w:marRight w:val="0"/>
          <w:marTop w:val="0"/>
          <w:marBottom w:val="0"/>
          <w:divBdr>
            <w:top w:val="none" w:sz="0" w:space="0" w:color="auto"/>
            <w:left w:val="none" w:sz="0" w:space="0" w:color="auto"/>
            <w:bottom w:val="none" w:sz="0" w:space="0" w:color="auto"/>
            <w:right w:val="none" w:sz="0" w:space="0" w:color="auto"/>
          </w:divBdr>
        </w:div>
        <w:div w:id="1109928077">
          <w:marLeft w:val="0"/>
          <w:marRight w:val="0"/>
          <w:marTop w:val="0"/>
          <w:marBottom w:val="0"/>
          <w:divBdr>
            <w:top w:val="none" w:sz="0" w:space="0" w:color="auto"/>
            <w:left w:val="none" w:sz="0" w:space="0" w:color="auto"/>
            <w:bottom w:val="none" w:sz="0" w:space="0" w:color="auto"/>
            <w:right w:val="none" w:sz="0" w:space="0" w:color="auto"/>
          </w:divBdr>
        </w:div>
        <w:div w:id="922371499">
          <w:marLeft w:val="0"/>
          <w:marRight w:val="0"/>
          <w:marTop w:val="0"/>
          <w:marBottom w:val="0"/>
          <w:divBdr>
            <w:top w:val="none" w:sz="0" w:space="0" w:color="auto"/>
            <w:left w:val="none" w:sz="0" w:space="0" w:color="auto"/>
            <w:bottom w:val="none" w:sz="0" w:space="0" w:color="auto"/>
            <w:right w:val="none" w:sz="0" w:space="0" w:color="auto"/>
          </w:divBdr>
        </w:div>
        <w:div w:id="1307079774">
          <w:marLeft w:val="0"/>
          <w:marRight w:val="0"/>
          <w:marTop w:val="0"/>
          <w:marBottom w:val="0"/>
          <w:divBdr>
            <w:top w:val="none" w:sz="0" w:space="0" w:color="auto"/>
            <w:left w:val="none" w:sz="0" w:space="0" w:color="auto"/>
            <w:bottom w:val="none" w:sz="0" w:space="0" w:color="auto"/>
            <w:right w:val="none" w:sz="0" w:space="0" w:color="auto"/>
          </w:divBdr>
        </w:div>
        <w:div w:id="1998610366">
          <w:marLeft w:val="0"/>
          <w:marRight w:val="0"/>
          <w:marTop w:val="0"/>
          <w:marBottom w:val="0"/>
          <w:divBdr>
            <w:top w:val="none" w:sz="0" w:space="0" w:color="auto"/>
            <w:left w:val="none" w:sz="0" w:space="0" w:color="auto"/>
            <w:bottom w:val="none" w:sz="0" w:space="0" w:color="auto"/>
            <w:right w:val="none" w:sz="0" w:space="0" w:color="auto"/>
          </w:divBdr>
        </w:div>
        <w:div w:id="500851001">
          <w:marLeft w:val="0"/>
          <w:marRight w:val="0"/>
          <w:marTop w:val="0"/>
          <w:marBottom w:val="0"/>
          <w:divBdr>
            <w:top w:val="none" w:sz="0" w:space="0" w:color="auto"/>
            <w:left w:val="none" w:sz="0" w:space="0" w:color="auto"/>
            <w:bottom w:val="none" w:sz="0" w:space="0" w:color="auto"/>
            <w:right w:val="none" w:sz="0" w:space="0" w:color="auto"/>
          </w:divBdr>
        </w:div>
        <w:div w:id="1786994579">
          <w:marLeft w:val="0"/>
          <w:marRight w:val="0"/>
          <w:marTop w:val="0"/>
          <w:marBottom w:val="0"/>
          <w:divBdr>
            <w:top w:val="none" w:sz="0" w:space="0" w:color="auto"/>
            <w:left w:val="none" w:sz="0" w:space="0" w:color="auto"/>
            <w:bottom w:val="none" w:sz="0" w:space="0" w:color="auto"/>
            <w:right w:val="none" w:sz="0" w:space="0" w:color="auto"/>
          </w:divBdr>
        </w:div>
        <w:div w:id="487090725">
          <w:marLeft w:val="0"/>
          <w:marRight w:val="0"/>
          <w:marTop w:val="0"/>
          <w:marBottom w:val="0"/>
          <w:divBdr>
            <w:top w:val="none" w:sz="0" w:space="0" w:color="auto"/>
            <w:left w:val="none" w:sz="0" w:space="0" w:color="auto"/>
            <w:bottom w:val="none" w:sz="0" w:space="0" w:color="auto"/>
            <w:right w:val="none" w:sz="0" w:space="0" w:color="auto"/>
          </w:divBdr>
        </w:div>
        <w:div w:id="998191268">
          <w:marLeft w:val="0"/>
          <w:marRight w:val="0"/>
          <w:marTop w:val="0"/>
          <w:marBottom w:val="0"/>
          <w:divBdr>
            <w:top w:val="none" w:sz="0" w:space="0" w:color="auto"/>
            <w:left w:val="none" w:sz="0" w:space="0" w:color="auto"/>
            <w:bottom w:val="none" w:sz="0" w:space="0" w:color="auto"/>
            <w:right w:val="none" w:sz="0" w:space="0" w:color="auto"/>
          </w:divBdr>
        </w:div>
        <w:div w:id="208536619">
          <w:marLeft w:val="0"/>
          <w:marRight w:val="0"/>
          <w:marTop w:val="0"/>
          <w:marBottom w:val="0"/>
          <w:divBdr>
            <w:top w:val="none" w:sz="0" w:space="0" w:color="auto"/>
            <w:left w:val="none" w:sz="0" w:space="0" w:color="auto"/>
            <w:bottom w:val="none" w:sz="0" w:space="0" w:color="auto"/>
            <w:right w:val="none" w:sz="0" w:space="0" w:color="auto"/>
          </w:divBdr>
        </w:div>
        <w:div w:id="1678146016">
          <w:marLeft w:val="0"/>
          <w:marRight w:val="0"/>
          <w:marTop w:val="0"/>
          <w:marBottom w:val="0"/>
          <w:divBdr>
            <w:top w:val="none" w:sz="0" w:space="0" w:color="auto"/>
            <w:left w:val="none" w:sz="0" w:space="0" w:color="auto"/>
            <w:bottom w:val="none" w:sz="0" w:space="0" w:color="auto"/>
            <w:right w:val="none" w:sz="0" w:space="0" w:color="auto"/>
          </w:divBdr>
        </w:div>
        <w:div w:id="666177960">
          <w:marLeft w:val="0"/>
          <w:marRight w:val="0"/>
          <w:marTop w:val="0"/>
          <w:marBottom w:val="0"/>
          <w:divBdr>
            <w:top w:val="none" w:sz="0" w:space="0" w:color="auto"/>
            <w:left w:val="none" w:sz="0" w:space="0" w:color="auto"/>
            <w:bottom w:val="none" w:sz="0" w:space="0" w:color="auto"/>
            <w:right w:val="none" w:sz="0" w:space="0" w:color="auto"/>
          </w:divBdr>
        </w:div>
        <w:div w:id="1796825337">
          <w:marLeft w:val="0"/>
          <w:marRight w:val="0"/>
          <w:marTop w:val="0"/>
          <w:marBottom w:val="0"/>
          <w:divBdr>
            <w:top w:val="none" w:sz="0" w:space="0" w:color="auto"/>
            <w:left w:val="none" w:sz="0" w:space="0" w:color="auto"/>
            <w:bottom w:val="none" w:sz="0" w:space="0" w:color="auto"/>
            <w:right w:val="none" w:sz="0" w:space="0" w:color="auto"/>
          </w:divBdr>
        </w:div>
        <w:div w:id="1324353091">
          <w:marLeft w:val="0"/>
          <w:marRight w:val="0"/>
          <w:marTop w:val="0"/>
          <w:marBottom w:val="0"/>
          <w:divBdr>
            <w:top w:val="none" w:sz="0" w:space="0" w:color="auto"/>
            <w:left w:val="none" w:sz="0" w:space="0" w:color="auto"/>
            <w:bottom w:val="none" w:sz="0" w:space="0" w:color="auto"/>
            <w:right w:val="none" w:sz="0" w:space="0" w:color="auto"/>
          </w:divBdr>
        </w:div>
        <w:div w:id="812258887">
          <w:marLeft w:val="0"/>
          <w:marRight w:val="0"/>
          <w:marTop w:val="0"/>
          <w:marBottom w:val="0"/>
          <w:divBdr>
            <w:top w:val="none" w:sz="0" w:space="0" w:color="auto"/>
            <w:left w:val="none" w:sz="0" w:space="0" w:color="auto"/>
            <w:bottom w:val="none" w:sz="0" w:space="0" w:color="auto"/>
            <w:right w:val="none" w:sz="0" w:space="0" w:color="auto"/>
          </w:divBdr>
        </w:div>
        <w:div w:id="597982339">
          <w:marLeft w:val="0"/>
          <w:marRight w:val="0"/>
          <w:marTop w:val="0"/>
          <w:marBottom w:val="0"/>
          <w:divBdr>
            <w:top w:val="none" w:sz="0" w:space="0" w:color="auto"/>
            <w:left w:val="none" w:sz="0" w:space="0" w:color="auto"/>
            <w:bottom w:val="none" w:sz="0" w:space="0" w:color="auto"/>
            <w:right w:val="none" w:sz="0" w:space="0" w:color="auto"/>
          </w:divBdr>
        </w:div>
        <w:div w:id="1511528571">
          <w:marLeft w:val="0"/>
          <w:marRight w:val="0"/>
          <w:marTop w:val="0"/>
          <w:marBottom w:val="0"/>
          <w:divBdr>
            <w:top w:val="none" w:sz="0" w:space="0" w:color="auto"/>
            <w:left w:val="none" w:sz="0" w:space="0" w:color="auto"/>
            <w:bottom w:val="none" w:sz="0" w:space="0" w:color="auto"/>
            <w:right w:val="none" w:sz="0" w:space="0" w:color="auto"/>
          </w:divBdr>
        </w:div>
        <w:div w:id="1157258425">
          <w:marLeft w:val="0"/>
          <w:marRight w:val="0"/>
          <w:marTop w:val="0"/>
          <w:marBottom w:val="0"/>
          <w:divBdr>
            <w:top w:val="none" w:sz="0" w:space="0" w:color="auto"/>
            <w:left w:val="none" w:sz="0" w:space="0" w:color="auto"/>
            <w:bottom w:val="none" w:sz="0" w:space="0" w:color="auto"/>
            <w:right w:val="none" w:sz="0" w:space="0" w:color="auto"/>
          </w:divBdr>
        </w:div>
        <w:div w:id="1485778666">
          <w:marLeft w:val="0"/>
          <w:marRight w:val="0"/>
          <w:marTop w:val="0"/>
          <w:marBottom w:val="0"/>
          <w:divBdr>
            <w:top w:val="none" w:sz="0" w:space="0" w:color="auto"/>
            <w:left w:val="none" w:sz="0" w:space="0" w:color="auto"/>
            <w:bottom w:val="none" w:sz="0" w:space="0" w:color="auto"/>
            <w:right w:val="none" w:sz="0" w:space="0" w:color="auto"/>
          </w:divBdr>
        </w:div>
        <w:div w:id="1326713696">
          <w:marLeft w:val="0"/>
          <w:marRight w:val="0"/>
          <w:marTop w:val="0"/>
          <w:marBottom w:val="0"/>
          <w:divBdr>
            <w:top w:val="none" w:sz="0" w:space="0" w:color="auto"/>
            <w:left w:val="none" w:sz="0" w:space="0" w:color="auto"/>
            <w:bottom w:val="none" w:sz="0" w:space="0" w:color="auto"/>
            <w:right w:val="none" w:sz="0" w:space="0" w:color="auto"/>
          </w:divBdr>
        </w:div>
        <w:div w:id="1810786112">
          <w:marLeft w:val="0"/>
          <w:marRight w:val="0"/>
          <w:marTop w:val="0"/>
          <w:marBottom w:val="0"/>
          <w:divBdr>
            <w:top w:val="none" w:sz="0" w:space="0" w:color="auto"/>
            <w:left w:val="none" w:sz="0" w:space="0" w:color="auto"/>
            <w:bottom w:val="none" w:sz="0" w:space="0" w:color="auto"/>
            <w:right w:val="none" w:sz="0" w:space="0" w:color="auto"/>
          </w:divBdr>
        </w:div>
        <w:div w:id="678772228">
          <w:marLeft w:val="0"/>
          <w:marRight w:val="0"/>
          <w:marTop w:val="0"/>
          <w:marBottom w:val="0"/>
          <w:divBdr>
            <w:top w:val="none" w:sz="0" w:space="0" w:color="auto"/>
            <w:left w:val="none" w:sz="0" w:space="0" w:color="auto"/>
            <w:bottom w:val="none" w:sz="0" w:space="0" w:color="auto"/>
            <w:right w:val="none" w:sz="0" w:space="0" w:color="auto"/>
          </w:divBdr>
        </w:div>
        <w:div w:id="878321818">
          <w:marLeft w:val="0"/>
          <w:marRight w:val="0"/>
          <w:marTop w:val="0"/>
          <w:marBottom w:val="0"/>
          <w:divBdr>
            <w:top w:val="none" w:sz="0" w:space="0" w:color="auto"/>
            <w:left w:val="none" w:sz="0" w:space="0" w:color="auto"/>
            <w:bottom w:val="none" w:sz="0" w:space="0" w:color="auto"/>
            <w:right w:val="none" w:sz="0" w:space="0" w:color="auto"/>
          </w:divBdr>
        </w:div>
        <w:div w:id="1098334292">
          <w:marLeft w:val="0"/>
          <w:marRight w:val="0"/>
          <w:marTop w:val="0"/>
          <w:marBottom w:val="0"/>
          <w:divBdr>
            <w:top w:val="none" w:sz="0" w:space="0" w:color="auto"/>
            <w:left w:val="none" w:sz="0" w:space="0" w:color="auto"/>
            <w:bottom w:val="none" w:sz="0" w:space="0" w:color="auto"/>
            <w:right w:val="none" w:sz="0" w:space="0" w:color="auto"/>
          </w:divBdr>
        </w:div>
        <w:div w:id="2010792056">
          <w:marLeft w:val="0"/>
          <w:marRight w:val="0"/>
          <w:marTop w:val="0"/>
          <w:marBottom w:val="0"/>
          <w:divBdr>
            <w:top w:val="none" w:sz="0" w:space="0" w:color="auto"/>
            <w:left w:val="none" w:sz="0" w:space="0" w:color="auto"/>
            <w:bottom w:val="none" w:sz="0" w:space="0" w:color="auto"/>
            <w:right w:val="none" w:sz="0" w:space="0" w:color="auto"/>
          </w:divBdr>
        </w:div>
        <w:div w:id="1705861689">
          <w:marLeft w:val="0"/>
          <w:marRight w:val="0"/>
          <w:marTop w:val="0"/>
          <w:marBottom w:val="0"/>
          <w:divBdr>
            <w:top w:val="none" w:sz="0" w:space="0" w:color="auto"/>
            <w:left w:val="none" w:sz="0" w:space="0" w:color="auto"/>
            <w:bottom w:val="none" w:sz="0" w:space="0" w:color="auto"/>
            <w:right w:val="none" w:sz="0" w:space="0" w:color="auto"/>
          </w:divBdr>
        </w:div>
        <w:div w:id="1470977782">
          <w:marLeft w:val="0"/>
          <w:marRight w:val="0"/>
          <w:marTop w:val="0"/>
          <w:marBottom w:val="0"/>
          <w:divBdr>
            <w:top w:val="none" w:sz="0" w:space="0" w:color="auto"/>
            <w:left w:val="none" w:sz="0" w:space="0" w:color="auto"/>
            <w:bottom w:val="none" w:sz="0" w:space="0" w:color="auto"/>
            <w:right w:val="none" w:sz="0" w:space="0" w:color="auto"/>
          </w:divBdr>
        </w:div>
        <w:div w:id="1074623412">
          <w:marLeft w:val="0"/>
          <w:marRight w:val="0"/>
          <w:marTop w:val="0"/>
          <w:marBottom w:val="0"/>
          <w:divBdr>
            <w:top w:val="none" w:sz="0" w:space="0" w:color="auto"/>
            <w:left w:val="none" w:sz="0" w:space="0" w:color="auto"/>
            <w:bottom w:val="none" w:sz="0" w:space="0" w:color="auto"/>
            <w:right w:val="none" w:sz="0" w:space="0" w:color="auto"/>
          </w:divBdr>
        </w:div>
        <w:div w:id="1921408561">
          <w:marLeft w:val="0"/>
          <w:marRight w:val="0"/>
          <w:marTop w:val="0"/>
          <w:marBottom w:val="0"/>
          <w:divBdr>
            <w:top w:val="none" w:sz="0" w:space="0" w:color="auto"/>
            <w:left w:val="none" w:sz="0" w:space="0" w:color="auto"/>
            <w:bottom w:val="none" w:sz="0" w:space="0" w:color="auto"/>
            <w:right w:val="none" w:sz="0" w:space="0" w:color="auto"/>
          </w:divBdr>
        </w:div>
        <w:div w:id="659382298">
          <w:marLeft w:val="0"/>
          <w:marRight w:val="0"/>
          <w:marTop w:val="0"/>
          <w:marBottom w:val="0"/>
          <w:divBdr>
            <w:top w:val="none" w:sz="0" w:space="0" w:color="auto"/>
            <w:left w:val="none" w:sz="0" w:space="0" w:color="auto"/>
            <w:bottom w:val="none" w:sz="0" w:space="0" w:color="auto"/>
            <w:right w:val="none" w:sz="0" w:space="0" w:color="auto"/>
          </w:divBdr>
        </w:div>
        <w:div w:id="1736512390">
          <w:marLeft w:val="0"/>
          <w:marRight w:val="0"/>
          <w:marTop w:val="0"/>
          <w:marBottom w:val="0"/>
          <w:divBdr>
            <w:top w:val="none" w:sz="0" w:space="0" w:color="auto"/>
            <w:left w:val="none" w:sz="0" w:space="0" w:color="auto"/>
            <w:bottom w:val="none" w:sz="0" w:space="0" w:color="auto"/>
            <w:right w:val="none" w:sz="0" w:space="0" w:color="auto"/>
          </w:divBdr>
        </w:div>
        <w:div w:id="465272549">
          <w:marLeft w:val="0"/>
          <w:marRight w:val="0"/>
          <w:marTop w:val="0"/>
          <w:marBottom w:val="0"/>
          <w:divBdr>
            <w:top w:val="none" w:sz="0" w:space="0" w:color="auto"/>
            <w:left w:val="none" w:sz="0" w:space="0" w:color="auto"/>
            <w:bottom w:val="none" w:sz="0" w:space="0" w:color="auto"/>
            <w:right w:val="none" w:sz="0" w:space="0" w:color="auto"/>
          </w:divBdr>
        </w:div>
        <w:div w:id="1433697304">
          <w:marLeft w:val="0"/>
          <w:marRight w:val="0"/>
          <w:marTop w:val="0"/>
          <w:marBottom w:val="0"/>
          <w:divBdr>
            <w:top w:val="none" w:sz="0" w:space="0" w:color="auto"/>
            <w:left w:val="none" w:sz="0" w:space="0" w:color="auto"/>
            <w:bottom w:val="none" w:sz="0" w:space="0" w:color="auto"/>
            <w:right w:val="none" w:sz="0" w:space="0" w:color="auto"/>
          </w:divBdr>
        </w:div>
        <w:div w:id="1163818657">
          <w:marLeft w:val="0"/>
          <w:marRight w:val="0"/>
          <w:marTop w:val="0"/>
          <w:marBottom w:val="0"/>
          <w:divBdr>
            <w:top w:val="none" w:sz="0" w:space="0" w:color="auto"/>
            <w:left w:val="none" w:sz="0" w:space="0" w:color="auto"/>
            <w:bottom w:val="none" w:sz="0" w:space="0" w:color="auto"/>
            <w:right w:val="none" w:sz="0" w:space="0" w:color="auto"/>
          </w:divBdr>
        </w:div>
        <w:div w:id="446697716">
          <w:marLeft w:val="0"/>
          <w:marRight w:val="0"/>
          <w:marTop w:val="0"/>
          <w:marBottom w:val="0"/>
          <w:divBdr>
            <w:top w:val="none" w:sz="0" w:space="0" w:color="auto"/>
            <w:left w:val="none" w:sz="0" w:space="0" w:color="auto"/>
            <w:bottom w:val="none" w:sz="0" w:space="0" w:color="auto"/>
            <w:right w:val="none" w:sz="0" w:space="0" w:color="auto"/>
          </w:divBdr>
        </w:div>
        <w:div w:id="2057073638">
          <w:marLeft w:val="0"/>
          <w:marRight w:val="0"/>
          <w:marTop w:val="0"/>
          <w:marBottom w:val="0"/>
          <w:divBdr>
            <w:top w:val="none" w:sz="0" w:space="0" w:color="auto"/>
            <w:left w:val="none" w:sz="0" w:space="0" w:color="auto"/>
            <w:bottom w:val="none" w:sz="0" w:space="0" w:color="auto"/>
            <w:right w:val="none" w:sz="0" w:space="0" w:color="auto"/>
          </w:divBdr>
        </w:div>
        <w:div w:id="1581139251">
          <w:marLeft w:val="0"/>
          <w:marRight w:val="0"/>
          <w:marTop w:val="0"/>
          <w:marBottom w:val="0"/>
          <w:divBdr>
            <w:top w:val="none" w:sz="0" w:space="0" w:color="auto"/>
            <w:left w:val="none" w:sz="0" w:space="0" w:color="auto"/>
            <w:bottom w:val="none" w:sz="0" w:space="0" w:color="auto"/>
            <w:right w:val="none" w:sz="0" w:space="0" w:color="auto"/>
          </w:divBdr>
        </w:div>
        <w:div w:id="1360931740">
          <w:marLeft w:val="0"/>
          <w:marRight w:val="0"/>
          <w:marTop w:val="0"/>
          <w:marBottom w:val="0"/>
          <w:divBdr>
            <w:top w:val="none" w:sz="0" w:space="0" w:color="auto"/>
            <w:left w:val="none" w:sz="0" w:space="0" w:color="auto"/>
            <w:bottom w:val="none" w:sz="0" w:space="0" w:color="auto"/>
            <w:right w:val="none" w:sz="0" w:space="0" w:color="auto"/>
          </w:divBdr>
        </w:div>
        <w:div w:id="223836770">
          <w:marLeft w:val="0"/>
          <w:marRight w:val="0"/>
          <w:marTop w:val="0"/>
          <w:marBottom w:val="0"/>
          <w:divBdr>
            <w:top w:val="none" w:sz="0" w:space="0" w:color="auto"/>
            <w:left w:val="none" w:sz="0" w:space="0" w:color="auto"/>
            <w:bottom w:val="none" w:sz="0" w:space="0" w:color="auto"/>
            <w:right w:val="none" w:sz="0" w:space="0" w:color="auto"/>
          </w:divBdr>
        </w:div>
        <w:div w:id="612831731">
          <w:marLeft w:val="0"/>
          <w:marRight w:val="0"/>
          <w:marTop w:val="0"/>
          <w:marBottom w:val="0"/>
          <w:divBdr>
            <w:top w:val="none" w:sz="0" w:space="0" w:color="auto"/>
            <w:left w:val="none" w:sz="0" w:space="0" w:color="auto"/>
            <w:bottom w:val="none" w:sz="0" w:space="0" w:color="auto"/>
            <w:right w:val="none" w:sz="0" w:space="0" w:color="auto"/>
          </w:divBdr>
        </w:div>
        <w:div w:id="579365217">
          <w:marLeft w:val="0"/>
          <w:marRight w:val="0"/>
          <w:marTop w:val="0"/>
          <w:marBottom w:val="0"/>
          <w:divBdr>
            <w:top w:val="none" w:sz="0" w:space="0" w:color="auto"/>
            <w:left w:val="none" w:sz="0" w:space="0" w:color="auto"/>
            <w:bottom w:val="none" w:sz="0" w:space="0" w:color="auto"/>
            <w:right w:val="none" w:sz="0" w:space="0" w:color="auto"/>
          </w:divBdr>
        </w:div>
        <w:div w:id="1751779417">
          <w:marLeft w:val="0"/>
          <w:marRight w:val="0"/>
          <w:marTop w:val="0"/>
          <w:marBottom w:val="0"/>
          <w:divBdr>
            <w:top w:val="none" w:sz="0" w:space="0" w:color="auto"/>
            <w:left w:val="none" w:sz="0" w:space="0" w:color="auto"/>
            <w:bottom w:val="none" w:sz="0" w:space="0" w:color="auto"/>
            <w:right w:val="none" w:sz="0" w:space="0" w:color="auto"/>
          </w:divBdr>
        </w:div>
        <w:div w:id="1340156696">
          <w:marLeft w:val="0"/>
          <w:marRight w:val="0"/>
          <w:marTop w:val="0"/>
          <w:marBottom w:val="0"/>
          <w:divBdr>
            <w:top w:val="none" w:sz="0" w:space="0" w:color="auto"/>
            <w:left w:val="none" w:sz="0" w:space="0" w:color="auto"/>
            <w:bottom w:val="none" w:sz="0" w:space="0" w:color="auto"/>
            <w:right w:val="none" w:sz="0" w:space="0" w:color="auto"/>
          </w:divBdr>
        </w:div>
        <w:div w:id="1328171524">
          <w:marLeft w:val="0"/>
          <w:marRight w:val="0"/>
          <w:marTop w:val="0"/>
          <w:marBottom w:val="0"/>
          <w:divBdr>
            <w:top w:val="none" w:sz="0" w:space="0" w:color="auto"/>
            <w:left w:val="none" w:sz="0" w:space="0" w:color="auto"/>
            <w:bottom w:val="none" w:sz="0" w:space="0" w:color="auto"/>
            <w:right w:val="none" w:sz="0" w:space="0" w:color="auto"/>
          </w:divBdr>
        </w:div>
        <w:div w:id="306863407">
          <w:marLeft w:val="0"/>
          <w:marRight w:val="0"/>
          <w:marTop w:val="0"/>
          <w:marBottom w:val="0"/>
          <w:divBdr>
            <w:top w:val="none" w:sz="0" w:space="0" w:color="auto"/>
            <w:left w:val="none" w:sz="0" w:space="0" w:color="auto"/>
            <w:bottom w:val="none" w:sz="0" w:space="0" w:color="auto"/>
            <w:right w:val="none" w:sz="0" w:space="0" w:color="auto"/>
          </w:divBdr>
        </w:div>
        <w:div w:id="97138687">
          <w:marLeft w:val="0"/>
          <w:marRight w:val="0"/>
          <w:marTop w:val="0"/>
          <w:marBottom w:val="0"/>
          <w:divBdr>
            <w:top w:val="none" w:sz="0" w:space="0" w:color="auto"/>
            <w:left w:val="none" w:sz="0" w:space="0" w:color="auto"/>
            <w:bottom w:val="none" w:sz="0" w:space="0" w:color="auto"/>
            <w:right w:val="none" w:sz="0" w:space="0" w:color="auto"/>
          </w:divBdr>
        </w:div>
        <w:div w:id="1265843213">
          <w:marLeft w:val="0"/>
          <w:marRight w:val="0"/>
          <w:marTop w:val="0"/>
          <w:marBottom w:val="0"/>
          <w:divBdr>
            <w:top w:val="none" w:sz="0" w:space="0" w:color="auto"/>
            <w:left w:val="none" w:sz="0" w:space="0" w:color="auto"/>
            <w:bottom w:val="none" w:sz="0" w:space="0" w:color="auto"/>
            <w:right w:val="none" w:sz="0" w:space="0" w:color="auto"/>
          </w:divBdr>
        </w:div>
        <w:div w:id="1286501372">
          <w:marLeft w:val="0"/>
          <w:marRight w:val="0"/>
          <w:marTop w:val="0"/>
          <w:marBottom w:val="0"/>
          <w:divBdr>
            <w:top w:val="none" w:sz="0" w:space="0" w:color="auto"/>
            <w:left w:val="none" w:sz="0" w:space="0" w:color="auto"/>
            <w:bottom w:val="none" w:sz="0" w:space="0" w:color="auto"/>
            <w:right w:val="none" w:sz="0" w:space="0" w:color="auto"/>
          </w:divBdr>
        </w:div>
        <w:div w:id="1047141408">
          <w:marLeft w:val="0"/>
          <w:marRight w:val="0"/>
          <w:marTop w:val="0"/>
          <w:marBottom w:val="0"/>
          <w:divBdr>
            <w:top w:val="none" w:sz="0" w:space="0" w:color="auto"/>
            <w:left w:val="none" w:sz="0" w:space="0" w:color="auto"/>
            <w:bottom w:val="none" w:sz="0" w:space="0" w:color="auto"/>
            <w:right w:val="none" w:sz="0" w:space="0" w:color="auto"/>
          </w:divBdr>
        </w:div>
        <w:div w:id="2064912848">
          <w:marLeft w:val="0"/>
          <w:marRight w:val="0"/>
          <w:marTop w:val="0"/>
          <w:marBottom w:val="0"/>
          <w:divBdr>
            <w:top w:val="none" w:sz="0" w:space="0" w:color="auto"/>
            <w:left w:val="none" w:sz="0" w:space="0" w:color="auto"/>
            <w:bottom w:val="none" w:sz="0" w:space="0" w:color="auto"/>
            <w:right w:val="none" w:sz="0" w:space="0" w:color="auto"/>
          </w:divBdr>
        </w:div>
        <w:div w:id="1755544279">
          <w:marLeft w:val="0"/>
          <w:marRight w:val="0"/>
          <w:marTop w:val="0"/>
          <w:marBottom w:val="0"/>
          <w:divBdr>
            <w:top w:val="none" w:sz="0" w:space="0" w:color="auto"/>
            <w:left w:val="none" w:sz="0" w:space="0" w:color="auto"/>
            <w:bottom w:val="none" w:sz="0" w:space="0" w:color="auto"/>
            <w:right w:val="none" w:sz="0" w:space="0" w:color="auto"/>
          </w:divBdr>
        </w:div>
        <w:div w:id="619651440">
          <w:marLeft w:val="0"/>
          <w:marRight w:val="0"/>
          <w:marTop w:val="0"/>
          <w:marBottom w:val="0"/>
          <w:divBdr>
            <w:top w:val="none" w:sz="0" w:space="0" w:color="auto"/>
            <w:left w:val="none" w:sz="0" w:space="0" w:color="auto"/>
            <w:bottom w:val="none" w:sz="0" w:space="0" w:color="auto"/>
            <w:right w:val="none" w:sz="0" w:space="0" w:color="auto"/>
          </w:divBdr>
        </w:div>
        <w:div w:id="1291476435">
          <w:marLeft w:val="0"/>
          <w:marRight w:val="0"/>
          <w:marTop w:val="0"/>
          <w:marBottom w:val="0"/>
          <w:divBdr>
            <w:top w:val="none" w:sz="0" w:space="0" w:color="auto"/>
            <w:left w:val="none" w:sz="0" w:space="0" w:color="auto"/>
            <w:bottom w:val="none" w:sz="0" w:space="0" w:color="auto"/>
            <w:right w:val="none" w:sz="0" w:space="0" w:color="auto"/>
          </w:divBdr>
        </w:div>
        <w:div w:id="296765790">
          <w:marLeft w:val="0"/>
          <w:marRight w:val="0"/>
          <w:marTop w:val="0"/>
          <w:marBottom w:val="0"/>
          <w:divBdr>
            <w:top w:val="none" w:sz="0" w:space="0" w:color="auto"/>
            <w:left w:val="none" w:sz="0" w:space="0" w:color="auto"/>
            <w:bottom w:val="none" w:sz="0" w:space="0" w:color="auto"/>
            <w:right w:val="none" w:sz="0" w:space="0" w:color="auto"/>
          </w:divBdr>
        </w:div>
        <w:div w:id="953096563">
          <w:marLeft w:val="0"/>
          <w:marRight w:val="0"/>
          <w:marTop w:val="0"/>
          <w:marBottom w:val="0"/>
          <w:divBdr>
            <w:top w:val="none" w:sz="0" w:space="0" w:color="auto"/>
            <w:left w:val="none" w:sz="0" w:space="0" w:color="auto"/>
            <w:bottom w:val="none" w:sz="0" w:space="0" w:color="auto"/>
            <w:right w:val="none" w:sz="0" w:space="0" w:color="auto"/>
          </w:divBdr>
        </w:div>
        <w:div w:id="1666979170">
          <w:marLeft w:val="0"/>
          <w:marRight w:val="0"/>
          <w:marTop w:val="0"/>
          <w:marBottom w:val="0"/>
          <w:divBdr>
            <w:top w:val="none" w:sz="0" w:space="0" w:color="auto"/>
            <w:left w:val="none" w:sz="0" w:space="0" w:color="auto"/>
            <w:bottom w:val="none" w:sz="0" w:space="0" w:color="auto"/>
            <w:right w:val="none" w:sz="0" w:space="0" w:color="auto"/>
          </w:divBdr>
        </w:div>
        <w:div w:id="1381517723">
          <w:marLeft w:val="0"/>
          <w:marRight w:val="0"/>
          <w:marTop w:val="0"/>
          <w:marBottom w:val="0"/>
          <w:divBdr>
            <w:top w:val="none" w:sz="0" w:space="0" w:color="auto"/>
            <w:left w:val="none" w:sz="0" w:space="0" w:color="auto"/>
            <w:bottom w:val="none" w:sz="0" w:space="0" w:color="auto"/>
            <w:right w:val="none" w:sz="0" w:space="0" w:color="auto"/>
          </w:divBdr>
        </w:div>
        <w:div w:id="1577474810">
          <w:marLeft w:val="0"/>
          <w:marRight w:val="0"/>
          <w:marTop w:val="0"/>
          <w:marBottom w:val="0"/>
          <w:divBdr>
            <w:top w:val="none" w:sz="0" w:space="0" w:color="auto"/>
            <w:left w:val="none" w:sz="0" w:space="0" w:color="auto"/>
            <w:bottom w:val="none" w:sz="0" w:space="0" w:color="auto"/>
            <w:right w:val="none" w:sz="0" w:space="0" w:color="auto"/>
          </w:divBdr>
        </w:div>
        <w:div w:id="1252007786">
          <w:marLeft w:val="0"/>
          <w:marRight w:val="0"/>
          <w:marTop w:val="0"/>
          <w:marBottom w:val="0"/>
          <w:divBdr>
            <w:top w:val="none" w:sz="0" w:space="0" w:color="auto"/>
            <w:left w:val="none" w:sz="0" w:space="0" w:color="auto"/>
            <w:bottom w:val="none" w:sz="0" w:space="0" w:color="auto"/>
            <w:right w:val="none" w:sz="0" w:space="0" w:color="auto"/>
          </w:divBdr>
        </w:div>
        <w:div w:id="1199968426">
          <w:marLeft w:val="0"/>
          <w:marRight w:val="0"/>
          <w:marTop w:val="0"/>
          <w:marBottom w:val="0"/>
          <w:divBdr>
            <w:top w:val="none" w:sz="0" w:space="0" w:color="auto"/>
            <w:left w:val="none" w:sz="0" w:space="0" w:color="auto"/>
            <w:bottom w:val="none" w:sz="0" w:space="0" w:color="auto"/>
            <w:right w:val="none" w:sz="0" w:space="0" w:color="auto"/>
          </w:divBdr>
        </w:div>
        <w:div w:id="1402562108">
          <w:marLeft w:val="0"/>
          <w:marRight w:val="0"/>
          <w:marTop w:val="0"/>
          <w:marBottom w:val="0"/>
          <w:divBdr>
            <w:top w:val="none" w:sz="0" w:space="0" w:color="auto"/>
            <w:left w:val="none" w:sz="0" w:space="0" w:color="auto"/>
            <w:bottom w:val="none" w:sz="0" w:space="0" w:color="auto"/>
            <w:right w:val="none" w:sz="0" w:space="0" w:color="auto"/>
          </w:divBdr>
        </w:div>
        <w:div w:id="662469768">
          <w:marLeft w:val="0"/>
          <w:marRight w:val="0"/>
          <w:marTop w:val="0"/>
          <w:marBottom w:val="0"/>
          <w:divBdr>
            <w:top w:val="none" w:sz="0" w:space="0" w:color="auto"/>
            <w:left w:val="none" w:sz="0" w:space="0" w:color="auto"/>
            <w:bottom w:val="none" w:sz="0" w:space="0" w:color="auto"/>
            <w:right w:val="none" w:sz="0" w:space="0" w:color="auto"/>
          </w:divBdr>
        </w:div>
        <w:div w:id="557861449">
          <w:marLeft w:val="0"/>
          <w:marRight w:val="0"/>
          <w:marTop w:val="0"/>
          <w:marBottom w:val="0"/>
          <w:divBdr>
            <w:top w:val="none" w:sz="0" w:space="0" w:color="auto"/>
            <w:left w:val="none" w:sz="0" w:space="0" w:color="auto"/>
            <w:bottom w:val="none" w:sz="0" w:space="0" w:color="auto"/>
            <w:right w:val="none" w:sz="0" w:space="0" w:color="auto"/>
          </w:divBdr>
        </w:div>
        <w:div w:id="1923222905">
          <w:marLeft w:val="0"/>
          <w:marRight w:val="0"/>
          <w:marTop w:val="0"/>
          <w:marBottom w:val="0"/>
          <w:divBdr>
            <w:top w:val="none" w:sz="0" w:space="0" w:color="auto"/>
            <w:left w:val="none" w:sz="0" w:space="0" w:color="auto"/>
            <w:bottom w:val="none" w:sz="0" w:space="0" w:color="auto"/>
            <w:right w:val="none" w:sz="0" w:space="0" w:color="auto"/>
          </w:divBdr>
        </w:div>
        <w:div w:id="1914046950">
          <w:marLeft w:val="0"/>
          <w:marRight w:val="0"/>
          <w:marTop w:val="0"/>
          <w:marBottom w:val="0"/>
          <w:divBdr>
            <w:top w:val="none" w:sz="0" w:space="0" w:color="auto"/>
            <w:left w:val="none" w:sz="0" w:space="0" w:color="auto"/>
            <w:bottom w:val="none" w:sz="0" w:space="0" w:color="auto"/>
            <w:right w:val="none" w:sz="0" w:space="0" w:color="auto"/>
          </w:divBdr>
        </w:div>
        <w:div w:id="1279406962">
          <w:marLeft w:val="0"/>
          <w:marRight w:val="0"/>
          <w:marTop w:val="0"/>
          <w:marBottom w:val="0"/>
          <w:divBdr>
            <w:top w:val="none" w:sz="0" w:space="0" w:color="auto"/>
            <w:left w:val="none" w:sz="0" w:space="0" w:color="auto"/>
            <w:bottom w:val="none" w:sz="0" w:space="0" w:color="auto"/>
            <w:right w:val="none" w:sz="0" w:space="0" w:color="auto"/>
          </w:divBdr>
        </w:div>
        <w:div w:id="950278492">
          <w:marLeft w:val="0"/>
          <w:marRight w:val="0"/>
          <w:marTop w:val="0"/>
          <w:marBottom w:val="0"/>
          <w:divBdr>
            <w:top w:val="none" w:sz="0" w:space="0" w:color="auto"/>
            <w:left w:val="none" w:sz="0" w:space="0" w:color="auto"/>
            <w:bottom w:val="none" w:sz="0" w:space="0" w:color="auto"/>
            <w:right w:val="none" w:sz="0" w:space="0" w:color="auto"/>
          </w:divBdr>
        </w:div>
        <w:div w:id="17133395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teacher-network/teacher-blog/2012/nov/15/mathematics-crosscurricular-appeal" TargetMode="External"/><Relationship Id="rId5" Type="http://schemas.openxmlformats.org/officeDocument/2006/relationships/hyperlink" Target="https://www.estyn.gov.wales/provider/6703303" TargetMode="External"/><Relationship Id="rId4" Type="http://schemas.openxmlformats.org/officeDocument/2006/relationships/hyperlink" Target="http://www.educationengland.org.uk/documents/cockcroft/cockcroft198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2885</Words>
  <Characters>16448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dc:creator>
  <cp:keywords/>
  <dc:description/>
  <cp:lastModifiedBy>Becky</cp:lastModifiedBy>
  <cp:revision>1</cp:revision>
  <dcterms:created xsi:type="dcterms:W3CDTF">2018-01-07T14:47:00Z</dcterms:created>
  <dcterms:modified xsi:type="dcterms:W3CDTF">2018-01-07T14:48:00Z</dcterms:modified>
</cp:coreProperties>
</file>