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2D295F" w14:textId="36492584" w:rsidR="00FE038E" w:rsidRDefault="00FE038E" w:rsidP="00333AC3">
      <w:pPr>
        <w:jc w:val="both"/>
      </w:pPr>
      <w:r>
        <w:rPr>
          <w:b/>
          <w:bCs/>
        </w:rPr>
        <w:t>Student name:</w:t>
      </w:r>
      <w:r>
        <w:rPr>
          <w:b/>
          <w:bCs/>
        </w:rPr>
        <w:tab/>
      </w:r>
      <w:r>
        <w:rPr>
          <w:b/>
          <w:bCs/>
        </w:rPr>
        <w:tab/>
      </w:r>
      <w:r>
        <w:t>Shazan Begum</w:t>
      </w:r>
    </w:p>
    <w:p w14:paraId="2F310ADA" w14:textId="2E20B156" w:rsidR="00FE038E" w:rsidRPr="00FE038E" w:rsidRDefault="00FE038E" w:rsidP="00333AC3">
      <w:pPr>
        <w:jc w:val="both"/>
      </w:pPr>
      <w:r w:rsidRPr="00FE038E">
        <w:rPr>
          <w:b/>
          <w:bCs/>
        </w:rPr>
        <w:t>Student ID:</w:t>
      </w:r>
      <w:r>
        <w:tab/>
      </w:r>
      <w:r>
        <w:tab/>
        <w:t>1712823</w:t>
      </w:r>
    </w:p>
    <w:p w14:paraId="6E32D4CD" w14:textId="727F5AB5" w:rsidR="001A2D88" w:rsidRPr="00FE038E" w:rsidRDefault="00FE038E" w:rsidP="00333AC3">
      <w:pPr>
        <w:jc w:val="both"/>
      </w:pPr>
      <w:r>
        <w:rPr>
          <w:b/>
          <w:bCs/>
        </w:rPr>
        <w:t>Module Tittle:</w:t>
      </w:r>
      <w:r>
        <w:rPr>
          <w:b/>
          <w:bCs/>
        </w:rPr>
        <w:tab/>
      </w:r>
      <w:r>
        <w:rPr>
          <w:b/>
          <w:bCs/>
        </w:rPr>
        <w:tab/>
      </w:r>
      <w:r w:rsidR="008C5C5E" w:rsidRPr="00FE038E">
        <w:t xml:space="preserve">Banking Financial </w:t>
      </w:r>
      <w:r w:rsidR="002A58E3">
        <w:t>M</w:t>
      </w:r>
      <w:r w:rsidR="008C5C5E" w:rsidRPr="00FE038E">
        <w:t xml:space="preserve">anagement &amp; Financial Markets </w:t>
      </w:r>
    </w:p>
    <w:p w14:paraId="1F9CA6CA" w14:textId="373FF39B" w:rsidR="008C5C5E" w:rsidRDefault="00FE038E" w:rsidP="00333AC3">
      <w:pPr>
        <w:jc w:val="both"/>
      </w:pPr>
      <w:r w:rsidRPr="00FE038E">
        <w:rPr>
          <w:b/>
          <w:bCs/>
        </w:rPr>
        <w:t>Module code:</w:t>
      </w:r>
      <w:r>
        <w:tab/>
      </w:r>
      <w:r>
        <w:tab/>
      </w:r>
      <w:r w:rsidR="008C5C5E">
        <w:t>LCMB 7012</w:t>
      </w:r>
    </w:p>
    <w:p w14:paraId="2B71401A" w14:textId="4EF0C9D6" w:rsidR="00FE038E" w:rsidRDefault="00FE038E" w:rsidP="00333AC3">
      <w:pPr>
        <w:jc w:val="both"/>
      </w:pPr>
      <w:r w:rsidRPr="00FE038E">
        <w:rPr>
          <w:b/>
          <w:bCs/>
        </w:rPr>
        <w:t>Lecturers Name:</w:t>
      </w:r>
      <w:r>
        <w:rPr>
          <w:b/>
          <w:bCs/>
        </w:rPr>
        <w:tab/>
      </w:r>
      <w:r w:rsidR="0034537B">
        <w:t>Konstantina Mari</w:t>
      </w:r>
    </w:p>
    <w:p w14:paraId="067BE559" w14:textId="22A55819" w:rsidR="002A58E3" w:rsidRDefault="002A58E3" w:rsidP="00333AC3">
      <w:pPr>
        <w:jc w:val="both"/>
      </w:pPr>
    </w:p>
    <w:p w14:paraId="3C3179FE" w14:textId="5121E6FB" w:rsidR="002A58E3" w:rsidRDefault="002A58E3" w:rsidP="00333AC3">
      <w:pPr>
        <w:jc w:val="both"/>
      </w:pPr>
    </w:p>
    <w:p w14:paraId="1CA6FFA1" w14:textId="4DA9922A" w:rsidR="002A58E3" w:rsidRDefault="002A58E3" w:rsidP="00333AC3">
      <w:pPr>
        <w:jc w:val="both"/>
      </w:pPr>
    </w:p>
    <w:p w14:paraId="7D592474" w14:textId="5FD8761E" w:rsidR="002A58E3" w:rsidRDefault="002A58E3" w:rsidP="00333AC3">
      <w:pPr>
        <w:jc w:val="both"/>
      </w:pPr>
    </w:p>
    <w:p w14:paraId="0E384008" w14:textId="77777777" w:rsidR="002A58E3" w:rsidRPr="00FE038E" w:rsidRDefault="002A58E3" w:rsidP="00333AC3">
      <w:pPr>
        <w:jc w:val="both"/>
        <w:rPr>
          <w:b/>
          <w:bCs/>
        </w:rPr>
      </w:pPr>
    </w:p>
    <w:p w14:paraId="2325DBB0" w14:textId="77777777" w:rsidR="00FE038E" w:rsidRDefault="00FE038E" w:rsidP="00885691">
      <w:pPr>
        <w:pStyle w:val="Heading1"/>
      </w:pPr>
    </w:p>
    <w:sdt>
      <w:sdtPr>
        <w:rPr>
          <w:rFonts w:asciiTheme="minorHAnsi" w:eastAsiaTheme="minorHAnsi" w:hAnsiTheme="minorHAnsi" w:cstheme="minorBidi"/>
          <w:color w:val="auto"/>
          <w:sz w:val="22"/>
          <w:szCs w:val="22"/>
          <w:lang w:val="en-GB"/>
        </w:rPr>
        <w:id w:val="-759982596"/>
        <w:docPartObj>
          <w:docPartGallery w:val="Table of Contents"/>
          <w:docPartUnique/>
        </w:docPartObj>
      </w:sdtPr>
      <w:sdtEndPr>
        <w:rPr>
          <w:b/>
          <w:bCs/>
          <w:noProof/>
        </w:rPr>
      </w:sdtEndPr>
      <w:sdtContent>
        <w:p w14:paraId="53589041" w14:textId="255BB03D" w:rsidR="00F875AE" w:rsidRDefault="00F875AE">
          <w:pPr>
            <w:pStyle w:val="TOCHeading"/>
          </w:pPr>
          <w:r>
            <w:t>Table of Contents</w:t>
          </w:r>
        </w:p>
        <w:p w14:paraId="2FC8F5E9" w14:textId="083BCB88" w:rsidR="00F875AE" w:rsidRDefault="00F875AE">
          <w:pPr>
            <w:pStyle w:val="TOC1"/>
            <w:tabs>
              <w:tab w:val="right" w:leader="dot" w:pos="9016"/>
            </w:tabs>
            <w:rPr>
              <w:noProof/>
            </w:rPr>
          </w:pPr>
          <w:r>
            <w:fldChar w:fldCharType="begin"/>
          </w:r>
          <w:r>
            <w:instrText xml:space="preserve"> TOC \o "1-3" \h \z \u </w:instrText>
          </w:r>
          <w:r>
            <w:fldChar w:fldCharType="separate"/>
          </w:r>
          <w:hyperlink w:anchor="_Toc92570873" w:history="1">
            <w:r w:rsidRPr="00F3230D">
              <w:rPr>
                <w:rStyle w:val="Hyperlink"/>
                <w:noProof/>
              </w:rPr>
              <w:t>Introduction</w:t>
            </w:r>
            <w:r>
              <w:rPr>
                <w:noProof/>
                <w:webHidden/>
              </w:rPr>
              <w:tab/>
            </w:r>
            <w:r>
              <w:rPr>
                <w:noProof/>
                <w:webHidden/>
              </w:rPr>
              <w:fldChar w:fldCharType="begin"/>
            </w:r>
            <w:r>
              <w:rPr>
                <w:noProof/>
                <w:webHidden/>
              </w:rPr>
              <w:instrText xml:space="preserve"> PAGEREF _Toc92570873 \h </w:instrText>
            </w:r>
            <w:r>
              <w:rPr>
                <w:noProof/>
                <w:webHidden/>
              </w:rPr>
            </w:r>
            <w:r>
              <w:rPr>
                <w:noProof/>
                <w:webHidden/>
              </w:rPr>
              <w:fldChar w:fldCharType="separate"/>
            </w:r>
            <w:r>
              <w:rPr>
                <w:noProof/>
                <w:webHidden/>
              </w:rPr>
              <w:t>1</w:t>
            </w:r>
            <w:r>
              <w:rPr>
                <w:noProof/>
                <w:webHidden/>
              </w:rPr>
              <w:fldChar w:fldCharType="end"/>
            </w:r>
          </w:hyperlink>
        </w:p>
        <w:p w14:paraId="4B8EA590" w14:textId="49F096F2" w:rsidR="00F875AE" w:rsidRDefault="002C4D3F">
          <w:pPr>
            <w:pStyle w:val="TOC1"/>
            <w:tabs>
              <w:tab w:val="right" w:leader="dot" w:pos="9016"/>
            </w:tabs>
            <w:rPr>
              <w:noProof/>
            </w:rPr>
          </w:pPr>
          <w:hyperlink w:anchor="_Toc92570874" w:history="1">
            <w:r w:rsidR="00F875AE" w:rsidRPr="00F3230D">
              <w:rPr>
                <w:rStyle w:val="Hyperlink"/>
                <w:noProof/>
              </w:rPr>
              <w:t>Lloyds Banking Group</w:t>
            </w:r>
            <w:r w:rsidR="00F875AE">
              <w:rPr>
                <w:noProof/>
                <w:webHidden/>
              </w:rPr>
              <w:tab/>
            </w:r>
            <w:r w:rsidR="00F875AE">
              <w:rPr>
                <w:noProof/>
                <w:webHidden/>
              </w:rPr>
              <w:fldChar w:fldCharType="begin"/>
            </w:r>
            <w:r w:rsidR="00F875AE">
              <w:rPr>
                <w:noProof/>
                <w:webHidden/>
              </w:rPr>
              <w:instrText xml:space="preserve"> PAGEREF _Toc92570874 \h </w:instrText>
            </w:r>
            <w:r w:rsidR="00F875AE">
              <w:rPr>
                <w:noProof/>
                <w:webHidden/>
              </w:rPr>
            </w:r>
            <w:r w:rsidR="00F875AE">
              <w:rPr>
                <w:noProof/>
                <w:webHidden/>
              </w:rPr>
              <w:fldChar w:fldCharType="separate"/>
            </w:r>
            <w:r w:rsidR="00F875AE">
              <w:rPr>
                <w:noProof/>
                <w:webHidden/>
              </w:rPr>
              <w:t>1</w:t>
            </w:r>
            <w:r w:rsidR="00F875AE">
              <w:rPr>
                <w:noProof/>
                <w:webHidden/>
              </w:rPr>
              <w:fldChar w:fldCharType="end"/>
            </w:r>
          </w:hyperlink>
        </w:p>
        <w:p w14:paraId="3A726ED0" w14:textId="4FA76F87" w:rsidR="00F875AE" w:rsidRDefault="002C4D3F">
          <w:pPr>
            <w:pStyle w:val="TOC1"/>
            <w:tabs>
              <w:tab w:val="right" w:leader="dot" w:pos="9016"/>
            </w:tabs>
            <w:rPr>
              <w:noProof/>
            </w:rPr>
          </w:pPr>
          <w:hyperlink w:anchor="_Toc92570875" w:history="1">
            <w:r w:rsidR="00F875AE" w:rsidRPr="00F3230D">
              <w:rPr>
                <w:rStyle w:val="Hyperlink"/>
                <w:noProof/>
              </w:rPr>
              <w:t>Leading to the 2007-2008 Financial crisis.</w:t>
            </w:r>
            <w:r w:rsidR="00F875AE">
              <w:rPr>
                <w:noProof/>
                <w:webHidden/>
              </w:rPr>
              <w:tab/>
            </w:r>
            <w:r w:rsidR="00F875AE">
              <w:rPr>
                <w:noProof/>
                <w:webHidden/>
              </w:rPr>
              <w:fldChar w:fldCharType="begin"/>
            </w:r>
            <w:r w:rsidR="00F875AE">
              <w:rPr>
                <w:noProof/>
                <w:webHidden/>
              </w:rPr>
              <w:instrText xml:space="preserve"> PAGEREF _Toc92570875 \h </w:instrText>
            </w:r>
            <w:r w:rsidR="00F875AE">
              <w:rPr>
                <w:noProof/>
                <w:webHidden/>
              </w:rPr>
            </w:r>
            <w:r w:rsidR="00F875AE">
              <w:rPr>
                <w:noProof/>
                <w:webHidden/>
              </w:rPr>
              <w:fldChar w:fldCharType="separate"/>
            </w:r>
            <w:r w:rsidR="00F875AE">
              <w:rPr>
                <w:noProof/>
                <w:webHidden/>
              </w:rPr>
              <w:t>2</w:t>
            </w:r>
            <w:r w:rsidR="00F875AE">
              <w:rPr>
                <w:noProof/>
                <w:webHidden/>
              </w:rPr>
              <w:fldChar w:fldCharType="end"/>
            </w:r>
          </w:hyperlink>
        </w:p>
        <w:p w14:paraId="5311F1CF" w14:textId="2A2760F7" w:rsidR="00F875AE" w:rsidRDefault="002C4D3F">
          <w:pPr>
            <w:pStyle w:val="TOC1"/>
            <w:tabs>
              <w:tab w:val="right" w:leader="dot" w:pos="9016"/>
            </w:tabs>
            <w:rPr>
              <w:noProof/>
            </w:rPr>
          </w:pPr>
          <w:hyperlink w:anchor="_Toc92570876" w:history="1">
            <w:r w:rsidR="00F875AE" w:rsidRPr="00F3230D">
              <w:rPr>
                <w:rStyle w:val="Hyperlink"/>
                <w:noProof/>
              </w:rPr>
              <w:t>Regulations and laws introduced pre and post financial crisis.</w:t>
            </w:r>
            <w:r w:rsidR="00F875AE">
              <w:rPr>
                <w:noProof/>
                <w:webHidden/>
              </w:rPr>
              <w:tab/>
            </w:r>
            <w:r w:rsidR="00F875AE">
              <w:rPr>
                <w:noProof/>
                <w:webHidden/>
              </w:rPr>
              <w:fldChar w:fldCharType="begin"/>
            </w:r>
            <w:r w:rsidR="00F875AE">
              <w:rPr>
                <w:noProof/>
                <w:webHidden/>
              </w:rPr>
              <w:instrText xml:space="preserve"> PAGEREF _Toc92570876 \h </w:instrText>
            </w:r>
            <w:r w:rsidR="00F875AE">
              <w:rPr>
                <w:noProof/>
                <w:webHidden/>
              </w:rPr>
            </w:r>
            <w:r w:rsidR="00F875AE">
              <w:rPr>
                <w:noProof/>
                <w:webHidden/>
              </w:rPr>
              <w:fldChar w:fldCharType="separate"/>
            </w:r>
            <w:r w:rsidR="00F875AE">
              <w:rPr>
                <w:noProof/>
                <w:webHidden/>
              </w:rPr>
              <w:t>4</w:t>
            </w:r>
            <w:r w:rsidR="00F875AE">
              <w:rPr>
                <w:noProof/>
                <w:webHidden/>
              </w:rPr>
              <w:fldChar w:fldCharType="end"/>
            </w:r>
          </w:hyperlink>
        </w:p>
        <w:p w14:paraId="727680A4" w14:textId="5DB4D424" w:rsidR="00F875AE" w:rsidRDefault="002C4D3F">
          <w:pPr>
            <w:pStyle w:val="TOC2"/>
            <w:tabs>
              <w:tab w:val="right" w:leader="dot" w:pos="9016"/>
            </w:tabs>
            <w:rPr>
              <w:noProof/>
            </w:rPr>
          </w:pPr>
          <w:hyperlink w:anchor="_Toc92570877" w:history="1">
            <w:r w:rsidR="00F875AE" w:rsidRPr="00F3230D">
              <w:rPr>
                <w:rStyle w:val="Hyperlink"/>
                <w:noProof/>
              </w:rPr>
              <w:t>Basel I Accord</w:t>
            </w:r>
            <w:r w:rsidR="00F875AE">
              <w:rPr>
                <w:noProof/>
                <w:webHidden/>
              </w:rPr>
              <w:tab/>
            </w:r>
            <w:r w:rsidR="00F875AE">
              <w:rPr>
                <w:noProof/>
                <w:webHidden/>
              </w:rPr>
              <w:fldChar w:fldCharType="begin"/>
            </w:r>
            <w:r w:rsidR="00F875AE">
              <w:rPr>
                <w:noProof/>
                <w:webHidden/>
              </w:rPr>
              <w:instrText xml:space="preserve"> PAGEREF _Toc92570877 \h </w:instrText>
            </w:r>
            <w:r w:rsidR="00F875AE">
              <w:rPr>
                <w:noProof/>
                <w:webHidden/>
              </w:rPr>
            </w:r>
            <w:r w:rsidR="00F875AE">
              <w:rPr>
                <w:noProof/>
                <w:webHidden/>
              </w:rPr>
              <w:fldChar w:fldCharType="separate"/>
            </w:r>
            <w:r w:rsidR="00F875AE">
              <w:rPr>
                <w:noProof/>
                <w:webHidden/>
              </w:rPr>
              <w:t>5</w:t>
            </w:r>
            <w:r w:rsidR="00F875AE">
              <w:rPr>
                <w:noProof/>
                <w:webHidden/>
              </w:rPr>
              <w:fldChar w:fldCharType="end"/>
            </w:r>
          </w:hyperlink>
        </w:p>
        <w:p w14:paraId="473209BD" w14:textId="3BC2DBF9" w:rsidR="00F875AE" w:rsidRDefault="002C4D3F">
          <w:pPr>
            <w:pStyle w:val="TOC2"/>
            <w:tabs>
              <w:tab w:val="right" w:leader="dot" w:pos="9016"/>
            </w:tabs>
            <w:rPr>
              <w:noProof/>
            </w:rPr>
          </w:pPr>
          <w:hyperlink w:anchor="_Toc92570878" w:history="1">
            <w:r w:rsidR="00F875AE" w:rsidRPr="00F3230D">
              <w:rPr>
                <w:rStyle w:val="Hyperlink"/>
                <w:noProof/>
              </w:rPr>
              <w:t>Basel II</w:t>
            </w:r>
            <w:r w:rsidR="00F875AE">
              <w:rPr>
                <w:noProof/>
                <w:webHidden/>
              </w:rPr>
              <w:tab/>
            </w:r>
            <w:r w:rsidR="00F875AE">
              <w:rPr>
                <w:noProof/>
                <w:webHidden/>
              </w:rPr>
              <w:fldChar w:fldCharType="begin"/>
            </w:r>
            <w:r w:rsidR="00F875AE">
              <w:rPr>
                <w:noProof/>
                <w:webHidden/>
              </w:rPr>
              <w:instrText xml:space="preserve"> PAGEREF _Toc92570878 \h </w:instrText>
            </w:r>
            <w:r w:rsidR="00F875AE">
              <w:rPr>
                <w:noProof/>
                <w:webHidden/>
              </w:rPr>
            </w:r>
            <w:r w:rsidR="00F875AE">
              <w:rPr>
                <w:noProof/>
                <w:webHidden/>
              </w:rPr>
              <w:fldChar w:fldCharType="separate"/>
            </w:r>
            <w:r w:rsidR="00F875AE">
              <w:rPr>
                <w:noProof/>
                <w:webHidden/>
              </w:rPr>
              <w:t>6</w:t>
            </w:r>
            <w:r w:rsidR="00F875AE">
              <w:rPr>
                <w:noProof/>
                <w:webHidden/>
              </w:rPr>
              <w:fldChar w:fldCharType="end"/>
            </w:r>
          </w:hyperlink>
        </w:p>
        <w:p w14:paraId="65AC82BB" w14:textId="5451616B" w:rsidR="00F875AE" w:rsidRDefault="002C4D3F">
          <w:pPr>
            <w:pStyle w:val="TOC2"/>
            <w:tabs>
              <w:tab w:val="right" w:leader="dot" w:pos="9016"/>
            </w:tabs>
            <w:rPr>
              <w:noProof/>
            </w:rPr>
          </w:pPr>
          <w:hyperlink w:anchor="_Toc92570879" w:history="1">
            <w:r w:rsidR="00F875AE" w:rsidRPr="00F3230D">
              <w:rPr>
                <w:rStyle w:val="Hyperlink"/>
                <w:noProof/>
              </w:rPr>
              <w:t>Basel 2.5 Reform</w:t>
            </w:r>
            <w:r w:rsidR="00F875AE">
              <w:rPr>
                <w:noProof/>
                <w:webHidden/>
              </w:rPr>
              <w:tab/>
            </w:r>
            <w:r w:rsidR="00F875AE">
              <w:rPr>
                <w:noProof/>
                <w:webHidden/>
              </w:rPr>
              <w:fldChar w:fldCharType="begin"/>
            </w:r>
            <w:r w:rsidR="00F875AE">
              <w:rPr>
                <w:noProof/>
                <w:webHidden/>
              </w:rPr>
              <w:instrText xml:space="preserve"> PAGEREF _Toc92570879 \h </w:instrText>
            </w:r>
            <w:r w:rsidR="00F875AE">
              <w:rPr>
                <w:noProof/>
                <w:webHidden/>
              </w:rPr>
            </w:r>
            <w:r w:rsidR="00F875AE">
              <w:rPr>
                <w:noProof/>
                <w:webHidden/>
              </w:rPr>
              <w:fldChar w:fldCharType="separate"/>
            </w:r>
            <w:r w:rsidR="00F875AE">
              <w:rPr>
                <w:noProof/>
                <w:webHidden/>
              </w:rPr>
              <w:t>6</w:t>
            </w:r>
            <w:r w:rsidR="00F875AE">
              <w:rPr>
                <w:noProof/>
                <w:webHidden/>
              </w:rPr>
              <w:fldChar w:fldCharType="end"/>
            </w:r>
          </w:hyperlink>
        </w:p>
        <w:p w14:paraId="26202F6E" w14:textId="68B76948" w:rsidR="00F875AE" w:rsidRDefault="002C4D3F">
          <w:pPr>
            <w:pStyle w:val="TOC2"/>
            <w:tabs>
              <w:tab w:val="right" w:leader="dot" w:pos="9016"/>
            </w:tabs>
            <w:rPr>
              <w:noProof/>
            </w:rPr>
          </w:pPr>
          <w:hyperlink w:anchor="_Toc92570880" w:history="1">
            <w:r w:rsidR="00F875AE" w:rsidRPr="00F3230D">
              <w:rPr>
                <w:rStyle w:val="Hyperlink"/>
                <w:noProof/>
              </w:rPr>
              <w:t>Basel III</w:t>
            </w:r>
            <w:r w:rsidR="00F875AE">
              <w:rPr>
                <w:noProof/>
                <w:webHidden/>
              </w:rPr>
              <w:tab/>
            </w:r>
            <w:r w:rsidR="00F875AE">
              <w:rPr>
                <w:noProof/>
                <w:webHidden/>
              </w:rPr>
              <w:fldChar w:fldCharType="begin"/>
            </w:r>
            <w:r w:rsidR="00F875AE">
              <w:rPr>
                <w:noProof/>
                <w:webHidden/>
              </w:rPr>
              <w:instrText xml:space="preserve"> PAGEREF _Toc92570880 \h </w:instrText>
            </w:r>
            <w:r w:rsidR="00F875AE">
              <w:rPr>
                <w:noProof/>
                <w:webHidden/>
              </w:rPr>
            </w:r>
            <w:r w:rsidR="00F875AE">
              <w:rPr>
                <w:noProof/>
                <w:webHidden/>
              </w:rPr>
              <w:fldChar w:fldCharType="separate"/>
            </w:r>
            <w:r w:rsidR="00F875AE">
              <w:rPr>
                <w:noProof/>
                <w:webHidden/>
              </w:rPr>
              <w:t>7</w:t>
            </w:r>
            <w:r w:rsidR="00F875AE">
              <w:rPr>
                <w:noProof/>
                <w:webHidden/>
              </w:rPr>
              <w:fldChar w:fldCharType="end"/>
            </w:r>
          </w:hyperlink>
        </w:p>
        <w:p w14:paraId="3BC84D3A" w14:textId="404B3540" w:rsidR="00F875AE" w:rsidRDefault="002C4D3F">
          <w:pPr>
            <w:pStyle w:val="TOC2"/>
            <w:tabs>
              <w:tab w:val="right" w:leader="dot" w:pos="9016"/>
            </w:tabs>
            <w:rPr>
              <w:noProof/>
            </w:rPr>
          </w:pPr>
          <w:hyperlink w:anchor="_Toc92570881" w:history="1">
            <w:r w:rsidR="00F875AE" w:rsidRPr="00F3230D">
              <w:rPr>
                <w:rStyle w:val="Hyperlink"/>
                <w:noProof/>
              </w:rPr>
              <w:t>Dodd-Frank Regulation</w:t>
            </w:r>
            <w:r w:rsidR="00F875AE">
              <w:rPr>
                <w:noProof/>
                <w:webHidden/>
              </w:rPr>
              <w:tab/>
            </w:r>
            <w:r w:rsidR="00F875AE">
              <w:rPr>
                <w:noProof/>
                <w:webHidden/>
              </w:rPr>
              <w:fldChar w:fldCharType="begin"/>
            </w:r>
            <w:r w:rsidR="00F875AE">
              <w:rPr>
                <w:noProof/>
                <w:webHidden/>
              </w:rPr>
              <w:instrText xml:space="preserve"> PAGEREF _Toc92570881 \h </w:instrText>
            </w:r>
            <w:r w:rsidR="00F875AE">
              <w:rPr>
                <w:noProof/>
                <w:webHidden/>
              </w:rPr>
            </w:r>
            <w:r w:rsidR="00F875AE">
              <w:rPr>
                <w:noProof/>
                <w:webHidden/>
              </w:rPr>
              <w:fldChar w:fldCharType="separate"/>
            </w:r>
            <w:r w:rsidR="00F875AE">
              <w:rPr>
                <w:noProof/>
                <w:webHidden/>
              </w:rPr>
              <w:t>9</w:t>
            </w:r>
            <w:r w:rsidR="00F875AE">
              <w:rPr>
                <w:noProof/>
                <w:webHidden/>
              </w:rPr>
              <w:fldChar w:fldCharType="end"/>
            </w:r>
          </w:hyperlink>
        </w:p>
        <w:p w14:paraId="0E4781BD" w14:textId="05472D50" w:rsidR="00F875AE" w:rsidRDefault="002C4D3F">
          <w:pPr>
            <w:pStyle w:val="TOC1"/>
            <w:tabs>
              <w:tab w:val="right" w:leader="dot" w:pos="9016"/>
            </w:tabs>
            <w:rPr>
              <w:noProof/>
            </w:rPr>
          </w:pPr>
          <w:hyperlink w:anchor="_Toc92570882" w:history="1">
            <w:r w:rsidR="00F875AE" w:rsidRPr="00F3230D">
              <w:rPr>
                <w:rStyle w:val="Hyperlink"/>
                <w:noProof/>
              </w:rPr>
              <w:t>A critical review of the financial system and the banking institutions post 2008 crisis.</w:t>
            </w:r>
            <w:r w:rsidR="00F875AE">
              <w:rPr>
                <w:noProof/>
                <w:webHidden/>
              </w:rPr>
              <w:tab/>
            </w:r>
            <w:r w:rsidR="00F875AE">
              <w:rPr>
                <w:noProof/>
                <w:webHidden/>
              </w:rPr>
              <w:fldChar w:fldCharType="begin"/>
            </w:r>
            <w:r w:rsidR="00F875AE">
              <w:rPr>
                <w:noProof/>
                <w:webHidden/>
              </w:rPr>
              <w:instrText xml:space="preserve"> PAGEREF _Toc92570882 \h </w:instrText>
            </w:r>
            <w:r w:rsidR="00F875AE">
              <w:rPr>
                <w:noProof/>
                <w:webHidden/>
              </w:rPr>
            </w:r>
            <w:r w:rsidR="00F875AE">
              <w:rPr>
                <w:noProof/>
                <w:webHidden/>
              </w:rPr>
              <w:fldChar w:fldCharType="separate"/>
            </w:r>
            <w:r w:rsidR="00F875AE">
              <w:rPr>
                <w:noProof/>
                <w:webHidden/>
              </w:rPr>
              <w:t>10</w:t>
            </w:r>
            <w:r w:rsidR="00F875AE">
              <w:rPr>
                <w:noProof/>
                <w:webHidden/>
              </w:rPr>
              <w:fldChar w:fldCharType="end"/>
            </w:r>
          </w:hyperlink>
        </w:p>
        <w:p w14:paraId="6848F711" w14:textId="4B98C353" w:rsidR="00F875AE" w:rsidRDefault="002C4D3F">
          <w:pPr>
            <w:pStyle w:val="TOC1"/>
            <w:tabs>
              <w:tab w:val="right" w:leader="dot" w:pos="9016"/>
            </w:tabs>
            <w:rPr>
              <w:noProof/>
            </w:rPr>
          </w:pPr>
          <w:hyperlink w:anchor="_Toc92570883" w:history="1">
            <w:r w:rsidR="00F875AE" w:rsidRPr="00F3230D">
              <w:rPr>
                <w:rStyle w:val="Hyperlink"/>
                <w:noProof/>
              </w:rPr>
              <w:t>Impact of the reforms and level of compliance in Lloyds Banking Group.</w:t>
            </w:r>
            <w:r w:rsidR="00F875AE">
              <w:rPr>
                <w:noProof/>
                <w:webHidden/>
              </w:rPr>
              <w:tab/>
            </w:r>
            <w:r w:rsidR="00F875AE">
              <w:rPr>
                <w:noProof/>
                <w:webHidden/>
              </w:rPr>
              <w:fldChar w:fldCharType="begin"/>
            </w:r>
            <w:r w:rsidR="00F875AE">
              <w:rPr>
                <w:noProof/>
                <w:webHidden/>
              </w:rPr>
              <w:instrText xml:space="preserve"> PAGEREF _Toc92570883 \h </w:instrText>
            </w:r>
            <w:r w:rsidR="00F875AE">
              <w:rPr>
                <w:noProof/>
                <w:webHidden/>
              </w:rPr>
            </w:r>
            <w:r w:rsidR="00F875AE">
              <w:rPr>
                <w:noProof/>
                <w:webHidden/>
              </w:rPr>
              <w:fldChar w:fldCharType="separate"/>
            </w:r>
            <w:r w:rsidR="00F875AE">
              <w:rPr>
                <w:noProof/>
                <w:webHidden/>
              </w:rPr>
              <w:t>12</w:t>
            </w:r>
            <w:r w:rsidR="00F875AE">
              <w:rPr>
                <w:noProof/>
                <w:webHidden/>
              </w:rPr>
              <w:fldChar w:fldCharType="end"/>
            </w:r>
          </w:hyperlink>
        </w:p>
        <w:p w14:paraId="523B24FC" w14:textId="5C46E279" w:rsidR="00F875AE" w:rsidRDefault="002C4D3F">
          <w:pPr>
            <w:pStyle w:val="TOC1"/>
            <w:tabs>
              <w:tab w:val="right" w:leader="dot" w:pos="9016"/>
            </w:tabs>
            <w:rPr>
              <w:noProof/>
            </w:rPr>
          </w:pPr>
          <w:hyperlink w:anchor="_Toc92570884" w:history="1">
            <w:r w:rsidR="00F875AE" w:rsidRPr="00F3230D">
              <w:rPr>
                <w:rStyle w:val="Hyperlink"/>
                <w:noProof/>
              </w:rPr>
              <w:t>Conclusion</w:t>
            </w:r>
            <w:r w:rsidR="00F875AE">
              <w:rPr>
                <w:noProof/>
                <w:webHidden/>
              </w:rPr>
              <w:tab/>
            </w:r>
            <w:r w:rsidR="00F875AE">
              <w:rPr>
                <w:noProof/>
                <w:webHidden/>
              </w:rPr>
              <w:fldChar w:fldCharType="begin"/>
            </w:r>
            <w:r w:rsidR="00F875AE">
              <w:rPr>
                <w:noProof/>
                <w:webHidden/>
              </w:rPr>
              <w:instrText xml:space="preserve"> PAGEREF _Toc92570884 \h </w:instrText>
            </w:r>
            <w:r w:rsidR="00F875AE">
              <w:rPr>
                <w:noProof/>
                <w:webHidden/>
              </w:rPr>
            </w:r>
            <w:r w:rsidR="00F875AE">
              <w:rPr>
                <w:noProof/>
                <w:webHidden/>
              </w:rPr>
              <w:fldChar w:fldCharType="separate"/>
            </w:r>
            <w:r w:rsidR="00F875AE">
              <w:rPr>
                <w:noProof/>
                <w:webHidden/>
              </w:rPr>
              <w:t>15</w:t>
            </w:r>
            <w:r w:rsidR="00F875AE">
              <w:rPr>
                <w:noProof/>
                <w:webHidden/>
              </w:rPr>
              <w:fldChar w:fldCharType="end"/>
            </w:r>
          </w:hyperlink>
        </w:p>
        <w:p w14:paraId="4206C145" w14:textId="7FCFB92F" w:rsidR="00F875AE" w:rsidRDefault="002C4D3F">
          <w:pPr>
            <w:pStyle w:val="TOC1"/>
            <w:tabs>
              <w:tab w:val="right" w:leader="dot" w:pos="9016"/>
            </w:tabs>
            <w:rPr>
              <w:noProof/>
            </w:rPr>
          </w:pPr>
          <w:hyperlink w:anchor="_Toc92570885" w:history="1">
            <w:r w:rsidR="00F875AE" w:rsidRPr="00F3230D">
              <w:rPr>
                <w:rStyle w:val="Hyperlink"/>
                <w:noProof/>
              </w:rPr>
              <w:t>Reference</w:t>
            </w:r>
            <w:r w:rsidR="00F875AE">
              <w:rPr>
                <w:noProof/>
                <w:webHidden/>
              </w:rPr>
              <w:tab/>
            </w:r>
            <w:r w:rsidR="00F875AE">
              <w:rPr>
                <w:noProof/>
                <w:webHidden/>
              </w:rPr>
              <w:fldChar w:fldCharType="begin"/>
            </w:r>
            <w:r w:rsidR="00F875AE">
              <w:rPr>
                <w:noProof/>
                <w:webHidden/>
              </w:rPr>
              <w:instrText xml:space="preserve"> PAGEREF _Toc92570885 \h </w:instrText>
            </w:r>
            <w:r w:rsidR="00F875AE">
              <w:rPr>
                <w:noProof/>
                <w:webHidden/>
              </w:rPr>
            </w:r>
            <w:r w:rsidR="00F875AE">
              <w:rPr>
                <w:noProof/>
                <w:webHidden/>
              </w:rPr>
              <w:fldChar w:fldCharType="separate"/>
            </w:r>
            <w:r w:rsidR="00F875AE">
              <w:rPr>
                <w:noProof/>
                <w:webHidden/>
              </w:rPr>
              <w:t>16</w:t>
            </w:r>
            <w:r w:rsidR="00F875AE">
              <w:rPr>
                <w:noProof/>
                <w:webHidden/>
              </w:rPr>
              <w:fldChar w:fldCharType="end"/>
            </w:r>
          </w:hyperlink>
        </w:p>
        <w:p w14:paraId="07A300A2" w14:textId="5F0030C4" w:rsidR="00F875AE" w:rsidRDefault="00F875AE">
          <w:r>
            <w:rPr>
              <w:b/>
              <w:bCs/>
              <w:noProof/>
            </w:rPr>
            <w:fldChar w:fldCharType="end"/>
          </w:r>
        </w:p>
      </w:sdtContent>
    </w:sdt>
    <w:p w14:paraId="0754596E" w14:textId="0D9B5AAD" w:rsidR="008C5C5E" w:rsidRDefault="008C5C5E" w:rsidP="00333AC3">
      <w:pPr>
        <w:jc w:val="both"/>
      </w:pPr>
    </w:p>
    <w:p w14:paraId="1BF25938" w14:textId="3B557FED" w:rsidR="00F875AE" w:rsidRDefault="00F875AE" w:rsidP="00333AC3">
      <w:pPr>
        <w:jc w:val="both"/>
      </w:pPr>
    </w:p>
    <w:p w14:paraId="5A1984FB" w14:textId="3D512B3D" w:rsidR="00F875AE" w:rsidRDefault="00F875AE" w:rsidP="00333AC3">
      <w:pPr>
        <w:jc w:val="both"/>
      </w:pPr>
    </w:p>
    <w:p w14:paraId="6DF4908F" w14:textId="5A204AF1" w:rsidR="00F875AE" w:rsidRDefault="00F875AE" w:rsidP="00333AC3">
      <w:pPr>
        <w:jc w:val="both"/>
      </w:pPr>
    </w:p>
    <w:p w14:paraId="23E7D472" w14:textId="2F49ED2C" w:rsidR="00F875AE" w:rsidRDefault="00F875AE" w:rsidP="00333AC3">
      <w:pPr>
        <w:jc w:val="both"/>
      </w:pPr>
    </w:p>
    <w:p w14:paraId="69BB3BC4" w14:textId="77777777" w:rsidR="002A58E3" w:rsidRDefault="002A58E3" w:rsidP="00333AC3">
      <w:pPr>
        <w:jc w:val="both"/>
      </w:pPr>
    </w:p>
    <w:p w14:paraId="399797BA" w14:textId="6549A288" w:rsidR="008C5C5E" w:rsidRPr="00A219A5" w:rsidRDefault="008C5C5E" w:rsidP="00885691">
      <w:pPr>
        <w:pStyle w:val="Heading1"/>
      </w:pPr>
      <w:bookmarkStart w:id="0" w:name="_Toc92570873"/>
      <w:r w:rsidRPr="00A219A5">
        <w:lastRenderedPageBreak/>
        <w:t>Introduction</w:t>
      </w:r>
      <w:bookmarkEnd w:id="0"/>
      <w:r w:rsidRPr="00A219A5">
        <w:t xml:space="preserve"> </w:t>
      </w:r>
    </w:p>
    <w:p w14:paraId="73DC27C7" w14:textId="5E5035A3" w:rsidR="002D1053" w:rsidRDefault="002D1053" w:rsidP="00333AC3">
      <w:pPr>
        <w:jc w:val="both"/>
      </w:pPr>
      <w:r>
        <w:t>T</w:t>
      </w:r>
      <w:r w:rsidR="00A135F7">
        <w:t>he 2008 financial crises witnessed the collapse of the entire financial system predominantly the developed economies and is believed to have started in 2007 with the real estate market collapse star</w:t>
      </w:r>
      <w:r w:rsidR="00005E58">
        <w:t>t</w:t>
      </w:r>
      <w:r w:rsidR="00A135F7">
        <w:t>ed.</w:t>
      </w:r>
      <w:r w:rsidR="00005E58">
        <w:t xml:space="preserve"> With the spike of the crises delinquencies in the underwritten mortgage was witnessed and had</w:t>
      </w:r>
      <w:r w:rsidR="00E541BE">
        <w:t xml:space="preserve"> led</w:t>
      </w:r>
      <w:r w:rsidR="00005E58">
        <w:t xml:space="preserve"> to serious recession.</w:t>
      </w:r>
      <w:r w:rsidR="00E541BE">
        <w:t xml:space="preserve"> Many central bankers and government advisers decided to flood the market with money, other liquidity and stimulus packages in developed </w:t>
      </w:r>
      <w:r w:rsidR="006A27CF">
        <w:t xml:space="preserve">economies which has resulted to the value of the currencies falling while price of agricultural commodities rising. Several financial institutions had a significant mortgage exposure was diminishing and some were forced to merge with others, some received capital from other investors while others received government </w:t>
      </w:r>
      <w:r w:rsidR="00C73765">
        <w:t>subsidies</w:t>
      </w:r>
      <w:r w:rsidR="006A27CF">
        <w:t xml:space="preserve"> to avoid collapsing.</w:t>
      </w:r>
      <w:r>
        <w:t xml:space="preserve"> To limit the impact of financial crises on the stakeholders involved in these financial institutions several reforms were enacted. </w:t>
      </w:r>
    </w:p>
    <w:p w14:paraId="5E3635EA" w14:textId="2B0A14EF" w:rsidR="00812148" w:rsidRDefault="00812148" w:rsidP="00333AC3">
      <w:pPr>
        <w:jc w:val="both"/>
      </w:pPr>
      <w:r>
        <w:t>The author in this report will identify the key laws, regulations and contracts enacted post the 2008 financial crises by the UK, US, EU authorities and other key players in the financial system. A critical review of the extent to which these reforms have contributed towards stabilising the financial system and the banking institutions post the 2008 crises will be carried out. A public liste</w:t>
      </w:r>
      <w:r w:rsidR="00333AC3">
        <w:t>d company Lloyds Banking Group will be analysed for the extent to which these reforms have had an impact on their business model and the level of compliance to these reforms by the company.</w:t>
      </w:r>
    </w:p>
    <w:p w14:paraId="70D18BC8" w14:textId="77777777" w:rsidR="00B552E0" w:rsidRDefault="00B552E0" w:rsidP="00333AC3">
      <w:pPr>
        <w:jc w:val="both"/>
      </w:pPr>
    </w:p>
    <w:p w14:paraId="6C663AFD" w14:textId="31EC6846" w:rsidR="002D1053" w:rsidRPr="00A219A5" w:rsidRDefault="00B552E0" w:rsidP="00885691">
      <w:pPr>
        <w:pStyle w:val="Heading1"/>
      </w:pPr>
      <w:bookmarkStart w:id="1" w:name="_Toc92570874"/>
      <w:r w:rsidRPr="00A219A5">
        <w:t>Lloyds Banking Group</w:t>
      </w:r>
      <w:bookmarkEnd w:id="1"/>
    </w:p>
    <w:p w14:paraId="10D2F437" w14:textId="5A75DB4F" w:rsidR="001A3B6B" w:rsidRPr="00207C2A" w:rsidRDefault="001A3B6B" w:rsidP="00333AC3">
      <w:pPr>
        <w:jc w:val="both"/>
        <w:rPr>
          <w:rFonts w:cstheme="minorHAnsi"/>
        </w:rPr>
      </w:pPr>
      <w:r w:rsidRPr="00207C2A">
        <w:rPr>
          <w:rFonts w:cstheme="minorHAnsi"/>
          <w:shd w:val="clear" w:color="auto" w:fill="FFFFFF"/>
        </w:rPr>
        <w:t xml:space="preserve">The first and oldest bank, the Bank of </w:t>
      </w:r>
      <w:r w:rsidRPr="00207C2A">
        <w:rPr>
          <w:rFonts w:cstheme="minorHAnsi"/>
        </w:rPr>
        <w:t>Scotland,</w:t>
      </w:r>
      <w:r w:rsidRPr="00207C2A">
        <w:rPr>
          <w:rFonts w:cstheme="minorHAnsi"/>
          <w:shd w:val="clear" w:color="auto" w:fill="FFFFFF"/>
        </w:rPr>
        <w:t xml:space="preserve"> was </w:t>
      </w:r>
      <w:r w:rsidRPr="00207C2A">
        <w:rPr>
          <w:rFonts w:cstheme="minorHAnsi"/>
        </w:rPr>
        <w:t>founded</w:t>
      </w:r>
      <w:r w:rsidRPr="00207C2A">
        <w:rPr>
          <w:rFonts w:cstheme="minorHAnsi"/>
          <w:shd w:val="clear" w:color="auto" w:fill="FFFFFF"/>
        </w:rPr>
        <w:t xml:space="preserve"> on July </w:t>
      </w:r>
      <w:r w:rsidRPr="00207C2A">
        <w:rPr>
          <w:rFonts w:cstheme="minorHAnsi"/>
        </w:rPr>
        <w:t>17,</w:t>
      </w:r>
      <w:r w:rsidRPr="00207C2A">
        <w:rPr>
          <w:rFonts w:cstheme="minorHAnsi"/>
          <w:shd w:val="clear" w:color="auto" w:fill="FFFFFF"/>
        </w:rPr>
        <w:t xml:space="preserve"> 1695. Lloyds Bank was </w:t>
      </w:r>
      <w:r w:rsidRPr="00207C2A">
        <w:rPr>
          <w:rFonts w:cstheme="minorHAnsi"/>
        </w:rPr>
        <w:t>founded</w:t>
      </w:r>
      <w:r w:rsidRPr="00207C2A">
        <w:rPr>
          <w:rFonts w:cstheme="minorHAnsi"/>
          <w:shd w:val="clear" w:color="auto" w:fill="FFFFFF"/>
        </w:rPr>
        <w:t xml:space="preserve"> in 1765 as Taylor &amp; Lloyds in Birmingham. </w:t>
      </w:r>
      <w:r w:rsidRPr="00207C2A">
        <w:rPr>
          <w:rFonts w:cstheme="minorHAnsi"/>
        </w:rPr>
        <w:t>The</w:t>
      </w:r>
      <w:r w:rsidRPr="00207C2A">
        <w:rPr>
          <w:rFonts w:cstheme="minorHAnsi"/>
          <w:shd w:val="clear" w:color="auto" w:fill="FFFFFF"/>
        </w:rPr>
        <w:t xml:space="preserve"> Lloyds Banking Group was </w:t>
      </w:r>
      <w:r w:rsidRPr="00207C2A">
        <w:rPr>
          <w:rFonts w:cstheme="minorHAnsi"/>
        </w:rPr>
        <w:t>founded</w:t>
      </w:r>
      <w:r w:rsidRPr="00207C2A">
        <w:rPr>
          <w:rFonts w:cstheme="minorHAnsi"/>
          <w:shd w:val="clear" w:color="auto" w:fill="FFFFFF"/>
        </w:rPr>
        <w:t xml:space="preserve"> in 2009 and </w:t>
      </w:r>
      <w:r w:rsidRPr="00207C2A">
        <w:rPr>
          <w:rFonts w:cstheme="minorHAnsi"/>
        </w:rPr>
        <w:t>brings</w:t>
      </w:r>
      <w:r w:rsidRPr="00207C2A">
        <w:rPr>
          <w:rFonts w:cstheme="minorHAnsi"/>
          <w:shd w:val="clear" w:color="auto" w:fill="FFFFFF"/>
        </w:rPr>
        <w:t xml:space="preserve"> together many </w:t>
      </w:r>
      <w:r w:rsidRPr="00207C2A">
        <w:rPr>
          <w:rFonts w:cstheme="minorHAnsi"/>
        </w:rPr>
        <w:t>well-known</w:t>
      </w:r>
      <w:r w:rsidRPr="00207C2A">
        <w:rPr>
          <w:rFonts w:cstheme="minorHAnsi"/>
          <w:shd w:val="clear" w:color="auto" w:fill="FFFFFF"/>
        </w:rPr>
        <w:t xml:space="preserve"> brands. Some of the brands within </w:t>
      </w:r>
      <w:r w:rsidRPr="00207C2A">
        <w:rPr>
          <w:rFonts w:cstheme="minorHAnsi"/>
        </w:rPr>
        <w:t>the</w:t>
      </w:r>
      <w:r w:rsidRPr="00207C2A">
        <w:rPr>
          <w:rFonts w:cstheme="minorHAnsi"/>
          <w:shd w:val="clear" w:color="auto" w:fill="FFFFFF"/>
        </w:rPr>
        <w:t xml:space="preserve"> Lloyds Banking Group </w:t>
      </w:r>
      <w:r w:rsidR="008610EE" w:rsidRPr="00207C2A">
        <w:rPr>
          <w:rFonts w:cstheme="minorHAnsi"/>
        </w:rPr>
        <w:t>are</w:t>
      </w:r>
      <w:r w:rsidRPr="00207C2A">
        <w:rPr>
          <w:rFonts w:cstheme="minorHAnsi"/>
          <w:shd w:val="clear" w:color="auto" w:fill="FFFFFF"/>
        </w:rPr>
        <w:t xml:space="preserve"> Lloyds Bank, Halifax, Bank of Scotland, Scottish Widows, MBNA, Schroders Personal Wealth, Blackhorse, Lex </w:t>
      </w:r>
      <w:proofErr w:type="spellStart"/>
      <w:r w:rsidRPr="00207C2A">
        <w:rPr>
          <w:rFonts w:cstheme="minorHAnsi"/>
          <w:shd w:val="clear" w:color="auto" w:fill="FFFFFF"/>
        </w:rPr>
        <w:t>Autolease</w:t>
      </w:r>
      <w:proofErr w:type="spellEnd"/>
      <w:r w:rsidRPr="00207C2A">
        <w:rPr>
          <w:rFonts w:cstheme="minorHAnsi"/>
          <w:shd w:val="clear" w:color="auto" w:fill="FFFFFF"/>
        </w:rPr>
        <w:t xml:space="preserve">, Birmingham Midshires, LDC, </w:t>
      </w:r>
      <w:r w:rsidRPr="00207C2A">
        <w:rPr>
          <w:rFonts w:cstheme="minorHAnsi"/>
        </w:rPr>
        <w:t>AMC,</w:t>
      </w:r>
      <w:r w:rsidRPr="00207C2A">
        <w:rPr>
          <w:rFonts w:cstheme="minorHAnsi"/>
          <w:shd w:val="clear" w:color="auto" w:fill="FFFFFF"/>
        </w:rPr>
        <w:t xml:space="preserve"> </w:t>
      </w:r>
      <w:proofErr w:type="spellStart"/>
      <w:r w:rsidRPr="00207C2A">
        <w:rPr>
          <w:rFonts w:cstheme="minorHAnsi"/>
          <w:shd w:val="clear" w:color="auto" w:fill="FFFFFF"/>
        </w:rPr>
        <w:t>iWeb</w:t>
      </w:r>
      <w:proofErr w:type="spellEnd"/>
      <w:r w:rsidRPr="00207C2A">
        <w:rPr>
          <w:rFonts w:cstheme="minorHAnsi"/>
          <w:shd w:val="clear" w:color="auto" w:fill="FFFFFF"/>
        </w:rPr>
        <w:t xml:space="preserve">. The </w:t>
      </w:r>
      <w:r w:rsidRPr="00207C2A">
        <w:rPr>
          <w:rFonts w:cstheme="minorHAnsi"/>
        </w:rPr>
        <w:t>13</w:t>
      </w:r>
      <w:r w:rsidRPr="00207C2A">
        <w:rPr>
          <w:rFonts w:cstheme="minorHAnsi"/>
          <w:shd w:val="clear" w:color="auto" w:fill="FFFFFF"/>
        </w:rPr>
        <w:t xml:space="preserve"> unique brands are divided into three core </w:t>
      </w:r>
      <w:r w:rsidRPr="00207C2A">
        <w:rPr>
          <w:rFonts w:cstheme="minorHAnsi"/>
        </w:rPr>
        <w:t xml:space="preserve">areas: retail, commercial banking, </w:t>
      </w:r>
      <w:r w:rsidR="00207C2A" w:rsidRPr="00207C2A">
        <w:rPr>
          <w:rFonts w:cstheme="minorHAnsi"/>
        </w:rPr>
        <w:t>insurance,</w:t>
      </w:r>
      <w:r w:rsidRPr="00207C2A">
        <w:rPr>
          <w:rFonts w:cstheme="minorHAnsi"/>
          <w:shd w:val="clear" w:color="auto" w:fill="FFFFFF"/>
        </w:rPr>
        <w:t xml:space="preserve"> and </w:t>
      </w:r>
      <w:r w:rsidRPr="00207C2A">
        <w:rPr>
          <w:rFonts w:cstheme="minorHAnsi"/>
        </w:rPr>
        <w:t>wealth. With a variety of services provided by</w:t>
      </w:r>
      <w:r w:rsidRPr="00207C2A">
        <w:rPr>
          <w:rFonts w:cstheme="minorHAnsi"/>
          <w:shd w:val="clear" w:color="auto" w:fill="FFFFFF"/>
        </w:rPr>
        <w:t xml:space="preserve"> the </w:t>
      </w:r>
      <w:r w:rsidRPr="00207C2A">
        <w:rPr>
          <w:rFonts w:cstheme="minorHAnsi"/>
        </w:rPr>
        <w:t>banking group, customers'</w:t>
      </w:r>
      <w:r w:rsidRPr="00207C2A">
        <w:rPr>
          <w:rFonts w:cstheme="minorHAnsi"/>
          <w:shd w:val="clear" w:color="auto" w:fill="FFFFFF"/>
        </w:rPr>
        <w:t xml:space="preserve"> financial needs </w:t>
      </w:r>
      <w:r w:rsidRPr="00207C2A">
        <w:rPr>
          <w:rFonts w:cstheme="minorHAnsi"/>
        </w:rPr>
        <w:t>can be met</w:t>
      </w:r>
      <w:r w:rsidRPr="00207C2A">
        <w:rPr>
          <w:rFonts w:cstheme="minorHAnsi"/>
          <w:shd w:val="clear" w:color="auto" w:fill="FFFFFF"/>
        </w:rPr>
        <w:t xml:space="preserve"> in one place. The Lloyds Banking Group has </w:t>
      </w:r>
      <w:r w:rsidRPr="00207C2A">
        <w:rPr>
          <w:rFonts w:cstheme="minorHAnsi"/>
        </w:rPr>
        <w:t>30</w:t>
      </w:r>
      <w:r w:rsidRPr="00207C2A">
        <w:rPr>
          <w:rFonts w:cstheme="minorHAnsi"/>
          <w:shd w:val="clear" w:color="auto" w:fill="FFFFFF"/>
        </w:rPr>
        <w:t xml:space="preserve"> million customers and </w:t>
      </w:r>
      <w:r w:rsidRPr="00207C2A">
        <w:rPr>
          <w:rFonts w:cstheme="minorHAnsi"/>
        </w:rPr>
        <w:t>65,000</w:t>
      </w:r>
      <w:r w:rsidRPr="00207C2A">
        <w:rPr>
          <w:rFonts w:cstheme="minorHAnsi"/>
          <w:shd w:val="clear" w:color="auto" w:fill="FFFFFF"/>
        </w:rPr>
        <w:t xml:space="preserve"> colleagues. Lloyds Banking </w:t>
      </w:r>
      <w:r w:rsidRPr="00207C2A">
        <w:rPr>
          <w:rFonts w:cstheme="minorHAnsi"/>
        </w:rPr>
        <w:t>Group's</w:t>
      </w:r>
      <w:r w:rsidRPr="00207C2A">
        <w:rPr>
          <w:rFonts w:cstheme="minorHAnsi"/>
          <w:shd w:val="clear" w:color="auto" w:fill="FFFFFF"/>
        </w:rPr>
        <w:t xml:space="preserve"> 2020 </w:t>
      </w:r>
      <w:r w:rsidRPr="00207C2A">
        <w:rPr>
          <w:rFonts w:cstheme="minorHAnsi"/>
        </w:rPr>
        <w:t>pre-tax statutory income</w:t>
      </w:r>
      <w:r w:rsidRPr="00207C2A">
        <w:rPr>
          <w:rFonts w:cstheme="minorHAnsi"/>
          <w:shd w:val="clear" w:color="auto" w:fill="FFFFFF"/>
        </w:rPr>
        <w:t xml:space="preserve"> was </w:t>
      </w:r>
      <w:r w:rsidRPr="00207C2A">
        <w:rPr>
          <w:rFonts w:cstheme="minorHAnsi"/>
        </w:rPr>
        <w:t>£ 1,226</w:t>
      </w:r>
      <w:r w:rsidRPr="00207C2A">
        <w:rPr>
          <w:rFonts w:cstheme="minorHAnsi"/>
          <w:shd w:val="clear" w:color="auto" w:fill="FFFFFF"/>
        </w:rPr>
        <w:t xml:space="preserve"> million and </w:t>
      </w:r>
      <w:r w:rsidRPr="00207C2A">
        <w:rPr>
          <w:rFonts w:cstheme="minorHAnsi"/>
        </w:rPr>
        <w:t>after-tax</w:t>
      </w:r>
      <w:r w:rsidRPr="00207C2A">
        <w:rPr>
          <w:rFonts w:cstheme="minorHAnsi"/>
          <w:shd w:val="clear" w:color="auto" w:fill="FFFFFF"/>
        </w:rPr>
        <w:t xml:space="preserve"> statutory </w:t>
      </w:r>
      <w:r w:rsidRPr="00207C2A">
        <w:rPr>
          <w:rFonts w:cstheme="minorHAnsi"/>
        </w:rPr>
        <w:t>income</w:t>
      </w:r>
      <w:r w:rsidRPr="00207C2A">
        <w:rPr>
          <w:rFonts w:cstheme="minorHAnsi"/>
          <w:shd w:val="clear" w:color="auto" w:fill="FFFFFF"/>
        </w:rPr>
        <w:t xml:space="preserve"> was </w:t>
      </w:r>
      <w:r w:rsidRPr="00207C2A">
        <w:rPr>
          <w:rFonts w:cstheme="minorHAnsi"/>
        </w:rPr>
        <w:t>£ 1,387</w:t>
      </w:r>
      <w:r w:rsidRPr="00207C2A">
        <w:rPr>
          <w:rFonts w:cstheme="minorHAnsi"/>
          <w:shd w:val="clear" w:color="auto" w:fill="FFFFFF"/>
        </w:rPr>
        <w:t xml:space="preserve"> million.</w:t>
      </w:r>
    </w:p>
    <w:p w14:paraId="0B2E2D9A" w14:textId="77777777" w:rsidR="008F7992" w:rsidRDefault="00477DB2" w:rsidP="004D75CD">
      <w:pPr>
        <w:jc w:val="both"/>
      </w:pPr>
      <w:r>
        <w:t>Lloyds holds a strong position in the UK financial service industry</w:t>
      </w:r>
      <w:r w:rsidR="00FE321B">
        <w:t xml:space="preserve"> as a result</w:t>
      </w:r>
      <w:r>
        <w:t xml:space="preserve"> they were able to gain additional streams of revenue and increase </w:t>
      </w:r>
      <w:r w:rsidR="00FE321B">
        <w:t>their</w:t>
      </w:r>
      <w:r>
        <w:t xml:space="preserve"> profitability</w:t>
      </w:r>
      <w:r w:rsidR="00FE321B">
        <w:t xml:space="preserve">. The group held the largest branch network in the UK with presence in more than 210 locations in 2018 (MarketLine, 2020). </w:t>
      </w:r>
    </w:p>
    <w:p w14:paraId="4B4ADBB9" w14:textId="6B7DA4B6" w:rsidR="00CC4818" w:rsidRDefault="008F7992" w:rsidP="006C25E1">
      <w:pPr>
        <w:jc w:val="both"/>
      </w:pPr>
      <w:r>
        <w:t>In recent years intellectual automation has transformed the financial services industry for better. Lloyds Banking Group has been one of the first</w:t>
      </w:r>
      <w:r w:rsidR="009939D0">
        <w:t xml:space="preserve"> financial service</w:t>
      </w:r>
      <w:r>
        <w:t xml:space="preserve"> in the industry </w:t>
      </w:r>
      <w:r w:rsidR="009939D0">
        <w:t>to adopt and</w:t>
      </w:r>
      <w:r>
        <w:t xml:space="preserve"> </w:t>
      </w:r>
      <w:r w:rsidR="009939D0">
        <w:t>take</w:t>
      </w:r>
      <w:r>
        <w:t xml:space="preserve"> advantage</w:t>
      </w:r>
      <w:r w:rsidR="009939D0">
        <w:t xml:space="preserve"> at scale of automation to ease the burden on employees during particularly busy times</w:t>
      </w:r>
      <w:r w:rsidR="00970635">
        <w:t xml:space="preserve"> (Lloyds Bank, 2020)</w:t>
      </w:r>
      <w:r w:rsidR="009939D0">
        <w:t>.</w:t>
      </w:r>
      <w:r>
        <w:t xml:space="preserve">  </w:t>
      </w:r>
    </w:p>
    <w:p w14:paraId="67ABD7E5" w14:textId="77777777" w:rsidR="006C25E1" w:rsidRPr="006C25E1" w:rsidRDefault="006C25E1" w:rsidP="006C25E1">
      <w:pPr>
        <w:jc w:val="both"/>
      </w:pPr>
    </w:p>
    <w:p w14:paraId="22E567FD" w14:textId="7DF5A86D" w:rsidR="00EF5CC5" w:rsidRPr="008C5C5E" w:rsidRDefault="006C25E1" w:rsidP="00885691">
      <w:pPr>
        <w:pStyle w:val="Heading1"/>
      </w:pPr>
      <w:bookmarkStart w:id="2" w:name="_Toc92570875"/>
      <w:r>
        <w:t xml:space="preserve">Leading to </w:t>
      </w:r>
      <w:r w:rsidR="00C61703">
        <w:t>the 2007-2008 Financial crisis.</w:t>
      </w:r>
      <w:bookmarkEnd w:id="2"/>
    </w:p>
    <w:p w14:paraId="27DF4488" w14:textId="054986B4" w:rsidR="00735E05" w:rsidRPr="00EA351C" w:rsidRDefault="00EF5CC5" w:rsidP="00055B91">
      <w:pPr>
        <w:jc w:val="both"/>
      </w:pPr>
      <w:r w:rsidRPr="00C73765">
        <w:t xml:space="preserve">The Financial crisis started in 2007 and it is understood it has been the worst financial crisis since the 1930s. </w:t>
      </w:r>
      <w:r w:rsidR="00735E05" w:rsidRPr="00EA351C">
        <w:t>The crisis quickly expanded from the United States to other countries, and from the financial markets to the real economy. Financial institutions were collapsing; many had to be bailed out by the government, and several had to shut down entirely. Because</w:t>
      </w:r>
      <w:r w:rsidR="00180661" w:rsidRPr="00EA351C">
        <w:t>,</w:t>
      </w:r>
      <w:r w:rsidR="00735E05" w:rsidRPr="00EA351C">
        <w:t xml:space="preserve"> the financial industry was devastated </w:t>
      </w:r>
      <w:r w:rsidR="00735E05" w:rsidRPr="00EA351C">
        <w:lastRenderedPageBreak/>
        <w:t xml:space="preserve">by the crisis, financial institutions' risk management strategies have been heavily criticised. The crisis is said to have prompted fundamental changes in the way financial institutions are </w:t>
      </w:r>
      <w:r w:rsidR="00EA351C" w:rsidRPr="00EA351C">
        <w:t>regulated</w:t>
      </w:r>
      <w:r w:rsidR="00735E05" w:rsidRPr="00EA351C">
        <w:t>.</w:t>
      </w:r>
    </w:p>
    <w:p w14:paraId="572161A4" w14:textId="5DB8D782" w:rsidR="003616A0" w:rsidRDefault="00136E24" w:rsidP="00055B91">
      <w:pPr>
        <w:jc w:val="both"/>
      </w:pPr>
      <w:r>
        <w:t xml:space="preserve">The real estate had a huge input in the financial crisis. </w:t>
      </w:r>
      <w:r w:rsidR="007B2D65" w:rsidRPr="00C73765">
        <w:t xml:space="preserve">In the year 2000 house prices in the United States started to rise much faster than it had the previous ten </w:t>
      </w:r>
      <w:r w:rsidR="00CD3C47" w:rsidRPr="00C73765">
        <w:t>years,</w:t>
      </w:r>
      <w:r w:rsidR="00377CBC">
        <w:t xml:space="preserve"> due to the high demand for housing and a bubble in housing price. T</w:t>
      </w:r>
      <w:r w:rsidR="007B2D65" w:rsidRPr="00C73765">
        <w:t>he contributing factor was the very low level of interest rates between</w:t>
      </w:r>
      <w:r w:rsidR="00035EBA" w:rsidRPr="00C73765">
        <w:t xml:space="preserve"> year </w:t>
      </w:r>
      <w:r w:rsidR="007B2D65" w:rsidRPr="00C73765">
        <w:t>2002 and 2005</w:t>
      </w:r>
      <w:r w:rsidR="00377CBC">
        <w:t>,</w:t>
      </w:r>
      <w:r w:rsidR="00035EBA" w:rsidRPr="00C73765">
        <w:t xml:space="preserve"> furthermore the house price rise had largely </w:t>
      </w:r>
      <w:r w:rsidR="00CD3C47" w:rsidRPr="00C73765">
        <w:t>stimulated</w:t>
      </w:r>
      <w:r w:rsidR="00035EBA" w:rsidRPr="00C73765">
        <w:t xml:space="preserve"> by mortgage lending practices.</w:t>
      </w:r>
      <w:r w:rsidR="00CD3C47" w:rsidRPr="00C73765">
        <w:t xml:space="preserve"> Year 2000 to 2006 </w:t>
      </w:r>
      <w:r w:rsidR="001D21BB" w:rsidRPr="00C73765">
        <w:t>saw a substantial rise in subprime mortgages lending, this type of mortgage is more risky than average and are usually classified for second mortgages</w:t>
      </w:r>
      <w:r w:rsidR="00D16945" w:rsidRPr="00C73765">
        <w:t xml:space="preserve"> before year 2000.</w:t>
      </w:r>
      <w:r w:rsidR="006C25B5" w:rsidRPr="00C73765">
        <w:t xml:space="preserve"> As financial institutions become more comfortable, they started to offer subprime first mortgage</w:t>
      </w:r>
      <w:r w:rsidR="00377CBC">
        <w:t xml:space="preserve"> f</w:t>
      </w:r>
      <w:r w:rsidR="006C25B5" w:rsidRPr="00C73765">
        <w:t>or families that previously ha</w:t>
      </w:r>
      <w:r w:rsidR="00EE7384" w:rsidRPr="00C73765">
        <w:t>d</w:t>
      </w:r>
      <w:r w:rsidR="006C25B5" w:rsidRPr="00C73765">
        <w:t xml:space="preserve"> been considered </w:t>
      </w:r>
      <w:r w:rsidR="00EE7384" w:rsidRPr="00C73765">
        <w:t xml:space="preserve">not sufficiently creditworthy to qualify for a mortgage was now </w:t>
      </w:r>
      <w:r w:rsidR="00377CBC">
        <w:t>able to</w:t>
      </w:r>
      <w:r w:rsidR="00EE7384" w:rsidRPr="00C73765">
        <w:t xml:space="preserve"> purchas</w:t>
      </w:r>
      <w:r w:rsidR="00377CBC">
        <w:t>e</w:t>
      </w:r>
      <w:r w:rsidR="00EE7384" w:rsidRPr="00C73765">
        <w:t xml:space="preserve"> a house and the increase in demand for real estate price rose. The rising housing price and more lending </w:t>
      </w:r>
      <w:r w:rsidR="00F542C7" w:rsidRPr="00C73765">
        <w:t>was very attractive to mortgage brokers and mortgage lenders</w:t>
      </w:r>
      <w:r w:rsidR="0087327A">
        <w:t>,</w:t>
      </w:r>
      <w:r w:rsidR="00F542C7" w:rsidRPr="00C73765">
        <w:t xml:space="preserve"> </w:t>
      </w:r>
      <w:r w:rsidR="00326BF0" w:rsidRPr="00C73765">
        <w:t>as the more lending there is the bigger the profit. The lending was well covered by the collateral by the rising house price furthermore if the borrower defaulted the foreclos</w:t>
      </w:r>
      <w:r w:rsidR="004D03AF" w:rsidRPr="00C73765">
        <w:t xml:space="preserve">ure to the lender would be little or no loss. With the increase of housing </w:t>
      </w:r>
      <w:r w:rsidR="00DB2037" w:rsidRPr="00C73765">
        <w:t>price,</w:t>
      </w:r>
      <w:r w:rsidR="004D03AF" w:rsidRPr="00C73765">
        <w:t xml:space="preserve"> it was getting difficult for people to afford housing and buy their first home</w:t>
      </w:r>
      <w:r w:rsidR="00377CBC">
        <w:t>,</w:t>
      </w:r>
      <w:r w:rsidR="004D03AF" w:rsidRPr="00C73765">
        <w:t xml:space="preserve"> to attract new entrance to buying house</w:t>
      </w:r>
      <w:r w:rsidR="00EC69CB" w:rsidRPr="00C73765">
        <w:t xml:space="preserve"> the mortgage lenders further relaxed their lending standards</w:t>
      </w:r>
      <w:r w:rsidR="00C73765" w:rsidRPr="00C73765">
        <w:t xml:space="preserve">. The lending percentage of the housing price increased, and Adjustable-Rate Mortgage were introduced where for first two to three years the low rate of interest was applied followed by rate that was much higher (Hull, 2012). </w:t>
      </w:r>
      <w:r w:rsidR="00377CBC">
        <w:t>After these two to three years of the initial mortgage people were unable to afford the mortgage as it had moved to a higher rate which was beyond their means and the price in real estate started to go down</w:t>
      </w:r>
      <w:r w:rsidR="00B60A4A">
        <w:t xml:space="preserve"> as these houses went </w:t>
      </w:r>
      <w:r w:rsidR="00DA7D7B">
        <w:t>back on sale for</w:t>
      </w:r>
      <w:r w:rsidR="00B60A4A">
        <w:t xml:space="preserve"> foreclosure</w:t>
      </w:r>
      <w:r w:rsidR="00377CBC">
        <w:t xml:space="preserve"> and a burst in the bubble. </w:t>
      </w:r>
      <w:r w:rsidR="00B60A4A">
        <w:t>People who had bought houses with 100% mortgage found themselves in negative equity as the price they bought the house was now worth less then original price</w:t>
      </w:r>
      <w:r w:rsidR="0087327A">
        <w:t xml:space="preserve"> and some of these people decided to handover the property to the bank</w:t>
      </w:r>
      <w:r w:rsidR="003318BB">
        <w:t xml:space="preserve">s by going into default with the payments. </w:t>
      </w:r>
      <w:r w:rsidR="00377CBC">
        <w:t xml:space="preserve">Because there </w:t>
      </w:r>
      <w:r w:rsidR="00B60A4A">
        <w:t>were</w:t>
      </w:r>
      <w:r w:rsidR="00377CBC">
        <w:t xml:space="preserve"> many foreclosures there was an increase in the supply of housing for sale</w:t>
      </w:r>
      <w:r w:rsidR="00DA7D7B">
        <w:t xml:space="preserve"> but no demand for it. </w:t>
      </w:r>
      <w:r w:rsidR="00EA0B7C">
        <w:t xml:space="preserve">According to </w:t>
      </w:r>
      <w:proofErr w:type="spellStart"/>
      <w:r w:rsidR="00EA0B7C">
        <w:t>Corbae</w:t>
      </w:r>
      <w:proofErr w:type="spellEnd"/>
      <w:r w:rsidR="00EA0B7C">
        <w:t xml:space="preserve"> and Quintin (2015) experiments suggest that the high number of mortga</w:t>
      </w:r>
      <w:r w:rsidR="00CC4818">
        <w:t>ges with minimum requirement prior to the crisis can explain the rise in foreclosure rate of over 60 percent.</w:t>
      </w:r>
    </w:p>
    <w:p w14:paraId="008637EB" w14:textId="77777777" w:rsidR="00382209" w:rsidRPr="00382209" w:rsidRDefault="00303590" w:rsidP="00382209">
      <w:pPr>
        <w:jc w:val="both"/>
        <w:rPr>
          <w:rFonts w:ascii="Roboto" w:hAnsi="Roboto"/>
          <w:sz w:val="21"/>
          <w:szCs w:val="21"/>
          <w:shd w:val="clear" w:color="auto" w:fill="FFFFFF"/>
        </w:rPr>
      </w:pPr>
      <w:r w:rsidRPr="00382209">
        <w:t xml:space="preserve">Securitization was also a big aspect of the financial </w:t>
      </w:r>
      <w:r w:rsidR="00180661" w:rsidRPr="00382209">
        <w:t>crisis,</w:t>
      </w:r>
      <w:r w:rsidRPr="00382209">
        <w:t xml:space="preserve"> and a big portion of the US capital markets, despite the fact that it was mostly unregulated. In the 1990s, legal companies began trading pools of loans on the capital markets, as well as securities tied to pools of loans known as "special purpose vehicles" (SPVs). Asset-backed securities (ABS) or mortgage-backed securities (MBS) are the terms used to describe these securities. </w:t>
      </w:r>
      <w:r w:rsidR="00382209" w:rsidRPr="00382209">
        <w:t xml:space="preserve">The SPV’s are the claimant to the cash flows from the pool of loans held </w:t>
      </w:r>
      <w:bookmarkStart w:id="3" w:name="_Hlk87649909"/>
      <w:r w:rsidR="00382209" w:rsidRPr="00382209">
        <w:t>(</w:t>
      </w:r>
      <w:r w:rsidR="00382209" w:rsidRPr="00382209">
        <w:rPr>
          <w:rFonts w:ascii="Roboto" w:hAnsi="Roboto"/>
          <w:sz w:val="21"/>
          <w:szCs w:val="21"/>
          <w:shd w:val="clear" w:color="auto" w:fill="FFFFFF"/>
        </w:rPr>
        <w:t xml:space="preserve">Gorton and </w:t>
      </w:r>
      <w:proofErr w:type="spellStart"/>
      <w:r w:rsidR="00382209" w:rsidRPr="00382209">
        <w:rPr>
          <w:rFonts w:ascii="Roboto" w:hAnsi="Roboto"/>
          <w:sz w:val="21"/>
          <w:szCs w:val="21"/>
          <w:shd w:val="clear" w:color="auto" w:fill="FFFFFF"/>
        </w:rPr>
        <w:t>Metrick</w:t>
      </w:r>
      <w:proofErr w:type="spellEnd"/>
      <w:r w:rsidR="00382209" w:rsidRPr="00382209">
        <w:rPr>
          <w:rFonts w:ascii="Roboto" w:hAnsi="Roboto"/>
          <w:sz w:val="21"/>
          <w:szCs w:val="21"/>
          <w:shd w:val="clear" w:color="auto" w:fill="FFFFFF"/>
        </w:rPr>
        <w:t>, 2012).</w:t>
      </w:r>
      <w:bookmarkEnd w:id="3"/>
    </w:p>
    <w:p w14:paraId="7DE5E487" w14:textId="381BEF10" w:rsidR="00303590" w:rsidRPr="00303590" w:rsidRDefault="00303590" w:rsidP="00055B91">
      <w:pPr>
        <w:jc w:val="both"/>
        <w:rPr>
          <w:color w:val="FF0000"/>
        </w:rPr>
      </w:pPr>
    </w:p>
    <w:p w14:paraId="6FE04F51" w14:textId="30D599F5" w:rsidR="00C878C7" w:rsidRDefault="005B1A3A" w:rsidP="00055B91">
      <w:pPr>
        <w:jc w:val="both"/>
      </w:pPr>
      <w:r>
        <w:rPr>
          <w:noProof/>
        </w:rPr>
        <w:lastRenderedPageBreak/>
        <w:drawing>
          <wp:inline distT="0" distB="0" distL="0" distR="0" wp14:anchorId="0D80265F" wp14:editId="084CC03D">
            <wp:extent cx="3486150" cy="4086225"/>
            <wp:effectExtent l="0" t="0" r="0" b="952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6"/>
                    <a:stretch>
                      <a:fillRect/>
                    </a:stretch>
                  </pic:blipFill>
                  <pic:spPr>
                    <a:xfrm>
                      <a:off x="0" y="0"/>
                      <a:ext cx="3486150" cy="4086225"/>
                    </a:xfrm>
                    <a:prstGeom prst="rect">
                      <a:avLst/>
                    </a:prstGeom>
                  </pic:spPr>
                </pic:pic>
              </a:graphicData>
            </a:graphic>
          </wp:inline>
        </w:drawing>
      </w:r>
    </w:p>
    <w:p w14:paraId="34637A54" w14:textId="553DE8E2" w:rsidR="00C55DB0" w:rsidRDefault="00C55DB0" w:rsidP="00606F0A">
      <w:pPr>
        <w:jc w:val="both"/>
      </w:pPr>
      <w:r w:rsidRPr="00C55DB0">
        <w:t>Figure 1. An overview of Securitization (</w:t>
      </w:r>
      <w:r w:rsidRPr="00C55DB0">
        <w:rPr>
          <w:rFonts w:ascii="Roboto" w:hAnsi="Roboto"/>
          <w:sz w:val="21"/>
          <w:szCs w:val="21"/>
          <w:shd w:val="clear" w:color="auto" w:fill="FFFFFF"/>
        </w:rPr>
        <w:t xml:space="preserve">Gorton and </w:t>
      </w:r>
      <w:proofErr w:type="spellStart"/>
      <w:r w:rsidRPr="00C55DB0">
        <w:rPr>
          <w:rFonts w:ascii="Roboto" w:hAnsi="Roboto"/>
          <w:sz w:val="21"/>
          <w:szCs w:val="21"/>
          <w:shd w:val="clear" w:color="auto" w:fill="FFFFFF"/>
        </w:rPr>
        <w:t>Metrick</w:t>
      </w:r>
      <w:proofErr w:type="spellEnd"/>
      <w:r w:rsidRPr="00C55DB0">
        <w:rPr>
          <w:rFonts w:ascii="Roboto" w:hAnsi="Roboto"/>
          <w:sz w:val="21"/>
          <w:szCs w:val="21"/>
          <w:shd w:val="clear" w:color="auto" w:fill="FFFFFF"/>
        </w:rPr>
        <w:t>, 2012).</w:t>
      </w:r>
      <w:r w:rsidRPr="00C55DB0">
        <w:t xml:space="preserve"> </w:t>
      </w:r>
    </w:p>
    <w:p w14:paraId="51F34768" w14:textId="384BFADE" w:rsidR="00303590" w:rsidRPr="00382209" w:rsidRDefault="00303590" w:rsidP="00303590">
      <w:pPr>
        <w:jc w:val="both"/>
      </w:pPr>
      <w:r w:rsidRPr="00382209">
        <w:t>Internal control was enforced by the Federal Depository Insurance Corporation Improvement Act (FDICIA) in the early 1990s, which increased loan-loss provision validity, earning persistence, and cash-flow predictability, as well as reducing benchmarking-beating. Banks with assets under $500 million and non-US bank providers are exempt from the rules.</w:t>
      </w:r>
    </w:p>
    <w:p w14:paraId="431C16DE" w14:textId="7D073752" w:rsidR="003F2284" w:rsidRDefault="00E31511" w:rsidP="00606F0A">
      <w:pPr>
        <w:jc w:val="both"/>
      </w:pPr>
      <w:r w:rsidRPr="00303590">
        <w:rPr>
          <w:color w:val="00B050"/>
        </w:rPr>
        <w:t xml:space="preserve"> </w:t>
      </w:r>
      <w:r>
        <w:t xml:space="preserve">Research suggests greater auditor existence </w:t>
      </w:r>
      <w:r w:rsidR="005900D8">
        <w:t>mitigates</w:t>
      </w:r>
      <w:r>
        <w:t xml:space="preserve"> for internal control regulations</w:t>
      </w:r>
      <w:r w:rsidR="004F2E6F">
        <w:t xml:space="preserve"> (</w:t>
      </w:r>
      <w:r w:rsidR="005F7A86">
        <w:t>Journal of Accounting and Economics, 2010). The mandate had further contributed to the financial crisis in 2007-2008.</w:t>
      </w:r>
    </w:p>
    <w:p w14:paraId="6018F30D" w14:textId="3FB529D8" w:rsidR="00303590" w:rsidRPr="00382209" w:rsidRDefault="00A83EBF" w:rsidP="00606F0A">
      <w:pPr>
        <w:jc w:val="both"/>
      </w:pPr>
      <w:r>
        <w:t xml:space="preserve">Scholarly material indicates the financial crisis was primarily caused by deregulation in the financial industry and implementation failure in risk management and corporate governance. </w:t>
      </w:r>
      <w:r w:rsidR="00303590" w:rsidRPr="00382209">
        <w:t>A series of interviews with senior risk management experts from throughout the financial services sector were done to gain a better understanding of what caused the crisis and what lessons might be learned for the future.</w:t>
      </w:r>
    </w:p>
    <w:p w14:paraId="19F3323C" w14:textId="21128F87" w:rsidR="00A83EBF" w:rsidRDefault="00A83EBF" w:rsidP="00606F0A">
      <w:pPr>
        <w:jc w:val="both"/>
      </w:pPr>
      <w:r>
        <w:t xml:space="preserve">Some of the common views were: </w:t>
      </w:r>
    </w:p>
    <w:p w14:paraId="03BF711D" w14:textId="77777777" w:rsidR="00A83EBF" w:rsidRDefault="00A83EBF" w:rsidP="00A83EBF">
      <w:pPr>
        <w:pStyle w:val="ListParagraph"/>
        <w:numPr>
          <w:ilvl w:val="0"/>
          <w:numId w:val="2"/>
        </w:numPr>
        <w:jc w:val="both"/>
      </w:pPr>
      <w:r>
        <w:t>There was implementation failure in risk management and corporate governance that was aligned with acceptable good practice.</w:t>
      </w:r>
    </w:p>
    <w:p w14:paraId="71C145E2" w14:textId="4C5F0044" w:rsidR="00A83EBF" w:rsidRDefault="00A83EBF" w:rsidP="00A83EBF">
      <w:pPr>
        <w:pStyle w:val="ListParagraph"/>
        <w:numPr>
          <w:ilvl w:val="0"/>
          <w:numId w:val="2"/>
        </w:numPr>
        <w:jc w:val="both"/>
      </w:pPr>
      <w:r>
        <w:t xml:space="preserve">Weaknesses in corporate culture had played a major role. A sales culture that promoted rapid growth were the worst and most affected while the banks with traditional banking values like prudent and long-term view was least affected. </w:t>
      </w:r>
    </w:p>
    <w:p w14:paraId="37B11D52" w14:textId="381C2203" w:rsidR="00A83EBF" w:rsidRDefault="00A83EBF" w:rsidP="00A83EBF">
      <w:pPr>
        <w:pStyle w:val="ListParagraph"/>
        <w:numPr>
          <w:ilvl w:val="0"/>
          <w:numId w:val="2"/>
        </w:numPr>
        <w:jc w:val="both"/>
      </w:pPr>
      <w:r>
        <w:t>Basic human culture and weaknesses in risk reporting and managing competency.</w:t>
      </w:r>
    </w:p>
    <w:p w14:paraId="2A51AE6C" w14:textId="70CB05A0" w:rsidR="00A83EBF" w:rsidRDefault="00A83EBF" w:rsidP="00A83EBF">
      <w:pPr>
        <w:jc w:val="both"/>
      </w:pPr>
      <w:r>
        <w:t xml:space="preserve">Although these were some of the additional factors leading to the financial crisis the main cause could have been that financial institutions found it difficult to stay away from some of the risker activities </w:t>
      </w:r>
      <w:r>
        <w:lastRenderedPageBreak/>
        <w:t>due to competitive pressure. The senior risk management professional further indicated there had been significant regulatory failures in design of regulatory framework (IGI Global, 2019).</w:t>
      </w:r>
    </w:p>
    <w:p w14:paraId="37A3C0C3" w14:textId="7900EB70" w:rsidR="00DC5018" w:rsidRDefault="00DC5018" w:rsidP="00A83EBF">
      <w:pPr>
        <w:jc w:val="both"/>
      </w:pPr>
      <w:r>
        <w:t xml:space="preserve">Lehman Brothers Holdings Inc, a global financial services firm founded in 1847 was one of the fourth largest investment bank in the United States. The </w:t>
      </w:r>
      <w:r w:rsidR="002830ED">
        <w:t>firm’s</w:t>
      </w:r>
      <w:r>
        <w:t xml:space="preserve"> investment in MBS and the lending of subprime mortgage loans has led to the bankruptcy </w:t>
      </w:r>
      <w:r w:rsidR="002830ED">
        <w:t>of the firm on 15</w:t>
      </w:r>
      <w:r w:rsidR="002830ED" w:rsidRPr="002830ED">
        <w:rPr>
          <w:vertAlign w:val="superscript"/>
        </w:rPr>
        <w:t>th</w:t>
      </w:r>
      <w:r w:rsidR="002830ED">
        <w:t xml:space="preserve"> September 2008. It was the largest bankruptcy involving more than US$600 billion in assets. </w:t>
      </w:r>
    </w:p>
    <w:p w14:paraId="3672A30B" w14:textId="622C0C50" w:rsidR="00C55DB0" w:rsidRDefault="000A5C9F" w:rsidP="00B73653">
      <w:pPr>
        <w:jc w:val="both"/>
      </w:pPr>
      <w:r>
        <w:t>Similarly in UK Northern Rock had a bank run and the bank was unable to pay its customers. The bank was then taken to public ownership instead of solvency or bankruptcy in 2008. Northern Rock was partly bought by Virgin Money and part of the bad asset was being sold under the government</w:t>
      </w:r>
      <w:r w:rsidR="001F7C86">
        <w:t xml:space="preserve"> guidance</w:t>
      </w:r>
      <w:r>
        <w:t xml:space="preserve">. </w:t>
      </w:r>
    </w:p>
    <w:p w14:paraId="28632612" w14:textId="5DF1A721" w:rsidR="00C55DB0" w:rsidRDefault="00B73653" w:rsidP="00C55DB0">
      <w:pPr>
        <w:jc w:val="both"/>
      </w:pPr>
      <w:r>
        <w:t>According to the</w:t>
      </w:r>
      <w:r w:rsidR="00C55DB0">
        <w:t xml:space="preserve"> data coll</w:t>
      </w:r>
      <w:r>
        <w:t>ated</w:t>
      </w:r>
      <w:r w:rsidR="00C55DB0">
        <w:t xml:space="preserve"> in MarketLine (2013)</w:t>
      </w:r>
      <w:r>
        <w:t>,</w:t>
      </w:r>
      <w:r w:rsidR="00C55DB0">
        <w:t xml:space="preserve"> it is </w:t>
      </w:r>
      <w:r>
        <w:t>believed</w:t>
      </w:r>
      <w:r w:rsidR="00C55DB0">
        <w:t xml:space="preserve"> alternative banks are profiting from the loss of trust in the big four. The Banking industry in UK has witnessed a loss of reputation and credibility after the banking scandals since the beginning of the recession period and had led to distrust among the consumers. These consumers are switching to alternative banks that set them apart from the major banks and UK is likely to see banking climate change permanently with more of these alternatives with ethically focused and member led organisations. The Co-operative Group was founded in 1844 as a consumer co-operative organisation involved in many different business areas. Profits of the group are shared between members, and it has a very specific ethical policy setting it apart from other banks, business areas are only dealt with if it deems to be ethically healthy. According to MarketLine (2013) The Co-operative Group has purchased 632 Lloyds branches furthermore it is likely to become the next major challenger to the UK retail “big four” banks.    </w:t>
      </w:r>
    </w:p>
    <w:p w14:paraId="1211EA8B" w14:textId="77777777" w:rsidR="00C55DB0" w:rsidRPr="00C55DB0" w:rsidRDefault="00C55DB0"/>
    <w:p w14:paraId="26DA2D2C" w14:textId="75D6AB4A" w:rsidR="008C5C5E" w:rsidRDefault="00C61703" w:rsidP="00885691">
      <w:pPr>
        <w:pStyle w:val="Heading1"/>
      </w:pPr>
      <w:bookmarkStart w:id="4" w:name="_Toc92570876"/>
      <w:r>
        <w:t>Regulations and</w:t>
      </w:r>
      <w:r w:rsidR="008C5C5E" w:rsidRPr="008C5C5E">
        <w:t xml:space="preserve"> laws introduced</w:t>
      </w:r>
      <w:r>
        <w:t xml:space="preserve"> pre and post financial crisis.</w:t>
      </w:r>
      <w:bookmarkEnd w:id="4"/>
    </w:p>
    <w:p w14:paraId="2D3F0635" w14:textId="499F1E6D" w:rsidR="008E2E08" w:rsidRPr="00627EFC" w:rsidRDefault="0090105D" w:rsidP="00DF0ED8">
      <w:pPr>
        <w:jc w:val="both"/>
      </w:pPr>
      <w:r w:rsidRPr="007D5AFC">
        <w:t xml:space="preserve">National regulators oversee banks in their own nations, although the majority of countries have adopted the Basel Committee's set of standards </w:t>
      </w:r>
      <w:r w:rsidR="007D5AFC" w:rsidRPr="007D5AFC">
        <w:t>to</w:t>
      </w:r>
      <w:r w:rsidRPr="007D5AFC">
        <w:t xml:space="preserve"> achieve international consistency. </w:t>
      </w:r>
      <w:r w:rsidR="008E2E08" w:rsidRPr="00627EFC">
        <w:t xml:space="preserve">The Basel Committee of Banks is </w:t>
      </w:r>
      <w:r w:rsidR="00DF0ED8" w:rsidRPr="00627EFC">
        <w:t>submerged from the G10 countries, and they meet in Basel in Switzerland.</w:t>
      </w:r>
      <w:r w:rsidR="008E2E08" w:rsidRPr="00627EFC">
        <w:t xml:space="preserve">  </w:t>
      </w:r>
    </w:p>
    <w:p w14:paraId="337E7290" w14:textId="2872820F" w:rsidR="007176F4" w:rsidRPr="00627EFC" w:rsidRDefault="00CF16F2" w:rsidP="00226C6C">
      <w:pPr>
        <w:jc w:val="both"/>
      </w:pPr>
      <w:r w:rsidRPr="00627EFC">
        <w:t xml:space="preserve">Regulations are introduced when there is a rise in market failure or fail to work appropriately. This can be the reference to “Market Failure”. There are many reasons for market failure however </w:t>
      </w:r>
      <w:r w:rsidR="00F55F71" w:rsidRPr="00627EFC">
        <w:t xml:space="preserve">for the purpose of this section of the report focus will be </w:t>
      </w:r>
      <w:r w:rsidR="00FB50A6" w:rsidRPr="00627EFC">
        <w:t>on</w:t>
      </w:r>
      <w:r w:rsidR="00F55F71" w:rsidRPr="00627EFC">
        <w:t xml:space="preserve"> bank failure. When there is a rising problem from banks it falls into two category, externalities, and asymmetric information.</w:t>
      </w:r>
      <w:r w:rsidR="00F55F71" w:rsidRPr="007D5AFC">
        <w:t xml:space="preserve"> Behaviours of a bank can give rise to two areas of concern, the possibility of contagion and consumer protection.</w:t>
      </w:r>
      <w:r w:rsidR="00352B82" w:rsidRPr="007D5AFC">
        <w:t xml:space="preserve"> Contagion means the problem can spread very rapidly. </w:t>
      </w:r>
      <w:r w:rsidR="00A3031C" w:rsidRPr="007D5AFC">
        <w:t>Contagion can occur from a combination of the fractional reserve system as well as when banks use deposits as means of payment. Banks can face liquidity risk when the depositors demand for cash which the banks is unable to meet. Banks</w:t>
      </w:r>
      <w:r w:rsidR="00BC3C32" w:rsidRPr="007D5AFC">
        <w:t xml:space="preserve"> generally rely</w:t>
      </w:r>
      <w:r w:rsidR="00A3031C" w:rsidRPr="007D5AFC">
        <w:t xml:space="preserve"> </w:t>
      </w:r>
      <w:r w:rsidR="00BC3C32" w:rsidRPr="007D5AFC">
        <w:t>upon confidence and trust by the depositor</w:t>
      </w:r>
      <w:r w:rsidR="00BC3C32" w:rsidRPr="0090105D">
        <w:rPr>
          <w:color w:val="00B050"/>
        </w:rPr>
        <w:t xml:space="preserve">. </w:t>
      </w:r>
      <w:r w:rsidR="00AC5FC1" w:rsidRPr="00633E7A">
        <w:rPr>
          <w:rFonts w:cstheme="minorHAnsi"/>
        </w:rPr>
        <w:t>When depositors feel that banks</w:t>
      </w:r>
      <w:r w:rsidR="00AC5FC1" w:rsidRPr="00633E7A">
        <w:rPr>
          <w:rFonts w:cstheme="minorHAnsi"/>
          <w:shd w:val="clear" w:color="auto" w:fill="FFFFFF"/>
        </w:rPr>
        <w:t xml:space="preserve"> cannot </w:t>
      </w:r>
      <w:r w:rsidR="00AC5FC1" w:rsidRPr="00633E7A">
        <w:rPr>
          <w:rFonts w:cstheme="minorHAnsi"/>
        </w:rPr>
        <w:t>pay</w:t>
      </w:r>
      <w:r w:rsidR="00633E7A" w:rsidRPr="00633E7A">
        <w:rPr>
          <w:rFonts w:cstheme="minorHAnsi"/>
        </w:rPr>
        <w:t xml:space="preserve"> there is a </w:t>
      </w:r>
      <w:r w:rsidR="001F7C86" w:rsidRPr="00633E7A">
        <w:rPr>
          <w:rFonts w:cstheme="minorHAnsi"/>
        </w:rPr>
        <w:t xml:space="preserve">run-on </w:t>
      </w:r>
      <w:r w:rsidR="00C80C9C" w:rsidRPr="00633E7A">
        <w:rPr>
          <w:rFonts w:cstheme="minorHAnsi"/>
        </w:rPr>
        <w:t>bank,</w:t>
      </w:r>
      <w:r w:rsidR="00AC5FC1" w:rsidRPr="00633E7A">
        <w:rPr>
          <w:rFonts w:cstheme="minorHAnsi"/>
        </w:rPr>
        <w:t xml:space="preserve"> and</w:t>
      </w:r>
      <w:r w:rsidR="00AC5FC1" w:rsidRPr="00633E7A">
        <w:rPr>
          <w:rFonts w:cstheme="minorHAnsi"/>
          <w:shd w:val="clear" w:color="auto" w:fill="FFFFFF"/>
        </w:rPr>
        <w:t xml:space="preserve"> many depositors </w:t>
      </w:r>
      <w:r w:rsidR="00AC5FC1" w:rsidRPr="00633E7A">
        <w:rPr>
          <w:rFonts w:cstheme="minorHAnsi"/>
        </w:rPr>
        <w:t>are demanding an amount of</w:t>
      </w:r>
      <w:r w:rsidR="00AC5FC1" w:rsidRPr="00633E7A">
        <w:rPr>
          <w:rFonts w:cstheme="minorHAnsi"/>
          <w:shd w:val="clear" w:color="auto" w:fill="FFFFFF"/>
        </w:rPr>
        <w:t xml:space="preserve"> cash that banks cannot pay. </w:t>
      </w:r>
      <w:r w:rsidR="00AC5FC1" w:rsidRPr="00633E7A">
        <w:rPr>
          <w:rFonts w:cstheme="minorHAnsi"/>
        </w:rPr>
        <w:t>Moreover,</w:t>
      </w:r>
      <w:r w:rsidR="00AC5FC1" w:rsidRPr="00633E7A">
        <w:rPr>
          <w:rFonts w:cstheme="minorHAnsi"/>
          <w:shd w:val="clear" w:color="auto" w:fill="FFFFFF"/>
        </w:rPr>
        <w:t xml:space="preserve"> when a bank </w:t>
      </w:r>
      <w:r w:rsidR="00633E7A" w:rsidRPr="00633E7A">
        <w:rPr>
          <w:rFonts w:cstheme="minorHAnsi"/>
        </w:rPr>
        <w:t>undergoes a “run”</w:t>
      </w:r>
      <w:r w:rsidR="00AC5FC1" w:rsidRPr="00633E7A">
        <w:rPr>
          <w:rFonts w:cstheme="minorHAnsi"/>
        </w:rPr>
        <w:t>,</w:t>
      </w:r>
      <w:r w:rsidR="00AC5FC1" w:rsidRPr="00633E7A">
        <w:rPr>
          <w:rFonts w:cstheme="minorHAnsi"/>
          <w:shd w:val="clear" w:color="auto" w:fill="FFFFFF"/>
        </w:rPr>
        <w:t xml:space="preserve"> the public </w:t>
      </w:r>
      <w:r w:rsidR="00AC5FC1" w:rsidRPr="00633E7A">
        <w:rPr>
          <w:rFonts w:cstheme="minorHAnsi"/>
        </w:rPr>
        <w:t>loses</w:t>
      </w:r>
      <w:r w:rsidR="00AC5FC1" w:rsidRPr="00633E7A">
        <w:rPr>
          <w:rFonts w:cstheme="minorHAnsi"/>
          <w:shd w:val="clear" w:color="auto" w:fill="FFFFFF"/>
        </w:rPr>
        <w:t xml:space="preserve"> confidence in the system and </w:t>
      </w:r>
      <w:r w:rsidR="00AC5FC1" w:rsidRPr="00633E7A">
        <w:rPr>
          <w:rFonts w:cstheme="minorHAnsi"/>
        </w:rPr>
        <w:t>can quickly withdraw</w:t>
      </w:r>
      <w:r w:rsidR="00AC5FC1" w:rsidRPr="00633E7A">
        <w:rPr>
          <w:rFonts w:cstheme="minorHAnsi"/>
          <w:shd w:val="clear" w:color="auto" w:fill="FFFFFF"/>
        </w:rPr>
        <w:t xml:space="preserve"> cash from </w:t>
      </w:r>
      <w:r w:rsidR="00AC5FC1" w:rsidRPr="00633E7A">
        <w:rPr>
          <w:rFonts w:cstheme="minorHAnsi"/>
        </w:rPr>
        <w:t>a bank</w:t>
      </w:r>
      <w:r w:rsidR="00AC5FC1" w:rsidRPr="00633E7A">
        <w:rPr>
          <w:rFonts w:cstheme="minorHAnsi"/>
          <w:shd w:val="clear" w:color="auto" w:fill="FFFFFF"/>
        </w:rPr>
        <w:t xml:space="preserve"> that </w:t>
      </w:r>
      <w:r w:rsidR="00AC5FC1" w:rsidRPr="00633E7A">
        <w:rPr>
          <w:rFonts w:cstheme="minorHAnsi"/>
        </w:rPr>
        <w:t>may be completely solid. Banks facing panicked</w:t>
      </w:r>
      <w:r w:rsidR="00AC5FC1" w:rsidRPr="00633E7A">
        <w:rPr>
          <w:rFonts w:cstheme="minorHAnsi"/>
          <w:shd w:val="clear" w:color="auto" w:fill="FFFFFF"/>
        </w:rPr>
        <w:t xml:space="preserve"> cash </w:t>
      </w:r>
      <w:r w:rsidR="00AC5FC1" w:rsidRPr="00633E7A">
        <w:rPr>
          <w:rFonts w:cstheme="minorHAnsi"/>
        </w:rPr>
        <w:t>demand need to</w:t>
      </w:r>
      <w:r w:rsidR="00AC5FC1" w:rsidRPr="00633E7A">
        <w:rPr>
          <w:rFonts w:cstheme="minorHAnsi"/>
          <w:shd w:val="clear" w:color="auto" w:fill="FFFFFF"/>
        </w:rPr>
        <w:t xml:space="preserve"> find cash </w:t>
      </w:r>
      <w:r w:rsidR="00AC5FC1" w:rsidRPr="00633E7A">
        <w:rPr>
          <w:rFonts w:cstheme="minorHAnsi"/>
        </w:rPr>
        <w:t>as quickly as possible.</w:t>
      </w:r>
      <w:r w:rsidR="00AC5FC1" w:rsidRPr="00633E7A">
        <w:rPr>
          <w:rFonts w:cstheme="minorHAnsi"/>
          <w:shd w:val="clear" w:color="auto" w:fill="FFFFFF"/>
        </w:rPr>
        <w:t xml:space="preserve"> Banks then </w:t>
      </w:r>
      <w:r w:rsidR="00AC5FC1" w:rsidRPr="00633E7A">
        <w:rPr>
          <w:rFonts w:cstheme="minorHAnsi"/>
        </w:rPr>
        <w:t>turn to the interbank market</w:t>
      </w:r>
      <w:r w:rsidR="00AC5FC1" w:rsidRPr="00633E7A">
        <w:rPr>
          <w:rFonts w:cstheme="minorHAnsi"/>
          <w:shd w:val="clear" w:color="auto" w:fill="FFFFFF"/>
        </w:rPr>
        <w:t xml:space="preserve"> for overnight loans. </w:t>
      </w:r>
      <w:r w:rsidR="00AC5FC1" w:rsidRPr="00633E7A">
        <w:rPr>
          <w:rFonts w:cstheme="minorHAnsi"/>
        </w:rPr>
        <w:t>If a</w:t>
      </w:r>
      <w:r w:rsidR="00AC5FC1" w:rsidRPr="00633E7A">
        <w:rPr>
          <w:rFonts w:cstheme="minorHAnsi"/>
          <w:shd w:val="clear" w:color="auto" w:fill="FFFFFF"/>
        </w:rPr>
        <w:t xml:space="preserve"> bank </w:t>
      </w:r>
      <w:r w:rsidR="00AC5FC1" w:rsidRPr="00633E7A">
        <w:rPr>
          <w:rFonts w:cstheme="minorHAnsi"/>
        </w:rPr>
        <w:t>withdraws</w:t>
      </w:r>
      <w:r w:rsidR="00AC5FC1" w:rsidRPr="00633E7A">
        <w:rPr>
          <w:rFonts w:cstheme="minorHAnsi"/>
          <w:shd w:val="clear" w:color="auto" w:fill="FFFFFF"/>
        </w:rPr>
        <w:t xml:space="preserve"> or refuses to </w:t>
      </w:r>
      <w:r w:rsidR="00AC5FC1" w:rsidRPr="00633E7A">
        <w:rPr>
          <w:rFonts w:cstheme="minorHAnsi"/>
        </w:rPr>
        <w:t>extend an</w:t>
      </w:r>
      <w:r w:rsidR="00AC5FC1" w:rsidRPr="00633E7A">
        <w:rPr>
          <w:rFonts w:cstheme="minorHAnsi"/>
          <w:shd w:val="clear" w:color="auto" w:fill="FFFFFF"/>
        </w:rPr>
        <w:t xml:space="preserve"> interbank </w:t>
      </w:r>
      <w:r w:rsidR="00AC5FC1" w:rsidRPr="00633E7A">
        <w:rPr>
          <w:rFonts w:cstheme="minorHAnsi"/>
        </w:rPr>
        <w:t>loan, there</w:t>
      </w:r>
      <w:r w:rsidR="00AC5FC1" w:rsidRPr="00633E7A">
        <w:rPr>
          <w:rFonts w:cstheme="minorHAnsi"/>
          <w:shd w:val="clear" w:color="auto" w:fill="FFFFFF"/>
        </w:rPr>
        <w:t xml:space="preserve"> is </w:t>
      </w:r>
      <w:r w:rsidR="00AC5FC1" w:rsidRPr="00633E7A">
        <w:rPr>
          <w:rFonts w:cstheme="minorHAnsi"/>
        </w:rPr>
        <w:t>a risk that</w:t>
      </w:r>
      <w:r w:rsidR="00AC5FC1" w:rsidRPr="00633E7A">
        <w:rPr>
          <w:rFonts w:cstheme="minorHAnsi"/>
          <w:shd w:val="clear" w:color="auto" w:fill="FFFFFF"/>
        </w:rPr>
        <w:t xml:space="preserve"> the borrowing bank </w:t>
      </w:r>
      <w:r w:rsidR="00AC5FC1" w:rsidRPr="00633E7A">
        <w:rPr>
          <w:rFonts w:cstheme="minorHAnsi"/>
        </w:rPr>
        <w:t>will be liquid</w:t>
      </w:r>
      <w:r w:rsidR="00AC5FC1" w:rsidRPr="00633E7A">
        <w:rPr>
          <w:rFonts w:cstheme="minorHAnsi"/>
          <w:shd w:val="clear" w:color="auto" w:fill="FFFFFF"/>
        </w:rPr>
        <w:t xml:space="preserve"> and </w:t>
      </w:r>
      <w:r w:rsidR="00AC5FC1" w:rsidRPr="00633E7A">
        <w:rPr>
          <w:rFonts w:cstheme="minorHAnsi"/>
        </w:rPr>
        <w:t>unable to</w:t>
      </w:r>
      <w:r w:rsidR="00AC5FC1" w:rsidRPr="00633E7A">
        <w:rPr>
          <w:rFonts w:cstheme="minorHAnsi"/>
          <w:shd w:val="clear" w:color="auto" w:fill="FFFFFF"/>
        </w:rPr>
        <w:t xml:space="preserve"> meet </w:t>
      </w:r>
      <w:r w:rsidR="00AC5FC1" w:rsidRPr="00633E7A">
        <w:rPr>
          <w:rFonts w:cstheme="minorHAnsi"/>
        </w:rPr>
        <w:t>customer demands</w:t>
      </w:r>
      <w:r w:rsidR="005B495F">
        <w:rPr>
          <w:rFonts w:ascii="Poppins" w:hAnsi="Poppins" w:cs="Poppins"/>
          <w:b/>
          <w:bCs/>
          <w:sz w:val="21"/>
          <w:szCs w:val="21"/>
        </w:rPr>
        <w:t>.</w:t>
      </w:r>
      <w:r w:rsidR="00633E7A">
        <w:rPr>
          <w:rFonts w:ascii="Poppins" w:hAnsi="Poppins" w:cs="Poppins"/>
          <w:b/>
          <w:bCs/>
          <w:color w:val="FF0000"/>
          <w:sz w:val="21"/>
          <w:szCs w:val="21"/>
        </w:rPr>
        <w:t xml:space="preserve"> </w:t>
      </w:r>
      <w:r w:rsidR="004839E7" w:rsidRPr="00627EFC">
        <w:t xml:space="preserve">The second area </w:t>
      </w:r>
      <w:r w:rsidR="0094015E" w:rsidRPr="00627EFC">
        <w:t xml:space="preserve">of concern </w:t>
      </w:r>
      <w:r w:rsidR="004839E7" w:rsidRPr="00627EFC">
        <w:t>is co</w:t>
      </w:r>
      <w:r w:rsidR="0094015E" w:rsidRPr="00627EFC">
        <w:t>nsumer</w:t>
      </w:r>
      <w:r w:rsidR="004839E7" w:rsidRPr="00627EFC">
        <w:t xml:space="preserve"> protected</w:t>
      </w:r>
      <w:r w:rsidR="0094015E" w:rsidRPr="00627EFC">
        <w:t xml:space="preserve">. </w:t>
      </w:r>
      <w:r w:rsidR="006837C8" w:rsidRPr="00627EFC">
        <w:t>Generally,</w:t>
      </w:r>
      <w:r w:rsidR="0094015E" w:rsidRPr="00627EFC">
        <w:t xml:space="preserve"> it is the </w:t>
      </w:r>
      <w:r w:rsidR="006837C8" w:rsidRPr="00627EFC">
        <w:t>buyer’s</w:t>
      </w:r>
      <w:r w:rsidR="0094015E" w:rsidRPr="00627EFC">
        <w:t xml:space="preserve"> obligation to check what </w:t>
      </w:r>
      <w:r w:rsidR="00C3402D" w:rsidRPr="00627EFC">
        <w:t>is being bought</w:t>
      </w:r>
      <w:r w:rsidR="0094015E" w:rsidRPr="00627EFC">
        <w:t xml:space="preserve"> and does it meet the purpose, though this is fine with buying sim</w:t>
      </w:r>
      <w:r w:rsidR="00C3402D" w:rsidRPr="00627EFC">
        <w:t xml:space="preserve">ple product </w:t>
      </w:r>
      <w:r w:rsidR="006837C8" w:rsidRPr="00627EFC">
        <w:t>and well-informed</w:t>
      </w:r>
      <w:r w:rsidR="0094015E" w:rsidRPr="00627EFC">
        <w:t xml:space="preserve"> </w:t>
      </w:r>
      <w:r w:rsidR="00C3402D" w:rsidRPr="00627EFC">
        <w:t xml:space="preserve">buyers however it is not the case currently with many products in the market with </w:t>
      </w:r>
      <w:r w:rsidR="00406FEA" w:rsidRPr="00627EFC">
        <w:t xml:space="preserve">complicated clues in it. Modern financial systems rely heavily on recruiting </w:t>
      </w:r>
      <w:r w:rsidR="00406FEA" w:rsidRPr="00627EFC">
        <w:lastRenderedPageBreak/>
        <w:t xml:space="preserve">and maximising number of consumers to </w:t>
      </w:r>
      <w:r w:rsidR="006837C8" w:rsidRPr="00627EFC">
        <w:t xml:space="preserve">spread the banks internal risk therefore not all consumers are well information of the products descriptor. </w:t>
      </w:r>
      <w:r w:rsidR="008554A9" w:rsidRPr="00627EFC">
        <w:t>Additionally,</w:t>
      </w:r>
      <w:r w:rsidR="006837C8" w:rsidRPr="00627EFC">
        <w:t xml:space="preserve"> governments are encouraging the consumers to use these intermediaries to</w:t>
      </w:r>
      <w:r w:rsidR="0096331E" w:rsidRPr="00627EFC">
        <w:t xml:space="preserve"> open bank accounts and</w:t>
      </w:r>
      <w:r w:rsidR="006837C8" w:rsidRPr="00627EFC">
        <w:t xml:space="preserve"> build up saving</w:t>
      </w:r>
      <w:r w:rsidR="0096331E" w:rsidRPr="00627EFC">
        <w:t xml:space="preserve">, this makes it convenient for public authority to pay benefits into. </w:t>
      </w:r>
      <w:r w:rsidR="00077BA7" w:rsidRPr="00627EFC">
        <w:t>For these two reasons it is important to have regulations in place</w:t>
      </w:r>
      <w:r w:rsidR="008554A9" w:rsidRPr="00627EFC">
        <w:t>. G</w:t>
      </w:r>
      <w:r w:rsidR="00077BA7" w:rsidRPr="00627EFC">
        <w:t>overnment cannot leave consumers to look after themselves</w:t>
      </w:r>
      <w:r w:rsidR="008554A9" w:rsidRPr="00627EFC">
        <w:t xml:space="preserve"> some of whom maybe financially unsophisticated.</w:t>
      </w:r>
      <w:r w:rsidR="00077BA7" w:rsidRPr="00627EFC">
        <w:t xml:space="preserve"> </w:t>
      </w:r>
      <w:r w:rsidR="0096331E" w:rsidRPr="00627EFC">
        <w:t xml:space="preserve"> </w:t>
      </w:r>
    </w:p>
    <w:p w14:paraId="7C520DB5" w14:textId="1C136A15" w:rsidR="00850725" w:rsidRPr="001F7C86" w:rsidRDefault="00AF03F7" w:rsidP="001F7C86">
      <w:pPr>
        <w:jc w:val="both"/>
      </w:pPr>
      <w:r w:rsidRPr="00850725">
        <w:t>The Central Bank</w:t>
      </w:r>
      <w:r w:rsidR="001718DC" w:rsidRPr="00850725">
        <w:t xml:space="preserve">s has a duty to maintain the stability of the currency and money supply for the group of countries or a country. In United Kingdom the bank of England has a set of </w:t>
      </w:r>
      <w:r w:rsidR="000D3982" w:rsidRPr="00850725">
        <w:t>roles</w:t>
      </w:r>
      <w:r w:rsidR="001718DC" w:rsidRPr="00850725">
        <w:t xml:space="preserve"> in financial stability which </w:t>
      </w:r>
      <w:r w:rsidR="000D3982" w:rsidRPr="00850725">
        <w:t xml:space="preserve">include </w:t>
      </w:r>
      <w:r w:rsidR="001718DC" w:rsidRPr="00850725">
        <w:t xml:space="preserve">Risk Assessment, Risk Reduction, </w:t>
      </w:r>
      <w:r w:rsidR="00F569D6" w:rsidRPr="00850725">
        <w:t>Oversight</w:t>
      </w:r>
      <w:r w:rsidR="001718DC" w:rsidRPr="00850725">
        <w:t xml:space="preserve"> of </w:t>
      </w:r>
      <w:r w:rsidR="00F569D6" w:rsidRPr="00850725">
        <w:t>Payment</w:t>
      </w:r>
      <w:r w:rsidR="001718DC" w:rsidRPr="00850725">
        <w:t xml:space="preserve"> Systems</w:t>
      </w:r>
      <w:r w:rsidR="00F569D6" w:rsidRPr="00850725">
        <w:t xml:space="preserve">, Crisis Management. Central Banks accomplish their </w:t>
      </w:r>
      <w:r w:rsidR="000D3982" w:rsidRPr="00850725">
        <w:t>goals</w:t>
      </w:r>
      <w:r w:rsidR="00F569D6" w:rsidRPr="00850725">
        <w:t xml:space="preserve"> through monetary policy therefore they are recognized as Monetary Authority. Central Banks implement the monetary policy by requiring private banks to maintain and deposit the required reserved deposit </w:t>
      </w:r>
      <w:r w:rsidR="000D3982" w:rsidRPr="00850725">
        <w:t>and therefore central banks are referred to as reserve bank.</w:t>
      </w:r>
      <w:r w:rsidR="00124A1F">
        <w:t xml:space="preserve"> During a financial crisis or to </w:t>
      </w:r>
      <w:r w:rsidR="00972D19">
        <w:t xml:space="preserve">divert a financial crisis the central banks perform the role of lender of last resort for the banking system. </w:t>
      </w:r>
      <w:r w:rsidR="00E70F3F" w:rsidRPr="00850725">
        <w:t xml:space="preserve">In addition to the </w:t>
      </w:r>
      <w:r w:rsidR="000A69CE" w:rsidRPr="00850725">
        <w:t>country’s</w:t>
      </w:r>
      <w:r w:rsidR="00E70F3F" w:rsidRPr="00850725">
        <w:t xml:space="preserve"> central bank there is the European Central Bank (ECB). The ECB came to existence in January 1999 and is responsible for implementing monetary policy for the member countries of the European Union (</w:t>
      </w:r>
      <w:proofErr w:type="spellStart"/>
      <w:r w:rsidR="00E70F3F" w:rsidRPr="00850725">
        <w:rPr>
          <w:rFonts w:ascii="Helvetica" w:hAnsi="Helvetica"/>
          <w:color w:val="070726"/>
          <w:sz w:val="21"/>
          <w:szCs w:val="21"/>
          <w:shd w:val="clear" w:color="auto" w:fill="FFFFFF"/>
        </w:rPr>
        <w:t>Fabozzi</w:t>
      </w:r>
      <w:proofErr w:type="spellEnd"/>
      <w:r w:rsidR="00E70F3F" w:rsidRPr="00850725">
        <w:t>,</w:t>
      </w:r>
      <w:r w:rsidR="00850725" w:rsidRPr="00850725">
        <w:t xml:space="preserve"> 2014).</w:t>
      </w:r>
      <w:r w:rsidR="00E70F3F" w:rsidRPr="00850725">
        <w:t xml:space="preserve"> </w:t>
      </w:r>
    </w:p>
    <w:p w14:paraId="02CF96A2" w14:textId="0EE069E1" w:rsidR="00C73765" w:rsidRPr="00916481" w:rsidRDefault="00C73765" w:rsidP="00C73765">
      <w:pPr>
        <w:jc w:val="both"/>
      </w:pPr>
      <w:r w:rsidRPr="00C73765">
        <w:t>Customarily to analyse the performance of banks a set of ratios, net interest margin (NIM), return on average asset (ROAA), return on average equity ratio (ROAE) or cost to income was used. However, the financial crisis has proved that these measures are not enough to judge the financial institutions and performance should correlate with risk.</w:t>
      </w:r>
      <w:r w:rsidR="00461C85">
        <w:t xml:space="preserve"> </w:t>
      </w:r>
      <w:r w:rsidR="003E572E">
        <w:t>Furthermore,</w:t>
      </w:r>
      <w:r w:rsidR="00461C85">
        <w:t xml:space="preserve"> these sets of ratios have been criticized for being insufficient to effectively measure the performance </w:t>
      </w:r>
      <w:r w:rsidR="003E572E">
        <w:t xml:space="preserve">of </w:t>
      </w:r>
      <w:r w:rsidR="00461C85">
        <w:t>banks credit risk, interest rate</w:t>
      </w:r>
      <w:r w:rsidR="003E572E">
        <w:t xml:space="preserve"> risk</w:t>
      </w:r>
      <w:r w:rsidR="00461C85">
        <w:t xml:space="preserve">, foreign exchange risk, operational risk, </w:t>
      </w:r>
      <w:r w:rsidR="003E572E">
        <w:t>leverage,</w:t>
      </w:r>
      <w:r w:rsidR="00461C85">
        <w:t xml:space="preserve"> and liquidity risk.</w:t>
      </w:r>
      <w:r w:rsidR="007A3C1C">
        <w:t xml:space="preserve"> Banks efficiency measures should include the effects of risks on measured profitability ratios</w:t>
      </w:r>
      <w:r w:rsidR="00827BE4">
        <w:t xml:space="preserve"> and therefore a</w:t>
      </w:r>
      <w:r w:rsidRPr="00C73765">
        <w:t xml:space="preserve">ll the previous measures have been revaluated to incorporate risk monitoring and processes for prudential regulations </w:t>
      </w:r>
      <w:bookmarkStart w:id="5" w:name="_Hlk88326050"/>
      <w:r w:rsidRPr="00916481">
        <w:t>(</w:t>
      </w:r>
      <w:proofErr w:type="spellStart"/>
      <w:r w:rsidRPr="00916481">
        <w:rPr>
          <w:rFonts w:ascii="Roboto" w:hAnsi="Roboto"/>
          <w:sz w:val="21"/>
          <w:szCs w:val="21"/>
          <w:shd w:val="clear" w:color="auto" w:fill="FFFFFF"/>
        </w:rPr>
        <w:t>Dinçer</w:t>
      </w:r>
      <w:proofErr w:type="spellEnd"/>
      <w:r w:rsidRPr="00916481">
        <w:rPr>
          <w:rFonts w:ascii="Roboto" w:hAnsi="Roboto"/>
          <w:sz w:val="21"/>
          <w:szCs w:val="21"/>
          <w:shd w:val="clear" w:color="auto" w:fill="FFFFFF"/>
        </w:rPr>
        <w:t xml:space="preserve"> and </w:t>
      </w:r>
      <w:proofErr w:type="spellStart"/>
      <w:r w:rsidRPr="00916481">
        <w:rPr>
          <w:rFonts w:ascii="Roboto" w:hAnsi="Roboto"/>
          <w:sz w:val="21"/>
          <w:szCs w:val="21"/>
          <w:shd w:val="clear" w:color="auto" w:fill="FFFFFF"/>
        </w:rPr>
        <w:t>Hacioğlu</w:t>
      </w:r>
      <w:proofErr w:type="spellEnd"/>
      <w:r w:rsidRPr="00916481">
        <w:rPr>
          <w:rFonts w:ascii="Roboto" w:hAnsi="Roboto"/>
          <w:sz w:val="21"/>
          <w:szCs w:val="21"/>
          <w:shd w:val="clear" w:color="auto" w:fill="FFFFFF"/>
        </w:rPr>
        <w:t>, 2014)</w:t>
      </w:r>
      <w:r w:rsidRPr="00916481">
        <w:t>.</w:t>
      </w:r>
      <w:bookmarkEnd w:id="5"/>
    </w:p>
    <w:p w14:paraId="2FFC6DE0" w14:textId="77777777" w:rsidR="00470965" w:rsidRDefault="00470965" w:rsidP="00C73765">
      <w:pPr>
        <w:jc w:val="both"/>
        <w:rPr>
          <w:b/>
          <w:bCs/>
        </w:rPr>
      </w:pPr>
    </w:p>
    <w:p w14:paraId="524A9529" w14:textId="4F5FF9BC" w:rsidR="00470965" w:rsidRPr="00470965" w:rsidRDefault="00470965" w:rsidP="00885691">
      <w:pPr>
        <w:pStyle w:val="Heading2"/>
      </w:pPr>
      <w:bookmarkStart w:id="6" w:name="_Toc92570877"/>
      <w:r w:rsidRPr="001E6119">
        <w:t>Basel I Accord</w:t>
      </w:r>
      <w:bookmarkEnd w:id="6"/>
      <w:r w:rsidRPr="001E6119">
        <w:t xml:space="preserve"> </w:t>
      </w:r>
    </w:p>
    <w:p w14:paraId="32AB0566" w14:textId="0945B667" w:rsidR="006C3625" w:rsidRDefault="008E542C" w:rsidP="00C73765">
      <w:pPr>
        <w:jc w:val="both"/>
      </w:pPr>
      <w:r>
        <w:t>In 1974 The Basel Committee was formed</w:t>
      </w:r>
      <w:r w:rsidR="00FE205A">
        <w:t xml:space="preserve"> </w:t>
      </w:r>
      <w:r>
        <w:t>consisting o</w:t>
      </w:r>
      <w:r w:rsidR="00FE205A">
        <w:t>f</w:t>
      </w:r>
      <w:r>
        <w:t xml:space="preserve"> representatives from Belgium, Canada, France, Germany, Italy, Japan, Luxembourg, the Netherlands, Sweden, Switzerland, the United Kingdom, and the United States</w:t>
      </w:r>
      <w:r w:rsidR="00FE205A">
        <w:t xml:space="preserve">. The committee met regularly in Basel in Switzerland. </w:t>
      </w:r>
      <w:r w:rsidR="00992B99">
        <w:t xml:space="preserve">The international standards for bank regulation agreement </w:t>
      </w:r>
      <w:r>
        <w:t>were</w:t>
      </w:r>
      <w:r w:rsidR="00992B99">
        <w:t xml:space="preserve"> made in 1988 known as the Basel Accord.</w:t>
      </w:r>
      <w:r w:rsidR="0070401B">
        <w:t xml:space="preserve"> </w:t>
      </w:r>
      <w:r w:rsidR="00470965">
        <w:t>The Basel Accord later became known as Basel I. Basel I had</w:t>
      </w:r>
      <w:r w:rsidR="00A86638">
        <w:t xml:space="preserve"> no capital requirements defined for market risk.</w:t>
      </w:r>
      <w:r w:rsidR="00E956D6">
        <w:t xml:space="preserve"> Soon regulators recognised the risks to a banking system with insufficient capital held for sudden large losses from huge exposures in the capital markets. </w:t>
      </w:r>
      <w:r w:rsidR="0070401B">
        <w:t xml:space="preserve">During the mid-1990s amendment proposals were made to the 1988 Accord requiring additional capital above the minimum required for credit risk.  </w:t>
      </w:r>
      <w:r w:rsidR="006E49F3">
        <w:t xml:space="preserve">The committee decided to set international risk-based standards for capital adequacy, all 12 members of the Basel Committee at the time signed the agreement for significant increase in the </w:t>
      </w:r>
      <w:r w:rsidR="00DE5442">
        <w:t>resource’s</w:t>
      </w:r>
      <w:r w:rsidR="006E49F3">
        <w:t xml:space="preserve"> banks devoted to measuring, </w:t>
      </w:r>
      <w:r w:rsidR="00DE5442">
        <w:t>understanding,</w:t>
      </w:r>
      <w:r w:rsidR="006E49F3">
        <w:t xml:space="preserve"> and managing risks</w:t>
      </w:r>
      <w:r w:rsidR="00DE5442">
        <w:t xml:space="preserve">. The key innovation of this accord was the bank’s total risk-weighted assets measures which considers credit risk exposures that are both on-balance-sheet </w:t>
      </w:r>
      <w:r w:rsidR="007E36AB">
        <w:t>and off-balance-sheet (Hull,2015).</w:t>
      </w:r>
      <w:r w:rsidR="006C3625">
        <w:t xml:space="preserve"> The accord focuses on risk asset ratio (</w:t>
      </w:r>
      <w:proofErr w:type="spellStart"/>
      <w:r w:rsidR="006C3625">
        <w:t>RaR</w:t>
      </w:r>
      <w:proofErr w:type="spellEnd"/>
      <w:r w:rsidR="006C3625">
        <w:t xml:space="preserve">). Capital requirement in Basel I requires banks to keep </w:t>
      </w:r>
      <w:r w:rsidR="00E366E2">
        <w:t>capital equal to at least 8% of the risk-weighted assets. Capital has two components, Tier 1 capital, and Tier 2 Capital. Tier 1 capita</w:t>
      </w:r>
      <w:r w:rsidR="00FB19AC">
        <w:t>l</w:t>
      </w:r>
      <w:r w:rsidR="00E366E2">
        <w:t xml:space="preserve"> consists of equity and noncumulative perpetual preferred stock. Tier 2 capital often referred to as supplementary capital, includes cumulative perpetual preferred stock. 99-year debenture issues and sub</w:t>
      </w:r>
      <w:r w:rsidR="00FB19AC">
        <w:t xml:space="preserve">ordinated debt with a life of more than 5 years. </w:t>
      </w:r>
      <w:r w:rsidR="008D2998">
        <w:t xml:space="preserve">The requirement </w:t>
      </w:r>
      <w:r w:rsidR="0070401B">
        <w:t>is</w:t>
      </w:r>
      <w:r w:rsidR="008D2998">
        <w:t xml:space="preserve"> to have at least 50% of the required capital (4%) to be </w:t>
      </w:r>
      <w:r w:rsidR="008D2998">
        <w:lastRenderedPageBreak/>
        <w:t>in Tier 1 and 2% of risk-weighted asset to be common equity.</w:t>
      </w:r>
      <w:r w:rsidR="00582A90">
        <w:t xml:space="preserve"> Further clarification has been made on common equity and definition of instruments that are eligible for Tier 1 capital in Basel III (Hull,2015).</w:t>
      </w:r>
      <w:r w:rsidR="00E366E2">
        <w:t xml:space="preserve"> </w:t>
      </w:r>
    </w:p>
    <w:p w14:paraId="251441B1" w14:textId="088693A9" w:rsidR="00E956D6" w:rsidRDefault="00DE5442" w:rsidP="00C73765">
      <w:pPr>
        <w:jc w:val="both"/>
      </w:pPr>
      <w:r>
        <w:t xml:space="preserve"> </w:t>
      </w:r>
      <w:r w:rsidR="00443C31">
        <w:rPr>
          <w:noProof/>
        </w:rPr>
        <w:drawing>
          <wp:inline distT="0" distB="0" distL="0" distR="0" wp14:anchorId="0D98849A" wp14:editId="2F23B940">
            <wp:extent cx="4724400" cy="619125"/>
            <wp:effectExtent l="0" t="0" r="0" b="9525"/>
            <wp:docPr id="17" name="Picture 17"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10;&#10;Description automatically generated with medium confidence"/>
                    <pic:cNvPicPr/>
                  </pic:nvPicPr>
                  <pic:blipFill>
                    <a:blip r:embed="rId7"/>
                    <a:stretch>
                      <a:fillRect/>
                    </a:stretch>
                  </pic:blipFill>
                  <pic:spPr>
                    <a:xfrm>
                      <a:off x="0" y="0"/>
                      <a:ext cx="4724400" cy="619125"/>
                    </a:xfrm>
                    <a:prstGeom prst="rect">
                      <a:avLst/>
                    </a:prstGeom>
                  </pic:spPr>
                </pic:pic>
              </a:graphicData>
            </a:graphic>
          </wp:inline>
        </w:drawing>
      </w:r>
    </w:p>
    <w:p w14:paraId="2DDB71D8" w14:textId="416FB6CF" w:rsidR="00443C31" w:rsidRDefault="00443C31" w:rsidP="00C73765">
      <w:pPr>
        <w:jc w:val="both"/>
      </w:pPr>
      <w:r>
        <w:t>Risk Asset Ratio Formula (Moodle Lecture slide 9).</w:t>
      </w:r>
    </w:p>
    <w:p w14:paraId="6A76B509" w14:textId="527335CE" w:rsidR="007176F4" w:rsidRDefault="007176F4" w:rsidP="00885691">
      <w:pPr>
        <w:pStyle w:val="Heading2"/>
      </w:pPr>
      <w:bookmarkStart w:id="7" w:name="_Toc92570878"/>
      <w:r w:rsidRPr="007176F4">
        <w:t>Basel II</w:t>
      </w:r>
      <w:bookmarkEnd w:id="7"/>
    </w:p>
    <w:p w14:paraId="48AD6BC2" w14:textId="619B0261" w:rsidR="00476E3C" w:rsidRPr="00C278BA" w:rsidRDefault="00476E3C" w:rsidP="00C73765">
      <w:pPr>
        <w:jc w:val="both"/>
        <w:rPr>
          <w:rFonts w:cstheme="minorHAnsi"/>
          <w:sz w:val="24"/>
          <w:szCs w:val="24"/>
        </w:rPr>
      </w:pPr>
      <w:r w:rsidRPr="00C278BA">
        <w:rPr>
          <w:rFonts w:cstheme="minorHAnsi"/>
          <w:shd w:val="clear" w:color="auto" w:fill="FFFFFF"/>
        </w:rPr>
        <w:t xml:space="preserve">Basel I focused </w:t>
      </w:r>
      <w:r w:rsidRPr="00C278BA">
        <w:rPr>
          <w:rFonts w:cstheme="minorHAnsi"/>
        </w:rPr>
        <w:t>on</w:t>
      </w:r>
      <w:r w:rsidRPr="00C278BA">
        <w:rPr>
          <w:rFonts w:cstheme="minorHAnsi"/>
          <w:shd w:val="clear" w:color="auto" w:fill="FFFFFF"/>
        </w:rPr>
        <w:t xml:space="preserve"> asset </w:t>
      </w:r>
      <w:r w:rsidRPr="00C278BA">
        <w:rPr>
          <w:rFonts w:cstheme="minorHAnsi"/>
        </w:rPr>
        <w:t>default exposures, while</w:t>
      </w:r>
      <w:r w:rsidRPr="00C278BA">
        <w:rPr>
          <w:rFonts w:cstheme="minorHAnsi"/>
          <w:shd w:val="clear" w:color="auto" w:fill="FFFFFF"/>
        </w:rPr>
        <w:t xml:space="preserve"> Basel II </w:t>
      </w:r>
      <w:r w:rsidRPr="00C278BA">
        <w:rPr>
          <w:rFonts w:cstheme="minorHAnsi"/>
        </w:rPr>
        <w:t>also seeks</w:t>
      </w:r>
      <w:r w:rsidRPr="00C278BA">
        <w:rPr>
          <w:rFonts w:cstheme="minorHAnsi"/>
          <w:shd w:val="clear" w:color="auto" w:fill="FFFFFF"/>
        </w:rPr>
        <w:t xml:space="preserve"> to take </w:t>
      </w:r>
      <w:r w:rsidRPr="00C278BA">
        <w:rPr>
          <w:rFonts w:cstheme="minorHAnsi"/>
        </w:rPr>
        <w:t>into</w:t>
      </w:r>
      <w:r w:rsidRPr="00C278BA">
        <w:rPr>
          <w:rFonts w:cstheme="minorHAnsi"/>
          <w:shd w:val="clear" w:color="auto" w:fill="FFFFFF"/>
        </w:rPr>
        <w:t xml:space="preserve"> account market and operational risk. </w:t>
      </w:r>
      <w:r w:rsidRPr="00C278BA">
        <w:rPr>
          <w:rFonts w:cstheme="minorHAnsi"/>
        </w:rPr>
        <w:t>In 1998, a framework for</w:t>
      </w:r>
      <w:r w:rsidRPr="00C278BA">
        <w:rPr>
          <w:rFonts w:cstheme="minorHAnsi"/>
          <w:shd w:val="clear" w:color="auto" w:fill="FFFFFF"/>
        </w:rPr>
        <w:t xml:space="preserve"> capital adequacy </w:t>
      </w:r>
      <w:r w:rsidRPr="00C278BA">
        <w:rPr>
          <w:rFonts w:cstheme="minorHAnsi"/>
        </w:rPr>
        <w:t>against market risk</w:t>
      </w:r>
      <w:r w:rsidRPr="00C278BA">
        <w:rPr>
          <w:rFonts w:cstheme="minorHAnsi"/>
          <w:shd w:val="clear" w:color="auto" w:fill="FFFFFF"/>
        </w:rPr>
        <w:t xml:space="preserve"> was </w:t>
      </w:r>
      <w:r w:rsidRPr="00C278BA">
        <w:rPr>
          <w:rFonts w:cstheme="minorHAnsi"/>
        </w:rPr>
        <w:t>introduced. The</w:t>
      </w:r>
      <w:r w:rsidRPr="00C278BA">
        <w:rPr>
          <w:rFonts w:cstheme="minorHAnsi"/>
          <w:shd w:val="clear" w:color="auto" w:fill="FFFFFF"/>
        </w:rPr>
        <w:t xml:space="preserve"> Basel II Accord was </w:t>
      </w:r>
      <w:r w:rsidRPr="00C278BA">
        <w:rPr>
          <w:rFonts w:cstheme="minorHAnsi"/>
        </w:rPr>
        <w:t>developed</w:t>
      </w:r>
      <w:r w:rsidRPr="00C278BA">
        <w:rPr>
          <w:rFonts w:cstheme="minorHAnsi"/>
          <w:shd w:val="clear" w:color="auto" w:fill="FFFFFF"/>
        </w:rPr>
        <w:t xml:space="preserve"> to encourage </w:t>
      </w:r>
      <w:r w:rsidRPr="00C278BA">
        <w:rPr>
          <w:rFonts w:cstheme="minorHAnsi"/>
        </w:rPr>
        <w:t>rational motivation to take risks</w:t>
      </w:r>
      <w:r w:rsidRPr="00C278BA">
        <w:rPr>
          <w:rFonts w:cstheme="minorHAnsi"/>
          <w:shd w:val="clear" w:color="auto" w:fill="FFFFFF"/>
        </w:rPr>
        <w:t xml:space="preserve"> and monitor </w:t>
      </w:r>
      <w:r w:rsidRPr="00C278BA">
        <w:rPr>
          <w:rFonts w:cstheme="minorHAnsi"/>
        </w:rPr>
        <w:t>it</w:t>
      </w:r>
      <w:r w:rsidRPr="00C278BA">
        <w:rPr>
          <w:rFonts w:cstheme="minorHAnsi"/>
          <w:shd w:val="clear" w:color="auto" w:fill="FFFFFF"/>
        </w:rPr>
        <w:t xml:space="preserve"> with the </w:t>
      </w:r>
      <w:r w:rsidRPr="00C278BA">
        <w:rPr>
          <w:rFonts w:cstheme="minorHAnsi"/>
        </w:rPr>
        <w:t>help</w:t>
      </w:r>
      <w:r w:rsidRPr="00C278BA">
        <w:rPr>
          <w:rFonts w:cstheme="minorHAnsi"/>
          <w:shd w:val="clear" w:color="auto" w:fill="FFFFFF"/>
        </w:rPr>
        <w:t xml:space="preserve"> of </w:t>
      </w:r>
      <w:r w:rsidRPr="00C278BA">
        <w:rPr>
          <w:rFonts w:cstheme="minorHAnsi"/>
        </w:rPr>
        <w:t>an</w:t>
      </w:r>
      <w:r w:rsidRPr="00C278BA">
        <w:rPr>
          <w:rFonts w:cstheme="minorHAnsi"/>
          <w:shd w:val="clear" w:color="auto" w:fill="FFFFFF"/>
        </w:rPr>
        <w:t xml:space="preserve"> appropriate risk </w:t>
      </w:r>
      <w:r w:rsidRPr="00C278BA">
        <w:rPr>
          <w:rFonts w:cstheme="minorHAnsi"/>
        </w:rPr>
        <w:t>model for calculating value at risk (</w:t>
      </w:r>
      <w:proofErr w:type="spellStart"/>
      <w:r w:rsidRPr="00C278BA">
        <w:rPr>
          <w:rFonts w:cstheme="minorHAnsi"/>
        </w:rPr>
        <w:t>VaR</w:t>
      </w:r>
      <w:proofErr w:type="spellEnd"/>
      <w:r w:rsidRPr="00C278BA">
        <w:rPr>
          <w:rFonts w:cstheme="minorHAnsi"/>
        </w:rPr>
        <w:t>) and</w:t>
      </w:r>
      <w:r w:rsidRPr="00C278BA">
        <w:rPr>
          <w:rFonts w:cstheme="minorHAnsi"/>
          <w:shd w:val="clear" w:color="auto" w:fill="FFFFFF"/>
        </w:rPr>
        <w:t xml:space="preserve"> daily capital </w:t>
      </w:r>
      <w:r w:rsidRPr="00C278BA">
        <w:rPr>
          <w:rFonts w:cstheme="minorHAnsi"/>
        </w:rPr>
        <w:t>requirements.</w:t>
      </w:r>
      <w:r w:rsidRPr="00C278BA">
        <w:rPr>
          <w:rFonts w:cstheme="minorHAnsi"/>
          <w:shd w:val="clear" w:color="auto" w:fill="FFFFFF"/>
        </w:rPr>
        <w:t xml:space="preserve"> (McAleer at </w:t>
      </w:r>
      <w:proofErr w:type="spellStart"/>
      <w:r w:rsidRPr="00C278BA">
        <w:rPr>
          <w:rFonts w:cstheme="minorHAnsi"/>
          <w:shd w:val="clear" w:color="auto" w:fill="FFFFFF"/>
        </w:rPr>
        <w:t>el</w:t>
      </w:r>
      <w:proofErr w:type="spellEnd"/>
      <w:r w:rsidRPr="00C278BA">
        <w:rPr>
          <w:rFonts w:cstheme="minorHAnsi"/>
          <w:shd w:val="clear" w:color="auto" w:fill="FFFFFF"/>
        </w:rPr>
        <w:t xml:space="preserve">, 2013). Some critics have blamed </w:t>
      </w:r>
      <w:r w:rsidRPr="00C278BA">
        <w:rPr>
          <w:rFonts w:cstheme="minorHAnsi"/>
        </w:rPr>
        <w:t>the</w:t>
      </w:r>
      <w:r w:rsidRPr="00C278BA">
        <w:rPr>
          <w:rFonts w:cstheme="minorHAnsi"/>
          <w:shd w:val="clear" w:color="auto" w:fill="FFFFFF"/>
        </w:rPr>
        <w:t xml:space="preserve"> Basel II </w:t>
      </w:r>
      <w:r w:rsidRPr="00C278BA">
        <w:rPr>
          <w:rFonts w:cstheme="minorHAnsi"/>
        </w:rPr>
        <w:t>agreement</w:t>
      </w:r>
      <w:r w:rsidRPr="00C278BA">
        <w:rPr>
          <w:rFonts w:cstheme="minorHAnsi"/>
          <w:shd w:val="clear" w:color="auto" w:fill="FFFFFF"/>
        </w:rPr>
        <w:t xml:space="preserve"> for the </w:t>
      </w:r>
      <w:r w:rsidRPr="00C278BA">
        <w:rPr>
          <w:rFonts w:cstheme="minorHAnsi"/>
        </w:rPr>
        <w:t>2007-2008</w:t>
      </w:r>
      <w:r w:rsidRPr="00C278BA">
        <w:rPr>
          <w:rFonts w:cstheme="minorHAnsi"/>
          <w:shd w:val="clear" w:color="auto" w:fill="FFFFFF"/>
        </w:rPr>
        <w:t xml:space="preserve"> financial crisis.</w:t>
      </w:r>
      <w:r w:rsidR="00C278BA" w:rsidRPr="00C278BA">
        <w:rPr>
          <w:rFonts w:cstheme="minorHAnsi"/>
          <w:shd w:val="clear" w:color="auto" w:fill="FFFFFF"/>
        </w:rPr>
        <w:t xml:space="preserve"> The</w:t>
      </w:r>
      <w:r w:rsidRPr="00C278BA">
        <w:rPr>
          <w:rFonts w:cstheme="minorHAnsi"/>
          <w:shd w:val="clear" w:color="auto" w:fill="FFFFFF"/>
        </w:rPr>
        <w:t xml:space="preserve"> move towards </w:t>
      </w:r>
      <w:r w:rsidRPr="00C278BA">
        <w:rPr>
          <w:rFonts w:cstheme="minorHAnsi"/>
        </w:rPr>
        <w:t>self-regulation (Hull, 2015)</w:t>
      </w:r>
      <w:r w:rsidRPr="00C278BA">
        <w:rPr>
          <w:rFonts w:cstheme="minorHAnsi"/>
          <w:shd w:val="clear" w:color="auto" w:fill="FFFFFF"/>
        </w:rPr>
        <w:t xml:space="preserve"> where </w:t>
      </w:r>
      <w:r w:rsidRPr="00C278BA">
        <w:rPr>
          <w:rFonts w:cstheme="minorHAnsi"/>
        </w:rPr>
        <w:t xml:space="preserve">banks </w:t>
      </w:r>
      <w:r w:rsidR="00C278BA" w:rsidRPr="00C278BA">
        <w:rPr>
          <w:rFonts w:cstheme="minorHAnsi"/>
        </w:rPr>
        <w:t>had the</w:t>
      </w:r>
      <w:r w:rsidRPr="00C278BA">
        <w:rPr>
          <w:rFonts w:cstheme="minorHAnsi"/>
        </w:rPr>
        <w:t xml:space="preserve"> free</w:t>
      </w:r>
      <w:r w:rsidR="00C278BA" w:rsidRPr="00C278BA">
        <w:rPr>
          <w:rFonts w:cstheme="minorHAnsi"/>
        </w:rPr>
        <w:t>dom</w:t>
      </w:r>
      <w:r w:rsidRPr="00C278BA">
        <w:rPr>
          <w:rFonts w:cstheme="minorHAnsi"/>
          <w:shd w:val="clear" w:color="auto" w:fill="FFFFFF"/>
        </w:rPr>
        <w:t xml:space="preserve"> to use their own estimates of model inputs such as PD, </w:t>
      </w:r>
      <w:r w:rsidRPr="00C278BA">
        <w:rPr>
          <w:rFonts w:cstheme="minorHAnsi"/>
        </w:rPr>
        <w:t>LGD,</w:t>
      </w:r>
      <w:r w:rsidRPr="00C278BA">
        <w:rPr>
          <w:rFonts w:cstheme="minorHAnsi"/>
          <w:shd w:val="clear" w:color="auto" w:fill="FFFFFF"/>
        </w:rPr>
        <w:t xml:space="preserve"> EAD </w:t>
      </w:r>
      <w:r w:rsidRPr="00C278BA">
        <w:rPr>
          <w:rFonts w:cstheme="minorHAnsi"/>
        </w:rPr>
        <w:t>when calculating regulated capital.</w:t>
      </w:r>
    </w:p>
    <w:p w14:paraId="62C956BC" w14:textId="586E8949" w:rsidR="001E6119" w:rsidRPr="001E6119" w:rsidRDefault="001E6119" w:rsidP="00885691">
      <w:pPr>
        <w:pStyle w:val="Heading2"/>
      </w:pPr>
      <w:bookmarkStart w:id="8" w:name="_Toc92570879"/>
      <w:r w:rsidRPr="001E6119">
        <w:t>Basel 2.5 Reform</w:t>
      </w:r>
      <w:bookmarkEnd w:id="8"/>
    </w:p>
    <w:p w14:paraId="161252F9" w14:textId="7F2482B4" w:rsidR="00476E3C" w:rsidRPr="00D41D99" w:rsidRDefault="00476E3C" w:rsidP="00EA351C">
      <w:pPr>
        <w:jc w:val="both"/>
        <w:rPr>
          <w:rFonts w:cstheme="minorHAnsi"/>
          <w:sz w:val="24"/>
          <w:szCs w:val="24"/>
        </w:rPr>
      </w:pPr>
      <w:r w:rsidRPr="00D41D99">
        <w:rPr>
          <w:rFonts w:cstheme="minorHAnsi"/>
          <w:shd w:val="clear" w:color="auto" w:fill="FFFFFF"/>
        </w:rPr>
        <w:t xml:space="preserve">The first framework for minimum capital requirements for market risk was introduced by the Basel Committee on Banking Supervision in January 1996. The purpose of this framework was to ensure that banks </w:t>
      </w:r>
      <w:r w:rsidRPr="00D41D99">
        <w:rPr>
          <w:rFonts w:cstheme="minorHAnsi"/>
        </w:rPr>
        <w:t>have minimal</w:t>
      </w:r>
      <w:r w:rsidRPr="00D41D99">
        <w:rPr>
          <w:rFonts w:cstheme="minorHAnsi"/>
          <w:shd w:val="clear" w:color="auto" w:fill="FFFFFF"/>
        </w:rPr>
        <w:t xml:space="preserve"> regulatory capital </w:t>
      </w:r>
      <w:r w:rsidRPr="00D41D99">
        <w:rPr>
          <w:rFonts w:cstheme="minorHAnsi"/>
        </w:rPr>
        <w:t>to absorb</w:t>
      </w:r>
      <w:r w:rsidRPr="00D41D99">
        <w:rPr>
          <w:rFonts w:cstheme="minorHAnsi"/>
          <w:shd w:val="clear" w:color="auto" w:fill="FFFFFF"/>
        </w:rPr>
        <w:t xml:space="preserve"> losses </w:t>
      </w:r>
      <w:r w:rsidRPr="00D41D99">
        <w:rPr>
          <w:rFonts w:cstheme="minorHAnsi"/>
        </w:rPr>
        <w:t>from</w:t>
      </w:r>
      <w:r w:rsidRPr="00D41D99">
        <w:rPr>
          <w:rFonts w:cstheme="minorHAnsi"/>
          <w:shd w:val="clear" w:color="auto" w:fill="FFFFFF"/>
        </w:rPr>
        <w:t xml:space="preserve"> market movements. However, </w:t>
      </w:r>
      <w:r w:rsidRPr="00D41D99">
        <w:rPr>
          <w:rFonts w:cstheme="minorHAnsi"/>
        </w:rPr>
        <w:t>bank</w:t>
      </w:r>
      <w:r w:rsidRPr="00D41D99">
        <w:rPr>
          <w:rFonts w:cstheme="minorHAnsi"/>
          <w:shd w:val="clear" w:color="auto" w:fill="FFFFFF"/>
        </w:rPr>
        <w:t xml:space="preserve"> losses during the </w:t>
      </w:r>
      <w:r w:rsidRPr="00D41D99">
        <w:rPr>
          <w:rFonts w:cstheme="minorHAnsi"/>
        </w:rPr>
        <w:t>2007-2008</w:t>
      </w:r>
      <w:r w:rsidRPr="00D41D99">
        <w:rPr>
          <w:rFonts w:cstheme="minorHAnsi"/>
          <w:shd w:val="clear" w:color="auto" w:fill="FFFFFF"/>
        </w:rPr>
        <w:t xml:space="preserve"> financial crisis </w:t>
      </w:r>
      <w:r w:rsidRPr="00D41D99">
        <w:rPr>
          <w:rFonts w:cstheme="minorHAnsi"/>
        </w:rPr>
        <w:t>have shown</w:t>
      </w:r>
      <w:r w:rsidRPr="00D41D99">
        <w:rPr>
          <w:rFonts w:cstheme="minorHAnsi"/>
          <w:shd w:val="clear" w:color="auto" w:fill="FFFFFF"/>
        </w:rPr>
        <w:t xml:space="preserve"> that the framework conditions for banks to survive such a serious market crisis </w:t>
      </w:r>
      <w:r w:rsidRPr="00D41D99">
        <w:rPr>
          <w:rFonts w:cstheme="minorHAnsi"/>
        </w:rPr>
        <w:t>are</w:t>
      </w:r>
      <w:r w:rsidRPr="00D41D99">
        <w:rPr>
          <w:rFonts w:cstheme="minorHAnsi"/>
          <w:shd w:val="clear" w:color="auto" w:fill="FFFFFF"/>
        </w:rPr>
        <w:t xml:space="preserve"> inadequate. </w:t>
      </w:r>
      <w:r w:rsidRPr="00D41D99">
        <w:rPr>
          <w:rFonts w:cstheme="minorHAnsi"/>
        </w:rPr>
        <w:t>Then, in July 2009, the</w:t>
      </w:r>
      <w:r w:rsidRPr="00D41D99">
        <w:rPr>
          <w:rFonts w:cstheme="minorHAnsi"/>
          <w:shd w:val="clear" w:color="auto" w:fill="FFFFFF"/>
        </w:rPr>
        <w:t xml:space="preserve"> Commission revised the market risk framework known as the Basel 2.5 Reform. The reforms addressed the most serious </w:t>
      </w:r>
      <w:r w:rsidRPr="00D41D99">
        <w:rPr>
          <w:rFonts w:cstheme="minorHAnsi"/>
        </w:rPr>
        <w:t>flaws</w:t>
      </w:r>
      <w:r w:rsidRPr="00D41D99">
        <w:rPr>
          <w:rFonts w:cstheme="minorHAnsi"/>
          <w:shd w:val="clear" w:color="auto" w:fill="FFFFFF"/>
        </w:rPr>
        <w:t xml:space="preserve"> in the framework, but it was acknowledged that many structural flaws that were not addressed during the crisis were identified. </w:t>
      </w:r>
      <w:r w:rsidRPr="00D41D99">
        <w:rPr>
          <w:rFonts w:cstheme="minorHAnsi"/>
        </w:rPr>
        <w:t>So,</w:t>
      </w:r>
      <w:r w:rsidRPr="00D41D99">
        <w:rPr>
          <w:rFonts w:cstheme="minorHAnsi"/>
          <w:shd w:val="clear" w:color="auto" w:fill="FFFFFF"/>
        </w:rPr>
        <w:t xml:space="preserve"> they conducted a </w:t>
      </w:r>
      <w:r w:rsidRPr="00D41D99">
        <w:rPr>
          <w:rFonts w:cstheme="minorHAnsi"/>
        </w:rPr>
        <w:t>thorough</w:t>
      </w:r>
      <w:r w:rsidRPr="00D41D99">
        <w:rPr>
          <w:rFonts w:cstheme="minorHAnsi"/>
          <w:shd w:val="clear" w:color="auto" w:fill="FFFFFF"/>
        </w:rPr>
        <w:t xml:space="preserve"> review of the Trading Book (FRTB). Banks have a portfolio of trading products for </w:t>
      </w:r>
      <w:r w:rsidRPr="00D41D99">
        <w:rPr>
          <w:rFonts w:cstheme="minorHAnsi"/>
        </w:rPr>
        <w:t>short-term</w:t>
      </w:r>
      <w:r w:rsidRPr="00D41D99">
        <w:rPr>
          <w:rFonts w:cstheme="minorHAnsi"/>
          <w:shd w:val="clear" w:color="auto" w:fill="FFFFFF"/>
        </w:rPr>
        <w:t xml:space="preserve"> profits, also known as trading books. Basel 2.5 was </w:t>
      </w:r>
      <w:r w:rsidRPr="00D41D99">
        <w:rPr>
          <w:rFonts w:cstheme="minorHAnsi"/>
        </w:rPr>
        <w:t>introduced</w:t>
      </w:r>
      <w:r w:rsidRPr="00D41D99">
        <w:rPr>
          <w:rFonts w:cstheme="minorHAnsi"/>
          <w:shd w:val="clear" w:color="auto" w:fill="FFFFFF"/>
        </w:rPr>
        <w:t xml:space="preserve"> on December 31, 2011.</w:t>
      </w:r>
    </w:p>
    <w:p w14:paraId="5B842F6F" w14:textId="6543DA8B" w:rsidR="00B26FFC" w:rsidRDefault="00B26FFC" w:rsidP="00C73765">
      <w:pPr>
        <w:jc w:val="both"/>
      </w:pPr>
      <w:r>
        <w:rPr>
          <w:noProof/>
        </w:rPr>
        <w:drawing>
          <wp:inline distT="0" distB="0" distL="0" distR="0" wp14:anchorId="71C3C057" wp14:editId="70988876">
            <wp:extent cx="4848225" cy="2447925"/>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8"/>
                    <a:stretch>
                      <a:fillRect/>
                    </a:stretch>
                  </pic:blipFill>
                  <pic:spPr>
                    <a:xfrm>
                      <a:off x="0" y="0"/>
                      <a:ext cx="4848225" cy="2447925"/>
                    </a:xfrm>
                    <a:prstGeom prst="rect">
                      <a:avLst/>
                    </a:prstGeom>
                  </pic:spPr>
                </pic:pic>
              </a:graphicData>
            </a:graphic>
          </wp:inline>
        </w:drawing>
      </w:r>
    </w:p>
    <w:p w14:paraId="77240665" w14:textId="77777777" w:rsidR="009F7633" w:rsidRDefault="009F7633" w:rsidP="00C73765">
      <w:pPr>
        <w:jc w:val="both"/>
      </w:pPr>
    </w:p>
    <w:p w14:paraId="31985476" w14:textId="285ED543" w:rsidR="00B26FFC" w:rsidRDefault="008769DE" w:rsidP="00C73765">
      <w:pPr>
        <w:jc w:val="both"/>
      </w:pPr>
      <w:r>
        <w:t xml:space="preserve">Figure </w:t>
      </w:r>
      <w:r w:rsidR="00114008">
        <w:t>2</w:t>
      </w:r>
      <w:r>
        <w:t xml:space="preserve">. </w:t>
      </w:r>
      <w:r w:rsidR="00B26FFC">
        <w:t>The contributing factors of Market risk</w:t>
      </w:r>
      <w:r>
        <w:t xml:space="preserve"> (Market risk framework</w:t>
      </w:r>
      <w:r w:rsidR="00CB5419">
        <w:t xml:space="preserve"> (BIS, 2019).</w:t>
      </w:r>
    </w:p>
    <w:p w14:paraId="43F6366A" w14:textId="72EE9002" w:rsidR="001F3F9B" w:rsidRPr="00D41D99" w:rsidRDefault="001F3F9B" w:rsidP="00C73765">
      <w:pPr>
        <w:jc w:val="both"/>
        <w:rPr>
          <w:rFonts w:cstheme="minorHAnsi"/>
          <w:sz w:val="24"/>
          <w:szCs w:val="24"/>
        </w:rPr>
      </w:pPr>
      <w:r w:rsidRPr="00D41D99">
        <w:rPr>
          <w:rFonts w:cstheme="minorHAnsi"/>
        </w:rPr>
        <w:t>Based on</w:t>
      </w:r>
      <w:r w:rsidRPr="00D41D99">
        <w:rPr>
          <w:rFonts w:cstheme="minorHAnsi"/>
          <w:shd w:val="clear" w:color="auto" w:fill="FFFFFF"/>
        </w:rPr>
        <w:t xml:space="preserve"> the experience of </w:t>
      </w:r>
      <w:r w:rsidRPr="00D41D99">
        <w:rPr>
          <w:rFonts w:cstheme="minorHAnsi"/>
        </w:rPr>
        <w:t>mistakes</w:t>
      </w:r>
      <w:r w:rsidRPr="00D41D99">
        <w:rPr>
          <w:rFonts w:cstheme="minorHAnsi"/>
          <w:shd w:val="clear" w:color="auto" w:fill="FFFFFF"/>
        </w:rPr>
        <w:t xml:space="preserve"> in the </w:t>
      </w:r>
      <w:r w:rsidRPr="00D41D99">
        <w:rPr>
          <w:rFonts w:cstheme="minorHAnsi"/>
        </w:rPr>
        <w:t>development of the</w:t>
      </w:r>
      <w:r w:rsidRPr="00D41D99">
        <w:rPr>
          <w:rFonts w:cstheme="minorHAnsi"/>
          <w:shd w:val="clear" w:color="auto" w:fill="FFFFFF"/>
        </w:rPr>
        <w:t xml:space="preserve"> financial crisis, the </w:t>
      </w:r>
      <w:r w:rsidRPr="00D41D99">
        <w:rPr>
          <w:rFonts w:cstheme="minorHAnsi"/>
        </w:rPr>
        <w:t>purpose</w:t>
      </w:r>
      <w:r w:rsidRPr="00D41D99">
        <w:rPr>
          <w:rFonts w:cstheme="minorHAnsi"/>
          <w:shd w:val="clear" w:color="auto" w:fill="FFFFFF"/>
        </w:rPr>
        <w:t xml:space="preserve"> of the project was to develop </w:t>
      </w:r>
      <w:r w:rsidRPr="00D41D99">
        <w:rPr>
          <w:rFonts w:cstheme="minorHAnsi"/>
        </w:rPr>
        <w:t>stronger framework conditions. The</w:t>
      </w:r>
      <w:r w:rsidRPr="00D41D99">
        <w:rPr>
          <w:rFonts w:cstheme="minorHAnsi"/>
          <w:shd w:val="clear" w:color="auto" w:fill="FFFFFF"/>
        </w:rPr>
        <w:t xml:space="preserve"> Basel 2.5 </w:t>
      </w:r>
      <w:r w:rsidRPr="00D41D99">
        <w:rPr>
          <w:rFonts w:cstheme="minorHAnsi"/>
        </w:rPr>
        <w:t>Reform</w:t>
      </w:r>
      <w:r w:rsidRPr="00D41D99">
        <w:rPr>
          <w:rFonts w:cstheme="minorHAnsi"/>
          <w:shd w:val="clear" w:color="auto" w:fill="FFFFFF"/>
        </w:rPr>
        <w:t xml:space="preserve"> addressed the </w:t>
      </w:r>
      <w:r w:rsidRPr="00D41D99">
        <w:rPr>
          <w:rFonts w:cstheme="minorHAnsi"/>
        </w:rPr>
        <w:lastRenderedPageBreak/>
        <w:t>emergency measures needed</w:t>
      </w:r>
      <w:r w:rsidRPr="00D41D99">
        <w:rPr>
          <w:rFonts w:cstheme="minorHAnsi"/>
          <w:shd w:val="clear" w:color="auto" w:fill="FFFFFF"/>
        </w:rPr>
        <w:t xml:space="preserve"> for </w:t>
      </w:r>
      <w:r w:rsidRPr="00D41D99">
        <w:rPr>
          <w:rFonts w:cstheme="minorHAnsi"/>
        </w:rPr>
        <w:t>proper</w:t>
      </w:r>
      <w:r w:rsidRPr="00D41D99">
        <w:rPr>
          <w:rFonts w:cstheme="minorHAnsi"/>
          <w:shd w:val="clear" w:color="auto" w:fill="FFFFFF"/>
        </w:rPr>
        <w:t xml:space="preserve"> capital </w:t>
      </w:r>
      <w:r w:rsidRPr="00D41D99">
        <w:rPr>
          <w:rFonts w:cstheme="minorHAnsi"/>
        </w:rPr>
        <w:t>requirements</w:t>
      </w:r>
      <w:r w:rsidRPr="00D41D99">
        <w:rPr>
          <w:rFonts w:cstheme="minorHAnsi"/>
          <w:shd w:val="clear" w:color="auto" w:fill="FFFFFF"/>
        </w:rPr>
        <w:t xml:space="preserve"> for </w:t>
      </w:r>
      <w:r w:rsidRPr="00D41D99">
        <w:rPr>
          <w:rFonts w:cstheme="minorHAnsi"/>
        </w:rPr>
        <w:t>trade</w:t>
      </w:r>
      <w:r w:rsidRPr="00D41D99">
        <w:rPr>
          <w:rFonts w:cstheme="minorHAnsi"/>
          <w:shd w:val="clear" w:color="auto" w:fill="FFFFFF"/>
        </w:rPr>
        <w:t xml:space="preserve"> activities. </w:t>
      </w:r>
      <w:r w:rsidRPr="00D41D99">
        <w:rPr>
          <w:rFonts w:cstheme="minorHAnsi"/>
        </w:rPr>
        <w:t>Value at risk (</w:t>
      </w:r>
      <w:proofErr w:type="spellStart"/>
      <w:r w:rsidRPr="00D41D99">
        <w:rPr>
          <w:rFonts w:cstheme="minorHAnsi"/>
        </w:rPr>
        <w:t>VaR</w:t>
      </w:r>
      <w:proofErr w:type="spellEnd"/>
      <w:r w:rsidRPr="00D41D99">
        <w:rPr>
          <w:rFonts w:cstheme="minorHAnsi"/>
        </w:rPr>
        <w:t>),</w:t>
      </w:r>
      <w:r w:rsidRPr="00D41D99">
        <w:rPr>
          <w:rFonts w:cstheme="minorHAnsi"/>
          <w:shd w:val="clear" w:color="auto" w:fill="FFFFFF"/>
        </w:rPr>
        <w:t xml:space="preserve"> an internal model risk </w:t>
      </w:r>
      <w:r w:rsidRPr="00D41D99">
        <w:rPr>
          <w:rFonts w:cstheme="minorHAnsi"/>
        </w:rPr>
        <w:t>indicator that underlies</w:t>
      </w:r>
      <w:r w:rsidRPr="00D41D99">
        <w:rPr>
          <w:rFonts w:cstheme="minorHAnsi"/>
          <w:shd w:val="clear" w:color="auto" w:fill="FFFFFF"/>
        </w:rPr>
        <w:t xml:space="preserve"> market risk capital </w:t>
      </w:r>
      <w:r w:rsidRPr="00D41D99">
        <w:rPr>
          <w:rFonts w:cstheme="minorHAnsi"/>
        </w:rPr>
        <w:t>requirements prior to</w:t>
      </w:r>
      <w:r w:rsidRPr="00D41D99">
        <w:rPr>
          <w:rFonts w:cstheme="minorHAnsi"/>
          <w:shd w:val="clear" w:color="auto" w:fill="FFFFFF"/>
        </w:rPr>
        <w:t xml:space="preserve"> the crisis framework, </w:t>
      </w:r>
      <w:r w:rsidRPr="00D41D99">
        <w:rPr>
          <w:rFonts w:cstheme="minorHAnsi"/>
        </w:rPr>
        <w:t>has been improved</w:t>
      </w:r>
      <w:r w:rsidRPr="00D41D99">
        <w:rPr>
          <w:rFonts w:cstheme="minorHAnsi"/>
          <w:shd w:val="clear" w:color="auto" w:fill="FFFFFF"/>
        </w:rPr>
        <w:t xml:space="preserve"> by </w:t>
      </w:r>
      <w:r w:rsidRPr="00D41D99">
        <w:rPr>
          <w:rFonts w:cstheme="minorHAnsi"/>
        </w:rPr>
        <w:t>the introduction of</w:t>
      </w:r>
      <w:r w:rsidRPr="00D41D99">
        <w:rPr>
          <w:rFonts w:cstheme="minorHAnsi"/>
          <w:shd w:val="clear" w:color="auto" w:fill="FFFFFF"/>
        </w:rPr>
        <w:t xml:space="preserve"> additional </w:t>
      </w:r>
      <w:proofErr w:type="spellStart"/>
      <w:r w:rsidRPr="00D41D99">
        <w:rPr>
          <w:rFonts w:cstheme="minorHAnsi"/>
        </w:rPr>
        <w:t>VaR</w:t>
      </w:r>
      <w:proofErr w:type="spellEnd"/>
      <w:r w:rsidRPr="00D41D99">
        <w:rPr>
          <w:rFonts w:cstheme="minorHAnsi"/>
        </w:rPr>
        <w:t>-based</w:t>
      </w:r>
      <w:r w:rsidRPr="00D41D99">
        <w:rPr>
          <w:rFonts w:cstheme="minorHAnsi"/>
          <w:shd w:val="clear" w:color="auto" w:fill="FFFFFF"/>
        </w:rPr>
        <w:t xml:space="preserve"> capital </w:t>
      </w:r>
      <w:r w:rsidRPr="00D41D99">
        <w:rPr>
          <w:rFonts w:cstheme="minorHAnsi"/>
        </w:rPr>
        <w:t>requirements</w:t>
      </w:r>
      <w:r w:rsidRPr="00D41D99">
        <w:rPr>
          <w:rFonts w:cstheme="minorHAnsi"/>
          <w:shd w:val="clear" w:color="auto" w:fill="FFFFFF"/>
        </w:rPr>
        <w:t xml:space="preserve"> for </w:t>
      </w:r>
      <w:r w:rsidRPr="00D41D99">
        <w:rPr>
          <w:rFonts w:cstheme="minorHAnsi"/>
        </w:rPr>
        <w:t>emergency</w:t>
      </w:r>
      <w:r w:rsidRPr="00D41D99">
        <w:rPr>
          <w:rFonts w:cstheme="minorHAnsi"/>
          <w:shd w:val="clear" w:color="auto" w:fill="FFFFFF"/>
        </w:rPr>
        <w:t xml:space="preserve"> market conditions. </w:t>
      </w:r>
      <w:r w:rsidRPr="00D41D99">
        <w:rPr>
          <w:rFonts w:cstheme="minorHAnsi"/>
        </w:rPr>
        <w:t>rice field.</w:t>
      </w:r>
      <w:r w:rsidRPr="00D41D99">
        <w:rPr>
          <w:rFonts w:cstheme="minorHAnsi"/>
          <w:shd w:val="clear" w:color="auto" w:fill="FFFFFF"/>
        </w:rPr>
        <w:t xml:space="preserve"> The </w:t>
      </w:r>
      <w:r w:rsidRPr="00D41D99">
        <w:rPr>
          <w:rFonts w:cstheme="minorHAnsi"/>
        </w:rPr>
        <w:t xml:space="preserve">"Stressed </w:t>
      </w:r>
      <w:proofErr w:type="spellStart"/>
      <w:r w:rsidRPr="00D41D99">
        <w:rPr>
          <w:rFonts w:cstheme="minorHAnsi"/>
        </w:rPr>
        <w:t>VaR</w:t>
      </w:r>
      <w:proofErr w:type="spellEnd"/>
      <w:r w:rsidRPr="00D41D99">
        <w:rPr>
          <w:rFonts w:cstheme="minorHAnsi"/>
        </w:rPr>
        <w:t>" matrix</w:t>
      </w:r>
      <w:r w:rsidRPr="00D41D99">
        <w:rPr>
          <w:rFonts w:cstheme="minorHAnsi"/>
          <w:shd w:val="clear" w:color="auto" w:fill="FFFFFF"/>
        </w:rPr>
        <w:t xml:space="preserve"> considers</w:t>
      </w:r>
      <w:r w:rsidRPr="00D41D99">
        <w:rPr>
          <w:rFonts w:cstheme="minorHAnsi"/>
        </w:rPr>
        <w:t xml:space="preserve"> the</w:t>
      </w:r>
      <w:r w:rsidRPr="00D41D99">
        <w:rPr>
          <w:rFonts w:cstheme="minorHAnsi"/>
          <w:shd w:val="clear" w:color="auto" w:fill="FFFFFF"/>
        </w:rPr>
        <w:t xml:space="preserve"> losses </w:t>
      </w:r>
      <w:r w:rsidRPr="00D41D99">
        <w:rPr>
          <w:rFonts w:cstheme="minorHAnsi"/>
        </w:rPr>
        <w:t>that banks may incur</w:t>
      </w:r>
      <w:r w:rsidRPr="00D41D99">
        <w:rPr>
          <w:rFonts w:cstheme="minorHAnsi"/>
          <w:shd w:val="clear" w:color="auto" w:fill="FFFFFF"/>
        </w:rPr>
        <w:t xml:space="preserve"> in </w:t>
      </w:r>
      <w:r w:rsidRPr="00D41D99">
        <w:rPr>
          <w:rFonts w:cstheme="minorHAnsi"/>
        </w:rPr>
        <w:t>an emergency</w:t>
      </w:r>
      <w:r w:rsidRPr="00D41D99">
        <w:rPr>
          <w:rFonts w:cstheme="minorHAnsi"/>
          <w:shd w:val="clear" w:color="auto" w:fill="FFFFFF"/>
        </w:rPr>
        <w:t xml:space="preserve"> phase. The Incremental </w:t>
      </w:r>
      <w:r w:rsidRPr="00D41D99">
        <w:rPr>
          <w:rFonts w:cstheme="minorHAnsi"/>
        </w:rPr>
        <w:t>Risk Capital</w:t>
      </w:r>
      <w:r w:rsidRPr="00D41D99">
        <w:rPr>
          <w:rFonts w:cstheme="minorHAnsi"/>
          <w:shd w:val="clear" w:color="auto" w:fill="FFFFFF"/>
        </w:rPr>
        <w:t xml:space="preserve"> (IRC) framework </w:t>
      </w:r>
      <w:r w:rsidRPr="00D41D99">
        <w:rPr>
          <w:rFonts w:cstheme="minorHAnsi"/>
        </w:rPr>
        <w:t>has been</w:t>
      </w:r>
      <w:r w:rsidRPr="00D41D99">
        <w:rPr>
          <w:rFonts w:cstheme="minorHAnsi"/>
          <w:shd w:val="clear" w:color="auto" w:fill="FFFFFF"/>
        </w:rPr>
        <w:t xml:space="preserve"> introduced. </w:t>
      </w:r>
      <w:r w:rsidRPr="00D41D99">
        <w:rPr>
          <w:rFonts w:cstheme="minorHAnsi"/>
        </w:rPr>
        <w:t>Capital</w:t>
      </w:r>
      <w:r w:rsidRPr="00D41D99">
        <w:rPr>
          <w:rFonts w:cstheme="minorHAnsi"/>
          <w:shd w:val="clear" w:color="auto" w:fill="FFFFFF"/>
        </w:rPr>
        <w:t xml:space="preserve"> requirements for default risk and rating </w:t>
      </w:r>
      <w:r w:rsidRPr="00D41D99">
        <w:rPr>
          <w:rFonts w:cstheme="minorHAnsi"/>
        </w:rPr>
        <w:t>transition risk are defined in this framework. The securitization</w:t>
      </w:r>
      <w:r w:rsidRPr="00D41D99">
        <w:rPr>
          <w:rFonts w:cstheme="minorHAnsi"/>
          <w:shd w:val="clear" w:color="auto" w:fill="FFFFFF"/>
        </w:rPr>
        <w:t xml:space="preserve"> structure during the crisis </w:t>
      </w:r>
      <w:r w:rsidRPr="00D41D99">
        <w:rPr>
          <w:rFonts w:cstheme="minorHAnsi"/>
        </w:rPr>
        <w:t>caused considerable</w:t>
      </w:r>
      <w:r w:rsidRPr="00D41D99">
        <w:rPr>
          <w:rFonts w:cstheme="minorHAnsi"/>
          <w:shd w:val="clear" w:color="auto" w:fill="FFFFFF"/>
        </w:rPr>
        <w:t xml:space="preserve"> losses, </w:t>
      </w:r>
      <w:r w:rsidRPr="00D41D99">
        <w:rPr>
          <w:rFonts w:cstheme="minorHAnsi"/>
        </w:rPr>
        <w:t>and</w:t>
      </w:r>
      <w:r w:rsidRPr="00D41D99">
        <w:rPr>
          <w:rFonts w:cstheme="minorHAnsi"/>
          <w:shd w:val="clear" w:color="auto" w:fill="FFFFFF"/>
        </w:rPr>
        <w:t xml:space="preserve"> Basel 2.5 excluded trading book securitization </w:t>
      </w:r>
      <w:r w:rsidRPr="00D41D99">
        <w:rPr>
          <w:rFonts w:cstheme="minorHAnsi"/>
        </w:rPr>
        <w:t>positions</w:t>
      </w:r>
      <w:r w:rsidRPr="00D41D99">
        <w:rPr>
          <w:rFonts w:cstheme="minorHAnsi"/>
          <w:shd w:val="clear" w:color="auto" w:fill="FFFFFF"/>
        </w:rPr>
        <w:t xml:space="preserve"> from the internal </w:t>
      </w:r>
      <w:r w:rsidRPr="00D41D99">
        <w:rPr>
          <w:rFonts w:cstheme="minorHAnsi"/>
        </w:rPr>
        <w:t>model, which</w:t>
      </w:r>
      <w:r w:rsidRPr="00D41D99">
        <w:rPr>
          <w:rFonts w:cstheme="minorHAnsi"/>
          <w:shd w:val="clear" w:color="auto" w:fill="FFFFFF"/>
        </w:rPr>
        <w:t xml:space="preserve"> were </w:t>
      </w:r>
      <w:r w:rsidRPr="00D41D99">
        <w:rPr>
          <w:rFonts w:cstheme="minorHAnsi"/>
        </w:rPr>
        <w:t>consistent</w:t>
      </w:r>
      <w:r w:rsidRPr="00D41D99">
        <w:rPr>
          <w:rFonts w:cstheme="minorHAnsi"/>
          <w:shd w:val="clear" w:color="auto" w:fill="FFFFFF"/>
        </w:rPr>
        <w:t xml:space="preserve"> with banking </w:t>
      </w:r>
      <w:r w:rsidRPr="00D41D99">
        <w:rPr>
          <w:rFonts w:cstheme="minorHAnsi"/>
        </w:rPr>
        <w:t>book positions. The</w:t>
      </w:r>
      <w:r w:rsidRPr="00D41D99">
        <w:rPr>
          <w:rFonts w:cstheme="minorHAnsi"/>
          <w:shd w:val="clear" w:color="auto" w:fill="FFFFFF"/>
        </w:rPr>
        <w:t xml:space="preserve"> Basel 2.5 reform addressed some </w:t>
      </w:r>
      <w:r w:rsidRPr="00D41D99">
        <w:rPr>
          <w:rFonts w:cstheme="minorHAnsi"/>
        </w:rPr>
        <w:t>concerns but</w:t>
      </w:r>
      <w:r w:rsidRPr="00D41D99">
        <w:rPr>
          <w:rFonts w:cstheme="minorHAnsi"/>
          <w:shd w:val="clear" w:color="auto" w:fill="FFFFFF"/>
        </w:rPr>
        <w:t xml:space="preserve"> did not address key structural </w:t>
      </w:r>
      <w:r w:rsidRPr="00D41D99">
        <w:rPr>
          <w:rFonts w:cstheme="minorHAnsi"/>
        </w:rPr>
        <w:t>flaws</w:t>
      </w:r>
      <w:r w:rsidRPr="00D41D99">
        <w:rPr>
          <w:rFonts w:cstheme="minorHAnsi"/>
          <w:shd w:val="clear" w:color="auto" w:fill="FFFFFF"/>
        </w:rPr>
        <w:t xml:space="preserve"> in the market risk framework (BIS, 2017).</w:t>
      </w:r>
    </w:p>
    <w:p w14:paraId="0A8D1A74" w14:textId="33306352" w:rsidR="002067E3" w:rsidRDefault="005177C4" w:rsidP="00C73765">
      <w:pPr>
        <w:jc w:val="both"/>
      </w:pPr>
      <w:r>
        <w:rPr>
          <w:noProof/>
        </w:rPr>
        <w:drawing>
          <wp:inline distT="0" distB="0" distL="0" distR="0" wp14:anchorId="625F226B" wp14:editId="21AA3163">
            <wp:extent cx="5731510" cy="2506980"/>
            <wp:effectExtent l="0" t="0" r="2540" b="7620"/>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pic:cNvPicPr/>
                  </pic:nvPicPr>
                  <pic:blipFill>
                    <a:blip r:embed="rId9"/>
                    <a:stretch>
                      <a:fillRect/>
                    </a:stretch>
                  </pic:blipFill>
                  <pic:spPr>
                    <a:xfrm>
                      <a:off x="0" y="0"/>
                      <a:ext cx="5731510" cy="2506980"/>
                    </a:xfrm>
                    <a:prstGeom prst="rect">
                      <a:avLst/>
                    </a:prstGeom>
                  </pic:spPr>
                </pic:pic>
              </a:graphicData>
            </a:graphic>
          </wp:inline>
        </w:drawing>
      </w:r>
    </w:p>
    <w:p w14:paraId="4A5AF0AD" w14:textId="222CDFC7" w:rsidR="003725D9" w:rsidRDefault="003725D9" w:rsidP="00C73765">
      <w:pPr>
        <w:jc w:val="both"/>
      </w:pPr>
      <w:r>
        <w:t xml:space="preserve">Figure </w:t>
      </w:r>
      <w:r w:rsidR="00114008">
        <w:t>3</w:t>
      </w:r>
      <w:r>
        <w:t xml:space="preserve">. Capital requirement for Market Risk history (BIS, 2019). </w:t>
      </w:r>
    </w:p>
    <w:p w14:paraId="60655ADC" w14:textId="77777777" w:rsidR="003725D9" w:rsidRPr="00EA38E9" w:rsidRDefault="003725D9" w:rsidP="00C73765">
      <w:pPr>
        <w:jc w:val="both"/>
      </w:pPr>
    </w:p>
    <w:p w14:paraId="06D43F90" w14:textId="044B3181" w:rsidR="005F3514" w:rsidRDefault="001E6119" w:rsidP="00885691">
      <w:pPr>
        <w:pStyle w:val="Heading2"/>
      </w:pPr>
      <w:bookmarkStart w:id="9" w:name="_Toc92570880"/>
      <w:r w:rsidRPr="001E6119">
        <w:t>Basel III</w:t>
      </w:r>
      <w:bookmarkEnd w:id="9"/>
    </w:p>
    <w:p w14:paraId="71FEAFD9" w14:textId="29C77717" w:rsidR="001F3F9B" w:rsidRPr="00916979" w:rsidRDefault="00B248BD" w:rsidP="00C73765">
      <w:pPr>
        <w:jc w:val="both"/>
        <w:rPr>
          <w:noProof/>
          <w:color w:val="00B050"/>
        </w:rPr>
      </w:pPr>
      <w:r>
        <w:t xml:space="preserve">Basel III published in December 2010 and in </w:t>
      </w:r>
      <w:r w:rsidR="007A1D59" w:rsidRPr="00490054">
        <w:t>2016 revised</w:t>
      </w:r>
      <w:r>
        <w:t xml:space="preserve"> the</w:t>
      </w:r>
      <w:r w:rsidR="007A1D59" w:rsidRPr="00490054">
        <w:t xml:space="preserve"> framework</w:t>
      </w:r>
      <w:r>
        <w:t xml:space="preserve">, </w:t>
      </w:r>
      <w:r w:rsidR="007A1D59" w:rsidRPr="00490054">
        <w:t>was scheduled for implementation in 2019.</w:t>
      </w:r>
      <w:r>
        <w:t xml:space="preserve"> </w:t>
      </w:r>
      <w:r w:rsidR="001F3F9B" w:rsidRPr="00916979">
        <w:rPr>
          <w:rFonts w:cstheme="minorHAnsi"/>
          <w:shd w:val="clear" w:color="auto" w:fill="FFFFFF"/>
        </w:rPr>
        <w:t xml:space="preserve">This framework </w:t>
      </w:r>
      <w:r w:rsidR="001F3F9B" w:rsidRPr="00916979">
        <w:rPr>
          <w:rFonts w:cstheme="minorHAnsi"/>
        </w:rPr>
        <w:t>provides a capital</w:t>
      </w:r>
      <w:r w:rsidR="001F3F9B" w:rsidRPr="00916979">
        <w:rPr>
          <w:rFonts w:cstheme="minorHAnsi"/>
          <w:shd w:val="clear" w:color="auto" w:fill="FFFFFF"/>
        </w:rPr>
        <w:t xml:space="preserve"> increase that banks must </w:t>
      </w:r>
      <w:r w:rsidR="001F3F9B" w:rsidRPr="00916979">
        <w:rPr>
          <w:rFonts w:cstheme="minorHAnsi"/>
        </w:rPr>
        <w:t>hold for</w:t>
      </w:r>
      <w:r w:rsidR="001F3F9B" w:rsidRPr="00916979">
        <w:rPr>
          <w:rFonts w:cstheme="minorHAnsi"/>
          <w:shd w:val="clear" w:color="auto" w:fill="FFFFFF"/>
        </w:rPr>
        <w:t xml:space="preserve"> credit risk and strengthens the definition of capital. An important feature is the specification of liquidity requirements that banks must meet. However, in monitoring the implementation and impact of the new </w:t>
      </w:r>
      <w:r w:rsidR="001F3F9B" w:rsidRPr="00916979">
        <w:rPr>
          <w:rFonts w:cstheme="minorHAnsi"/>
        </w:rPr>
        <w:t>legal</w:t>
      </w:r>
      <w:r w:rsidR="001F3F9B" w:rsidRPr="00916979">
        <w:rPr>
          <w:rFonts w:cstheme="minorHAnsi"/>
          <w:shd w:val="clear" w:color="auto" w:fill="FFFFFF"/>
        </w:rPr>
        <w:t xml:space="preserve"> framework, the Commission observed ongoing </w:t>
      </w:r>
      <w:r w:rsidR="001F3F9B" w:rsidRPr="00916979">
        <w:rPr>
          <w:rFonts w:cstheme="minorHAnsi"/>
        </w:rPr>
        <w:t>challenges and issues in</w:t>
      </w:r>
      <w:r w:rsidR="001F3F9B" w:rsidRPr="00916979">
        <w:rPr>
          <w:rFonts w:cstheme="minorHAnsi"/>
          <w:shd w:val="clear" w:color="auto" w:fill="FFFFFF"/>
        </w:rPr>
        <w:t xml:space="preserve"> design and </w:t>
      </w:r>
      <w:r w:rsidR="001F3F9B" w:rsidRPr="00916979">
        <w:rPr>
          <w:rFonts w:cstheme="minorHAnsi"/>
        </w:rPr>
        <w:t>calibration. To direct these to the Governor's group</w:t>
      </w:r>
      <w:r w:rsidR="001F3F9B" w:rsidRPr="00916979">
        <w:rPr>
          <w:rFonts w:cstheme="minorHAnsi"/>
          <w:shd w:val="clear" w:color="auto" w:fill="FFFFFF"/>
        </w:rPr>
        <w:t xml:space="preserve"> and </w:t>
      </w:r>
      <w:r w:rsidR="001F3F9B" w:rsidRPr="00916979">
        <w:rPr>
          <w:rFonts w:cstheme="minorHAnsi"/>
        </w:rPr>
        <w:t>head of oversight,</w:t>
      </w:r>
      <w:r w:rsidR="001F3F9B" w:rsidRPr="00916979">
        <w:rPr>
          <w:rFonts w:cstheme="minorHAnsi"/>
          <w:shd w:val="clear" w:color="auto" w:fill="FFFFFF"/>
        </w:rPr>
        <w:t xml:space="preserve"> the </w:t>
      </w:r>
      <w:r w:rsidR="001F3F9B" w:rsidRPr="00916979">
        <w:rPr>
          <w:rFonts w:cstheme="minorHAnsi"/>
        </w:rPr>
        <w:t>Commission's supervisory</w:t>
      </w:r>
      <w:r w:rsidR="001F3F9B" w:rsidRPr="00916979">
        <w:rPr>
          <w:rFonts w:cstheme="minorHAnsi"/>
          <w:shd w:val="clear" w:color="auto" w:fill="FFFFFF"/>
        </w:rPr>
        <w:t xml:space="preserve"> body </w:t>
      </w:r>
      <w:r w:rsidR="001F3F9B" w:rsidRPr="00916979">
        <w:rPr>
          <w:rFonts w:cstheme="minorHAnsi"/>
        </w:rPr>
        <w:t>has</w:t>
      </w:r>
      <w:r w:rsidR="001F3F9B" w:rsidRPr="00916979">
        <w:rPr>
          <w:rFonts w:cstheme="minorHAnsi"/>
          <w:shd w:val="clear" w:color="auto" w:fill="FFFFFF"/>
        </w:rPr>
        <w:t xml:space="preserve"> extended the implementation date to 2022. This </w:t>
      </w:r>
      <w:r w:rsidR="001F3F9B" w:rsidRPr="00916979">
        <w:rPr>
          <w:rFonts w:cstheme="minorHAnsi"/>
        </w:rPr>
        <w:t>gave</w:t>
      </w:r>
      <w:r w:rsidR="001F3F9B" w:rsidRPr="00916979">
        <w:rPr>
          <w:rFonts w:cstheme="minorHAnsi"/>
          <w:shd w:val="clear" w:color="auto" w:fill="FFFFFF"/>
        </w:rPr>
        <w:t xml:space="preserve"> banks more time to </w:t>
      </w:r>
      <w:r w:rsidR="001F3F9B" w:rsidRPr="00916979">
        <w:rPr>
          <w:rFonts w:cstheme="minorHAnsi"/>
        </w:rPr>
        <w:t>expand</w:t>
      </w:r>
      <w:r w:rsidR="001F3F9B" w:rsidRPr="00916979">
        <w:rPr>
          <w:rFonts w:cstheme="minorHAnsi"/>
          <w:shd w:val="clear" w:color="auto" w:fill="FFFFFF"/>
        </w:rPr>
        <w:t xml:space="preserve"> their infrastructure.</w:t>
      </w:r>
    </w:p>
    <w:p w14:paraId="3363AD85" w14:textId="3F936702" w:rsidR="004F7145" w:rsidRPr="00916979" w:rsidRDefault="004F7145" w:rsidP="009B174D">
      <w:pPr>
        <w:jc w:val="both"/>
        <w:rPr>
          <w:rFonts w:cstheme="minorHAnsi"/>
          <w:sz w:val="24"/>
          <w:szCs w:val="24"/>
          <w:shd w:val="clear" w:color="auto" w:fill="FFFFFF"/>
        </w:rPr>
      </w:pPr>
      <w:r w:rsidRPr="00916979">
        <w:rPr>
          <w:rFonts w:cstheme="minorHAnsi"/>
          <w:shd w:val="clear" w:color="auto" w:fill="FFFFFF"/>
        </w:rPr>
        <w:t xml:space="preserve">After the </w:t>
      </w:r>
      <w:r w:rsidRPr="00916979">
        <w:rPr>
          <w:rFonts w:cstheme="minorHAnsi"/>
        </w:rPr>
        <w:t>2007-2008</w:t>
      </w:r>
      <w:r w:rsidRPr="00916979">
        <w:rPr>
          <w:rFonts w:cstheme="minorHAnsi"/>
          <w:shd w:val="clear" w:color="auto" w:fill="FFFFFF"/>
        </w:rPr>
        <w:t xml:space="preserve"> financial </w:t>
      </w:r>
      <w:r w:rsidRPr="00916979">
        <w:rPr>
          <w:rFonts w:cstheme="minorHAnsi"/>
        </w:rPr>
        <w:t>crisis,</w:t>
      </w:r>
      <w:r w:rsidRPr="00916979">
        <w:rPr>
          <w:rFonts w:cstheme="minorHAnsi"/>
          <w:shd w:val="clear" w:color="auto" w:fill="FFFFFF"/>
        </w:rPr>
        <w:t xml:space="preserve"> Basel III </w:t>
      </w:r>
      <w:r w:rsidRPr="00916979">
        <w:rPr>
          <w:rFonts w:cstheme="minorHAnsi"/>
        </w:rPr>
        <w:t>has</w:t>
      </w:r>
      <w:r w:rsidRPr="00916979">
        <w:rPr>
          <w:rFonts w:cstheme="minorHAnsi"/>
          <w:shd w:val="clear" w:color="auto" w:fill="FFFFFF"/>
        </w:rPr>
        <w:t xml:space="preserve"> a more comprehensive set of </w:t>
      </w:r>
      <w:r w:rsidRPr="00916979">
        <w:rPr>
          <w:rFonts w:cstheme="minorHAnsi"/>
        </w:rPr>
        <w:t>measures</w:t>
      </w:r>
      <w:r w:rsidRPr="00916979">
        <w:rPr>
          <w:rFonts w:cstheme="minorHAnsi"/>
          <w:shd w:val="clear" w:color="auto" w:fill="FFFFFF"/>
        </w:rPr>
        <w:t xml:space="preserve"> to </w:t>
      </w:r>
      <w:r w:rsidRPr="00916979">
        <w:rPr>
          <w:rFonts w:cstheme="minorHAnsi"/>
        </w:rPr>
        <w:t>protect banks,</w:t>
      </w:r>
      <w:r w:rsidRPr="00916979">
        <w:rPr>
          <w:rFonts w:cstheme="minorHAnsi"/>
          <w:shd w:val="clear" w:color="auto" w:fill="FFFFFF"/>
        </w:rPr>
        <w:t xml:space="preserve"> address </w:t>
      </w:r>
      <w:r w:rsidRPr="00916979">
        <w:rPr>
          <w:rFonts w:cstheme="minorHAnsi"/>
        </w:rPr>
        <w:t>the</w:t>
      </w:r>
      <w:r w:rsidRPr="00916979">
        <w:rPr>
          <w:rFonts w:cstheme="minorHAnsi"/>
          <w:shd w:val="clear" w:color="auto" w:fill="FFFFFF"/>
        </w:rPr>
        <w:t xml:space="preserve"> shortcomings </w:t>
      </w:r>
      <w:r w:rsidRPr="00916979">
        <w:rPr>
          <w:rFonts w:cstheme="minorHAnsi"/>
        </w:rPr>
        <w:t>identified</w:t>
      </w:r>
      <w:r w:rsidRPr="00916979">
        <w:rPr>
          <w:rFonts w:cstheme="minorHAnsi"/>
          <w:shd w:val="clear" w:color="auto" w:fill="FFFFFF"/>
        </w:rPr>
        <w:t xml:space="preserve"> in </w:t>
      </w:r>
      <w:r w:rsidRPr="00916979">
        <w:rPr>
          <w:rFonts w:cstheme="minorHAnsi"/>
        </w:rPr>
        <w:t>the</w:t>
      </w:r>
      <w:r w:rsidRPr="00916979">
        <w:rPr>
          <w:rFonts w:cstheme="minorHAnsi"/>
          <w:shd w:val="clear" w:color="auto" w:fill="FFFFFF"/>
        </w:rPr>
        <w:t xml:space="preserve"> Basel 2.5 </w:t>
      </w:r>
      <w:r w:rsidRPr="00916979">
        <w:rPr>
          <w:rFonts w:cstheme="minorHAnsi"/>
        </w:rPr>
        <w:t>Capital Requirements Directive,</w:t>
      </w:r>
      <w:r w:rsidRPr="00916979">
        <w:rPr>
          <w:rFonts w:cstheme="minorHAnsi"/>
          <w:shd w:val="clear" w:color="auto" w:fill="FFFFFF"/>
        </w:rPr>
        <w:t xml:space="preserve"> and improve </w:t>
      </w:r>
      <w:r w:rsidRPr="00916979">
        <w:rPr>
          <w:rFonts w:cstheme="minorHAnsi"/>
        </w:rPr>
        <w:t>the</w:t>
      </w:r>
      <w:r w:rsidRPr="00916979">
        <w:rPr>
          <w:rFonts w:cstheme="minorHAnsi"/>
          <w:shd w:val="clear" w:color="auto" w:fill="FFFFFF"/>
        </w:rPr>
        <w:t xml:space="preserve"> resilience of the financial system. </w:t>
      </w:r>
      <w:r w:rsidRPr="00916979">
        <w:rPr>
          <w:rFonts w:cstheme="minorHAnsi"/>
        </w:rPr>
        <w:t>Introduced capital and liquidity requirements.</w:t>
      </w:r>
      <w:r w:rsidRPr="00916979">
        <w:rPr>
          <w:rFonts w:cstheme="minorHAnsi"/>
          <w:shd w:val="clear" w:color="auto" w:fill="FFFFFF"/>
        </w:rPr>
        <w:t xml:space="preserve"> Basel III includes a </w:t>
      </w:r>
      <w:r w:rsidRPr="00916979">
        <w:rPr>
          <w:rFonts w:cstheme="minorHAnsi"/>
        </w:rPr>
        <w:t>framework for</w:t>
      </w:r>
      <w:r w:rsidRPr="00916979">
        <w:rPr>
          <w:rFonts w:cstheme="minorHAnsi"/>
          <w:shd w:val="clear" w:color="auto" w:fill="FFFFFF"/>
        </w:rPr>
        <w:t xml:space="preserve"> higher </w:t>
      </w:r>
      <w:r w:rsidRPr="00916979">
        <w:rPr>
          <w:rFonts w:cstheme="minorHAnsi"/>
        </w:rPr>
        <w:t>risk-based</w:t>
      </w:r>
      <w:r w:rsidRPr="00916979">
        <w:rPr>
          <w:rFonts w:cstheme="minorHAnsi"/>
          <w:shd w:val="clear" w:color="auto" w:fill="FFFFFF"/>
        </w:rPr>
        <w:t xml:space="preserve"> capital adequacy </w:t>
      </w:r>
      <w:r w:rsidRPr="00916979">
        <w:rPr>
          <w:rFonts w:cstheme="minorHAnsi"/>
        </w:rPr>
        <w:t>ratios</w:t>
      </w:r>
      <w:r w:rsidRPr="00916979">
        <w:rPr>
          <w:rFonts w:cstheme="minorHAnsi"/>
          <w:shd w:val="clear" w:color="auto" w:fill="FFFFFF"/>
        </w:rPr>
        <w:t xml:space="preserve"> and </w:t>
      </w:r>
      <w:r w:rsidRPr="00916979">
        <w:rPr>
          <w:rFonts w:cstheme="minorHAnsi"/>
        </w:rPr>
        <w:t>credit quality, and</w:t>
      </w:r>
      <w:r w:rsidRPr="00916979">
        <w:rPr>
          <w:rFonts w:cstheme="minorHAnsi"/>
          <w:shd w:val="clear" w:color="auto" w:fill="FFFFFF"/>
        </w:rPr>
        <w:t xml:space="preserve"> leverage ratios as a simple, transparent, </w:t>
      </w:r>
      <w:r w:rsidRPr="00916979">
        <w:rPr>
          <w:rFonts w:cstheme="minorHAnsi"/>
        </w:rPr>
        <w:t>non-risk-based</w:t>
      </w:r>
      <w:r w:rsidRPr="00916979">
        <w:rPr>
          <w:rFonts w:cstheme="minorHAnsi"/>
          <w:shd w:val="clear" w:color="auto" w:fill="FFFFFF"/>
        </w:rPr>
        <w:t xml:space="preserve"> approach to </w:t>
      </w:r>
      <w:r w:rsidRPr="00916979">
        <w:rPr>
          <w:rFonts w:cstheme="minorHAnsi"/>
        </w:rPr>
        <w:t>risk-based</w:t>
      </w:r>
      <w:r w:rsidRPr="00916979">
        <w:rPr>
          <w:rFonts w:cstheme="minorHAnsi"/>
          <w:shd w:val="clear" w:color="auto" w:fill="FFFFFF"/>
        </w:rPr>
        <w:t xml:space="preserve"> standards. US </w:t>
      </w:r>
      <w:r w:rsidRPr="00916979">
        <w:rPr>
          <w:rFonts w:cstheme="minorHAnsi"/>
        </w:rPr>
        <w:t>banks</w:t>
      </w:r>
      <w:r w:rsidRPr="00916979">
        <w:rPr>
          <w:rFonts w:cstheme="minorHAnsi"/>
          <w:shd w:val="clear" w:color="auto" w:fill="FFFFFF"/>
        </w:rPr>
        <w:t xml:space="preserve"> have long been </w:t>
      </w:r>
      <w:r w:rsidRPr="00916979">
        <w:rPr>
          <w:rFonts w:cstheme="minorHAnsi"/>
        </w:rPr>
        <w:t>the</w:t>
      </w:r>
      <w:r w:rsidRPr="00916979">
        <w:rPr>
          <w:rFonts w:cstheme="minorHAnsi"/>
          <w:shd w:val="clear" w:color="auto" w:fill="FFFFFF"/>
        </w:rPr>
        <w:t xml:space="preserve"> subject </w:t>
      </w:r>
      <w:r w:rsidRPr="00916979">
        <w:rPr>
          <w:rFonts w:cstheme="minorHAnsi"/>
        </w:rPr>
        <w:t>of</w:t>
      </w:r>
      <w:r w:rsidRPr="00916979">
        <w:rPr>
          <w:rFonts w:cstheme="minorHAnsi"/>
          <w:shd w:val="clear" w:color="auto" w:fill="FFFFFF"/>
        </w:rPr>
        <w:t xml:space="preserve"> less </w:t>
      </w:r>
      <w:r w:rsidRPr="00916979">
        <w:rPr>
          <w:rFonts w:cstheme="minorHAnsi"/>
        </w:rPr>
        <w:t>comprehensive</w:t>
      </w:r>
      <w:r w:rsidRPr="00916979">
        <w:rPr>
          <w:rFonts w:cstheme="minorHAnsi"/>
          <w:shd w:val="clear" w:color="auto" w:fill="FFFFFF"/>
        </w:rPr>
        <w:t xml:space="preserve"> leverage </w:t>
      </w:r>
      <w:r w:rsidRPr="00916979">
        <w:rPr>
          <w:rFonts w:cstheme="minorHAnsi"/>
        </w:rPr>
        <w:t>ratios</w:t>
      </w:r>
      <w:r w:rsidRPr="00916979">
        <w:rPr>
          <w:rFonts w:cstheme="minorHAnsi"/>
          <w:shd w:val="clear" w:color="auto" w:fill="FFFFFF"/>
        </w:rPr>
        <w:t xml:space="preserve"> that </w:t>
      </w:r>
      <w:r w:rsidRPr="00916979">
        <w:rPr>
          <w:rFonts w:cstheme="minorHAnsi"/>
        </w:rPr>
        <w:t>require</w:t>
      </w:r>
      <w:r w:rsidRPr="00916979">
        <w:rPr>
          <w:rFonts w:cstheme="minorHAnsi"/>
          <w:shd w:val="clear" w:color="auto" w:fill="FFFFFF"/>
        </w:rPr>
        <w:t xml:space="preserve"> capital only </w:t>
      </w:r>
      <w:r w:rsidRPr="00916979">
        <w:rPr>
          <w:rFonts w:cstheme="minorHAnsi"/>
        </w:rPr>
        <w:t>on on-balance sheet assets. This</w:t>
      </w:r>
      <w:r w:rsidRPr="00916979">
        <w:rPr>
          <w:rFonts w:cstheme="minorHAnsi"/>
          <w:shd w:val="clear" w:color="auto" w:fill="FFFFFF"/>
        </w:rPr>
        <w:t xml:space="preserve"> framework </w:t>
      </w:r>
      <w:r w:rsidRPr="00916979">
        <w:rPr>
          <w:rFonts w:cstheme="minorHAnsi"/>
        </w:rPr>
        <w:t>extends</w:t>
      </w:r>
      <w:r w:rsidRPr="00916979">
        <w:rPr>
          <w:rFonts w:cstheme="minorHAnsi"/>
          <w:shd w:val="clear" w:color="auto" w:fill="FFFFFF"/>
        </w:rPr>
        <w:t xml:space="preserve"> it by including </w:t>
      </w:r>
      <w:r w:rsidRPr="00916979">
        <w:rPr>
          <w:rFonts w:cstheme="minorHAnsi"/>
        </w:rPr>
        <w:t>off-balance</w:t>
      </w:r>
      <w:r w:rsidRPr="00916979">
        <w:rPr>
          <w:rFonts w:cstheme="minorHAnsi"/>
          <w:shd w:val="clear" w:color="auto" w:fill="FFFFFF"/>
        </w:rPr>
        <w:t xml:space="preserve"> sheet </w:t>
      </w:r>
      <w:r w:rsidRPr="00916979">
        <w:rPr>
          <w:rFonts w:cstheme="minorHAnsi"/>
        </w:rPr>
        <w:t>risk</w:t>
      </w:r>
      <w:r w:rsidRPr="00916979">
        <w:rPr>
          <w:rFonts w:cstheme="minorHAnsi"/>
          <w:shd w:val="clear" w:color="auto" w:fill="FFFFFF"/>
        </w:rPr>
        <w:t xml:space="preserve"> for derivatives and other </w:t>
      </w:r>
      <w:r w:rsidRPr="00916979">
        <w:rPr>
          <w:rFonts w:cstheme="minorHAnsi"/>
        </w:rPr>
        <w:t>transactions</w:t>
      </w:r>
      <w:r w:rsidRPr="00916979">
        <w:rPr>
          <w:rFonts w:cstheme="minorHAnsi"/>
          <w:shd w:val="clear" w:color="auto" w:fill="FFFFFF"/>
        </w:rPr>
        <w:t xml:space="preserve"> in the calculation of leverage. </w:t>
      </w:r>
      <w:r w:rsidRPr="00916979">
        <w:rPr>
          <w:rFonts w:cstheme="minorHAnsi"/>
        </w:rPr>
        <w:t>As a result, the leverage ratio of</w:t>
      </w:r>
      <w:r w:rsidRPr="00916979">
        <w:rPr>
          <w:rFonts w:cstheme="minorHAnsi"/>
          <w:shd w:val="clear" w:color="auto" w:fill="FFFFFF"/>
        </w:rPr>
        <w:t xml:space="preserve"> Basel III </w:t>
      </w:r>
      <w:r w:rsidRPr="00916979">
        <w:rPr>
          <w:rFonts w:cstheme="minorHAnsi"/>
        </w:rPr>
        <w:t>significantly</w:t>
      </w:r>
      <w:r w:rsidRPr="00916979">
        <w:rPr>
          <w:rFonts w:cstheme="minorHAnsi"/>
          <w:shd w:val="clear" w:color="auto" w:fill="FFFFFF"/>
        </w:rPr>
        <w:t xml:space="preserve"> increases the capital </w:t>
      </w:r>
      <w:r w:rsidRPr="00916979">
        <w:rPr>
          <w:rFonts w:cstheme="minorHAnsi"/>
        </w:rPr>
        <w:t>adequacy requirements of banks'</w:t>
      </w:r>
      <w:r w:rsidRPr="00916979">
        <w:rPr>
          <w:rFonts w:cstheme="minorHAnsi"/>
          <w:shd w:val="clear" w:color="auto" w:fill="FFFFFF"/>
        </w:rPr>
        <w:t xml:space="preserve"> derivatives </w:t>
      </w:r>
      <w:r w:rsidRPr="00916979">
        <w:rPr>
          <w:rFonts w:cstheme="minorHAnsi"/>
        </w:rPr>
        <w:t>businesses.</w:t>
      </w:r>
      <w:r w:rsidRPr="00916979">
        <w:rPr>
          <w:rFonts w:cstheme="minorHAnsi"/>
          <w:shd w:val="clear" w:color="auto" w:fill="FFFFFF"/>
        </w:rPr>
        <w:t xml:space="preserve"> The Basel Committee on Banking Supervision has designed the Basel III leverage ratio as a backstop for </w:t>
      </w:r>
      <w:r w:rsidRPr="00916979">
        <w:rPr>
          <w:rFonts w:cstheme="minorHAnsi"/>
        </w:rPr>
        <w:t>risk-based</w:t>
      </w:r>
      <w:r w:rsidRPr="00916979">
        <w:rPr>
          <w:rFonts w:cstheme="minorHAnsi"/>
          <w:shd w:val="clear" w:color="auto" w:fill="FFFFFF"/>
        </w:rPr>
        <w:t xml:space="preserve"> criteria. </w:t>
      </w:r>
      <w:r w:rsidRPr="00916979">
        <w:rPr>
          <w:rFonts w:cstheme="minorHAnsi"/>
          <w:shd w:val="clear" w:color="auto" w:fill="FFFFFF"/>
        </w:rPr>
        <w:lastRenderedPageBreak/>
        <w:t xml:space="preserve">The framework defines Tier 1 capital as a percentage of total leverage exposure. The Basel Committee on Banking Supervision </w:t>
      </w:r>
      <w:r w:rsidRPr="00916979">
        <w:rPr>
          <w:rFonts w:cstheme="minorHAnsi"/>
        </w:rPr>
        <w:t>proposes</w:t>
      </w:r>
      <w:r w:rsidRPr="00916979">
        <w:rPr>
          <w:rFonts w:cstheme="minorHAnsi"/>
          <w:shd w:val="clear" w:color="auto" w:fill="FFFFFF"/>
        </w:rPr>
        <w:t xml:space="preserve"> a minimum leverage ratio of 3%, but US regulators have set a higher leverage ratio </w:t>
      </w:r>
      <w:r w:rsidRPr="00916979">
        <w:rPr>
          <w:rFonts w:cstheme="minorHAnsi"/>
        </w:rPr>
        <w:t>called</w:t>
      </w:r>
      <w:r w:rsidRPr="00916979">
        <w:rPr>
          <w:rFonts w:cstheme="minorHAnsi"/>
          <w:shd w:val="clear" w:color="auto" w:fill="FFFFFF"/>
        </w:rPr>
        <w:t xml:space="preserve"> the Supplementary Leverage Ratio (SLR). GSIBs </w:t>
      </w:r>
      <w:r w:rsidRPr="00916979">
        <w:rPr>
          <w:rFonts w:cstheme="minorHAnsi"/>
        </w:rPr>
        <w:t>incorporated into</w:t>
      </w:r>
      <w:r w:rsidRPr="00916979">
        <w:rPr>
          <w:rFonts w:cstheme="minorHAnsi"/>
          <w:shd w:val="clear" w:color="auto" w:fill="FFFFFF"/>
        </w:rPr>
        <w:t xml:space="preserve"> the United States for their own country </w:t>
      </w:r>
      <w:r w:rsidRPr="00916979">
        <w:rPr>
          <w:rFonts w:cstheme="minorHAnsi"/>
        </w:rPr>
        <w:t>must</w:t>
      </w:r>
      <w:r w:rsidRPr="00916979">
        <w:rPr>
          <w:rFonts w:cstheme="minorHAnsi"/>
          <w:shd w:val="clear" w:color="auto" w:fill="FFFFFF"/>
        </w:rPr>
        <w:t xml:space="preserve"> maintain </w:t>
      </w:r>
      <w:r w:rsidRPr="00916979">
        <w:rPr>
          <w:rFonts w:cstheme="minorHAnsi"/>
        </w:rPr>
        <w:t>a minimum of</w:t>
      </w:r>
      <w:r w:rsidRPr="00916979">
        <w:rPr>
          <w:rFonts w:cstheme="minorHAnsi"/>
          <w:shd w:val="clear" w:color="auto" w:fill="FFFFFF"/>
        </w:rPr>
        <w:t xml:space="preserve"> 5% SLR on a consolidated basis, and </w:t>
      </w:r>
      <w:r w:rsidRPr="00916979">
        <w:rPr>
          <w:rFonts w:cstheme="minorHAnsi"/>
        </w:rPr>
        <w:t>caretakers must</w:t>
      </w:r>
      <w:r w:rsidRPr="00916979">
        <w:rPr>
          <w:rFonts w:cstheme="minorHAnsi"/>
          <w:shd w:val="clear" w:color="auto" w:fill="FFFFFF"/>
        </w:rPr>
        <w:t xml:space="preserve"> maintain </w:t>
      </w:r>
      <w:r w:rsidRPr="00916979">
        <w:rPr>
          <w:rFonts w:cstheme="minorHAnsi"/>
        </w:rPr>
        <w:t>a minimum of</w:t>
      </w:r>
      <w:r w:rsidRPr="00916979">
        <w:rPr>
          <w:rFonts w:cstheme="minorHAnsi"/>
          <w:shd w:val="clear" w:color="auto" w:fill="FFFFFF"/>
        </w:rPr>
        <w:t xml:space="preserve"> 6% SLR (Haynes and McPhail, 2021)</w:t>
      </w:r>
    </w:p>
    <w:p w14:paraId="763F08D8" w14:textId="77777777" w:rsidR="008A1410" w:rsidRDefault="00AE79DE" w:rsidP="009B174D">
      <w:pPr>
        <w:jc w:val="both"/>
        <w:rPr>
          <w:rFonts w:ascii="Calibri" w:hAnsi="Calibri" w:cs="Calibri"/>
          <w:color w:val="1C1D1E"/>
          <w:shd w:val="clear" w:color="auto" w:fill="FFFFFF"/>
        </w:rPr>
      </w:pPr>
      <w:r>
        <w:rPr>
          <w:noProof/>
        </w:rPr>
        <w:drawing>
          <wp:inline distT="0" distB="0" distL="0" distR="0" wp14:anchorId="2E9A5729" wp14:editId="720E8A4C">
            <wp:extent cx="2876550" cy="571500"/>
            <wp:effectExtent l="0" t="0" r="0" b="0"/>
            <wp:docPr id="15" name="Picture 15"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10;&#10;Description automatically generated with medium confidence"/>
                    <pic:cNvPicPr/>
                  </pic:nvPicPr>
                  <pic:blipFill>
                    <a:blip r:embed="rId10"/>
                    <a:stretch>
                      <a:fillRect/>
                    </a:stretch>
                  </pic:blipFill>
                  <pic:spPr>
                    <a:xfrm>
                      <a:off x="0" y="0"/>
                      <a:ext cx="2876550" cy="571500"/>
                    </a:xfrm>
                    <a:prstGeom prst="rect">
                      <a:avLst/>
                    </a:prstGeom>
                  </pic:spPr>
                </pic:pic>
              </a:graphicData>
            </a:graphic>
          </wp:inline>
        </w:drawing>
      </w:r>
    </w:p>
    <w:p w14:paraId="4D65D802" w14:textId="0921F19F" w:rsidR="00AE79DE" w:rsidRDefault="00AE79DE" w:rsidP="009B174D">
      <w:pPr>
        <w:jc w:val="both"/>
        <w:rPr>
          <w:rFonts w:ascii="Calibri" w:hAnsi="Calibri" w:cs="Calibri"/>
          <w:color w:val="1C1D1E"/>
          <w:shd w:val="clear" w:color="auto" w:fill="FFFFFF"/>
        </w:rPr>
      </w:pPr>
      <w:r>
        <w:rPr>
          <w:rFonts w:ascii="Calibri" w:hAnsi="Calibri" w:cs="Calibri"/>
          <w:color w:val="1C1D1E"/>
          <w:shd w:val="clear" w:color="auto" w:fill="FFFFFF"/>
        </w:rPr>
        <w:t>Formular for Leverage ratio (Basel Committee in Banking Supervision, 2021).</w:t>
      </w:r>
    </w:p>
    <w:p w14:paraId="716CD293" w14:textId="16E248B4" w:rsidR="00275F3B" w:rsidRPr="00D41D99" w:rsidRDefault="00FF00EB" w:rsidP="009B174D">
      <w:pPr>
        <w:jc w:val="both"/>
        <w:rPr>
          <w:rFonts w:cstheme="minorHAnsi"/>
          <w:shd w:val="clear" w:color="auto" w:fill="FFFFFF"/>
        </w:rPr>
      </w:pPr>
      <w:r w:rsidRPr="00D41D99">
        <w:rPr>
          <w:rFonts w:ascii="Calibri" w:hAnsi="Calibri" w:cs="Calibri"/>
          <w:shd w:val="clear" w:color="auto" w:fill="FFFFFF"/>
        </w:rPr>
        <w:t xml:space="preserve">In the UK the leverage ratio framework requires major banks and building society to have minimum Tier 1 leverage ratio of 3.25% on measure of exposures this excludes qualifying central bank reserves. </w:t>
      </w:r>
      <w:r w:rsidR="00AE50A3" w:rsidRPr="00D41D99">
        <w:rPr>
          <w:rFonts w:ascii="Calibri" w:hAnsi="Calibri" w:cs="Calibri"/>
          <w:shd w:val="clear" w:color="auto" w:fill="FFFFFF"/>
        </w:rPr>
        <w:t>The Financial Policy Committee</w:t>
      </w:r>
      <w:r w:rsidR="0057594B" w:rsidRPr="00D41D99">
        <w:rPr>
          <w:rFonts w:ascii="Calibri" w:hAnsi="Calibri" w:cs="Calibri"/>
          <w:shd w:val="clear" w:color="auto" w:fill="FFFFFF"/>
        </w:rPr>
        <w:t xml:space="preserve"> (FPC)</w:t>
      </w:r>
      <w:r w:rsidR="00AE50A3" w:rsidRPr="00D41D99">
        <w:rPr>
          <w:rFonts w:ascii="Calibri" w:hAnsi="Calibri" w:cs="Calibri"/>
          <w:shd w:val="clear" w:color="auto" w:fill="FFFFFF"/>
        </w:rPr>
        <w:t xml:space="preserve"> of UK are proposing in </w:t>
      </w:r>
      <w:r w:rsidR="0057594B" w:rsidRPr="00D41D99">
        <w:rPr>
          <w:rFonts w:ascii="Calibri" w:hAnsi="Calibri" w:cs="Calibri"/>
          <w:shd w:val="clear" w:color="auto" w:fill="FFFFFF"/>
        </w:rPr>
        <w:t>reflecting the</w:t>
      </w:r>
      <w:r w:rsidR="0003431C" w:rsidRPr="00D41D99">
        <w:rPr>
          <w:rFonts w:ascii="Calibri" w:hAnsi="Calibri" w:cs="Calibri"/>
          <w:shd w:val="clear" w:color="auto" w:fill="FFFFFF"/>
        </w:rPr>
        <w:t xml:space="preserve"> risk-weighted </w:t>
      </w:r>
      <w:r w:rsidR="00A92D43">
        <w:rPr>
          <w:rFonts w:ascii="Calibri" w:hAnsi="Calibri" w:cs="Calibri"/>
          <w:shd w:val="clear" w:color="auto" w:fill="FFFFFF"/>
        </w:rPr>
        <w:t>asset (RWA)</w:t>
      </w:r>
      <w:r w:rsidR="0003431C" w:rsidRPr="00D41D99">
        <w:rPr>
          <w:rFonts w:ascii="Calibri" w:hAnsi="Calibri" w:cs="Calibri"/>
          <w:shd w:val="clear" w:color="auto" w:fill="FFFFFF"/>
        </w:rPr>
        <w:t xml:space="preserve"> framework, three-quarters of the minimum requirement must be met with Common Equity Tier 1 (CET1) capital</w:t>
      </w:r>
      <w:r w:rsidR="001C0BE2" w:rsidRPr="00D41D99">
        <w:rPr>
          <w:rFonts w:ascii="Calibri" w:hAnsi="Calibri" w:cs="Calibri"/>
          <w:shd w:val="clear" w:color="auto" w:fill="FFFFFF"/>
        </w:rPr>
        <w:t xml:space="preserve"> and the remaining additional Tier 1 capital instruments must have a conversion trigger of 7</w:t>
      </w:r>
      <w:r w:rsidR="0057594B" w:rsidRPr="00D41D99">
        <w:rPr>
          <w:rFonts w:ascii="Calibri" w:hAnsi="Calibri" w:cs="Calibri"/>
          <w:shd w:val="clear" w:color="auto" w:fill="FFFFFF"/>
        </w:rPr>
        <w:t>% minimum</w:t>
      </w:r>
      <w:r w:rsidR="0058412A" w:rsidRPr="00D41D99">
        <w:rPr>
          <w:rFonts w:ascii="Calibri" w:hAnsi="Calibri" w:cs="Calibri"/>
          <w:shd w:val="clear" w:color="auto" w:fill="FFFFFF"/>
        </w:rPr>
        <w:t xml:space="preserve"> </w:t>
      </w:r>
      <w:r w:rsidR="001C0BE2" w:rsidRPr="00D41D99">
        <w:rPr>
          <w:rFonts w:ascii="Calibri" w:hAnsi="Calibri" w:cs="Calibri"/>
          <w:shd w:val="clear" w:color="auto" w:fill="FFFFFF"/>
        </w:rPr>
        <w:t xml:space="preserve">of risk-weighted CET1 capital to </w:t>
      </w:r>
      <w:r w:rsidR="0058412A" w:rsidRPr="00D41D99">
        <w:rPr>
          <w:rFonts w:ascii="Calibri" w:hAnsi="Calibri" w:cs="Calibri"/>
          <w:shd w:val="clear" w:color="auto" w:fill="FFFFFF"/>
        </w:rPr>
        <w:t>amount</w:t>
      </w:r>
      <w:r w:rsidR="001C0BE2" w:rsidRPr="00D41D99">
        <w:rPr>
          <w:rFonts w:ascii="Calibri" w:hAnsi="Calibri" w:cs="Calibri"/>
          <w:shd w:val="clear" w:color="auto" w:fill="FFFFFF"/>
        </w:rPr>
        <w:t xml:space="preserve"> toward the leverage ratio minimum requirement.</w:t>
      </w:r>
      <w:r w:rsidR="0058412A" w:rsidRPr="00D41D99">
        <w:rPr>
          <w:rFonts w:ascii="Calibri" w:hAnsi="Calibri" w:cs="Calibri"/>
          <w:shd w:val="clear" w:color="auto" w:fill="FFFFFF"/>
        </w:rPr>
        <w:t xml:space="preserve"> Leverage ratio framework </w:t>
      </w:r>
      <w:r w:rsidR="0057594B" w:rsidRPr="00D41D99">
        <w:rPr>
          <w:rFonts w:ascii="Calibri" w:hAnsi="Calibri" w:cs="Calibri"/>
          <w:shd w:val="clear" w:color="auto" w:fill="FFFFFF"/>
        </w:rPr>
        <w:t>in the UK includes regulatory buffers that must be met only with CET1</w:t>
      </w:r>
      <w:r w:rsidR="00FB2F18" w:rsidRPr="00D41D99">
        <w:rPr>
          <w:rFonts w:ascii="Calibri" w:hAnsi="Calibri" w:cs="Calibri"/>
          <w:shd w:val="clear" w:color="auto" w:fill="FFFFFF"/>
        </w:rPr>
        <w:t>.</w:t>
      </w:r>
      <w:r w:rsidR="0057594B" w:rsidRPr="00D41D99">
        <w:rPr>
          <w:rFonts w:ascii="Calibri" w:hAnsi="Calibri" w:cs="Calibri"/>
          <w:shd w:val="clear" w:color="auto" w:fill="FFFFFF"/>
        </w:rPr>
        <w:t xml:space="preserve"> FPC </w:t>
      </w:r>
      <w:r w:rsidR="00676BEB" w:rsidRPr="00D41D99">
        <w:rPr>
          <w:rFonts w:ascii="Calibri" w:hAnsi="Calibri" w:cs="Calibri"/>
          <w:shd w:val="clear" w:color="auto" w:fill="FFFFFF"/>
        </w:rPr>
        <w:t xml:space="preserve">is proposing an additional leverage ratio buffer for systemically important banks and a countercyclical leverage ratio buffer </w:t>
      </w:r>
      <w:r w:rsidR="002067E3" w:rsidRPr="00D41D99">
        <w:rPr>
          <w:rFonts w:ascii="Calibri" w:hAnsi="Calibri" w:cs="Calibri"/>
          <w:shd w:val="clear" w:color="auto" w:fill="FFFFFF"/>
        </w:rPr>
        <w:t>(Regulatory News, 2021)</w:t>
      </w:r>
      <w:r w:rsidR="00676BEB" w:rsidRPr="00D41D99">
        <w:rPr>
          <w:rFonts w:ascii="Calibri" w:hAnsi="Calibri" w:cs="Calibri"/>
          <w:shd w:val="clear" w:color="auto" w:fill="FFFFFF"/>
        </w:rPr>
        <w:t>.</w:t>
      </w:r>
      <w:r w:rsidR="00A17722" w:rsidRPr="00D41D99">
        <w:rPr>
          <w:rFonts w:ascii="Calibri" w:hAnsi="Calibri" w:cs="Calibri"/>
          <w:shd w:val="clear" w:color="auto" w:fill="FFFFFF"/>
        </w:rPr>
        <w:t xml:space="preserve"> There will be further discussion on systemic risk and importance </w:t>
      </w:r>
      <w:r w:rsidR="00B20EE2" w:rsidRPr="00D41D99">
        <w:rPr>
          <w:rFonts w:ascii="Calibri" w:hAnsi="Calibri" w:cs="Calibri"/>
          <w:shd w:val="clear" w:color="auto" w:fill="FFFFFF"/>
        </w:rPr>
        <w:t>of avoiding it.</w:t>
      </w:r>
      <w:r w:rsidR="00A17722" w:rsidRPr="00D41D99">
        <w:rPr>
          <w:rFonts w:ascii="Calibri" w:hAnsi="Calibri" w:cs="Calibri"/>
          <w:shd w:val="clear" w:color="auto" w:fill="FFFFFF"/>
        </w:rPr>
        <w:t xml:space="preserve"> </w:t>
      </w:r>
    </w:p>
    <w:p w14:paraId="15482D96" w14:textId="7C41DC52" w:rsidR="00CA59B7" w:rsidRPr="00D41D99" w:rsidRDefault="00CA59B7" w:rsidP="009B174D">
      <w:pPr>
        <w:jc w:val="both"/>
        <w:rPr>
          <w:rFonts w:cstheme="minorHAnsi"/>
          <w:shd w:val="clear" w:color="auto" w:fill="FFFFFF"/>
        </w:rPr>
      </w:pPr>
      <w:r w:rsidRPr="00D41D99">
        <w:rPr>
          <w:rFonts w:cstheme="minorHAnsi"/>
        </w:rPr>
        <w:t>After</w:t>
      </w:r>
      <w:r w:rsidRPr="00D41D99">
        <w:rPr>
          <w:rFonts w:cstheme="minorHAnsi"/>
          <w:shd w:val="clear" w:color="auto" w:fill="FFFFFF"/>
        </w:rPr>
        <w:t xml:space="preserve"> banks </w:t>
      </w:r>
      <w:r w:rsidRPr="00D41D99">
        <w:rPr>
          <w:rFonts w:cstheme="minorHAnsi"/>
        </w:rPr>
        <w:t>were unable to properly measure, manage</w:t>
      </w:r>
      <w:r w:rsidRPr="00D41D99">
        <w:rPr>
          <w:rFonts w:cstheme="minorHAnsi"/>
          <w:shd w:val="clear" w:color="auto" w:fill="FFFFFF"/>
        </w:rPr>
        <w:t xml:space="preserve"> and </w:t>
      </w:r>
      <w:r w:rsidRPr="00D41D99">
        <w:rPr>
          <w:rFonts w:cstheme="minorHAnsi"/>
        </w:rPr>
        <w:t>monitor</w:t>
      </w:r>
      <w:r w:rsidRPr="00D41D99">
        <w:rPr>
          <w:rFonts w:cstheme="minorHAnsi"/>
          <w:shd w:val="clear" w:color="auto" w:fill="FFFFFF"/>
        </w:rPr>
        <w:t xml:space="preserve"> liquidity risk in 2007, the Basel Committee on Banking Supervision (BCBS) introduced two liquidity standards as part of Basel </w:t>
      </w:r>
      <w:r w:rsidRPr="00D41D99">
        <w:rPr>
          <w:rFonts w:cstheme="minorHAnsi"/>
        </w:rPr>
        <w:t>III.</w:t>
      </w:r>
      <w:r w:rsidRPr="00D41D99">
        <w:rPr>
          <w:rFonts w:cstheme="minorHAnsi"/>
          <w:shd w:val="clear" w:color="auto" w:fill="FFFFFF"/>
        </w:rPr>
        <w:t xml:space="preserve"> The first is the Liquidity Coverage Ratio (LCR), </w:t>
      </w:r>
      <w:r w:rsidRPr="00D41D99">
        <w:rPr>
          <w:rFonts w:cstheme="minorHAnsi"/>
        </w:rPr>
        <w:t>which is short-term resilience,</w:t>
      </w:r>
      <w:r w:rsidRPr="00D41D99">
        <w:rPr>
          <w:rFonts w:cstheme="minorHAnsi"/>
          <w:shd w:val="clear" w:color="auto" w:fill="FFFFFF"/>
        </w:rPr>
        <w:t xml:space="preserve"> and the second is the Net Stable Funding Ratio (NSFR), </w:t>
      </w:r>
      <w:r w:rsidRPr="00D41D99">
        <w:rPr>
          <w:rFonts w:cstheme="minorHAnsi"/>
        </w:rPr>
        <w:t>which allows</w:t>
      </w:r>
      <w:r w:rsidRPr="00D41D99">
        <w:rPr>
          <w:rFonts w:cstheme="minorHAnsi"/>
          <w:shd w:val="clear" w:color="auto" w:fill="FFFFFF"/>
        </w:rPr>
        <w:t xml:space="preserve"> banks to fund their </w:t>
      </w:r>
      <w:r w:rsidRPr="00D41D99">
        <w:rPr>
          <w:rFonts w:cstheme="minorHAnsi"/>
        </w:rPr>
        <w:t>operations</w:t>
      </w:r>
      <w:r w:rsidRPr="00D41D99">
        <w:rPr>
          <w:rFonts w:cstheme="minorHAnsi"/>
          <w:shd w:val="clear" w:color="auto" w:fill="FFFFFF"/>
        </w:rPr>
        <w:t xml:space="preserve"> with more stable </w:t>
      </w:r>
      <w:r w:rsidRPr="00D41D99">
        <w:rPr>
          <w:rFonts w:cstheme="minorHAnsi"/>
        </w:rPr>
        <w:t>sources</w:t>
      </w:r>
      <w:r w:rsidRPr="00D41D99">
        <w:rPr>
          <w:rFonts w:cstheme="minorHAnsi"/>
          <w:shd w:val="clear" w:color="auto" w:fill="FFFFFF"/>
        </w:rPr>
        <w:t xml:space="preserve"> of funding</w:t>
      </w:r>
      <w:r w:rsidR="00C64741" w:rsidRPr="00D41D99">
        <w:rPr>
          <w:rFonts w:cstheme="minorHAnsi"/>
          <w:shd w:val="clear" w:color="auto" w:fill="FFFFFF"/>
        </w:rPr>
        <w:t xml:space="preserve"> as well as</w:t>
      </w:r>
      <w:r w:rsidRPr="00D41D99">
        <w:rPr>
          <w:rFonts w:cstheme="minorHAnsi"/>
        </w:rPr>
        <w:t xml:space="preserve"> a long-term resilience.</w:t>
      </w:r>
      <w:r w:rsidRPr="00D41D99">
        <w:rPr>
          <w:rFonts w:cstheme="minorHAnsi"/>
          <w:shd w:val="clear" w:color="auto" w:fill="FFFFFF"/>
        </w:rPr>
        <w:t xml:space="preserve"> Liquidity </w:t>
      </w:r>
      <w:r w:rsidRPr="00D41D99">
        <w:rPr>
          <w:rFonts w:cstheme="minorHAnsi"/>
        </w:rPr>
        <w:t>coverage rate</w:t>
      </w:r>
      <w:r w:rsidRPr="00D41D99">
        <w:rPr>
          <w:rFonts w:cstheme="minorHAnsi"/>
          <w:shd w:val="clear" w:color="auto" w:fill="FFFFFF"/>
        </w:rPr>
        <w:t xml:space="preserve"> (LCR) </w:t>
      </w:r>
      <w:r w:rsidRPr="00D41D99">
        <w:rPr>
          <w:rFonts w:cstheme="minorHAnsi"/>
        </w:rPr>
        <w:t>consists of</w:t>
      </w:r>
      <w:r w:rsidRPr="00D41D99">
        <w:rPr>
          <w:rFonts w:cstheme="minorHAnsi"/>
          <w:shd w:val="clear" w:color="auto" w:fill="FFFFFF"/>
        </w:rPr>
        <w:t xml:space="preserve"> two </w:t>
      </w:r>
      <w:r w:rsidRPr="00D41D99">
        <w:rPr>
          <w:rFonts w:cstheme="minorHAnsi"/>
        </w:rPr>
        <w:t>components.</w:t>
      </w:r>
      <w:r w:rsidRPr="00D41D99">
        <w:rPr>
          <w:rFonts w:cstheme="minorHAnsi"/>
          <w:shd w:val="clear" w:color="auto" w:fill="FFFFFF"/>
        </w:rPr>
        <w:t xml:space="preserve"> HQLA </w:t>
      </w:r>
      <w:r w:rsidRPr="00D41D99">
        <w:rPr>
          <w:rFonts w:cstheme="minorHAnsi"/>
        </w:rPr>
        <w:t>inventory under stressful</w:t>
      </w:r>
      <w:r w:rsidRPr="00D41D99">
        <w:rPr>
          <w:rFonts w:cstheme="minorHAnsi"/>
          <w:shd w:val="clear" w:color="auto" w:fill="FFFFFF"/>
        </w:rPr>
        <w:t xml:space="preserve"> conditions </w:t>
      </w:r>
      <w:r w:rsidRPr="00D41D99">
        <w:rPr>
          <w:rFonts w:cstheme="minorHAnsi"/>
        </w:rPr>
        <w:t>plus</w:t>
      </w:r>
      <w:r w:rsidRPr="00D41D99">
        <w:rPr>
          <w:rFonts w:cstheme="minorHAnsi"/>
          <w:shd w:val="clear" w:color="auto" w:fill="FFFFFF"/>
        </w:rPr>
        <w:t xml:space="preserve"> </w:t>
      </w:r>
      <w:r w:rsidR="00C64741" w:rsidRPr="00D41D99">
        <w:rPr>
          <w:rFonts w:cstheme="minorHAnsi"/>
          <w:shd w:val="clear" w:color="auto" w:fill="FFFFFF"/>
        </w:rPr>
        <w:t xml:space="preserve">total </w:t>
      </w:r>
      <w:r w:rsidRPr="00D41D99">
        <w:rPr>
          <w:rFonts w:cstheme="minorHAnsi"/>
          <w:shd w:val="clear" w:color="auto" w:fill="FFFFFF"/>
        </w:rPr>
        <w:t>net</w:t>
      </w:r>
      <w:r w:rsidR="00C64741" w:rsidRPr="00D41D99">
        <w:rPr>
          <w:rFonts w:cstheme="minorHAnsi"/>
          <w:shd w:val="clear" w:color="auto" w:fill="FFFFFF"/>
        </w:rPr>
        <w:t xml:space="preserve"> cash</w:t>
      </w:r>
      <w:r w:rsidRPr="00D41D99">
        <w:rPr>
          <w:rFonts w:cstheme="minorHAnsi"/>
          <w:shd w:val="clear" w:color="auto" w:fill="FFFFFF"/>
        </w:rPr>
        <w:t xml:space="preserve"> </w:t>
      </w:r>
      <w:r w:rsidRPr="00D41D99">
        <w:rPr>
          <w:rFonts w:cstheme="minorHAnsi"/>
        </w:rPr>
        <w:t>outflow.</w:t>
      </w:r>
      <w:r w:rsidRPr="00D41D99">
        <w:rPr>
          <w:rFonts w:cstheme="minorHAnsi"/>
          <w:shd w:val="clear" w:color="auto" w:fill="FFFFFF"/>
        </w:rPr>
        <w:t xml:space="preserve"> LCR is an </w:t>
      </w:r>
      <w:r w:rsidRPr="00D41D99">
        <w:rPr>
          <w:rFonts w:cstheme="minorHAnsi"/>
        </w:rPr>
        <w:t>extension of the</w:t>
      </w:r>
      <w:r w:rsidRPr="00D41D99">
        <w:rPr>
          <w:rFonts w:cstheme="minorHAnsi"/>
          <w:shd w:val="clear" w:color="auto" w:fill="FFFFFF"/>
        </w:rPr>
        <w:t xml:space="preserve"> traditional liquidity </w:t>
      </w:r>
      <w:r w:rsidRPr="00D41D99">
        <w:rPr>
          <w:rFonts w:cstheme="minorHAnsi"/>
        </w:rPr>
        <w:t>coverage ratio approach that banks use</w:t>
      </w:r>
      <w:r w:rsidRPr="00D41D99">
        <w:rPr>
          <w:rFonts w:cstheme="minorHAnsi"/>
          <w:shd w:val="clear" w:color="auto" w:fill="FFFFFF"/>
        </w:rPr>
        <w:t xml:space="preserve"> internally to assess </w:t>
      </w:r>
      <w:r w:rsidR="00C64741" w:rsidRPr="00D41D99">
        <w:rPr>
          <w:rFonts w:cstheme="minorHAnsi"/>
        </w:rPr>
        <w:t xml:space="preserve">exposure to </w:t>
      </w:r>
      <w:r w:rsidR="004A16AD" w:rsidRPr="00D41D99">
        <w:rPr>
          <w:rFonts w:cstheme="minorHAnsi"/>
        </w:rPr>
        <w:t xml:space="preserve">contingent </w:t>
      </w:r>
      <w:r w:rsidRPr="00D41D99">
        <w:rPr>
          <w:rFonts w:cstheme="minorHAnsi"/>
          <w:shd w:val="clear" w:color="auto" w:fill="FFFFFF"/>
        </w:rPr>
        <w:t>liquidity events.</w:t>
      </w:r>
    </w:p>
    <w:p w14:paraId="52F34BA8" w14:textId="3320ADD1" w:rsidR="00EB504B" w:rsidRDefault="00960425" w:rsidP="009B174D">
      <w:pPr>
        <w:jc w:val="both"/>
        <w:rPr>
          <w:rFonts w:ascii="Calibri" w:hAnsi="Calibri" w:cs="Calibri"/>
          <w:color w:val="1C1D1E"/>
          <w:shd w:val="clear" w:color="auto" w:fill="FFFFFF"/>
        </w:rPr>
      </w:pPr>
      <w:r>
        <w:rPr>
          <w:noProof/>
        </w:rPr>
        <w:drawing>
          <wp:inline distT="0" distB="0" distL="0" distR="0" wp14:anchorId="45B6638B" wp14:editId="0115929B">
            <wp:extent cx="4810125" cy="59055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810125" cy="590550"/>
                    </a:xfrm>
                    <a:prstGeom prst="rect">
                      <a:avLst/>
                    </a:prstGeom>
                  </pic:spPr>
                </pic:pic>
              </a:graphicData>
            </a:graphic>
          </wp:inline>
        </w:drawing>
      </w:r>
    </w:p>
    <w:p w14:paraId="369F3D26" w14:textId="24B130DA" w:rsidR="005C5A93" w:rsidRPr="00784B25" w:rsidRDefault="005C5A93" w:rsidP="005C5A93">
      <w:pPr>
        <w:jc w:val="both"/>
        <w:rPr>
          <w:rFonts w:ascii="Calibri" w:hAnsi="Calibri" w:cs="Calibri"/>
          <w:shd w:val="clear" w:color="auto" w:fill="FFFFFF"/>
        </w:rPr>
      </w:pPr>
      <w:r w:rsidRPr="00784B25">
        <w:rPr>
          <w:rFonts w:ascii="Calibri" w:hAnsi="Calibri" w:cs="Calibri"/>
          <w:shd w:val="clear" w:color="auto" w:fill="FFFFFF"/>
        </w:rPr>
        <w:t xml:space="preserve">Liquidity Coverage Ratio formula (Basel Committee in Banking Supervision, 2021). </w:t>
      </w:r>
    </w:p>
    <w:p w14:paraId="3EC57E3B" w14:textId="4F2C51A3" w:rsidR="00784B25" w:rsidRPr="00493C27" w:rsidRDefault="00784B25" w:rsidP="009B174D">
      <w:pPr>
        <w:jc w:val="both"/>
        <w:rPr>
          <w:rFonts w:cstheme="minorHAnsi"/>
          <w:sz w:val="24"/>
          <w:szCs w:val="24"/>
          <w:shd w:val="clear" w:color="auto" w:fill="FFFFFF"/>
        </w:rPr>
      </w:pPr>
      <w:r w:rsidRPr="00493C27">
        <w:rPr>
          <w:rFonts w:cstheme="minorHAnsi"/>
          <w:shd w:val="clear" w:color="auto" w:fill="FFFFFF"/>
        </w:rPr>
        <w:t xml:space="preserve">NSFR ratio must </w:t>
      </w:r>
      <w:r w:rsidRPr="00493C27">
        <w:rPr>
          <w:rFonts w:cstheme="minorHAnsi"/>
        </w:rPr>
        <w:t>be at least</w:t>
      </w:r>
      <w:r w:rsidRPr="00493C27">
        <w:rPr>
          <w:rFonts w:cstheme="minorHAnsi"/>
          <w:shd w:val="clear" w:color="auto" w:fill="FFFFFF"/>
        </w:rPr>
        <w:t xml:space="preserve"> 100%. ASF is </w:t>
      </w:r>
      <w:r w:rsidRPr="00493C27">
        <w:rPr>
          <w:rFonts w:cstheme="minorHAnsi"/>
        </w:rPr>
        <w:t>part of</w:t>
      </w:r>
      <w:r w:rsidRPr="00493C27">
        <w:rPr>
          <w:rFonts w:cstheme="minorHAnsi"/>
          <w:shd w:val="clear" w:color="auto" w:fill="FFFFFF"/>
        </w:rPr>
        <w:t xml:space="preserve"> the capital and </w:t>
      </w:r>
      <w:r w:rsidR="00493C27" w:rsidRPr="00493C27">
        <w:rPr>
          <w:rFonts w:cstheme="minorHAnsi"/>
        </w:rPr>
        <w:t>liabilities</w:t>
      </w:r>
      <w:r w:rsidRPr="00493C27">
        <w:rPr>
          <w:rFonts w:cstheme="minorHAnsi"/>
          <w:shd w:val="clear" w:color="auto" w:fill="FFFFFF"/>
        </w:rPr>
        <w:t xml:space="preserve"> that </w:t>
      </w:r>
      <w:r w:rsidRPr="00493C27">
        <w:rPr>
          <w:rFonts w:cstheme="minorHAnsi"/>
        </w:rPr>
        <w:t>remains</w:t>
      </w:r>
      <w:r w:rsidRPr="00493C27">
        <w:rPr>
          <w:rFonts w:cstheme="minorHAnsi"/>
          <w:shd w:val="clear" w:color="auto" w:fill="FFFFFF"/>
        </w:rPr>
        <w:t xml:space="preserve"> in the bank for </w:t>
      </w:r>
      <w:r w:rsidRPr="00493C27">
        <w:rPr>
          <w:rFonts w:cstheme="minorHAnsi"/>
        </w:rPr>
        <w:t>over a</w:t>
      </w:r>
      <w:r w:rsidRPr="00493C27">
        <w:rPr>
          <w:rFonts w:cstheme="minorHAnsi"/>
          <w:shd w:val="clear" w:color="auto" w:fill="FFFFFF"/>
        </w:rPr>
        <w:t xml:space="preserve"> year. </w:t>
      </w:r>
      <w:r w:rsidRPr="00493C27">
        <w:rPr>
          <w:rFonts w:cstheme="minorHAnsi"/>
        </w:rPr>
        <w:t>Due to</w:t>
      </w:r>
      <w:r w:rsidRPr="00493C27">
        <w:rPr>
          <w:rFonts w:cstheme="minorHAnsi"/>
          <w:shd w:val="clear" w:color="auto" w:fill="FFFFFF"/>
        </w:rPr>
        <w:t xml:space="preserve"> the </w:t>
      </w:r>
      <w:r w:rsidRPr="00493C27">
        <w:rPr>
          <w:rFonts w:cstheme="minorHAnsi"/>
        </w:rPr>
        <w:t>illiquidity of RSFs, assets</w:t>
      </w:r>
      <w:r w:rsidRPr="00493C27">
        <w:rPr>
          <w:rFonts w:cstheme="minorHAnsi"/>
          <w:shd w:val="clear" w:color="auto" w:fill="FFFFFF"/>
        </w:rPr>
        <w:t xml:space="preserve"> or </w:t>
      </w:r>
      <w:r w:rsidRPr="00493C27">
        <w:rPr>
          <w:rFonts w:cstheme="minorHAnsi"/>
        </w:rPr>
        <w:t>exposures need</w:t>
      </w:r>
      <w:r w:rsidRPr="00493C27">
        <w:rPr>
          <w:rFonts w:cstheme="minorHAnsi"/>
          <w:shd w:val="clear" w:color="auto" w:fill="FFFFFF"/>
        </w:rPr>
        <w:t xml:space="preserve"> to be </w:t>
      </w:r>
      <w:r w:rsidRPr="00493C27">
        <w:rPr>
          <w:rFonts w:cstheme="minorHAnsi"/>
        </w:rPr>
        <w:t>fully funded with</w:t>
      </w:r>
      <w:r w:rsidRPr="00493C27">
        <w:rPr>
          <w:rFonts w:cstheme="minorHAnsi"/>
          <w:shd w:val="clear" w:color="auto" w:fill="FFFFFF"/>
        </w:rPr>
        <w:t xml:space="preserve"> stable funding. This framework is </w:t>
      </w:r>
      <w:r w:rsidRPr="00493C27">
        <w:rPr>
          <w:rFonts w:cstheme="minorHAnsi"/>
        </w:rPr>
        <w:t>the</w:t>
      </w:r>
      <w:r w:rsidRPr="00493C27">
        <w:rPr>
          <w:rFonts w:cstheme="minorHAnsi"/>
          <w:shd w:val="clear" w:color="auto" w:fill="FFFFFF"/>
        </w:rPr>
        <w:t xml:space="preserve"> minimum standard </w:t>
      </w:r>
      <w:r w:rsidRPr="00493C27">
        <w:rPr>
          <w:rFonts w:cstheme="minorHAnsi"/>
        </w:rPr>
        <w:t>that applies</w:t>
      </w:r>
      <w:r w:rsidRPr="00493C27">
        <w:rPr>
          <w:rFonts w:cstheme="minorHAnsi"/>
          <w:shd w:val="clear" w:color="auto" w:fill="FFFFFF"/>
        </w:rPr>
        <w:t xml:space="preserve"> to all internationally active </w:t>
      </w:r>
      <w:r w:rsidRPr="00493C27">
        <w:rPr>
          <w:rFonts w:cstheme="minorHAnsi"/>
        </w:rPr>
        <w:t>banks. It</w:t>
      </w:r>
      <w:r w:rsidRPr="00493C27">
        <w:rPr>
          <w:rFonts w:cstheme="minorHAnsi"/>
          <w:shd w:val="clear" w:color="auto" w:fill="FFFFFF"/>
        </w:rPr>
        <w:t xml:space="preserve"> must be </w:t>
      </w:r>
      <w:r w:rsidRPr="00493C27">
        <w:rPr>
          <w:rFonts w:cstheme="minorHAnsi"/>
        </w:rPr>
        <w:t>adhered to continuously</w:t>
      </w:r>
      <w:r w:rsidRPr="00493C27">
        <w:rPr>
          <w:rFonts w:cstheme="minorHAnsi"/>
          <w:shd w:val="clear" w:color="auto" w:fill="FFFFFF"/>
        </w:rPr>
        <w:t xml:space="preserve"> and banks are </w:t>
      </w:r>
      <w:r w:rsidRPr="00493C27">
        <w:rPr>
          <w:rFonts w:cstheme="minorHAnsi"/>
        </w:rPr>
        <w:t>obliged</w:t>
      </w:r>
      <w:r w:rsidRPr="00493C27">
        <w:rPr>
          <w:rFonts w:cstheme="minorHAnsi"/>
          <w:shd w:val="clear" w:color="auto" w:fill="FFFFFF"/>
        </w:rPr>
        <w:t xml:space="preserve"> to report </w:t>
      </w:r>
      <w:r w:rsidRPr="00493C27">
        <w:rPr>
          <w:rFonts w:cstheme="minorHAnsi"/>
        </w:rPr>
        <w:t>quarterly.</w:t>
      </w:r>
    </w:p>
    <w:p w14:paraId="07B8FBA1" w14:textId="6548B491" w:rsidR="005C5A93" w:rsidRDefault="000D1962" w:rsidP="009B174D">
      <w:pPr>
        <w:jc w:val="both"/>
        <w:rPr>
          <w:rFonts w:ascii="Calibri" w:hAnsi="Calibri" w:cs="Calibri"/>
          <w:color w:val="1C1D1E"/>
          <w:shd w:val="clear" w:color="auto" w:fill="FFFFFF"/>
        </w:rPr>
      </w:pPr>
      <w:r>
        <w:rPr>
          <w:noProof/>
        </w:rPr>
        <w:drawing>
          <wp:inline distT="0" distB="0" distL="0" distR="0" wp14:anchorId="79B9CC62" wp14:editId="67E2CBA7">
            <wp:extent cx="3514725" cy="552450"/>
            <wp:effectExtent l="0" t="0" r="9525" b="0"/>
            <wp:docPr id="16" name="Picture 1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ext&#10;&#10;Description automatically generated"/>
                    <pic:cNvPicPr/>
                  </pic:nvPicPr>
                  <pic:blipFill>
                    <a:blip r:embed="rId12"/>
                    <a:stretch>
                      <a:fillRect/>
                    </a:stretch>
                  </pic:blipFill>
                  <pic:spPr>
                    <a:xfrm>
                      <a:off x="0" y="0"/>
                      <a:ext cx="3514725" cy="552450"/>
                    </a:xfrm>
                    <a:prstGeom prst="rect">
                      <a:avLst/>
                    </a:prstGeom>
                  </pic:spPr>
                </pic:pic>
              </a:graphicData>
            </a:graphic>
          </wp:inline>
        </w:drawing>
      </w:r>
    </w:p>
    <w:p w14:paraId="5DACEC48" w14:textId="77777777" w:rsidR="007918CC" w:rsidRDefault="007918CC" w:rsidP="007918CC">
      <w:pPr>
        <w:jc w:val="both"/>
        <w:rPr>
          <w:rFonts w:ascii="Calibri" w:hAnsi="Calibri" w:cs="Calibri"/>
          <w:color w:val="1C1D1E"/>
          <w:shd w:val="clear" w:color="auto" w:fill="FFFFFF"/>
        </w:rPr>
      </w:pPr>
      <w:r>
        <w:t xml:space="preserve">NSFR formula </w:t>
      </w:r>
      <w:r>
        <w:rPr>
          <w:rFonts w:ascii="Calibri" w:hAnsi="Calibri" w:cs="Calibri"/>
          <w:color w:val="1C1D1E"/>
          <w:shd w:val="clear" w:color="auto" w:fill="FFFFFF"/>
        </w:rPr>
        <w:t xml:space="preserve">(Basel Committee in Banking Supervision, 2021). </w:t>
      </w:r>
    </w:p>
    <w:p w14:paraId="42F3E37F" w14:textId="76904495" w:rsidR="003C100D" w:rsidRDefault="003C100D" w:rsidP="00C73765">
      <w:pPr>
        <w:jc w:val="both"/>
      </w:pPr>
    </w:p>
    <w:p w14:paraId="4304FF6E" w14:textId="64F7DEEF" w:rsidR="00AC2117" w:rsidRDefault="00122518" w:rsidP="00C73765">
      <w:pPr>
        <w:jc w:val="both"/>
      </w:pPr>
      <w:r>
        <w:lastRenderedPageBreak/>
        <w:t>The concept of ‘system</w:t>
      </w:r>
      <w:r w:rsidR="00915625">
        <w:t>ic</w:t>
      </w:r>
      <w:r>
        <w:t xml:space="preserve"> risk’ is fundamental to the regulatory framework established under Basel </w:t>
      </w:r>
      <w:r w:rsidR="00915625">
        <w:t>III and Dodd-Frank. The remit of the FSOC</w:t>
      </w:r>
      <w:r w:rsidR="00AC2117">
        <w:t xml:space="preserve"> (Financial Stability Oversight Council)</w:t>
      </w:r>
      <w:r w:rsidR="00915625">
        <w:t xml:space="preserve"> and FRB</w:t>
      </w:r>
      <w:r w:rsidR="00AC2117">
        <w:t xml:space="preserve"> (Financial Reserve Bank)</w:t>
      </w:r>
      <w:r w:rsidR="00915625">
        <w:t xml:space="preserve"> is to measure systemic risk and the policymakers </w:t>
      </w:r>
      <w:r w:rsidR="0004011C">
        <w:t xml:space="preserve">have recently begun to develop the methodology to gauge this risk. Policymakers, </w:t>
      </w:r>
      <w:r w:rsidR="00AC14BE">
        <w:t>economists,</w:t>
      </w:r>
      <w:r w:rsidR="0082226E">
        <w:t xml:space="preserve"> and central bankers have come to agreement on how to measure and define if a risk was systemic risk by considering the effects of disruptions in financial systems</w:t>
      </w:r>
      <w:r w:rsidR="00465515">
        <w:t>, if the disruption/event did not cause significant disruptions in the real economy then it is not a systemic risk event.</w:t>
      </w:r>
      <w:r w:rsidR="00AC14BE">
        <w:t xml:space="preserve"> The approach of s</w:t>
      </w:r>
      <w:r w:rsidR="00465515">
        <w:t>ystemic risk</w:t>
      </w:r>
      <w:r w:rsidR="00AC14BE">
        <w:t xml:space="preserve"> is when there is a collapse of financial intermediation that stops the flow of cash and credit to businesses and consumers </w:t>
      </w:r>
      <w:r w:rsidR="001213C7">
        <w:t>which is the mechanism for economic output and growth. According to researchers there are two causes of systemic event identified</w:t>
      </w:r>
      <w:r w:rsidR="0050165C">
        <w:t>, interconnectedness of financial institutions and simultaneous shock to financial systems through contagion.</w:t>
      </w:r>
      <w:r w:rsidR="007C2DAD">
        <w:t xml:space="preserve"> During and after the great</w:t>
      </w:r>
      <w:r w:rsidR="00BA36D3">
        <w:t xml:space="preserve"> financial crisis </w:t>
      </w:r>
      <w:r w:rsidR="007C2DAD">
        <w:t>regulatory globally rescued many large failing institutions for the</w:t>
      </w:r>
      <w:r w:rsidR="00465515">
        <w:t xml:space="preserve"> </w:t>
      </w:r>
      <w:r w:rsidR="007C2DAD">
        <w:t>f</w:t>
      </w:r>
      <w:r w:rsidR="00BA36D3">
        <w:t>ear of the domino effect</w:t>
      </w:r>
      <w:r w:rsidR="00AC2117">
        <w:t>. Post GFC importance was given to the critical need for international coordination in the globally integrated financial system. Coordination needs to</w:t>
      </w:r>
      <w:r w:rsidR="00F27889">
        <w:t xml:space="preserve"> be systematized and formulised, a realization by authorities in the world’s major financial markets. FSOC was created by Dodd-Frank Wall Street Reform and Consumer Protection Act to coordinate systemic risk</w:t>
      </w:r>
      <w:r w:rsidR="003A461E">
        <w:t xml:space="preserve"> oversight and designated certain financial groups by vote as Systemically Important Financial Institutions (SIFIs). Voting members included the Treasury </w:t>
      </w:r>
      <w:r w:rsidR="00A71AA5">
        <w:t>Secretary and federal financial regulators. The aim was to proactively detect and recommend measures to prevent potential risks to the stability of the financial system in U.S</w:t>
      </w:r>
      <w:r w:rsidR="00B35C1D">
        <w:t xml:space="preserve"> (Dill, 2020)</w:t>
      </w:r>
      <w:r w:rsidR="00A71AA5">
        <w:t>.</w:t>
      </w:r>
      <w:r w:rsidR="00F27889">
        <w:t xml:space="preserve"> </w:t>
      </w:r>
      <w:r w:rsidR="00AC2117">
        <w:t xml:space="preserve"> </w:t>
      </w:r>
    </w:p>
    <w:p w14:paraId="354F807F" w14:textId="77777777" w:rsidR="003326C1" w:rsidRDefault="005E30F1" w:rsidP="00FF07B6">
      <w:pPr>
        <w:spacing w:after="0" w:line="288" w:lineRule="auto"/>
        <w:contextualSpacing/>
        <w:jc w:val="both"/>
      </w:pPr>
      <w:r>
        <w:t xml:space="preserve">The United </w:t>
      </w:r>
      <w:r w:rsidR="004F2705">
        <w:t xml:space="preserve">Kingdom accounts for 18.8% of the European banks industry value (MarketLine, 2020). </w:t>
      </w:r>
    </w:p>
    <w:p w14:paraId="3E40DAAF" w14:textId="2AFD306C" w:rsidR="003326C1" w:rsidRPr="003326C1" w:rsidRDefault="00257529" w:rsidP="00FF07B6">
      <w:pPr>
        <w:spacing w:after="0" w:line="288" w:lineRule="auto"/>
        <w:contextualSpacing/>
        <w:jc w:val="both"/>
        <w:rPr>
          <w:rFonts w:ascii="Times New Roman" w:eastAsia="Times New Roman" w:hAnsi="Times New Roman" w:cs="Times New Roman"/>
          <w:lang w:eastAsia="en-GB"/>
        </w:rPr>
      </w:pPr>
      <w:r w:rsidRPr="00257529">
        <w:rPr>
          <w:rFonts w:eastAsiaTheme="minorEastAsia" w:hAnsi="Tw Cen MT"/>
          <w:color w:val="000000" w:themeColor="text1"/>
          <w:kern w:val="24"/>
          <w:lang w:eastAsia="en-GB"/>
        </w:rPr>
        <w:t>The prudential requirements of Basel framework are categorised to three pillars</w:t>
      </w:r>
      <w:r w:rsidR="003326C1">
        <w:rPr>
          <w:rFonts w:eastAsiaTheme="minorEastAsia" w:hAnsi="Tw Cen MT"/>
          <w:color w:val="000000" w:themeColor="text1"/>
          <w:kern w:val="24"/>
          <w:lang w:eastAsia="en-GB"/>
        </w:rPr>
        <w:t>,</w:t>
      </w:r>
      <w:r w:rsidR="003326C1" w:rsidRPr="00257529">
        <w:rPr>
          <w:rFonts w:eastAsiaTheme="minorEastAsia" w:hAnsi="Tw Cen MT"/>
          <w:color w:val="000000" w:themeColor="text1"/>
          <w:kern w:val="24"/>
          <w:lang w:eastAsia="en-GB"/>
        </w:rPr>
        <w:t xml:space="preserve"> Pillar 1: Minimum capital requirement, Pillar 2: Supervisory review process, Pillar 3: Market discipline.</w:t>
      </w:r>
    </w:p>
    <w:p w14:paraId="18AB3524" w14:textId="0277499B" w:rsidR="003326C1" w:rsidRPr="00257529" w:rsidRDefault="00930809" w:rsidP="00FF07B6">
      <w:pPr>
        <w:spacing w:after="0" w:line="288" w:lineRule="auto"/>
        <w:contextualSpacing/>
        <w:jc w:val="both"/>
      </w:pPr>
      <w:r>
        <w:t>The Bank of England (BoE) in the U.K oversees regulation and supervision of systemic risk. The Financial Policy Committee (FPC)</w:t>
      </w:r>
      <w:r w:rsidR="007F2A9F">
        <w:t xml:space="preserve"> of BoE with representatives from BoE, Financial Conduct Authority (FCA), Prudential Regulation Authority (PRA), external members and Treasury observer oversees systemic risk issues.</w:t>
      </w:r>
      <w:r w:rsidR="00B35C1D">
        <w:t xml:space="preserve"> </w:t>
      </w:r>
      <w:r w:rsidR="007F2A9F">
        <w:t>European Systemic Risk Board (ESRB) in the EU is responsible for macro-prudential oversight of the EU’s financial syste</w:t>
      </w:r>
      <w:r w:rsidR="004300C6">
        <w:t>m and prevent or mitigate systemic risks to financial stability</w:t>
      </w:r>
      <w:r w:rsidR="00B35C1D">
        <w:t xml:space="preserve"> (Dill, 2020)</w:t>
      </w:r>
      <w:r w:rsidR="004300C6">
        <w:t>.</w:t>
      </w:r>
      <w:r w:rsidR="003326C1" w:rsidRPr="003326C1">
        <w:rPr>
          <w:rFonts w:eastAsiaTheme="minorEastAsia" w:hAnsi="Tw Cen MT"/>
          <w:color w:val="000000" w:themeColor="text1"/>
          <w:kern w:val="24"/>
          <w:lang w:eastAsia="en-GB"/>
        </w:rPr>
        <w:t xml:space="preserve"> </w:t>
      </w:r>
    </w:p>
    <w:p w14:paraId="31C5E494" w14:textId="77777777" w:rsidR="00F875AE" w:rsidRDefault="00F875AE" w:rsidP="00C73765">
      <w:pPr>
        <w:jc w:val="both"/>
        <w:rPr>
          <w:rFonts w:cstheme="minorHAnsi"/>
        </w:rPr>
      </w:pPr>
    </w:p>
    <w:p w14:paraId="340A9749" w14:textId="27F63CD2" w:rsidR="007F2A9F" w:rsidRPr="00F875AE" w:rsidRDefault="00F875AE" w:rsidP="00F875AE">
      <w:pPr>
        <w:pStyle w:val="Heading2"/>
      </w:pPr>
      <w:bookmarkStart w:id="10" w:name="_Toc92570881"/>
      <w:r w:rsidRPr="00F875AE">
        <w:t>Dodd-Frank</w:t>
      </w:r>
      <w:r>
        <w:t xml:space="preserve"> Regulation</w:t>
      </w:r>
      <w:bookmarkEnd w:id="10"/>
    </w:p>
    <w:p w14:paraId="5EB3CAEB" w14:textId="72F54AF6" w:rsidR="00A076E0" w:rsidRPr="000E1AC1" w:rsidRDefault="00A076E0" w:rsidP="004300C6">
      <w:pPr>
        <w:jc w:val="both"/>
        <w:rPr>
          <w:rFonts w:cstheme="minorHAnsi"/>
          <w:sz w:val="24"/>
          <w:szCs w:val="24"/>
        </w:rPr>
      </w:pPr>
      <w:r w:rsidRPr="000E1AC1">
        <w:rPr>
          <w:rFonts w:cstheme="minorHAnsi"/>
          <w:shd w:val="clear" w:color="auto" w:fill="FFFFFF"/>
        </w:rPr>
        <w:t xml:space="preserve">Another concept </w:t>
      </w:r>
      <w:r w:rsidRPr="000E1AC1">
        <w:rPr>
          <w:rFonts w:cstheme="minorHAnsi"/>
        </w:rPr>
        <w:t>that</w:t>
      </w:r>
      <w:r w:rsidRPr="000E1AC1">
        <w:rPr>
          <w:rFonts w:cstheme="minorHAnsi"/>
          <w:shd w:val="clear" w:color="auto" w:fill="FFFFFF"/>
        </w:rPr>
        <w:t xml:space="preserve"> Basel </w:t>
      </w:r>
      <w:r w:rsidRPr="000E1AC1">
        <w:rPr>
          <w:rFonts w:cstheme="minorHAnsi"/>
        </w:rPr>
        <w:t xml:space="preserve">III / </w:t>
      </w:r>
      <w:bookmarkStart w:id="11" w:name="_Hlk92570777"/>
      <w:r w:rsidRPr="000E1AC1">
        <w:rPr>
          <w:rFonts w:cstheme="minorHAnsi"/>
        </w:rPr>
        <w:t xml:space="preserve">Dodd-Frank </w:t>
      </w:r>
      <w:bookmarkEnd w:id="11"/>
      <w:r w:rsidRPr="000E1AC1">
        <w:rPr>
          <w:rFonts w:cstheme="minorHAnsi"/>
        </w:rPr>
        <w:t>is trying</w:t>
      </w:r>
      <w:r w:rsidRPr="000E1AC1">
        <w:rPr>
          <w:rFonts w:cstheme="minorHAnsi"/>
          <w:shd w:val="clear" w:color="auto" w:fill="FFFFFF"/>
        </w:rPr>
        <w:t xml:space="preserve"> to </w:t>
      </w:r>
      <w:r w:rsidRPr="000E1AC1">
        <w:rPr>
          <w:rFonts w:cstheme="minorHAnsi"/>
        </w:rPr>
        <w:t>solve</w:t>
      </w:r>
      <w:r w:rsidRPr="000E1AC1">
        <w:rPr>
          <w:rFonts w:cstheme="minorHAnsi"/>
          <w:shd w:val="clear" w:color="auto" w:fill="FFFFFF"/>
        </w:rPr>
        <w:t xml:space="preserve"> is TBTF </w:t>
      </w:r>
      <w:r w:rsidRPr="000E1AC1">
        <w:rPr>
          <w:rFonts w:cstheme="minorHAnsi"/>
        </w:rPr>
        <w:t>(too</w:t>
      </w:r>
      <w:r w:rsidRPr="000E1AC1">
        <w:rPr>
          <w:rFonts w:cstheme="minorHAnsi"/>
          <w:shd w:val="clear" w:color="auto" w:fill="FFFFFF"/>
        </w:rPr>
        <w:t xml:space="preserve"> big to fail). TBTF has </w:t>
      </w:r>
      <w:r w:rsidRPr="000E1AC1">
        <w:rPr>
          <w:rFonts w:cstheme="minorHAnsi"/>
        </w:rPr>
        <w:t>become</w:t>
      </w:r>
      <w:r w:rsidRPr="000E1AC1">
        <w:rPr>
          <w:rFonts w:cstheme="minorHAnsi"/>
          <w:shd w:val="clear" w:color="auto" w:fill="FFFFFF"/>
        </w:rPr>
        <w:t xml:space="preserve"> a public policy issue due to </w:t>
      </w:r>
      <w:r w:rsidRPr="000E1AC1">
        <w:rPr>
          <w:rFonts w:cstheme="minorHAnsi"/>
        </w:rPr>
        <w:t>disagreements about</w:t>
      </w:r>
      <w:r w:rsidRPr="000E1AC1">
        <w:rPr>
          <w:rFonts w:cstheme="minorHAnsi"/>
          <w:shd w:val="clear" w:color="auto" w:fill="FFFFFF"/>
        </w:rPr>
        <w:t xml:space="preserve"> its definition and the costs and benefits of </w:t>
      </w:r>
      <w:r w:rsidRPr="000E1AC1">
        <w:rPr>
          <w:rFonts w:cstheme="minorHAnsi"/>
        </w:rPr>
        <w:t>running a</w:t>
      </w:r>
      <w:r w:rsidRPr="000E1AC1">
        <w:rPr>
          <w:rFonts w:cstheme="minorHAnsi"/>
          <w:shd w:val="clear" w:color="auto" w:fill="FFFFFF"/>
        </w:rPr>
        <w:t xml:space="preserve"> TBTF </w:t>
      </w:r>
      <w:r w:rsidRPr="000E1AC1">
        <w:rPr>
          <w:rFonts w:cstheme="minorHAnsi"/>
        </w:rPr>
        <w:t>agency.</w:t>
      </w:r>
      <w:r w:rsidRPr="000E1AC1">
        <w:rPr>
          <w:rFonts w:cstheme="minorHAnsi"/>
          <w:shd w:val="clear" w:color="auto" w:fill="FFFFFF"/>
        </w:rPr>
        <w:t xml:space="preserve"> There were two </w:t>
      </w:r>
      <w:r w:rsidRPr="000E1AC1">
        <w:rPr>
          <w:rFonts w:cstheme="minorHAnsi"/>
        </w:rPr>
        <w:t>questions about</w:t>
      </w:r>
      <w:r w:rsidRPr="000E1AC1">
        <w:rPr>
          <w:rFonts w:cstheme="minorHAnsi"/>
          <w:shd w:val="clear" w:color="auto" w:fill="FFFFFF"/>
        </w:rPr>
        <w:t xml:space="preserve"> which counterparties </w:t>
      </w:r>
      <w:r w:rsidRPr="000E1AC1">
        <w:rPr>
          <w:rFonts w:cstheme="minorHAnsi"/>
        </w:rPr>
        <w:t>were</w:t>
      </w:r>
      <w:r w:rsidRPr="000E1AC1">
        <w:rPr>
          <w:rFonts w:cstheme="minorHAnsi"/>
          <w:shd w:val="clear" w:color="auto" w:fill="FFFFFF"/>
        </w:rPr>
        <w:t xml:space="preserve"> fully or partially </w:t>
      </w:r>
      <w:r w:rsidRPr="000E1AC1">
        <w:rPr>
          <w:rFonts w:cstheme="minorHAnsi"/>
        </w:rPr>
        <w:t>protected,</w:t>
      </w:r>
      <w:r w:rsidRPr="000E1AC1">
        <w:rPr>
          <w:rFonts w:cstheme="minorHAnsi"/>
          <w:shd w:val="clear" w:color="auto" w:fill="FFFFFF"/>
        </w:rPr>
        <w:t xml:space="preserve"> and </w:t>
      </w:r>
      <w:r w:rsidRPr="000E1AC1">
        <w:rPr>
          <w:rFonts w:cstheme="minorHAnsi"/>
        </w:rPr>
        <w:t>whether</w:t>
      </w:r>
      <w:r w:rsidRPr="000E1AC1">
        <w:rPr>
          <w:rFonts w:cstheme="minorHAnsi"/>
          <w:shd w:val="clear" w:color="auto" w:fill="FFFFFF"/>
        </w:rPr>
        <w:t xml:space="preserve"> the </w:t>
      </w:r>
      <w:r w:rsidRPr="000E1AC1">
        <w:rPr>
          <w:rFonts w:cstheme="minorHAnsi"/>
        </w:rPr>
        <w:t>loss from relief was due to</w:t>
      </w:r>
      <w:r w:rsidRPr="000E1AC1">
        <w:rPr>
          <w:rFonts w:cstheme="minorHAnsi"/>
          <w:shd w:val="clear" w:color="auto" w:fill="FFFFFF"/>
        </w:rPr>
        <w:t xml:space="preserve"> government or </w:t>
      </w:r>
      <w:r w:rsidRPr="000E1AC1">
        <w:rPr>
          <w:rFonts w:cstheme="minorHAnsi"/>
        </w:rPr>
        <w:t xml:space="preserve">private funding. </w:t>
      </w:r>
      <w:r w:rsidR="000C4AD7" w:rsidRPr="000E1AC1">
        <w:rPr>
          <w:rFonts w:cstheme="minorHAnsi"/>
        </w:rPr>
        <w:t>T</w:t>
      </w:r>
      <w:r w:rsidRPr="000E1AC1">
        <w:rPr>
          <w:rFonts w:cstheme="minorHAnsi"/>
        </w:rPr>
        <w:t>here has been much controversy</w:t>
      </w:r>
      <w:r w:rsidRPr="000E1AC1">
        <w:rPr>
          <w:rFonts w:cstheme="minorHAnsi"/>
          <w:shd w:val="clear" w:color="auto" w:fill="FFFFFF"/>
        </w:rPr>
        <w:t xml:space="preserve"> over </w:t>
      </w:r>
      <w:r w:rsidRPr="000E1AC1">
        <w:rPr>
          <w:rFonts w:cstheme="minorHAnsi"/>
        </w:rPr>
        <w:t>taxpayer-funded</w:t>
      </w:r>
      <w:r w:rsidRPr="000E1AC1">
        <w:rPr>
          <w:rFonts w:cstheme="minorHAnsi"/>
          <w:shd w:val="clear" w:color="auto" w:fill="FFFFFF"/>
        </w:rPr>
        <w:t xml:space="preserve"> bailouts </w:t>
      </w:r>
      <w:r w:rsidRPr="000E1AC1">
        <w:rPr>
          <w:rFonts w:cstheme="minorHAnsi"/>
        </w:rPr>
        <w:t>and has since been</w:t>
      </w:r>
      <w:r w:rsidRPr="000E1AC1">
        <w:rPr>
          <w:rFonts w:cstheme="minorHAnsi"/>
          <w:shd w:val="clear" w:color="auto" w:fill="FFFFFF"/>
        </w:rPr>
        <w:t xml:space="preserve"> the driving force </w:t>
      </w:r>
      <w:r w:rsidRPr="000E1AC1">
        <w:rPr>
          <w:rFonts w:cstheme="minorHAnsi"/>
        </w:rPr>
        <w:t>behind much</w:t>
      </w:r>
      <w:r w:rsidRPr="000E1AC1">
        <w:rPr>
          <w:rFonts w:cstheme="minorHAnsi"/>
          <w:shd w:val="clear" w:color="auto" w:fill="FFFFFF"/>
        </w:rPr>
        <w:t xml:space="preserve"> of </w:t>
      </w:r>
      <w:r w:rsidRPr="000E1AC1">
        <w:rPr>
          <w:rFonts w:cstheme="minorHAnsi"/>
        </w:rPr>
        <w:t>Dodd-Frank's</w:t>
      </w:r>
      <w:r w:rsidRPr="000E1AC1">
        <w:rPr>
          <w:rFonts w:cstheme="minorHAnsi"/>
          <w:shd w:val="clear" w:color="auto" w:fill="FFFFFF"/>
        </w:rPr>
        <w:t xml:space="preserve"> TBTF </w:t>
      </w:r>
      <w:r w:rsidRPr="000E1AC1">
        <w:rPr>
          <w:rFonts w:cstheme="minorHAnsi"/>
        </w:rPr>
        <w:t>regulation.</w:t>
      </w:r>
      <w:r w:rsidRPr="000E1AC1">
        <w:rPr>
          <w:rFonts w:cstheme="minorHAnsi"/>
          <w:shd w:val="clear" w:color="auto" w:fill="FFFFFF"/>
        </w:rPr>
        <w:t xml:space="preserve"> TBTF </w:t>
      </w:r>
      <w:r w:rsidRPr="000E1AC1">
        <w:rPr>
          <w:rFonts w:cstheme="minorHAnsi"/>
        </w:rPr>
        <w:t>applies</w:t>
      </w:r>
      <w:r w:rsidRPr="000E1AC1">
        <w:rPr>
          <w:rFonts w:cstheme="minorHAnsi"/>
          <w:shd w:val="clear" w:color="auto" w:fill="FFFFFF"/>
        </w:rPr>
        <w:t xml:space="preserve"> to </w:t>
      </w:r>
      <w:r w:rsidRPr="000E1AC1">
        <w:rPr>
          <w:rFonts w:cstheme="minorHAnsi"/>
        </w:rPr>
        <w:t>pledges where</w:t>
      </w:r>
      <w:r w:rsidRPr="000E1AC1">
        <w:rPr>
          <w:rFonts w:cstheme="minorHAnsi"/>
          <w:shd w:val="clear" w:color="auto" w:fill="FFFFFF"/>
        </w:rPr>
        <w:t xml:space="preserve"> shareholders are </w:t>
      </w:r>
      <w:r w:rsidRPr="000E1AC1">
        <w:rPr>
          <w:rFonts w:cstheme="minorHAnsi"/>
        </w:rPr>
        <w:t>unprotected,</w:t>
      </w:r>
      <w:r w:rsidRPr="000E1AC1">
        <w:rPr>
          <w:rFonts w:cstheme="minorHAnsi"/>
          <w:shd w:val="clear" w:color="auto" w:fill="FFFFFF"/>
        </w:rPr>
        <w:t xml:space="preserve"> institutions </w:t>
      </w:r>
      <w:r w:rsidRPr="000E1AC1">
        <w:rPr>
          <w:rFonts w:cstheme="minorHAnsi"/>
        </w:rPr>
        <w:t>go bankrupt,</w:t>
      </w:r>
      <w:r w:rsidRPr="000E1AC1">
        <w:rPr>
          <w:rFonts w:cstheme="minorHAnsi"/>
          <w:shd w:val="clear" w:color="auto" w:fill="FFFFFF"/>
        </w:rPr>
        <w:t xml:space="preserve"> and assets are sold or liquidated. </w:t>
      </w:r>
      <w:r w:rsidRPr="000E1AC1">
        <w:rPr>
          <w:rFonts w:cstheme="minorHAnsi"/>
        </w:rPr>
        <w:t>Uninsured</w:t>
      </w:r>
      <w:r w:rsidRPr="000E1AC1">
        <w:rPr>
          <w:rFonts w:cstheme="minorHAnsi"/>
          <w:shd w:val="clear" w:color="auto" w:fill="FFFFFF"/>
        </w:rPr>
        <w:t xml:space="preserve"> creditors and depositors </w:t>
      </w:r>
      <w:r w:rsidRPr="000E1AC1">
        <w:rPr>
          <w:rFonts w:cstheme="minorHAnsi"/>
        </w:rPr>
        <w:t xml:space="preserve">can </w:t>
      </w:r>
      <w:r w:rsidR="000E1AC1" w:rsidRPr="000E1AC1">
        <w:rPr>
          <w:rFonts w:cstheme="minorHAnsi"/>
        </w:rPr>
        <w:t xml:space="preserve">be </w:t>
      </w:r>
      <w:r w:rsidRPr="000E1AC1">
        <w:rPr>
          <w:rFonts w:cstheme="minorHAnsi"/>
        </w:rPr>
        <w:t>pa</w:t>
      </w:r>
      <w:r w:rsidR="000E1AC1" w:rsidRPr="000E1AC1">
        <w:rPr>
          <w:rFonts w:cstheme="minorHAnsi"/>
        </w:rPr>
        <w:t>id</w:t>
      </w:r>
      <w:r w:rsidRPr="000E1AC1">
        <w:rPr>
          <w:rFonts w:cstheme="minorHAnsi"/>
        </w:rPr>
        <w:t xml:space="preserve"> in full</w:t>
      </w:r>
      <w:r w:rsidRPr="000E1AC1">
        <w:rPr>
          <w:rFonts w:cstheme="minorHAnsi"/>
          <w:shd w:val="clear" w:color="auto" w:fill="FFFFFF"/>
        </w:rPr>
        <w:t xml:space="preserve"> or </w:t>
      </w:r>
      <w:r w:rsidRPr="000E1AC1">
        <w:rPr>
          <w:rFonts w:cstheme="minorHAnsi"/>
        </w:rPr>
        <w:t>part</w:t>
      </w:r>
      <w:r w:rsidR="000E1AC1" w:rsidRPr="000E1AC1">
        <w:rPr>
          <w:rFonts w:cstheme="minorHAnsi"/>
        </w:rPr>
        <w:t>ly</w:t>
      </w:r>
      <w:r w:rsidRPr="000E1AC1">
        <w:rPr>
          <w:rFonts w:cstheme="minorHAnsi"/>
        </w:rPr>
        <w:t>.</w:t>
      </w:r>
      <w:r w:rsidRPr="000E1AC1">
        <w:rPr>
          <w:rFonts w:cstheme="minorHAnsi"/>
          <w:shd w:val="clear" w:color="auto" w:fill="FFFFFF"/>
        </w:rPr>
        <w:t xml:space="preserve"> This loss allocation is </w:t>
      </w:r>
      <w:r w:rsidRPr="000E1AC1">
        <w:rPr>
          <w:rFonts w:cstheme="minorHAnsi"/>
        </w:rPr>
        <w:t>determined</w:t>
      </w:r>
      <w:r w:rsidRPr="000E1AC1">
        <w:rPr>
          <w:rFonts w:cstheme="minorHAnsi"/>
          <w:shd w:val="clear" w:color="auto" w:fill="FFFFFF"/>
        </w:rPr>
        <w:t xml:space="preserve"> by </w:t>
      </w:r>
      <w:r w:rsidRPr="000E1AC1">
        <w:rPr>
          <w:rFonts w:cstheme="minorHAnsi"/>
        </w:rPr>
        <w:t xml:space="preserve">regulatory agencies </w:t>
      </w:r>
      <w:r w:rsidR="00A65356" w:rsidRPr="000E1AC1">
        <w:rPr>
          <w:rFonts w:cstheme="minorHAnsi"/>
        </w:rPr>
        <w:t>considering</w:t>
      </w:r>
      <w:r w:rsidRPr="000E1AC1">
        <w:rPr>
          <w:rFonts w:cstheme="minorHAnsi"/>
          <w:shd w:val="clear" w:color="auto" w:fill="FFFFFF"/>
        </w:rPr>
        <w:t xml:space="preserve"> </w:t>
      </w:r>
      <w:r w:rsidRPr="000E1AC1">
        <w:rPr>
          <w:rFonts w:cstheme="minorHAnsi"/>
        </w:rPr>
        <w:t>other protection costs and</w:t>
      </w:r>
      <w:r w:rsidRPr="000E1AC1">
        <w:rPr>
          <w:rFonts w:cstheme="minorHAnsi"/>
          <w:shd w:val="clear" w:color="auto" w:fill="FFFFFF"/>
        </w:rPr>
        <w:t xml:space="preserve"> the benefits of avoiding financial instability against moral hazard. Government and TBTF </w:t>
      </w:r>
      <w:r w:rsidRPr="000E1AC1">
        <w:rPr>
          <w:rFonts w:cstheme="minorHAnsi"/>
        </w:rPr>
        <w:t>bailouts</w:t>
      </w:r>
      <w:r w:rsidRPr="000E1AC1">
        <w:rPr>
          <w:rFonts w:cstheme="minorHAnsi"/>
          <w:shd w:val="clear" w:color="auto" w:fill="FFFFFF"/>
        </w:rPr>
        <w:t xml:space="preserve"> are </w:t>
      </w:r>
      <w:r w:rsidRPr="000E1AC1">
        <w:rPr>
          <w:rFonts w:cstheme="minorHAnsi"/>
        </w:rPr>
        <w:t>inextricably intertwined, but</w:t>
      </w:r>
      <w:r w:rsidRPr="000E1AC1">
        <w:rPr>
          <w:rFonts w:cstheme="minorHAnsi"/>
          <w:shd w:val="clear" w:color="auto" w:fill="FFFFFF"/>
        </w:rPr>
        <w:t xml:space="preserve"> TBTF </w:t>
      </w:r>
      <w:r w:rsidRPr="000E1AC1">
        <w:rPr>
          <w:rFonts w:cstheme="minorHAnsi"/>
        </w:rPr>
        <w:t>does</w:t>
      </w:r>
      <w:r w:rsidRPr="000E1AC1">
        <w:rPr>
          <w:rFonts w:cstheme="minorHAnsi"/>
          <w:shd w:val="clear" w:color="auto" w:fill="FFFFFF"/>
        </w:rPr>
        <w:t xml:space="preserve"> not </w:t>
      </w:r>
      <w:r w:rsidRPr="000E1AC1">
        <w:rPr>
          <w:rFonts w:cstheme="minorHAnsi"/>
        </w:rPr>
        <w:t>necessarily</w:t>
      </w:r>
      <w:r w:rsidRPr="000E1AC1">
        <w:rPr>
          <w:rFonts w:cstheme="minorHAnsi"/>
          <w:shd w:val="clear" w:color="auto" w:fill="FFFFFF"/>
        </w:rPr>
        <w:t xml:space="preserve"> involve the government. </w:t>
      </w:r>
      <w:r w:rsidRPr="000E1AC1">
        <w:rPr>
          <w:rFonts w:cstheme="minorHAnsi"/>
        </w:rPr>
        <w:t>In addition, the Federal Reserve, the</w:t>
      </w:r>
      <w:r w:rsidRPr="000E1AC1">
        <w:rPr>
          <w:rFonts w:cstheme="minorHAnsi"/>
          <w:shd w:val="clear" w:color="auto" w:fill="FFFFFF"/>
        </w:rPr>
        <w:t xml:space="preserve"> lender of last </w:t>
      </w:r>
      <w:r w:rsidRPr="000E1AC1">
        <w:rPr>
          <w:rFonts w:cstheme="minorHAnsi"/>
        </w:rPr>
        <w:t>resort to</w:t>
      </w:r>
      <w:r w:rsidRPr="000E1AC1">
        <w:rPr>
          <w:rFonts w:cstheme="minorHAnsi"/>
          <w:shd w:val="clear" w:color="auto" w:fill="FFFFFF"/>
        </w:rPr>
        <w:t xml:space="preserve"> provide liquidity loans </w:t>
      </w:r>
      <w:r w:rsidRPr="000E1AC1">
        <w:rPr>
          <w:rFonts w:cstheme="minorHAnsi"/>
        </w:rPr>
        <w:t>for appropriate</w:t>
      </w:r>
      <w:r w:rsidRPr="000E1AC1">
        <w:rPr>
          <w:rFonts w:cstheme="minorHAnsi"/>
          <w:shd w:val="clear" w:color="auto" w:fill="FFFFFF"/>
        </w:rPr>
        <w:t xml:space="preserve"> collateral </w:t>
      </w:r>
      <w:r w:rsidRPr="000E1AC1">
        <w:rPr>
          <w:rFonts w:cstheme="minorHAnsi"/>
        </w:rPr>
        <w:t>from</w:t>
      </w:r>
      <w:r w:rsidRPr="000E1AC1">
        <w:rPr>
          <w:rFonts w:cstheme="minorHAnsi"/>
          <w:shd w:val="clear" w:color="auto" w:fill="FFFFFF"/>
        </w:rPr>
        <w:t xml:space="preserve"> solvent financial </w:t>
      </w:r>
      <w:r w:rsidRPr="000E1AC1">
        <w:rPr>
          <w:rFonts w:cstheme="minorHAnsi"/>
        </w:rPr>
        <w:t>institutions,</w:t>
      </w:r>
      <w:r w:rsidRPr="000E1AC1">
        <w:rPr>
          <w:rFonts w:cstheme="minorHAnsi"/>
          <w:shd w:val="clear" w:color="auto" w:fill="FFFFFF"/>
        </w:rPr>
        <w:t xml:space="preserve"> is not a government </w:t>
      </w:r>
      <w:r w:rsidRPr="000E1AC1">
        <w:rPr>
          <w:rFonts w:cstheme="minorHAnsi"/>
        </w:rPr>
        <w:t>bailout fund.</w:t>
      </w:r>
      <w:r w:rsidRPr="000E1AC1">
        <w:rPr>
          <w:rFonts w:cstheme="minorHAnsi"/>
          <w:shd w:val="clear" w:color="auto" w:fill="FFFFFF"/>
        </w:rPr>
        <w:t xml:space="preserve"> One of </w:t>
      </w:r>
      <w:r w:rsidRPr="000E1AC1">
        <w:rPr>
          <w:rFonts w:cstheme="minorHAnsi"/>
        </w:rPr>
        <w:t>TBTF's major regulatory</w:t>
      </w:r>
      <w:r w:rsidRPr="000E1AC1">
        <w:rPr>
          <w:rFonts w:cstheme="minorHAnsi"/>
          <w:shd w:val="clear" w:color="auto" w:fill="FFFFFF"/>
        </w:rPr>
        <w:t xml:space="preserve"> mechanisms is </w:t>
      </w:r>
      <w:r w:rsidRPr="000E1AC1">
        <w:rPr>
          <w:rFonts w:cstheme="minorHAnsi"/>
        </w:rPr>
        <w:t>FSOC, which</w:t>
      </w:r>
      <w:r w:rsidRPr="000E1AC1">
        <w:rPr>
          <w:rFonts w:cstheme="minorHAnsi"/>
          <w:shd w:val="clear" w:color="auto" w:fill="FFFFFF"/>
        </w:rPr>
        <w:t xml:space="preserve"> is </w:t>
      </w:r>
      <w:r w:rsidRPr="000E1AC1">
        <w:rPr>
          <w:rFonts w:cstheme="minorHAnsi"/>
        </w:rPr>
        <w:t>also</w:t>
      </w:r>
      <w:r w:rsidRPr="000E1AC1">
        <w:rPr>
          <w:rFonts w:cstheme="minorHAnsi"/>
          <w:shd w:val="clear" w:color="auto" w:fill="FFFFFF"/>
        </w:rPr>
        <w:t xml:space="preserve"> one of </w:t>
      </w:r>
      <w:r w:rsidRPr="000E1AC1">
        <w:rPr>
          <w:rFonts w:cstheme="minorHAnsi"/>
        </w:rPr>
        <w:t>Dodd Frank's</w:t>
      </w:r>
      <w:r w:rsidRPr="000E1AC1">
        <w:rPr>
          <w:rFonts w:cstheme="minorHAnsi"/>
          <w:shd w:val="clear" w:color="auto" w:fill="FFFFFF"/>
        </w:rPr>
        <w:t xml:space="preserve"> devices </w:t>
      </w:r>
      <w:r w:rsidRPr="000E1AC1">
        <w:rPr>
          <w:rFonts w:cstheme="minorHAnsi"/>
        </w:rPr>
        <w:t>that regulate shadow banking systems (Dill, 2020)</w:t>
      </w:r>
    </w:p>
    <w:p w14:paraId="38E1C02F" w14:textId="77777777" w:rsidR="009D36B1" w:rsidRDefault="009D36B1">
      <w:pPr>
        <w:rPr>
          <w:b/>
          <w:bCs/>
          <w:color w:val="C00000"/>
        </w:rPr>
      </w:pPr>
    </w:p>
    <w:p w14:paraId="4A7C2DBF" w14:textId="70BE98DD" w:rsidR="0028569F" w:rsidRPr="006C25E1" w:rsidRDefault="00B73653" w:rsidP="00F875AE">
      <w:pPr>
        <w:pStyle w:val="Heading1"/>
      </w:pPr>
      <w:bookmarkStart w:id="12" w:name="_Toc92570882"/>
      <w:r w:rsidRPr="006C25E1">
        <w:lastRenderedPageBreak/>
        <w:t xml:space="preserve">A critical review </w:t>
      </w:r>
      <w:r w:rsidR="0034537B">
        <w:t>of the</w:t>
      </w:r>
      <w:r w:rsidR="000C228B" w:rsidRPr="006C25E1">
        <w:t xml:space="preserve"> financial system</w:t>
      </w:r>
      <w:r w:rsidR="006C25E1" w:rsidRPr="006C25E1">
        <w:t xml:space="preserve"> and the banking institutions post 2008 crisis.</w:t>
      </w:r>
      <w:bookmarkEnd w:id="12"/>
      <w:r w:rsidR="000C228B" w:rsidRPr="006C25E1">
        <w:t xml:space="preserve"> </w:t>
      </w:r>
    </w:p>
    <w:p w14:paraId="634187BD" w14:textId="76F8E881" w:rsidR="009A02E2" w:rsidRPr="00140B78" w:rsidRDefault="009A02E2" w:rsidP="00DC6A41">
      <w:r w:rsidRPr="00140B78">
        <w:t>There are mainly four forms of banking regulation the reform bought to light:</w:t>
      </w:r>
    </w:p>
    <w:p w14:paraId="1F43A530" w14:textId="77777777" w:rsidR="009A02E2" w:rsidRPr="00140B78" w:rsidRDefault="009A02E2" w:rsidP="00140B78">
      <w:pPr>
        <w:pStyle w:val="ListParagraph"/>
        <w:numPr>
          <w:ilvl w:val="0"/>
          <w:numId w:val="1"/>
        </w:numPr>
        <w:jc w:val="both"/>
      </w:pPr>
      <w:r w:rsidRPr="00140B78">
        <w:t>Regulating the structure and activities</w:t>
      </w:r>
    </w:p>
    <w:p w14:paraId="1998841C" w14:textId="64719ACF" w:rsidR="008108A0" w:rsidRPr="00140B78" w:rsidRDefault="009A02E2" w:rsidP="00140B78">
      <w:pPr>
        <w:pStyle w:val="ListParagraph"/>
        <w:numPr>
          <w:ilvl w:val="0"/>
          <w:numId w:val="1"/>
        </w:numPr>
        <w:jc w:val="both"/>
      </w:pPr>
      <w:r w:rsidRPr="00140B78">
        <w:t>Regulations on banks liquidity (</w:t>
      </w:r>
      <w:r w:rsidR="008108A0" w:rsidRPr="00140B78">
        <w:t>banks’ reserve ratio)</w:t>
      </w:r>
    </w:p>
    <w:p w14:paraId="3639ADF0" w14:textId="77777777" w:rsidR="008108A0" w:rsidRPr="00140B78" w:rsidRDefault="008108A0" w:rsidP="00140B78">
      <w:pPr>
        <w:pStyle w:val="ListParagraph"/>
        <w:numPr>
          <w:ilvl w:val="0"/>
          <w:numId w:val="1"/>
        </w:numPr>
        <w:jc w:val="both"/>
      </w:pPr>
      <w:r w:rsidRPr="00140B78">
        <w:t xml:space="preserve">Regulations of capital adequacy </w:t>
      </w:r>
    </w:p>
    <w:p w14:paraId="264FF8A9" w14:textId="7DE24374" w:rsidR="002B2BD6" w:rsidRPr="00140B78" w:rsidRDefault="008108A0" w:rsidP="00140B78">
      <w:pPr>
        <w:pStyle w:val="ListParagraph"/>
        <w:numPr>
          <w:ilvl w:val="0"/>
          <w:numId w:val="1"/>
        </w:numPr>
        <w:jc w:val="both"/>
      </w:pPr>
      <w:r w:rsidRPr="00140B78">
        <w:t>Clarity and accuracy of information (as part of consumer protection)</w:t>
      </w:r>
    </w:p>
    <w:p w14:paraId="3CC557D5" w14:textId="36FAF178" w:rsidR="006B6BF5" w:rsidRPr="00DC6A41" w:rsidRDefault="006B6BF5" w:rsidP="00DC6A41">
      <w:r w:rsidRPr="00DC6A41">
        <w:t>Table 1 Emphasise how the changes in capital requirements influence the standard deviations. The</w:t>
      </w:r>
      <w:r w:rsidR="002000F0" w:rsidRPr="00DC6A41">
        <w:t xml:space="preserve"> </w:t>
      </w:r>
      <w:r w:rsidRPr="00DC6A41">
        <w:t xml:space="preserve">first column </w:t>
      </w:r>
      <w:r w:rsidR="002000F0" w:rsidRPr="00DC6A41">
        <w:t xml:space="preserve">represents Basel III with a 15.5% capital requirement and the other two column represent Base II with 13% and 10.5% capital requirement </w:t>
      </w:r>
      <w:r w:rsidRPr="00DC6A41">
        <w:t xml:space="preserve"> </w:t>
      </w:r>
    </w:p>
    <w:p w14:paraId="70501B30" w14:textId="23115FCE" w:rsidR="006B6BF5" w:rsidRPr="00DC6A41" w:rsidRDefault="006B6BF5" w:rsidP="000E58F2">
      <w:pPr>
        <w:jc w:val="both"/>
      </w:pPr>
      <w:r w:rsidRPr="00DC6A41">
        <w:rPr>
          <w:noProof/>
        </w:rPr>
        <w:drawing>
          <wp:inline distT="0" distB="0" distL="0" distR="0" wp14:anchorId="199D17BC" wp14:editId="4DAE9BEC">
            <wp:extent cx="5731510" cy="1828165"/>
            <wp:effectExtent l="0" t="0" r="0" b="0"/>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a:blip r:embed="rId13"/>
                    <a:stretch>
                      <a:fillRect/>
                    </a:stretch>
                  </pic:blipFill>
                  <pic:spPr>
                    <a:xfrm>
                      <a:off x="0" y="0"/>
                      <a:ext cx="5731510" cy="1828165"/>
                    </a:xfrm>
                    <a:prstGeom prst="rect">
                      <a:avLst/>
                    </a:prstGeom>
                  </pic:spPr>
                </pic:pic>
              </a:graphicData>
            </a:graphic>
          </wp:inline>
        </w:drawing>
      </w:r>
    </w:p>
    <w:p w14:paraId="1059A2BE" w14:textId="187A8912" w:rsidR="00FB142B" w:rsidRPr="00DC6A41" w:rsidRDefault="002000F0" w:rsidP="000E58F2">
      <w:pPr>
        <w:jc w:val="both"/>
      </w:pPr>
      <w:r w:rsidRPr="00DC6A41">
        <w:t>Table 1. Standard deviations under Basel III vs Basel II.</w:t>
      </w:r>
    </w:p>
    <w:p w14:paraId="458DF7B8" w14:textId="39FA68D1" w:rsidR="002000F0" w:rsidRPr="00DC6A41" w:rsidRDefault="00C9393D" w:rsidP="000E58F2">
      <w:pPr>
        <w:jc w:val="both"/>
      </w:pPr>
      <w:r w:rsidRPr="00DC6A41">
        <w:t xml:space="preserve">The </w:t>
      </w:r>
      <w:r w:rsidR="005E30F1">
        <w:t>u</w:t>
      </w:r>
      <w:r w:rsidRPr="00DC6A41">
        <w:t xml:space="preserve">npredictability for all variable essentially moves down under Basel III compared to Basel II with both levels of capital requirements however the results are more </w:t>
      </w:r>
      <w:r w:rsidR="00597769" w:rsidRPr="00DC6A41">
        <w:t>substantial when compared to the regime with a capital requirement of 10.5%. The GDP is lower under Basel III, this is partly driven by a reduction in instability of investment</w:t>
      </w:r>
      <w:r w:rsidR="007C7BFF" w:rsidRPr="00DC6A41">
        <w:t>,</w:t>
      </w:r>
      <w:r w:rsidR="00597769" w:rsidRPr="00DC6A41">
        <w:t xml:space="preserve"> </w:t>
      </w:r>
      <w:r w:rsidR="007C7BFF" w:rsidRPr="00DC6A41">
        <w:t xml:space="preserve">driven by lower insecurity of lending supported by a more </w:t>
      </w:r>
      <w:r w:rsidR="00CB33CE" w:rsidRPr="00DC6A41">
        <w:t>established</w:t>
      </w:r>
      <w:r w:rsidR="007C7BFF" w:rsidRPr="00DC6A41">
        <w:t xml:space="preserve"> banking system</w:t>
      </w:r>
      <w:r w:rsidR="00CB33CE" w:rsidRPr="00DC6A41">
        <w:t xml:space="preserve">. Reflecting the improved capital positions of </w:t>
      </w:r>
      <w:r w:rsidR="000E58F2" w:rsidRPr="00DC6A41">
        <w:t>banks,</w:t>
      </w:r>
      <w:r w:rsidR="00CB33CE" w:rsidRPr="00DC6A41">
        <w:t xml:space="preserve"> </w:t>
      </w:r>
      <w:r w:rsidR="00965EEE" w:rsidRPr="00DC6A41">
        <w:t>the volatility of the probability of banks failure is considerably lower under Basel III</w:t>
      </w:r>
      <w:r w:rsidR="00597769" w:rsidRPr="00DC6A41">
        <w:t xml:space="preserve"> </w:t>
      </w:r>
      <w:r w:rsidR="00DC6A41" w:rsidRPr="00DC6A41">
        <w:t>(</w:t>
      </w:r>
      <w:r w:rsidR="00DC6A41" w:rsidRPr="00DC6A41">
        <w:rPr>
          <w:rFonts w:ascii="Roboto" w:hAnsi="Roboto"/>
          <w:sz w:val="21"/>
          <w:szCs w:val="21"/>
          <w:shd w:val="clear" w:color="auto" w:fill="FFFFFF"/>
        </w:rPr>
        <w:t>Basel Committee on Banking Supervision, 2021).</w:t>
      </w:r>
      <w:r w:rsidR="00597769" w:rsidRPr="00DC6A41">
        <w:t xml:space="preserve"> </w:t>
      </w:r>
      <w:r w:rsidRPr="00DC6A41">
        <w:t xml:space="preserve">  </w:t>
      </w:r>
    </w:p>
    <w:p w14:paraId="794B39FA" w14:textId="30189F35" w:rsidR="002000F0" w:rsidRPr="00140B78" w:rsidRDefault="00AE6FE9" w:rsidP="00140B78">
      <w:pPr>
        <w:jc w:val="both"/>
      </w:pPr>
      <w:r w:rsidRPr="00241719">
        <w:t>The improvement to risk governance provided a positive economic benefit. Scholarly research material indicate after the risk governance changes the lower performing banks increased their number of independent directors, financial experts, and the number of risk committee meetings throughout the years. Years before the financial crisis lower performing banks had weaker risk governance than those in higher stock performance. These corrective actions taken to rebuild risk governance by lower performing banks were similar level to high performing banks. These lower performing banks have improved their risk management and increased stock performance (Chen et al, 2019).</w:t>
      </w:r>
      <w:r w:rsidR="00B51667">
        <w:t xml:space="preserve"> </w:t>
      </w:r>
    </w:p>
    <w:p w14:paraId="37DC9A00" w14:textId="42C96A34" w:rsidR="00A076E0" w:rsidRPr="00197DE0" w:rsidRDefault="00197DE0" w:rsidP="000943DD">
      <w:pPr>
        <w:jc w:val="both"/>
        <w:rPr>
          <w:rFonts w:cstheme="minorHAnsi"/>
        </w:rPr>
      </w:pPr>
      <w:r w:rsidRPr="00197DE0">
        <w:rPr>
          <w:rFonts w:cstheme="minorHAnsi"/>
        </w:rPr>
        <w:t>There has been considerable</w:t>
      </w:r>
      <w:r w:rsidR="00A076E0" w:rsidRPr="00197DE0">
        <w:rPr>
          <w:rFonts w:cstheme="minorHAnsi"/>
        </w:rPr>
        <w:t xml:space="preserve"> success</w:t>
      </w:r>
      <w:r w:rsidR="00A076E0" w:rsidRPr="00197DE0">
        <w:rPr>
          <w:rFonts w:cstheme="minorHAnsi"/>
          <w:shd w:val="clear" w:color="auto" w:fill="FFFFFF"/>
        </w:rPr>
        <w:t xml:space="preserve"> in </w:t>
      </w:r>
      <w:r w:rsidR="00A076E0" w:rsidRPr="00197DE0">
        <w:rPr>
          <w:rFonts w:cstheme="minorHAnsi"/>
        </w:rPr>
        <w:t>developing uniform</w:t>
      </w:r>
      <w:r w:rsidR="00A076E0" w:rsidRPr="00197DE0">
        <w:rPr>
          <w:rFonts w:cstheme="minorHAnsi"/>
          <w:shd w:val="clear" w:color="auto" w:fill="FFFFFF"/>
        </w:rPr>
        <w:t xml:space="preserve"> capital requirements </w:t>
      </w:r>
      <w:r w:rsidR="00A076E0" w:rsidRPr="00197DE0">
        <w:rPr>
          <w:rFonts w:cstheme="minorHAnsi"/>
        </w:rPr>
        <w:t>in</w:t>
      </w:r>
      <w:r w:rsidR="00A076E0" w:rsidRPr="00197DE0">
        <w:rPr>
          <w:rFonts w:cstheme="minorHAnsi"/>
          <w:shd w:val="clear" w:color="auto" w:fill="FFFFFF"/>
        </w:rPr>
        <w:t xml:space="preserve"> Basel III. </w:t>
      </w:r>
      <w:r w:rsidR="00A076E0" w:rsidRPr="00197DE0">
        <w:rPr>
          <w:rFonts w:cstheme="minorHAnsi"/>
        </w:rPr>
        <w:t>This</w:t>
      </w:r>
      <w:r w:rsidR="00A076E0" w:rsidRPr="00197DE0">
        <w:rPr>
          <w:rFonts w:cstheme="minorHAnsi"/>
          <w:shd w:val="clear" w:color="auto" w:fill="FFFFFF"/>
        </w:rPr>
        <w:t xml:space="preserve"> framework </w:t>
      </w:r>
      <w:r w:rsidR="00A076E0" w:rsidRPr="00197DE0">
        <w:rPr>
          <w:rFonts w:cstheme="minorHAnsi"/>
        </w:rPr>
        <w:t>emphasizes</w:t>
      </w:r>
      <w:r w:rsidR="00A076E0" w:rsidRPr="00197DE0">
        <w:rPr>
          <w:rFonts w:cstheme="minorHAnsi"/>
          <w:shd w:val="clear" w:color="auto" w:fill="FFFFFF"/>
        </w:rPr>
        <w:t xml:space="preserve"> the quality and quantity of core capital with the </w:t>
      </w:r>
      <w:r w:rsidR="00A076E0" w:rsidRPr="00197DE0">
        <w:rPr>
          <w:rFonts w:cstheme="minorHAnsi"/>
        </w:rPr>
        <w:t>aim</w:t>
      </w:r>
      <w:r w:rsidR="00A076E0" w:rsidRPr="00197DE0">
        <w:rPr>
          <w:rFonts w:cstheme="minorHAnsi"/>
          <w:shd w:val="clear" w:color="auto" w:fill="FFFFFF"/>
        </w:rPr>
        <w:t xml:space="preserve"> of </w:t>
      </w:r>
      <w:r w:rsidR="00A076E0" w:rsidRPr="00197DE0">
        <w:rPr>
          <w:rFonts w:cstheme="minorHAnsi"/>
        </w:rPr>
        <w:t>maintaining the bank's</w:t>
      </w:r>
      <w:r w:rsidR="00A076E0" w:rsidRPr="00197DE0">
        <w:rPr>
          <w:rFonts w:cstheme="minorHAnsi"/>
          <w:shd w:val="clear" w:color="auto" w:fill="FFFFFF"/>
        </w:rPr>
        <w:t xml:space="preserve"> capital </w:t>
      </w:r>
      <w:r w:rsidR="00A076E0" w:rsidRPr="00197DE0">
        <w:rPr>
          <w:rFonts w:cstheme="minorHAnsi"/>
        </w:rPr>
        <w:t>buffer globally.</w:t>
      </w:r>
      <w:r w:rsidR="00A076E0" w:rsidRPr="00197DE0">
        <w:rPr>
          <w:rFonts w:cstheme="minorHAnsi"/>
          <w:shd w:val="clear" w:color="auto" w:fill="FFFFFF"/>
        </w:rPr>
        <w:t xml:space="preserve"> To </w:t>
      </w:r>
      <w:r w:rsidR="00A076E0" w:rsidRPr="00197DE0">
        <w:rPr>
          <w:rFonts w:cstheme="minorHAnsi"/>
        </w:rPr>
        <w:t>mitigate</w:t>
      </w:r>
      <w:r w:rsidR="00A076E0" w:rsidRPr="00197DE0">
        <w:rPr>
          <w:rFonts w:cstheme="minorHAnsi"/>
          <w:shd w:val="clear" w:color="auto" w:fill="FFFFFF"/>
        </w:rPr>
        <w:t xml:space="preserve"> systemic </w:t>
      </w:r>
      <w:r w:rsidR="00A076E0" w:rsidRPr="00197DE0">
        <w:rPr>
          <w:rFonts w:cstheme="minorHAnsi"/>
        </w:rPr>
        <w:t>risk,</w:t>
      </w:r>
      <w:r w:rsidR="00A076E0" w:rsidRPr="00197DE0">
        <w:rPr>
          <w:rFonts w:cstheme="minorHAnsi"/>
          <w:shd w:val="clear" w:color="auto" w:fill="FFFFFF"/>
        </w:rPr>
        <w:t xml:space="preserve"> BCBS has </w:t>
      </w:r>
      <w:r w:rsidR="00A076E0" w:rsidRPr="00197DE0">
        <w:rPr>
          <w:rFonts w:cstheme="minorHAnsi"/>
        </w:rPr>
        <w:t>developed</w:t>
      </w:r>
      <w:r w:rsidR="00A076E0" w:rsidRPr="00197DE0">
        <w:rPr>
          <w:rFonts w:cstheme="minorHAnsi"/>
          <w:shd w:val="clear" w:color="auto" w:fill="FFFFFF"/>
        </w:rPr>
        <w:t xml:space="preserve"> a </w:t>
      </w:r>
      <w:r w:rsidR="00A076E0" w:rsidRPr="00197DE0">
        <w:rPr>
          <w:rFonts w:cstheme="minorHAnsi"/>
        </w:rPr>
        <w:t>plan</w:t>
      </w:r>
      <w:r w:rsidR="00A076E0" w:rsidRPr="00197DE0">
        <w:rPr>
          <w:rFonts w:cstheme="minorHAnsi"/>
          <w:shd w:val="clear" w:color="auto" w:fill="FFFFFF"/>
        </w:rPr>
        <w:t xml:space="preserve"> that </w:t>
      </w:r>
      <w:r w:rsidR="00A076E0" w:rsidRPr="00197DE0">
        <w:rPr>
          <w:rFonts w:cstheme="minorHAnsi"/>
        </w:rPr>
        <w:t>includes</w:t>
      </w:r>
      <w:r w:rsidR="00A076E0" w:rsidRPr="00197DE0">
        <w:rPr>
          <w:rFonts w:cstheme="minorHAnsi"/>
          <w:shd w:val="clear" w:color="auto" w:fill="FFFFFF"/>
        </w:rPr>
        <w:t xml:space="preserve"> liquidity requirements combined with </w:t>
      </w:r>
      <w:r w:rsidR="00A076E0" w:rsidRPr="00197DE0">
        <w:rPr>
          <w:rFonts w:cstheme="minorHAnsi"/>
        </w:rPr>
        <w:t>a set</w:t>
      </w:r>
      <w:r w:rsidR="00A076E0" w:rsidRPr="00197DE0">
        <w:rPr>
          <w:rFonts w:cstheme="minorHAnsi"/>
          <w:shd w:val="clear" w:color="auto" w:fill="FFFFFF"/>
        </w:rPr>
        <w:t xml:space="preserve"> of macroprudential tools </w:t>
      </w:r>
      <w:r w:rsidR="00A076E0" w:rsidRPr="00197DE0">
        <w:rPr>
          <w:rFonts w:cstheme="minorHAnsi"/>
        </w:rPr>
        <w:t>to address</w:t>
      </w:r>
      <w:r w:rsidR="00A076E0" w:rsidRPr="00197DE0">
        <w:rPr>
          <w:rFonts w:cstheme="minorHAnsi"/>
          <w:shd w:val="clear" w:color="auto" w:fill="FFFFFF"/>
        </w:rPr>
        <w:t xml:space="preserve"> the </w:t>
      </w:r>
      <w:r w:rsidR="00A076E0" w:rsidRPr="00197DE0">
        <w:rPr>
          <w:rFonts w:cstheme="minorHAnsi"/>
        </w:rPr>
        <w:t>shortcomings</w:t>
      </w:r>
      <w:r w:rsidR="00A076E0" w:rsidRPr="00197DE0">
        <w:rPr>
          <w:rFonts w:cstheme="minorHAnsi"/>
          <w:shd w:val="clear" w:color="auto" w:fill="FFFFFF"/>
        </w:rPr>
        <w:t xml:space="preserve"> of Basel I and Basel II. These reforms are expected to be </w:t>
      </w:r>
      <w:r w:rsidR="00A076E0" w:rsidRPr="00197DE0">
        <w:rPr>
          <w:rFonts w:cstheme="minorHAnsi"/>
        </w:rPr>
        <w:t>costly, but</w:t>
      </w:r>
      <w:r w:rsidR="00A076E0" w:rsidRPr="00197DE0">
        <w:rPr>
          <w:rFonts w:cstheme="minorHAnsi"/>
          <w:shd w:val="clear" w:color="auto" w:fill="FFFFFF"/>
        </w:rPr>
        <w:t xml:space="preserve"> capital is </w:t>
      </w:r>
      <w:r w:rsidR="00A076E0" w:rsidRPr="00197DE0">
        <w:rPr>
          <w:rFonts w:cstheme="minorHAnsi"/>
        </w:rPr>
        <w:t>essential, and</w:t>
      </w:r>
      <w:r w:rsidR="00A076E0" w:rsidRPr="00197DE0">
        <w:rPr>
          <w:rFonts w:cstheme="minorHAnsi"/>
          <w:shd w:val="clear" w:color="auto" w:fill="FFFFFF"/>
        </w:rPr>
        <w:t xml:space="preserve"> capital is </w:t>
      </w:r>
      <w:r w:rsidR="00A076E0" w:rsidRPr="00197DE0">
        <w:rPr>
          <w:rFonts w:cstheme="minorHAnsi"/>
        </w:rPr>
        <w:t>expensive.</w:t>
      </w:r>
      <w:r w:rsidR="00A076E0" w:rsidRPr="00197DE0">
        <w:rPr>
          <w:rFonts w:cstheme="minorHAnsi"/>
          <w:shd w:val="clear" w:color="auto" w:fill="FFFFFF"/>
        </w:rPr>
        <w:t xml:space="preserve"> Therefore, over the next few </w:t>
      </w:r>
      <w:r w:rsidR="00A076E0" w:rsidRPr="00197DE0">
        <w:rPr>
          <w:rFonts w:cstheme="minorHAnsi"/>
        </w:rPr>
        <w:t>years, it will be very important</w:t>
      </w:r>
      <w:r w:rsidR="00A076E0" w:rsidRPr="00197DE0">
        <w:rPr>
          <w:rFonts w:cstheme="minorHAnsi"/>
          <w:shd w:val="clear" w:color="auto" w:fill="FFFFFF"/>
        </w:rPr>
        <w:t xml:space="preserve"> for regulators to weigh </w:t>
      </w:r>
      <w:r w:rsidR="00A076E0" w:rsidRPr="00197DE0">
        <w:rPr>
          <w:rFonts w:cstheme="minorHAnsi"/>
        </w:rPr>
        <w:t>the</w:t>
      </w:r>
      <w:r w:rsidR="00A076E0" w:rsidRPr="00197DE0">
        <w:rPr>
          <w:rFonts w:cstheme="minorHAnsi"/>
          <w:shd w:val="clear" w:color="auto" w:fill="FFFFFF"/>
        </w:rPr>
        <w:t xml:space="preserve"> costs and </w:t>
      </w:r>
      <w:r w:rsidR="00A076E0" w:rsidRPr="00197DE0">
        <w:rPr>
          <w:rFonts w:cstheme="minorHAnsi"/>
          <w:shd w:val="clear" w:color="auto" w:fill="FFFFFF"/>
        </w:rPr>
        <w:lastRenderedPageBreak/>
        <w:t xml:space="preserve">benefits </w:t>
      </w:r>
      <w:r w:rsidR="00A076E0" w:rsidRPr="00197DE0">
        <w:rPr>
          <w:rFonts w:cstheme="minorHAnsi"/>
        </w:rPr>
        <w:t>of Basel III</w:t>
      </w:r>
      <w:r w:rsidR="00A076E0" w:rsidRPr="00197DE0">
        <w:rPr>
          <w:rFonts w:cstheme="minorHAnsi"/>
          <w:shd w:val="clear" w:color="auto" w:fill="FFFFFF"/>
        </w:rPr>
        <w:t xml:space="preserve"> at each stage of the new </w:t>
      </w:r>
      <w:r w:rsidR="00A076E0" w:rsidRPr="00197DE0">
        <w:rPr>
          <w:rFonts w:cstheme="minorHAnsi"/>
        </w:rPr>
        <w:t>system introduced. To be successful under Basel III, banks'</w:t>
      </w:r>
      <w:r w:rsidR="00A076E0" w:rsidRPr="00197DE0">
        <w:rPr>
          <w:rFonts w:cstheme="minorHAnsi"/>
          <w:shd w:val="clear" w:color="auto" w:fill="FFFFFF"/>
        </w:rPr>
        <w:t xml:space="preserve"> business </w:t>
      </w:r>
      <w:r w:rsidR="00A076E0" w:rsidRPr="00197DE0">
        <w:rPr>
          <w:rFonts w:cstheme="minorHAnsi"/>
        </w:rPr>
        <w:t>models need to</w:t>
      </w:r>
      <w:r w:rsidR="00A076E0" w:rsidRPr="00197DE0">
        <w:rPr>
          <w:rFonts w:cstheme="minorHAnsi"/>
          <w:shd w:val="clear" w:color="auto" w:fill="FFFFFF"/>
        </w:rPr>
        <w:t xml:space="preserve"> be modified to varying </w:t>
      </w:r>
      <w:r w:rsidR="00A076E0" w:rsidRPr="00197DE0">
        <w:rPr>
          <w:rFonts w:cstheme="minorHAnsi"/>
        </w:rPr>
        <w:t>degrees around the world.</w:t>
      </w:r>
    </w:p>
    <w:p w14:paraId="0BF81359" w14:textId="777DB6AA" w:rsidR="00663044" w:rsidRDefault="000943DD" w:rsidP="00663044">
      <w:pPr>
        <w:jc w:val="both"/>
      </w:pPr>
      <w:r>
        <w:t xml:space="preserve">The cost of regulation can come in different form however on deciding how rigorous regulations should be, there are four main issues that must be </w:t>
      </w:r>
      <w:r w:rsidRPr="006E1E38">
        <w:t xml:space="preserve">considered; Moral hazard, Agency Capture, Compliance costs and Barriers to entry (Moodle, Lecture Note 9). </w:t>
      </w:r>
      <w:r w:rsidR="00627EFC" w:rsidRPr="006E1E38">
        <w:t>Banks are required to comply with rigorous adequacy ratio to strengthen their capital structure however the capital adequacy ratio can influence competition and risk taking in various ways. The rigorously binding higher initial capital requirements can consequently impose entry barriers for new entrants. Furthermore, the higher overall capital requirements associated with higher fixed costs for running a bank, has resulted in fewer banks being able to afford these costs. This stringent requirement has further led banks to set firm acceptance criteria for granting new loans and banks are less risk taking (Wangi and Lin, 2014). Equally concerning factor for the banks is the</w:t>
      </w:r>
      <w:r w:rsidR="00663044" w:rsidRPr="006E1E38">
        <w:t xml:space="preserve"> increase on equity capital requirement will mean banks will find it difficult to achieve the returns</w:t>
      </w:r>
      <w:r w:rsidR="00CD494F" w:rsidRPr="006E1E38">
        <w:t xml:space="preserve"> </w:t>
      </w:r>
      <w:r w:rsidR="00663044" w:rsidRPr="006E1E38">
        <w:t>on equity that they had pre crisis period</w:t>
      </w:r>
      <w:r w:rsidR="00663044" w:rsidRPr="00A076E0">
        <w:rPr>
          <w:color w:val="00B050"/>
        </w:rPr>
        <w:t>.</w:t>
      </w:r>
      <w:r w:rsidR="00A076E0">
        <w:rPr>
          <w:color w:val="00B050"/>
        </w:rPr>
        <w:t xml:space="preserve"> </w:t>
      </w:r>
      <w:r w:rsidR="00627EFC">
        <w:t xml:space="preserve">For growth in the economy loans is important to businesses and competition between banks to acquire customers is good, as this will give consumers more choice. Despite some of these disadvantages </w:t>
      </w:r>
      <w:r w:rsidR="00663044">
        <w:t xml:space="preserve">shareholders of the bank can be at comfort zone that banks stocks are less risky due to the extra capital (Hull, 2015).   </w:t>
      </w:r>
    </w:p>
    <w:p w14:paraId="1CA99C96" w14:textId="77777777" w:rsidR="006C25E1" w:rsidRDefault="002D4BCF" w:rsidP="006C25E1">
      <w:pPr>
        <w:jc w:val="both"/>
      </w:pPr>
      <w:r>
        <w:t>According to Brazier (2019) post financial crisis a new buss phase emerged in economic policy makers; macroprudential policy.</w:t>
      </w:r>
      <w:r w:rsidR="006B245E">
        <w:t xml:space="preserve"> T</w:t>
      </w:r>
      <w:r>
        <w:t>he policy</w:t>
      </w:r>
      <w:r w:rsidR="006B245E">
        <w:t xml:space="preserve"> aims to promote a financial system that is resilient to bad times but also efficient the rest of the time. As mentioned earlier in the report a Financial Policy Committee (FPC) was created after the financial crisis in the Bank of England</w:t>
      </w:r>
      <w:r w:rsidR="00E846E4">
        <w:t xml:space="preserve">. Within six years of its existence the FPC has boosted the flexibility of the banking system, the threat of pockets of credit growth was dealt with, limits </w:t>
      </w:r>
      <w:r w:rsidR="008F346E">
        <w:t>were</w:t>
      </w:r>
      <w:r w:rsidR="00E846E4">
        <w:t xml:space="preserve"> put in place on high loan-to-income mortgage lending, greater resilience to cyber-attack was built and further ensured the core of the UK </w:t>
      </w:r>
      <w:r w:rsidR="00F7111B">
        <w:t xml:space="preserve">financial system is resilient. </w:t>
      </w:r>
      <w:r w:rsidR="006422AE">
        <w:t xml:space="preserve">Alex Brazier, The Executive Director for Financial Stability Strategy and Risk and Bank of England Member of the Financial Policy Committee believes the job now is to ensure </w:t>
      </w:r>
      <w:r w:rsidR="008F346E">
        <w:t>the standards of resilience move with the time in the financial system. His theory is to keep pace with the changing economy by using cutting-edge research to monitor the development of debt level today and it can affect the severity of downturn in the economy in the future.</w:t>
      </w:r>
      <w:r w:rsidR="006422AE">
        <w:t xml:space="preserve"> </w:t>
      </w:r>
      <w:r w:rsidR="008F346E">
        <w:t xml:space="preserve"> </w:t>
      </w:r>
      <w:r w:rsidR="008101DE">
        <w:t>Furthermore,</w:t>
      </w:r>
      <w:r w:rsidR="008F346E">
        <w:t xml:space="preserve"> he believes keeping pace with the changing financial system is important</w:t>
      </w:r>
      <w:r w:rsidR="006767DF">
        <w:t>.</w:t>
      </w:r>
      <w:r w:rsidR="00D138FB">
        <w:t xml:space="preserve"> New research is enabling FPC to imitate the </w:t>
      </w:r>
      <w:r w:rsidR="008101DE">
        <w:t>effect</w:t>
      </w:r>
      <w:r w:rsidR="00D138FB">
        <w:t xml:space="preserve"> of economic downfalls on the growing non- bank financial system</w:t>
      </w:r>
      <w:r w:rsidR="008101DE">
        <w:t xml:space="preserve"> however there are possible weak spot that need monitoring and some areas need new standards of resilience</w:t>
      </w:r>
      <w:r w:rsidR="0056673D">
        <w:t xml:space="preserve"> (Alex, 2019)</w:t>
      </w:r>
      <w:r w:rsidR="008101DE">
        <w:t xml:space="preserve">. </w:t>
      </w:r>
    </w:p>
    <w:p w14:paraId="6423C30B" w14:textId="468FFB54" w:rsidR="000E5559" w:rsidRPr="006C25E1" w:rsidRDefault="000E5559" w:rsidP="00F875AE">
      <w:pPr>
        <w:pStyle w:val="Heading1"/>
      </w:pPr>
      <w:bookmarkStart w:id="13" w:name="_Toc92570883"/>
      <w:r>
        <w:t>Impact of the reforms and level of compliance in Lloyds Banking Group.</w:t>
      </w:r>
      <w:bookmarkEnd w:id="13"/>
    </w:p>
    <w:p w14:paraId="44C89594" w14:textId="4749A904" w:rsidR="005E30F1" w:rsidRPr="00A65356" w:rsidRDefault="005E30F1" w:rsidP="005E30F1">
      <w:pPr>
        <w:jc w:val="both"/>
      </w:pPr>
      <w:r w:rsidRPr="00A65356">
        <w:t xml:space="preserve">UK legislation on ring-fencing was passed, enacted, and went alive on January 2019. This legislation was introduced after the financial crises to better protect the customers and the day-to-day banking service they rely on. The new ring-fencing rule requires large UK banks to separate personal banking services from risks in the other parts of the businesses like investment banking and complex wholesale (Lloyds Banking Group Annual report 2020).  </w:t>
      </w:r>
    </w:p>
    <w:p w14:paraId="41D102DD" w14:textId="261E38CA" w:rsidR="00DB1CAB" w:rsidRPr="00DB1CAB" w:rsidRDefault="005147DF" w:rsidP="00DB1CAB">
      <w:pPr>
        <w:jc w:val="both"/>
      </w:pPr>
      <w:r w:rsidRPr="00DB1CAB">
        <w:t xml:space="preserve">The new ring-fencing rule had relatively limited effect for </w:t>
      </w:r>
      <w:r w:rsidR="00DB1CAB" w:rsidRPr="00DB1CAB">
        <w:t>most of the</w:t>
      </w:r>
      <w:r w:rsidRPr="00DB1CAB">
        <w:t xml:space="preserve"> </w:t>
      </w:r>
      <w:r w:rsidR="005E30F1">
        <w:t xml:space="preserve">Lloyds </w:t>
      </w:r>
      <w:r w:rsidRPr="00DB1CAB">
        <w:t xml:space="preserve">Group’s retail and commercial customers </w:t>
      </w:r>
      <w:r w:rsidR="00DB1CAB" w:rsidRPr="00DB1CAB">
        <w:t>who hold current accounts, saving and deposits. Lloyds Banking Group’s approach to ring-fencing changes comprises of subdivision in the group as displayed below:</w:t>
      </w:r>
    </w:p>
    <w:p w14:paraId="4466271C" w14:textId="1C7E4575" w:rsidR="00DB1CAB" w:rsidRDefault="00DB1CAB" w:rsidP="00DB1CAB">
      <w:pPr>
        <w:jc w:val="both"/>
      </w:pPr>
      <w:r>
        <w:rPr>
          <w:noProof/>
        </w:rPr>
        <w:lastRenderedPageBreak/>
        <w:drawing>
          <wp:inline distT="0" distB="0" distL="0" distR="0" wp14:anchorId="2DAE9AFD" wp14:editId="3E931270">
            <wp:extent cx="5731510" cy="2211573"/>
            <wp:effectExtent l="0" t="0" r="254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4"/>
                    <a:stretch>
                      <a:fillRect/>
                    </a:stretch>
                  </pic:blipFill>
                  <pic:spPr>
                    <a:xfrm>
                      <a:off x="0" y="0"/>
                      <a:ext cx="5749650" cy="2218573"/>
                    </a:xfrm>
                    <a:prstGeom prst="rect">
                      <a:avLst/>
                    </a:prstGeom>
                  </pic:spPr>
                </pic:pic>
              </a:graphicData>
            </a:graphic>
          </wp:inline>
        </w:drawing>
      </w:r>
    </w:p>
    <w:p w14:paraId="75E56810" w14:textId="638CAABF" w:rsidR="005147DF" w:rsidRDefault="00DB1CAB">
      <w:r w:rsidRPr="00F24D06">
        <w:t xml:space="preserve">Figure </w:t>
      </w:r>
      <w:r w:rsidR="00114008" w:rsidRPr="00F24D06">
        <w:t>4</w:t>
      </w:r>
      <w:r w:rsidRPr="00F24D06">
        <w:t xml:space="preserve">. Lloyds Banking Group ring-fencing division </w:t>
      </w:r>
      <w:bookmarkStart w:id="14" w:name="_Hlk86705345"/>
      <w:r w:rsidRPr="00F24D06">
        <w:t>(Lloyds Banking Group Annual report 2020)</w:t>
      </w:r>
      <w:r w:rsidR="004A415F" w:rsidRPr="00F24D06">
        <w:t>.</w:t>
      </w:r>
      <w:bookmarkEnd w:id="14"/>
    </w:p>
    <w:p w14:paraId="267F4831" w14:textId="2F3B1F0A" w:rsidR="000E5559" w:rsidRDefault="000E5559"/>
    <w:p w14:paraId="0A2295F5" w14:textId="7142C640" w:rsidR="00EE2272" w:rsidRDefault="00EE2272">
      <w:r>
        <w:t>According to the Managing Director, Head of Strategic Liquidity, Nick Burge of Lloyds Bank, the balance sheet of the bank needs to be optimised across four key metrics as illustrated below</w:t>
      </w:r>
      <w:r w:rsidR="004E0B01">
        <w:t xml:space="preserve"> (Burge, 2016)</w:t>
      </w:r>
      <w:r>
        <w:t>.</w:t>
      </w:r>
    </w:p>
    <w:p w14:paraId="36A374B4" w14:textId="751387D3" w:rsidR="000E5559" w:rsidRDefault="000E5559" w:rsidP="000E5559">
      <w:r>
        <w:rPr>
          <w:noProof/>
        </w:rPr>
        <w:drawing>
          <wp:inline distT="0" distB="0" distL="0" distR="0" wp14:anchorId="7F1F6C08" wp14:editId="0E966D4D">
            <wp:extent cx="5731510" cy="2207895"/>
            <wp:effectExtent l="0" t="0" r="2540" b="1905"/>
            <wp:docPr id="12" name="Picture 1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10;&#10;Description automatically generated"/>
                    <pic:cNvPicPr/>
                  </pic:nvPicPr>
                  <pic:blipFill>
                    <a:blip r:embed="rId15"/>
                    <a:stretch>
                      <a:fillRect/>
                    </a:stretch>
                  </pic:blipFill>
                  <pic:spPr>
                    <a:xfrm>
                      <a:off x="0" y="0"/>
                      <a:ext cx="5731510" cy="2207895"/>
                    </a:xfrm>
                    <a:prstGeom prst="rect">
                      <a:avLst/>
                    </a:prstGeom>
                  </pic:spPr>
                </pic:pic>
              </a:graphicData>
            </a:graphic>
          </wp:inline>
        </w:drawing>
      </w:r>
    </w:p>
    <w:p w14:paraId="0A85043E" w14:textId="77777777" w:rsidR="00C1573E" w:rsidRDefault="00C1573E">
      <w:pPr>
        <w:rPr>
          <w:b/>
          <w:bCs/>
        </w:rPr>
      </w:pPr>
    </w:p>
    <w:p w14:paraId="54D1A1BF" w14:textId="279110E9" w:rsidR="008C5C5E" w:rsidRPr="00F24D06" w:rsidRDefault="00114008" w:rsidP="00F24D06">
      <w:pPr>
        <w:jc w:val="both"/>
      </w:pPr>
      <w:r w:rsidRPr="00F24D06">
        <w:t>The images</w:t>
      </w:r>
      <w:r w:rsidR="00F24D06" w:rsidRPr="00F24D06">
        <w:t xml:space="preserve"> below</w:t>
      </w:r>
      <w:r w:rsidRPr="00F24D06">
        <w:t xml:space="preserve"> indicate </w:t>
      </w:r>
      <w:r w:rsidR="00F24D06" w:rsidRPr="00F24D06">
        <w:t xml:space="preserve">some of the ratios and the risk weighted asset figures </w:t>
      </w:r>
      <w:r w:rsidR="005E37A1">
        <w:t>of</w:t>
      </w:r>
      <w:r w:rsidR="00F24D06" w:rsidRPr="00F24D06">
        <w:t xml:space="preserve"> Lloyds Banking Group for </w:t>
      </w:r>
      <w:r w:rsidR="00763CBB">
        <w:t>year 2019 and 2020</w:t>
      </w:r>
      <w:r w:rsidR="00F24D06" w:rsidRPr="00F24D06">
        <w:t xml:space="preserve">.  </w:t>
      </w:r>
    </w:p>
    <w:p w14:paraId="61D1AD6B" w14:textId="43F6D749" w:rsidR="005127FE" w:rsidRDefault="007506DC">
      <w:pPr>
        <w:rPr>
          <w:b/>
          <w:bCs/>
        </w:rPr>
      </w:pPr>
      <w:r>
        <w:rPr>
          <w:noProof/>
        </w:rPr>
        <w:drawing>
          <wp:inline distT="0" distB="0" distL="0" distR="0" wp14:anchorId="446AEB4B" wp14:editId="54D1642D">
            <wp:extent cx="2914650" cy="1304925"/>
            <wp:effectExtent l="0" t="0" r="0" b="9525"/>
            <wp:docPr id="4" name="Picture 4"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graphical user interface&#10;&#10;Description automatically generated"/>
                    <pic:cNvPicPr/>
                  </pic:nvPicPr>
                  <pic:blipFill>
                    <a:blip r:embed="rId16"/>
                    <a:stretch>
                      <a:fillRect/>
                    </a:stretch>
                  </pic:blipFill>
                  <pic:spPr>
                    <a:xfrm>
                      <a:off x="0" y="0"/>
                      <a:ext cx="2914650" cy="1304925"/>
                    </a:xfrm>
                    <a:prstGeom prst="rect">
                      <a:avLst/>
                    </a:prstGeom>
                  </pic:spPr>
                </pic:pic>
              </a:graphicData>
            </a:graphic>
          </wp:inline>
        </w:drawing>
      </w:r>
    </w:p>
    <w:p w14:paraId="784D4183" w14:textId="56C9AB3B" w:rsidR="00B64D1B" w:rsidRPr="00493C27" w:rsidRDefault="00B64D1B" w:rsidP="00965EF9">
      <w:pPr>
        <w:jc w:val="both"/>
        <w:rPr>
          <w:rFonts w:cstheme="minorHAnsi"/>
          <w:sz w:val="24"/>
          <w:szCs w:val="24"/>
        </w:rPr>
      </w:pPr>
      <w:r w:rsidRPr="00493C27">
        <w:rPr>
          <w:rFonts w:cstheme="minorHAnsi"/>
        </w:rPr>
        <w:t>The</w:t>
      </w:r>
      <w:r w:rsidRPr="00493C27">
        <w:rPr>
          <w:rFonts w:cstheme="minorHAnsi"/>
          <w:shd w:val="clear" w:color="auto" w:fill="FFFFFF"/>
        </w:rPr>
        <w:t xml:space="preserve"> Lloyds Banking </w:t>
      </w:r>
      <w:r w:rsidRPr="00493C27">
        <w:rPr>
          <w:rFonts w:cstheme="minorHAnsi"/>
        </w:rPr>
        <w:t>Group's Tier</w:t>
      </w:r>
      <w:r w:rsidRPr="00493C27">
        <w:rPr>
          <w:rFonts w:cstheme="minorHAnsi"/>
          <w:shd w:val="clear" w:color="auto" w:fill="FFFFFF"/>
        </w:rPr>
        <w:t xml:space="preserve"> 1 capital ratio </w:t>
      </w:r>
      <w:r w:rsidRPr="00493C27">
        <w:rPr>
          <w:rFonts w:cstheme="minorHAnsi"/>
        </w:rPr>
        <w:t>of common stock, etc.</w:t>
      </w:r>
      <w:r w:rsidRPr="00493C27">
        <w:rPr>
          <w:rFonts w:cstheme="minorHAnsi"/>
          <w:shd w:val="clear" w:color="auto" w:fill="FFFFFF"/>
        </w:rPr>
        <w:t xml:space="preserve"> increased </w:t>
      </w:r>
      <w:r w:rsidRPr="00493C27">
        <w:rPr>
          <w:rFonts w:cstheme="minorHAnsi"/>
        </w:rPr>
        <w:t>from 14.3% in 2019</w:t>
      </w:r>
      <w:r w:rsidRPr="00493C27">
        <w:rPr>
          <w:rFonts w:cstheme="minorHAnsi"/>
          <w:shd w:val="clear" w:color="auto" w:fill="FFFFFF"/>
        </w:rPr>
        <w:t xml:space="preserve"> to </w:t>
      </w:r>
      <w:r w:rsidRPr="00493C27">
        <w:rPr>
          <w:rFonts w:cstheme="minorHAnsi"/>
        </w:rPr>
        <w:t>15.5%</w:t>
      </w:r>
      <w:r w:rsidRPr="00493C27">
        <w:rPr>
          <w:rFonts w:cstheme="minorHAnsi"/>
          <w:shd w:val="clear" w:color="auto" w:fill="FFFFFF"/>
        </w:rPr>
        <w:t xml:space="preserve"> in </w:t>
      </w:r>
      <w:r w:rsidRPr="00493C27">
        <w:rPr>
          <w:rFonts w:cstheme="minorHAnsi"/>
        </w:rPr>
        <w:t>2020.</w:t>
      </w:r>
      <w:r w:rsidRPr="00493C27">
        <w:rPr>
          <w:rFonts w:cstheme="minorHAnsi"/>
          <w:shd w:val="clear" w:color="auto" w:fill="FFFFFF"/>
        </w:rPr>
        <w:t xml:space="preserve"> The revised capital treatment </w:t>
      </w:r>
      <w:r w:rsidRPr="00493C27">
        <w:rPr>
          <w:rFonts w:cstheme="minorHAnsi"/>
        </w:rPr>
        <w:t>introduced into</w:t>
      </w:r>
      <w:r w:rsidRPr="00493C27">
        <w:rPr>
          <w:rFonts w:cstheme="minorHAnsi"/>
          <w:shd w:val="clear" w:color="auto" w:fill="FFFFFF"/>
        </w:rPr>
        <w:t xml:space="preserve"> intangible software assets </w:t>
      </w:r>
      <w:r w:rsidRPr="00493C27">
        <w:rPr>
          <w:rFonts w:cstheme="minorHAnsi"/>
        </w:rPr>
        <w:t>has</w:t>
      </w:r>
      <w:r w:rsidRPr="00493C27">
        <w:rPr>
          <w:rFonts w:cstheme="minorHAnsi"/>
          <w:shd w:val="clear" w:color="auto" w:fill="FFFFFF"/>
        </w:rPr>
        <w:t xml:space="preserve"> also </w:t>
      </w:r>
      <w:r w:rsidRPr="00493C27">
        <w:rPr>
          <w:rFonts w:cstheme="minorHAnsi"/>
        </w:rPr>
        <w:t>significantly reduced the</w:t>
      </w:r>
      <w:r w:rsidRPr="00493C27">
        <w:rPr>
          <w:rFonts w:cstheme="minorHAnsi"/>
          <w:shd w:val="clear" w:color="auto" w:fill="FFFFFF"/>
        </w:rPr>
        <w:t xml:space="preserve"> intangible assets </w:t>
      </w:r>
      <w:r w:rsidRPr="00493C27">
        <w:rPr>
          <w:rFonts w:cstheme="minorHAnsi"/>
        </w:rPr>
        <w:t>withdrawn</w:t>
      </w:r>
      <w:r w:rsidRPr="00493C27">
        <w:rPr>
          <w:rFonts w:cstheme="minorHAnsi"/>
          <w:shd w:val="clear" w:color="auto" w:fill="FFFFFF"/>
        </w:rPr>
        <w:t xml:space="preserve"> from capital.</w:t>
      </w:r>
    </w:p>
    <w:p w14:paraId="2725A648" w14:textId="53E86EC3" w:rsidR="007506DC" w:rsidRDefault="007506DC">
      <w:pPr>
        <w:rPr>
          <w:b/>
          <w:bCs/>
        </w:rPr>
      </w:pPr>
      <w:r>
        <w:rPr>
          <w:noProof/>
        </w:rPr>
        <w:lastRenderedPageBreak/>
        <w:drawing>
          <wp:inline distT="0" distB="0" distL="0" distR="0" wp14:anchorId="09804703" wp14:editId="1930FD42">
            <wp:extent cx="2895600" cy="1114425"/>
            <wp:effectExtent l="0" t="0" r="0" b="9525"/>
            <wp:docPr id="6" name="Picture 6"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icon&#10;&#10;Description automatically generated"/>
                    <pic:cNvPicPr/>
                  </pic:nvPicPr>
                  <pic:blipFill>
                    <a:blip r:embed="rId17"/>
                    <a:stretch>
                      <a:fillRect/>
                    </a:stretch>
                  </pic:blipFill>
                  <pic:spPr>
                    <a:xfrm>
                      <a:off x="0" y="0"/>
                      <a:ext cx="2895600" cy="1114425"/>
                    </a:xfrm>
                    <a:prstGeom prst="rect">
                      <a:avLst/>
                    </a:prstGeom>
                  </pic:spPr>
                </pic:pic>
              </a:graphicData>
            </a:graphic>
          </wp:inline>
        </w:drawing>
      </w:r>
    </w:p>
    <w:p w14:paraId="7DFF9021" w14:textId="7FADCAAE" w:rsidR="00B64D1B" w:rsidRPr="00493C27" w:rsidRDefault="00B64D1B">
      <w:pPr>
        <w:rPr>
          <w:rFonts w:cstheme="minorHAnsi"/>
          <w:sz w:val="24"/>
          <w:szCs w:val="24"/>
        </w:rPr>
      </w:pPr>
      <w:r w:rsidRPr="00493C27">
        <w:rPr>
          <w:rFonts w:cstheme="minorHAnsi"/>
        </w:rPr>
        <w:t>The</w:t>
      </w:r>
      <w:r w:rsidRPr="00493C27">
        <w:rPr>
          <w:rFonts w:cstheme="minorHAnsi"/>
          <w:shd w:val="clear" w:color="auto" w:fill="FFFFFF"/>
        </w:rPr>
        <w:t xml:space="preserve"> Lloyds Banking </w:t>
      </w:r>
      <w:r w:rsidRPr="00493C27">
        <w:rPr>
          <w:rFonts w:cstheme="minorHAnsi"/>
        </w:rPr>
        <w:t>Group's</w:t>
      </w:r>
      <w:r w:rsidRPr="00493C27">
        <w:rPr>
          <w:rFonts w:cstheme="minorHAnsi"/>
          <w:shd w:val="clear" w:color="auto" w:fill="FFFFFF"/>
        </w:rPr>
        <w:t xml:space="preserve"> total capital </w:t>
      </w:r>
      <w:r w:rsidRPr="00493C27">
        <w:rPr>
          <w:rFonts w:cstheme="minorHAnsi"/>
        </w:rPr>
        <w:t>adequacy</w:t>
      </w:r>
      <w:r w:rsidRPr="00493C27">
        <w:rPr>
          <w:rFonts w:cstheme="minorHAnsi"/>
          <w:shd w:val="clear" w:color="auto" w:fill="FFFFFF"/>
        </w:rPr>
        <w:t xml:space="preserve"> ratio increased </w:t>
      </w:r>
      <w:r w:rsidRPr="00493C27">
        <w:rPr>
          <w:rFonts w:cstheme="minorHAnsi"/>
        </w:rPr>
        <w:t>from 22.1% in 2019</w:t>
      </w:r>
      <w:r w:rsidRPr="00493C27">
        <w:rPr>
          <w:rFonts w:cstheme="minorHAnsi"/>
          <w:shd w:val="clear" w:color="auto" w:fill="FFFFFF"/>
        </w:rPr>
        <w:t xml:space="preserve"> to </w:t>
      </w:r>
      <w:r w:rsidRPr="00493C27">
        <w:rPr>
          <w:rFonts w:cstheme="minorHAnsi"/>
        </w:rPr>
        <w:t>23.5%</w:t>
      </w:r>
      <w:r w:rsidRPr="00493C27">
        <w:rPr>
          <w:rFonts w:cstheme="minorHAnsi"/>
          <w:shd w:val="clear" w:color="auto" w:fill="FFFFFF"/>
        </w:rPr>
        <w:t xml:space="preserve"> in </w:t>
      </w:r>
      <w:r w:rsidRPr="00493C27">
        <w:rPr>
          <w:rFonts w:cstheme="minorHAnsi"/>
        </w:rPr>
        <w:t>2020. This</w:t>
      </w:r>
      <w:r w:rsidRPr="00493C27">
        <w:rPr>
          <w:rFonts w:cstheme="minorHAnsi"/>
          <w:shd w:val="clear" w:color="auto" w:fill="FFFFFF"/>
        </w:rPr>
        <w:t xml:space="preserve"> is </w:t>
      </w:r>
      <w:r w:rsidRPr="00493C27">
        <w:rPr>
          <w:rFonts w:cstheme="minorHAnsi"/>
        </w:rPr>
        <w:t>mainly due to</w:t>
      </w:r>
      <w:r w:rsidRPr="00493C27">
        <w:rPr>
          <w:rFonts w:cstheme="minorHAnsi"/>
          <w:shd w:val="clear" w:color="auto" w:fill="FFFFFF"/>
        </w:rPr>
        <w:t xml:space="preserve"> the increase in </w:t>
      </w:r>
      <w:r w:rsidRPr="00493C27">
        <w:rPr>
          <w:rFonts w:cstheme="minorHAnsi"/>
        </w:rPr>
        <w:t>Common Equity Tier</w:t>
      </w:r>
      <w:r w:rsidRPr="00493C27">
        <w:rPr>
          <w:rFonts w:cstheme="minorHAnsi"/>
          <w:shd w:val="clear" w:color="auto" w:fill="FFFFFF"/>
        </w:rPr>
        <w:t xml:space="preserve"> 1 and </w:t>
      </w:r>
      <w:r w:rsidRPr="00493C27">
        <w:rPr>
          <w:rFonts w:cstheme="minorHAnsi"/>
        </w:rPr>
        <w:t>the issuance of the</w:t>
      </w:r>
      <w:r w:rsidRPr="00493C27">
        <w:rPr>
          <w:rFonts w:cstheme="minorHAnsi"/>
          <w:shd w:val="clear" w:color="auto" w:fill="FFFFFF"/>
        </w:rPr>
        <w:t xml:space="preserve"> new </w:t>
      </w:r>
      <w:r w:rsidRPr="00493C27">
        <w:rPr>
          <w:rFonts w:cstheme="minorHAnsi"/>
        </w:rPr>
        <w:t>AT1.</w:t>
      </w:r>
    </w:p>
    <w:p w14:paraId="489E7D3E" w14:textId="03379310" w:rsidR="00D86454" w:rsidRDefault="00D86454"/>
    <w:p w14:paraId="061170A2" w14:textId="36F3E644" w:rsidR="00D86454" w:rsidRDefault="00D86454">
      <w:r>
        <w:rPr>
          <w:noProof/>
        </w:rPr>
        <w:drawing>
          <wp:inline distT="0" distB="0" distL="0" distR="0" wp14:anchorId="73FF07BF" wp14:editId="19D90DD2">
            <wp:extent cx="2809875" cy="1009650"/>
            <wp:effectExtent l="0" t="0" r="9525" b="0"/>
            <wp:docPr id="9" name="Picture 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Icon&#10;&#10;Description automatically generated"/>
                    <pic:cNvPicPr/>
                  </pic:nvPicPr>
                  <pic:blipFill>
                    <a:blip r:embed="rId18"/>
                    <a:stretch>
                      <a:fillRect/>
                    </a:stretch>
                  </pic:blipFill>
                  <pic:spPr>
                    <a:xfrm>
                      <a:off x="0" y="0"/>
                      <a:ext cx="2809875" cy="1009650"/>
                    </a:xfrm>
                    <a:prstGeom prst="rect">
                      <a:avLst/>
                    </a:prstGeom>
                  </pic:spPr>
                </pic:pic>
              </a:graphicData>
            </a:graphic>
          </wp:inline>
        </w:drawing>
      </w:r>
    </w:p>
    <w:p w14:paraId="27028CD2" w14:textId="7E6A7AF1" w:rsidR="00D86454" w:rsidRPr="00493C27" w:rsidRDefault="00B64D1B" w:rsidP="00493C27">
      <w:pPr>
        <w:jc w:val="both"/>
        <w:rPr>
          <w:b/>
          <w:bCs/>
        </w:rPr>
      </w:pPr>
      <w:r w:rsidRPr="00493C27">
        <w:rPr>
          <w:rFonts w:cstheme="minorHAnsi"/>
        </w:rPr>
        <w:t>The leverage ratio of</w:t>
      </w:r>
      <w:r w:rsidRPr="00493C27">
        <w:rPr>
          <w:rFonts w:cstheme="minorHAnsi"/>
          <w:shd w:val="clear" w:color="auto" w:fill="FFFFFF"/>
        </w:rPr>
        <w:t xml:space="preserve"> Lloyds Banking </w:t>
      </w:r>
      <w:r w:rsidRPr="00493C27">
        <w:rPr>
          <w:rFonts w:cstheme="minorHAnsi"/>
        </w:rPr>
        <w:t>Group</w:t>
      </w:r>
      <w:r w:rsidRPr="00493C27">
        <w:rPr>
          <w:rFonts w:cstheme="minorHAnsi"/>
          <w:shd w:val="clear" w:color="auto" w:fill="FFFFFF"/>
        </w:rPr>
        <w:t xml:space="preserve"> UK increased </w:t>
      </w:r>
      <w:r w:rsidRPr="00493C27">
        <w:rPr>
          <w:rFonts w:cstheme="minorHAnsi"/>
        </w:rPr>
        <w:t>from 5.1% in 2019</w:t>
      </w:r>
      <w:r w:rsidRPr="00493C27">
        <w:rPr>
          <w:rFonts w:cstheme="minorHAnsi"/>
          <w:shd w:val="clear" w:color="auto" w:fill="FFFFFF"/>
        </w:rPr>
        <w:t xml:space="preserve"> to </w:t>
      </w:r>
      <w:r w:rsidRPr="00493C27">
        <w:rPr>
          <w:rFonts w:cstheme="minorHAnsi"/>
        </w:rPr>
        <w:t>5.5%</w:t>
      </w:r>
      <w:r w:rsidRPr="00493C27">
        <w:rPr>
          <w:rFonts w:cstheme="minorHAnsi"/>
          <w:shd w:val="clear" w:color="auto" w:fill="FFFFFF"/>
        </w:rPr>
        <w:t xml:space="preserve"> in </w:t>
      </w:r>
      <w:r w:rsidRPr="00493C27">
        <w:rPr>
          <w:rFonts w:cstheme="minorHAnsi"/>
        </w:rPr>
        <w:t>2020. This</w:t>
      </w:r>
      <w:r w:rsidRPr="00493C27">
        <w:rPr>
          <w:rFonts w:cstheme="minorHAnsi"/>
          <w:shd w:val="clear" w:color="auto" w:fill="FFFFFF"/>
        </w:rPr>
        <w:t xml:space="preserve"> is </w:t>
      </w:r>
      <w:r w:rsidRPr="00493C27">
        <w:rPr>
          <w:rFonts w:cstheme="minorHAnsi"/>
        </w:rPr>
        <w:t>primarily a reflection of</w:t>
      </w:r>
      <w:r w:rsidRPr="00493C27">
        <w:rPr>
          <w:rFonts w:cstheme="minorHAnsi"/>
          <w:shd w:val="clear" w:color="auto" w:fill="FFFFFF"/>
        </w:rPr>
        <w:t xml:space="preserve"> the </w:t>
      </w:r>
      <w:r w:rsidRPr="00493C27">
        <w:rPr>
          <w:rFonts w:cstheme="minorHAnsi"/>
        </w:rPr>
        <w:t>fully hampered</w:t>
      </w:r>
      <w:r w:rsidRPr="00493C27">
        <w:rPr>
          <w:rFonts w:cstheme="minorHAnsi"/>
          <w:shd w:val="clear" w:color="auto" w:fill="FFFFFF"/>
        </w:rPr>
        <w:t xml:space="preserve"> increase in </w:t>
      </w:r>
      <w:r w:rsidRPr="00493C27">
        <w:rPr>
          <w:rFonts w:cstheme="minorHAnsi"/>
        </w:rPr>
        <w:t>Tier</w:t>
      </w:r>
      <w:r w:rsidRPr="00493C27">
        <w:rPr>
          <w:rFonts w:cstheme="minorHAnsi"/>
          <w:shd w:val="clear" w:color="auto" w:fill="FFFFFF"/>
        </w:rPr>
        <w:t xml:space="preserve"> 1 capital </w:t>
      </w:r>
      <w:r w:rsidRPr="00493C27">
        <w:rPr>
          <w:rFonts w:cstheme="minorHAnsi"/>
        </w:rPr>
        <w:t>positions.</w:t>
      </w:r>
      <w:r w:rsidRPr="00493C27">
        <w:rPr>
          <w:rFonts w:cstheme="minorHAnsi"/>
          <w:shd w:val="clear" w:color="auto" w:fill="FFFFFF"/>
        </w:rPr>
        <w:t xml:space="preserve"> This is </w:t>
      </w:r>
      <w:r w:rsidRPr="00493C27">
        <w:rPr>
          <w:rFonts w:cstheme="minorHAnsi"/>
        </w:rPr>
        <w:t>expected</w:t>
      </w:r>
      <w:r w:rsidRPr="00493C27">
        <w:rPr>
          <w:rFonts w:cstheme="minorHAnsi"/>
          <w:shd w:val="clear" w:color="auto" w:fill="FFFFFF"/>
        </w:rPr>
        <w:t xml:space="preserve"> to be moderately offset by </w:t>
      </w:r>
      <w:r w:rsidRPr="00493C27">
        <w:rPr>
          <w:rFonts w:cstheme="minorHAnsi"/>
        </w:rPr>
        <w:t>an increase</w:t>
      </w:r>
      <w:r w:rsidRPr="00493C27">
        <w:rPr>
          <w:rFonts w:cstheme="minorHAnsi"/>
          <w:shd w:val="clear" w:color="auto" w:fill="FFFFFF"/>
        </w:rPr>
        <w:t xml:space="preserve"> in leverage exposure </w:t>
      </w:r>
      <w:r w:rsidRPr="00493C27">
        <w:rPr>
          <w:rFonts w:cstheme="minorHAnsi"/>
        </w:rPr>
        <w:t>indicators that reflect</w:t>
      </w:r>
      <w:r w:rsidRPr="00493C27">
        <w:rPr>
          <w:rFonts w:cstheme="minorHAnsi"/>
          <w:shd w:val="clear" w:color="auto" w:fill="FFFFFF"/>
        </w:rPr>
        <w:t xml:space="preserve"> securities </w:t>
      </w:r>
      <w:r w:rsidRPr="00493C27">
        <w:rPr>
          <w:rFonts w:cstheme="minorHAnsi"/>
        </w:rPr>
        <w:t>financial trading</w:t>
      </w:r>
      <w:r w:rsidRPr="00493C27">
        <w:rPr>
          <w:rFonts w:cstheme="minorHAnsi"/>
          <w:shd w:val="clear" w:color="auto" w:fill="FFFFFF"/>
        </w:rPr>
        <w:t xml:space="preserve"> and </w:t>
      </w:r>
      <w:r w:rsidRPr="00493C27">
        <w:rPr>
          <w:rFonts w:cstheme="minorHAnsi"/>
        </w:rPr>
        <w:t>off-balance</w:t>
      </w:r>
      <w:r w:rsidRPr="00493C27">
        <w:rPr>
          <w:rFonts w:cstheme="minorHAnsi"/>
          <w:shd w:val="clear" w:color="auto" w:fill="FFFFFF"/>
        </w:rPr>
        <w:t xml:space="preserve"> sheet </w:t>
      </w:r>
      <w:r w:rsidRPr="00493C27">
        <w:rPr>
          <w:rFonts w:cstheme="minorHAnsi"/>
        </w:rPr>
        <w:t>position movements.</w:t>
      </w:r>
    </w:p>
    <w:p w14:paraId="02B1CBAB" w14:textId="7ACE771D" w:rsidR="007506DC" w:rsidRDefault="007506DC">
      <w:pPr>
        <w:rPr>
          <w:b/>
          <w:bCs/>
        </w:rPr>
      </w:pPr>
      <w:r>
        <w:rPr>
          <w:noProof/>
        </w:rPr>
        <w:drawing>
          <wp:inline distT="0" distB="0" distL="0" distR="0" wp14:anchorId="3C4A6507" wp14:editId="0D12949D">
            <wp:extent cx="2933700" cy="1095375"/>
            <wp:effectExtent l="0" t="0" r="0" b="9525"/>
            <wp:docPr id="7" name="Picture 7"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icon&#10;&#10;Description automatically generated"/>
                    <pic:cNvPicPr/>
                  </pic:nvPicPr>
                  <pic:blipFill>
                    <a:blip r:embed="rId19"/>
                    <a:stretch>
                      <a:fillRect/>
                    </a:stretch>
                  </pic:blipFill>
                  <pic:spPr>
                    <a:xfrm>
                      <a:off x="0" y="0"/>
                      <a:ext cx="2933700" cy="1095375"/>
                    </a:xfrm>
                    <a:prstGeom prst="rect">
                      <a:avLst/>
                    </a:prstGeom>
                  </pic:spPr>
                </pic:pic>
              </a:graphicData>
            </a:graphic>
          </wp:inline>
        </w:drawing>
      </w:r>
    </w:p>
    <w:p w14:paraId="592B4D85" w14:textId="67289756" w:rsidR="00EC43BD" w:rsidRDefault="00EC43BD">
      <w:r>
        <w:t xml:space="preserve">The Group’s Risk Weighted Assets (RWAs) reduced from £171.9 billion in 2019 to £170.9 billion during the year 2020. </w:t>
      </w:r>
    </w:p>
    <w:p w14:paraId="52C5C90E" w14:textId="77777777" w:rsidR="00B4607D" w:rsidRDefault="00B4607D">
      <w:pPr>
        <w:rPr>
          <w:b/>
          <w:bCs/>
        </w:rPr>
      </w:pPr>
    </w:p>
    <w:p w14:paraId="3F2174DD" w14:textId="19B5AABF" w:rsidR="007506DC" w:rsidRDefault="007506DC" w:rsidP="007506DC">
      <w:pPr>
        <w:jc w:val="both"/>
        <w:rPr>
          <w:b/>
          <w:bCs/>
        </w:rPr>
      </w:pPr>
      <w:r>
        <w:rPr>
          <w:noProof/>
        </w:rPr>
        <w:drawing>
          <wp:inline distT="0" distB="0" distL="0" distR="0" wp14:anchorId="696424E5" wp14:editId="41E85848">
            <wp:extent cx="3267075" cy="952500"/>
            <wp:effectExtent l="0" t="0" r="9525" b="0"/>
            <wp:docPr id="8" name="Picture 8"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icon&#10;&#10;Description automatically generated"/>
                    <pic:cNvPicPr/>
                  </pic:nvPicPr>
                  <pic:blipFill>
                    <a:blip r:embed="rId20"/>
                    <a:stretch>
                      <a:fillRect/>
                    </a:stretch>
                  </pic:blipFill>
                  <pic:spPr>
                    <a:xfrm>
                      <a:off x="0" y="0"/>
                      <a:ext cx="3267075" cy="952500"/>
                    </a:xfrm>
                    <a:prstGeom prst="rect">
                      <a:avLst/>
                    </a:prstGeom>
                  </pic:spPr>
                </pic:pic>
              </a:graphicData>
            </a:graphic>
          </wp:inline>
        </w:drawing>
      </w:r>
    </w:p>
    <w:p w14:paraId="40C564DD" w14:textId="218FAD2A" w:rsidR="00A27396" w:rsidRDefault="00A27396">
      <w:r>
        <w:t xml:space="preserve">The Group’s liquidity ratio in 2020 was at 126 from 127 in 2019, </w:t>
      </w:r>
      <w:r w:rsidR="005E37A1">
        <w:t xml:space="preserve">still at </w:t>
      </w:r>
      <w:r w:rsidR="00C83000">
        <w:t>a</w:t>
      </w:r>
      <w:r>
        <w:t xml:space="preserve"> strong position.</w:t>
      </w:r>
    </w:p>
    <w:p w14:paraId="2C51D81A" w14:textId="7B750E30" w:rsidR="00C83000" w:rsidRDefault="00C83000">
      <w:pPr>
        <w:rPr>
          <w:b/>
          <w:bCs/>
        </w:rPr>
      </w:pPr>
    </w:p>
    <w:p w14:paraId="54AE3655" w14:textId="39A28F01" w:rsidR="00C83000" w:rsidRPr="008C5C5E" w:rsidRDefault="00C83000">
      <w:pPr>
        <w:rPr>
          <w:b/>
          <w:bCs/>
        </w:rPr>
      </w:pPr>
      <w:r>
        <w:rPr>
          <w:b/>
          <w:bCs/>
        </w:rPr>
        <w:t xml:space="preserve">The split of risk weighted </w:t>
      </w:r>
      <w:r w:rsidR="00114008">
        <w:rPr>
          <w:b/>
          <w:bCs/>
        </w:rPr>
        <w:t>assets of</w:t>
      </w:r>
      <w:r>
        <w:rPr>
          <w:b/>
          <w:bCs/>
        </w:rPr>
        <w:t xml:space="preserve"> Lloyds Banking Group</w:t>
      </w:r>
    </w:p>
    <w:p w14:paraId="51D1F3F4" w14:textId="7895DB3F" w:rsidR="008C5C5E" w:rsidRDefault="00C83000">
      <w:pPr>
        <w:rPr>
          <w:b/>
          <w:bCs/>
        </w:rPr>
      </w:pPr>
      <w:r>
        <w:rPr>
          <w:noProof/>
        </w:rPr>
        <w:lastRenderedPageBreak/>
        <w:drawing>
          <wp:inline distT="0" distB="0" distL="0" distR="0" wp14:anchorId="0D5017F1" wp14:editId="54B32B6D">
            <wp:extent cx="3200400" cy="1543050"/>
            <wp:effectExtent l="0" t="0" r="0" b="0"/>
            <wp:docPr id="10" name="Picture 10"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icon&#10;&#10;Description automatically generated"/>
                    <pic:cNvPicPr/>
                  </pic:nvPicPr>
                  <pic:blipFill>
                    <a:blip r:embed="rId21"/>
                    <a:stretch>
                      <a:fillRect/>
                    </a:stretch>
                  </pic:blipFill>
                  <pic:spPr>
                    <a:xfrm>
                      <a:off x="0" y="0"/>
                      <a:ext cx="3200400" cy="1543050"/>
                    </a:xfrm>
                    <a:prstGeom prst="rect">
                      <a:avLst/>
                    </a:prstGeom>
                  </pic:spPr>
                </pic:pic>
              </a:graphicData>
            </a:graphic>
          </wp:inline>
        </w:drawing>
      </w:r>
    </w:p>
    <w:p w14:paraId="2808FA3F" w14:textId="33A0EE8D" w:rsidR="00C83000" w:rsidRDefault="00114008">
      <w:r w:rsidRPr="00114008">
        <w:t xml:space="preserve">Figure 5. Risk Weighted Assets (Lloyds Bank plc, 2020). </w:t>
      </w:r>
    </w:p>
    <w:p w14:paraId="0344923C" w14:textId="78AAB307" w:rsidR="001931F6" w:rsidRDefault="00FE45CE" w:rsidP="00C46F6B">
      <w:pPr>
        <w:jc w:val="both"/>
      </w:pPr>
      <w:r>
        <w:t xml:space="preserve">Lloyds Banking Groups Capital Composition </w:t>
      </w:r>
      <w:r w:rsidR="00C46F6B">
        <w:t>i</w:t>
      </w:r>
      <w:r>
        <w:t xml:space="preserve">n figure 5 in comparison to some of the ratios and the risk weighted assets for 2019 and 2020, </w:t>
      </w:r>
      <w:r w:rsidR="00C46F6B">
        <w:t>has</w:t>
      </w:r>
      <w:r>
        <w:t xml:space="preserve"> demonstrated the bank has made significant</w:t>
      </w:r>
      <w:r w:rsidR="00C46F6B">
        <w:t xml:space="preserve"> </w:t>
      </w:r>
      <w:r>
        <w:t>improv</w:t>
      </w:r>
      <w:r w:rsidR="00C46F6B">
        <w:t>ement and further strive to maintain high</w:t>
      </w:r>
      <w:r w:rsidR="002A7018">
        <w:t xml:space="preserve"> level of compliance to the</w:t>
      </w:r>
      <w:r w:rsidR="00C46F6B">
        <w:t xml:space="preserve"> standard </w:t>
      </w:r>
      <w:r w:rsidR="002A7018">
        <w:t>and</w:t>
      </w:r>
      <w:r w:rsidR="00C46F6B">
        <w:t xml:space="preserve"> guidelines set by the Banking Supervision</w:t>
      </w:r>
      <w:r w:rsidR="002A7018">
        <w:t xml:space="preserve"> of the Basel Committee.</w:t>
      </w:r>
      <w:r>
        <w:t xml:space="preserve"> </w:t>
      </w:r>
    </w:p>
    <w:p w14:paraId="09779922" w14:textId="1861D604" w:rsidR="00C47C27" w:rsidRDefault="001931F6" w:rsidP="00C47C27">
      <w:r>
        <w:rPr>
          <w:noProof/>
        </w:rPr>
        <w:drawing>
          <wp:anchor distT="0" distB="0" distL="114300" distR="114300" simplePos="0" relativeHeight="251658240" behindDoc="0" locked="0" layoutInCell="1" allowOverlap="1" wp14:anchorId="2CB2FB46" wp14:editId="666AEE4B">
            <wp:simplePos x="914400" y="3692106"/>
            <wp:positionH relativeFrom="margin">
              <wp:align>left</wp:align>
            </wp:positionH>
            <wp:positionV relativeFrom="paragraph">
              <wp:align>top</wp:align>
            </wp:positionV>
            <wp:extent cx="3683000" cy="5459095"/>
            <wp:effectExtent l="0" t="0" r="0" b="8255"/>
            <wp:wrapSquare wrapText="bothSides"/>
            <wp:docPr id="19" name="Picture 1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able&#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3683000" cy="5459095"/>
                    </a:xfrm>
                    <a:prstGeom prst="rect">
                      <a:avLst/>
                    </a:prstGeom>
                  </pic:spPr>
                </pic:pic>
              </a:graphicData>
            </a:graphic>
            <wp14:sizeRelH relativeFrom="margin">
              <wp14:pctWidth>0</wp14:pctWidth>
            </wp14:sizeRelH>
          </wp:anchor>
        </w:drawing>
      </w:r>
      <w:r w:rsidR="00C47C27">
        <w:t xml:space="preserve">The table on the left illustrates some of the Lloyds Banking Groups ratios </w:t>
      </w:r>
      <w:r w:rsidR="00CB1164">
        <w:t xml:space="preserve">for first quarter 2021, </w:t>
      </w:r>
      <w:r w:rsidR="00C47C27">
        <w:t>aligned with the standards and guidelines set by Banking Supervision Committee.</w:t>
      </w:r>
    </w:p>
    <w:p w14:paraId="6F78352A" w14:textId="775DEAC1" w:rsidR="00E33DCC" w:rsidRDefault="00C47C27" w:rsidP="002110EC">
      <w:pPr>
        <w:pStyle w:val="ListParagraph"/>
        <w:numPr>
          <w:ilvl w:val="0"/>
          <w:numId w:val="4"/>
        </w:numPr>
      </w:pPr>
      <w:r>
        <w:t>Minimum benchmark for Capital ratio is 8%</w:t>
      </w:r>
      <w:r w:rsidR="00E33DCC">
        <w:t xml:space="preserve"> as mentioned earlier</w:t>
      </w:r>
      <w:r>
        <w:t xml:space="preserve">, </w:t>
      </w:r>
      <w:r w:rsidR="00E33DCC">
        <w:t xml:space="preserve">Lloyds Banking Group capital ratio is 23.6% for first quarter year 2021 which substantially high. </w:t>
      </w:r>
    </w:p>
    <w:p w14:paraId="6903F2CF" w14:textId="77777777" w:rsidR="002110EC" w:rsidRDefault="002110EC" w:rsidP="002110EC">
      <w:pPr>
        <w:pStyle w:val="ListParagraph"/>
      </w:pPr>
    </w:p>
    <w:p w14:paraId="1DC570E3" w14:textId="2BB611E2" w:rsidR="002110EC" w:rsidRDefault="00E33DCC" w:rsidP="002110EC">
      <w:pPr>
        <w:pStyle w:val="ListParagraph"/>
        <w:numPr>
          <w:ilvl w:val="0"/>
          <w:numId w:val="4"/>
        </w:numPr>
      </w:pPr>
      <w:r>
        <w:t xml:space="preserve">Benchmark for leverage ratio is 3% set by Banking Supervisory Committee however, for UK </w:t>
      </w:r>
      <w:r w:rsidR="000A6088">
        <w:t xml:space="preserve">it is 3.25%. Lloyds Banking Group has leverage ratio of 5.6%, much higher than the benchmark. </w:t>
      </w:r>
    </w:p>
    <w:p w14:paraId="54BFCFA3" w14:textId="77777777" w:rsidR="002110EC" w:rsidRDefault="002110EC" w:rsidP="002110EC">
      <w:pPr>
        <w:pStyle w:val="ListParagraph"/>
      </w:pPr>
    </w:p>
    <w:p w14:paraId="02D8DDC0" w14:textId="77777777" w:rsidR="002110EC" w:rsidRDefault="002110EC" w:rsidP="002110EC">
      <w:pPr>
        <w:pStyle w:val="ListParagraph"/>
      </w:pPr>
    </w:p>
    <w:p w14:paraId="2E845165" w14:textId="77777777" w:rsidR="00CB1164" w:rsidRDefault="000A6088" w:rsidP="008C5DD6">
      <w:pPr>
        <w:pStyle w:val="ListParagraph"/>
        <w:numPr>
          <w:ilvl w:val="0"/>
          <w:numId w:val="4"/>
        </w:numPr>
      </w:pPr>
      <w:r>
        <w:t>The average Liquidity Coverage ratio benchmark is 100%</w:t>
      </w:r>
      <w:r w:rsidR="002110EC">
        <w:t xml:space="preserve"> set by the Banking Supervisory Committee, Lloyds Banking Groups LCR is 124% again a much higher percentage than the benchmark. </w:t>
      </w:r>
      <w:r w:rsidR="00E33DCC">
        <w:t xml:space="preserve"> </w:t>
      </w:r>
    </w:p>
    <w:p w14:paraId="3FF15D40" w14:textId="77777777" w:rsidR="00CB1164" w:rsidRDefault="00CB1164" w:rsidP="00CB1164">
      <w:pPr>
        <w:pStyle w:val="ListParagraph"/>
      </w:pPr>
    </w:p>
    <w:p w14:paraId="2D92D7C8" w14:textId="77777777" w:rsidR="00D304B2" w:rsidRDefault="008C5DD6">
      <w:r>
        <w:t xml:space="preserve">Lloyds Banks Interim Pillar 3 Report (Lloyds Bank </w:t>
      </w:r>
      <w:r w:rsidR="009C7DD4">
        <w:t>plc, 2021).</w:t>
      </w:r>
      <w:r>
        <w:t xml:space="preserve">  </w:t>
      </w:r>
      <w:r w:rsidR="001931F6">
        <w:br w:type="textWrapping" w:clear="all"/>
      </w:r>
    </w:p>
    <w:p w14:paraId="6043A85E" w14:textId="756CD5AA" w:rsidR="008C5C5E" w:rsidRDefault="000C228B" w:rsidP="00F875AE">
      <w:pPr>
        <w:pStyle w:val="Heading1"/>
      </w:pPr>
      <w:bookmarkStart w:id="15" w:name="_Toc92570884"/>
      <w:r w:rsidRPr="000C228B">
        <w:lastRenderedPageBreak/>
        <w:t>Conclusion</w:t>
      </w:r>
      <w:bookmarkEnd w:id="15"/>
      <w:r w:rsidRPr="000C228B">
        <w:t xml:space="preserve"> </w:t>
      </w:r>
    </w:p>
    <w:p w14:paraId="6B4DDBEF" w14:textId="12D6A963" w:rsidR="00D304B2" w:rsidRPr="00D304B2" w:rsidRDefault="00D304B2" w:rsidP="004B115A">
      <w:pPr>
        <w:jc w:val="both"/>
      </w:pPr>
      <w:r w:rsidRPr="00D304B2">
        <w:t xml:space="preserve">The report </w:t>
      </w:r>
      <w:r>
        <w:t xml:space="preserve">started with </w:t>
      </w:r>
      <w:r w:rsidR="008C6902">
        <w:t>an</w:t>
      </w:r>
      <w:r>
        <w:t xml:space="preserve"> introduction</w:t>
      </w:r>
      <w:r w:rsidR="008C6902">
        <w:t xml:space="preserve"> following with an introduction to the chosen bank, Lloyds Banking Group. A brief history was given on the cause</w:t>
      </w:r>
      <w:r w:rsidR="003D7957">
        <w:t>s</w:t>
      </w:r>
      <w:r w:rsidR="008C6902">
        <w:t xml:space="preserve"> leading to the 2007-2008 financial crisis. Regulations and laws that have been introduced pre and post </w:t>
      </w:r>
      <w:r w:rsidR="00A65FF8">
        <w:t>financial crisis</w:t>
      </w:r>
      <w:r w:rsidR="003D7957">
        <w:t>, as they are interlinked,</w:t>
      </w:r>
      <w:r w:rsidR="00A65FF8">
        <w:t xml:space="preserve"> was discussed</w:t>
      </w:r>
      <w:r w:rsidR="003D7957">
        <w:t>. T</w:t>
      </w:r>
      <w:r w:rsidR="00A65FF8">
        <w:t xml:space="preserve">hese included Basel I, Basel II, Basel 2.5, Basel </w:t>
      </w:r>
      <w:r w:rsidR="00784072">
        <w:t>III,</w:t>
      </w:r>
      <w:r w:rsidR="00A65FF8">
        <w:t xml:space="preserve"> the Dodd-</w:t>
      </w:r>
      <w:r w:rsidR="00784072">
        <w:t xml:space="preserve">Frank </w:t>
      </w:r>
      <w:r w:rsidR="00E57339">
        <w:t>regulations,</w:t>
      </w:r>
      <w:r w:rsidR="00BE7A67">
        <w:t xml:space="preserve"> and the ring-fencing act of UK</w:t>
      </w:r>
      <w:r w:rsidR="00784072">
        <w:t xml:space="preserve">. A critical review was undertaken of the reforms and contribution towards stabilising the financial system and the banking institutions post 2008 crisis. </w:t>
      </w:r>
      <w:r w:rsidR="003D7957">
        <w:t xml:space="preserve">A review was </w:t>
      </w:r>
      <w:r w:rsidR="00B91F72">
        <w:t>conducted</w:t>
      </w:r>
      <w:r w:rsidR="003D7957">
        <w:t xml:space="preserve"> on the i</w:t>
      </w:r>
      <w:r w:rsidR="00784072">
        <w:t>mpact of the reforms and regulation and the level of compliance in Lloyds Ba</w:t>
      </w:r>
      <w:r w:rsidR="003D7957">
        <w:t>n</w:t>
      </w:r>
      <w:r w:rsidR="00784072">
        <w:t>king Group</w:t>
      </w:r>
      <w:r w:rsidR="00896AAF">
        <w:t xml:space="preserve">. Throughout the report tables, diagrams, pia chart and formulas </w:t>
      </w:r>
      <w:r w:rsidR="00822C98">
        <w:t>were</w:t>
      </w:r>
      <w:r w:rsidR="00896AAF">
        <w:t xml:space="preserve"> presented to illustrate the </w:t>
      </w:r>
      <w:r w:rsidR="00822C98">
        <w:t xml:space="preserve">findings. In conclusion Lloyds Banking Group </w:t>
      </w:r>
      <w:r w:rsidR="00BE7A67">
        <w:t xml:space="preserve">had to make some changes to the structure to align with the ring-fencing act that was passed in UK </w:t>
      </w:r>
      <w:r w:rsidR="00E57339">
        <w:t>furthermore</w:t>
      </w:r>
      <w:r w:rsidR="00BE7A67">
        <w:t xml:space="preserve"> they have implemented the regulations and adhered to the guidelines set </w:t>
      </w:r>
      <w:r w:rsidR="00E57339">
        <w:t>by the banking supervisory committee. This is transparent in their financial report which illustrate Lloyds Banking Group has met</w:t>
      </w:r>
      <w:r w:rsidR="003A0703">
        <w:t xml:space="preserve"> and in fact are above</w:t>
      </w:r>
      <w:r w:rsidR="00E57339">
        <w:t xml:space="preserve"> the benchmarks set in Basel III for capital ratio, </w:t>
      </w:r>
      <w:r w:rsidR="003A0703">
        <w:t xml:space="preserve">leverage ratio and average liquidity coverage ratio. </w:t>
      </w:r>
      <w:r w:rsidR="009369D2">
        <w:t xml:space="preserve">In </w:t>
      </w:r>
      <w:r w:rsidR="00A513DE">
        <w:t>conclusion</w:t>
      </w:r>
      <w:r w:rsidR="009369D2">
        <w:t xml:space="preserve"> to the reform and contribution towards stabilising the financial system and the banking institutions post 2008 crisis, the regulations </w:t>
      </w:r>
      <w:r w:rsidR="00A40F6E">
        <w:t>have</w:t>
      </w:r>
      <w:r w:rsidR="009369D2">
        <w:t xml:space="preserve"> to some e</w:t>
      </w:r>
      <w:r w:rsidR="0060536F">
        <w:t>xtent help</w:t>
      </w:r>
      <w:r w:rsidR="0073796E">
        <w:t>ed</w:t>
      </w:r>
      <w:r w:rsidR="0060536F">
        <w:t xml:space="preserve"> stabilize </w:t>
      </w:r>
      <w:r w:rsidR="00A40F6E">
        <w:t>it,</w:t>
      </w:r>
      <w:r w:rsidR="0060536F">
        <w:t xml:space="preserve"> but further analyses </w:t>
      </w:r>
      <w:r w:rsidR="00A40F6E">
        <w:t>are</w:t>
      </w:r>
      <w:r w:rsidR="0060536F">
        <w:t xml:space="preserve"> needed to understand the level of benefits</w:t>
      </w:r>
      <w:r w:rsidR="00223A89">
        <w:t xml:space="preserve"> and </w:t>
      </w:r>
      <w:r w:rsidR="00A513DE">
        <w:t>deficit</w:t>
      </w:r>
      <w:r w:rsidR="0060536F">
        <w:t xml:space="preserve"> </w:t>
      </w:r>
      <w:r w:rsidR="00223A89">
        <w:t xml:space="preserve">of the reform over time </w:t>
      </w:r>
      <w:r w:rsidR="00A513DE">
        <w:t xml:space="preserve">and at </w:t>
      </w:r>
      <w:r w:rsidR="00223A89">
        <w:t>internal and externa</w:t>
      </w:r>
      <w:r w:rsidR="00A513DE">
        <w:t>l level</w:t>
      </w:r>
      <w:r w:rsidR="00A40F6E">
        <w:t>. It is paramount that all countries that have signed the Basel Accord and are committee members to establish these reforms and regulations in their regional countries</w:t>
      </w:r>
      <w:r w:rsidR="009A4F7A">
        <w:t xml:space="preserve"> for it to work, as all member countries financial systems and banking institutions are interlinked</w:t>
      </w:r>
      <w:r w:rsidR="003665D6">
        <w:t xml:space="preserve"> therefore to avoid any contagion affect all should follow the same regulations and laws. Adoption of and adherence to </w:t>
      </w:r>
      <w:r w:rsidR="004B115A">
        <w:t>comprehensive</w:t>
      </w:r>
      <w:r w:rsidR="003665D6">
        <w:t xml:space="preserve"> regulatory standards are </w:t>
      </w:r>
      <w:r w:rsidR="00B91F72">
        <w:t>prerequisites</w:t>
      </w:r>
      <w:r w:rsidR="003665D6">
        <w:t xml:space="preserve"> to financial stability. </w:t>
      </w:r>
      <w:r w:rsidR="00EF1313">
        <w:t xml:space="preserve">After further analyses by the committee and once Basel III is fully implemented there maybe a need  to introduce Basel IV specially to cater for EU and Asian Banks that are experiencing capital shortfall.  </w:t>
      </w:r>
      <w:r w:rsidR="009A4F7A">
        <w:t xml:space="preserve"> </w:t>
      </w:r>
      <w:r w:rsidR="00A40F6E">
        <w:t xml:space="preserve"> </w:t>
      </w:r>
      <w:r w:rsidR="00BE7A67">
        <w:t xml:space="preserve"> </w:t>
      </w:r>
      <w:r w:rsidR="00896AAF">
        <w:t xml:space="preserve"> </w:t>
      </w:r>
      <w:r w:rsidR="003D7957">
        <w:t xml:space="preserve"> </w:t>
      </w:r>
    </w:p>
    <w:p w14:paraId="20AF2823" w14:textId="144D1812" w:rsidR="000C228B" w:rsidRPr="0098494B" w:rsidRDefault="000C228B" w:rsidP="00F875AE">
      <w:pPr>
        <w:pStyle w:val="Heading1"/>
      </w:pPr>
      <w:r>
        <w:br/>
      </w:r>
      <w:bookmarkStart w:id="16" w:name="_Toc92570885"/>
      <w:r w:rsidRPr="0098494B">
        <w:t>Reference</w:t>
      </w:r>
      <w:bookmarkEnd w:id="16"/>
      <w:r w:rsidRPr="0098494B">
        <w:t xml:space="preserve"> </w:t>
      </w:r>
    </w:p>
    <w:p w14:paraId="2227E58B" w14:textId="71E0DFD8" w:rsidR="0098494B" w:rsidRPr="0098494B" w:rsidRDefault="0098494B" w:rsidP="0098494B">
      <w:pPr>
        <w:shd w:val="clear" w:color="auto" w:fill="FFFFFF"/>
        <w:spacing w:after="173" w:line="240" w:lineRule="auto"/>
        <w:ind w:left="450" w:hanging="450"/>
        <w:rPr>
          <w:rFonts w:eastAsia="Times New Roman" w:cstheme="minorHAnsi"/>
          <w:color w:val="53565A"/>
          <w:lang w:eastAsia="en-GB"/>
        </w:rPr>
      </w:pPr>
      <w:r w:rsidRPr="0098494B">
        <w:rPr>
          <w:rFonts w:eastAsia="Times New Roman" w:cstheme="minorHAnsi"/>
          <w:color w:val="53565A"/>
          <w:lang w:eastAsia="en-GB"/>
        </w:rPr>
        <w:t>The Global Financial Crisis 2007/2008 and Financial Risk Management(2019a), [Homepage of IGI Global], [Online]. Available: </w:t>
      </w:r>
      <w:hyperlink r:id="rId23" w:tgtFrame="_blank" w:history="1">
        <w:r w:rsidRPr="0098494B">
          <w:rPr>
            <w:rFonts w:eastAsia="Times New Roman" w:cstheme="minorHAnsi"/>
            <w:color w:val="0066CC"/>
            <w:u w:val="single"/>
            <w:lang w:eastAsia="en-GB"/>
          </w:rPr>
          <w:t>https://www-igi-global-com.ezproxy.uwtsd.ac.uk/gateway/chapter/213282</w:t>
        </w:r>
      </w:hyperlink>
      <w:r w:rsidRPr="0098494B">
        <w:rPr>
          <w:rFonts w:eastAsia="Times New Roman" w:cstheme="minorHAnsi"/>
          <w:color w:val="53565A"/>
          <w:lang w:eastAsia="en-GB"/>
        </w:rPr>
        <w:t> [2021, Dec 9,].</w:t>
      </w:r>
    </w:p>
    <w:p w14:paraId="6F9DD990" w14:textId="434FFDB7" w:rsidR="0098494B" w:rsidRPr="0098494B" w:rsidRDefault="0098494B" w:rsidP="0098494B">
      <w:pPr>
        <w:shd w:val="clear" w:color="auto" w:fill="FFFFFF"/>
        <w:spacing w:after="173" w:line="240" w:lineRule="auto"/>
        <w:ind w:left="450" w:hanging="450"/>
        <w:rPr>
          <w:rFonts w:eastAsia="Times New Roman" w:cstheme="minorHAnsi"/>
          <w:color w:val="53565A"/>
          <w:lang w:eastAsia="en-GB"/>
        </w:rPr>
      </w:pPr>
      <w:r w:rsidRPr="0098494B">
        <w:rPr>
          <w:rFonts w:eastAsia="Times New Roman" w:cstheme="minorHAnsi"/>
          <w:color w:val="53565A"/>
          <w:lang w:eastAsia="en-GB"/>
        </w:rPr>
        <w:t>"Minimum capital requirements for market risk"(2019b)</w:t>
      </w:r>
      <w:r w:rsidR="009B4A8A">
        <w:rPr>
          <w:rFonts w:eastAsia="Times New Roman" w:cstheme="minorHAnsi"/>
          <w:color w:val="53565A"/>
          <w:lang w:eastAsia="en-GB"/>
        </w:rPr>
        <w:t>.</w:t>
      </w:r>
      <w:r w:rsidRPr="0098494B">
        <w:rPr>
          <w:rFonts w:eastAsia="Times New Roman" w:cstheme="minorHAnsi"/>
          <w:color w:val="53565A"/>
          <w:lang w:eastAsia="en-GB"/>
        </w:rPr>
        <w:t xml:space="preserve"> available at: </w:t>
      </w:r>
      <w:hyperlink r:id="rId24" w:tgtFrame="_blank" w:history="1">
        <w:r w:rsidRPr="0098494B">
          <w:rPr>
            <w:rFonts w:eastAsia="Times New Roman" w:cstheme="minorHAnsi"/>
            <w:color w:val="0066CC"/>
            <w:u w:val="single"/>
            <w:lang w:eastAsia="en-GB"/>
          </w:rPr>
          <w:t>https://www.bis.org/bcbs/publ/d457.htm</w:t>
        </w:r>
      </w:hyperlink>
      <w:r w:rsidRPr="0098494B">
        <w:rPr>
          <w:rFonts w:eastAsia="Times New Roman" w:cstheme="minorHAnsi"/>
          <w:color w:val="53565A"/>
          <w:lang w:eastAsia="en-GB"/>
        </w:rPr>
        <w:t>. (</w:t>
      </w:r>
      <w:r w:rsidR="009B4A8A" w:rsidRPr="0098494B">
        <w:rPr>
          <w:rFonts w:eastAsia="Times New Roman" w:cstheme="minorHAnsi"/>
          <w:color w:val="53565A"/>
          <w:lang w:eastAsia="en-GB"/>
        </w:rPr>
        <w:t>Accessed</w:t>
      </w:r>
      <w:r w:rsidRPr="0098494B">
        <w:rPr>
          <w:rFonts w:eastAsia="Times New Roman" w:cstheme="minorHAnsi"/>
          <w:color w:val="53565A"/>
          <w:lang w:eastAsia="en-GB"/>
        </w:rPr>
        <w:t xml:space="preserve"> Nov 23, 2021).</w:t>
      </w:r>
    </w:p>
    <w:p w14:paraId="15B061E0" w14:textId="1C733CF3" w:rsidR="0098494B" w:rsidRPr="0098494B" w:rsidRDefault="0098494B" w:rsidP="0098494B">
      <w:pPr>
        <w:shd w:val="clear" w:color="auto" w:fill="FFFFFF"/>
        <w:spacing w:after="173" w:line="240" w:lineRule="auto"/>
        <w:ind w:left="450" w:hanging="450"/>
        <w:rPr>
          <w:rFonts w:eastAsia="Times New Roman" w:cstheme="minorHAnsi"/>
          <w:color w:val="53565A"/>
          <w:lang w:eastAsia="en-GB"/>
        </w:rPr>
      </w:pPr>
      <w:r w:rsidRPr="0098494B">
        <w:rPr>
          <w:rFonts w:eastAsia="Times New Roman" w:cstheme="minorHAnsi"/>
          <w:color w:val="53565A"/>
          <w:lang w:eastAsia="en-GB"/>
        </w:rPr>
        <w:t>"Basel III: international regulatory framework for banks"(2017), available at: </w:t>
      </w:r>
      <w:hyperlink r:id="rId25" w:tgtFrame="_blank" w:history="1">
        <w:r w:rsidRPr="0098494B">
          <w:rPr>
            <w:rFonts w:eastAsia="Times New Roman" w:cstheme="minorHAnsi"/>
            <w:color w:val="0066CC"/>
            <w:u w:val="single"/>
            <w:lang w:eastAsia="en-GB"/>
          </w:rPr>
          <w:t>https://www.bis.org/bcbs/basel3.htm</w:t>
        </w:r>
      </w:hyperlink>
      <w:r w:rsidRPr="0098494B">
        <w:rPr>
          <w:rFonts w:eastAsia="Times New Roman" w:cstheme="minorHAnsi"/>
          <w:color w:val="53565A"/>
          <w:lang w:eastAsia="en-GB"/>
        </w:rPr>
        <w:t>. (</w:t>
      </w:r>
      <w:r w:rsidR="009B4A8A" w:rsidRPr="0098494B">
        <w:rPr>
          <w:rFonts w:eastAsia="Times New Roman" w:cstheme="minorHAnsi"/>
          <w:color w:val="53565A"/>
          <w:lang w:eastAsia="en-GB"/>
        </w:rPr>
        <w:t>Accessed</w:t>
      </w:r>
      <w:r w:rsidRPr="0098494B">
        <w:rPr>
          <w:rFonts w:eastAsia="Times New Roman" w:cstheme="minorHAnsi"/>
          <w:color w:val="53565A"/>
          <w:lang w:eastAsia="en-GB"/>
        </w:rPr>
        <w:t xml:space="preserve"> Nov 22, 2021).</w:t>
      </w:r>
    </w:p>
    <w:p w14:paraId="2AA78BE5" w14:textId="622E4BC7" w:rsidR="0098494B" w:rsidRPr="0098494B" w:rsidRDefault="0098494B" w:rsidP="0098494B">
      <w:pPr>
        <w:shd w:val="clear" w:color="auto" w:fill="FFFFFF"/>
        <w:spacing w:after="173" w:line="240" w:lineRule="auto"/>
        <w:ind w:left="450" w:hanging="450"/>
        <w:rPr>
          <w:rFonts w:eastAsia="Times New Roman" w:cstheme="minorHAnsi"/>
          <w:color w:val="53565A"/>
          <w:lang w:eastAsia="en-GB"/>
        </w:rPr>
      </w:pPr>
      <w:r w:rsidRPr="0098494B">
        <w:rPr>
          <w:rFonts w:eastAsia="Times New Roman" w:cstheme="minorHAnsi"/>
          <w:color w:val="53565A"/>
          <w:lang w:eastAsia="en-GB"/>
        </w:rPr>
        <w:t>"How does internal control regulation affect financial reporting?"(2010), Journal of Accounting and Economics, Vol. 49, No. 1-2, pp. 58-74. available at: </w:t>
      </w:r>
      <w:hyperlink r:id="rId26" w:tgtFrame="_blank" w:history="1">
        <w:r w:rsidRPr="0098494B">
          <w:rPr>
            <w:rFonts w:eastAsia="Times New Roman" w:cstheme="minorHAnsi"/>
            <w:color w:val="0066CC"/>
            <w:u w:val="single"/>
            <w:lang w:eastAsia="en-GB"/>
          </w:rPr>
          <w:t>https://www-sciencedirect-com.ezproxy.uwtsd.ac.uk/science/article/pii/S0165410109000354</w:t>
        </w:r>
      </w:hyperlink>
      <w:r w:rsidRPr="0098494B">
        <w:rPr>
          <w:rFonts w:eastAsia="Times New Roman" w:cstheme="minorHAnsi"/>
          <w:color w:val="53565A"/>
          <w:lang w:eastAsia="en-GB"/>
        </w:rPr>
        <w:t>. (</w:t>
      </w:r>
      <w:r w:rsidR="009B4A8A" w:rsidRPr="0098494B">
        <w:rPr>
          <w:rFonts w:eastAsia="Times New Roman" w:cstheme="minorHAnsi"/>
          <w:color w:val="53565A"/>
          <w:lang w:eastAsia="en-GB"/>
        </w:rPr>
        <w:t>Accessed</w:t>
      </w:r>
      <w:r w:rsidRPr="0098494B">
        <w:rPr>
          <w:rFonts w:eastAsia="Times New Roman" w:cstheme="minorHAnsi"/>
          <w:color w:val="53565A"/>
          <w:lang w:eastAsia="en-GB"/>
        </w:rPr>
        <w:t xml:space="preserve"> Nov 22, 2021).</w:t>
      </w:r>
    </w:p>
    <w:p w14:paraId="78AE8889" w14:textId="14D3B48B" w:rsidR="0098494B" w:rsidRPr="0098494B" w:rsidRDefault="0098494B" w:rsidP="0098494B">
      <w:pPr>
        <w:shd w:val="clear" w:color="auto" w:fill="FFFFFF"/>
        <w:spacing w:after="173" w:line="240" w:lineRule="auto"/>
        <w:ind w:left="450" w:hanging="450"/>
        <w:rPr>
          <w:rFonts w:eastAsia="Times New Roman" w:cstheme="minorHAnsi"/>
          <w:color w:val="53565A"/>
          <w:lang w:eastAsia="en-GB"/>
        </w:rPr>
      </w:pPr>
      <w:r w:rsidRPr="0098494B">
        <w:rPr>
          <w:rFonts w:eastAsia="Times New Roman" w:cstheme="minorHAnsi"/>
          <w:color w:val="53565A"/>
          <w:lang w:eastAsia="en-GB"/>
        </w:rPr>
        <w:t>Financial resilience and economic earthquakes - speech by Alex Brazier(a) Available: </w:t>
      </w:r>
      <w:hyperlink r:id="rId27" w:tgtFrame="_blank" w:history="1">
        <w:r w:rsidRPr="0098494B">
          <w:rPr>
            <w:rFonts w:eastAsia="Times New Roman" w:cstheme="minorHAnsi"/>
            <w:color w:val="0066CC"/>
            <w:u w:val="single"/>
            <w:lang w:eastAsia="en-GB"/>
          </w:rPr>
          <w:t>https://www.bankofengland.co.uk/speech/2019/alex-brazier-speech-at-university-of-warwick</w:t>
        </w:r>
      </w:hyperlink>
      <w:r w:rsidRPr="0098494B">
        <w:rPr>
          <w:rFonts w:eastAsia="Times New Roman" w:cstheme="minorHAnsi"/>
          <w:color w:val="53565A"/>
          <w:lang w:eastAsia="en-GB"/>
        </w:rPr>
        <w:t> </w:t>
      </w:r>
      <w:r w:rsidR="009B4A8A">
        <w:rPr>
          <w:rFonts w:eastAsia="Times New Roman" w:cstheme="minorHAnsi"/>
          <w:color w:val="53565A"/>
          <w:lang w:eastAsia="en-GB"/>
        </w:rPr>
        <w:t>(Accessed</w:t>
      </w:r>
      <w:r w:rsidRPr="0098494B">
        <w:rPr>
          <w:rFonts w:eastAsia="Times New Roman" w:cstheme="minorHAnsi"/>
          <w:color w:val="53565A"/>
          <w:lang w:eastAsia="en-GB"/>
        </w:rPr>
        <w:t xml:space="preserve"> Nov 5</w:t>
      </w:r>
      <w:r w:rsidR="009B4A8A">
        <w:rPr>
          <w:rFonts w:eastAsia="Times New Roman" w:cstheme="minorHAnsi"/>
          <w:color w:val="53565A"/>
          <w:lang w:eastAsia="en-GB"/>
        </w:rPr>
        <w:t>. 2021)</w:t>
      </w:r>
      <w:r w:rsidRPr="0098494B">
        <w:rPr>
          <w:rFonts w:eastAsia="Times New Roman" w:cstheme="minorHAnsi"/>
          <w:color w:val="53565A"/>
          <w:lang w:eastAsia="en-GB"/>
        </w:rPr>
        <w:t>.</w:t>
      </w:r>
    </w:p>
    <w:p w14:paraId="5AB8E063" w14:textId="4281D5CA" w:rsidR="0098494B" w:rsidRPr="0098494B" w:rsidRDefault="0098494B" w:rsidP="0098494B">
      <w:pPr>
        <w:shd w:val="clear" w:color="auto" w:fill="FFFFFF"/>
        <w:spacing w:after="173" w:line="240" w:lineRule="auto"/>
        <w:ind w:left="450" w:hanging="450"/>
        <w:rPr>
          <w:rFonts w:eastAsia="Times New Roman" w:cstheme="minorHAnsi"/>
          <w:color w:val="53565A"/>
          <w:lang w:eastAsia="en-GB"/>
        </w:rPr>
      </w:pPr>
      <w:r w:rsidRPr="0098494B">
        <w:rPr>
          <w:rFonts w:eastAsia="Times New Roman" w:cstheme="minorHAnsi"/>
          <w:color w:val="53565A"/>
          <w:lang w:eastAsia="en-GB"/>
        </w:rPr>
        <w:t>Helping Britain Recover: Annual Report 2020(b)</w:t>
      </w:r>
      <w:r w:rsidR="009B4A8A">
        <w:rPr>
          <w:rFonts w:eastAsia="Times New Roman" w:cstheme="minorHAnsi"/>
          <w:color w:val="53565A"/>
          <w:lang w:eastAsia="en-GB"/>
        </w:rPr>
        <w:t xml:space="preserve">. </w:t>
      </w:r>
      <w:r w:rsidRPr="0098494B">
        <w:rPr>
          <w:rFonts w:eastAsia="Times New Roman" w:cstheme="minorHAnsi"/>
          <w:color w:val="53565A"/>
          <w:lang w:eastAsia="en-GB"/>
        </w:rPr>
        <w:t>Available: </w:t>
      </w:r>
      <w:hyperlink r:id="rId28" w:tgtFrame="_blank" w:history="1">
        <w:r w:rsidRPr="0098494B">
          <w:rPr>
            <w:rFonts w:eastAsia="Times New Roman" w:cstheme="minorHAnsi"/>
            <w:color w:val="0066CC"/>
            <w:u w:val="single"/>
            <w:lang w:eastAsia="en-GB"/>
          </w:rPr>
          <w:t>https://www.lloydsbankinggroup.com/investors/annual-report.html</w:t>
        </w:r>
      </w:hyperlink>
      <w:r w:rsidRPr="0098494B">
        <w:rPr>
          <w:rFonts w:eastAsia="Times New Roman" w:cstheme="minorHAnsi"/>
          <w:color w:val="53565A"/>
          <w:lang w:eastAsia="en-GB"/>
        </w:rPr>
        <w:t> </w:t>
      </w:r>
      <w:r w:rsidR="009B4A8A">
        <w:rPr>
          <w:rFonts w:eastAsia="Times New Roman" w:cstheme="minorHAnsi"/>
          <w:color w:val="53565A"/>
          <w:lang w:eastAsia="en-GB"/>
        </w:rPr>
        <w:t>(Accessed Nov 5, 2021).</w:t>
      </w:r>
    </w:p>
    <w:p w14:paraId="0185101C" w14:textId="5BB091B7" w:rsidR="0098494B" w:rsidRPr="0098494B" w:rsidRDefault="0098494B" w:rsidP="0098494B">
      <w:pPr>
        <w:shd w:val="clear" w:color="auto" w:fill="FFFFFF"/>
        <w:spacing w:after="173" w:line="240" w:lineRule="auto"/>
        <w:ind w:left="450" w:hanging="450"/>
        <w:rPr>
          <w:rFonts w:eastAsia="Times New Roman" w:cstheme="minorHAnsi"/>
          <w:color w:val="53565A"/>
          <w:lang w:eastAsia="en-GB"/>
        </w:rPr>
      </w:pPr>
      <w:r w:rsidRPr="0098494B">
        <w:rPr>
          <w:rFonts w:eastAsia="Times New Roman" w:cstheme="minorHAnsi"/>
          <w:color w:val="53565A"/>
          <w:lang w:eastAsia="en-GB"/>
        </w:rPr>
        <w:lastRenderedPageBreak/>
        <w:t>Alex Brazier (2019)</w:t>
      </w:r>
      <w:r w:rsidR="009B4A8A">
        <w:rPr>
          <w:rFonts w:eastAsia="Times New Roman" w:cstheme="minorHAnsi"/>
          <w:color w:val="53565A"/>
          <w:lang w:eastAsia="en-GB"/>
        </w:rPr>
        <w:t>.</w:t>
      </w:r>
      <w:r w:rsidRPr="0098494B">
        <w:rPr>
          <w:rFonts w:eastAsia="Times New Roman" w:cstheme="minorHAnsi"/>
          <w:color w:val="53565A"/>
          <w:lang w:eastAsia="en-GB"/>
        </w:rPr>
        <w:t xml:space="preserve"> "Financial resilience and economic earthquakes" available at: </w:t>
      </w:r>
      <w:hyperlink r:id="rId29" w:tgtFrame="_blank" w:history="1">
        <w:r w:rsidRPr="0098494B">
          <w:rPr>
            <w:rFonts w:eastAsia="Times New Roman" w:cstheme="minorHAnsi"/>
            <w:color w:val="0066CC"/>
            <w:u w:val="single"/>
            <w:lang w:eastAsia="en-GB"/>
          </w:rPr>
          <w:t>https://www.bankofengland.co.uk/speech/2019/alex-brazier-speech-at-university-of-warwick</w:t>
        </w:r>
      </w:hyperlink>
      <w:r w:rsidRPr="0098494B">
        <w:rPr>
          <w:rFonts w:eastAsia="Times New Roman" w:cstheme="minorHAnsi"/>
          <w:color w:val="53565A"/>
          <w:lang w:eastAsia="en-GB"/>
        </w:rPr>
        <w:t>.</w:t>
      </w:r>
    </w:p>
    <w:p w14:paraId="68C7A2FD" w14:textId="7EE69341" w:rsidR="0098494B" w:rsidRPr="0098494B" w:rsidRDefault="0098494B" w:rsidP="0098494B">
      <w:pPr>
        <w:shd w:val="clear" w:color="auto" w:fill="FFFFFF"/>
        <w:spacing w:after="173" w:line="240" w:lineRule="auto"/>
        <w:ind w:left="450" w:hanging="450"/>
        <w:rPr>
          <w:rFonts w:eastAsia="Times New Roman" w:cstheme="minorHAnsi"/>
          <w:color w:val="53565A"/>
          <w:lang w:eastAsia="en-GB"/>
        </w:rPr>
      </w:pPr>
      <w:r w:rsidRPr="0098494B">
        <w:rPr>
          <w:rFonts w:eastAsia="Times New Roman" w:cstheme="minorHAnsi"/>
          <w:color w:val="53565A"/>
          <w:lang w:eastAsia="en-GB"/>
        </w:rPr>
        <w:t>Burge Nick (2016)</w:t>
      </w:r>
      <w:r w:rsidR="009B4A8A">
        <w:rPr>
          <w:rFonts w:eastAsia="Times New Roman" w:cstheme="minorHAnsi"/>
          <w:color w:val="53565A"/>
          <w:lang w:eastAsia="en-GB"/>
        </w:rPr>
        <w:t>.</w:t>
      </w:r>
      <w:r w:rsidRPr="0098494B">
        <w:rPr>
          <w:rFonts w:eastAsia="Times New Roman" w:cstheme="minorHAnsi"/>
          <w:color w:val="53565A"/>
          <w:lang w:eastAsia="en-GB"/>
        </w:rPr>
        <w:t xml:space="preserve"> "Corporate Liquidity</w:t>
      </w:r>
      <w:r w:rsidRPr="0098494B">
        <w:rPr>
          <w:rFonts w:eastAsia="Times New Roman" w:cstheme="minorHAnsi"/>
          <w:color w:val="53565A"/>
          <w:lang w:eastAsia="en-GB"/>
        </w:rPr>
        <w:br/>
        <w:t>Managing the Challenges Facing Treasurers", Commercial Banking, available at: </w:t>
      </w:r>
      <w:hyperlink r:id="rId30" w:tgtFrame="_blank" w:history="1">
        <w:r w:rsidRPr="0098494B">
          <w:rPr>
            <w:rFonts w:eastAsia="Times New Roman" w:cstheme="minorHAnsi"/>
            <w:color w:val="0066CC"/>
            <w:u w:val="single"/>
            <w:lang w:eastAsia="en-GB"/>
          </w:rPr>
          <w:t>https://www.treasurers.org/ACTmedia/Nick%20Burge,%20Lloyds%20Bank.pdf</w:t>
        </w:r>
      </w:hyperlink>
      <w:r w:rsidRPr="0098494B">
        <w:rPr>
          <w:rFonts w:eastAsia="Times New Roman" w:cstheme="minorHAnsi"/>
          <w:color w:val="53565A"/>
          <w:lang w:eastAsia="en-GB"/>
        </w:rPr>
        <w:t>.</w:t>
      </w:r>
    </w:p>
    <w:p w14:paraId="4DC4B32E" w14:textId="1A210899" w:rsidR="0098494B" w:rsidRPr="0098494B" w:rsidRDefault="0098494B" w:rsidP="0098494B">
      <w:pPr>
        <w:shd w:val="clear" w:color="auto" w:fill="FFFFFF"/>
        <w:spacing w:after="173" w:line="240" w:lineRule="auto"/>
        <w:ind w:left="450" w:hanging="450"/>
        <w:rPr>
          <w:rFonts w:eastAsia="Times New Roman" w:cstheme="minorHAnsi"/>
          <w:color w:val="53565A"/>
          <w:lang w:eastAsia="en-GB"/>
        </w:rPr>
      </w:pPr>
      <w:r w:rsidRPr="0098494B">
        <w:rPr>
          <w:rFonts w:eastAsia="Times New Roman" w:cstheme="minorHAnsi"/>
          <w:color w:val="53565A"/>
          <w:lang w:eastAsia="en-GB"/>
        </w:rPr>
        <w:t>Chen, J., Cheng, C., Ku, C.Y. and Liao, W. (2019)</w:t>
      </w:r>
      <w:r w:rsidR="009B4A8A">
        <w:rPr>
          <w:rFonts w:eastAsia="Times New Roman" w:cstheme="minorHAnsi"/>
          <w:color w:val="53565A"/>
          <w:lang w:eastAsia="en-GB"/>
        </w:rPr>
        <w:t>.</w:t>
      </w:r>
      <w:r w:rsidRPr="0098494B">
        <w:rPr>
          <w:rFonts w:eastAsia="Times New Roman" w:cstheme="minorHAnsi"/>
          <w:color w:val="53565A"/>
          <w:lang w:eastAsia="en-GB"/>
        </w:rPr>
        <w:t xml:space="preserve"> "Are Banks Improving Risk Governance After the Financial Crisis?:", Journal of Accounting, Auditing &amp; Finance, available at: </w:t>
      </w:r>
      <w:hyperlink r:id="rId31" w:tgtFrame="_blank" w:history="1">
        <w:r w:rsidRPr="0098494B">
          <w:rPr>
            <w:rFonts w:eastAsia="Times New Roman" w:cstheme="minorHAnsi"/>
            <w:color w:val="0066CC"/>
            <w:u w:val="single"/>
            <w:lang w:eastAsia="en-GB"/>
          </w:rPr>
          <w:t>https://journals-sagepub-com.ezproxy.uwtsd.ac.uk/doi/full/10.1177/0148558X19870099</w:t>
        </w:r>
      </w:hyperlink>
      <w:r w:rsidRPr="0098494B">
        <w:rPr>
          <w:rFonts w:eastAsia="Times New Roman" w:cstheme="minorHAnsi"/>
          <w:color w:val="53565A"/>
          <w:lang w:eastAsia="en-GB"/>
        </w:rPr>
        <w:t>. (</w:t>
      </w:r>
      <w:r w:rsidR="00650B90" w:rsidRPr="0098494B">
        <w:rPr>
          <w:rFonts w:eastAsia="Times New Roman" w:cstheme="minorHAnsi"/>
          <w:color w:val="53565A"/>
          <w:lang w:eastAsia="en-GB"/>
        </w:rPr>
        <w:t>Accessed</w:t>
      </w:r>
      <w:r w:rsidRPr="0098494B">
        <w:rPr>
          <w:rFonts w:eastAsia="Times New Roman" w:cstheme="minorHAnsi"/>
          <w:color w:val="53565A"/>
          <w:lang w:eastAsia="en-GB"/>
        </w:rPr>
        <w:t xml:space="preserve"> Nov 22, 2021).</w:t>
      </w:r>
    </w:p>
    <w:p w14:paraId="0E1AC6E7" w14:textId="0870886D" w:rsidR="0098494B" w:rsidRPr="0098494B" w:rsidRDefault="0098494B" w:rsidP="0098494B">
      <w:pPr>
        <w:shd w:val="clear" w:color="auto" w:fill="FFFFFF"/>
        <w:spacing w:after="173" w:line="240" w:lineRule="auto"/>
        <w:ind w:left="450" w:hanging="450"/>
        <w:rPr>
          <w:rFonts w:eastAsia="Times New Roman" w:cstheme="minorHAnsi"/>
          <w:color w:val="53565A"/>
          <w:lang w:eastAsia="en-GB"/>
        </w:rPr>
      </w:pPr>
      <w:proofErr w:type="spellStart"/>
      <w:r w:rsidRPr="0098494B">
        <w:rPr>
          <w:rFonts w:eastAsia="Times New Roman" w:cstheme="minorHAnsi"/>
          <w:color w:val="53565A"/>
          <w:lang w:eastAsia="en-GB"/>
        </w:rPr>
        <w:t>Corbae</w:t>
      </w:r>
      <w:proofErr w:type="spellEnd"/>
      <w:r w:rsidRPr="0098494B">
        <w:rPr>
          <w:rFonts w:eastAsia="Times New Roman" w:cstheme="minorHAnsi"/>
          <w:color w:val="53565A"/>
          <w:lang w:eastAsia="en-GB"/>
        </w:rPr>
        <w:t>, D. and Quintin, E. (2015)</w:t>
      </w:r>
      <w:r w:rsidR="009B4A8A">
        <w:rPr>
          <w:rFonts w:eastAsia="Times New Roman" w:cstheme="minorHAnsi"/>
          <w:color w:val="53565A"/>
          <w:lang w:eastAsia="en-GB"/>
        </w:rPr>
        <w:t>.</w:t>
      </w:r>
      <w:r w:rsidRPr="0098494B">
        <w:rPr>
          <w:rFonts w:eastAsia="Times New Roman" w:cstheme="minorHAnsi"/>
          <w:color w:val="53565A"/>
          <w:lang w:eastAsia="en-GB"/>
        </w:rPr>
        <w:t xml:space="preserve"> "Leverage and the Foreclosure Crisis", Journal of Political Economy, Vol. 123, No. 1-65 available at: </w:t>
      </w:r>
      <w:hyperlink r:id="rId32" w:tgtFrame="_blank" w:history="1">
        <w:r w:rsidRPr="0098494B">
          <w:rPr>
            <w:rFonts w:eastAsia="Times New Roman" w:cstheme="minorHAnsi"/>
            <w:color w:val="0066CC"/>
            <w:u w:val="single"/>
            <w:lang w:eastAsia="en-GB"/>
          </w:rPr>
          <w:t>www.jator.org</w:t>
        </w:r>
      </w:hyperlink>
      <w:r w:rsidRPr="0098494B">
        <w:rPr>
          <w:rFonts w:eastAsia="Times New Roman" w:cstheme="minorHAnsi"/>
          <w:color w:val="53565A"/>
          <w:lang w:eastAsia="en-GB"/>
        </w:rPr>
        <w:t>.</w:t>
      </w:r>
    </w:p>
    <w:p w14:paraId="344D4191" w14:textId="3ECE076A" w:rsidR="0098494B" w:rsidRPr="0098494B" w:rsidRDefault="0098494B" w:rsidP="0098494B">
      <w:pPr>
        <w:shd w:val="clear" w:color="auto" w:fill="FFFFFF"/>
        <w:spacing w:after="173" w:line="240" w:lineRule="auto"/>
        <w:ind w:left="450" w:hanging="450"/>
        <w:rPr>
          <w:rFonts w:eastAsia="Times New Roman" w:cstheme="minorHAnsi"/>
          <w:color w:val="53565A"/>
          <w:lang w:eastAsia="en-GB"/>
        </w:rPr>
      </w:pPr>
      <w:r w:rsidRPr="0098494B">
        <w:rPr>
          <w:rFonts w:eastAsia="Times New Roman" w:cstheme="minorHAnsi"/>
          <w:color w:val="53565A"/>
          <w:lang w:eastAsia="en-GB"/>
        </w:rPr>
        <w:t>Dill, A. (2020)</w:t>
      </w:r>
      <w:r w:rsidR="00650B90">
        <w:rPr>
          <w:rFonts w:eastAsia="Times New Roman" w:cstheme="minorHAnsi"/>
          <w:color w:val="53565A"/>
          <w:lang w:eastAsia="en-GB"/>
        </w:rPr>
        <w:t>.</w:t>
      </w:r>
      <w:r w:rsidRPr="0098494B">
        <w:rPr>
          <w:rFonts w:eastAsia="Times New Roman" w:cstheme="minorHAnsi"/>
          <w:color w:val="53565A"/>
          <w:lang w:eastAsia="en-GB"/>
        </w:rPr>
        <w:t> BANK REGULATION, RISK MANAGEMENT, AND COMPLIANCE translated by Anonymous Taylor &amp; Francis.</w:t>
      </w:r>
    </w:p>
    <w:p w14:paraId="12D9339E" w14:textId="042155C5" w:rsidR="0098494B" w:rsidRPr="0098494B" w:rsidRDefault="0098494B" w:rsidP="0098494B">
      <w:pPr>
        <w:shd w:val="clear" w:color="auto" w:fill="FFFFFF"/>
        <w:spacing w:after="173" w:line="240" w:lineRule="auto"/>
        <w:ind w:left="450" w:hanging="450"/>
        <w:rPr>
          <w:rFonts w:eastAsia="Times New Roman" w:cstheme="minorHAnsi"/>
          <w:color w:val="53565A"/>
          <w:lang w:eastAsia="en-GB"/>
        </w:rPr>
      </w:pPr>
      <w:proofErr w:type="spellStart"/>
      <w:r w:rsidRPr="0098494B">
        <w:rPr>
          <w:rFonts w:eastAsia="Times New Roman" w:cstheme="minorHAnsi"/>
          <w:color w:val="53565A"/>
          <w:lang w:eastAsia="en-GB"/>
        </w:rPr>
        <w:t>Dinçer</w:t>
      </w:r>
      <w:proofErr w:type="spellEnd"/>
      <w:r w:rsidRPr="0098494B">
        <w:rPr>
          <w:rFonts w:eastAsia="Times New Roman" w:cstheme="minorHAnsi"/>
          <w:color w:val="53565A"/>
          <w:lang w:eastAsia="en-GB"/>
        </w:rPr>
        <w:t xml:space="preserve"> Hasan and </w:t>
      </w:r>
      <w:proofErr w:type="spellStart"/>
      <w:r w:rsidRPr="0098494B">
        <w:rPr>
          <w:rFonts w:eastAsia="Times New Roman" w:cstheme="minorHAnsi"/>
          <w:color w:val="53565A"/>
          <w:lang w:eastAsia="en-GB"/>
        </w:rPr>
        <w:t>Hacioğlu</w:t>
      </w:r>
      <w:proofErr w:type="spellEnd"/>
      <w:r w:rsidRPr="0098494B">
        <w:rPr>
          <w:rFonts w:eastAsia="Times New Roman" w:cstheme="minorHAnsi"/>
          <w:color w:val="53565A"/>
          <w:lang w:eastAsia="en-GB"/>
        </w:rPr>
        <w:t xml:space="preserve"> </w:t>
      </w:r>
      <w:proofErr w:type="spellStart"/>
      <w:r w:rsidRPr="0098494B">
        <w:rPr>
          <w:rFonts w:eastAsia="Times New Roman" w:cstheme="minorHAnsi"/>
          <w:color w:val="53565A"/>
          <w:lang w:eastAsia="en-GB"/>
        </w:rPr>
        <w:t>Ümit</w:t>
      </w:r>
      <w:proofErr w:type="spellEnd"/>
      <w:r w:rsidRPr="0098494B">
        <w:rPr>
          <w:rFonts w:eastAsia="Times New Roman" w:cstheme="minorHAnsi"/>
          <w:color w:val="53565A"/>
          <w:lang w:eastAsia="en-GB"/>
        </w:rPr>
        <w:t xml:space="preserve"> (2014)</w:t>
      </w:r>
      <w:r w:rsidR="00650B90">
        <w:rPr>
          <w:rFonts w:eastAsia="Times New Roman" w:cstheme="minorHAnsi"/>
          <w:color w:val="53565A"/>
          <w:lang w:eastAsia="en-GB"/>
        </w:rPr>
        <w:t>.</w:t>
      </w:r>
      <w:r w:rsidRPr="0098494B">
        <w:rPr>
          <w:rFonts w:eastAsia="Times New Roman" w:cstheme="minorHAnsi"/>
          <w:color w:val="53565A"/>
          <w:lang w:eastAsia="en-GB"/>
        </w:rPr>
        <w:t> Global strategies in banking and finance translated by Anonymous Business Science Reference, Hershey.</w:t>
      </w:r>
    </w:p>
    <w:p w14:paraId="319DE301" w14:textId="40CB3C97" w:rsidR="0098494B" w:rsidRPr="0098494B" w:rsidRDefault="0098494B" w:rsidP="0098494B">
      <w:pPr>
        <w:shd w:val="clear" w:color="auto" w:fill="FFFFFF"/>
        <w:spacing w:after="173" w:line="240" w:lineRule="auto"/>
        <w:ind w:left="450" w:hanging="450"/>
        <w:rPr>
          <w:rFonts w:eastAsia="Times New Roman" w:cstheme="minorHAnsi"/>
          <w:color w:val="53565A"/>
          <w:lang w:eastAsia="en-GB"/>
        </w:rPr>
      </w:pPr>
      <w:proofErr w:type="spellStart"/>
      <w:r w:rsidRPr="0098494B">
        <w:rPr>
          <w:rFonts w:eastAsia="Times New Roman" w:cstheme="minorHAnsi"/>
          <w:color w:val="53565A"/>
          <w:lang w:eastAsia="en-GB"/>
        </w:rPr>
        <w:t>Fabozzi</w:t>
      </w:r>
      <w:proofErr w:type="spellEnd"/>
      <w:r w:rsidRPr="0098494B">
        <w:rPr>
          <w:rFonts w:eastAsia="Times New Roman" w:cstheme="minorHAnsi"/>
          <w:color w:val="53565A"/>
          <w:lang w:eastAsia="en-GB"/>
        </w:rPr>
        <w:t>, F.J. (2014)</w:t>
      </w:r>
      <w:r w:rsidR="00650B90">
        <w:rPr>
          <w:rFonts w:eastAsia="Times New Roman" w:cstheme="minorHAnsi"/>
          <w:color w:val="53565A"/>
          <w:lang w:eastAsia="en-GB"/>
        </w:rPr>
        <w:t>.</w:t>
      </w:r>
      <w:r w:rsidRPr="0098494B">
        <w:rPr>
          <w:rFonts w:eastAsia="Times New Roman" w:cstheme="minorHAnsi"/>
          <w:color w:val="53565A"/>
          <w:lang w:eastAsia="en-GB"/>
        </w:rPr>
        <w:t> Foundations of financial markets and institutions translated by Anonymous Pearson, Essex, England.</w:t>
      </w:r>
    </w:p>
    <w:p w14:paraId="111A7675" w14:textId="4FE05096" w:rsidR="0098494B" w:rsidRPr="0098494B" w:rsidRDefault="0098494B" w:rsidP="0098494B">
      <w:pPr>
        <w:shd w:val="clear" w:color="auto" w:fill="FFFFFF"/>
        <w:spacing w:after="173" w:line="240" w:lineRule="auto"/>
        <w:ind w:left="450" w:hanging="450"/>
        <w:rPr>
          <w:rFonts w:eastAsia="Times New Roman" w:cstheme="minorHAnsi"/>
          <w:color w:val="53565A"/>
          <w:lang w:eastAsia="en-GB"/>
        </w:rPr>
      </w:pPr>
      <w:r w:rsidRPr="0098494B">
        <w:rPr>
          <w:rFonts w:eastAsia="Times New Roman" w:cstheme="minorHAnsi"/>
          <w:color w:val="53565A"/>
          <w:lang w:eastAsia="en-GB"/>
        </w:rPr>
        <w:t>Hull C. John (2015), Risk Management and Financial Institutions, Fourth Edition ed., translated by Anonymous Wiley.</w:t>
      </w:r>
    </w:p>
    <w:p w14:paraId="3F3F18DB" w14:textId="5D119098" w:rsidR="0098494B" w:rsidRPr="0098494B" w:rsidRDefault="0098494B" w:rsidP="0098494B">
      <w:pPr>
        <w:shd w:val="clear" w:color="auto" w:fill="FFFFFF"/>
        <w:spacing w:after="173" w:line="240" w:lineRule="auto"/>
        <w:ind w:left="450" w:hanging="450"/>
        <w:rPr>
          <w:rFonts w:eastAsia="Times New Roman" w:cstheme="minorHAnsi"/>
          <w:color w:val="53565A"/>
          <w:lang w:eastAsia="en-GB"/>
        </w:rPr>
      </w:pPr>
      <w:r w:rsidRPr="0098494B">
        <w:rPr>
          <w:rFonts w:eastAsia="Times New Roman" w:cstheme="minorHAnsi"/>
          <w:color w:val="53565A"/>
          <w:lang w:eastAsia="en-GB"/>
        </w:rPr>
        <w:t>MarketLine (2013)</w:t>
      </w:r>
      <w:r w:rsidR="00650B90">
        <w:rPr>
          <w:rFonts w:eastAsia="Times New Roman" w:cstheme="minorHAnsi"/>
          <w:color w:val="53565A"/>
          <w:lang w:eastAsia="en-GB"/>
        </w:rPr>
        <w:t>.</w:t>
      </w:r>
      <w:r w:rsidRPr="0098494B">
        <w:rPr>
          <w:rFonts w:eastAsia="Times New Roman" w:cstheme="minorHAnsi"/>
          <w:color w:val="53565A"/>
          <w:lang w:eastAsia="en-GB"/>
        </w:rPr>
        <w:t xml:space="preserve"> "The Co-operative</w:t>
      </w:r>
      <w:r w:rsidRPr="0098494B">
        <w:rPr>
          <w:rFonts w:eastAsia="Times New Roman" w:cstheme="minorHAnsi"/>
          <w:color w:val="53565A"/>
          <w:lang w:eastAsia="en-GB"/>
        </w:rPr>
        <w:br/>
        <w:t>Bank" available at: </w:t>
      </w:r>
      <w:hyperlink r:id="rId33" w:tgtFrame="_blank" w:history="1">
        <w:r w:rsidRPr="0098494B">
          <w:rPr>
            <w:rFonts w:eastAsia="Times New Roman" w:cstheme="minorHAnsi"/>
            <w:color w:val="0066CC"/>
            <w:u w:val="single"/>
            <w:lang w:eastAsia="en-GB"/>
          </w:rPr>
          <w:t>https://www.marketline.com/</w:t>
        </w:r>
      </w:hyperlink>
      <w:r w:rsidRPr="0098494B">
        <w:rPr>
          <w:rFonts w:eastAsia="Times New Roman" w:cstheme="minorHAnsi"/>
          <w:color w:val="53565A"/>
          <w:lang w:eastAsia="en-GB"/>
        </w:rPr>
        <w:t>.</w:t>
      </w:r>
    </w:p>
    <w:p w14:paraId="72A965CB" w14:textId="1C8DB778" w:rsidR="0098494B" w:rsidRPr="0098494B" w:rsidRDefault="0098494B" w:rsidP="0098494B">
      <w:pPr>
        <w:shd w:val="clear" w:color="auto" w:fill="FFFFFF"/>
        <w:spacing w:after="173" w:line="240" w:lineRule="auto"/>
        <w:ind w:left="450" w:hanging="450"/>
        <w:rPr>
          <w:rFonts w:eastAsia="Times New Roman" w:cstheme="minorHAnsi"/>
          <w:color w:val="53565A"/>
          <w:lang w:eastAsia="en-GB"/>
        </w:rPr>
      </w:pPr>
      <w:r w:rsidRPr="0098494B">
        <w:rPr>
          <w:rFonts w:eastAsia="Times New Roman" w:cstheme="minorHAnsi"/>
          <w:color w:val="53565A"/>
          <w:lang w:eastAsia="en-GB"/>
        </w:rPr>
        <w:t>McAleer, M., Jiménez-Martín, J. and Pérez-Amaral, T. (2013)</w:t>
      </w:r>
      <w:r w:rsidR="00650B90">
        <w:rPr>
          <w:rFonts w:eastAsia="Times New Roman" w:cstheme="minorHAnsi"/>
          <w:color w:val="53565A"/>
          <w:lang w:eastAsia="en-GB"/>
        </w:rPr>
        <w:t>.</w:t>
      </w:r>
      <w:r w:rsidRPr="0098494B">
        <w:rPr>
          <w:rFonts w:eastAsia="Times New Roman" w:cstheme="minorHAnsi"/>
          <w:color w:val="53565A"/>
          <w:lang w:eastAsia="en-GB"/>
        </w:rPr>
        <w:t xml:space="preserve"> "International Evidence on GFC-Robust Forecasts for Risk Management under the Basel Accord", Journal of Forecasting, Vol. 32, No. 3, pp. 267-288. available at: </w:t>
      </w:r>
      <w:hyperlink r:id="rId34" w:tgtFrame="_blank" w:history="1">
        <w:r w:rsidRPr="0098494B">
          <w:rPr>
            <w:rFonts w:eastAsia="Times New Roman" w:cstheme="minorHAnsi"/>
            <w:color w:val="0066CC"/>
            <w:u w:val="single"/>
            <w:lang w:eastAsia="en-GB"/>
          </w:rPr>
          <w:t>https://onlinelibrary.wiley.com/doi/abs/10.1002/for.1269</w:t>
        </w:r>
      </w:hyperlink>
      <w:r w:rsidRPr="0098494B">
        <w:rPr>
          <w:rFonts w:eastAsia="Times New Roman" w:cstheme="minorHAnsi"/>
          <w:color w:val="53565A"/>
          <w:lang w:eastAsia="en-GB"/>
        </w:rPr>
        <w:t>. (</w:t>
      </w:r>
      <w:r w:rsidR="00650B90" w:rsidRPr="0098494B">
        <w:rPr>
          <w:rFonts w:eastAsia="Times New Roman" w:cstheme="minorHAnsi"/>
          <w:color w:val="53565A"/>
          <w:lang w:eastAsia="en-GB"/>
        </w:rPr>
        <w:t>Accessed</w:t>
      </w:r>
      <w:r w:rsidRPr="0098494B">
        <w:rPr>
          <w:rFonts w:eastAsia="Times New Roman" w:cstheme="minorHAnsi"/>
          <w:color w:val="53565A"/>
          <w:lang w:eastAsia="en-GB"/>
        </w:rPr>
        <w:t xml:space="preserve"> Jan 8, 2022).</w:t>
      </w:r>
    </w:p>
    <w:p w14:paraId="67B30D96" w14:textId="77777777" w:rsidR="0098494B" w:rsidRPr="0098494B" w:rsidRDefault="0098494B" w:rsidP="0098494B">
      <w:pPr>
        <w:shd w:val="clear" w:color="auto" w:fill="FFFFFF"/>
        <w:spacing w:after="173" w:line="240" w:lineRule="auto"/>
        <w:ind w:left="450" w:hanging="450"/>
        <w:rPr>
          <w:rFonts w:eastAsia="Times New Roman" w:cstheme="minorHAnsi"/>
          <w:color w:val="53565A"/>
          <w:lang w:eastAsia="en-GB"/>
        </w:rPr>
      </w:pPr>
      <w:proofErr w:type="spellStart"/>
      <w:r w:rsidRPr="0098494B">
        <w:rPr>
          <w:rFonts w:eastAsia="Times New Roman" w:cstheme="minorHAnsi"/>
          <w:color w:val="53565A"/>
          <w:lang w:eastAsia="en-GB"/>
        </w:rPr>
        <w:t>Regulstory</w:t>
      </w:r>
      <w:proofErr w:type="spellEnd"/>
      <w:r w:rsidRPr="0098494B">
        <w:rPr>
          <w:rFonts w:eastAsia="Times New Roman" w:cstheme="minorHAnsi"/>
          <w:color w:val="53565A"/>
          <w:lang w:eastAsia="en-GB"/>
        </w:rPr>
        <w:t xml:space="preserve"> News , PRA and FPC Propose Changes to Leverage Ratio Framework in UK. Available: </w:t>
      </w:r>
      <w:hyperlink r:id="rId35" w:tgtFrame="_blank" w:history="1">
        <w:r w:rsidRPr="0098494B">
          <w:rPr>
            <w:rFonts w:eastAsia="Times New Roman" w:cstheme="minorHAnsi"/>
            <w:color w:val="0066CC"/>
            <w:u w:val="single"/>
            <w:lang w:eastAsia="en-GB"/>
          </w:rPr>
          <w:t>https://www.moodysanalytics.com/regulatory-news/jun-29-21-pra-and-fpc-propose-changes-to-leverage-ratio-framework-in-uk</w:t>
        </w:r>
      </w:hyperlink>
      <w:r w:rsidRPr="0098494B">
        <w:rPr>
          <w:rFonts w:eastAsia="Times New Roman" w:cstheme="minorHAnsi"/>
          <w:color w:val="53565A"/>
          <w:lang w:eastAsia="en-GB"/>
        </w:rPr>
        <w:t> [2021, Nov 28,].</w:t>
      </w:r>
    </w:p>
    <w:p w14:paraId="5B1D229C" w14:textId="5FEC2A96" w:rsidR="0098494B" w:rsidRPr="0098494B" w:rsidRDefault="0098494B" w:rsidP="0098494B">
      <w:pPr>
        <w:shd w:val="clear" w:color="auto" w:fill="FFFFFF"/>
        <w:spacing w:after="173" w:line="240" w:lineRule="auto"/>
        <w:ind w:left="450" w:hanging="450"/>
        <w:rPr>
          <w:rFonts w:eastAsia="Times New Roman" w:cstheme="minorHAnsi"/>
          <w:color w:val="53565A"/>
          <w:lang w:eastAsia="en-GB"/>
        </w:rPr>
      </w:pPr>
      <w:proofErr w:type="spellStart"/>
      <w:r w:rsidRPr="0098494B">
        <w:rPr>
          <w:rFonts w:eastAsia="Times New Roman" w:cstheme="minorHAnsi"/>
          <w:color w:val="53565A"/>
          <w:lang w:eastAsia="en-GB"/>
        </w:rPr>
        <w:t>StockLight</w:t>
      </w:r>
      <w:proofErr w:type="spellEnd"/>
      <w:r w:rsidRPr="0098494B">
        <w:rPr>
          <w:rFonts w:eastAsia="Times New Roman" w:cstheme="minorHAnsi"/>
          <w:color w:val="53565A"/>
          <w:lang w:eastAsia="en-GB"/>
        </w:rPr>
        <w:t xml:space="preserve"> (2021)</w:t>
      </w:r>
      <w:r w:rsidR="00650B90">
        <w:rPr>
          <w:rFonts w:eastAsia="Times New Roman" w:cstheme="minorHAnsi"/>
          <w:color w:val="53565A"/>
          <w:lang w:eastAsia="en-GB"/>
        </w:rPr>
        <w:t>.</w:t>
      </w:r>
      <w:r w:rsidRPr="0098494B">
        <w:rPr>
          <w:rFonts w:eastAsia="Times New Roman" w:cstheme="minorHAnsi"/>
          <w:color w:val="53565A"/>
          <w:lang w:eastAsia="en-GB"/>
        </w:rPr>
        <w:t xml:space="preserve"> "Tesla Annual Report 2021", No. Form 10-K (NASDAQ:TSLA) available at: </w:t>
      </w:r>
      <w:hyperlink r:id="rId36" w:tgtFrame="_blank" w:history="1">
        <w:r w:rsidRPr="0098494B">
          <w:rPr>
            <w:rFonts w:eastAsia="Times New Roman" w:cstheme="minorHAnsi"/>
            <w:color w:val="0066CC"/>
            <w:u w:val="single"/>
            <w:lang w:eastAsia="en-GB"/>
          </w:rPr>
          <w:t>https://annualreport.stocklight.com/NASDAQ/TSLA/21598537.pdf</w:t>
        </w:r>
      </w:hyperlink>
      <w:r w:rsidRPr="0098494B">
        <w:rPr>
          <w:rFonts w:eastAsia="Times New Roman" w:cstheme="minorHAnsi"/>
          <w:color w:val="53565A"/>
          <w:lang w:eastAsia="en-GB"/>
        </w:rPr>
        <w:t>.</w:t>
      </w:r>
    </w:p>
    <w:p w14:paraId="07C5A2D3" w14:textId="6A7286B9" w:rsidR="0098494B" w:rsidRPr="0098494B" w:rsidRDefault="0098494B" w:rsidP="0098494B">
      <w:pPr>
        <w:shd w:val="clear" w:color="auto" w:fill="FFFFFF"/>
        <w:spacing w:after="173" w:line="240" w:lineRule="auto"/>
        <w:ind w:left="450" w:hanging="450"/>
        <w:rPr>
          <w:rFonts w:eastAsia="Times New Roman" w:cstheme="minorHAnsi"/>
          <w:color w:val="53565A"/>
          <w:lang w:eastAsia="en-GB"/>
        </w:rPr>
      </w:pPr>
      <w:r w:rsidRPr="0098494B">
        <w:rPr>
          <w:rFonts w:eastAsia="Times New Roman" w:cstheme="minorHAnsi"/>
          <w:color w:val="53565A"/>
          <w:lang w:eastAsia="en-GB"/>
        </w:rPr>
        <w:t>Wang, M. and Lin, C. (2014)</w:t>
      </w:r>
      <w:r w:rsidR="00650B90">
        <w:rPr>
          <w:rFonts w:eastAsia="Times New Roman" w:cstheme="minorHAnsi"/>
          <w:color w:val="53565A"/>
          <w:lang w:eastAsia="en-GB"/>
        </w:rPr>
        <w:t>.</w:t>
      </w:r>
      <w:r w:rsidRPr="0098494B">
        <w:rPr>
          <w:rFonts w:eastAsia="Times New Roman" w:cstheme="minorHAnsi"/>
          <w:color w:val="53565A"/>
          <w:lang w:eastAsia="en-GB"/>
        </w:rPr>
        <w:t xml:space="preserve"> "Impact of Bank Operational Efficiency Using a Three-Stage DEA Model", International Journal of Risk and Contingency Management (IJRCM), Vol. 3, No. 4, pp. 32-50. available at: </w:t>
      </w:r>
      <w:hyperlink r:id="rId37" w:tgtFrame="_blank" w:history="1">
        <w:r w:rsidRPr="0098494B">
          <w:rPr>
            <w:rFonts w:eastAsia="Times New Roman" w:cstheme="minorHAnsi"/>
            <w:color w:val="0066CC"/>
            <w:u w:val="single"/>
            <w:lang w:eastAsia="en-GB"/>
          </w:rPr>
          <w:t>https://www-igi-global-com.ezproxy.uwtsd.ac.uk/article/impact-of-bank-operational-efficiency-using-a-three-stage-dea-model/120556</w:t>
        </w:r>
      </w:hyperlink>
      <w:r w:rsidRPr="0098494B">
        <w:rPr>
          <w:rFonts w:eastAsia="Times New Roman" w:cstheme="minorHAnsi"/>
          <w:color w:val="53565A"/>
          <w:lang w:eastAsia="en-GB"/>
        </w:rPr>
        <w:t>. (</w:t>
      </w:r>
      <w:r w:rsidR="00650B90" w:rsidRPr="0098494B">
        <w:rPr>
          <w:rFonts w:eastAsia="Times New Roman" w:cstheme="minorHAnsi"/>
          <w:color w:val="53565A"/>
          <w:lang w:eastAsia="en-GB"/>
        </w:rPr>
        <w:t>Accessed</w:t>
      </w:r>
      <w:r w:rsidRPr="0098494B">
        <w:rPr>
          <w:rFonts w:eastAsia="Times New Roman" w:cstheme="minorHAnsi"/>
          <w:color w:val="53565A"/>
          <w:lang w:eastAsia="en-GB"/>
        </w:rPr>
        <w:t xml:space="preserve"> Dec 9, 2021).</w:t>
      </w:r>
    </w:p>
    <w:p w14:paraId="6CA135EA" w14:textId="77777777" w:rsidR="0098494B" w:rsidRPr="0098494B" w:rsidRDefault="0098494B" w:rsidP="004B115A">
      <w:pPr>
        <w:jc w:val="both"/>
        <w:rPr>
          <w:rFonts w:cstheme="minorHAnsi"/>
          <w:b/>
          <w:bCs/>
        </w:rPr>
      </w:pPr>
    </w:p>
    <w:sectPr w:rsidR="0098494B" w:rsidRPr="009849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altName w:val="Roboto"/>
    <w:charset w:val="00"/>
    <w:family w:val="auto"/>
    <w:pitch w:val="variable"/>
    <w:sig w:usb0="E00002FF" w:usb1="5000205B" w:usb2="00000020" w:usb3="00000000" w:csb0="0000019F" w:csb1="00000000"/>
  </w:font>
  <w:font w:name="Poppins">
    <w:charset w:val="00"/>
    <w:family w:val="auto"/>
    <w:pitch w:val="variable"/>
    <w:sig w:usb0="00008007" w:usb1="00000000" w:usb2="00000000" w:usb3="00000000" w:csb0="00000093" w:csb1="00000000"/>
  </w:font>
  <w:font w:name="Helvetica">
    <w:panose1 w:val="020B0604020202020204"/>
    <w:charset w:val="00"/>
    <w:family w:val="swiss"/>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C5050"/>
    <w:multiLevelType w:val="hybridMultilevel"/>
    <w:tmpl w:val="A66ABE0A"/>
    <w:lvl w:ilvl="0" w:tplc="1900604A">
      <w:start w:val="1"/>
      <w:numFmt w:val="bullet"/>
      <w:lvlText w:val="•"/>
      <w:lvlJc w:val="left"/>
      <w:pPr>
        <w:tabs>
          <w:tab w:val="num" w:pos="720"/>
        </w:tabs>
        <w:ind w:left="720" w:hanging="360"/>
      </w:pPr>
      <w:rPr>
        <w:rFonts w:ascii="Arial" w:hAnsi="Arial" w:hint="default"/>
      </w:rPr>
    </w:lvl>
    <w:lvl w:ilvl="1" w:tplc="63005CEC" w:tentative="1">
      <w:start w:val="1"/>
      <w:numFmt w:val="bullet"/>
      <w:lvlText w:val="•"/>
      <w:lvlJc w:val="left"/>
      <w:pPr>
        <w:tabs>
          <w:tab w:val="num" w:pos="1440"/>
        </w:tabs>
        <w:ind w:left="1440" w:hanging="360"/>
      </w:pPr>
      <w:rPr>
        <w:rFonts w:ascii="Arial" w:hAnsi="Arial" w:hint="default"/>
      </w:rPr>
    </w:lvl>
    <w:lvl w:ilvl="2" w:tplc="6026EE8E" w:tentative="1">
      <w:start w:val="1"/>
      <w:numFmt w:val="bullet"/>
      <w:lvlText w:val="•"/>
      <w:lvlJc w:val="left"/>
      <w:pPr>
        <w:tabs>
          <w:tab w:val="num" w:pos="2160"/>
        </w:tabs>
        <w:ind w:left="2160" w:hanging="360"/>
      </w:pPr>
      <w:rPr>
        <w:rFonts w:ascii="Arial" w:hAnsi="Arial" w:hint="default"/>
      </w:rPr>
    </w:lvl>
    <w:lvl w:ilvl="3" w:tplc="740A1B12" w:tentative="1">
      <w:start w:val="1"/>
      <w:numFmt w:val="bullet"/>
      <w:lvlText w:val="•"/>
      <w:lvlJc w:val="left"/>
      <w:pPr>
        <w:tabs>
          <w:tab w:val="num" w:pos="2880"/>
        </w:tabs>
        <w:ind w:left="2880" w:hanging="360"/>
      </w:pPr>
      <w:rPr>
        <w:rFonts w:ascii="Arial" w:hAnsi="Arial" w:hint="default"/>
      </w:rPr>
    </w:lvl>
    <w:lvl w:ilvl="4" w:tplc="DF3EF4A0" w:tentative="1">
      <w:start w:val="1"/>
      <w:numFmt w:val="bullet"/>
      <w:lvlText w:val="•"/>
      <w:lvlJc w:val="left"/>
      <w:pPr>
        <w:tabs>
          <w:tab w:val="num" w:pos="3600"/>
        </w:tabs>
        <w:ind w:left="3600" w:hanging="360"/>
      </w:pPr>
      <w:rPr>
        <w:rFonts w:ascii="Arial" w:hAnsi="Arial" w:hint="default"/>
      </w:rPr>
    </w:lvl>
    <w:lvl w:ilvl="5" w:tplc="641CE8C6" w:tentative="1">
      <w:start w:val="1"/>
      <w:numFmt w:val="bullet"/>
      <w:lvlText w:val="•"/>
      <w:lvlJc w:val="left"/>
      <w:pPr>
        <w:tabs>
          <w:tab w:val="num" w:pos="4320"/>
        </w:tabs>
        <w:ind w:left="4320" w:hanging="360"/>
      </w:pPr>
      <w:rPr>
        <w:rFonts w:ascii="Arial" w:hAnsi="Arial" w:hint="default"/>
      </w:rPr>
    </w:lvl>
    <w:lvl w:ilvl="6" w:tplc="99C0D08C" w:tentative="1">
      <w:start w:val="1"/>
      <w:numFmt w:val="bullet"/>
      <w:lvlText w:val="•"/>
      <w:lvlJc w:val="left"/>
      <w:pPr>
        <w:tabs>
          <w:tab w:val="num" w:pos="5040"/>
        </w:tabs>
        <w:ind w:left="5040" w:hanging="360"/>
      </w:pPr>
      <w:rPr>
        <w:rFonts w:ascii="Arial" w:hAnsi="Arial" w:hint="default"/>
      </w:rPr>
    </w:lvl>
    <w:lvl w:ilvl="7" w:tplc="133E78A8" w:tentative="1">
      <w:start w:val="1"/>
      <w:numFmt w:val="bullet"/>
      <w:lvlText w:val="•"/>
      <w:lvlJc w:val="left"/>
      <w:pPr>
        <w:tabs>
          <w:tab w:val="num" w:pos="5760"/>
        </w:tabs>
        <w:ind w:left="5760" w:hanging="360"/>
      </w:pPr>
      <w:rPr>
        <w:rFonts w:ascii="Arial" w:hAnsi="Arial" w:hint="default"/>
      </w:rPr>
    </w:lvl>
    <w:lvl w:ilvl="8" w:tplc="550AF08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2176BBF"/>
    <w:multiLevelType w:val="hybridMultilevel"/>
    <w:tmpl w:val="89AE4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DC2458"/>
    <w:multiLevelType w:val="hybridMultilevel"/>
    <w:tmpl w:val="A3127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403E81"/>
    <w:multiLevelType w:val="hybridMultilevel"/>
    <w:tmpl w:val="BDC60CF6"/>
    <w:lvl w:ilvl="0" w:tplc="B18CD8A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8D4B25"/>
    <w:multiLevelType w:val="hybridMultilevel"/>
    <w:tmpl w:val="B3485C0C"/>
    <w:lvl w:ilvl="0" w:tplc="3E8AC71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D88"/>
    <w:rsid w:val="00005E52"/>
    <w:rsid w:val="00005E58"/>
    <w:rsid w:val="00014121"/>
    <w:rsid w:val="00025CE4"/>
    <w:rsid w:val="0003431C"/>
    <w:rsid w:val="0003498F"/>
    <w:rsid w:val="00035EBA"/>
    <w:rsid w:val="0004011C"/>
    <w:rsid w:val="00055B91"/>
    <w:rsid w:val="00062B4F"/>
    <w:rsid w:val="000668AB"/>
    <w:rsid w:val="00067D4A"/>
    <w:rsid w:val="00071C36"/>
    <w:rsid w:val="00077BA7"/>
    <w:rsid w:val="00090DF4"/>
    <w:rsid w:val="000943DD"/>
    <w:rsid w:val="000A5973"/>
    <w:rsid w:val="000A5C9F"/>
    <w:rsid w:val="000A6088"/>
    <w:rsid w:val="000A69CE"/>
    <w:rsid w:val="000C228B"/>
    <w:rsid w:val="000C4AD7"/>
    <w:rsid w:val="000D1962"/>
    <w:rsid w:val="000D3982"/>
    <w:rsid w:val="000D7E2E"/>
    <w:rsid w:val="000E1659"/>
    <w:rsid w:val="000E1AC1"/>
    <w:rsid w:val="000E5559"/>
    <w:rsid w:val="000E58F2"/>
    <w:rsid w:val="000F57F1"/>
    <w:rsid w:val="00104AEF"/>
    <w:rsid w:val="0011056F"/>
    <w:rsid w:val="00114008"/>
    <w:rsid w:val="001213C7"/>
    <w:rsid w:val="00122518"/>
    <w:rsid w:val="00124A1F"/>
    <w:rsid w:val="00130AA8"/>
    <w:rsid w:val="00136498"/>
    <w:rsid w:val="00136E24"/>
    <w:rsid w:val="00140B78"/>
    <w:rsid w:val="001718DC"/>
    <w:rsid w:val="00176C14"/>
    <w:rsid w:val="00180661"/>
    <w:rsid w:val="001844C9"/>
    <w:rsid w:val="00186D72"/>
    <w:rsid w:val="001931F6"/>
    <w:rsid w:val="00194F66"/>
    <w:rsid w:val="00197D23"/>
    <w:rsid w:val="00197DE0"/>
    <w:rsid w:val="001A2D88"/>
    <w:rsid w:val="001A3B6B"/>
    <w:rsid w:val="001C0A3D"/>
    <w:rsid w:val="001C0BE2"/>
    <w:rsid w:val="001D21BB"/>
    <w:rsid w:val="001E6119"/>
    <w:rsid w:val="001F3F9B"/>
    <w:rsid w:val="001F728C"/>
    <w:rsid w:val="001F7788"/>
    <w:rsid w:val="001F7805"/>
    <w:rsid w:val="001F7BD8"/>
    <w:rsid w:val="001F7C86"/>
    <w:rsid w:val="002000F0"/>
    <w:rsid w:val="00202A31"/>
    <w:rsid w:val="002067E3"/>
    <w:rsid w:val="00207C2A"/>
    <w:rsid w:val="002110EC"/>
    <w:rsid w:val="00223A89"/>
    <w:rsid w:val="00226C6C"/>
    <w:rsid w:val="00241719"/>
    <w:rsid w:val="00241E87"/>
    <w:rsid w:val="00250F2A"/>
    <w:rsid w:val="00253834"/>
    <w:rsid w:val="00257096"/>
    <w:rsid w:val="00257529"/>
    <w:rsid w:val="002713C1"/>
    <w:rsid w:val="00275F3B"/>
    <w:rsid w:val="002830ED"/>
    <w:rsid w:val="0028569F"/>
    <w:rsid w:val="00293B5B"/>
    <w:rsid w:val="002A3E47"/>
    <w:rsid w:val="002A58E3"/>
    <w:rsid w:val="002A7018"/>
    <w:rsid w:val="002B2BD6"/>
    <w:rsid w:val="002C4D3F"/>
    <w:rsid w:val="002D1053"/>
    <w:rsid w:val="002D1948"/>
    <w:rsid w:val="002D4BCF"/>
    <w:rsid w:val="002F1909"/>
    <w:rsid w:val="002F2679"/>
    <w:rsid w:val="00303590"/>
    <w:rsid w:val="00313449"/>
    <w:rsid w:val="00326BF0"/>
    <w:rsid w:val="003318BB"/>
    <w:rsid w:val="003326C1"/>
    <w:rsid w:val="00333AC3"/>
    <w:rsid w:val="0034537B"/>
    <w:rsid w:val="00345BF3"/>
    <w:rsid w:val="00352B82"/>
    <w:rsid w:val="00355045"/>
    <w:rsid w:val="003616A0"/>
    <w:rsid w:val="003665D6"/>
    <w:rsid w:val="003725D9"/>
    <w:rsid w:val="00377CBC"/>
    <w:rsid w:val="00382209"/>
    <w:rsid w:val="003900DF"/>
    <w:rsid w:val="00391D12"/>
    <w:rsid w:val="003A0703"/>
    <w:rsid w:val="003A461E"/>
    <w:rsid w:val="003C100D"/>
    <w:rsid w:val="003C2E3C"/>
    <w:rsid w:val="003D7957"/>
    <w:rsid w:val="003E572E"/>
    <w:rsid w:val="003E7638"/>
    <w:rsid w:val="003F2284"/>
    <w:rsid w:val="004069C1"/>
    <w:rsid w:val="00406FEA"/>
    <w:rsid w:val="004161B8"/>
    <w:rsid w:val="004300C6"/>
    <w:rsid w:val="00443C31"/>
    <w:rsid w:val="00461C85"/>
    <w:rsid w:val="00465515"/>
    <w:rsid w:val="00470965"/>
    <w:rsid w:val="0047385F"/>
    <w:rsid w:val="00476E3C"/>
    <w:rsid w:val="00477DB2"/>
    <w:rsid w:val="004839E7"/>
    <w:rsid w:val="00486AE0"/>
    <w:rsid w:val="00490054"/>
    <w:rsid w:val="00493C27"/>
    <w:rsid w:val="004A0B1E"/>
    <w:rsid w:val="004A16AD"/>
    <w:rsid w:val="004A415F"/>
    <w:rsid w:val="004B115A"/>
    <w:rsid w:val="004B1BB4"/>
    <w:rsid w:val="004B5746"/>
    <w:rsid w:val="004D03AF"/>
    <w:rsid w:val="004D75CD"/>
    <w:rsid w:val="004E0B01"/>
    <w:rsid w:val="004E52BB"/>
    <w:rsid w:val="004F2705"/>
    <w:rsid w:val="004F2E6F"/>
    <w:rsid w:val="004F3553"/>
    <w:rsid w:val="004F7145"/>
    <w:rsid w:val="0050165C"/>
    <w:rsid w:val="005127FE"/>
    <w:rsid w:val="005147DF"/>
    <w:rsid w:val="005177C4"/>
    <w:rsid w:val="005244F5"/>
    <w:rsid w:val="00541D4E"/>
    <w:rsid w:val="00563417"/>
    <w:rsid w:val="0056673D"/>
    <w:rsid w:val="00566BB1"/>
    <w:rsid w:val="0057594B"/>
    <w:rsid w:val="00582519"/>
    <w:rsid w:val="00582A90"/>
    <w:rsid w:val="0058412A"/>
    <w:rsid w:val="005900D8"/>
    <w:rsid w:val="00595626"/>
    <w:rsid w:val="00597769"/>
    <w:rsid w:val="005B1A3A"/>
    <w:rsid w:val="005B495F"/>
    <w:rsid w:val="005C5A93"/>
    <w:rsid w:val="005D29E0"/>
    <w:rsid w:val="005D3894"/>
    <w:rsid w:val="005E30F1"/>
    <w:rsid w:val="005E37A1"/>
    <w:rsid w:val="005F0E81"/>
    <w:rsid w:val="005F3514"/>
    <w:rsid w:val="005F7A86"/>
    <w:rsid w:val="0060536F"/>
    <w:rsid w:val="00606F0A"/>
    <w:rsid w:val="00627EFC"/>
    <w:rsid w:val="00633E7A"/>
    <w:rsid w:val="006422AE"/>
    <w:rsid w:val="00650B90"/>
    <w:rsid w:val="00663044"/>
    <w:rsid w:val="006767DF"/>
    <w:rsid w:val="00676BEB"/>
    <w:rsid w:val="006837C8"/>
    <w:rsid w:val="006A27CF"/>
    <w:rsid w:val="006B245E"/>
    <w:rsid w:val="006B4F9C"/>
    <w:rsid w:val="006B6BF5"/>
    <w:rsid w:val="006C25B5"/>
    <w:rsid w:val="006C25E1"/>
    <w:rsid w:val="006C3625"/>
    <w:rsid w:val="006E1E38"/>
    <w:rsid w:val="006E49F3"/>
    <w:rsid w:val="006E7EAC"/>
    <w:rsid w:val="006F4FDF"/>
    <w:rsid w:val="00701AE6"/>
    <w:rsid w:val="0070401B"/>
    <w:rsid w:val="007176F4"/>
    <w:rsid w:val="00735E05"/>
    <w:rsid w:val="0073796E"/>
    <w:rsid w:val="00742D0F"/>
    <w:rsid w:val="0074335E"/>
    <w:rsid w:val="00744CD3"/>
    <w:rsid w:val="007506DC"/>
    <w:rsid w:val="00756B8B"/>
    <w:rsid w:val="00763CBB"/>
    <w:rsid w:val="00784072"/>
    <w:rsid w:val="007849F3"/>
    <w:rsid w:val="00784B25"/>
    <w:rsid w:val="007869B2"/>
    <w:rsid w:val="007918CC"/>
    <w:rsid w:val="007957D3"/>
    <w:rsid w:val="007A1D59"/>
    <w:rsid w:val="007A3C1C"/>
    <w:rsid w:val="007A5297"/>
    <w:rsid w:val="007B2D65"/>
    <w:rsid w:val="007C2DAD"/>
    <w:rsid w:val="007C7BFF"/>
    <w:rsid w:val="007D5AFC"/>
    <w:rsid w:val="007E36AB"/>
    <w:rsid w:val="007F14A8"/>
    <w:rsid w:val="007F2A9F"/>
    <w:rsid w:val="008101DE"/>
    <w:rsid w:val="008108A0"/>
    <w:rsid w:val="00812148"/>
    <w:rsid w:val="0081250E"/>
    <w:rsid w:val="00812E8C"/>
    <w:rsid w:val="00817608"/>
    <w:rsid w:val="0082226E"/>
    <w:rsid w:val="00822C98"/>
    <w:rsid w:val="00827BE4"/>
    <w:rsid w:val="00831D6C"/>
    <w:rsid w:val="00832FB5"/>
    <w:rsid w:val="0083416F"/>
    <w:rsid w:val="00850725"/>
    <w:rsid w:val="008554A9"/>
    <w:rsid w:val="008610EE"/>
    <w:rsid w:val="008644FB"/>
    <w:rsid w:val="0087327A"/>
    <w:rsid w:val="008769DE"/>
    <w:rsid w:val="00885691"/>
    <w:rsid w:val="00891035"/>
    <w:rsid w:val="00894F03"/>
    <w:rsid w:val="00896AAF"/>
    <w:rsid w:val="008A1410"/>
    <w:rsid w:val="008A7577"/>
    <w:rsid w:val="008C5C5E"/>
    <w:rsid w:val="008C5DD6"/>
    <w:rsid w:val="008C6902"/>
    <w:rsid w:val="008D2998"/>
    <w:rsid w:val="008E2E08"/>
    <w:rsid w:val="008E45F5"/>
    <w:rsid w:val="008E542C"/>
    <w:rsid w:val="008F14FE"/>
    <w:rsid w:val="008F346E"/>
    <w:rsid w:val="008F7992"/>
    <w:rsid w:val="0090011C"/>
    <w:rsid w:val="0090105D"/>
    <w:rsid w:val="009027BF"/>
    <w:rsid w:val="009033D0"/>
    <w:rsid w:val="00907B6E"/>
    <w:rsid w:val="00915625"/>
    <w:rsid w:val="00916481"/>
    <w:rsid w:val="00916979"/>
    <w:rsid w:val="00920465"/>
    <w:rsid w:val="00925F78"/>
    <w:rsid w:val="00926A2C"/>
    <w:rsid w:val="00930809"/>
    <w:rsid w:val="009369D2"/>
    <w:rsid w:val="0094015E"/>
    <w:rsid w:val="00960425"/>
    <w:rsid w:val="0096331E"/>
    <w:rsid w:val="00965EEE"/>
    <w:rsid w:val="00965EF9"/>
    <w:rsid w:val="009704E8"/>
    <w:rsid w:val="00970635"/>
    <w:rsid w:val="00972D19"/>
    <w:rsid w:val="00976B88"/>
    <w:rsid w:val="009834DA"/>
    <w:rsid w:val="0098494B"/>
    <w:rsid w:val="00992B99"/>
    <w:rsid w:val="009939D0"/>
    <w:rsid w:val="00994253"/>
    <w:rsid w:val="009A0020"/>
    <w:rsid w:val="009A02E2"/>
    <w:rsid w:val="009A349D"/>
    <w:rsid w:val="009A4F7A"/>
    <w:rsid w:val="009B174D"/>
    <w:rsid w:val="009B4A8A"/>
    <w:rsid w:val="009C7DD4"/>
    <w:rsid w:val="009D36B1"/>
    <w:rsid w:val="009D61DC"/>
    <w:rsid w:val="009F7559"/>
    <w:rsid w:val="009F7633"/>
    <w:rsid w:val="00A076E0"/>
    <w:rsid w:val="00A135F7"/>
    <w:rsid w:val="00A17722"/>
    <w:rsid w:val="00A219A5"/>
    <w:rsid w:val="00A27396"/>
    <w:rsid w:val="00A3031C"/>
    <w:rsid w:val="00A40F6E"/>
    <w:rsid w:val="00A44FB1"/>
    <w:rsid w:val="00A513DE"/>
    <w:rsid w:val="00A65356"/>
    <w:rsid w:val="00A65E75"/>
    <w:rsid w:val="00A65FF8"/>
    <w:rsid w:val="00A712F3"/>
    <w:rsid w:val="00A71AA5"/>
    <w:rsid w:val="00A81B47"/>
    <w:rsid w:val="00A83EBF"/>
    <w:rsid w:val="00A86638"/>
    <w:rsid w:val="00A92D43"/>
    <w:rsid w:val="00AC14BE"/>
    <w:rsid w:val="00AC2117"/>
    <w:rsid w:val="00AC3AC4"/>
    <w:rsid w:val="00AC5FC1"/>
    <w:rsid w:val="00AC6529"/>
    <w:rsid w:val="00AE50A3"/>
    <w:rsid w:val="00AE6FE9"/>
    <w:rsid w:val="00AE79DE"/>
    <w:rsid w:val="00AF03F7"/>
    <w:rsid w:val="00B00907"/>
    <w:rsid w:val="00B20EE2"/>
    <w:rsid w:val="00B22E68"/>
    <w:rsid w:val="00B248BD"/>
    <w:rsid w:val="00B26FFC"/>
    <w:rsid w:val="00B30354"/>
    <w:rsid w:val="00B31B3B"/>
    <w:rsid w:val="00B35C1D"/>
    <w:rsid w:val="00B4452C"/>
    <w:rsid w:val="00B4607D"/>
    <w:rsid w:val="00B47CB2"/>
    <w:rsid w:val="00B507A2"/>
    <w:rsid w:val="00B51667"/>
    <w:rsid w:val="00B552E0"/>
    <w:rsid w:val="00B60A4A"/>
    <w:rsid w:val="00B64D1B"/>
    <w:rsid w:val="00B67680"/>
    <w:rsid w:val="00B679A7"/>
    <w:rsid w:val="00B72328"/>
    <w:rsid w:val="00B72E6A"/>
    <w:rsid w:val="00B73653"/>
    <w:rsid w:val="00B91F72"/>
    <w:rsid w:val="00BA36D3"/>
    <w:rsid w:val="00BA6FF6"/>
    <w:rsid w:val="00BB34AF"/>
    <w:rsid w:val="00BC3C32"/>
    <w:rsid w:val="00BD6E51"/>
    <w:rsid w:val="00BE36E7"/>
    <w:rsid w:val="00BE6911"/>
    <w:rsid w:val="00BE7A67"/>
    <w:rsid w:val="00C02267"/>
    <w:rsid w:val="00C1573E"/>
    <w:rsid w:val="00C170CE"/>
    <w:rsid w:val="00C278BA"/>
    <w:rsid w:val="00C330C6"/>
    <w:rsid w:val="00C3402D"/>
    <w:rsid w:val="00C46A71"/>
    <w:rsid w:val="00C46F6B"/>
    <w:rsid w:val="00C47C27"/>
    <w:rsid w:val="00C55DB0"/>
    <w:rsid w:val="00C56023"/>
    <w:rsid w:val="00C56414"/>
    <w:rsid w:val="00C61703"/>
    <w:rsid w:val="00C64741"/>
    <w:rsid w:val="00C70DCE"/>
    <w:rsid w:val="00C73765"/>
    <w:rsid w:val="00C80C9C"/>
    <w:rsid w:val="00C83000"/>
    <w:rsid w:val="00C878C7"/>
    <w:rsid w:val="00C9393D"/>
    <w:rsid w:val="00CA5645"/>
    <w:rsid w:val="00CA59B7"/>
    <w:rsid w:val="00CB1164"/>
    <w:rsid w:val="00CB33CE"/>
    <w:rsid w:val="00CB5419"/>
    <w:rsid w:val="00CB775F"/>
    <w:rsid w:val="00CC3630"/>
    <w:rsid w:val="00CC4818"/>
    <w:rsid w:val="00CD3C47"/>
    <w:rsid w:val="00CD494F"/>
    <w:rsid w:val="00CE46C5"/>
    <w:rsid w:val="00CF16F2"/>
    <w:rsid w:val="00D138FB"/>
    <w:rsid w:val="00D16945"/>
    <w:rsid w:val="00D304B2"/>
    <w:rsid w:val="00D35D47"/>
    <w:rsid w:val="00D403D2"/>
    <w:rsid w:val="00D41D99"/>
    <w:rsid w:val="00D459D8"/>
    <w:rsid w:val="00D47F95"/>
    <w:rsid w:val="00D53CE4"/>
    <w:rsid w:val="00D62F33"/>
    <w:rsid w:val="00D67CE6"/>
    <w:rsid w:val="00D86454"/>
    <w:rsid w:val="00DA7D7B"/>
    <w:rsid w:val="00DB1CAB"/>
    <w:rsid w:val="00DB2037"/>
    <w:rsid w:val="00DC5018"/>
    <w:rsid w:val="00DC6A41"/>
    <w:rsid w:val="00DE5442"/>
    <w:rsid w:val="00DE5FC4"/>
    <w:rsid w:val="00DF0ED8"/>
    <w:rsid w:val="00DF106C"/>
    <w:rsid w:val="00DF363B"/>
    <w:rsid w:val="00DF4AB8"/>
    <w:rsid w:val="00E0590F"/>
    <w:rsid w:val="00E26053"/>
    <w:rsid w:val="00E31511"/>
    <w:rsid w:val="00E33DCC"/>
    <w:rsid w:val="00E366E2"/>
    <w:rsid w:val="00E47546"/>
    <w:rsid w:val="00E541BE"/>
    <w:rsid w:val="00E57339"/>
    <w:rsid w:val="00E576F4"/>
    <w:rsid w:val="00E66050"/>
    <w:rsid w:val="00E70F3F"/>
    <w:rsid w:val="00E846E4"/>
    <w:rsid w:val="00E95535"/>
    <w:rsid w:val="00E956D6"/>
    <w:rsid w:val="00EA0B7C"/>
    <w:rsid w:val="00EA351C"/>
    <w:rsid w:val="00EA38E9"/>
    <w:rsid w:val="00EB504B"/>
    <w:rsid w:val="00EC3625"/>
    <w:rsid w:val="00EC43BD"/>
    <w:rsid w:val="00EC69CB"/>
    <w:rsid w:val="00ED28D4"/>
    <w:rsid w:val="00ED618B"/>
    <w:rsid w:val="00EE2272"/>
    <w:rsid w:val="00EE7384"/>
    <w:rsid w:val="00EF1313"/>
    <w:rsid w:val="00EF5CC5"/>
    <w:rsid w:val="00F10F3B"/>
    <w:rsid w:val="00F11B20"/>
    <w:rsid w:val="00F24D06"/>
    <w:rsid w:val="00F27889"/>
    <w:rsid w:val="00F31C5E"/>
    <w:rsid w:val="00F43A44"/>
    <w:rsid w:val="00F542C7"/>
    <w:rsid w:val="00F55F71"/>
    <w:rsid w:val="00F569D6"/>
    <w:rsid w:val="00F66EC1"/>
    <w:rsid w:val="00F7111B"/>
    <w:rsid w:val="00F875AE"/>
    <w:rsid w:val="00F9034B"/>
    <w:rsid w:val="00F963D6"/>
    <w:rsid w:val="00FA2FB3"/>
    <w:rsid w:val="00FB142B"/>
    <w:rsid w:val="00FB19AC"/>
    <w:rsid w:val="00FB2F18"/>
    <w:rsid w:val="00FB50A6"/>
    <w:rsid w:val="00FC1897"/>
    <w:rsid w:val="00FC308A"/>
    <w:rsid w:val="00FE038E"/>
    <w:rsid w:val="00FE205A"/>
    <w:rsid w:val="00FE2144"/>
    <w:rsid w:val="00FE321B"/>
    <w:rsid w:val="00FE45CE"/>
    <w:rsid w:val="00FF00EB"/>
    <w:rsid w:val="00FF07B6"/>
    <w:rsid w:val="00FF6F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9084A"/>
  <w15:docId w15:val="{F6C36489-E10F-40DC-9305-2375898F9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569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8569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D36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te-body--normal-text">
    <w:name w:val="rte-body--normal-text"/>
    <w:basedOn w:val="DefaultParagraphFont"/>
    <w:rsid w:val="009D36B1"/>
  </w:style>
  <w:style w:type="character" w:styleId="Hyperlink">
    <w:name w:val="Hyperlink"/>
    <w:basedOn w:val="DefaultParagraphFont"/>
    <w:uiPriority w:val="99"/>
    <w:unhideWhenUsed/>
    <w:rsid w:val="00DF4AB8"/>
    <w:rPr>
      <w:color w:val="0000FF"/>
      <w:u w:val="single"/>
    </w:rPr>
  </w:style>
  <w:style w:type="paragraph" w:styleId="ListParagraph">
    <w:name w:val="List Paragraph"/>
    <w:basedOn w:val="Normal"/>
    <w:uiPriority w:val="34"/>
    <w:qFormat/>
    <w:rsid w:val="009A02E2"/>
    <w:pPr>
      <w:ind w:left="720"/>
      <w:contextualSpacing/>
    </w:pPr>
  </w:style>
  <w:style w:type="character" w:customStyle="1" w:styleId="Heading1Char">
    <w:name w:val="Heading 1 Char"/>
    <w:basedOn w:val="DefaultParagraphFont"/>
    <w:link w:val="Heading1"/>
    <w:uiPriority w:val="9"/>
    <w:rsid w:val="0088569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8569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F875AE"/>
    <w:pPr>
      <w:outlineLvl w:val="9"/>
    </w:pPr>
    <w:rPr>
      <w:lang w:val="en-US"/>
    </w:rPr>
  </w:style>
  <w:style w:type="paragraph" w:styleId="TOC1">
    <w:name w:val="toc 1"/>
    <w:basedOn w:val="Normal"/>
    <w:next w:val="Normal"/>
    <w:autoRedefine/>
    <w:uiPriority w:val="39"/>
    <w:unhideWhenUsed/>
    <w:rsid w:val="00F875AE"/>
    <w:pPr>
      <w:spacing w:after="100"/>
    </w:pPr>
  </w:style>
  <w:style w:type="paragraph" w:styleId="TOC2">
    <w:name w:val="toc 2"/>
    <w:basedOn w:val="Normal"/>
    <w:next w:val="Normal"/>
    <w:autoRedefine/>
    <w:uiPriority w:val="39"/>
    <w:unhideWhenUsed/>
    <w:rsid w:val="00F875A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437487">
      <w:bodyDiv w:val="1"/>
      <w:marLeft w:val="0"/>
      <w:marRight w:val="0"/>
      <w:marTop w:val="0"/>
      <w:marBottom w:val="0"/>
      <w:divBdr>
        <w:top w:val="none" w:sz="0" w:space="0" w:color="auto"/>
        <w:left w:val="none" w:sz="0" w:space="0" w:color="auto"/>
        <w:bottom w:val="none" w:sz="0" w:space="0" w:color="auto"/>
        <w:right w:val="none" w:sz="0" w:space="0" w:color="auto"/>
      </w:divBdr>
    </w:div>
    <w:div w:id="845634850">
      <w:bodyDiv w:val="1"/>
      <w:marLeft w:val="0"/>
      <w:marRight w:val="0"/>
      <w:marTop w:val="0"/>
      <w:marBottom w:val="0"/>
      <w:divBdr>
        <w:top w:val="none" w:sz="0" w:space="0" w:color="auto"/>
        <w:left w:val="none" w:sz="0" w:space="0" w:color="auto"/>
        <w:bottom w:val="none" w:sz="0" w:space="0" w:color="auto"/>
        <w:right w:val="none" w:sz="0" w:space="0" w:color="auto"/>
      </w:divBdr>
    </w:div>
    <w:div w:id="1209075792">
      <w:bodyDiv w:val="1"/>
      <w:marLeft w:val="0"/>
      <w:marRight w:val="0"/>
      <w:marTop w:val="0"/>
      <w:marBottom w:val="0"/>
      <w:divBdr>
        <w:top w:val="none" w:sz="0" w:space="0" w:color="auto"/>
        <w:left w:val="none" w:sz="0" w:space="0" w:color="auto"/>
        <w:bottom w:val="none" w:sz="0" w:space="0" w:color="auto"/>
        <w:right w:val="none" w:sz="0" w:space="0" w:color="auto"/>
      </w:divBdr>
      <w:divsChild>
        <w:div w:id="559903237">
          <w:marLeft w:val="446"/>
          <w:marRight w:val="0"/>
          <w:marTop w:val="200"/>
          <w:marBottom w:val="0"/>
          <w:divBdr>
            <w:top w:val="none" w:sz="0" w:space="0" w:color="auto"/>
            <w:left w:val="none" w:sz="0" w:space="0" w:color="auto"/>
            <w:bottom w:val="none" w:sz="0" w:space="0" w:color="auto"/>
            <w:right w:val="none" w:sz="0" w:space="0" w:color="auto"/>
          </w:divBdr>
        </w:div>
      </w:divsChild>
    </w:div>
    <w:div w:id="1224951218">
      <w:bodyDiv w:val="1"/>
      <w:marLeft w:val="0"/>
      <w:marRight w:val="0"/>
      <w:marTop w:val="0"/>
      <w:marBottom w:val="0"/>
      <w:divBdr>
        <w:top w:val="none" w:sz="0" w:space="0" w:color="auto"/>
        <w:left w:val="none" w:sz="0" w:space="0" w:color="auto"/>
        <w:bottom w:val="none" w:sz="0" w:space="0" w:color="auto"/>
        <w:right w:val="none" w:sz="0" w:space="0" w:color="auto"/>
      </w:divBdr>
    </w:div>
    <w:div w:id="1299260878">
      <w:bodyDiv w:val="1"/>
      <w:marLeft w:val="0"/>
      <w:marRight w:val="0"/>
      <w:marTop w:val="0"/>
      <w:marBottom w:val="0"/>
      <w:divBdr>
        <w:top w:val="none" w:sz="0" w:space="0" w:color="auto"/>
        <w:left w:val="none" w:sz="0" w:space="0" w:color="auto"/>
        <w:bottom w:val="none" w:sz="0" w:space="0" w:color="auto"/>
        <w:right w:val="none" w:sz="0" w:space="0" w:color="auto"/>
      </w:divBdr>
    </w:div>
    <w:div w:id="1302156038">
      <w:bodyDiv w:val="1"/>
      <w:marLeft w:val="0"/>
      <w:marRight w:val="0"/>
      <w:marTop w:val="0"/>
      <w:marBottom w:val="0"/>
      <w:divBdr>
        <w:top w:val="none" w:sz="0" w:space="0" w:color="auto"/>
        <w:left w:val="none" w:sz="0" w:space="0" w:color="auto"/>
        <w:bottom w:val="none" w:sz="0" w:space="0" w:color="auto"/>
        <w:right w:val="none" w:sz="0" w:space="0" w:color="auto"/>
      </w:divBdr>
    </w:div>
    <w:div w:id="14446141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yperlink" Target="https://www-sciencedirect-com.ezproxy.uwtsd.ac.uk/science/article/pii/S0165410109000354" TargetMode="External"/><Relationship Id="rId39" Type="http://schemas.openxmlformats.org/officeDocument/2006/relationships/theme" Target="theme/theme1.xml"/><Relationship Id="rId21" Type="http://schemas.openxmlformats.org/officeDocument/2006/relationships/image" Target="media/image16.png"/><Relationship Id="rId34" Type="http://schemas.openxmlformats.org/officeDocument/2006/relationships/hyperlink" Target="https://onlinelibrary.wiley.com/doi/abs/10.1002/for.1269"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hyperlink" Target="https://www.bis.org/bcbs/basel3.htm" TargetMode="External"/><Relationship Id="rId33" Type="http://schemas.openxmlformats.org/officeDocument/2006/relationships/hyperlink" Target="https://www.marketline.com/"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hyperlink" Target="https://www.bankofengland.co.uk/speech/2019/alex-brazier-speech-at-university-of-warwick"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ww.bis.org/bcbs/publ/d457.htm" TargetMode="External"/><Relationship Id="rId32" Type="http://schemas.openxmlformats.org/officeDocument/2006/relationships/hyperlink" Target="http://www.jator.org/" TargetMode="External"/><Relationship Id="rId37" Type="http://schemas.openxmlformats.org/officeDocument/2006/relationships/hyperlink" Target="https://www-igi-global-com.ezproxy.uwtsd.ac.uk/article/impact-of-bank-operational-efficiency-using-a-three-stage-dea-model/120556"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s://www-igi-global-com.ezproxy.uwtsd.ac.uk/gateway/chapter/213282" TargetMode="External"/><Relationship Id="rId28" Type="http://schemas.openxmlformats.org/officeDocument/2006/relationships/hyperlink" Target="https://www.lloydsbankinggroup.com/investors/annual-report.html" TargetMode="External"/><Relationship Id="rId36" Type="http://schemas.openxmlformats.org/officeDocument/2006/relationships/hyperlink" Target="https://annualreport.stocklight.com/NASDAQ/TSLA/21598537.pdf" TargetMode="Externa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hyperlink" Target="https://journals-sagepub-com.ezproxy.uwtsd.ac.uk/doi/full/10.1177/0148558X19870099"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hyperlink" Target="https://www.bankofengland.co.uk/speech/2019/alex-brazier-speech-at-university-of-warwick" TargetMode="External"/><Relationship Id="rId30" Type="http://schemas.openxmlformats.org/officeDocument/2006/relationships/hyperlink" Target="https://www.treasurers.org/ACTmedia/Nick%20Burge,%20Lloyds%20Bank.pdf" TargetMode="External"/><Relationship Id="rId35" Type="http://schemas.openxmlformats.org/officeDocument/2006/relationships/hyperlink" Target="https://www.moodysanalytics.com/regulatory-news/jun-29-21-pra-and-fpc-propose-changes-to-leverage-ratio-framework-in-uk" TargetMode="External"/><Relationship Id="rId8" Type="http://schemas.openxmlformats.org/officeDocument/2006/relationships/image" Target="media/image3.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7DDFA7D-5FDD-4FBF-85F1-A26AC6407E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4768</TotalTime>
  <Pages>17</Pages>
  <Words>6896</Words>
  <Characters>39311</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shazan begum</dc:creator>
  <cp:keywords/>
  <dc:description/>
  <cp:lastModifiedBy>shazan begum</cp:lastModifiedBy>
  <cp:revision>9</cp:revision>
  <dcterms:created xsi:type="dcterms:W3CDTF">2022-01-03T20:32:00Z</dcterms:created>
  <dcterms:modified xsi:type="dcterms:W3CDTF">2022-01-12T07:39:00Z</dcterms:modified>
</cp:coreProperties>
</file>