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D5E29" w14:textId="44ED7D8C" w:rsidR="00CB640E" w:rsidRDefault="00647DE4" w:rsidP="00647DE4">
      <w:pPr>
        <w:jc w:val="center"/>
        <w:rPr>
          <w:i/>
          <w:iCs/>
        </w:rPr>
      </w:pPr>
      <w:r>
        <w:rPr>
          <w:i/>
          <w:iCs/>
        </w:rPr>
        <w:t>Script – Dyslexia</w:t>
      </w:r>
    </w:p>
    <w:p w14:paraId="6CBCADFC" w14:textId="77777777" w:rsidR="00647DE4" w:rsidRDefault="00647DE4" w:rsidP="00647DE4">
      <w:pPr>
        <w:jc w:val="center"/>
        <w:rPr>
          <w:i/>
          <w:iCs/>
        </w:rPr>
      </w:pPr>
    </w:p>
    <w:p w14:paraId="33FA1E92" w14:textId="77777777" w:rsidR="00647DE4" w:rsidRDefault="00647DE4" w:rsidP="00647DE4">
      <w:pPr>
        <w:jc w:val="center"/>
        <w:rPr>
          <w:i/>
          <w:iCs/>
        </w:rPr>
      </w:pPr>
    </w:p>
    <w:p w14:paraId="5DF14D18" w14:textId="76B500FC" w:rsidR="00647DE4" w:rsidRPr="00FA1DB4" w:rsidRDefault="007868A4" w:rsidP="00647DE4">
      <w:r w:rsidRPr="00FA1DB4">
        <w:t>Dyslexia is a type of learning disability that primarily impacts a child's reading, writing, and spelling abilities. It is not caused by deficiencies in general intellect, but rather by neurocognitive impairments in language processing (Snowling and Hulme, 2</w:t>
      </w:r>
      <w:r w:rsidR="00E63A77">
        <w:t>020</w:t>
      </w:r>
      <w:r w:rsidRPr="00FA1DB4">
        <w:t>; NHS, 2025). Research indicates that dyslexia may be detected in early childhood, possibly as early as age two, by closely monitoring developing phonological and oral language abilities, which serve as the basis for later literacy development (Snowling and Hulme, 20</w:t>
      </w:r>
      <w:r w:rsidR="00E63A77">
        <w:t>20</w:t>
      </w:r>
      <w:r w:rsidR="0040060C" w:rsidRPr="00FA1DB4">
        <w:t xml:space="preserve"> and </w:t>
      </w:r>
      <w:r w:rsidR="0040060C" w:rsidRPr="00FA1DB4">
        <w:rPr>
          <w:rFonts w:cs="Arial"/>
          <w:color w:val="222222"/>
          <w:shd w:val="clear" w:color="auto" w:fill="FFFFFF"/>
        </w:rPr>
        <w:t>Kalashnikova</w:t>
      </w:r>
      <w:r w:rsidR="0040060C" w:rsidRPr="00FA1DB4">
        <w:rPr>
          <w:rFonts w:cs="Arial"/>
          <w:color w:val="222222"/>
          <w:shd w:val="clear" w:color="auto" w:fill="FFFFFF"/>
        </w:rPr>
        <w:t>, 2019</w:t>
      </w:r>
      <w:r w:rsidRPr="00FA1DB4">
        <w:t>). Early signs of dyslexia, such as trouble learning nursery rhymes, identifying sounds, or reciting the alphabet, are common in children at risk (British Dyslexia Association, 2025; Healthier Together, 2025). These signs suggest underlying problems with phonological awareness and memory.</w:t>
      </w:r>
      <w:r w:rsidR="00014034" w:rsidRPr="00FA1DB4">
        <w:t xml:space="preserve"> </w:t>
      </w:r>
      <w:r w:rsidR="00F22340" w:rsidRPr="00FA1DB4">
        <w:t>In addition to limiting the child's ability to meet literacy milestones at the same rate as their peers and possibly impacting broader educational engagement and self-confidence, these early challenges can have cumulative effects on academic progress if prompt intervention is not provided (Dilnot et al., 2016; Snowling and Hulme, 20</w:t>
      </w:r>
      <w:r w:rsidR="00E63A77">
        <w:t>20</w:t>
      </w:r>
      <w:r w:rsidR="00F22340" w:rsidRPr="00FA1DB4">
        <w:t>). This emphasises how crucial early detection and evidence-based assistance are in educational settings to reduce long-term disadvantage and advance fair learning opportunities</w:t>
      </w:r>
      <w:r w:rsidR="00021A6B" w:rsidRPr="00FA1DB4">
        <w:t xml:space="preserve"> (Chen,2017, Hellan</w:t>
      </w:r>
      <w:r w:rsidR="00876E1C" w:rsidRPr="00FA1DB4">
        <w:t xml:space="preserve">d, </w:t>
      </w:r>
      <w:r w:rsidR="00021A6B" w:rsidRPr="00FA1DB4">
        <w:t>2017</w:t>
      </w:r>
      <w:r w:rsidR="00FE71EA">
        <w:t>;</w:t>
      </w:r>
      <w:r w:rsidR="00021A6B" w:rsidRPr="00FA1DB4">
        <w:t xml:space="preserve"> and </w:t>
      </w:r>
      <w:r w:rsidR="00876E1C" w:rsidRPr="00FA1DB4">
        <w:rPr>
          <w:rFonts w:cs="Arial"/>
          <w:color w:val="222222"/>
          <w:shd w:val="clear" w:color="auto" w:fill="FFFFFF"/>
        </w:rPr>
        <w:t>Lyytinen</w:t>
      </w:r>
      <w:r w:rsidR="00876E1C" w:rsidRPr="00FA1DB4">
        <w:rPr>
          <w:rFonts w:cs="Arial"/>
          <w:color w:val="222222"/>
          <w:shd w:val="clear" w:color="auto" w:fill="FFFFFF"/>
        </w:rPr>
        <w:t xml:space="preserve"> et al, 2004).</w:t>
      </w:r>
    </w:p>
    <w:p w14:paraId="7F162925" w14:textId="77777777" w:rsidR="007868A4" w:rsidRPr="00FA1DB4" w:rsidRDefault="007868A4" w:rsidP="00647DE4"/>
    <w:p w14:paraId="3ED441E9" w14:textId="1D87CE0F" w:rsidR="00647DE4" w:rsidRPr="00FA1DB4" w:rsidRDefault="00647DE4" w:rsidP="00647DE4">
      <w:r w:rsidRPr="00FA1DB4">
        <w:t>According to research,</w:t>
      </w:r>
      <w:r w:rsidR="00FC4DEE" w:rsidRPr="00FA1DB4">
        <w:t xml:space="preserve"> by Hobbs (2020) and J</w:t>
      </w:r>
      <w:r w:rsidR="00FC4DEE" w:rsidRPr="00FA1DB4">
        <w:rPr>
          <w:rFonts w:cs="Arial"/>
          <w:color w:val="222222"/>
          <w:shd w:val="clear" w:color="auto" w:fill="FFFFFF"/>
        </w:rPr>
        <w:t>iménez</w:t>
      </w:r>
      <w:r w:rsidR="00FC4DEE" w:rsidRPr="00FA1DB4">
        <w:rPr>
          <w:rFonts w:cs="Arial"/>
          <w:color w:val="222222"/>
          <w:shd w:val="clear" w:color="auto" w:fill="FFFFFF"/>
        </w:rPr>
        <w:t xml:space="preserve"> (2011),</w:t>
      </w:r>
      <w:r w:rsidRPr="00FA1DB4">
        <w:t xml:space="preserve"> dyslexia can be identified differently across genders and ages. For example, in younger children, difficulties with phonological processing and early literacy skills are common, whereas in older children and adolescents, problems with reading fluency, spelling, and cognitive tasks are more common (Snowling &amp; Hulme, 20</w:t>
      </w:r>
      <w:r w:rsidR="000B42B8">
        <w:t>20</w:t>
      </w:r>
      <w:r w:rsidR="00FC4DEE" w:rsidRPr="00FA1DB4">
        <w:t xml:space="preserve">, Hobbs, 2020 and </w:t>
      </w:r>
      <w:r w:rsidR="00FC4DEE" w:rsidRPr="00FA1DB4">
        <w:rPr>
          <w:rFonts w:cs="Arial"/>
          <w:color w:val="222222"/>
          <w:shd w:val="clear" w:color="auto" w:fill="FFFFFF"/>
        </w:rPr>
        <w:t>Jiménez, 2011</w:t>
      </w:r>
      <w:r w:rsidRPr="00FA1DB4">
        <w:t>). Studies</w:t>
      </w:r>
      <w:r w:rsidR="00816E7F" w:rsidRPr="00FA1DB4">
        <w:t xml:space="preserve"> by </w:t>
      </w:r>
      <w:r w:rsidR="00DF004E" w:rsidRPr="00FA1DB4">
        <w:t>Colenbrander et al (2018)</w:t>
      </w:r>
      <w:r w:rsidRPr="00FA1DB4">
        <w:t xml:space="preserve"> consistently show that boys are more frequently identified and referred for dyslexia, partly because their reading difficulties are coupled with observable classroom behaviour. </w:t>
      </w:r>
      <w:r w:rsidR="005E75F5" w:rsidRPr="00FA1DB4">
        <w:t>Whereas</w:t>
      </w:r>
      <w:r w:rsidRPr="00FA1DB4">
        <w:t xml:space="preserve"> </w:t>
      </w:r>
      <w:r w:rsidR="00C16BB3" w:rsidRPr="00FA1DB4">
        <w:t xml:space="preserve">according to </w:t>
      </w:r>
      <w:r w:rsidR="00C16BB3" w:rsidRPr="00FA1DB4">
        <w:t>Roitsch</w:t>
      </w:r>
      <w:r w:rsidR="00C16BB3" w:rsidRPr="00FA1DB4">
        <w:t xml:space="preserve"> (</w:t>
      </w:r>
      <w:r w:rsidR="00C16BB3" w:rsidRPr="00FA1DB4">
        <w:t>2019)</w:t>
      </w:r>
      <w:r w:rsidR="00C16BB3" w:rsidRPr="00FA1DB4">
        <w:t xml:space="preserve">, </w:t>
      </w:r>
      <w:r w:rsidRPr="00FA1DB4">
        <w:t xml:space="preserve">girls are more likely to mask </w:t>
      </w:r>
      <w:r w:rsidR="00895158" w:rsidRPr="00FA1DB4">
        <w:t>t</w:t>
      </w:r>
      <w:r w:rsidRPr="00FA1DB4">
        <w:t>heir difficulties and use strategies such as verbal memory and mirroring behaviour to hide their struggles with dyslexia</w:t>
      </w:r>
      <w:r w:rsidR="00DF004E" w:rsidRPr="00FA1DB4">
        <w:t>.</w:t>
      </w:r>
      <w:r w:rsidRPr="00FA1DB4">
        <w:t xml:space="preserve"> Which makes it less obvious to teachers and parents, resulting in a late referral for dyslexia</w:t>
      </w:r>
      <w:r w:rsidR="00C16BB3" w:rsidRPr="00FA1DB4">
        <w:t xml:space="preserve"> (Roitsch, 2019).</w:t>
      </w:r>
      <w:r w:rsidRPr="00FA1DB4">
        <w:t xml:space="preserve"> To ensure dyslexia is detected in all learners, regardless of gender, accurate identification requires age-appropriate screening that </w:t>
      </w:r>
      <w:r w:rsidR="00895158" w:rsidRPr="00FA1DB4">
        <w:t>considers</w:t>
      </w:r>
      <w:r w:rsidRPr="00FA1DB4">
        <w:t xml:space="preserve"> both overt behavioural symptoms and subtler compensatory behaviours</w:t>
      </w:r>
      <w:r w:rsidR="00DF004E" w:rsidRPr="00FA1DB4">
        <w:t xml:space="preserve"> (Linstrom</w:t>
      </w:r>
      <w:r w:rsidR="00B6142E" w:rsidRPr="00FA1DB4">
        <w:t>, 2019 and Colenbrander,2018).</w:t>
      </w:r>
    </w:p>
    <w:p w14:paraId="0BE18E84" w14:textId="77777777" w:rsidR="00233CF4" w:rsidRPr="00FA1DB4" w:rsidRDefault="00233CF4" w:rsidP="00647DE4"/>
    <w:p w14:paraId="620F1150" w14:textId="1F866BAC" w:rsidR="00897505" w:rsidRPr="00FA1DB4" w:rsidRDefault="00233CF4" w:rsidP="00647DE4">
      <w:pPr>
        <w:rPr>
          <w:color w:val="000000"/>
        </w:rPr>
      </w:pPr>
      <w:r w:rsidRPr="00FA1DB4">
        <w:rPr>
          <w:color w:val="000000"/>
        </w:rPr>
        <w:t>Despite growing awareness of dyslexia, children and young people continue to face significant barriers to learning that can impede educational progress</w:t>
      </w:r>
      <w:r w:rsidR="00F7292B">
        <w:rPr>
          <w:color w:val="000000"/>
        </w:rPr>
        <w:t xml:space="preserve"> (zhou,2022).</w:t>
      </w:r>
      <w:r w:rsidRPr="00FA1DB4">
        <w:rPr>
          <w:color w:val="000000"/>
        </w:rPr>
        <w:t xml:space="preserve"> One major challenge relates to literacy-specific difficulties such as</w:t>
      </w:r>
      <w:r w:rsidRPr="00FA1DB4">
        <w:rPr>
          <w:rStyle w:val="apple-converted-space"/>
          <w:color w:val="000000"/>
        </w:rPr>
        <w:t> </w:t>
      </w:r>
      <w:r w:rsidRPr="00FA1DB4">
        <w:rPr>
          <w:rStyle w:val="Strong"/>
          <w:b w:val="0"/>
          <w:bCs w:val="0"/>
          <w:color w:val="000000"/>
        </w:rPr>
        <w:t>spelling and handwriting</w:t>
      </w:r>
      <w:r w:rsidRPr="00FA1DB4">
        <w:rPr>
          <w:b/>
          <w:bCs/>
          <w:color w:val="000000"/>
        </w:rPr>
        <w:t>,</w:t>
      </w:r>
      <w:r w:rsidRPr="00FA1DB4">
        <w:rPr>
          <w:color w:val="000000"/>
        </w:rPr>
        <w:t xml:space="preserve"> which can affect academic performance and self-confidence if not adequately supported (</w:t>
      </w:r>
      <w:r w:rsidR="009770B0" w:rsidRPr="00FA1DB4">
        <w:rPr>
          <w:color w:val="000000"/>
        </w:rPr>
        <w:t>Welston,2023</w:t>
      </w:r>
      <w:r w:rsidRPr="00FA1DB4">
        <w:rPr>
          <w:color w:val="000000"/>
        </w:rPr>
        <w:t>). Additionally, the process of obtaining a dyslexia diagnosis often presents obstacles</w:t>
      </w:r>
      <w:r w:rsidR="009770B0" w:rsidRPr="00FA1DB4">
        <w:rPr>
          <w:color w:val="000000"/>
        </w:rPr>
        <w:t xml:space="preserve">; </w:t>
      </w:r>
      <w:r w:rsidRPr="00FA1DB4">
        <w:rPr>
          <w:color w:val="000000"/>
        </w:rPr>
        <w:t>research highlights that delays in assessment</w:t>
      </w:r>
      <w:r w:rsidR="005B0ACF" w:rsidRPr="00FA1DB4">
        <w:rPr>
          <w:color w:val="000000"/>
        </w:rPr>
        <w:t xml:space="preserve"> </w:t>
      </w:r>
      <w:r w:rsidRPr="00FA1DB4">
        <w:rPr>
          <w:color w:val="000000"/>
        </w:rPr>
        <w:t xml:space="preserve">and inconsistencies in referral pathways can result in children not receiving timely or appropriate </w:t>
      </w:r>
      <w:bookmarkStart w:id="0" w:name="OLE_LINK1"/>
      <w:r w:rsidRPr="00FA1DB4">
        <w:rPr>
          <w:color w:val="000000"/>
        </w:rPr>
        <w:t>support (Cunningham, 2021; Harding</w:t>
      </w:r>
      <w:r w:rsidRPr="00FA1DB4">
        <w:rPr>
          <w:rStyle w:val="apple-converted-space"/>
          <w:color w:val="000000"/>
        </w:rPr>
        <w:t> </w:t>
      </w:r>
      <w:r w:rsidRPr="00FA1DB4">
        <w:rPr>
          <w:rStyle w:val="Emphasis"/>
          <w:color w:val="000000"/>
        </w:rPr>
        <w:t>et al.</w:t>
      </w:r>
      <w:r w:rsidRPr="00FA1DB4">
        <w:rPr>
          <w:color w:val="000000"/>
        </w:rPr>
        <w:t>, 2023). Within schools, teacher understanding and preparedness to support dyslexic learners is variable, with many educators lacking the training or confidence to implement inclusive strategies effectively, thereby limiting access to appropriate interventions (Worthy</w:t>
      </w:r>
      <w:r w:rsidRPr="00FA1DB4">
        <w:rPr>
          <w:rStyle w:val="apple-converted-space"/>
          <w:color w:val="000000"/>
        </w:rPr>
        <w:t> </w:t>
      </w:r>
      <w:r w:rsidRPr="00FA1DB4">
        <w:rPr>
          <w:rStyle w:val="Emphasis"/>
          <w:color w:val="000000"/>
        </w:rPr>
        <w:t>et al.</w:t>
      </w:r>
      <w:r w:rsidRPr="00FA1DB4">
        <w:rPr>
          <w:color w:val="000000"/>
        </w:rPr>
        <w:t xml:space="preserve">, 2016; </w:t>
      </w:r>
      <w:r w:rsidRPr="00FA1DB4">
        <w:rPr>
          <w:color w:val="000000"/>
        </w:rPr>
        <w:lastRenderedPageBreak/>
        <w:t xml:space="preserve">Reid and Came, 2009). </w:t>
      </w:r>
      <w:bookmarkEnd w:id="0"/>
      <w:r w:rsidRPr="00FA1DB4">
        <w:rPr>
          <w:color w:val="000000"/>
        </w:rPr>
        <w:t xml:space="preserve">Furthermore, systemic and structural factors, such as resource limitations, high student-to-teacher ratios, and rigid curriculum requirements, </w:t>
      </w:r>
      <w:r w:rsidR="008E46A7" w:rsidRPr="00FA1DB4">
        <w:rPr>
          <w:color w:val="000000"/>
        </w:rPr>
        <w:t>impair</w:t>
      </w:r>
      <w:r w:rsidRPr="00FA1DB4">
        <w:rPr>
          <w:color w:val="000000"/>
        </w:rPr>
        <w:t xml:space="preserve"> the barriers experienced by dyslexic pupils, often requiring parents and caregivers to advocate persistently for tailored support (Harding</w:t>
      </w:r>
      <w:r w:rsidRPr="00FA1DB4">
        <w:rPr>
          <w:rStyle w:val="apple-converted-space"/>
          <w:color w:val="000000"/>
        </w:rPr>
        <w:t> </w:t>
      </w:r>
      <w:r w:rsidRPr="00FA1DB4">
        <w:rPr>
          <w:rStyle w:val="Emphasis"/>
          <w:color w:val="000000"/>
        </w:rPr>
        <w:t>et al.</w:t>
      </w:r>
      <w:r w:rsidRPr="00FA1DB4">
        <w:rPr>
          <w:color w:val="000000"/>
        </w:rPr>
        <w:t>, 2023; Reid and Came, 2009). These challenges collectively underscore the multifaceted nature of barriers to learning for dyslexic children, highlighting the need for comprehensive approaches that combine early identification, teacher training, and adaptive classroom practices to mitigate disadvantage and promote equitable educational outcomes</w:t>
      </w:r>
      <w:r w:rsidR="00B22C59" w:rsidRPr="00FA1DB4">
        <w:rPr>
          <w:color w:val="000000"/>
        </w:rPr>
        <w:t xml:space="preserve"> (Knight, 2018; Snowling,2013 and </w:t>
      </w:r>
      <w:r w:rsidR="00B22C59" w:rsidRPr="00FA1DB4">
        <w:rPr>
          <w:rFonts w:cs="Arial"/>
          <w:color w:val="222222"/>
          <w:shd w:val="clear" w:color="auto" w:fill="FFFFFF"/>
        </w:rPr>
        <w:t>Lemperou</w:t>
      </w:r>
      <w:r w:rsidR="00B22C59" w:rsidRPr="00FA1DB4">
        <w:rPr>
          <w:rFonts w:cs="Arial"/>
          <w:color w:val="222222"/>
          <w:shd w:val="clear" w:color="auto" w:fill="FFFFFF"/>
        </w:rPr>
        <w:t>, 2011).</w:t>
      </w:r>
    </w:p>
    <w:p w14:paraId="741D4FC1" w14:textId="77777777" w:rsidR="00897505" w:rsidRPr="00FA1DB4" w:rsidRDefault="00897505" w:rsidP="00647DE4">
      <w:pPr>
        <w:rPr>
          <w:color w:val="000000"/>
        </w:rPr>
      </w:pPr>
    </w:p>
    <w:p w14:paraId="144598B2" w14:textId="259F6C62" w:rsidR="00233CF4" w:rsidRPr="00FA1DB4" w:rsidRDefault="007328B5" w:rsidP="00647DE4">
      <w:r w:rsidRPr="00FA1DB4">
        <w:rPr>
          <w:color w:val="000000"/>
        </w:rPr>
        <w:t>In addition to literacy difficulties, dyslexia is linked to substantial emotional and psychological obstacles that can impact a child's self-esteem and mental well-being</w:t>
      </w:r>
      <w:r w:rsidR="00AF1CBA" w:rsidRPr="00FA1DB4">
        <w:rPr>
          <w:color w:val="000000"/>
        </w:rPr>
        <w:t xml:space="preserve"> (Livingston,2018). </w:t>
      </w:r>
      <w:r w:rsidRPr="00FA1DB4">
        <w:rPr>
          <w:color w:val="000000"/>
        </w:rPr>
        <w:t>In comparison to their typically developing peers, children with reading difficulties, including dyslexia</w:t>
      </w:r>
      <w:r w:rsidR="00B10E2F">
        <w:rPr>
          <w:color w:val="000000"/>
        </w:rPr>
        <w:t>,</w:t>
      </w:r>
      <w:r w:rsidRPr="00FA1DB4">
        <w:rPr>
          <w:color w:val="000000"/>
        </w:rPr>
        <w:t xml:space="preserve"> show higher levels of internalising symptoms, such as anxiety, withdrawal, and depressive tendencies, according to </w:t>
      </w:r>
      <w:r w:rsidR="00A658C7">
        <w:rPr>
          <w:color w:val="000000"/>
        </w:rPr>
        <w:t xml:space="preserve">the </w:t>
      </w:r>
      <w:r w:rsidRPr="00FA1DB4">
        <w:rPr>
          <w:color w:val="000000"/>
        </w:rPr>
        <w:t>Internation</w:t>
      </w:r>
      <w:r w:rsidR="00841BAB" w:rsidRPr="00FA1DB4">
        <w:rPr>
          <w:color w:val="000000"/>
        </w:rPr>
        <w:t>al</w:t>
      </w:r>
      <w:r w:rsidRPr="00FA1DB4">
        <w:rPr>
          <w:color w:val="000000"/>
        </w:rPr>
        <w:t xml:space="preserve"> Dyslexia Association (n.d). This suggests that emotional stress and behavioural issues frequently coexist with literacy issues (BMC Psychology, 2024; Lopez-</w:t>
      </w:r>
      <w:r w:rsidR="00B10E2F">
        <w:rPr>
          <w:color w:val="000000"/>
        </w:rPr>
        <w:t>Z</w:t>
      </w:r>
      <w:r w:rsidRPr="00FA1DB4">
        <w:rPr>
          <w:color w:val="000000"/>
        </w:rPr>
        <w:t xml:space="preserve">amora, 2024). The persistence of psychological impacts over time and the necessity for comprehensive assistance beyond academic intervention are highlighted by longitudinal studies that link dyslexia to higher symptoms of stress and depression (Li et al., 2023). </w:t>
      </w:r>
      <w:r w:rsidR="00897505" w:rsidRPr="00FA1DB4">
        <w:rPr>
          <w:color w:val="000000"/>
        </w:rPr>
        <w:t>Dyslexic pupils also report</w:t>
      </w:r>
      <w:r w:rsidR="00897505" w:rsidRPr="00FA1DB4">
        <w:rPr>
          <w:rStyle w:val="apple-converted-space"/>
          <w:color w:val="000000"/>
        </w:rPr>
        <w:t> </w:t>
      </w:r>
      <w:r w:rsidR="00897505" w:rsidRPr="00FA1DB4">
        <w:rPr>
          <w:rStyle w:val="Strong"/>
          <w:b w:val="0"/>
          <w:bCs w:val="0"/>
          <w:color w:val="000000"/>
        </w:rPr>
        <w:t>lower self</w:t>
      </w:r>
      <w:r w:rsidR="009F1ED2" w:rsidRPr="00FA1DB4">
        <w:rPr>
          <w:rStyle w:val="Strong"/>
          <w:b w:val="0"/>
          <w:bCs w:val="0"/>
          <w:color w:val="000000"/>
        </w:rPr>
        <w:t>-</w:t>
      </w:r>
      <w:r w:rsidR="00897505" w:rsidRPr="00FA1DB4">
        <w:rPr>
          <w:rStyle w:val="Strong"/>
          <w:b w:val="0"/>
          <w:bCs w:val="0"/>
          <w:color w:val="000000"/>
        </w:rPr>
        <w:t>esteem and poorer quality of life</w:t>
      </w:r>
      <w:r w:rsidR="00897505" w:rsidRPr="00FA1DB4">
        <w:rPr>
          <w:color w:val="000000"/>
        </w:rPr>
        <w:t>, with difficulties in peer relations, academic self</w:t>
      </w:r>
      <w:r w:rsidR="009F1ED2" w:rsidRPr="00FA1DB4">
        <w:rPr>
          <w:color w:val="000000"/>
        </w:rPr>
        <w:t>-</w:t>
      </w:r>
      <w:r w:rsidR="00897505" w:rsidRPr="00FA1DB4">
        <w:rPr>
          <w:color w:val="000000"/>
        </w:rPr>
        <w:t>concept and social communication contributing to negative self</w:t>
      </w:r>
      <w:r w:rsidR="00B10E2F">
        <w:rPr>
          <w:color w:val="000000"/>
        </w:rPr>
        <w:t>-</w:t>
      </w:r>
      <w:r w:rsidR="00897505" w:rsidRPr="00FA1DB4">
        <w:rPr>
          <w:color w:val="000000"/>
        </w:rPr>
        <w:t>perceptions, reduced participation and emotional distress (</w:t>
      </w:r>
      <w:r w:rsidR="00BA5B00" w:rsidRPr="00FA1DB4">
        <w:rPr>
          <w:color w:val="000000"/>
        </w:rPr>
        <w:t>Lopez-zamora</w:t>
      </w:r>
      <w:r w:rsidR="00BA5B00" w:rsidRPr="00FA1DB4">
        <w:rPr>
          <w:color w:val="000000"/>
        </w:rPr>
        <w:t xml:space="preserve"> </w:t>
      </w:r>
      <w:r w:rsidR="00897505" w:rsidRPr="00FA1DB4">
        <w:rPr>
          <w:color w:val="000000"/>
        </w:rPr>
        <w:t>202</w:t>
      </w:r>
      <w:r w:rsidR="00BA5B00" w:rsidRPr="00FA1DB4">
        <w:rPr>
          <w:color w:val="000000"/>
        </w:rPr>
        <w:t>4</w:t>
      </w:r>
      <w:r w:rsidR="00B271E8" w:rsidRPr="00FA1DB4">
        <w:rPr>
          <w:color w:val="000000"/>
        </w:rPr>
        <w:t xml:space="preserve"> and Sako</w:t>
      </w:r>
      <w:r w:rsidR="00B10E2F">
        <w:rPr>
          <w:color w:val="000000"/>
        </w:rPr>
        <w:t>,</w:t>
      </w:r>
      <w:r w:rsidR="00B271E8" w:rsidRPr="00FA1DB4">
        <w:rPr>
          <w:color w:val="000000"/>
        </w:rPr>
        <w:t xml:space="preserve"> 2016)</w:t>
      </w:r>
      <w:r w:rsidR="00897505" w:rsidRPr="00FA1DB4">
        <w:rPr>
          <w:color w:val="000000"/>
        </w:rPr>
        <w:t>.</w:t>
      </w:r>
    </w:p>
    <w:p w14:paraId="1516B709" w14:textId="77777777" w:rsidR="00895158" w:rsidRPr="00FA1DB4" w:rsidRDefault="00895158" w:rsidP="00647DE4"/>
    <w:p w14:paraId="2FADE550" w14:textId="77777777" w:rsidR="00895158" w:rsidRPr="00FA1DB4" w:rsidRDefault="00895158" w:rsidP="00647DE4"/>
    <w:p w14:paraId="4EA74532" w14:textId="63655219" w:rsidR="00895158" w:rsidRPr="00FA1DB4" w:rsidRDefault="00472C29" w:rsidP="00647DE4">
      <w:r w:rsidRPr="00FA1DB4">
        <w:t>Beyond their challenges with literacy, people with dyslexia frequently possess a variety of abilities and characteristics. Many exhibit a high level of visual-spatial awareness, which facilitates their comprehension and manipulation of maps, diagrams, and patterns</w:t>
      </w:r>
      <w:r w:rsidR="00696F5A" w:rsidRPr="00FA1DB4">
        <w:t xml:space="preserve"> (Kannagarah, 2018). </w:t>
      </w:r>
      <w:r w:rsidRPr="00FA1DB4">
        <w:t>Additionally, they could be good at problem-solving and creative thinking, employing new techniques to discover answers that others would miss</w:t>
      </w:r>
      <w:r w:rsidR="008F1652" w:rsidRPr="00FA1DB4">
        <w:t xml:space="preserve"> (</w:t>
      </w:r>
      <w:r w:rsidR="008F1652" w:rsidRPr="00FA1DB4">
        <w:rPr>
          <w:rFonts w:cs="Arial"/>
          <w:color w:val="222222"/>
          <w:shd w:val="clear" w:color="auto" w:fill="FFFFFF"/>
        </w:rPr>
        <w:t xml:space="preserve">Vosoughi </w:t>
      </w:r>
      <w:r w:rsidR="002337B5" w:rsidRPr="00FA1DB4">
        <w:rPr>
          <w:rFonts w:cs="Arial"/>
          <w:color w:val="222222"/>
          <w:shd w:val="clear" w:color="auto" w:fill="FFFFFF"/>
        </w:rPr>
        <w:t>Kalantari</w:t>
      </w:r>
      <w:r w:rsidR="002337B5" w:rsidRPr="00FA1DB4">
        <w:t xml:space="preserve"> et</w:t>
      </w:r>
      <w:r w:rsidR="008F1652" w:rsidRPr="00FA1DB4">
        <w:t xml:space="preserve"> al 2025). </w:t>
      </w:r>
      <w:r w:rsidRPr="00FA1DB4">
        <w:t>People with dyslexia often exhibit holistic or big-picture thinking, which enables them to recognise patterns and make connections between concepts</w:t>
      </w:r>
      <w:r w:rsidR="00BE6A43" w:rsidRPr="00FA1DB4">
        <w:t xml:space="preserve"> </w:t>
      </w:r>
      <w:r w:rsidR="00E14519" w:rsidRPr="00FA1DB4">
        <w:t>(</w:t>
      </w:r>
      <w:r w:rsidR="00BE6A43" w:rsidRPr="00FA1DB4">
        <w:rPr>
          <w:color w:val="000000"/>
        </w:rPr>
        <w:t>El Hachimi, S., Rafiq, M. and Ouchaouka, L</w:t>
      </w:r>
      <w:r w:rsidR="00E14519" w:rsidRPr="00FA1DB4">
        <w:rPr>
          <w:color w:val="000000"/>
        </w:rPr>
        <w:t xml:space="preserve">, </w:t>
      </w:r>
      <w:r w:rsidR="00BE6A43" w:rsidRPr="00FA1DB4">
        <w:rPr>
          <w:color w:val="000000"/>
        </w:rPr>
        <w:t>2025)</w:t>
      </w:r>
      <w:r w:rsidR="00BE6A43" w:rsidRPr="00FA1DB4">
        <w:rPr>
          <w:color w:val="000000"/>
        </w:rPr>
        <w:t>.</w:t>
      </w:r>
      <w:r w:rsidR="006444F0" w:rsidRPr="00FA1DB4">
        <w:t xml:space="preserve"> </w:t>
      </w:r>
      <w:r w:rsidRPr="00FA1DB4">
        <w:t>Entrepreneurial thinking, artistic talent, practical abilities, and effective oral communication are additional common strengths that can help individuals thrive in a variety of academic, social, and professional environments</w:t>
      </w:r>
      <w:r w:rsidR="00BE6A43" w:rsidRPr="00FA1DB4">
        <w:t xml:space="preserve"> </w:t>
      </w:r>
      <w:r w:rsidR="006444F0" w:rsidRPr="00FA1DB4">
        <w:t>(</w:t>
      </w:r>
      <w:r w:rsidR="00BE6A43" w:rsidRPr="00FA1DB4">
        <w:rPr>
          <w:color w:val="000000"/>
        </w:rPr>
        <w:t>Miller, E.K.</w:t>
      </w:r>
      <w:r w:rsidR="00BE6A43" w:rsidRPr="00FA1DB4">
        <w:rPr>
          <w:rStyle w:val="apple-converted-space"/>
          <w:color w:val="000000"/>
        </w:rPr>
        <w:t> </w:t>
      </w:r>
      <w:r w:rsidR="00BE6A43" w:rsidRPr="00FA1DB4">
        <w:rPr>
          <w:rStyle w:val="Emphasis"/>
          <w:color w:val="000000"/>
        </w:rPr>
        <w:t>et al.</w:t>
      </w:r>
      <w:r w:rsidR="00BE6A43" w:rsidRPr="00FA1DB4">
        <w:rPr>
          <w:rStyle w:val="apple-converted-space"/>
          <w:color w:val="000000"/>
        </w:rPr>
        <w:t> </w:t>
      </w:r>
      <w:r w:rsidR="00BE6A43" w:rsidRPr="00FA1DB4">
        <w:rPr>
          <w:color w:val="000000"/>
        </w:rPr>
        <w:t>2025)</w:t>
      </w:r>
      <w:r w:rsidR="00BE6A43" w:rsidRPr="00FA1DB4">
        <w:rPr>
          <w:color w:val="000000"/>
        </w:rPr>
        <w:t xml:space="preserve">. </w:t>
      </w:r>
      <w:r w:rsidR="00836C87" w:rsidRPr="00FA1DB4">
        <w:t>Crucially, these advantages can be carefully utilised in the classroom to promote inclusivity and learning. Children with dyslexia can more fairly access the curriculum when strengths-based pedagogy is paired with evidence-based literacy therapies</w:t>
      </w:r>
      <w:r w:rsidR="00DE2809" w:rsidRPr="00FA1DB4">
        <w:t xml:space="preserve"> </w:t>
      </w:r>
      <w:r w:rsidR="00E14519" w:rsidRPr="00FA1DB4">
        <w:t>(</w:t>
      </w:r>
      <w:r w:rsidR="00DE2809" w:rsidRPr="00FA1DB4">
        <w:rPr>
          <w:color w:val="000000"/>
        </w:rPr>
        <w:t>Han, W.</w:t>
      </w:r>
      <w:r w:rsidR="00E14519" w:rsidRPr="00FA1DB4">
        <w:rPr>
          <w:color w:val="000000"/>
        </w:rPr>
        <w:t>,</w:t>
      </w:r>
      <w:r w:rsidR="00DE2809" w:rsidRPr="00FA1DB4">
        <w:rPr>
          <w:color w:val="000000"/>
        </w:rPr>
        <w:t xml:space="preserve"> 2025</w:t>
      </w:r>
      <w:r w:rsidR="002337B5" w:rsidRPr="00FA1DB4">
        <w:rPr>
          <w:color w:val="000000"/>
        </w:rPr>
        <w:t>)</w:t>
      </w:r>
      <w:r w:rsidR="002337B5" w:rsidRPr="00FA1DB4">
        <w:rPr>
          <w:rStyle w:val="apple-converted-space"/>
          <w:color w:val="000000"/>
        </w:rPr>
        <w:t>.</w:t>
      </w:r>
      <w:r w:rsidR="00E14519" w:rsidRPr="00FA1DB4">
        <w:rPr>
          <w:rStyle w:val="apple-converted-space"/>
          <w:color w:val="000000"/>
        </w:rPr>
        <w:t xml:space="preserve"> </w:t>
      </w:r>
      <w:r w:rsidR="00836C87" w:rsidRPr="00FA1DB4">
        <w:t>According to Dyslexia UK (2024), visual organisers, project-based learning, and collaborative projects, for instance, enable students to utilise their abilities while decreasing an excessive dependence on textual output, so encouraging confidence and engagement. By coordinating organised literacy interventions with inclusive teaching methods, dyslexic students are assisted not just to overcome obstacles but also to succeed in all subject areas</w:t>
      </w:r>
      <w:r w:rsidR="00134578" w:rsidRPr="00FA1DB4">
        <w:t xml:space="preserve"> </w:t>
      </w:r>
      <w:r w:rsidR="00E14519" w:rsidRPr="00FA1DB4">
        <w:t>(</w:t>
      </w:r>
      <w:r w:rsidR="00134578" w:rsidRPr="00FA1DB4">
        <w:rPr>
          <w:color w:val="000000"/>
        </w:rPr>
        <w:t>Černickaja and Sokolová</w:t>
      </w:r>
      <w:r w:rsidR="00F85F53" w:rsidRPr="00FA1DB4">
        <w:rPr>
          <w:color w:val="000000"/>
        </w:rPr>
        <w:t xml:space="preserve">, </w:t>
      </w:r>
      <w:r w:rsidR="00134578" w:rsidRPr="00FA1DB4">
        <w:rPr>
          <w:color w:val="000000"/>
        </w:rPr>
        <w:t>2024)</w:t>
      </w:r>
      <w:r w:rsidR="00E14519" w:rsidRPr="00FA1DB4">
        <w:rPr>
          <w:rStyle w:val="apple-converted-space"/>
          <w:color w:val="000000"/>
        </w:rPr>
        <w:t xml:space="preserve">. </w:t>
      </w:r>
      <w:r w:rsidR="00836C87" w:rsidRPr="00FA1DB4">
        <w:t xml:space="preserve">By presenting dyslexic </w:t>
      </w:r>
      <w:r w:rsidR="00F85F53" w:rsidRPr="00FA1DB4">
        <w:t>children</w:t>
      </w:r>
      <w:r w:rsidR="00836C87" w:rsidRPr="00FA1DB4">
        <w:t xml:space="preserve"> as competent learners whose skills</w:t>
      </w:r>
      <w:r w:rsidR="002C687E" w:rsidRPr="00FA1DB4">
        <w:t xml:space="preserve"> are</w:t>
      </w:r>
      <w:r w:rsidR="00836C87" w:rsidRPr="00FA1DB4">
        <w:t xml:space="preserve"> acknowledged and developed, </w:t>
      </w:r>
      <w:r w:rsidR="00836C87" w:rsidRPr="00FA1DB4">
        <w:lastRenderedPageBreak/>
        <w:t>significantly contribut</w:t>
      </w:r>
      <w:r w:rsidR="002C687E" w:rsidRPr="00FA1DB4">
        <w:t>ing</w:t>
      </w:r>
      <w:r w:rsidR="00836C87" w:rsidRPr="00FA1DB4">
        <w:t xml:space="preserve"> to academic success and well-being, this well-rounded approach represents best practices in inclusive education</w:t>
      </w:r>
      <w:r w:rsidR="00134578" w:rsidRPr="00FA1DB4">
        <w:t xml:space="preserve"> </w:t>
      </w:r>
      <w:r w:rsidR="00E14519" w:rsidRPr="00FA1DB4">
        <w:t>(</w:t>
      </w:r>
      <w:r w:rsidR="00134578" w:rsidRPr="00FA1DB4">
        <w:rPr>
          <w:color w:val="000000"/>
        </w:rPr>
        <w:t>Černickaja</w:t>
      </w:r>
      <w:r w:rsidR="002C687E" w:rsidRPr="00FA1DB4">
        <w:rPr>
          <w:color w:val="000000"/>
        </w:rPr>
        <w:t xml:space="preserve"> </w:t>
      </w:r>
      <w:r w:rsidR="00134578" w:rsidRPr="00FA1DB4">
        <w:rPr>
          <w:color w:val="000000"/>
        </w:rPr>
        <w:t>and Sokolová 2024</w:t>
      </w:r>
      <w:r w:rsidR="002337B5" w:rsidRPr="00FA1DB4">
        <w:rPr>
          <w:color w:val="000000"/>
        </w:rPr>
        <w:t>)</w:t>
      </w:r>
      <w:r w:rsidR="002337B5" w:rsidRPr="00FA1DB4">
        <w:rPr>
          <w:rStyle w:val="apple-converted-space"/>
          <w:color w:val="000000"/>
        </w:rPr>
        <w:t>.</w:t>
      </w:r>
    </w:p>
    <w:p w14:paraId="79954197" w14:textId="77777777" w:rsidR="00AC0897" w:rsidRPr="00FA1DB4" w:rsidRDefault="00AC0897" w:rsidP="00647DE4">
      <w:pPr>
        <w:rPr>
          <w:color w:val="000000"/>
        </w:rPr>
      </w:pPr>
    </w:p>
    <w:p w14:paraId="53B75440" w14:textId="4688E337" w:rsidR="006B4431" w:rsidRPr="00FA1DB4" w:rsidRDefault="00AC0897" w:rsidP="006B4431">
      <w:pPr>
        <w:pStyle w:val="NormalWeb"/>
        <w:rPr>
          <w:rFonts w:asciiTheme="minorHAnsi" w:hAnsiTheme="minorHAnsi"/>
          <w:color w:val="000000"/>
        </w:rPr>
      </w:pPr>
      <w:r w:rsidRPr="00FA1DB4">
        <w:rPr>
          <w:rFonts w:asciiTheme="minorHAnsi" w:hAnsiTheme="minorHAnsi"/>
          <w:color w:val="000000"/>
        </w:rPr>
        <w:t>One highly effective strategy that both parents and teachers can use to support a child with dyslexia is the</w:t>
      </w:r>
      <w:r w:rsidRPr="00FA1DB4">
        <w:rPr>
          <w:rStyle w:val="apple-converted-space"/>
          <w:rFonts w:asciiTheme="minorHAnsi" w:hAnsiTheme="minorHAnsi"/>
          <w:color w:val="000000"/>
        </w:rPr>
        <w:t> </w:t>
      </w:r>
      <w:r w:rsidRPr="00FA1DB4">
        <w:rPr>
          <w:rStyle w:val="Strong"/>
          <w:rFonts w:asciiTheme="minorHAnsi" w:hAnsiTheme="minorHAnsi"/>
          <w:b w:val="0"/>
          <w:bCs w:val="0"/>
          <w:color w:val="000000"/>
        </w:rPr>
        <w:t>systematic multisensory structured approach to literacy</w:t>
      </w:r>
      <w:r w:rsidRPr="00FA1DB4">
        <w:rPr>
          <w:rFonts w:asciiTheme="minorHAnsi" w:hAnsiTheme="minorHAnsi"/>
          <w:color w:val="000000"/>
        </w:rPr>
        <w:t>, often referred to as multisensory phonics instruction</w:t>
      </w:r>
      <w:r w:rsidR="00A2734A" w:rsidRPr="00FA1DB4">
        <w:rPr>
          <w:rFonts w:asciiTheme="minorHAnsi" w:hAnsiTheme="minorHAnsi"/>
          <w:color w:val="000000"/>
        </w:rPr>
        <w:t xml:space="preserve"> (Mills, 2018).</w:t>
      </w:r>
      <w:r w:rsidRPr="00FA1DB4">
        <w:rPr>
          <w:rFonts w:asciiTheme="minorHAnsi" w:hAnsiTheme="minorHAnsi"/>
          <w:color w:val="000000"/>
        </w:rPr>
        <w:t xml:space="preserve"> This strategy works by engaging</w:t>
      </w:r>
      <w:r w:rsidRPr="00FA1DB4">
        <w:rPr>
          <w:rStyle w:val="apple-converted-space"/>
          <w:rFonts w:asciiTheme="minorHAnsi" w:hAnsiTheme="minorHAnsi"/>
          <w:color w:val="000000"/>
        </w:rPr>
        <w:t> </w:t>
      </w:r>
      <w:r w:rsidRPr="00FA1DB4">
        <w:rPr>
          <w:rStyle w:val="Strong"/>
          <w:rFonts w:asciiTheme="minorHAnsi" w:hAnsiTheme="minorHAnsi"/>
          <w:b w:val="0"/>
          <w:bCs w:val="0"/>
          <w:color w:val="000000"/>
        </w:rPr>
        <w:t>multiple senses</w:t>
      </w:r>
      <w:r w:rsidR="0071752B" w:rsidRPr="00FA1DB4">
        <w:rPr>
          <w:rStyle w:val="Strong"/>
          <w:rFonts w:asciiTheme="minorHAnsi" w:hAnsiTheme="minorHAnsi"/>
          <w:b w:val="0"/>
          <w:bCs w:val="0"/>
          <w:color w:val="000000"/>
        </w:rPr>
        <w:t xml:space="preserve"> such </w:t>
      </w:r>
      <w:r w:rsidR="00AB0054" w:rsidRPr="00FA1DB4">
        <w:rPr>
          <w:rStyle w:val="Strong"/>
          <w:rFonts w:asciiTheme="minorHAnsi" w:hAnsiTheme="minorHAnsi"/>
          <w:b w:val="0"/>
          <w:bCs w:val="0"/>
          <w:color w:val="000000"/>
        </w:rPr>
        <w:t>as, seeing</w:t>
      </w:r>
      <w:r w:rsidRPr="00FA1DB4">
        <w:rPr>
          <w:rStyle w:val="Strong"/>
          <w:rFonts w:asciiTheme="minorHAnsi" w:hAnsiTheme="minorHAnsi"/>
          <w:b w:val="0"/>
          <w:bCs w:val="0"/>
          <w:color w:val="000000"/>
        </w:rPr>
        <w:t>, hearing, touching and movement</w:t>
      </w:r>
      <w:r w:rsidR="0071752B" w:rsidRPr="00FA1DB4">
        <w:rPr>
          <w:rStyle w:val="Strong"/>
          <w:rFonts w:asciiTheme="minorHAnsi" w:hAnsiTheme="minorHAnsi"/>
          <w:b w:val="0"/>
          <w:bCs w:val="0"/>
          <w:color w:val="000000"/>
        </w:rPr>
        <w:t xml:space="preserve"> whilst </w:t>
      </w:r>
      <w:r w:rsidRPr="00FA1DB4">
        <w:rPr>
          <w:rStyle w:val="Strong"/>
          <w:rFonts w:asciiTheme="minorHAnsi" w:hAnsiTheme="minorHAnsi"/>
          <w:b w:val="0"/>
          <w:bCs w:val="0"/>
          <w:color w:val="000000"/>
        </w:rPr>
        <w:t>simultaneously</w:t>
      </w:r>
      <w:r w:rsidRPr="00FA1DB4">
        <w:rPr>
          <w:rFonts w:asciiTheme="minorHAnsi" w:hAnsiTheme="minorHAnsi"/>
          <w:color w:val="000000"/>
        </w:rPr>
        <w:t xml:space="preserve"> strengthen</w:t>
      </w:r>
      <w:r w:rsidR="0071752B" w:rsidRPr="00FA1DB4">
        <w:rPr>
          <w:rFonts w:asciiTheme="minorHAnsi" w:hAnsiTheme="minorHAnsi"/>
          <w:color w:val="000000"/>
        </w:rPr>
        <w:t>ing</w:t>
      </w:r>
      <w:r w:rsidRPr="00FA1DB4">
        <w:rPr>
          <w:rFonts w:asciiTheme="minorHAnsi" w:hAnsiTheme="minorHAnsi"/>
          <w:color w:val="000000"/>
        </w:rPr>
        <w:t xml:space="preserve"> the child’s understanding of the relationship between sounds and written letters</w:t>
      </w:r>
      <w:r w:rsidR="00604A36" w:rsidRPr="00FA1DB4">
        <w:rPr>
          <w:rFonts w:asciiTheme="minorHAnsi" w:hAnsiTheme="minorHAnsi"/>
          <w:color w:val="000000"/>
        </w:rPr>
        <w:t xml:space="preserve"> (Snowling,2015</w:t>
      </w:r>
      <w:r w:rsidR="00A2734A" w:rsidRPr="00FA1DB4">
        <w:rPr>
          <w:rFonts w:asciiTheme="minorHAnsi" w:hAnsiTheme="minorHAnsi"/>
          <w:color w:val="000000"/>
        </w:rPr>
        <w:t xml:space="preserve"> and Boardman, 2020</w:t>
      </w:r>
      <w:r w:rsidR="00604A36" w:rsidRPr="00FA1DB4">
        <w:rPr>
          <w:rFonts w:asciiTheme="minorHAnsi" w:hAnsiTheme="minorHAnsi"/>
          <w:color w:val="000000"/>
        </w:rPr>
        <w:t>).</w:t>
      </w:r>
      <w:r w:rsidRPr="00FA1DB4">
        <w:rPr>
          <w:rFonts w:asciiTheme="minorHAnsi" w:hAnsiTheme="minorHAnsi"/>
          <w:color w:val="000000"/>
        </w:rPr>
        <w:t xml:space="preserve"> For example, when learning a new phoneme</w:t>
      </w:r>
      <w:r w:rsidR="0071752B" w:rsidRPr="00FA1DB4">
        <w:rPr>
          <w:rFonts w:asciiTheme="minorHAnsi" w:hAnsiTheme="minorHAnsi"/>
          <w:color w:val="000000"/>
        </w:rPr>
        <w:t xml:space="preserve"> </w:t>
      </w:r>
      <w:r w:rsidRPr="00FA1DB4">
        <w:rPr>
          <w:rFonts w:asciiTheme="minorHAnsi" w:hAnsiTheme="minorHAnsi"/>
          <w:color w:val="000000"/>
        </w:rPr>
        <w:t>grapheme pattern, the child might</w:t>
      </w:r>
      <w:r w:rsidRPr="00FA1DB4">
        <w:rPr>
          <w:rStyle w:val="apple-converted-space"/>
          <w:rFonts w:asciiTheme="minorHAnsi" w:hAnsiTheme="minorHAnsi"/>
          <w:color w:val="000000"/>
        </w:rPr>
        <w:t> </w:t>
      </w:r>
      <w:r w:rsidRPr="00FA1DB4">
        <w:rPr>
          <w:rStyle w:val="Strong"/>
          <w:rFonts w:asciiTheme="minorHAnsi" w:hAnsiTheme="minorHAnsi"/>
          <w:b w:val="0"/>
          <w:bCs w:val="0"/>
          <w:color w:val="000000"/>
        </w:rPr>
        <w:t>see the letter</w:t>
      </w:r>
      <w:r w:rsidRPr="00FA1DB4">
        <w:rPr>
          <w:rFonts w:asciiTheme="minorHAnsi" w:hAnsiTheme="minorHAnsi"/>
          <w:b/>
          <w:bCs/>
          <w:color w:val="000000"/>
        </w:rPr>
        <w:t>,</w:t>
      </w:r>
      <w:r w:rsidRPr="00FA1DB4">
        <w:rPr>
          <w:rStyle w:val="apple-converted-space"/>
          <w:rFonts w:asciiTheme="minorHAnsi" w:hAnsiTheme="minorHAnsi"/>
          <w:b/>
          <w:bCs/>
          <w:color w:val="000000"/>
        </w:rPr>
        <w:t> </w:t>
      </w:r>
      <w:r w:rsidRPr="00FA1DB4">
        <w:rPr>
          <w:rStyle w:val="Strong"/>
          <w:rFonts w:asciiTheme="minorHAnsi" w:hAnsiTheme="minorHAnsi"/>
          <w:b w:val="0"/>
          <w:bCs w:val="0"/>
          <w:color w:val="000000"/>
        </w:rPr>
        <w:t>say the sound</w:t>
      </w:r>
      <w:r w:rsidRPr="00FA1DB4">
        <w:rPr>
          <w:rFonts w:asciiTheme="minorHAnsi" w:hAnsiTheme="minorHAnsi"/>
          <w:b/>
          <w:bCs/>
          <w:color w:val="000000"/>
        </w:rPr>
        <w:t>,</w:t>
      </w:r>
      <w:r w:rsidRPr="00FA1DB4">
        <w:rPr>
          <w:rStyle w:val="apple-converted-space"/>
          <w:rFonts w:asciiTheme="minorHAnsi" w:hAnsiTheme="minorHAnsi"/>
          <w:b/>
          <w:bCs/>
          <w:color w:val="000000"/>
        </w:rPr>
        <w:t> </w:t>
      </w:r>
      <w:r w:rsidRPr="00FA1DB4">
        <w:rPr>
          <w:rStyle w:val="Strong"/>
          <w:rFonts w:asciiTheme="minorHAnsi" w:hAnsiTheme="minorHAnsi"/>
          <w:b w:val="0"/>
          <w:bCs w:val="0"/>
          <w:color w:val="000000"/>
        </w:rPr>
        <w:t>trace the shape in sand or on textured cards</w:t>
      </w:r>
      <w:r w:rsidRPr="00FA1DB4">
        <w:rPr>
          <w:rFonts w:asciiTheme="minorHAnsi" w:hAnsiTheme="minorHAnsi"/>
          <w:b/>
          <w:bCs/>
          <w:color w:val="000000"/>
        </w:rPr>
        <w:t xml:space="preserve">, </w:t>
      </w:r>
      <w:r w:rsidRPr="00FA1DB4">
        <w:rPr>
          <w:rFonts w:asciiTheme="minorHAnsi" w:hAnsiTheme="minorHAnsi"/>
          <w:color w:val="000000"/>
        </w:rPr>
        <w:t>and</w:t>
      </w:r>
      <w:r w:rsidRPr="00FA1DB4">
        <w:rPr>
          <w:rStyle w:val="apple-converted-space"/>
          <w:rFonts w:asciiTheme="minorHAnsi" w:hAnsiTheme="minorHAnsi"/>
          <w:color w:val="000000"/>
        </w:rPr>
        <w:t> </w:t>
      </w:r>
      <w:r w:rsidRPr="00FA1DB4">
        <w:rPr>
          <w:rStyle w:val="Strong"/>
          <w:rFonts w:asciiTheme="minorHAnsi" w:hAnsiTheme="minorHAnsi"/>
          <w:b w:val="0"/>
          <w:bCs w:val="0"/>
          <w:color w:val="000000"/>
        </w:rPr>
        <w:t>write it while repeating the sound aloud</w:t>
      </w:r>
      <w:r w:rsidRPr="00FA1DB4">
        <w:rPr>
          <w:rFonts w:asciiTheme="minorHAnsi" w:hAnsiTheme="minorHAnsi"/>
          <w:color w:val="000000"/>
        </w:rPr>
        <w:t>. This repeated, varied sensory input helps build stronger neural pathways for reading and spelling, compensating for the phonological processing difficulties that characterise dyslexia</w:t>
      </w:r>
      <w:r w:rsidR="00604A36" w:rsidRPr="00FA1DB4">
        <w:rPr>
          <w:rFonts w:asciiTheme="minorHAnsi" w:hAnsiTheme="minorHAnsi"/>
          <w:color w:val="000000"/>
        </w:rPr>
        <w:t xml:space="preserve"> (</w:t>
      </w:r>
      <w:r w:rsidR="00604A36" w:rsidRPr="00FA1DB4">
        <w:rPr>
          <w:rFonts w:asciiTheme="minorHAnsi" w:hAnsiTheme="minorHAnsi"/>
          <w:color w:val="000000"/>
        </w:rPr>
        <w:t>Fujita, 2024</w:t>
      </w:r>
      <w:r w:rsidR="00A2734A" w:rsidRPr="00FA1DB4">
        <w:rPr>
          <w:rFonts w:asciiTheme="minorHAnsi" w:hAnsiTheme="minorHAnsi"/>
          <w:color w:val="000000"/>
        </w:rPr>
        <w:t xml:space="preserve"> and Mills,2018</w:t>
      </w:r>
      <w:r w:rsidR="00604A36" w:rsidRPr="00FA1DB4">
        <w:rPr>
          <w:rFonts w:asciiTheme="minorHAnsi" w:hAnsiTheme="minorHAnsi"/>
          <w:color w:val="000000"/>
        </w:rPr>
        <w:t>)</w:t>
      </w:r>
      <w:r w:rsidR="00604A36" w:rsidRPr="00FA1DB4">
        <w:rPr>
          <w:rFonts w:asciiTheme="minorHAnsi" w:hAnsiTheme="minorHAnsi"/>
          <w:color w:val="000000"/>
        </w:rPr>
        <w:t xml:space="preserve">. </w:t>
      </w:r>
      <w:r w:rsidRPr="00FA1DB4">
        <w:rPr>
          <w:rFonts w:asciiTheme="minorHAnsi" w:hAnsiTheme="minorHAnsi"/>
          <w:color w:val="000000"/>
        </w:rPr>
        <w:t xml:space="preserve">Teachers can apply this approach during structured literacy sessions using </w:t>
      </w:r>
      <w:r w:rsidR="0071752B" w:rsidRPr="00FA1DB4">
        <w:rPr>
          <w:rFonts w:asciiTheme="minorHAnsi" w:hAnsiTheme="minorHAnsi"/>
          <w:color w:val="000000"/>
        </w:rPr>
        <w:t>clear</w:t>
      </w:r>
      <w:r w:rsidRPr="00FA1DB4">
        <w:rPr>
          <w:rFonts w:asciiTheme="minorHAnsi" w:hAnsiTheme="minorHAnsi"/>
          <w:color w:val="000000"/>
        </w:rPr>
        <w:t xml:space="preserve">, </w:t>
      </w:r>
      <w:r w:rsidR="0071752B" w:rsidRPr="00FA1DB4">
        <w:rPr>
          <w:rFonts w:asciiTheme="minorHAnsi" w:hAnsiTheme="minorHAnsi"/>
          <w:color w:val="000000"/>
        </w:rPr>
        <w:t>consecutive</w:t>
      </w:r>
      <w:r w:rsidRPr="00FA1DB4">
        <w:rPr>
          <w:rFonts w:asciiTheme="minorHAnsi" w:hAnsiTheme="minorHAnsi"/>
          <w:color w:val="000000"/>
        </w:rPr>
        <w:t xml:space="preserve"> lessons that gradually progress from simple to more complex patterns</w:t>
      </w:r>
      <w:r w:rsidR="00B85F70" w:rsidRPr="00FA1DB4">
        <w:rPr>
          <w:rFonts w:asciiTheme="minorHAnsi" w:hAnsiTheme="minorHAnsi"/>
          <w:color w:val="000000"/>
        </w:rPr>
        <w:t xml:space="preserve"> (Kelly,2022).</w:t>
      </w:r>
      <w:r w:rsidRPr="00FA1DB4">
        <w:rPr>
          <w:rFonts w:asciiTheme="minorHAnsi" w:hAnsiTheme="minorHAnsi"/>
          <w:color w:val="000000"/>
        </w:rPr>
        <w:t xml:space="preserve"> Parents can reinforce the same learning at home through fun, hands-on activities such as writing words in coloured pens, forming letters with playdough, or using magnetic letters to build and break words apart</w:t>
      </w:r>
      <w:r w:rsidR="009F2021" w:rsidRPr="00FA1DB4">
        <w:rPr>
          <w:rFonts w:asciiTheme="minorHAnsi" w:hAnsiTheme="minorHAnsi"/>
          <w:color w:val="000000"/>
        </w:rPr>
        <w:t xml:space="preserve"> (</w:t>
      </w:r>
      <w:r w:rsidR="009F2021" w:rsidRPr="00FA1DB4">
        <w:rPr>
          <w:rFonts w:asciiTheme="minorHAnsi" w:hAnsiTheme="minorHAnsi" w:cs="Arial"/>
          <w:color w:val="222222"/>
          <w:shd w:val="clear" w:color="auto" w:fill="FFFFFF"/>
        </w:rPr>
        <w:t>Tarjiah</w:t>
      </w:r>
      <w:r w:rsidR="009F2021" w:rsidRPr="00FA1DB4">
        <w:rPr>
          <w:rFonts w:asciiTheme="minorHAnsi" w:hAnsiTheme="minorHAnsi"/>
          <w:color w:val="000000"/>
        </w:rPr>
        <w:t xml:space="preserve">, 2023 and </w:t>
      </w:r>
      <w:r w:rsidR="00524445" w:rsidRPr="00FA1DB4">
        <w:rPr>
          <w:rFonts w:asciiTheme="minorHAnsi" w:hAnsiTheme="minorHAnsi" w:cs="Arial"/>
          <w:color w:val="222222"/>
          <w:shd w:val="clear" w:color="auto" w:fill="FFFFFF"/>
        </w:rPr>
        <w:t>De La Cruz</w:t>
      </w:r>
      <w:r w:rsidR="00524445" w:rsidRPr="00FA1DB4">
        <w:rPr>
          <w:rFonts w:asciiTheme="minorHAnsi" w:hAnsiTheme="minorHAnsi"/>
          <w:color w:val="000000"/>
        </w:rPr>
        <w:t>, 2020).</w:t>
      </w:r>
      <w:r w:rsidRPr="00FA1DB4">
        <w:rPr>
          <w:rFonts w:asciiTheme="minorHAnsi" w:hAnsiTheme="minorHAnsi"/>
          <w:color w:val="000000"/>
        </w:rPr>
        <w:t>The strength of this strategy lies in its</w:t>
      </w:r>
      <w:r w:rsidRPr="00FA1DB4">
        <w:rPr>
          <w:rStyle w:val="apple-converted-space"/>
          <w:rFonts w:asciiTheme="minorHAnsi" w:hAnsiTheme="minorHAnsi"/>
          <w:color w:val="000000"/>
        </w:rPr>
        <w:t> </w:t>
      </w:r>
      <w:r w:rsidRPr="00FA1DB4">
        <w:rPr>
          <w:rStyle w:val="Strong"/>
          <w:rFonts w:asciiTheme="minorHAnsi" w:hAnsiTheme="minorHAnsi"/>
          <w:b w:val="0"/>
          <w:bCs w:val="0"/>
          <w:color w:val="000000"/>
        </w:rPr>
        <w:t>predictability, repetition and physical engagement</w:t>
      </w:r>
      <w:r w:rsidRPr="00FA1DB4">
        <w:rPr>
          <w:rFonts w:asciiTheme="minorHAnsi" w:hAnsiTheme="minorHAnsi"/>
          <w:color w:val="000000"/>
        </w:rPr>
        <w:t>, which reduce cognitive load and help children retain information more effectively</w:t>
      </w:r>
      <w:r w:rsidR="00524445" w:rsidRPr="00FA1DB4">
        <w:rPr>
          <w:rFonts w:asciiTheme="minorHAnsi" w:hAnsiTheme="minorHAnsi"/>
          <w:color w:val="000000"/>
        </w:rPr>
        <w:t xml:space="preserve"> (</w:t>
      </w:r>
      <w:r w:rsidR="00524445" w:rsidRPr="00FA1DB4">
        <w:rPr>
          <w:rFonts w:asciiTheme="minorHAnsi" w:hAnsiTheme="minorHAnsi" w:cs="Arial"/>
          <w:color w:val="222222"/>
          <w:shd w:val="clear" w:color="auto" w:fill="FFFFFF"/>
        </w:rPr>
        <w:t>De La Cruz</w:t>
      </w:r>
      <w:r w:rsidR="00524445" w:rsidRPr="00FA1DB4">
        <w:rPr>
          <w:rFonts w:asciiTheme="minorHAnsi" w:hAnsiTheme="minorHAnsi" w:cs="Arial"/>
          <w:color w:val="222222"/>
          <w:shd w:val="clear" w:color="auto" w:fill="FFFFFF"/>
        </w:rPr>
        <w:t xml:space="preserve">,2020). </w:t>
      </w:r>
      <w:r w:rsidRPr="00FA1DB4">
        <w:rPr>
          <w:rFonts w:asciiTheme="minorHAnsi" w:hAnsiTheme="minorHAnsi"/>
          <w:color w:val="000000"/>
        </w:rPr>
        <w:t xml:space="preserve"> </w:t>
      </w:r>
      <w:r w:rsidR="00B078CD" w:rsidRPr="00FA1DB4">
        <w:rPr>
          <w:rFonts w:asciiTheme="minorHAnsi" w:hAnsiTheme="minorHAnsi"/>
          <w:color w:val="000000"/>
        </w:rPr>
        <w:t>When implemented consistently, multisensory phonics instruction has been shown to improve reading accuracy and spelling outcomes for many learners with dyslexia, with specialist surveys reporting perceived effectiveness rates of over 60% in reading improvement and approximately 80% overall effectiveness (Dyslexia Daily, 2025).</w:t>
      </w:r>
    </w:p>
    <w:p w14:paraId="3B2800EE" w14:textId="2F27DCC9" w:rsidR="006B4431" w:rsidRPr="00FA1DB4" w:rsidRDefault="006B4431" w:rsidP="006B4431">
      <w:pPr>
        <w:pStyle w:val="NormalWeb"/>
        <w:rPr>
          <w:rFonts w:asciiTheme="minorHAnsi" w:hAnsiTheme="minorHAnsi"/>
          <w:color w:val="000000"/>
        </w:rPr>
      </w:pPr>
      <w:r w:rsidRPr="00FA1DB4">
        <w:rPr>
          <w:rFonts w:asciiTheme="minorHAnsi" w:hAnsiTheme="minorHAnsi"/>
          <w:color w:val="000000"/>
        </w:rPr>
        <w:t>However, despite its widespread use, multisensory phonics instruction does not produce uniformly positive outcomes for all learners with dyslexia</w:t>
      </w:r>
      <w:r w:rsidR="00764BBB" w:rsidRPr="00FA1DB4">
        <w:rPr>
          <w:rFonts w:asciiTheme="minorHAnsi" w:hAnsiTheme="minorHAnsi"/>
          <w:color w:val="000000"/>
        </w:rPr>
        <w:t xml:space="preserve"> (Hahn,2014). </w:t>
      </w:r>
      <w:r w:rsidRPr="00FA1DB4">
        <w:rPr>
          <w:rFonts w:asciiTheme="minorHAnsi" w:hAnsiTheme="minorHAnsi"/>
          <w:color w:val="000000"/>
        </w:rPr>
        <w:t xml:space="preserve">Evidence from </w:t>
      </w:r>
      <w:r w:rsidR="00940E61" w:rsidRPr="00FA1DB4">
        <w:rPr>
          <w:rFonts w:asciiTheme="minorHAnsi" w:hAnsiTheme="minorHAnsi"/>
          <w:color w:val="000000"/>
        </w:rPr>
        <w:t>UCL Institute of Education</w:t>
      </w:r>
      <w:r w:rsidR="00940E61" w:rsidRPr="00FA1DB4">
        <w:rPr>
          <w:rFonts w:asciiTheme="minorHAnsi" w:hAnsiTheme="minorHAnsi"/>
          <w:color w:val="000000"/>
        </w:rPr>
        <w:t xml:space="preserve"> (</w:t>
      </w:r>
      <w:r w:rsidR="00940E61" w:rsidRPr="00FA1DB4">
        <w:rPr>
          <w:rFonts w:asciiTheme="minorHAnsi" w:hAnsiTheme="minorHAnsi"/>
          <w:color w:val="000000"/>
        </w:rPr>
        <w:t>2025</w:t>
      </w:r>
      <w:r w:rsidR="00940E61" w:rsidRPr="00FA1DB4">
        <w:rPr>
          <w:rFonts w:asciiTheme="minorHAnsi" w:hAnsiTheme="minorHAnsi"/>
          <w:color w:val="000000"/>
        </w:rPr>
        <w:t xml:space="preserve">) </w:t>
      </w:r>
      <w:r w:rsidRPr="00FA1DB4">
        <w:rPr>
          <w:rFonts w:asciiTheme="minorHAnsi" w:hAnsiTheme="minorHAnsi"/>
          <w:color w:val="000000"/>
        </w:rPr>
        <w:t>suggests that a significant minority of pupils continue to experience persistent reading difficulties despite systematic phonics teaching, indicating that phonics-dominant approaches alone may be insufficient for some learners</w:t>
      </w:r>
      <w:r w:rsidR="00940E61" w:rsidRPr="00FA1DB4">
        <w:rPr>
          <w:rFonts w:asciiTheme="minorHAnsi" w:hAnsiTheme="minorHAnsi"/>
          <w:color w:val="000000"/>
        </w:rPr>
        <w:t xml:space="preserve">. </w:t>
      </w:r>
      <w:r w:rsidRPr="00FA1DB4">
        <w:rPr>
          <w:rFonts w:asciiTheme="minorHAnsi" w:hAnsiTheme="minorHAnsi"/>
          <w:color w:val="000000"/>
        </w:rPr>
        <w:t>Furthermore, research has questioned whether the “multisensory” element itself yields additional benefits beyond those associated with well-structured, explicit instruction, with some studies finding no significant advantage over equally rigorous non-multisensory methods (Schlesinger and Gray, 2017). Limitations may also arise from variability in teacher training, inconsistent implementation, and the failure to address broader literacy components such as vocabulary development, reading fluency and comprehension</w:t>
      </w:r>
      <w:r w:rsidR="00FA1F9F" w:rsidRPr="00FA1DB4">
        <w:rPr>
          <w:rFonts w:asciiTheme="minorHAnsi" w:hAnsiTheme="minorHAnsi"/>
          <w:color w:val="000000"/>
        </w:rPr>
        <w:t xml:space="preserve"> (</w:t>
      </w:r>
      <w:r w:rsidR="002337B5" w:rsidRPr="00FA1DB4">
        <w:rPr>
          <w:rFonts w:asciiTheme="minorHAnsi" w:hAnsiTheme="minorHAnsi" w:cs="Arial"/>
          <w:color w:val="222222"/>
          <w:shd w:val="clear" w:color="auto" w:fill="FFFFFF"/>
        </w:rPr>
        <w:t>Supriatna</w:t>
      </w:r>
      <w:r w:rsidR="002337B5" w:rsidRPr="00FA1DB4">
        <w:rPr>
          <w:rFonts w:asciiTheme="minorHAnsi" w:hAnsiTheme="minorHAnsi"/>
          <w:color w:val="000000"/>
        </w:rPr>
        <w:t>,</w:t>
      </w:r>
      <w:r w:rsidR="00FA1F9F" w:rsidRPr="00FA1DB4">
        <w:rPr>
          <w:rFonts w:asciiTheme="minorHAnsi" w:hAnsiTheme="minorHAnsi"/>
          <w:color w:val="000000"/>
        </w:rPr>
        <w:t xml:space="preserve"> 2021).</w:t>
      </w:r>
      <w:r w:rsidR="004E38C7" w:rsidRPr="00FA1DB4">
        <w:rPr>
          <w:rFonts w:asciiTheme="minorHAnsi" w:hAnsiTheme="minorHAnsi"/>
          <w:color w:val="000000"/>
        </w:rPr>
        <w:t xml:space="preserve"> </w:t>
      </w:r>
      <w:r w:rsidRPr="00FA1DB4">
        <w:rPr>
          <w:rFonts w:asciiTheme="minorHAnsi" w:hAnsiTheme="minorHAnsi"/>
          <w:color w:val="000000"/>
        </w:rPr>
        <w:t>Additionally, dyslexia is a heterogeneous condition, and factors such as working memory difficulties, processing speed deficits and co-occurring language impairments may limit the effectiveness of a predominantly phonics-based intervention (British Dyslexia Association, 2021). Consequently, while multisensory structured phonics remains an evidence-informed and valuable component of dyslexia intervention, it should be embedded within a comprehensive, individualised literacy framework rather than applied as a universal solution</w:t>
      </w:r>
      <w:r w:rsidR="00FA1F9F" w:rsidRPr="00FA1DB4">
        <w:rPr>
          <w:rFonts w:asciiTheme="minorHAnsi" w:hAnsiTheme="minorHAnsi"/>
          <w:color w:val="000000"/>
        </w:rPr>
        <w:t xml:space="preserve"> (</w:t>
      </w:r>
      <w:r w:rsidR="00061400" w:rsidRPr="00FA1DB4">
        <w:rPr>
          <w:rFonts w:asciiTheme="minorHAnsi" w:hAnsiTheme="minorHAnsi"/>
          <w:color w:val="000000"/>
        </w:rPr>
        <w:t>Hahn, 201</w:t>
      </w:r>
      <w:r w:rsidR="001436DC" w:rsidRPr="00FA1DB4">
        <w:rPr>
          <w:rFonts w:asciiTheme="minorHAnsi" w:hAnsiTheme="minorHAnsi"/>
          <w:color w:val="000000"/>
        </w:rPr>
        <w:t>4</w:t>
      </w:r>
      <w:r w:rsidR="00721243" w:rsidRPr="00FA1DB4">
        <w:rPr>
          <w:rFonts w:asciiTheme="minorHAnsi" w:hAnsiTheme="minorHAnsi"/>
          <w:color w:val="000000"/>
        </w:rPr>
        <w:t xml:space="preserve"> and </w:t>
      </w:r>
      <w:r w:rsidR="002E0C8B" w:rsidRPr="00FA1DB4">
        <w:rPr>
          <w:rFonts w:asciiTheme="minorHAnsi" w:hAnsiTheme="minorHAnsi" w:cs="Arial"/>
          <w:color w:val="222222"/>
          <w:shd w:val="clear" w:color="auto" w:fill="FFFFFF"/>
        </w:rPr>
        <w:t>Almahrag,</w:t>
      </w:r>
      <w:r w:rsidR="002E0C8B" w:rsidRPr="00FA1DB4">
        <w:rPr>
          <w:rFonts w:asciiTheme="minorHAnsi" w:hAnsiTheme="minorHAnsi" w:cs="Arial"/>
          <w:color w:val="222222"/>
          <w:shd w:val="clear" w:color="auto" w:fill="FFFFFF"/>
        </w:rPr>
        <w:t xml:space="preserve"> 2021).</w:t>
      </w:r>
    </w:p>
    <w:p w14:paraId="0DE5AF88" w14:textId="77777777" w:rsidR="006B4431" w:rsidRPr="00FA1DB4" w:rsidRDefault="006B4431" w:rsidP="00647DE4">
      <w:pPr>
        <w:rPr>
          <w:color w:val="000000"/>
        </w:rPr>
      </w:pPr>
    </w:p>
    <w:p w14:paraId="3E611F2D" w14:textId="77777777" w:rsidR="0043322D" w:rsidRPr="00FA1DB4" w:rsidRDefault="0043322D" w:rsidP="00647DE4">
      <w:pPr>
        <w:rPr>
          <w:color w:val="000000"/>
        </w:rPr>
      </w:pPr>
    </w:p>
    <w:p w14:paraId="5A3474D9" w14:textId="77777777" w:rsidR="00647DE4" w:rsidRPr="00FA1DB4" w:rsidRDefault="00647DE4" w:rsidP="00647DE4"/>
    <w:p w14:paraId="1B2A36DF" w14:textId="66DCE1C5" w:rsidR="004058E9" w:rsidRPr="00FA1DB4" w:rsidRDefault="00E46143" w:rsidP="00647DE4">
      <w:pPr>
        <w:rPr>
          <w:rStyle w:val="apple-converted-space"/>
          <w:color w:val="000000"/>
        </w:rPr>
      </w:pPr>
      <w:r w:rsidRPr="00FA1DB4">
        <w:rPr>
          <w:color w:val="000000"/>
        </w:rPr>
        <w:t>Across the UK, dyslexia is recognised within broader special educational needs frameworks rather than as a distinct statutory category, contributing to variability in identification and support across the four nations. In England, dyslexia is addressed under the</w:t>
      </w:r>
      <w:r w:rsidRPr="00FA1DB4">
        <w:rPr>
          <w:rStyle w:val="apple-converted-space"/>
          <w:color w:val="000000"/>
        </w:rPr>
        <w:t> </w:t>
      </w:r>
      <w:r w:rsidRPr="00FA1DB4">
        <w:rPr>
          <w:rStyle w:val="Emphasis"/>
          <w:color w:val="000000"/>
        </w:rPr>
        <w:t>SEND Code of Practice (2014)</w:t>
      </w:r>
      <w:r w:rsidRPr="00FA1DB4">
        <w:rPr>
          <w:color w:val="000000"/>
        </w:rPr>
        <w:t>, which requires schools and local authorities to identify and support pupils with specific learning difficulties through SEN Support or Education, Health and Care Plans, but does not impose a statutory duty to provide dyslexia-specific assessment or intervention, leading to significant local variation in provision (Department for Education and Department of Health, 2015; British Dyslexia Association, 2025). Wales similarly subsumes dyslexia within its</w:t>
      </w:r>
      <w:r w:rsidRPr="00FA1DB4">
        <w:rPr>
          <w:rStyle w:val="apple-converted-space"/>
          <w:color w:val="000000"/>
        </w:rPr>
        <w:t> </w:t>
      </w:r>
      <w:r w:rsidRPr="00FA1DB4">
        <w:rPr>
          <w:rStyle w:val="Emphasis"/>
          <w:color w:val="000000"/>
        </w:rPr>
        <w:t>Additional Learning Needs (ALN)</w:t>
      </w:r>
      <w:r w:rsidRPr="00FA1DB4">
        <w:rPr>
          <w:rStyle w:val="apple-converted-space"/>
          <w:color w:val="000000"/>
        </w:rPr>
        <w:t> </w:t>
      </w:r>
      <w:r w:rsidRPr="00FA1DB4">
        <w:rPr>
          <w:color w:val="000000"/>
        </w:rPr>
        <w:t>framework, with support delivered through Individual Development Plans and recent government investment aimed at developing Welsh-medium diagnostic tools to address language-specific assessment gaps (</w:t>
      </w:r>
      <w:r w:rsidR="00E22DCD">
        <w:rPr>
          <w:color w:val="000000"/>
        </w:rPr>
        <w:t>Welsh Government</w:t>
      </w:r>
      <w:r w:rsidRPr="00FA1DB4">
        <w:rPr>
          <w:color w:val="000000"/>
        </w:rPr>
        <w:t>, 202</w:t>
      </w:r>
      <w:r w:rsidR="00FC18E3">
        <w:rPr>
          <w:color w:val="000000"/>
        </w:rPr>
        <w:t>5</w:t>
      </w:r>
      <w:r w:rsidRPr="00FA1DB4">
        <w:rPr>
          <w:color w:val="000000"/>
        </w:rPr>
        <w:t>). Scotland adopts a needs-led</w:t>
      </w:r>
      <w:r w:rsidRPr="00FA1DB4">
        <w:rPr>
          <w:rStyle w:val="apple-converted-space"/>
          <w:color w:val="000000"/>
        </w:rPr>
        <w:t> </w:t>
      </w:r>
      <w:r w:rsidRPr="00FA1DB4">
        <w:rPr>
          <w:rStyle w:val="Emphasis"/>
          <w:color w:val="000000"/>
        </w:rPr>
        <w:t>Additional Support for Learning (ASL)</w:t>
      </w:r>
      <w:r w:rsidRPr="00FA1DB4">
        <w:rPr>
          <w:color w:val="000000"/>
        </w:rPr>
        <w:t>model, using a working definition of dyslexia as a continuum of literacy difficulties and providing support without requiring formal diagnosis, although parliamentary debates and policy reviews highlight ongoing inconsistency in implementation across local authorities (Dyslexia Scotland, 2025; UK Parliament</w:t>
      </w:r>
      <w:r w:rsidR="00FC18E3">
        <w:rPr>
          <w:color w:val="000000"/>
        </w:rPr>
        <w:t>,</w:t>
      </w:r>
      <w:r w:rsidRPr="00FA1DB4">
        <w:rPr>
          <w:color w:val="000000"/>
        </w:rPr>
        <w:t>2025). In Northern Ireland, dyslexia is incorporated within the SEN Code of Practice, with pupils supported through SEN registers and Individual Education Plans based on documented educational need rather than diagnostic labels alone (Northern Ireland Department of Education, 2024).</w:t>
      </w:r>
      <w:r w:rsidRPr="00FA1DB4">
        <w:rPr>
          <w:rStyle w:val="apple-converted-space"/>
          <w:color w:val="000000"/>
        </w:rPr>
        <w:t> </w:t>
      </w:r>
    </w:p>
    <w:p w14:paraId="44DC45F1" w14:textId="77777777" w:rsidR="00E46143" w:rsidRPr="00FA1DB4" w:rsidRDefault="00E46143" w:rsidP="00647DE4">
      <w:pPr>
        <w:rPr>
          <w:rStyle w:val="apple-converted-space"/>
          <w:color w:val="000000"/>
        </w:rPr>
      </w:pPr>
    </w:p>
    <w:p w14:paraId="3B267085" w14:textId="7C0726B4" w:rsidR="00FA1DB4" w:rsidRPr="00FA1DB4" w:rsidRDefault="00FA1DB4" w:rsidP="00FA1DB4">
      <w:pPr>
        <w:rPr>
          <w:color w:val="000000"/>
        </w:rPr>
      </w:pPr>
      <w:r w:rsidRPr="00FA1DB4">
        <w:rPr>
          <w:color w:val="000000"/>
        </w:rPr>
        <w:t>In Wales, dyslexia support in schools is funded through the broader</w:t>
      </w:r>
      <w:r w:rsidRPr="00FA1DB4">
        <w:rPr>
          <w:rStyle w:val="apple-converted-space"/>
          <w:color w:val="000000"/>
        </w:rPr>
        <w:t> </w:t>
      </w:r>
      <w:r w:rsidRPr="00FA1DB4">
        <w:rPr>
          <w:rStyle w:val="Strong"/>
          <w:b w:val="0"/>
          <w:bCs w:val="0"/>
          <w:color w:val="000000"/>
        </w:rPr>
        <w:t>Additional Learning Needs (ALN)</w:t>
      </w:r>
      <w:r w:rsidRPr="00FA1DB4">
        <w:rPr>
          <w:rStyle w:val="apple-converted-space"/>
          <w:color w:val="000000"/>
        </w:rPr>
        <w:t> </w:t>
      </w:r>
      <w:r w:rsidRPr="00FA1DB4">
        <w:rPr>
          <w:color w:val="000000"/>
        </w:rPr>
        <w:t>system rather than through ring-fenced dyslexia-specific funding. Local authorities receive ALN funding from the Welsh Government and allocate resources to schools through delegated budgets and centrally managed specialist services, with schools expected to meet learners’ literacy needs, including dyslexia, via inclusive classroom practice and Individual Development Plans (Welsh Government, 2019). Recent national investment has focused on strengthening the ALN system overall, alongside targeted funding to develop</w:t>
      </w:r>
      <w:r w:rsidRPr="00FA1DB4">
        <w:rPr>
          <w:rStyle w:val="apple-converted-space"/>
          <w:color w:val="000000"/>
        </w:rPr>
        <w:t> </w:t>
      </w:r>
      <w:r w:rsidRPr="00FA1DB4">
        <w:rPr>
          <w:rStyle w:val="Strong"/>
          <w:b w:val="0"/>
          <w:bCs w:val="0"/>
          <w:color w:val="000000"/>
        </w:rPr>
        <w:t>Welsh-medium dyslexia assessment tools</w:t>
      </w:r>
      <w:r w:rsidRPr="00FA1DB4">
        <w:rPr>
          <w:color w:val="000000"/>
        </w:rPr>
        <w:t>, addressing language-specific identification gaps (Welsh Government, 2024). However, the lack of dedicated dyslexia funding means provision can vary according to local authority priorities and resources</w:t>
      </w:r>
      <w:r w:rsidR="00EA3FA3">
        <w:rPr>
          <w:color w:val="000000"/>
        </w:rPr>
        <w:t xml:space="preserve"> </w:t>
      </w:r>
      <w:r w:rsidR="006E5552">
        <w:rPr>
          <w:color w:val="000000"/>
        </w:rPr>
        <w:t>(Welsh</w:t>
      </w:r>
      <w:r w:rsidR="00EA3FA3">
        <w:rPr>
          <w:color w:val="000000"/>
        </w:rPr>
        <w:t xml:space="preserve"> government, 20</w:t>
      </w:r>
      <w:r w:rsidR="006E5552">
        <w:rPr>
          <w:color w:val="000000"/>
        </w:rPr>
        <w:t>25).</w:t>
      </w:r>
    </w:p>
    <w:p w14:paraId="6C41ACB0" w14:textId="77777777" w:rsidR="00E46143" w:rsidRPr="00836C87" w:rsidRDefault="00E46143" w:rsidP="00647DE4"/>
    <w:sectPr w:rsidR="00E46143" w:rsidRPr="00836C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FA41D" w14:textId="77777777" w:rsidR="00E566DC" w:rsidRDefault="00E566DC" w:rsidP="00647DE4">
      <w:r>
        <w:separator/>
      </w:r>
    </w:p>
  </w:endnote>
  <w:endnote w:type="continuationSeparator" w:id="0">
    <w:p w14:paraId="46C409A9" w14:textId="77777777" w:rsidR="00E566DC" w:rsidRDefault="00E566DC" w:rsidP="0064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1BAE7" w14:textId="77777777" w:rsidR="00E566DC" w:rsidRDefault="00E566DC" w:rsidP="00647DE4">
      <w:r>
        <w:separator/>
      </w:r>
    </w:p>
  </w:footnote>
  <w:footnote w:type="continuationSeparator" w:id="0">
    <w:p w14:paraId="4EAF7A04" w14:textId="77777777" w:rsidR="00E566DC" w:rsidRDefault="00E566DC" w:rsidP="00647D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E4"/>
    <w:rsid w:val="00014034"/>
    <w:rsid w:val="00021A6B"/>
    <w:rsid w:val="00034973"/>
    <w:rsid w:val="00061120"/>
    <w:rsid w:val="00061400"/>
    <w:rsid w:val="000B42B8"/>
    <w:rsid w:val="000D1242"/>
    <w:rsid w:val="00134578"/>
    <w:rsid w:val="0014256D"/>
    <w:rsid w:val="001436DC"/>
    <w:rsid w:val="00185053"/>
    <w:rsid w:val="001B29DB"/>
    <w:rsid w:val="002337B5"/>
    <w:rsid w:val="00233CF4"/>
    <w:rsid w:val="002C687E"/>
    <w:rsid w:val="002E0C8B"/>
    <w:rsid w:val="002E1F3D"/>
    <w:rsid w:val="002E7554"/>
    <w:rsid w:val="0040060C"/>
    <w:rsid w:val="004058E9"/>
    <w:rsid w:val="0043322D"/>
    <w:rsid w:val="00472C29"/>
    <w:rsid w:val="00476426"/>
    <w:rsid w:val="00486B67"/>
    <w:rsid w:val="004E38C7"/>
    <w:rsid w:val="00504FD1"/>
    <w:rsid w:val="00513A0B"/>
    <w:rsid w:val="00515F01"/>
    <w:rsid w:val="00524445"/>
    <w:rsid w:val="0055280A"/>
    <w:rsid w:val="005918FE"/>
    <w:rsid w:val="005B0ACF"/>
    <w:rsid w:val="005E75F5"/>
    <w:rsid w:val="005F6449"/>
    <w:rsid w:val="00604A36"/>
    <w:rsid w:val="006444F0"/>
    <w:rsid w:val="00647DE4"/>
    <w:rsid w:val="00667BFA"/>
    <w:rsid w:val="00696F5A"/>
    <w:rsid w:val="006B4431"/>
    <w:rsid w:val="006C3781"/>
    <w:rsid w:val="006E5552"/>
    <w:rsid w:val="006F7670"/>
    <w:rsid w:val="00703396"/>
    <w:rsid w:val="00715AF8"/>
    <w:rsid w:val="0071752B"/>
    <w:rsid w:val="00721243"/>
    <w:rsid w:val="007328B5"/>
    <w:rsid w:val="00746327"/>
    <w:rsid w:val="00764BBB"/>
    <w:rsid w:val="0076779B"/>
    <w:rsid w:val="007868A4"/>
    <w:rsid w:val="007A04C5"/>
    <w:rsid w:val="007A23B2"/>
    <w:rsid w:val="007A590A"/>
    <w:rsid w:val="007E3D89"/>
    <w:rsid w:val="007F34EF"/>
    <w:rsid w:val="00816E7F"/>
    <w:rsid w:val="00836C87"/>
    <w:rsid w:val="00841BAB"/>
    <w:rsid w:val="008516BB"/>
    <w:rsid w:val="00856E99"/>
    <w:rsid w:val="00863E54"/>
    <w:rsid w:val="00876E1C"/>
    <w:rsid w:val="00895158"/>
    <w:rsid w:val="00897505"/>
    <w:rsid w:val="008E46A7"/>
    <w:rsid w:val="008F1652"/>
    <w:rsid w:val="00932AA4"/>
    <w:rsid w:val="00940E61"/>
    <w:rsid w:val="00943977"/>
    <w:rsid w:val="009770B0"/>
    <w:rsid w:val="009D6E5E"/>
    <w:rsid w:val="009F1ED2"/>
    <w:rsid w:val="009F2021"/>
    <w:rsid w:val="00A2734A"/>
    <w:rsid w:val="00A658C7"/>
    <w:rsid w:val="00AA5203"/>
    <w:rsid w:val="00AB0054"/>
    <w:rsid w:val="00AB5964"/>
    <w:rsid w:val="00AC0897"/>
    <w:rsid w:val="00AF1CBA"/>
    <w:rsid w:val="00B078CD"/>
    <w:rsid w:val="00B10E2F"/>
    <w:rsid w:val="00B22C59"/>
    <w:rsid w:val="00B271E8"/>
    <w:rsid w:val="00B6142E"/>
    <w:rsid w:val="00B85F70"/>
    <w:rsid w:val="00B9026A"/>
    <w:rsid w:val="00BA5B00"/>
    <w:rsid w:val="00BB7E85"/>
    <w:rsid w:val="00BE6A43"/>
    <w:rsid w:val="00C16BB3"/>
    <w:rsid w:val="00C31425"/>
    <w:rsid w:val="00C36823"/>
    <w:rsid w:val="00C913F8"/>
    <w:rsid w:val="00CA0A6F"/>
    <w:rsid w:val="00CB640E"/>
    <w:rsid w:val="00DA47E6"/>
    <w:rsid w:val="00DE2809"/>
    <w:rsid w:val="00DE75CB"/>
    <w:rsid w:val="00DF004E"/>
    <w:rsid w:val="00E14519"/>
    <w:rsid w:val="00E22DCD"/>
    <w:rsid w:val="00E46143"/>
    <w:rsid w:val="00E566DC"/>
    <w:rsid w:val="00E63A77"/>
    <w:rsid w:val="00EA3FA3"/>
    <w:rsid w:val="00EC07D0"/>
    <w:rsid w:val="00F22340"/>
    <w:rsid w:val="00F25131"/>
    <w:rsid w:val="00F7292B"/>
    <w:rsid w:val="00F748B8"/>
    <w:rsid w:val="00F85F53"/>
    <w:rsid w:val="00F91D0E"/>
    <w:rsid w:val="00FA1DB4"/>
    <w:rsid w:val="00FA1F9F"/>
    <w:rsid w:val="00FB16AD"/>
    <w:rsid w:val="00FB3AF9"/>
    <w:rsid w:val="00FB5450"/>
    <w:rsid w:val="00FC18E3"/>
    <w:rsid w:val="00FC4DEE"/>
    <w:rsid w:val="00FE7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B613"/>
  <w15:chartTrackingRefBased/>
  <w15:docId w15:val="{6F53B7D5-3F82-714D-A0CB-1C6837D5B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7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D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D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D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D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7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DE4"/>
    <w:rPr>
      <w:rFonts w:eastAsiaTheme="majorEastAsia" w:cstheme="majorBidi"/>
      <w:color w:val="272727" w:themeColor="text1" w:themeTint="D8"/>
    </w:rPr>
  </w:style>
  <w:style w:type="paragraph" w:styleId="Title">
    <w:name w:val="Title"/>
    <w:basedOn w:val="Normal"/>
    <w:next w:val="Normal"/>
    <w:link w:val="TitleChar"/>
    <w:uiPriority w:val="10"/>
    <w:qFormat/>
    <w:rsid w:val="00647D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D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D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7DE4"/>
    <w:rPr>
      <w:i/>
      <w:iCs/>
      <w:color w:val="404040" w:themeColor="text1" w:themeTint="BF"/>
    </w:rPr>
  </w:style>
  <w:style w:type="paragraph" w:styleId="ListParagraph">
    <w:name w:val="List Paragraph"/>
    <w:basedOn w:val="Normal"/>
    <w:uiPriority w:val="34"/>
    <w:qFormat/>
    <w:rsid w:val="00647DE4"/>
    <w:pPr>
      <w:ind w:left="720"/>
      <w:contextualSpacing/>
    </w:pPr>
  </w:style>
  <w:style w:type="character" w:styleId="IntenseEmphasis">
    <w:name w:val="Intense Emphasis"/>
    <w:basedOn w:val="DefaultParagraphFont"/>
    <w:uiPriority w:val="21"/>
    <w:qFormat/>
    <w:rsid w:val="00647DE4"/>
    <w:rPr>
      <w:i/>
      <w:iCs/>
      <w:color w:val="0F4761" w:themeColor="accent1" w:themeShade="BF"/>
    </w:rPr>
  </w:style>
  <w:style w:type="paragraph" w:styleId="IntenseQuote">
    <w:name w:val="Intense Quote"/>
    <w:basedOn w:val="Normal"/>
    <w:next w:val="Normal"/>
    <w:link w:val="IntenseQuoteChar"/>
    <w:uiPriority w:val="30"/>
    <w:qFormat/>
    <w:rsid w:val="00647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DE4"/>
    <w:rPr>
      <w:i/>
      <w:iCs/>
      <w:color w:val="0F4761" w:themeColor="accent1" w:themeShade="BF"/>
    </w:rPr>
  </w:style>
  <w:style w:type="character" w:styleId="IntenseReference">
    <w:name w:val="Intense Reference"/>
    <w:basedOn w:val="DefaultParagraphFont"/>
    <w:uiPriority w:val="32"/>
    <w:qFormat/>
    <w:rsid w:val="00647DE4"/>
    <w:rPr>
      <w:b/>
      <w:bCs/>
      <w:smallCaps/>
      <w:color w:val="0F4761" w:themeColor="accent1" w:themeShade="BF"/>
      <w:spacing w:val="5"/>
    </w:rPr>
  </w:style>
  <w:style w:type="paragraph" w:styleId="Header">
    <w:name w:val="header"/>
    <w:basedOn w:val="Normal"/>
    <w:link w:val="HeaderChar"/>
    <w:uiPriority w:val="99"/>
    <w:unhideWhenUsed/>
    <w:rsid w:val="00647DE4"/>
    <w:pPr>
      <w:tabs>
        <w:tab w:val="center" w:pos="4513"/>
        <w:tab w:val="right" w:pos="9026"/>
      </w:tabs>
    </w:pPr>
  </w:style>
  <w:style w:type="character" w:customStyle="1" w:styleId="HeaderChar">
    <w:name w:val="Header Char"/>
    <w:basedOn w:val="DefaultParagraphFont"/>
    <w:link w:val="Header"/>
    <w:uiPriority w:val="99"/>
    <w:rsid w:val="00647DE4"/>
  </w:style>
  <w:style w:type="paragraph" w:styleId="Footer">
    <w:name w:val="footer"/>
    <w:basedOn w:val="Normal"/>
    <w:link w:val="FooterChar"/>
    <w:uiPriority w:val="99"/>
    <w:unhideWhenUsed/>
    <w:rsid w:val="00647DE4"/>
    <w:pPr>
      <w:tabs>
        <w:tab w:val="center" w:pos="4513"/>
        <w:tab w:val="right" w:pos="9026"/>
      </w:tabs>
    </w:pPr>
  </w:style>
  <w:style w:type="character" w:customStyle="1" w:styleId="FooterChar">
    <w:name w:val="Footer Char"/>
    <w:basedOn w:val="DefaultParagraphFont"/>
    <w:link w:val="Footer"/>
    <w:uiPriority w:val="99"/>
    <w:rsid w:val="00647DE4"/>
  </w:style>
  <w:style w:type="character" w:customStyle="1" w:styleId="apple-converted-space">
    <w:name w:val="apple-converted-space"/>
    <w:basedOn w:val="DefaultParagraphFont"/>
    <w:rsid w:val="00AA5203"/>
  </w:style>
  <w:style w:type="character" w:styleId="Strong">
    <w:name w:val="Strong"/>
    <w:basedOn w:val="DefaultParagraphFont"/>
    <w:uiPriority w:val="22"/>
    <w:qFormat/>
    <w:rsid w:val="00AA5203"/>
    <w:rPr>
      <w:b/>
      <w:bCs/>
    </w:rPr>
  </w:style>
  <w:style w:type="character" w:styleId="Emphasis">
    <w:name w:val="Emphasis"/>
    <w:basedOn w:val="DefaultParagraphFont"/>
    <w:uiPriority w:val="20"/>
    <w:qFormat/>
    <w:rsid w:val="004058E9"/>
    <w:rPr>
      <w:i/>
      <w:iCs/>
    </w:rPr>
  </w:style>
  <w:style w:type="paragraph" w:styleId="NormalWeb">
    <w:name w:val="Normal (Web)"/>
    <w:basedOn w:val="Normal"/>
    <w:uiPriority w:val="99"/>
    <w:semiHidden/>
    <w:unhideWhenUsed/>
    <w:rsid w:val="006B4431"/>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111</cp:revision>
  <dcterms:created xsi:type="dcterms:W3CDTF">2025-12-11T11:57:00Z</dcterms:created>
  <dcterms:modified xsi:type="dcterms:W3CDTF">2026-01-09T11:55:00Z</dcterms:modified>
</cp:coreProperties>
</file>