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F7158" w14:textId="134F0830" w:rsidR="00B479D5" w:rsidRDefault="00C70045">
      <w:pPr>
        <w:spacing w:after="0"/>
      </w:pPr>
      <w:r w:rsidRPr="00633A9B">
        <w:rPr>
          <w:rFonts w:cs="Arial"/>
          <w:b/>
          <w:bCs/>
          <w:noProof/>
          <w:sz w:val="28"/>
          <w:szCs w:val="28"/>
        </w:rPr>
        <w:drawing>
          <wp:inline distT="0" distB="0" distL="0" distR="0" wp14:anchorId="59F9C964" wp14:editId="5EAFF042">
            <wp:extent cx="2533650" cy="1466850"/>
            <wp:effectExtent l="0" t="0" r="0" b="0"/>
            <wp:docPr id="851203577" name="Picture 1"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203577" name="Picture 1" descr="A black and yellow logo&#10;&#10;AI-generated content may be incorrect."/>
                    <pic:cNvPicPr/>
                  </pic:nvPicPr>
                  <pic:blipFill rotWithShape="1">
                    <a:blip r:embed="rId11"/>
                    <a:srcRect l="-1" t="-132" r="-3559" b="-4058"/>
                    <a:stretch>
                      <a:fillRect/>
                    </a:stretch>
                  </pic:blipFill>
                  <pic:spPr bwMode="auto">
                    <a:xfrm>
                      <a:off x="0" y="0"/>
                      <a:ext cx="2533650" cy="1466850"/>
                    </a:xfrm>
                    <a:prstGeom prst="rect">
                      <a:avLst/>
                    </a:prstGeom>
                    <a:ln>
                      <a:noFill/>
                    </a:ln>
                    <a:extLst>
                      <a:ext uri="{53640926-AAD7-44D8-BBD7-CCE9431645EC}">
                        <a14:shadowObscured xmlns:a14="http://schemas.microsoft.com/office/drawing/2010/main"/>
                      </a:ext>
                    </a:extLst>
                  </pic:spPr>
                </pic:pic>
              </a:graphicData>
            </a:graphic>
          </wp:inline>
        </w:drawing>
      </w:r>
    </w:p>
    <w:p w14:paraId="680BFF6E" w14:textId="77777777" w:rsidR="00B479D5" w:rsidRDefault="00B479D5">
      <w:pPr>
        <w:spacing w:after="0"/>
      </w:pPr>
    </w:p>
    <w:p w14:paraId="2F52FD39" w14:textId="77777777" w:rsidR="00B479D5" w:rsidRDefault="00B479D5">
      <w:pPr>
        <w:spacing w:after="0"/>
      </w:pPr>
    </w:p>
    <w:p w14:paraId="1DC93A84" w14:textId="77777777" w:rsidR="00B479D5" w:rsidRDefault="00B479D5">
      <w:pPr>
        <w:spacing w:after="0"/>
      </w:pPr>
    </w:p>
    <w:p w14:paraId="4BD6A661" w14:textId="77777777" w:rsidR="00B479D5" w:rsidRPr="00C70045" w:rsidRDefault="00E82F1A">
      <w:pPr>
        <w:spacing w:after="240"/>
        <w:jc w:val="center"/>
        <w:rPr>
          <w:sz w:val="36"/>
          <w:szCs w:val="36"/>
        </w:rPr>
      </w:pPr>
      <w:r w:rsidRPr="00C70045">
        <w:rPr>
          <w:b/>
          <w:sz w:val="36"/>
          <w:szCs w:val="36"/>
        </w:rPr>
        <w:t>A Critical Examination of SDG 3 and SDG 6: Global, National and Local Impacts on Health and Wellbeing</w:t>
      </w:r>
    </w:p>
    <w:p w14:paraId="04B9BB92" w14:textId="77777777" w:rsidR="00B479D5" w:rsidRDefault="00E82F1A">
      <w:pPr>
        <w:spacing w:after="360"/>
        <w:jc w:val="center"/>
      </w:pPr>
      <w:r>
        <w:rPr>
          <w:b/>
          <w:color w:val="444444"/>
          <w:sz w:val="24"/>
        </w:rPr>
        <w:t>Assignment Report</w:t>
      </w:r>
    </w:p>
    <w:p w14:paraId="645D8BD4" w14:textId="77777777" w:rsidR="00B479D5" w:rsidRPr="00C70045" w:rsidRDefault="00E82F1A">
      <w:pPr>
        <w:spacing w:after="60"/>
        <w:jc w:val="center"/>
        <w:rPr>
          <w:sz w:val="32"/>
          <w:szCs w:val="32"/>
        </w:rPr>
      </w:pPr>
      <w:r w:rsidRPr="00C70045">
        <w:rPr>
          <w:b/>
          <w:sz w:val="32"/>
          <w:szCs w:val="32"/>
        </w:rPr>
        <w:t xml:space="preserve">Student name: </w:t>
      </w:r>
      <w:r w:rsidRPr="00C70045">
        <w:rPr>
          <w:sz w:val="32"/>
          <w:szCs w:val="32"/>
        </w:rPr>
        <w:t>Wahida Nagi</w:t>
      </w:r>
    </w:p>
    <w:p w14:paraId="73CA4244" w14:textId="77777777" w:rsidR="00B479D5" w:rsidRPr="00C70045" w:rsidRDefault="00E82F1A">
      <w:pPr>
        <w:spacing w:after="60"/>
        <w:jc w:val="center"/>
        <w:rPr>
          <w:sz w:val="32"/>
          <w:szCs w:val="32"/>
        </w:rPr>
      </w:pPr>
      <w:r w:rsidRPr="00C70045">
        <w:rPr>
          <w:b/>
          <w:sz w:val="32"/>
          <w:szCs w:val="32"/>
        </w:rPr>
        <w:t xml:space="preserve">Student ID: </w:t>
      </w:r>
      <w:r w:rsidRPr="00C70045">
        <w:rPr>
          <w:sz w:val="32"/>
          <w:szCs w:val="32"/>
        </w:rPr>
        <w:t>2245076</w:t>
      </w:r>
    </w:p>
    <w:p w14:paraId="315D2D61" w14:textId="77777777" w:rsidR="00B479D5" w:rsidRPr="00C70045" w:rsidRDefault="00E82F1A">
      <w:pPr>
        <w:spacing w:after="60"/>
        <w:jc w:val="center"/>
        <w:rPr>
          <w:sz w:val="32"/>
          <w:szCs w:val="32"/>
        </w:rPr>
      </w:pPr>
      <w:r w:rsidRPr="00C70045">
        <w:rPr>
          <w:b/>
          <w:sz w:val="32"/>
          <w:szCs w:val="32"/>
        </w:rPr>
        <w:t xml:space="preserve">Programme: </w:t>
      </w:r>
      <w:r w:rsidRPr="00C70045">
        <w:rPr>
          <w:sz w:val="32"/>
          <w:szCs w:val="32"/>
        </w:rPr>
        <w:t>BSc (Hons) Health and Social Care</w:t>
      </w:r>
    </w:p>
    <w:p w14:paraId="5EA2B3AF" w14:textId="77777777" w:rsidR="00B479D5" w:rsidRPr="00C70045" w:rsidRDefault="00E82F1A">
      <w:pPr>
        <w:spacing w:after="60"/>
        <w:jc w:val="center"/>
        <w:rPr>
          <w:sz w:val="32"/>
          <w:szCs w:val="32"/>
        </w:rPr>
      </w:pPr>
      <w:r w:rsidRPr="00C70045">
        <w:rPr>
          <w:b/>
          <w:sz w:val="32"/>
          <w:szCs w:val="32"/>
        </w:rPr>
        <w:t xml:space="preserve">Module: </w:t>
      </w:r>
      <w:r w:rsidRPr="00C70045">
        <w:rPr>
          <w:sz w:val="32"/>
          <w:szCs w:val="32"/>
        </w:rPr>
        <w:t>Health, Wellbeing and Sustainable Development</w:t>
      </w:r>
    </w:p>
    <w:p w14:paraId="22D42B6D" w14:textId="77777777" w:rsidR="00B479D5" w:rsidRPr="00C70045" w:rsidRDefault="00E82F1A">
      <w:pPr>
        <w:spacing w:after="60"/>
        <w:jc w:val="center"/>
        <w:rPr>
          <w:sz w:val="32"/>
          <w:szCs w:val="32"/>
        </w:rPr>
      </w:pPr>
      <w:r w:rsidRPr="00C70045">
        <w:rPr>
          <w:b/>
          <w:sz w:val="32"/>
          <w:szCs w:val="32"/>
        </w:rPr>
        <w:t xml:space="preserve">Module code: </w:t>
      </w:r>
      <w:r w:rsidRPr="00C70045">
        <w:rPr>
          <w:sz w:val="32"/>
          <w:szCs w:val="32"/>
        </w:rPr>
        <w:t>BMHP6030</w:t>
      </w:r>
    </w:p>
    <w:p w14:paraId="4092A8D3" w14:textId="77777777" w:rsidR="00B479D5" w:rsidRPr="00C70045" w:rsidRDefault="00E82F1A">
      <w:pPr>
        <w:spacing w:after="60"/>
        <w:jc w:val="center"/>
        <w:rPr>
          <w:sz w:val="32"/>
          <w:szCs w:val="32"/>
        </w:rPr>
      </w:pPr>
      <w:r w:rsidRPr="00C70045">
        <w:rPr>
          <w:b/>
          <w:sz w:val="32"/>
          <w:szCs w:val="32"/>
        </w:rPr>
        <w:t xml:space="preserve">Lecturer: </w:t>
      </w:r>
      <w:r w:rsidR="00CD1ECF" w:rsidRPr="00C70045">
        <w:rPr>
          <w:sz w:val="32"/>
          <w:szCs w:val="32"/>
        </w:rPr>
        <w:t xml:space="preserve">Dr </w:t>
      </w:r>
      <w:proofErr w:type="spellStart"/>
      <w:r w:rsidR="00CD1ECF" w:rsidRPr="00C70045">
        <w:rPr>
          <w:sz w:val="32"/>
          <w:szCs w:val="32"/>
        </w:rPr>
        <w:t>Itse</w:t>
      </w:r>
      <w:proofErr w:type="spellEnd"/>
      <w:r w:rsidR="00CD1ECF" w:rsidRPr="00C70045">
        <w:rPr>
          <w:sz w:val="32"/>
          <w:szCs w:val="32"/>
        </w:rPr>
        <w:t xml:space="preserve"> Olaoye</w:t>
      </w:r>
    </w:p>
    <w:p w14:paraId="55637148" w14:textId="77777777" w:rsidR="00B479D5" w:rsidRDefault="00E82F1A">
      <w:r>
        <w:br w:type="page"/>
      </w:r>
    </w:p>
    <w:p w14:paraId="409E1C88" w14:textId="77777777" w:rsidR="00991351" w:rsidRDefault="00991351">
      <w:pPr>
        <w:pStyle w:val="Heading1"/>
        <w:spacing w:before="0"/>
        <w:jc w:val="left"/>
        <w:rPr>
          <w:rFonts w:ascii="Arial" w:hAnsi="Arial"/>
        </w:rPr>
      </w:pPr>
    </w:p>
    <w:p w14:paraId="4110BE2B" w14:textId="77777777" w:rsidR="00991351" w:rsidRDefault="00991351">
      <w:pPr>
        <w:pStyle w:val="Heading1"/>
        <w:spacing w:before="0"/>
        <w:jc w:val="left"/>
        <w:rPr>
          <w:rFonts w:ascii="Arial" w:hAnsi="Arial"/>
        </w:rPr>
      </w:pPr>
    </w:p>
    <w:p w14:paraId="03DBBFF7" w14:textId="77777777" w:rsidR="00991351" w:rsidRDefault="00991351">
      <w:pPr>
        <w:pStyle w:val="Heading1"/>
        <w:spacing w:before="0"/>
        <w:jc w:val="left"/>
        <w:rPr>
          <w:rFonts w:ascii="Arial" w:hAnsi="Arial"/>
        </w:rPr>
      </w:pPr>
    </w:p>
    <w:p w14:paraId="202DE833" w14:textId="77777777" w:rsidR="00991351" w:rsidRDefault="00991351">
      <w:pPr>
        <w:pStyle w:val="Heading1"/>
        <w:spacing w:before="0"/>
        <w:jc w:val="left"/>
        <w:rPr>
          <w:rFonts w:ascii="Arial" w:hAnsi="Arial"/>
        </w:rPr>
      </w:pPr>
    </w:p>
    <w:p w14:paraId="62FDADB2" w14:textId="20600F0B" w:rsidR="00B479D5" w:rsidRPr="00991351" w:rsidRDefault="00E82F1A">
      <w:pPr>
        <w:pStyle w:val="Heading1"/>
        <w:spacing w:before="0"/>
        <w:jc w:val="left"/>
        <w:rPr>
          <w:sz w:val="28"/>
        </w:rPr>
      </w:pPr>
      <w:r w:rsidRPr="00991351">
        <w:rPr>
          <w:rFonts w:ascii="Arial" w:hAnsi="Arial"/>
          <w:sz w:val="28"/>
        </w:rPr>
        <w:t>Table of Contents</w:t>
      </w:r>
    </w:p>
    <w:p w14:paraId="38FD7E00" w14:textId="77777777" w:rsidR="00B479D5" w:rsidRPr="00991351" w:rsidRDefault="00E82F1A">
      <w:pPr>
        <w:pStyle w:val="TOCEntry"/>
        <w:tabs>
          <w:tab w:val="right" w:leader="dot" w:pos="9000"/>
        </w:tabs>
        <w:rPr>
          <w:sz w:val="28"/>
          <w:szCs w:val="28"/>
        </w:rPr>
      </w:pPr>
      <w:r w:rsidRPr="00991351">
        <w:rPr>
          <w:color w:val="000000"/>
          <w:sz w:val="28"/>
          <w:szCs w:val="28"/>
        </w:rPr>
        <w:t>1. Introduction</w:t>
      </w:r>
      <w:r w:rsidRPr="00991351">
        <w:rPr>
          <w:color w:val="000000"/>
          <w:sz w:val="28"/>
          <w:szCs w:val="28"/>
        </w:rPr>
        <w:tab/>
        <w:t>3</w:t>
      </w:r>
    </w:p>
    <w:p w14:paraId="6FD794E6" w14:textId="77777777" w:rsidR="00B479D5" w:rsidRPr="00991351" w:rsidRDefault="00E82F1A">
      <w:pPr>
        <w:pStyle w:val="TOCEntry"/>
        <w:tabs>
          <w:tab w:val="right" w:leader="dot" w:pos="9000"/>
        </w:tabs>
        <w:rPr>
          <w:sz w:val="28"/>
          <w:szCs w:val="28"/>
        </w:rPr>
      </w:pPr>
      <w:r w:rsidRPr="00991351">
        <w:rPr>
          <w:color w:val="000000"/>
          <w:sz w:val="28"/>
          <w:szCs w:val="28"/>
        </w:rPr>
        <w:t>2. Sustainable Development Goal 3: Good Health and Well-being</w:t>
      </w:r>
      <w:r w:rsidRPr="00991351">
        <w:rPr>
          <w:color w:val="000000"/>
          <w:sz w:val="28"/>
          <w:szCs w:val="28"/>
        </w:rPr>
        <w:tab/>
        <w:t>3</w:t>
      </w:r>
    </w:p>
    <w:p w14:paraId="3C781FA9" w14:textId="77777777" w:rsidR="00B479D5" w:rsidRPr="00991351" w:rsidRDefault="00E82F1A">
      <w:pPr>
        <w:pStyle w:val="TOCEntry"/>
        <w:tabs>
          <w:tab w:val="right" w:leader="dot" w:pos="9000"/>
        </w:tabs>
        <w:rPr>
          <w:sz w:val="28"/>
          <w:szCs w:val="28"/>
        </w:rPr>
      </w:pPr>
      <w:r w:rsidRPr="00991351">
        <w:rPr>
          <w:color w:val="000000"/>
          <w:sz w:val="28"/>
          <w:szCs w:val="28"/>
        </w:rPr>
        <w:t>3. Sustainable Development Goal 6: Clean Water and Sanitation</w:t>
      </w:r>
      <w:r w:rsidRPr="00991351">
        <w:rPr>
          <w:color w:val="000000"/>
          <w:sz w:val="28"/>
          <w:szCs w:val="28"/>
        </w:rPr>
        <w:tab/>
        <w:t>4</w:t>
      </w:r>
    </w:p>
    <w:p w14:paraId="676363A5" w14:textId="77777777" w:rsidR="00B479D5" w:rsidRPr="00991351" w:rsidRDefault="00E82F1A">
      <w:pPr>
        <w:pStyle w:val="TOCEntry"/>
        <w:tabs>
          <w:tab w:val="right" w:leader="dot" w:pos="9000"/>
        </w:tabs>
        <w:rPr>
          <w:sz w:val="28"/>
          <w:szCs w:val="28"/>
        </w:rPr>
      </w:pPr>
      <w:r w:rsidRPr="00991351">
        <w:rPr>
          <w:sz w:val="28"/>
          <w:szCs w:val="28"/>
        </w:rPr>
        <w:t>4. National Wellbeing and Sustainable Development Initiatives</w:t>
      </w:r>
      <w:r w:rsidRPr="00991351">
        <w:rPr>
          <w:sz w:val="28"/>
          <w:szCs w:val="28"/>
        </w:rPr>
        <w:tab/>
        <w:t>5</w:t>
      </w:r>
    </w:p>
    <w:p w14:paraId="6AF29531" w14:textId="77777777" w:rsidR="00B479D5" w:rsidRPr="00991351" w:rsidRDefault="00E82F1A">
      <w:pPr>
        <w:pStyle w:val="TOCEntry"/>
        <w:tabs>
          <w:tab w:val="right" w:leader="dot" w:pos="9000"/>
        </w:tabs>
        <w:rPr>
          <w:sz w:val="28"/>
          <w:szCs w:val="28"/>
        </w:rPr>
      </w:pPr>
      <w:r w:rsidRPr="00991351">
        <w:rPr>
          <w:color w:val="000000"/>
          <w:sz w:val="28"/>
          <w:szCs w:val="28"/>
        </w:rPr>
        <w:t>5. Local Health, Wellbeing and Sustainable Development Initiatives</w:t>
      </w:r>
      <w:r w:rsidRPr="00991351">
        <w:rPr>
          <w:color w:val="000000"/>
          <w:sz w:val="28"/>
          <w:szCs w:val="28"/>
        </w:rPr>
        <w:tab/>
        <w:t>7</w:t>
      </w:r>
    </w:p>
    <w:p w14:paraId="77527A59" w14:textId="77777777" w:rsidR="00B479D5" w:rsidRPr="00991351" w:rsidRDefault="00E82F1A">
      <w:pPr>
        <w:pStyle w:val="TOCEntry"/>
        <w:tabs>
          <w:tab w:val="right" w:leader="dot" w:pos="9000"/>
        </w:tabs>
        <w:rPr>
          <w:sz w:val="28"/>
          <w:szCs w:val="28"/>
        </w:rPr>
      </w:pPr>
      <w:r w:rsidRPr="00991351">
        <w:rPr>
          <w:color w:val="000000"/>
          <w:sz w:val="28"/>
          <w:szCs w:val="28"/>
        </w:rPr>
        <w:t>6. Conclusion</w:t>
      </w:r>
      <w:r w:rsidRPr="00991351">
        <w:rPr>
          <w:color w:val="000000"/>
          <w:sz w:val="28"/>
          <w:szCs w:val="28"/>
        </w:rPr>
        <w:tab/>
        <w:t>8</w:t>
      </w:r>
    </w:p>
    <w:p w14:paraId="322CAAC9" w14:textId="77777777" w:rsidR="00B479D5" w:rsidRPr="00991351" w:rsidRDefault="00E82F1A">
      <w:pPr>
        <w:pStyle w:val="TOCEntry"/>
        <w:tabs>
          <w:tab w:val="right" w:leader="dot" w:pos="9000"/>
        </w:tabs>
        <w:rPr>
          <w:sz w:val="28"/>
          <w:szCs w:val="28"/>
        </w:rPr>
      </w:pPr>
      <w:r w:rsidRPr="00991351">
        <w:rPr>
          <w:color w:val="000000"/>
          <w:sz w:val="28"/>
          <w:szCs w:val="28"/>
        </w:rPr>
        <w:t>References</w:t>
      </w:r>
      <w:r w:rsidRPr="00991351">
        <w:rPr>
          <w:color w:val="000000"/>
          <w:sz w:val="28"/>
          <w:szCs w:val="28"/>
        </w:rPr>
        <w:tab/>
        <w:t>9</w:t>
      </w:r>
    </w:p>
    <w:p w14:paraId="76A09DA2" w14:textId="77777777" w:rsidR="00B479D5" w:rsidRPr="00991351" w:rsidRDefault="00E82F1A">
      <w:pPr>
        <w:rPr>
          <w:sz w:val="28"/>
          <w:szCs w:val="28"/>
        </w:rPr>
      </w:pPr>
      <w:r w:rsidRPr="00991351">
        <w:rPr>
          <w:sz w:val="28"/>
          <w:szCs w:val="28"/>
        </w:rPr>
        <w:br w:type="page"/>
      </w:r>
    </w:p>
    <w:p w14:paraId="0ACC4E09" w14:textId="77777777" w:rsidR="00B479D5" w:rsidRPr="009F7B6D" w:rsidRDefault="00E82F1A">
      <w:pPr>
        <w:pStyle w:val="Heading1"/>
        <w:jc w:val="left"/>
        <w:rPr>
          <w:sz w:val="28"/>
        </w:rPr>
      </w:pPr>
      <w:r w:rsidRPr="009F7B6D">
        <w:rPr>
          <w:rFonts w:ascii="Arial" w:hAnsi="Arial"/>
          <w:sz w:val="28"/>
        </w:rPr>
        <w:lastRenderedPageBreak/>
        <w:t>1. Introduction</w:t>
      </w:r>
    </w:p>
    <w:p w14:paraId="5ADA5E40" w14:textId="77777777" w:rsidR="00427EAB" w:rsidRDefault="005B6223">
      <w:r>
        <w:t>Health, wellbeing and sustainable development are interdependent: population health depends not only on healthcare, but also on safe environments, social conditions and fair resource distribution. This report critically examines the global influence of Sustainable Development Goal (SDG) 3, Good Health and Well-being, and SDG 6, Clean Water and Sanitation. It then evaluates two national initiatives in England, Core20PLUS5 and Greener NHS, and two local Swansea initiatives, the Local Well-being Plan 2023-2028</w:t>
      </w:r>
      <w:r>
        <w:t xml:space="preserve"> and the Swansea Bay Healthy Travel Charter. Effectiveness is assessed through evidence of progress, equity, implementation and accountability before evidence-based recommendations for improvement at each governance level are presented.</w:t>
      </w:r>
    </w:p>
    <w:p w14:paraId="065E92D2" w14:textId="77777777" w:rsidR="00B479D5" w:rsidRPr="009F7B6D" w:rsidRDefault="00E82F1A">
      <w:pPr>
        <w:pStyle w:val="Heading1"/>
        <w:jc w:val="left"/>
        <w:rPr>
          <w:sz w:val="28"/>
        </w:rPr>
      </w:pPr>
      <w:r w:rsidRPr="009F7B6D">
        <w:rPr>
          <w:rFonts w:ascii="Arial" w:hAnsi="Arial"/>
          <w:sz w:val="28"/>
        </w:rPr>
        <w:t>2. Sustainable Development Goal 3: Good Health and Well-being</w:t>
      </w:r>
    </w:p>
    <w:p w14:paraId="75334665" w14:textId="77777777" w:rsidR="00427EAB" w:rsidRDefault="005B6223">
      <w:r>
        <w:t xml:space="preserve">SDG 3 seeks to ensure healthy lives and promote wellbeing for everyone at every age. Its targets include reducing maternal, neonatal and child mortality; ending major communicable-disease epidemics; reducing premature mortality from non-communicable diseases; promoting mental health; preventing substance misuse and road injuries; ensuring sexual and reproductive healthcare; achieving universal health coverage (UHC); and reducing illness caused by pollution. Further targets cover tobacco control, affordable </w:t>
      </w:r>
      <w:r>
        <w:t>medicines and vaccines, the health workforce and emergency preparedness (United Nations, 2025a). This breadth frames health as both a human outcome and a basis for participation in education, employment and society. Progress is measurable: between 2015 and 2023, the global maternal mortality ratio declined from 228 to 197 deaths per 100,000 live births, while under-five mortality fell from 44 to 37 per 1,000. AIDS-related deaths fell by 35% between 2015 and 2024 (United Nations, 2025a; United Nations, 2026)</w:t>
      </w:r>
      <w:r>
        <w:t>. These gains mean safer childbirth, less bereavement and longer productive lives.</w:t>
      </w:r>
    </w:p>
    <w:p w14:paraId="4B20952A" w14:textId="77777777" w:rsidR="00427EAB" w:rsidRDefault="005B6223">
      <w:r>
        <w:t>The goal's integrated approach is a strength. Vaccination, tobacco control, road safety, pollution reduction and strong primary care can prevent illness or identify it earlier, protecting household income and reducing caring demands. However, concentrating funding on separate disease targets can fragment services if primary care, rehabilitation, palliative care and social determinants are neglected. Balanced health systems are therefore more effective than disconnected campaigns (World Health Organization a</w:t>
      </w:r>
      <w:r>
        <w:t xml:space="preserve">nd United Nations Children's Fund, 2020). UHC illustrates both progress and limitation. Its service coverage index rose from 54 in 2000 to 71 in 2023, yet 4.6 billion people remained without full essential-service coverage and 2.1 billion experienced financial hardship from health spending in 2022 (World Health Organization and World Bank, 2025). Inequality is sharper </w:t>
      </w:r>
      <w:r>
        <w:lastRenderedPageBreak/>
        <w:t>than global averages suggest: approximately 260,000 women died from pregnancy-related causes in 2023, and maternal mortality in low-income co</w:t>
      </w:r>
      <w:r>
        <w:t>untries was almost 35 times the high-income rate. Malaria cases also increased from 226 million in 2015 to 263 million in 2023 (United Nations, 2025a). SDG 3 cannot overcome conflict, workforce shortages, commercial pressures or unequal national finances without enforceable, adequately funded policy (World Health Organization, 2023b). Accountability is also constrained because SDG commitments are voluntary and national reporting capacity varies, allowing governments to emphasise favourable indicators. Finan</w:t>
      </w:r>
      <w:r>
        <w:t>cing should therefore strengthen primary care, workforce retention and prevention rather than create short-lived vertical programmes that leave underlying inequalities unchanged.</w:t>
      </w:r>
    </w:p>
    <w:p w14:paraId="3C074B7E" w14:textId="77777777" w:rsidR="00427EAB" w:rsidRDefault="005B6223">
      <w:r>
        <w:t>The UK similarly shows that universal entitlement does not guarantee equitable outcomes. In 2022-2024, healthy-life-expectancy gaps between the most and least deprived populations were approximately 19-20 years in England and 21-23 years in Wales (Office for National Statistics, 2026). This supports Marmot et al.'s (2020) conclusion that income, housing, education and employment shape health across the life course. SDG 3 should therefore guide government beyond the NHS. Proportionate universalism is needed:</w:t>
      </w:r>
      <w:r>
        <w:t xml:space="preserve"> universal provision combined with greater preventive support where disadvantage is greatest. Outcomes must be disaggregated by deprivation, ethnicity, disability, sex and place so improving national averages do not conceal persistent or widening inequalities (Office for Health Improvement and Disparities, 2022).</w:t>
      </w:r>
    </w:p>
    <w:p w14:paraId="7EE7F570" w14:textId="77777777" w:rsidR="00B479D5" w:rsidRPr="009F7B6D" w:rsidRDefault="00E82F1A">
      <w:pPr>
        <w:pStyle w:val="Heading1"/>
        <w:jc w:val="left"/>
        <w:rPr>
          <w:sz w:val="28"/>
        </w:rPr>
      </w:pPr>
      <w:r w:rsidRPr="009F7B6D">
        <w:rPr>
          <w:rFonts w:ascii="Arial" w:hAnsi="Arial"/>
          <w:sz w:val="28"/>
        </w:rPr>
        <w:t>3. Sustainable Development Goal 6: Clean Water and Sanitation</w:t>
      </w:r>
    </w:p>
    <w:p w14:paraId="23BFD3A2" w14:textId="77777777" w:rsidR="00427EAB" w:rsidRDefault="005B6223">
      <w:r>
        <w:t>SDG 6 seeks universal availability and sustainable management of water and sanitation. Targets 6.1 and 6.2 require equitable access to safe, affordable drinking water, sanitation and hygiene, especially for women, girls and people in vulnerable situations. Other targets address water quality, wastewater, water-use efficiency, scarcity, integrated management, aquatic ecosystems, international support and community participation (United Nations, 2025b). The goal directly supports SDG 3 because safe water, san</w:t>
      </w:r>
      <w:r>
        <w:t>itation and hygiene (WASH) interrupt diarrhoeal disease, cholera, respiratory infection, parasitic disease and undernutrition. Adequate WASH could have prevented 1.4 million deaths and 74 million disability-adjusted life years in 2019 (World Health Organization, 2023a). Accessible water also reduces unpaid collection time, while private sanitation and menstrual-health facilities support dignity and participation. In healthcare settings, reliable WASH enables infection prevention, safe maternity care and ant</w:t>
      </w:r>
      <w:r>
        <w:t>imicrobial-resistance control (World Health Organization and United Nations Children's Fund, 2023).</w:t>
      </w:r>
    </w:p>
    <w:p w14:paraId="14580A8D" w14:textId="42D89DBA" w:rsidR="00427EAB" w:rsidRDefault="005B6223">
      <w:r>
        <w:lastRenderedPageBreak/>
        <w:t>Coverage has improved but remains profoundly unequal. Between 2015 and 2024, safely managed drinking-water coverage rose from 68% to 74%, sanitation from 48% to 58%, and basic hygiene from 66% to 80%. Nevertheless, 2.1 billion people lacked safely managed drinking water, 3.4 billion lacked safely managed sanitation and 1.7 billion lacked basic hygiene in 2024. Open defecation in low-income countries remained four times the global average. In fragile settings, coverage was 38 percentage points lower for safe</w:t>
      </w:r>
      <w:r>
        <w:t>ly managed water, 33 points lower for sanitation and 37 points lower for basic hygiene than elsewhere (World Health Organization and United Nations Children's Fund, 2025). Technology alone therefore does not secure equity; affordability, governance, maintenance and political stability determine whether infrastructure provides a dependable service. Women, disabled people and informal settlements remain exposed when services are poorly designed.</w:t>
      </w:r>
      <w:r w:rsidR="007D3682">
        <w:t xml:space="preserve"> </w:t>
      </w:r>
      <w:r>
        <w:t xml:space="preserve">SDG 6 also affects food security, livelihoods and climate resilience. Pollution, inadequately treated wastewater and water stress damage ecosystems and expose communities to health risks. Only 56% of domestic wastewater was safely treated in 2024, while current progress would delay sustainable water management until at least 2049 (United Nations, 2025b). National averages also hide rural, disability, gender, ethnic and wealth inequalities, while incomplete monitoring limits comparisons. The UK demonstrates </w:t>
      </w:r>
      <w:r>
        <w:t>continuing relevance in a high-income setting. Ageing networks, extreme weather, sewage discharges and farming caused substantial pollution pressure; serious pollution incidents involving English water companies increased by 60% between 2023 and 2024 (Environment Agency, 2025). Environmental performance and affordability concerns have also weakened customer trust (Consumer Council for Water, 2025).</w:t>
      </w:r>
    </w:p>
    <w:p w14:paraId="1099714F" w14:textId="77777777" w:rsidR="00427EAB" w:rsidRDefault="005B6223">
      <w:r>
        <w:t>A household connection is therefore an inadequate measure if bills are unaffordable, supplies unreliable or sanitation inaccessible. A rights-based approach should assess availability, accessibility, affordability, safety, acceptability and quality (UN-Water, 2026). Governments should prioritise underserved communities, resilient maintenance, pollution enforcement and disaggregated public data, while involving users in decisions. UK proposals for closer coordination between water regulation and public-healt</w:t>
      </w:r>
      <w:r>
        <w:t>h expertise are consequently important (Department for Environment, Food and Rural Affairs, 2026). Joint health-and-water investment should recognise avoided disease and treatment costs. SDG 6 is not secondary environmental policy; it is a necessary condition for achieving SDG 3 equitably.</w:t>
      </w:r>
    </w:p>
    <w:p w14:paraId="699C8C02" w14:textId="77777777" w:rsidR="00B479D5" w:rsidRPr="007D3682" w:rsidRDefault="00E82F1A">
      <w:pPr>
        <w:pStyle w:val="Heading1"/>
        <w:jc w:val="left"/>
        <w:rPr>
          <w:sz w:val="28"/>
        </w:rPr>
      </w:pPr>
      <w:r w:rsidRPr="007D3682">
        <w:rPr>
          <w:rFonts w:ascii="Arial" w:hAnsi="Arial"/>
          <w:sz w:val="28"/>
        </w:rPr>
        <w:t>4. National Wellbeing and Sustainable Development Initiatives</w:t>
      </w:r>
    </w:p>
    <w:p w14:paraId="35B41E4A" w14:textId="77777777" w:rsidR="00427EAB" w:rsidRDefault="005B6223">
      <w:r>
        <w:t>Health policy is devolved, so the two England-wide programmes below are national-level examples rather than identical UK-wide policies.</w:t>
      </w:r>
    </w:p>
    <w:p w14:paraId="59FAD67F" w14:textId="77777777" w:rsidR="00427EAB" w:rsidRPr="007D3682" w:rsidRDefault="005B6223" w:rsidP="007D3682">
      <w:pPr>
        <w:rPr>
          <w:b/>
          <w:bCs/>
        </w:rPr>
      </w:pPr>
      <w:r w:rsidRPr="007D3682">
        <w:rPr>
          <w:b/>
          <w:bCs/>
        </w:rPr>
        <w:lastRenderedPageBreak/>
        <w:t>Core20PLUS5</w:t>
      </w:r>
    </w:p>
    <w:p w14:paraId="0703A945" w14:textId="77777777" w:rsidR="00427EAB" w:rsidRDefault="005B6223">
      <w:r>
        <w:t>Core20PLUS5 targets healthcare inequalities by focusing on the most deprived 20% of England's population, locally selected inclusion groups and five clinical priorities: maternity, severe mental illness, respiratory disease, cancer and hypertension. Its strengths are a clear equity focus, local flexibility and attention to access, experience and outcomes. NHS England reports community involvement, delivery networks and agreed adult metrics, showing that inequality is embedded more visibly in system oversigh</w:t>
      </w:r>
      <w:r>
        <w:t>t (NHS England, 2025b). However, its longitudinal evaluation remains at an early, mainly implementation-focused stage, so national causal evidence is immature. The fixed clinical priorities may also displace needs important locally, while healthcare action cannot compensate for insecure income, housing or environmental risk. NHS England should commission independent outcome evaluation, publish trends by deprivation and ethnicity, protect multi-year prevention funding and require integrated care systems to c</w:t>
      </w:r>
      <w:r>
        <w:t>o-produce priorities with underserved communities. Equity-weighted funding should reflect rurality, cumulative disadvantage and outreach costs, while reporting failed interventions would reduce the risk of pilots being presented as system-wide success. Its evaluation should compare outcomes with similar populations outside intervention sites and publish confidence intervals, enabling observed change to be separated from broader NHS trends.</w:t>
      </w:r>
    </w:p>
    <w:p w14:paraId="32817B75" w14:textId="77777777" w:rsidR="00427EAB" w:rsidRPr="007D3682" w:rsidRDefault="005B6223" w:rsidP="007D3682">
      <w:pPr>
        <w:rPr>
          <w:b/>
          <w:bCs/>
        </w:rPr>
      </w:pPr>
      <w:r w:rsidRPr="007D3682">
        <w:rPr>
          <w:b/>
          <w:bCs/>
        </w:rPr>
        <w:t>Greener NHS</w:t>
      </w:r>
    </w:p>
    <w:p w14:paraId="2C6A049B" w14:textId="77777777" w:rsidR="00427EAB" w:rsidRDefault="005B6223">
      <w:r>
        <w:t>Greener NHS aims for net-zero emissions under NHS control by 2040 and for emissions it can influence by 2045. It links sustainability to health through cleaner air, efficient estates, lower-carbon medicines, procurement and transport. NHS Carbon Footprint emissions fell by 14% between 2019/20 and 2024/25, and emissions from inhalers and anaesthetic gases fell by 33%, indicating credible operational progress (NHS England, 2025a). Nevertheless, the wider Carbon Footprint Plus was 27.3 MtCO2e in both years, wh</w:t>
      </w:r>
      <w:r>
        <w:t xml:space="preserve">ile supply-chain emissions were approximately 12.4 MtCO2e in 2024/25. Activity-adjusted improvement therefore coexists with no absolute five-year reduction across the wider footprint. Moreover, NHS England acknowledges that spend-based supply-chain estimates limit measurement of real-world progress. Improvement requires independent assurance, product-level carbon information, ring-fenced heat-decarbonisation investment and publication of absolute and activity-adjusted emissions. Comparable reporting across </w:t>
      </w:r>
      <w:r>
        <w:t>all four UK health systems would strengthen learning. Lower-carbon medicines must remain clinically appropriate and chosen through shared decision-making, while savings from energy and waste should be reinvested in prevention and climate resilience. Procurement standards should require suppliers to report lifecycle emissions and reduction plans, with equity checks ensuring decarbonisation costs are not transferred to patients or frontline services.</w:t>
      </w:r>
    </w:p>
    <w:p w14:paraId="7A3F849F" w14:textId="77777777" w:rsidR="00B479D5" w:rsidRPr="007D3682" w:rsidRDefault="00E82F1A">
      <w:pPr>
        <w:pStyle w:val="Heading1"/>
        <w:jc w:val="left"/>
        <w:rPr>
          <w:sz w:val="28"/>
        </w:rPr>
      </w:pPr>
      <w:r w:rsidRPr="007D3682">
        <w:rPr>
          <w:rFonts w:ascii="Arial" w:hAnsi="Arial"/>
          <w:sz w:val="28"/>
        </w:rPr>
        <w:lastRenderedPageBreak/>
        <w:t>5. Local Health, Wellbeing and Sustainable Development Initiatives</w:t>
      </w:r>
    </w:p>
    <w:p w14:paraId="71CFD18D" w14:textId="77777777" w:rsidR="00427EAB" w:rsidRPr="00550560" w:rsidRDefault="005B6223" w:rsidP="00550560">
      <w:pPr>
        <w:rPr>
          <w:b/>
          <w:bCs/>
        </w:rPr>
      </w:pPr>
      <w:r w:rsidRPr="00550560">
        <w:rPr>
          <w:b/>
          <w:bCs/>
        </w:rPr>
        <w:t>The Swansea Local Well-being Plan 2023-2028</w:t>
      </w:r>
    </w:p>
    <w:p w14:paraId="4CA70FEC" w14:textId="77777777" w:rsidR="00427EAB" w:rsidRDefault="005B6223">
      <w:r>
        <w:t>The Swansea Local Well-being Plan integrates four objectives: early years; living and ageing well; climate and nature recovery; and strong communities (Swansea Public Services Board, 2023). Its principal strength is shared responsibility across public bodies for social, environmental, economic and cultural outcomes, consistent with prevention and the connection between SDGs 3 and 6. Audit Wales (2023) found a broad evidence base and use of the sustainable-development principle. However, consultation partici</w:t>
      </w:r>
      <w:r>
        <w:t>pation was low, Swansea's diversity was not fully represented and outcome measures required strengthening. The Public Services Board only finalised 23 population indicators during 2025-2026, midway through the plan (Swansea Public Services Board, 2026), weakening early accountability. It should publish an accessible annual dashboard containing baselines, targets, spending, named responsibility and neighbourhood and equality breakdowns. Participatory budgeting and targeted involvement of deprived communities</w:t>
      </w:r>
      <w:r>
        <w:t>, disabled residents, minority ethnic groups and older people would improve legitimacy. Water quality, flood resilience, green space and healthy ageing should be reported as connected outcomes to demonstrate whether environmental action produces equitable health benefits. Evaluation should distinguish outputs, such as meetings or projects delivered, from outcomes such as reduced loneliness, improved air quality or narrower healthy-life-expectancy gaps, and should report whether change can be directly attrib</w:t>
      </w:r>
      <w:r>
        <w:t>uted to partnership action.</w:t>
      </w:r>
    </w:p>
    <w:p w14:paraId="401ABAC2" w14:textId="77777777" w:rsidR="00427EAB" w:rsidRPr="00550560" w:rsidRDefault="005B6223" w:rsidP="00550560">
      <w:pPr>
        <w:rPr>
          <w:b/>
          <w:bCs/>
        </w:rPr>
      </w:pPr>
      <w:r w:rsidRPr="00550560">
        <w:rPr>
          <w:b/>
          <w:bCs/>
        </w:rPr>
        <w:t>The Swansea Bay Healthy Travel Charter</w:t>
      </w:r>
    </w:p>
    <w:p w14:paraId="5C7B7F23" w14:textId="77777777" w:rsidR="00427EAB" w:rsidRDefault="005B6223">
      <w:r>
        <w:t>Launched in 2022, the Swansea Bay Healthy Travel Charter asks major employers to complete 17 actions over two years, promoting walking, cycling, public transport and ultra-low-emission vehicles (Healthy Travel Wales, 2022). Collaboration is inexpensive and could increase physical activity while reducing emissions, air pollution and stress. UK Biobank evidence associates active commuting, particularly cycling, with lower cardiovascular, cancer and all-cause mortality risk (Celis-Morales et al., 2017). Nevert</w:t>
      </w:r>
      <w:r>
        <w:t>heless, signing a charter shows organisational intention rather than population impact. Public material lists commitments and signatories but provides little standardised reporting of modal shift, emissions, air quality or participation among low-income and disabled staff. This reflects wider Welsh weaknesses in active-travel monitoring and value-for-money assessment (Auditor General for Wales, 2024). Benefits may favour employees living near safe routes or able to afford equipment. Signatories should publi</w:t>
      </w:r>
      <w:r>
        <w:t xml:space="preserve">sh annual travel surveys and disaggregated outcomes. Swansea partners should combine workplace promotion with connected routes, secure storage, accessible infrastructure and affordable integrated fares, </w:t>
      </w:r>
      <w:r>
        <w:lastRenderedPageBreak/>
        <w:t>converting voluntary commitments into measurable, inclusive change. Evaluation should include non-participating workplaces and travel patterns before and after implementation; otherwise changes caused by fuel prices, home working or wider transport investment may be incorrectly attributed to the local Charte</w:t>
      </w:r>
      <w:r>
        <w:t>r activity itself.</w:t>
      </w:r>
    </w:p>
    <w:p w14:paraId="08C959AE" w14:textId="77777777" w:rsidR="00B479D5" w:rsidRPr="00550560" w:rsidRDefault="00E82F1A">
      <w:pPr>
        <w:pStyle w:val="Heading1"/>
        <w:jc w:val="left"/>
        <w:rPr>
          <w:sz w:val="28"/>
        </w:rPr>
      </w:pPr>
      <w:r w:rsidRPr="00550560">
        <w:rPr>
          <w:rFonts w:ascii="Arial" w:hAnsi="Arial"/>
          <w:sz w:val="28"/>
        </w:rPr>
        <w:t>6. Conclusion</w:t>
      </w:r>
    </w:p>
    <w:p w14:paraId="2F821445" w14:textId="77777777" w:rsidR="00427EAB" w:rsidRDefault="005B6223">
      <w:r>
        <w:t>SDG 3 and SDG 6 demonstrate that health depends on equitable healthcare, safe WASH and sustainable environments. Global mortality and service coverage have improved, but progress remains too slow and unequal for the 2030 targets. Nationally, Core20PLUS5 strengthens targeting and Greener NHS has reduced direct emissions, although causal outcome evidence, wider determinants and supply-chain emissions remain weaknesses. Locally, Swansea's Well-being Plan and Healthy Travel Charter support collaboration and pre</w:t>
      </w:r>
      <w:r>
        <w:t>vention but require stronger measurement and inclusive participation. Across every level, effective improvement depends on disaggregated outcomes, sustained preventive investment, community involvement and transparent accountability linking environmental action to health equity.</w:t>
      </w:r>
    </w:p>
    <w:p w14:paraId="2C506D6A" w14:textId="77777777" w:rsidR="00B479D5" w:rsidRPr="00550560" w:rsidRDefault="00E82F1A">
      <w:pPr>
        <w:pStyle w:val="Heading1"/>
        <w:pageBreakBefore/>
        <w:jc w:val="left"/>
        <w:rPr>
          <w:rFonts w:ascii="Arial" w:hAnsi="Arial"/>
          <w:sz w:val="28"/>
        </w:rPr>
      </w:pPr>
      <w:r w:rsidRPr="00550560">
        <w:rPr>
          <w:rFonts w:ascii="Arial" w:hAnsi="Arial"/>
          <w:sz w:val="28"/>
        </w:rPr>
        <w:lastRenderedPageBreak/>
        <w:t>References</w:t>
      </w:r>
    </w:p>
    <w:p w14:paraId="248246E3" w14:textId="5E04B5E9" w:rsidR="00427EAB" w:rsidRDefault="005B6223">
      <w:pPr>
        <w:pStyle w:val="Reference"/>
      </w:pPr>
      <w:r>
        <w:t xml:space="preserve">Audit Wales (2023) </w:t>
      </w:r>
      <w:r>
        <w:rPr>
          <w:i/>
        </w:rPr>
        <w:t>Setting of well-being objectives: City and County of Swansea Council</w:t>
      </w:r>
      <w:r>
        <w:t xml:space="preserve">. Cardiff: Audit Wales. Available at: </w:t>
      </w:r>
      <w:hyperlink r:id="rId12" w:history="1">
        <w:r w:rsidR="00302B45" w:rsidRPr="008402DB">
          <w:rPr>
            <w:rStyle w:val="Hyperlink"/>
          </w:rPr>
          <w:t>https://www.audit.wales/sites/default/files/publications/swansea_council_well_being objectives_english_0.pdf</w:t>
        </w:r>
      </w:hyperlink>
      <w:r w:rsidR="00302B45">
        <w:t xml:space="preserve"> </w:t>
      </w:r>
      <w:r>
        <w:t xml:space="preserve">(Accessed: </w:t>
      </w:r>
      <w:r w:rsidR="007A7E40">
        <w:t>1 August</w:t>
      </w:r>
      <w:r>
        <w:t xml:space="preserve"> 2026).</w:t>
      </w:r>
    </w:p>
    <w:p w14:paraId="34E641F7" w14:textId="1ED50780" w:rsidR="00427EAB" w:rsidRDefault="005B6223">
      <w:pPr>
        <w:pStyle w:val="Reference"/>
      </w:pPr>
      <w:r>
        <w:t xml:space="preserve">Auditor General for Wales (2024) </w:t>
      </w:r>
      <w:r>
        <w:rPr>
          <w:i/>
        </w:rPr>
        <w:t>Active travel</w:t>
      </w:r>
      <w:r>
        <w:t xml:space="preserve">. Cardiff: Audit Wales. Available at: </w:t>
      </w:r>
      <w:hyperlink r:id="rId13" w:history="1">
        <w:r w:rsidR="007A7E40" w:rsidRPr="008402DB">
          <w:rPr>
            <w:rStyle w:val="Hyperlink"/>
          </w:rPr>
          <w:t>https://www.audit.wales/sites/default/files/publications/active_travel_eng.pdf</w:t>
        </w:r>
      </w:hyperlink>
      <w:r w:rsidR="007A7E40">
        <w:t xml:space="preserve"> </w:t>
      </w:r>
      <w:r>
        <w:t xml:space="preserve">(Accessed: </w:t>
      </w:r>
      <w:r w:rsidR="007A7E40">
        <w:t xml:space="preserve">30 July </w:t>
      </w:r>
      <w:r>
        <w:t>2026).</w:t>
      </w:r>
    </w:p>
    <w:p w14:paraId="007D6FDC" w14:textId="3B926812" w:rsidR="00427EAB" w:rsidRDefault="005B6223">
      <w:pPr>
        <w:pStyle w:val="Reference"/>
      </w:pPr>
      <w:r>
        <w:t xml:space="preserve">Celis-Morales, C.A., Lyall, D.M., Welsh, P., Anderson, J., Steell, L., Guo, Y., Maldonado, R., Mackay, D.F., Pell, J.P., Sattar, N. and Gill, J.M.R. (2017) ‘Association between active commuting and incident cardiovascular disease, cancer, and mortality: prospective cohort study’, </w:t>
      </w:r>
      <w:r>
        <w:rPr>
          <w:i/>
        </w:rPr>
        <w:t>BMJ</w:t>
      </w:r>
      <w:r>
        <w:t xml:space="preserve">, 357, j1456. Available at: </w:t>
      </w:r>
      <w:hyperlink r:id="rId14" w:history="1">
        <w:r w:rsidR="007A7E40" w:rsidRPr="008402DB">
          <w:rPr>
            <w:rStyle w:val="Hyperlink"/>
          </w:rPr>
          <w:t>https://doi.org/10.1136/bmj.j1456</w:t>
        </w:r>
      </w:hyperlink>
      <w:r w:rsidR="007A7E40">
        <w:t xml:space="preserve"> </w:t>
      </w:r>
      <w:r>
        <w:t xml:space="preserve">(Accessed: </w:t>
      </w:r>
      <w:r w:rsidR="00891563">
        <w:t>20 July</w:t>
      </w:r>
      <w:r>
        <w:t xml:space="preserve"> 2026).</w:t>
      </w:r>
    </w:p>
    <w:p w14:paraId="6738F734" w14:textId="4C684824" w:rsidR="00427EAB" w:rsidRDefault="005B6223">
      <w:pPr>
        <w:pStyle w:val="Reference"/>
      </w:pPr>
      <w:r>
        <w:t xml:space="preserve">Consumer Council for Water (2025) </w:t>
      </w:r>
      <w:r>
        <w:rPr>
          <w:i/>
        </w:rPr>
        <w:t>Water Matters 2025</w:t>
      </w:r>
      <w:r>
        <w:t xml:space="preserve">. Available at: </w:t>
      </w:r>
      <w:hyperlink r:id="rId15" w:history="1">
        <w:r w:rsidR="00891563" w:rsidRPr="008402DB">
          <w:rPr>
            <w:rStyle w:val="Hyperlink"/>
          </w:rPr>
          <w:t>https://www.ccw.org.uk/publication/water-matters-2025/</w:t>
        </w:r>
      </w:hyperlink>
      <w:r w:rsidR="00891563">
        <w:t xml:space="preserve"> </w:t>
      </w:r>
      <w:r>
        <w:t xml:space="preserve">(Accessed: </w:t>
      </w:r>
      <w:r w:rsidR="00891563">
        <w:t>30 July</w:t>
      </w:r>
      <w:r>
        <w:t xml:space="preserve"> 2026).</w:t>
      </w:r>
    </w:p>
    <w:p w14:paraId="0F706D25" w14:textId="75C3899A" w:rsidR="00427EAB" w:rsidRDefault="005B6223">
      <w:pPr>
        <w:pStyle w:val="Reference"/>
      </w:pPr>
      <w:r>
        <w:t xml:space="preserve">Department for Environment, Food and Rural Affairs (2026) </w:t>
      </w:r>
      <w:r>
        <w:rPr>
          <w:i/>
        </w:rPr>
        <w:t>A new vision for water</w:t>
      </w:r>
      <w:r>
        <w:t xml:space="preserve">. London: Department for Environment, Food and Rural Affairs. Available at: </w:t>
      </w:r>
      <w:hyperlink r:id="rId16" w:history="1">
        <w:r w:rsidR="006A4EA6" w:rsidRPr="008402DB">
          <w:rPr>
            <w:rStyle w:val="Hyperlink"/>
          </w:rPr>
          <w:t>https://www.gov.uk/government/publications/a-new-vision-for-water-white-paper/a-new-vision-for-water</w:t>
        </w:r>
      </w:hyperlink>
      <w:r w:rsidR="006A4EA6">
        <w:t xml:space="preserve"> </w:t>
      </w:r>
      <w:r>
        <w:t xml:space="preserve">(Accessed: </w:t>
      </w:r>
      <w:r w:rsidR="006A4EA6">
        <w:t xml:space="preserve">2 </w:t>
      </w:r>
      <w:r>
        <w:t>August 2026).</w:t>
      </w:r>
    </w:p>
    <w:p w14:paraId="6717EEEB" w14:textId="6869CF86" w:rsidR="00427EAB" w:rsidRDefault="005B6223">
      <w:pPr>
        <w:pStyle w:val="Reference"/>
      </w:pPr>
      <w:r>
        <w:t xml:space="preserve">Environment Agency (2025) </w:t>
      </w:r>
      <w:r>
        <w:rPr>
          <w:i/>
        </w:rPr>
        <w:t>Environment Agency Chief Regulator's report 2024-25: supporting evidence</w:t>
      </w:r>
      <w:r>
        <w:t xml:space="preserve">. Bristol: Environment Agency. Available at: </w:t>
      </w:r>
      <w:hyperlink r:id="rId17" w:history="1">
        <w:r w:rsidR="006A4EA6" w:rsidRPr="008402DB">
          <w:rPr>
            <w:rStyle w:val="Hyperlink"/>
          </w:rPr>
          <w:t>https://www.gov.uk/government/publications/environment-agency-chief-regulators-report-2024-25/environment-agency-chief-regulators-report-2024-25-supporting-evidence</w:t>
        </w:r>
      </w:hyperlink>
      <w:r w:rsidR="006A4EA6">
        <w:t xml:space="preserve"> </w:t>
      </w:r>
      <w:r>
        <w:t xml:space="preserve">(Accessed: </w:t>
      </w:r>
      <w:r w:rsidR="006A4EA6">
        <w:t>23 July</w:t>
      </w:r>
      <w:r>
        <w:t xml:space="preserve"> 2026).</w:t>
      </w:r>
    </w:p>
    <w:p w14:paraId="1C359C58" w14:textId="658434D0" w:rsidR="00427EAB" w:rsidRDefault="005B6223">
      <w:pPr>
        <w:pStyle w:val="Reference"/>
      </w:pPr>
      <w:r>
        <w:t xml:space="preserve">Healthy Travel Wales (2022) </w:t>
      </w:r>
      <w:r>
        <w:rPr>
          <w:i/>
        </w:rPr>
        <w:t>Swansea Bay Healthy Travel Charter</w:t>
      </w:r>
      <w:r>
        <w:t xml:space="preserve">. Available at: </w:t>
      </w:r>
      <w:hyperlink r:id="rId18" w:history="1">
        <w:r w:rsidR="006A4EA6" w:rsidRPr="008402DB">
          <w:rPr>
            <w:rStyle w:val="Hyperlink"/>
          </w:rPr>
          <w:t>https://www.healthytravel.wales/swanseabay.html</w:t>
        </w:r>
      </w:hyperlink>
      <w:r w:rsidR="006A4EA6">
        <w:t xml:space="preserve"> </w:t>
      </w:r>
      <w:r>
        <w:t xml:space="preserve">(Accessed: </w:t>
      </w:r>
      <w:r w:rsidR="006A4EA6">
        <w:t>27 July</w:t>
      </w:r>
      <w:r>
        <w:t xml:space="preserve"> 2026).</w:t>
      </w:r>
    </w:p>
    <w:p w14:paraId="4FBB8FD2" w14:textId="58E18052" w:rsidR="00427EAB" w:rsidRDefault="005B6223">
      <w:pPr>
        <w:pStyle w:val="Reference"/>
      </w:pPr>
      <w:r>
        <w:t xml:space="preserve">Marmot, M., Allen, J., Boyce, T., Goldblatt, P. and Morrison, J. (2020) </w:t>
      </w:r>
      <w:r>
        <w:rPr>
          <w:i/>
        </w:rPr>
        <w:t>Health equity in England: The Marmot Review 10 years on</w:t>
      </w:r>
      <w:r>
        <w:t xml:space="preserve">. London: Institute of Health Equity. Available at: </w:t>
      </w:r>
      <w:hyperlink r:id="rId19" w:history="1">
        <w:r w:rsidR="00ED4AF3" w:rsidRPr="008402DB">
          <w:rPr>
            <w:rStyle w:val="Hyperlink"/>
          </w:rPr>
          <w:t>https://www.instituteofhealthequity.org/resources-reports/marmot-review-10-years-on/the-marmot-review-10-years-on-full-report.pdf</w:t>
        </w:r>
      </w:hyperlink>
      <w:r w:rsidR="00ED4AF3">
        <w:t xml:space="preserve"> </w:t>
      </w:r>
      <w:r>
        <w:t xml:space="preserve">(Accessed: </w:t>
      </w:r>
      <w:r w:rsidR="00ED4AF3">
        <w:t>2</w:t>
      </w:r>
      <w:r w:rsidR="00DD4B29">
        <w:t xml:space="preserve">5 July </w:t>
      </w:r>
      <w:r>
        <w:t>2026).</w:t>
      </w:r>
    </w:p>
    <w:p w14:paraId="69893970" w14:textId="414BBD9B" w:rsidR="00427EAB" w:rsidRDefault="005B6223">
      <w:pPr>
        <w:pStyle w:val="Reference"/>
      </w:pPr>
      <w:r>
        <w:lastRenderedPageBreak/>
        <w:t xml:space="preserve">NHS England (2025a) </w:t>
      </w:r>
      <w:r>
        <w:rPr>
          <w:i/>
        </w:rPr>
        <w:t>Five years of a greener NHS: progress and forward look</w:t>
      </w:r>
      <w:r>
        <w:t xml:space="preserve">. London: NHS England. Available at: </w:t>
      </w:r>
      <w:hyperlink r:id="rId20" w:history="1">
        <w:r w:rsidR="00DD4B29" w:rsidRPr="008402DB">
          <w:rPr>
            <w:rStyle w:val="Hyperlink"/>
          </w:rPr>
          <w:t>https://www.england.nhs.uk/long-read/five-years-greener-nhs-progress-forward-look/</w:t>
        </w:r>
      </w:hyperlink>
      <w:r w:rsidR="00DD4B29">
        <w:t xml:space="preserve"> </w:t>
      </w:r>
      <w:r>
        <w:t xml:space="preserve">(Accessed: </w:t>
      </w:r>
      <w:r w:rsidR="00AF5BD0">
        <w:t>22 July</w:t>
      </w:r>
      <w:r>
        <w:t xml:space="preserve"> 2026).</w:t>
      </w:r>
    </w:p>
    <w:p w14:paraId="506D68D6" w14:textId="5542D0BC" w:rsidR="00427EAB" w:rsidRDefault="005B6223">
      <w:pPr>
        <w:pStyle w:val="Reference"/>
      </w:pPr>
      <w:r>
        <w:t xml:space="preserve">NHS England (2025b) </w:t>
      </w:r>
      <w:r>
        <w:rPr>
          <w:i/>
        </w:rPr>
        <w:t>Healthcare Inequalities Improvement Programme and NHS Race and Health Observatory: end of year report</w:t>
      </w:r>
      <w:r>
        <w:t xml:space="preserve">. London: NHS England. Available at: </w:t>
      </w:r>
      <w:hyperlink r:id="rId21" w:history="1">
        <w:r w:rsidR="00354F0E" w:rsidRPr="008402DB">
          <w:rPr>
            <w:rStyle w:val="Hyperlink"/>
          </w:rPr>
          <w:t>https://www.england.nhs.uk/long-read/healthcare-inequalities-improvement-programme-and-nhs-race-and-health-observatory-rho-end-of-year-report/</w:t>
        </w:r>
      </w:hyperlink>
      <w:r w:rsidR="00354F0E">
        <w:t xml:space="preserve"> </w:t>
      </w:r>
      <w:r>
        <w:t xml:space="preserve">(Accessed: </w:t>
      </w:r>
      <w:r w:rsidR="00AF5BD0">
        <w:t>30 July</w:t>
      </w:r>
      <w:r>
        <w:t xml:space="preserve"> 2026).</w:t>
      </w:r>
    </w:p>
    <w:p w14:paraId="105BA9D8" w14:textId="1406D60D" w:rsidR="00427EAB" w:rsidRDefault="005B6223">
      <w:pPr>
        <w:pStyle w:val="Reference"/>
      </w:pPr>
      <w:r>
        <w:t xml:space="preserve">Office for Health Improvement and Disparities (2022) </w:t>
      </w:r>
      <w:r>
        <w:rPr>
          <w:i/>
        </w:rPr>
        <w:t>Health disparities and health inequalities: applying All Our Health</w:t>
      </w:r>
      <w:r>
        <w:t xml:space="preserve">. London: Office for Health Improvement and Disparities. Available at: </w:t>
      </w:r>
      <w:hyperlink r:id="rId22" w:history="1">
        <w:r w:rsidR="00354F0E" w:rsidRPr="008402DB">
          <w:rPr>
            <w:rStyle w:val="Hyperlink"/>
          </w:rPr>
          <w:t>https://www.gov.uk/government/publications/health-disparities-and-health-inequalities-applying-all-our-health/health-disparities-and-health-inequalities-applying-all-our-health</w:t>
        </w:r>
      </w:hyperlink>
      <w:r w:rsidR="00354F0E">
        <w:t xml:space="preserve"> </w:t>
      </w:r>
      <w:r>
        <w:t>(Accessed:</w:t>
      </w:r>
      <w:r w:rsidR="00354F0E">
        <w:t xml:space="preserve"> 28 July </w:t>
      </w:r>
      <w:r>
        <w:t>2026).</w:t>
      </w:r>
    </w:p>
    <w:p w14:paraId="278F7D9D" w14:textId="11118E66" w:rsidR="00427EAB" w:rsidRDefault="005B6223">
      <w:pPr>
        <w:pStyle w:val="Reference"/>
      </w:pPr>
      <w:r>
        <w:t xml:space="preserve">Office for National Statistics (2026) </w:t>
      </w:r>
      <w:r>
        <w:rPr>
          <w:i/>
        </w:rPr>
        <w:t>Healthy life expectancy by national area deprivation, England and Wales: between 2013 to 2015 and 2022 to 2024</w:t>
      </w:r>
      <w:r>
        <w:t xml:space="preserve">. Newport: Office for National Statistics. Available at: </w:t>
      </w:r>
      <w:hyperlink r:id="rId23" w:history="1">
        <w:r w:rsidR="00354F0E" w:rsidRPr="008402DB">
          <w:rPr>
            <w:rStyle w:val="Hyperlink"/>
          </w:rPr>
          <w:t>https://www.ons.gov.uk/peoplepopulationandcommunity/healthandsocialcare/healthinequalities/bulletins/healthylifeexpectancybynationalareadeprivationenglandandwales/between2013to2015and2022to2024</w:t>
        </w:r>
      </w:hyperlink>
      <w:r w:rsidR="00354F0E">
        <w:t xml:space="preserve"> </w:t>
      </w:r>
      <w:r>
        <w:t xml:space="preserve">(Accessed: </w:t>
      </w:r>
      <w:r w:rsidR="00354F0E">
        <w:t xml:space="preserve">24 July </w:t>
      </w:r>
      <w:r>
        <w:t>2026).</w:t>
      </w:r>
    </w:p>
    <w:p w14:paraId="46D2C813" w14:textId="7CD6AEC8" w:rsidR="00427EAB" w:rsidRDefault="005B6223">
      <w:pPr>
        <w:pStyle w:val="Reference"/>
      </w:pPr>
      <w:r>
        <w:t xml:space="preserve">Swansea Public Services Board (2023) </w:t>
      </w:r>
      <w:r>
        <w:rPr>
          <w:i/>
        </w:rPr>
        <w:t>Local Well-being Plan 2023-2028: working together to improve well-being in Swansea</w:t>
      </w:r>
      <w:r>
        <w:t xml:space="preserve">. Swansea: Swansea Public Services Board. Available at: </w:t>
      </w:r>
      <w:hyperlink r:id="rId24" w:history="1">
        <w:r w:rsidR="002C5F1D" w:rsidRPr="008402DB">
          <w:rPr>
            <w:rStyle w:val="Hyperlink"/>
          </w:rPr>
          <w:t>https://www.swansea.gov.uk/article/9453/Local-well-being-plan-2023-28</w:t>
        </w:r>
      </w:hyperlink>
      <w:r w:rsidR="002C5F1D">
        <w:t xml:space="preserve"> </w:t>
      </w:r>
      <w:r>
        <w:t xml:space="preserve">(Accessed: </w:t>
      </w:r>
      <w:r w:rsidR="002C5F1D">
        <w:t xml:space="preserve">1 </w:t>
      </w:r>
      <w:r>
        <w:t>August 2026).</w:t>
      </w:r>
    </w:p>
    <w:p w14:paraId="1F526B27" w14:textId="46FDB3F4" w:rsidR="00427EAB" w:rsidRDefault="005B6223">
      <w:pPr>
        <w:pStyle w:val="Reference"/>
      </w:pPr>
      <w:r>
        <w:t xml:space="preserve">Swansea Public Services Board (2026) </w:t>
      </w:r>
      <w:r>
        <w:rPr>
          <w:i/>
        </w:rPr>
        <w:t>Annual Report 2025-26</w:t>
      </w:r>
      <w:r>
        <w:t xml:space="preserve">. Swansea: Swansea Public Services Board. Available at: </w:t>
      </w:r>
      <w:hyperlink r:id="rId25" w:history="1">
        <w:r w:rsidR="00F21B6F" w:rsidRPr="008402DB">
          <w:rPr>
            <w:rStyle w:val="Hyperlink"/>
          </w:rPr>
          <w:t>https://www.swansea.gov.uk/article/12064/Swansea-Public-Services-Board-Annual-Report-2025-26</w:t>
        </w:r>
      </w:hyperlink>
      <w:r w:rsidR="00F21B6F">
        <w:t xml:space="preserve"> </w:t>
      </w:r>
      <w:r>
        <w:t xml:space="preserve">(Accessed: </w:t>
      </w:r>
      <w:r w:rsidR="002C5F1D">
        <w:t>26 July</w:t>
      </w:r>
      <w:r>
        <w:t xml:space="preserve"> 2026).</w:t>
      </w:r>
    </w:p>
    <w:p w14:paraId="37E58060" w14:textId="183480E9" w:rsidR="00427EAB" w:rsidRDefault="005B6223">
      <w:pPr>
        <w:pStyle w:val="Reference"/>
      </w:pPr>
      <w:r>
        <w:t xml:space="preserve">UN-Water (2026) </w:t>
      </w:r>
      <w:r>
        <w:rPr>
          <w:i/>
        </w:rPr>
        <w:t>Towards a human rights-based approach to water, sanitation and environmental action</w:t>
      </w:r>
      <w:r>
        <w:t xml:space="preserve">. Geneva: UN-Water. Available at: </w:t>
      </w:r>
      <w:hyperlink r:id="rId26" w:history="1">
        <w:r w:rsidR="00F21B6F" w:rsidRPr="008402DB">
          <w:rPr>
            <w:rStyle w:val="Hyperlink"/>
          </w:rPr>
          <w:t>https://www.unwater.org/sites/default/files/2026-03/UN-Water_HumanRights_PolicyBrief2026_FINAL_18MARCH2026_SPREADS.pdf</w:t>
        </w:r>
      </w:hyperlink>
      <w:r w:rsidR="00F21B6F">
        <w:t xml:space="preserve"> </w:t>
      </w:r>
      <w:r>
        <w:t xml:space="preserve">(Accessed: </w:t>
      </w:r>
      <w:r w:rsidR="00F21B6F">
        <w:t xml:space="preserve">30 July </w:t>
      </w:r>
      <w:r>
        <w:t>2026).</w:t>
      </w:r>
    </w:p>
    <w:p w14:paraId="7A7AA81B" w14:textId="7BE53256" w:rsidR="00427EAB" w:rsidRDefault="005B6223">
      <w:pPr>
        <w:pStyle w:val="Reference"/>
      </w:pPr>
      <w:r>
        <w:t xml:space="preserve">United Nations (2025a) </w:t>
      </w:r>
      <w:r>
        <w:rPr>
          <w:i/>
        </w:rPr>
        <w:t>The Sustainable Development Goals Report 2025: Goal 3 - Good health and well-being</w:t>
      </w:r>
      <w:r>
        <w:t xml:space="preserve">. New York: United Nations. Available at: </w:t>
      </w:r>
      <w:hyperlink r:id="rId27" w:history="1">
        <w:r w:rsidR="00F21B6F" w:rsidRPr="008402DB">
          <w:rPr>
            <w:rStyle w:val="Hyperlink"/>
          </w:rPr>
          <w:t>https://unstats.un.org/sdgs/report/2025/goal-03/</w:t>
        </w:r>
      </w:hyperlink>
      <w:r w:rsidR="00F21B6F">
        <w:t xml:space="preserve"> </w:t>
      </w:r>
      <w:r>
        <w:t xml:space="preserve">(Accessed: </w:t>
      </w:r>
      <w:r w:rsidR="00F21B6F">
        <w:t xml:space="preserve">22 July </w:t>
      </w:r>
      <w:r>
        <w:t>2026).</w:t>
      </w:r>
    </w:p>
    <w:p w14:paraId="4E900DB7" w14:textId="36F9403D" w:rsidR="00427EAB" w:rsidRDefault="005B6223">
      <w:pPr>
        <w:pStyle w:val="Reference"/>
      </w:pPr>
      <w:r>
        <w:lastRenderedPageBreak/>
        <w:t xml:space="preserve">United Nations (2025b) </w:t>
      </w:r>
      <w:r>
        <w:rPr>
          <w:i/>
        </w:rPr>
        <w:t>The Sustainable Development Goals Report 2025: Goal 6 - Clean water and sanitation</w:t>
      </w:r>
      <w:r>
        <w:t xml:space="preserve">. New York: United Nations. Available at: </w:t>
      </w:r>
      <w:hyperlink r:id="rId28" w:history="1">
        <w:r w:rsidR="00CD7CB3" w:rsidRPr="008402DB">
          <w:rPr>
            <w:rStyle w:val="Hyperlink"/>
          </w:rPr>
          <w:t>https://unstats.un.org/sdgs/report/2025/goal-06/</w:t>
        </w:r>
      </w:hyperlink>
      <w:r w:rsidR="00CD7CB3">
        <w:t xml:space="preserve"> </w:t>
      </w:r>
      <w:r>
        <w:t xml:space="preserve">(Accessed: </w:t>
      </w:r>
      <w:r w:rsidR="00CD7CB3">
        <w:t>22 July</w:t>
      </w:r>
      <w:r>
        <w:t xml:space="preserve"> 2026).</w:t>
      </w:r>
    </w:p>
    <w:p w14:paraId="076B13B4" w14:textId="1CF8C708" w:rsidR="00427EAB" w:rsidRDefault="005B6223">
      <w:pPr>
        <w:pStyle w:val="Reference"/>
      </w:pPr>
      <w:r>
        <w:t xml:space="preserve">United Nations (2026) </w:t>
      </w:r>
      <w:r>
        <w:rPr>
          <w:i/>
        </w:rPr>
        <w:t>The Sustainable Development Goals Report 2026</w:t>
      </w:r>
      <w:r>
        <w:t xml:space="preserve">. New York: United Nations. Available at: </w:t>
      </w:r>
      <w:hyperlink r:id="rId29" w:history="1">
        <w:r w:rsidR="00CD7CB3" w:rsidRPr="008402DB">
          <w:rPr>
            <w:rStyle w:val="Hyperlink"/>
          </w:rPr>
          <w:t>https://unstats.un.org/sdgs/report/2026/The-Sustainable-Development-Goals-Report-2026.pdf</w:t>
        </w:r>
      </w:hyperlink>
      <w:r w:rsidR="00CD7CB3">
        <w:t xml:space="preserve"> </w:t>
      </w:r>
      <w:r>
        <w:t xml:space="preserve">(Accessed: </w:t>
      </w:r>
      <w:r w:rsidR="00CD7CB3">
        <w:t xml:space="preserve">20 July </w:t>
      </w:r>
      <w:r>
        <w:t>2026).</w:t>
      </w:r>
    </w:p>
    <w:p w14:paraId="31DF9B49" w14:textId="0A843BD4" w:rsidR="00427EAB" w:rsidRDefault="005B6223">
      <w:pPr>
        <w:pStyle w:val="Reference"/>
      </w:pPr>
      <w:r>
        <w:t xml:space="preserve">World Health Organization (2023a) </w:t>
      </w:r>
      <w:r>
        <w:rPr>
          <w:i/>
        </w:rPr>
        <w:t>Burden of disease attributable to unsafe drinking-water, sanitation and hygiene: 2019 update</w:t>
      </w:r>
      <w:r>
        <w:t xml:space="preserve">. Geneva: World Health Organization. Available at: </w:t>
      </w:r>
      <w:hyperlink r:id="rId30" w:history="1">
        <w:r w:rsidR="00CD7CB3" w:rsidRPr="008402DB">
          <w:rPr>
            <w:rStyle w:val="Hyperlink"/>
          </w:rPr>
          <w:t>https://www.who.int/publications/i/item/9789240075610</w:t>
        </w:r>
      </w:hyperlink>
      <w:r w:rsidR="00CD7CB3">
        <w:t xml:space="preserve"> </w:t>
      </w:r>
      <w:r>
        <w:t xml:space="preserve">(Accessed: </w:t>
      </w:r>
      <w:r w:rsidR="00CD7CB3">
        <w:t xml:space="preserve">4 </w:t>
      </w:r>
      <w:r>
        <w:t>August 2026).</w:t>
      </w:r>
    </w:p>
    <w:p w14:paraId="6A551084" w14:textId="1EBCD003" w:rsidR="00427EAB" w:rsidRDefault="005B6223">
      <w:pPr>
        <w:pStyle w:val="Reference"/>
      </w:pPr>
      <w:r>
        <w:t xml:space="preserve">World Health Organization (2023b) </w:t>
      </w:r>
      <w:r>
        <w:rPr>
          <w:i/>
        </w:rPr>
        <w:t>Commercial determinants of health</w:t>
      </w:r>
      <w:r>
        <w:t xml:space="preserve">. Available at: </w:t>
      </w:r>
      <w:hyperlink r:id="rId31" w:history="1">
        <w:r w:rsidR="00BD192E" w:rsidRPr="008402DB">
          <w:rPr>
            <w:rStyle w:val="Hyperlink"/>
          </w:rPr>
          <w:t>https://www.who.int/news-room/fact-sheets/detail/commercial-determinants-of-health</w:t>
        </w:r>
      </w:hyperlink>
      <w:r w:rsidR="00BD192E">
        <w:t xml:space="preserve"> </w:t>
      </w:r>
      <w:r>
        <w:t xml:space="preserve">(Accessed: </w:t>
      </w:r>
      <w:r w:rsidR="00BD192E">
        <w:t>2</w:t>
      </w:r>
      <w:r w:rsidR="00CD7CB3">
        <w:t xml:space="preserve">9 July </w:t>
      </w:r>
      <w:r>
        <w:t>2026).</w:t>
      </w:r>
    </w:p>
    <w:p w14:paraId="5C677F5A" w14:textId="7599094B" w:rsidR="00427EAB" w:rsidRDefault="005B6223">
      <w:pPr>
        <w:pStyle w:val="Reference"/>
      </w:pPr>
      <w:r>
        <w:t xml:space="preserve">World Health Organization and United Nations Children's Fund (2020) </w:t>
      </w:r>
      <w:r>
        <w:rPr>
          <w:i/>
        </w:rPr>
        <w:t>Operational framework for primary health care: transforming vision into action</w:t>
      </w:r>
      <w:r>
        <w:t xml:space="preserve">. Geneva: World Health Organization and UNICEF. Available at: </w:t>
      </w:r>
      <w:hyperlink r:id="rId32" w:history="1">
        <w:r w:rsidR="00442AE8" w:rsidRPr="008402DB">
          <w:rPr>
            <w:rStyle w:val="Hyperlink"/>
          </w:rPr>
          <w:t>https://www.who.int/publications/i/item/9789240017832</w:t>
        </w:r>
      </w:hyperlink>
      <w:r w:rsidR="00442AE8">
        <w:t xml:space="preserve"> </w:t>
      </w:r>
      <w:r>
        <w:t xml:space="preserve">(Accessed: </w:t>
      </w:r>
      <w:r w:rsidR="00442AE8">
        <w:t>23 July</w:t>
      </w:r>
      <w:r>
        <w:t xml:space="preserve"> 2026).</w:t>
      </w:r>
    </w:p>
    <w:p w14:paraId="098D9303" w14:textId="649572DD" w:rsidR="00427EAB" w:rsidRDefault="005B6223">
      <w:pPr>
        <w:pStyle w:val="Reference"/>
      </w:pPr>
      <w:r>
        <w:t xml:space="preserve">World Health Organization and United Nations Children's Fund (2023) </w:t>
      </w:r>
      <w:r>
        <w:rPr>
          <w:i/>
        </w:rPr>
        <w:t>Water, sanitation, hygiene, waste and electricity services in health care facilities: progress on the fundamentals: 2023 global report</w:t>
      </w:r>
      <w:r>
        <w:t xml:space="preserve">. Geneva: World Health Organization and UNICEF. Available at: </w:t>
      </w:r>
      <w:hyperlink r:id="rId33" w:history="1">
        <w:r w:rsidR="00475628" w:rsidRPr="008402DB">
          <w:rPr>
            <w:rStyle w:val="Hyperlink"/>
          </w:rPr>
          <w:t>https://www.who.int/publications-detail-redirect/9789240075085</w:t>
        </w:r>
      </w:hyperlink>
      <w:r w:rsidR="00475628">
        <w:t xml:space="preserve"> </w:t>
      </w:r>
      <w:r>
        <w:t xml:space="preserve">(Accessed: </w:t>
      </w:r>
      <w:r w:rsidR="00442AE8">
        <w:t xml:space="preserve">30 July </w:t>
      </w:r>
      <w:r>
        <w:t>2026).</w:t>
      </w:r>
    </w:p>
    <w:p w14:paraId="174DA279" w14:textId="62A52E45" w:rsidR="00427EAB" w:rsidRDefault="005B6223">
      <w:pPr>
        <w:pStyle w:val="Reference"/>
      </w:pPr>
      <w:r>
        <w:t xml:space="preserve">World Health Organization and United Nations Children's Fund (2025) </w:t>
      </w:r>
      <w:r>
        <w:rPr>
          <w:i/>
        </w:rPr>
        <w:t>Progress on household drinking water, sanitation and hygiene 2000-2024: special focus on inequalities</w:t>
      </w:r>
      <w:r>
        <w:t xml:space="preserve">. New York: UNICEF and World Health Organization. Available at: </w:t>
      </w:r>
      <w:hyperlink r:id="rId34" w:history="1">
        <w:r w:rsidR="00475628" w:rsidRPr="008402DB">
          <w:rPr>
            <w:rStyle w:val="Hyperlink"/>
          </w:rPr>
          <w:t>https://data.unicef.org/resources/jmp-report-2025/</w:t>
        </w:r>
      </w:hyperlink>
      <w:r w:rsidR="00475628">
        <w:t xml:space="preserve"> </w:t>
      </w:r>
      <w:r>
        <w:t xml:space="preserve">(Accessed: </w:t>
      </w:r>
      <w:r w:rsidR="00475628">
        <w:t>3</w:t>
      </w:r>
      <w:r>
        <w:t xml:space="preserve"> August 2026).</w:t>
      </w:r>
    </w:p>
    <w:p w14:paraId="185EC145" w14:textId="7D0354A0" w:rsidR="00427EAB" w:rsidRDefault="005B6223">
      <w:pPr>
        <w:pStyle w:val="Reference"/>
      </w:pPr>
      <w:r>
        <w:t xml:space="preserve">World Health Organization and World Bank (2025) </w:t>
      </w:r>
      <w:r>
        <w:rPr>
          <w:i/>
        </w:rPr>
        <w:t>Tracking universal health coverage: 2025 global monitoring report</w:t>
      </w:r>
      <w:r>
        <w:t xml:space="preserve">. Geneva: World Health Organization and World Bank. Available at: </w:t>
      </w:r>
      <w:hyperlink r:id="rId35" w:history="1">
        <w:r w:rsidR="00F21B6F" w:rsidRPr="008402DB">
          <w:rPr>
            <w:rStyle w:val="Hyperlink"/>
          </w:rPr>
          <w:t>https://www.who.int/publications/i/item/9789240117808</w:t>
        </w:r>
      </w:hyperlink>
      <w:r w:rsidR="00F21B6F">
        <w:t xml:space="preserve"> </w:t>
      </w:r>
      <w:r>
        <w:t xml:space="preserve">(Accessed: </w:t>
      </w:r>
      <w:r w:rsidR="00475628">
        <w:t>24 July</w:t>
      </w:r>
      <w:r>
        <w:t xml:space="preserve"> 2026).</w:t>
      </w:r>
    </w:p>
    <w:sectPr w:rsidR="00427EAB" w:rsidSect="00034616">
      <w:headerReference w:type="default" r:id="rId36"/>
      <w:footerReference w:type="default" r:id="rId37"/>
      <w:pgSz w:w="11906" w:h="16838"/>
      <w:pgMar w:top="1440" w:right="1440" w:bottom="1440" w:left="1440"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98F71" w14:textId="77777777" w:rsidR="005B6223" w:rsidRDefault="005B6223">
      <w:pPr>
        <w:spacing w:after="0" w:line="240" w:lineRule="auto"/>
      </w:pPr>
      <w:r>
        <w:separator/>
      </w:r>
    </w:p>
  </w:endnote>
  <w:endnote w:type="continuationSeparator" w:id="0">
    <w:p w14:paraId="2D8748D8" w14:textId="77777777" w:rsidR="005B6223" w:rsidRDefault="005B62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E12E5" w14:textId="77777777" w:rsidR="00B479D5" w:rsidRDefault="00E82F1A">
    <w:pPr>
      <w:pStyle w:val="Footer"/>
      <w:jc w:val="center"/>
    </w:pPr>
    <w:r>
      <w:rPr>
        <w:color w:val="666666"/>
        <w:sz w:val="18"/>
      </w:rPr>
      <w:fldChar w:fldCharType="begin"/>
    </w:r>
    <w:r>
      <w:rPr>
        <w:color w:val="666666"/>
        <w:sz w:val="18"/>
      </w:rPr>
      <w:instrText xml:space="preserve"> PAGE </w:instrText>
    </w:r>
    <w:r>
      <w:rPr>
        <w:color w:val="666666"/>
        <w:sz w:val="18"/>
      </w:rPr>
      <w:fldChar w:fldCharType="separate"/>
    </w:r>
    <w:r>
      <w:rPr>
        <w:color w:val="666666"/>
        <w:sz w:val="18"/>
      </w:rPr>
      <w:t>1</w:t>
    </w:r>
    <w:r>
      <w:rPr>
        <w:color w:val="666666"/>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CF1B4" w14:textId="77777777" w:rsidR="005B6223" w:rsidRDefault="005B6223">
      <w:pPr>
        <w:spacing w:after="0" w:line="240" w:lineRule="auto"/>
      </w:pPr>
      <w:r>
        <w:separator/>
      </w:r>
    </w:p>
  </w:footnote>
  <w:footnote w:type="continuationSeparator" w:id="0">
    <w:p w14:paraId="5E64A0E6" w14:textId="77777777" w:rsidR="005B6223" w:rsidRDefault="005B62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DDC23" w14:textId="77777777" w:rsidR="00B479D5" w:rsidRDefault="00E82F1A">
    <w:pPr>
      <w:pStyle w:val="Header"/>
      <w:jc w:val="right"/>
    </w:pPr>
    <w:r>
      <w:rPr>
        <w:color w:val="666666"/>
        <w:sz w:val="18"/>
      </w:rPr>
      <w:t>BMHP6030 | Health, Wellbeing and Sustainable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49769161">
    <w:abstractNumId w:val="8"/>
  </w:num>
  <w:num w:numId="2" w16cid:durableId="1498688880">
    <w:abstractNumId w:val="6"/>
  </w:num>
  <w:num w:numId="3" w16cid:durableId="574238909">
    <w:abstractNumId w:val="5"/>
  </w:num>
  <w:num w:numId="4" w16cid:durableId="1348435880">
    <w:abstractNumId w:val="4"/>
  </w:num>
  <w:num w:numId="5" w16cid:durableId="1531257351">
    <w:abstractNumId w:val="7"/>
  </w:num>
  <w:num w:numId="6" w16cid:durableId="1371422542">
    <w:abstractNumId w:val="3"/>
  </w:num>
  <w:num w:numId="7" w16cid:durableId="1194853508">
    <w:abstractNumId w:val="2"/>
  </w:num>
  <w:num w:numId="8" w16cid:durableId="1962374862">
    <w:abstractNumId w:val="1"/>
  </w:num>
  <w:num w:numId="9" w16cid:durableId="1945922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6376"/>
    <w:rsid w:val="00034616"/>
    <w:rsid w:val="0006063C"/>
    <w:rsid w:val="000A34FF"/>
    <w:rsid w:val="000B3125"/>
    <w:rsid w:val="000C6D11"/>
    <w:rsid w:val="000C7DFE"/>
    <w:rsid w:val="000D43B3"/>
    <w:rsid w:val="000D67BA"/>
    <w:rsid w:val="001054DB"/>
    <w:rsid w:val="00131C9F"/>
    <w:rsid w:val="0015074B"/>
    <w:rsid w:val="001A2705"/>
    <w:rsid w:val="001A6AE6"/>
    <w:rsid w:val="001D08A5"/>
    <w:rsid w:val="001E5798"/>
    <w:rsid w:val="001E5CCD"/>
    <w:rsid w:val="001F03FB"/>
    <w:rsid w:val="00216010"/>
    <w:rsid w:val="002372B8"/>
    <w:rsid w:val="002659B8"/>
    <w:rsid w:val="0028035B"/>
    <w:rsid w:val="0029639D"/>
    <w:rsid w:val="002C0062"/>
    <w:rsid w:val="002C5F1D"/>
    <w:rsid w:val="002C7ABE"/>
    <w:rsid w:val="002D3C54"/>
    <w:rsid w:val="002E58DB"/>
    <w:rsid w:val="00302B45"/>
    <w:rsid w:val="00311ADE"/>
    <w:rsid w:val="00326F90"/>
    <w:rsid w:val="00354F0E"/>
    <w:rsid w:val="00367744"/>
    <w:rsid w:val="003867F7"/>
    <w:rsid w:val="0040280A"/>
    <w:rsid w:val="00427EAB"/>
    <w:rsid w:val="00432C71"/>
    <w:rsid w:val="00442AE8"/>
    <w:rsid w:val="00444623"/>
    <w:rsid w:val="00474260"/>
    <w:rsid w:val="00475628"/>
    <w:rsid w:val="00491FA1"/>
    <w:rsid w:val="004C5121"/>
    <w:rsid w:val="004C67BA"/>
    <w:rsid w:val="004E5931"/>
    <w:rsid w:val="004E742F"/>
    <w:rsid w:val="0051157C"/>
    <w:rsid w:val="005412C5"/>
    <w:rsid w:val="00550560"/>
    <w:rsid w:val="005558B5"/>
    <w:rsid w:val="005A6C3C"/>
    <w:rsid w:val="005B6223"/>
    <w:rsid w:val="005D510A"/>
    <w:rsid w:val="006276D9"/>
    <w:rsid w:val="00647616"/>
    <w:rsid w:val="00676D6B"/>
    <w:rsid w:val="006A11F7"/>
    <w:rsid w:val="006A4EA6"/>
    <w:rsid w:val="006F3476"/>
    <w:rsid w:val="00764592"/>
    <w:rsid w:val="007A7E40"/>
    <w:rsid w:val="007D3682"/>
    <w:rsid w:val="00802618"/>
    <w:rsid w:val="00863489"/>
    <w:rsid w:val="00880085"/>
    <w:rsid w:val="00885F51"/>
    <w:rsid w:val="00891563"/>
    <w:rsid w:val="00897FC5"/>
    <w:rsid w:val="008B5D90"/>
    <w:rsid w:val="009056D2"/>
    <w:rsid w:val="009773BF"/>
    <w:rsid w:val="00981766"/>
    <w:rsid w:val="00991351"/>
    <w:rsid w:val="009B1F4A"/>
    <w:rsid w:val="009B312C"/>
    <w:rsid w:val="009D0043"/>
    <w:rsid w:val="009F11D0"/>
    <w:rsid w:val="009F7B6D"/>
    <w:rsid w:val="00A94B2E"/>
    <w:rsid w:val="00AA1D8D"/>
    <w:rsid w:val="00AA26F0"/>
    <w:rsid w:val="00AE2FCD"/>
    <w:rsid w:val="00AF5BD0"/>
    <w:rsid w:val="00B00647"/>
    <w:rsid w:val="00B131E3"/>
    <w:rsid w:val="00B314B2"/>
    <w:rsid w:val="00B33A51"/>
    <w:rsid w:val="00B37A13"/>
    <w:rsid w:val="00B47730"/>
    <w:rsid w:val="00B479D5"/>
    <w:rsid w:val="00B617A6"/>
    <w:rsid w:val="00BD192E"/>
    <w:rsid w:val="00C6732B"/>
    <w:rsid w:val="00C70045"/>
    <w:rsid w:val="00CA2304"/>
    <w:rsid w:val="00CB0664"/>
    <w:rsid w:val="00CC24CB"/>
    <w:rsid w:val="00CD1ECF"/>
    <w:rsid w:val="00CD7CB3"/>
    <w:rsid w:val="00D71DBD"/>
    <w:rsid w:val="00DD3957"/>
    <w:rsid w:val="00DD4B29"/>
    <w:rsid w:val="00DF2FA2"/>
    <w:rsid w:val="00E264B7"/>
    <w:rsid w:val="00E75778"/>
    <w:rsid w:val="00E82F1A"/>
    <w:rsid w:val="00E83F06"/>
    <w:rsid w:val="00EB226D"/>
    <w:rsid w:val="00EC20D6"/>
    <w:rsid w:val="00ED4AF3"/>
    <w:rsid w:val="00EE008F"/>
    <w:rsid w:val="00EF1CFE"/>
    <w:rsid w:val="00EF7970"/>
    <w:rsid w:val="00F21B6F"/>
    <w:rsid w:val="00F344E7"/>
    <w:rsid w:val="00F70C02"/>
    <w:rsid w:val="00FB5603"/>
    <w:rsid w:val="00FC4F39"/>
    <w:rsid w:val="00FC693F"/>
    <w:rsid w:val="00FF76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4566B2"/>
  <w14:defaultImageDpi w14:val="300"/>
  <w15:docId w15:val="{0DA13D9C-10A7-415E-B8FD-E97F933EF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jc w:val="both"/>
    </w:pPr>
    <w:rPr>
      <w:rFonts w:ascii="Arial" w:hAnsi="Arial"/>
      <w:color w:val="000000"/>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szCs w:val="28"/>
    </w:rPr>
  </w:style>
  <w:style w:type="paragraph" w:styleId="Heading2">
    <w:name w:val="heading 2"/>
    <w:basedOn w:val="Normal"/>
    <w:next w:val="Normal"/>
    <w:link w:val="Heading2Char"/>
    <w:uiPriority w:val="9"/>
    <w:unhideWhenUsed/>
    <w:qFormat/>
    <w:rsid w:val="00FC693F"/>
    <w:pPr>
      <w:keepNext/>
      <w:keepLines/>
      <w:spacing w:before="160" w:after="60"/>
      <w:outlineLvl w:val="1"/>
    </w:pPr>
    <w:rPr>
      <w:rFonts w:asciiTheme="majorHAnsi" w:eastAsiaTheme="majorEastAsia" w:hAnsiTheme="majorHAnsi" w:cstheme="majorBidi"/>
      <w:b/>
      <w:bCs/>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Entry">
    <w:name w:val="TOC Entry"/>
    <w:pPr>
      <w:spacing w:after="0" w:line="360" w:lineRule="auto"/>
    </w:pPr>
    <w:rPr>
      <w:rFonts w:ascii="Arial" w:hAnsi="Arial"/>
    </w:rPr>
  </w:style>
  <w:style w:type="paragraph" w:customStyle="1" w:styleId="Reference">
    <w:name w:val="Reference"/>
    <w:pPr>
      <w:spacing w:after="120" w:line="360" w:lineRule="auto"/>
      <w:ind w:left="720" w:hanging="720"/>
    </w:pPr>
    <w:rPr>
      <w:rFonts w:ascii="Arial" w:hAnsi="Arial"/>
    </w:rPr>
  </w:style>
  <w:style w:type="character" w:styleId="Hyperlink">
    <w:name w:val="Hyperlink"/>
    <w:basedOn w:val="DefaultParagraphFont"/>
    <w:uiPriority w:val="99"/>
    <w:unhideWhenUsed/>
    <w:rsid w:val="00B617A6"/>
    <w:rPr>
      <w:color w:val="0000FF" w:themeColor="hyperlink"/>
      <w:u w:val="single"/>
    </w:rPr>
  </w:style>
  <w:style w:type="character" w:styleId="UnresolvedMention">
    <w:name w:val="Unresolved Mention"/>
    <w:basedOn w:val="DefaultParagraphFont"/>
    <w:uiPriority w:val="99"/>
    <w:semiHidden/>
    <w:unhideWhenUsed/>
    <w:rsid w:val="00B617A6"/>
    <w:rPr>
      <w:color w:val="605E5C"/>
      <w:shd w:val="clear" w:color="auto" w:fill="E1DFDD"/>
    </w:rPr>
  </w:style>
  <w:style w:type="character" w:styleId="FollowedHyperlink">
    <w:name w:val="FollowedHyperlink"/>
    <w:basedOn w:val="DefaultParagraphFont"/>
    <w:uiPriority w:val="99"/>
    <w:semiHidden/>
    <w:unhideWhenUsed/>
    <w:rsid w:val="00B37A13"/>
    <w:rPr>
      <w:color w:val="800080" w:themeColor="followedHyperlink"/>
      <w:u w:val="single"/>
    </w:rPr>
  </w:style>
  <w:style w:type="character" w:styleId="CommentReference">
    <w:name w:val="annotation reference"/>
    <w:basedOn w:val="DefaultParagraphFont"/>
    <w:uiPriority w:val="99"/>
    <w:semiHidden/>
    <w:unhideWhenUsed/>
    <w:rsid w:val="00FF762B"/>
    <w:rPr>
      <w:sz w:val="16"/>
      <w:szCs w:val="16"/>
    </w:rPr>
  </w:style>
  <w:style w:type="paragraph" w:styleId="CommentText">
    <w:name w:val="annotation text"/>
    <w:basedOn w:val="Normal"/>
    <w:link w:val="CommentTextChar"/>
    <w:uiPriority w:val="99"/>
    <w:unhideWhenUsed/>
    <w:rsid w:val="00FF762B"/>
    <w:pPr>
      <w:spacing w:line="240" w:lineRule="auto"/>
    </w:pPr>
    <w:rPr>
      <w:sz w:val="20"/>
      <w:szCs w:val="20"/>
    </w:rPr>
  </w:style>
  <w:style w:type="character" w:customStyle="1" w:styleId="CommentTextChar">
    <w:name w:val="Comment Text Char"/>
    <w:basedOn w:val="DefaultParagraphFont"/>
    <w:link w:val="CommentText"/>
    <w:uiPriority w:val="99"/>
    <w:rsid w:val="00FF762B"/>
    <w:rPr>
      <w:rFonts w:ascii="Arial" w:hAnsi="Arial"/>
      <w:color w:val="000000"/>
      <w:sz w:val="20"/>
      <w:szCs w:val="20"/>
    </w:rPr>
  </w:style>
  <w:style w:type="paragraph" w:styleId="CommentSubject">
    <w:name w:val="annotation subject"/>
    <w:basedOn w:val="CommentText"/>
    <w:next w:val="CommentText"/>
    <w:link w:val="CommentSubjectChar"/>
    <w:uiPriority w:val="99"/>
    <w:semiHidden/>
    <w:unhideWhenUsed/>
    <w:rsid w:val="00FF762B"/>
    <w:rPr>
      <w:b/>
      <w:bCs/>
    </w:rPr>
  </w:style>
  <w:style w:type="character" w:customStyle="1" w:styleId="CommentSubjectChar">
    <w:name w:val="Comment Subject Char"/>
    <w:basedOn w:val="CommentTextChar"/>
    <w:link w:val="CommentSubject"/>
    <w:uiPriority w:val="99"/>
    <w:semiHidden/>
    <w:rsid w:val="00FF762B"/>
    <w:rPr>
      <w:rFonts w:ascii="Arial" w:hAnsi="Arial"/>
      <w:b/>
      <w:bCs/>
      <w:color w:val="000000"/>
      <w:sz w:val="20"/>
      <w:szCs w:val="20"/>
    </w:rPr>
  </w:style>
  <w:style w:type="paragraph" w:styleId="NormalWeb">
    <w:name w:val="Normal (Web)"/>
    <w:basedOn w:val="Normal"/>
    <w:uiPriority w:val="99"/>
    <w:semiHidden/>
    <w:unhideWhenUsed/>
    <w:rsid w:val="001E5CC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udit.wales/sites/default/files/publications/active_travel_eng.pdf" TargetMode="External"/><Relationship Id="rId18" Type="http://schemas.openxmlformats.org/officeDocument/2006/relationships/hyperlink" Target="https://www.healthytravel.wales/swanseabay.html" TargetMode="External"/><Relationship Id="rId26" Type="http://schemas.openxmlformats.org/officeDocument/2006/relationships/hyperlink" Target="https://www.unwater.org/sites/default/files/2026-03/UN-Water_HumanRights_PolicyBrief2026_FINAL_18MARCH2026_SPREADS.pdf" TargetMode="External"/><Relationship Id="rId39" Type="http://schemas.openxmlformats.org/officeDocument/2006/relationships/theme" Target="theme/theme1.xml"/><Relationship Id="rId21" Type="http://schemas.openxmlformats.org/officeDocument/2006/relationships/hyperlink" Target="https://www.england.nhs.uk/long-read/healthcare-inequalities-improvement-programme-and-nhs-race-and-health-observatory-rho-end-of-year-report/" TargetMode="External"/><Relationship Id="rId34" Type="http://schemas.openxmlformats.org/officeDocument/2006/relationships/hyperlink" Target="https://data.unicef.org/resources/jmp-report-2025/" TargetMode="External"/><Relationship Id="rId7" Type="http://schemas.openxmlformats.org/officeDocument/2006/relationships/settings" Target="settings.xml"/><Relationship Id="rId12" Type="http://schemas.openxmlformats.org/officeDocument/2006/relationships/hyperlink" Target="https://www.audit.wales/sites/default/files/publications/swansea_council_well_being%20objectives_english_0.pdf" TargetMode="External"/><Relationship Id="rId17" Type="http://schemas.openxmlformats.org/officeDocument/2006/relationships/hyperlink" Target="https://www.gov.uk/government/publications/environment-agency-chief-regulators-report-2024-25/environment-agency-chief-regulators-report-2024-25-supporting-evidence" TargetMode="External"/><Relationship Id="rId25" Type="http://schemas.openxmlformats.org/officeDocument/2006/relationships/hyperlink" Target="https://www.swansea.gov.uk/article/12064/Swansea-Public-Services-Board-Annual-Report-2025-26" TargetMode="External"/><Relationship Id="rId33" Type="http://schemas.openxmlformats.org/officeDocument/2006/relationships/hyperlink" Target="https://www.who.int/publications-detail-redirect/9789240075085"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a-new-vision-for-water-white-paper/a-new-vision-for-water" TargetMode="External"/><Relationship Id="rId20" Type="http://schemas.openxmlformats.org/officeDocument/2006/relationships/hyperlink" Target="https://www.england.nhs.uk/long-read/five-years-greener-nhs-progress-forward-look/" TargetMode="External"/><Relationship Id="rId29" Type="http://schemas.openxmlformats.org/officeDocument/2006/relationships/hyperlink" Target="https://unstats.un.org/sdgs/report/2026/The-Sustainable-Development-Goals-Report-202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wansea.gov.uk/article/9453/Local-well-being-plan-2023-28" TargetMode="External"/><Relationship Id="rId32" Type="http://schemas.openxmlformats.org/officeDocument/2006/relationships/hyperlink" Target="https://www.who.int/publications/i/item/9789240017832" TargetMode="External"/><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ccw.org.uk/publication/water-matters-2025/" TargetMode="External"/><Relationship Id="rId23" Type="http://schemas.openxmlformats.org/officeDocument/2006/relationships/hyperlink" Target="https://www.ons.gov.uk/peoplepopulationandcommunity/healthandsocialcare/healthinequalities/bulletins/healthylifeexpectancybynationalareadeprivationenglandandwales/between2013to2015and2022to2024" TargetMode="External"/><Relationship Id="rId28" Type="http://schemas.openxmlformats.org/officeDocument/2006/relationships/hyperlink" Target="https://unstats.un.org/sdgs/report/2025/goal-06/"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instituteofhealthequity.org/resources-reports/marmot-review-10-years-on/the-marmot-review-10-years-on-full-report.pdf" TargetMode="External"/><Relationship Id="rId31" Type="http://schemas.openxmlformats.org/officeDocument/2006/relationships/hyperlink" Target="https://www.who.int/news-room/fact-sheets/detail/commercial-determinants-of-healt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136/bmj.j1456" TargetMode="External"/><Relationship Id="rId22" Type="http://schemas.openxmlformats.org/officeDocument/2006/relationships/hyperlink" Target="https://www.gov.uk/government/publications/health-disparities-and-health-inequalities-applying-all-our-health/health-disparities-and-health-inequalities-applying-all-our-health" TargetMode="External"/><Relationship Id="rId27" Type="http://schemas.openxmlformats.org/officeDocument/2006/relationships/hyperlink" Target="https://unstats.un.org/sdgs/report/2025/goal-03/" TargetMode="External"/><Relationship Id="rId30" Type="http://schemas.openxmlformats.org/officeDocument/2006/relationships/hyperlink" Target="https://www.who.int/publications/i/item/9789240075610" TargetMode="External"/><Relationship Id="rId35" Type="http://schemas.openxmlformats.org/officeDocument/2006/relationships/hyperlink" Target="https://www.who.int/publications/i/item/9789240117808"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9" ma:contentTypeDescription="Create a new document." ma:contentTypeScope="" ma:versionID="4ca08253fcdc6440ce4f213f0b5b6e68">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89607055d4bdd27eb6f2f72bc1664d0c"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56D65082-9149-4AB0-AA14-95D23D5820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CF6258-E084-4CA7-B82B-46830C2C5EDA}">
  <ds:schemaRefs>
    <ds:schemaRef ds:uri="http://schemas.microsoft.com/sharepoint/v3/contenttype/forms"/>
  </ds:schemaRefs>
</ds:datastoreItem>
</file>

<file path=customXml/itemProps4.xml><?xml version="1.0" encoding="utf-8"?>
<ds:datastoreItem xmlns:ds="http://schemas.openxmlformats.org/officeDocument/2006/customXml" ds:itemID="{0D25BB02-8B12-44AF-BB4C-2D10C2EBCF4C}">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3773</Words>
  <Characters>21508</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25231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Examination of SDG 3 and SDG 6: Global, National and Local Impacts on Health and Wellbeing</dc:title>
  <dc:subject>BMHP6030 Health, Wellbeing and Sustainable Development</dc:subject>
  <dc:creator>Wahida Nagi</dc:creator>
  <cp:keywords>SDG 3, SDG 6, health, wellbeing, sustainability, Swansea</cp:keywords>
  <dc:description>generated by python-docx</dc:description>
  <cp:lastModifiedBy>Wahida Nagi (2245076)</cp:lastModifiedBy>
  <cp:revision>2</cp:revision>
  <dcterms:created xsi:type="dcterms:W3CDTF">2026-08-09T06:43:00Z</dcterms:created>
  <dcterms:modified xsi:type="dcterms:W3CDTF">2026-08-09T06:43:00Z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