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3397"/>
        <w:gridCol w:w="5619"/>
      </w:tblGrid>
      <w:tr w:rsidR="00E16420" w14:paraId="30F29041" w14:textId="77777777" w:rsidTr="00E16420">
        <w:tc>
          <w:tcPr>
            <w:tcW w:w="3397" w:type="dxa"/>
          </w:tcPr>
          <w:p w14:paraId="24B5A830" w14:textId="45B08DC4" w:rsidR="00E16420" w:rsidRPr="00E16420" w:rsidRDefault="00E16420">
            <w:pPr>
              <w:rPr>
                <w:b/>
              </w:rPr>
            </w:pPr>
            <w:r w:rsidRPr="00E16420">
              <w:rPr>
                <w:b/>
              </w:rPr>
              <w:t>Student ID:</w:t>
            </w:r>
            <w:r w:rsidR="00F33E91">
              <w:rPr>
                <w:b/>
              </w:rPr>
              <w:t xml:space="preserve"> 1906591</w:t>
            </w:r>
          </w:p>
        </w:tc>
        <w:tc>
          <w:tcPr>
            <w:tcW w:w="5619" w:type="dxa"/>
          </w:tcPr>
          <w:p w14:paraId="680207CF" w14:textId="62DCBFEC" w:rsidR="00E16420" w:rsidRPr="00E16420" w:rsidRDefault="00E16420">
            <w:pPr>
              <w:rPr>
                <w:b/>
              </w:rPr>
            </w:pPr>
            <w:r w:rsidRPr="00E16420">
              <w:rPr>
                <w:b/>
              </w:rPr>
              <w:t>Student Name:</w:t>
            </w:r>
            <w:r w:rsidR="00F33E91">
              <w:rPr>
                <w:b/>
              </w:rPr>
              <w:t xml:space="preserve"> Emma Gladstone</w:t>
            </w:r>
          </w:p>
        </w:tc>
      </w:tr>
      <w:tr w:rsidR="00E16420" w14:paraId="0993F50E" w14:textId="77777777" w:rsidTr="00E16420">
        <w:tc>
          <w:tcPr>
            <w:tcW w:w="9016" w:type="dxa"/>
            <w:gridSpan w:val="2"/>
          </w:tcPr>
          <w:p w14:paraId="074BF2A9" w14:textId="77777777" w:rsidR="00F33E91" w:rsidRDefault="00E16420">
            <w:pPr>
              <w:rPr>
                <w:b/>
              </w:rPr>
            </w:pPr>
            <w:r w:rsidRPr="00E16420">
              <w:rPr>
                <w:b/>
              </w:rPr>
              <w:t>Working Title:</w:t>
            </w:r>
            <w:r w:rsidR="00F33E91">
              <w:rPr>
                <w:b/>
              </w:rPr>
              <w:t xml:space="preserve"> </w:t>
            </w:r>
          </w:p>
          <w:p w14:paraId="3C3024F7" w14:textId="292E7271" w:rsidR="00E16420" w:rsidRDefault="00DF4F3A">
            <w:r w:rsidRPr="00DF4F3A">
              <w:rPr>
                <w:b/>
              </w:rPr>
              <w:t xml:space="preserve">Opportunities and Barriers to Implementing Human Rights Due Diligence in Agricultural Supply Chains: An Exploratory Study </w:t>
            </w:r>
          </w:p>
          <w:p w14:paraId="1E06E535" w14:textId="77777777" w:rsidR="00E16420" w:rsidRDefault="00E16420"/>
        </w:tc>
      </w:tr>
      <w:tr w:rsidR="00E16420" w14:paraId="73ED462E" w14:textId="77777777" w:rsidTr="00E16420">
        <w:tc>
          <w:tcPr>
            <w:tcW w:w="9016" w:type="dxa"/>
            <w:gridSpan w:val="2"/>
          </w:tcPr>
          <w:p w14:paraId="0C2CC28D" w14:textId="40252CAF" w:rsidR="00E16420" w:rsidRDefault="00E16420">
            <w:pPr>
              <w:rPr>
                <w:b/>
              </w:rPr>
            </w:pPr>
            <w:r w:rsidRPr="00E16420">
              <w:rPr>
                <w:b/>
              </w:rPr>
              <w:t>Outline of Topic</w:t>
            </w:r>
          </w:p>
          <w:p w14:paraId="19CCF029" w14:textId="77777777" w:rsidR="009B1A67" w:rsidRDefault="009B1A67">
            <w:pPr>
              <w:rPr>
                <w:b/>
              </w:rPr>
            </w:pPr>
          </w:p>
          <w:p w14:paraId="607B6DF9" w14:textId="19A755B7" w:rsidR="00686AC0" w:rsidRDefault="00686AC0">
            <w:pPr>
              <w:rPr>
                <w:bCs/>
              </w:rPr>
            </w:pPr>
            <w:r>
              <w:rPr>
                <w:bCs/>
              </w:rPr>
              <w:t xml:space="preserve">Over the last few years businesses have faced unprecedented challenges: a global pandemic, geopolitical instability, economic uncertainty, and supply chain disruptions. Concurrently, stakeholders’ demands are growing. While consumers are still prioritizing value (Ruvio et al, 2023), there is also an increasing intent to buy goods with sustainability claims (Frey et al, 2023). Investors want businesses to demonstrate a </w:t>
            </w:r>
            <w:r w:rsidRPr="00EC3C08">
              <w:rPr>
                <w:bCs/>
              </w:rPr>
              <w:t>clear link between their ESG efforts and financial performance</w:t>
            </w:r>
            <w:r>
              <w:rPr>
                <w:bCs/>
              </w:rPr>
              <w:t xml:space="preserve"> (Gelb et al</w:t>
            </w:r>
            <w:r w:rsidR="0094242D">
              <w:rPr>
                <w:bCs/>
              </w:rPr>
              <w:t>.</w:t>
            </w:r>
            <w:r>
              <w:rPr>
                <w:bCs/>
              </w:rPr>
              <w:t>, 2023). Meanwhile, businesses are subject to an increasing number of regulations requiring greater transparency of their ESG efforts.</w:t>
            </w:r>
            <w:r w:rsidR="0094242D">
              <w:rPr>
                <w:bCs/>
              </w:rPr>
              <w:t xml:space="preserve"> Reporting frameworks such as the CDP and </w:t>
            </w:r>
            <w:r w:rsidR="0094242D" w:rsidRPr="00F8646C">
              <w:t xml:space="preserve">Task Force on Climate-Related Financial Disclosures </w:t>
            </w:r>
            <w:r w:rsidR="0094242D">
              <w:t>(</w:t>
            </w:r>
            <w:r w:rsidR="0094242D" w:rsidRPr="00F8646C">
              <w:t>TCFD)</w:t>
            </w:r>
            <w:r w:rsidR="0094242D">
              <w:t xml:space="preserve"> are become industry standard for environmental sustainability and governance, however reporting on social sustainability is lagging (United Nations, 2024).</w:t>
            </w:r>
          </w:p>
          <w:p w14:paraId="17B27140" w14:textId="77777777" w:rsidR="00155E45" w:rsidRDefault="00155E45">
            <w:pPr>
              <w:rPr>
                <w:b/>
              </w:rPr>
            </w:pPr>
          </w:p>
          <w:p w14:paraId="4FC9BD72" w14:textId="2E8E0E00" w:rsidR="000F5903" w:rsidRPr="00686AC0" w:rsidRDefault="00854A98">
            <w:r>
              <w:rPr>
                <w:bCs/>
              </w:rPr>
              <w:t xml:space="preserve">The </w:t>
            </w:r>
            <w:r w:rsidR="00DF4F3A">
              <w:rPr>
                <w:bCs/>
              </w:rPr>
              <w:t xml:space="preserve">United Nations </w:t>
            </w:r>
            <w:r>
              <w:rPr>
                <w:bCs/>
              </w:rPr>
              <w:t>Guiding Principles on Business and Human Rights</w:t>
            </w:r>
            <w:r w:rsidR="000310BD">
              <w:rPr>
                <w:bCs/>
              </w:rPr>
              <w:t xml:space="preserve"> (</w:t>
            </w:r>
            <w:r w:rsidR="00DF4F3A">
              <w:rPr>
                <w:bCs/>
              </w:rPr>
              <w:t>UN</w:t>
            </w:r>
            <w:r w:rsidR="000310BD">
              <w:rPr>
                <w:bCs/>
              </w:rPr>
              <w:t>GPs)</w:t>
            </w:r>
            <w:r w:rsidR="001332F3">
              <w:rPr>
                <w:bCs/>
              </w:rPr>
              <w:t xml:space="preserve"> </w:t>
            </w:r>
            <w:r w:rsidR="000F5903">
              <w:rPr>
                <w:bCs/>
              </w:rPr>
              <w:t xml:space="preserve">were published in 2011 under the </w:t>
            </w:r>
            <w:r w:rsidR="000F5903">
              <w:t>‘Protect, Respect and Remedy’ framework, which outlined th</w:t>
            </w:r>
            <w:r w:rsidR="006169EF">
              <w:t>e</w:t>
            </w:r>
            <w:r w:rsidR="000F5903">
              <w:t xml:space="preserve"> states’ responsibility to protect human rights and the corporate responsibility to respect human rights and remedy violations</w:t>
            </w:r>
            <w:r w:rsidR="00C70A70">
              <w:t xml:space="preserve"> </w:t>
            </w:r>
            <w:r w:rsidR="00C70A70">
              <w:rPr>
                <w:bCs/>
              </w:rPr>
              <w:t>(UN, 2011)</w:t>
            </w:r>
            <w:r w:rsidR="000F5903">
              <w:t>. To achieve this, the guidelines state that “</w:t>
            </w:r>
            <w:r w:rsidR="002E7650" w:rsidRPr="00DF4F3A">
              <w:rPr>
                <w:bCs/>
                <w:i/>
                <w:iCs/>
              </w:rPr>
              <w:t>business enterprises should have … a human rights due diligence process to ide</w:t>
            </w:r>
            <w:r w:rsidR="003E0BA9" w:rsidRPr="00DF4F3A">
              <w:rPr>
                <w:bCs/>
                <w:i/>
                <w:iCs/>
              </w:rPr>
              <w:t>ntify, prevent, mitigate and account for how they address their impacts on human rights …</w:t>
            </w:r>
            <w:r w:rsidR="003E0BA9">
              <w:rPr>
                <w:bCs/>
              </w:rPr>
              <w:t>”</w:t>
            </w:r>
            <w:r w:rsidR="00CE227C">
              <w:rPr>
                <w:bCs/>
              </w:rPr>
              <w:t xml:space="preserve">. </w:t>
            </w:r>
            <w:r w:rsidR="000F5903">
              <w:rPr>
                <w:bCs/>
              </w:rPr>
              <w:t xml:space="preserve">While some businesses embraced the framework, </w:t>
            </w:r>
            <w:r w:rsidR="00D00848">
              <w:rPr>
                <w:bCs/>
              </w:rPr>
              <w:t>overall</w:t>
            </w:r>
            <w:r w:rsidR="00267A33">
              <w:rPr>
                <w:bCs/>
              </w:rPr>
              <w:t xml:space="preserve"> </w:t>
            </w:r>
            <w:r w:rsidR="0094242D">
              <w:rPr>
                <w:bCs/>
              </w:rPr>
              <w:t>voluntary adoption of the</w:t>
            </w:r>
            <w:r w:rsidR="006169EF">
              <w:rPr>
                <w:bCs/>
              </w:rPr>
              <w:t xml:space="preserve"> principle</w:t>
            </w:r>
            <w:r w:rsidR="0094242D">
              <w:rPr>
                <w:bCs/>
              </w:rPr>
              <w:t>s</w:t>
            </w:r>
            <w:r w:rsidR="006169EF">
              <w:rPr>
                <w:bCs/>
              </w:rPr>
              <w:t xml:space="preserve"> </w:t>
            </w:r>
            <w:r w:rsidR="000F5903">
              <w:rPr>
                <w:bCs/>
              </w:rPr>
              <w:t xml:space="preserve">has been slow </w:t>
            </w:r>
            <w:r w:rsidR="000F5903">
              <w:t>(Dupont et al., 2024).</w:t>
            </w:r>
          </w:p>
          <w:p w14:paraId="1938398B" w14:textId="77777777" w:rsidR="00400C8D" w:rsidRDefault="00400C8D">
            <w:pPr>
              <w:rPr>
                <w:bCs/>
              </w:rPr>
            </w:pPr>
          </w:p>
          <w:p w14:paraId="35443D62" w14:textId="2B2F15BC" w:rsidR="0049674C" w:rsidRPr="00155E45" w:rsidRDefault="006169EF" w:rsidP="0049674C">
            <w:pPr>
              <w:rPr>
                <w:bCs/>
              </w:rPr>
            </w:pPr>
            <w:r>
              <w:rPr>
                <w:bCs/>
              </w:rPr>
              <w:t>R</w:t>
            </w:r>
            <w:r w:rsidR="00D706B9" w:rsidRPr="00DE15A3">
              <w:rPr>
                <w:bCs/>
              </w:rPr>
              <w:t xml:space="preserve">esearch </w:t>
            </w:r>
            <w:r w:rsidR="00B47DA7">
              <w:rPr>
                <w:bCs/>
              </w:rPr>
              <w:t xml:space="preserve">conducted </w:t>
            </w:r>
            <w:r w:rsidR="00D706B9" w:rsidRPr="00DE15A3">
              <w:rPr>
                <w:bCs/>
              </w:rPr>
              <w:t xml:space="preserve">by </w:t>
            </w:r>
            <w:r w:rsidR="00AE76B0" w:rsidRPr="00DE15A3">
              <w:rPr>
                <w:bCs/>
              </w:rPr>
              <w:t>McCorquodale</w:t>
            </w:r>
            <w:r w:rsidR="00DE15A3" w:rsidRPr="00DE15A3">
              <w:rPr>
                <w:bCs/>
              </w:rPr>
              <w:t xml:space="preserve"> et al</w:t>
            </w:r>
            <w:r>
              <w:rPr>
                <w:bCs/>
              </w:rPr>
              <w:t>.</w:t>
            </w:r>
            <w:r w:rsidR="00DE15A3" w:rsidRPr="00DE15A3">
              <w:rPr>
                <w:bCs/>
              </w:rPr>
              <w:t xml:space="preserve"> (2017)</w:t>
            </w:r>
            <w:r w:rsidR="002B7283">
              <w:rPr>
                <w:bCs/>
              </w:rPr>
              <w:t xml:space="preserve"> in 2015</w:t>
            </w:r>
            <w:r>
              <w:rPr>
                <w:bCs/>
              </w:rPr>
              <w:t xml:space="preserve"> </w:t>
            </w:r>
            <w:r w:rsidR="007F57A2">
              <w:rPr>
                <w:bCs/>
              </w:rPr>
              <w:t>highlighted multiple challenges faced by companies</w:t>
            </w:r>
            <w:r>
              <w:rPr>
                <w:bCs/>
              </w:rPr>
              <w:t xml:space="preserve"> trying to implement human rights due diligence (HRDD)</w:t>
            </w:r>
            <w:r w:rsidR="00267A33">
              <w:rPr>
                <w:bCs/>
              </w:rPr>
              <w:t>,</w:t>
            </w:r>
            <w:r w:rsidR="007F57A2">
              <w:rPr>
                <w:bCs/>
              </w:rPr>
              <w:t xml:space="preserve"> </w:t>
            </w:r>
            <w:r w:rsidR="00542C7B">
              <w:rPr>
                <w:bCs/>
              </w:rPr>
              <w:t xml:space="preserve">including </w:t>
            </w:r>
            <w:r w:rsidR="0099345B">
              <w:rPr>
                <w:bCs/>
              </w:rPr>
              <w:t>oversight and influence over supply chain acto</w:t>
            </w:r>
            <w:r w:rsidR="007A1157">
              <w:rPr>
                <w:bCs/>
              </w:rPr>
              <w:t>r</w:t>
            </w:r>
            <w:r w:rsidR="0099345B">
              <w:rPr>
                <w:bCs/>
              </w:rPr>
              <w:t>s with whom they d</w:t>
            </w:r>
            <w:r w:rsidR="00C24BCC">
              <w:rPr>
                <w:bCs/>
              </w:rPr>
              <w:t>id</w:t>
            </w:r>
            <w:r w:rsidR="0099345B">
              <w:rPr>
                <w:bCs/>
              </w:rPr>
              <w:t xml:space="preserve"> not have direct contracts</w:t>
            </w:r>
            <w:r w:rsidR="009C2153">
              <w:rPr>
                <w:bCs/>
              </w:rPr>
              <w:t>.</w:t>
            </w:r>
            <w:r w:rsidR="0005478B">
              <w:rPr>
                <w:bCs/>
              </w:rPr>
              <w:t xml:space="preserve"> While the research </w:t>
            </w:r>
            <w:r w:rsidR="00FE0A4B">
              <w:rPr>
                <w:bCs/>
              </w:rPr>
              <w:t xml:space="preserve">was not specific for agricultural supply chains, </w:t>
            </w:r>
            <w:r w:rsidR="00A37271">
              <w:rPr>
                <w:bCs/>
              </w:rPr>
              <w:t xml:space="preserve">this challenge </w:t>
            </w:r>
            <w:r w:rsidR="00F8223C">
              <w:rPr>
                <w:bCs/>
              </w:rPr>
              <w:t>may be</w:t>
            </w:r>
            <w:r w:rsidR="00A37271">
              <w:rPr>
                <w:bCs/>
              </w:rPr>
              <w:t xml:space="preserve"> especially perti</w:t>
            </w:r>
            <w:r w:rsidR="007664D0">
              <w:rPr>
                <w:bCs/>
              </w:rPr>
              <w:t>nent for</w:t>
            </w:r>
            <w:r w:rsidR="00005706">
              <w:rPr>
                <w:bCs/>
              </w:rPr>
              <w:t xml:space="preserve"> the</w:t>
            </w:r>
            <w:r w:rsidR="007664D0">
              <w:rPr>
                <w:bCs/>
              </w:rPr>
              <w:t xml:space="preserve"> </w:t>
            </w:r>
            <w:r w:rsidR="008A6954">
              <w:rPr>
                <w:bCs/>
              </w:rPr>
              <w:t>industry</w:t>
            </w:r>
            <w:r w:rsidR="005B03A3">
              <w:rPr>
                <w:bCs/>
              </w:rPr>
              <w:t>,</w:t>
            </w:r>
            <w:r w:rsidR="008A6954">
              <w:rPr>
                <w:bCs/>
              </w:rPr>
              <w:t xml:space="preserve"> since </w:t>
            </w:r>
            <w:r w:rsidR="00F45838">
              <w:rPr>
                <w:bCs/>
              </w:rPr>
              <w:t>retailers and manufacturers often do not h</w:t>
            </w:r>
            <w:r w:rsidR="001D32AC">
              <w:rPr>
                <w:bCs/>
              </w:rPr>
              <w:t>ave direct influence at farm-level.</w:t>
            </w:r>
            <w:r w:rsidR="0049674C">
              <w:rPr>
                <w:bCs/>
              </w:rPr>
              <w:t xml:space="preserve"> </w:t>
            </w:r>
            <w:r w:rsidR="0049674C" w:rsidRPr="00DA5811">
              <w:rPr>
                <w:bCs/>
              </w:rPr>
              <w:t>The issue of human rights in agricultural supply chains has been the subject of increasing scrutiny over the last few years</w:t>
            </w:r>
            <w:r w:rsidR="0049674C">
              <w:rPr>
                <w:bCs/>
              </w:rPr>
              <w:t xml:space="preserve">. Whilst many transnational food and agriculture companies have stated their commitment to respecting human rights, the complex, global nature of supply chains means that knowledge and traceability back to farm-level is a major problem, with many companies admitting they do not know their entire supply chain (Heasman, 2018). </w:t>
            </w:r>
          </w:p>
          <w:p w14:paraId="434E7DFD" w14:textId="77777777" w:rsidR="0049674C" w:rsidRDefault="0049674C" w:rsidP="00797ECE">
            <w:pPr>
              <w:rPr>
                <w:bCs/>
              </w:rPr>
            </w:pPr>
          </w:p>
          <w:p w14:paraId="6F8F982E" w14:textId="50BDBB37" w:rsidR="00F8223C" w:rsidRDefault="00A462A5" w:rsidP="0049674C">
            <w:pPr>
              <w:rPr>
                <w:bCs/>
              </w:rPr>
            </w:pPr>
            <w:r>
              <w:rPr>
                <w:bCs/>
              </w:rPr>
              <w:t>Despite the challenges, there are several drivers for organizations to implement HRDD. Firstly, l</w:t>
            </w:r>
            <w:r w:rsidR="0049674C">
              <w:rPr>
                <w:bCs/>
              </w:rPr>
              <w:t xml:space="preserve">egal requirements in relation to HRDD are advancing, with the </w:t>
            </w:r>
            <w:r w:rsidR="0049674C" w:rsidRPr="006D6325">
              <w:rPr>
                <w:bCs/>
              </w:rPr>
              <w:t xml:space="preserve">European Commission’s </w:t>
            </w:r>
            <w:r w:rsidR="0049674C">
              <w:rPr>
                <w:bCs/>
              </w:rPr>
              <w:t xml:space="preserve">adoption of the </w:t>
            </w:r>
            <w:r w:rsidR="0049674C" w:rsidRPr="006D6325">
              <w:rPr>
                <w:bCs/>
              </w:rPr>
              <w:t>Corporate Sustainability Due Diligence Directive</w:t>
            </w:r>
            <w:r w:rsidR="0049674C">
              <w:rPr>
                <w:bCs/>
              </w:rPr>
              <w:t xml:space="preserve"> (CSDDD)</w:t>
            </w:r>
            <w:r w:rsidR="006F02D0">
              <w:rPr>
                <w:bCs/>
              </w:rPr>
              <w:t xml:space="preserve"> this year</w:t>
            </w:r>
            <w:r w:rsidR="0049674C">
              <w:t xml:space="preserve"> (Shift, 2024)</w:t>
            </w:r>
            <w:r w:rsidR="0049674C">
              <w:rPr>
                <w:bCs/>
              </w:rPr>
              <w:t xml:space="preserve">. This follows the corporate duty of vigilance law passed in France in 2017 (ECCJ, 2017) and Germany’s supply chain due diligence act which came into effect in January 2023, in addition to other county-specific regulations. </w:t>
            </w:r>
          </w:p>
          <w:p w14:paraId="684C44DA" w14:textId="77777777" w:rsidR="00F8223C" w:rsidRDefault="00F8223C" w:rsidP="0049674C">
            <w:pPr>
              <w:rPr>
                <w:bCs/>
              </w:rPr>
            </w:pPr>
          </w:p>
          <w:p w14:paraId="60CDE1F5" w14:textId="77777777" w:rsidR="00593636" w:rsidRDefault="00A462A5" w:rsidP="00797ECE">
            <w:pPr>
              <w:rPr>
                <w:bCs/>
              </w:rPr>
            </w:pPr>
            <w:r>
              <w:rPr>
                <w:bCs/>
              </w:rPr>
              <w:t xml:space="preserve">HRDD has the potential to protect businesses against various risks including </w:t>
            </w:r>
            <w:r w:rsidRPr="00D72E95">
              <w:rPr>
                <w:bCs/>
              </w:rPr>
              <w:t>legal, financial, reputational, and operational risk</w:t>
            </w:r>
            <w:r>
              <w:rPr>
                <w:bCs/>
              </w:rPr>
              <w:t xml:space="preserve"> (McCorquodale et al</w:t>
            </w:r>
            <w:r w:rsidR="00FF481C">
              <w:rPr>
                <w:bCs/>
              </w:rPr>
              <w:t>.</w:t>
            </w:r>
            <w:r>
              <w:rPr>
                <w:bCs/>
              </w:rPr>
              <w:t>, 2017). Marsden (2020) argues that there are four ways in which human rights, as an element of corporate social responsibility (CSR)</w:t>
            </w:r>
            <w:r w:rsidR="0033471B">
              <w:rPr>
                <w:bCs/>
              </w:rPr>
              <w:t>,</w:t>
            </w:r>
            <w:r>
              <w:rPr>
                <w:bCs/>
              </w:rPr>
              <w:t xml:space="preserve"> contribute</w:t>
            </w:r>
            <w:r w:rsidR="0033471B">
              <w:rPr>
                <w:bCs/>
              </w:rPr>
              <w:t>s</w:t>
            </w:r>
            <w:r>
              <w:rPr>
                <w:bCs/>
              </w:rPr>
              <w:t xml:space="preserve"> to the financial performance of a business. In addition to mitigating risk and reducing the potential for reputational damage, these are </w:t>
            </w:r>
            <w:r w:rsidR="00FF481C">
              <w:rPr>
                <w:bCs/>
              </w:rPr>
              <w:t>lowering cost of capital by reducing risk, driving growth through enhance</w:t>
            </w:r>
            <w:r w:rsidR="0033471B">
              <w:rPr>
                <w:bCs/>
              </w:rPr>
              <w:t>d</w:t>
            </w:r>
            <w:r w:rsidR="00FF481C">
              <w:rPr>
                <w:bCs/>
              </w:rPr>
              <w:t xml:space="preserve"> customer loyalty and trust</w:t>
            </w:r>
            <w:r w:rsidR="0033471B">
              <w:rPr>
                <w:bCs/>
              </w:rPr>
              <w:t>,</w:t>
            </w:r>
            <w:r w:rsidR="00FF481C">
              <w:rPr>
                <w:bCs/>
              </w:rPr>
              <w:t xml:space="preserve"> and attracting and retaining top talent.</w:t>
            </w:r>
            <w:r w:rsidR="00593636">
              <w:rPr>
                <w:bCs/>
              </w:rPr>
              <w:t xml:space="preserve"> </w:t>
            </w:r>
            <w:r w:rsidR="00FF481C">
              <w:rPr>
                <w:bCs/>
              </w:rPr>
              <w:t xml:space="preserve">However, while there is extensive literature on the benefits of a robust corporate ESG strategy, </w:t>
            </w:r>
            <w:r w:rsidR="00FF481C">
              <w:rPr>
                <w:bCs/>
              </w:rPr>
              <w:lastRenderedPageBreak/>
              <w:t>very little exists on the specific opportunities that HRDD unlocks. McCorquodale et al. (2017) and a follow up study by Smit et al. (2020) provides some insight into barriers, however with the landscape shifting so rapidly, it is possible that these have evolved.</w:t>
            </w:r>
            <w:r w:rsidR="0033307A">
              <w:rPr>
                <w:bCs/>
              </w:rPr>
              <w:t xml:space="preserve"> </w:t>
            </w:r>
          </w:p>
          <w:p w14:paraId="3906157C" w14:textId="77777777" w:rsidR="00593636" w:rsidRDefault="00593636" w:rsidP="00797ECE">
            <w:pPr>
              <w:rPr>
                <w:bCs/>
              </w:rPr>
            </w:pPr>
          </w:p>
          <w:p w14:paraId="16840774" w14:textId="013703B0" w:rsidR="0033307A" w:rsidRDefault="0033471B" w:rsidP="00797ECE">
            <w:pPr>
              <w:rPr>
                <w:bCs/>
              </w:rPr>
            </w:pPr>
            <w:r>
              <w:rPr>
                <w:bCs/>
              </w:rPr>
              <w:t>B</w:t>
            </w:r>
            <w:r w:rsidR="0033307A">
              <w:rPr>
                <w:bCs/>
              </w:rPr>
              <w:t xml:space="preserve">enchmarking has been completed to determine how advanced the food and agriculture industry is with their human rights strategy. The World Benchmarking Alliance (2023) published the 2023 </w:t>
            </w:r>
            <w:r w:rsidR="0033307A">
              <w:t xml:space="preserve">Food and Agriculture Benchmark ranking the sustainability performance of the 350 most influential food and agriculture companies. Data revealed that only 51% had a public commitment to protecting human rights. KnowTheChain </w:t>
            </w:r>
            <w:r>
              <w:t xml:space="preserve">(2024) </w:t>
            </w:r>
            <w:r w:rsidR="0033307A">
              <w:t>also benchmarked 60 food and beverage companies on the human rights practices in their supply chain</w:t>
            </w:r>
            <w:r w:rsidR="00ED7D04">
              <w:t xml:space="preserve"> in 2022-2023</w:t>
            </w:r>
            <w:r w:rsidR="0033307A">
              <w:t xml:space="preserve">. The average industry score across all aspects of HRDD was </w:t>
            </w:r>
            <w:r>
              <w:t xml:space="preserve">a mere </w:t>
            </w:r>
            <w:r w:rsidR="0033307A">
              <w:t xml:space="preserve">16%. </w:t>
            </w:r>
            <w:r w:rsidR="00CE4419">
              <w:t>What</w:t>
            </w:r>
            <w:r w:rsidR="0033307A">
              <w:rPr>
                <w:bCs/>
              </w:rPr>
              <w:t xml:space="preserve"> are the barriers preventing </w:t>
            </w:r>
            <w:r w:rsidR="00593636">
              <w:rPr>
                <w:bCs/>
              </w:rPr>
              <w:t>these</w:t>
            </w:r>
            <w:r w:rsidR="00F8223C">
              <w:rPr>
                <w:bCs/>
              </w:rPr>
              <w:t xml:space="preserve"> </w:t>
            </w:r>
            <w:r w:rsidR="0033307A">
              <w:rPr>
                <w:bCs/>
              </w:rPr>
              <w:t>businesses from embedding HRDD in their</w:t>
            </w:r>
            <w:r w:rsidR="00F8223C">
              <w:rPr>
                <w:bCs/>
              </w:rPr>
              <w:t xml:space="preserve"> organizations</w:t>
            </w:r>
            <w:r w:rsidR="0056057F">
              <w:rPr>
                <w:bCs/>
              </w:rPr>
              <w:t>?</w:t>
            </w:r>
            <w:r w:rsidR="00F8223C">
              <w:rPr>
                <w:bCs/>
              </w:rPr>
              <w:t xml:space="preserve"> Are there really business benefits or is HRDD just</w:t>
            </w:r>
            <w:r w:rsidR="006F02D0">
              <w:rPr>
                <w:bCs/>
              </w:rPr>
              <w:t xml:space="preserve"> a</w:t>
            </w:r>
            <w:r w:rsidR="00F8223C">
              <w:rPr>
                <w:bCs/>
              </w:rPr>
              <w:t xml:space="preserve"> costly tick-the-box exercise?</w:t>
            </w:r>
            <w:r w:rsidR="00B77E94">
              <w:rPr>
                <w:bCs/>
              </w:rPr>
              <w:t xml:space="preserve"> And do the</w:t>
            </w:r>
            <w:r w:rsidR="00593636">
              <w:rPr>
                <w:bCs/>
              </w:rPr>
              <w:t>se</w:t>
            </w:r>
            <w:r w:rsidR="00B77E94">
              <w:rPr>
                <w:bCs/>
              </w:rPr>
              <w:t xml:space="preserve"> barriers and opportunities vary depending on an organization’s position in the supply chain?</w:t>
            </w:r>
          </w:p>
          <w:p w14:paraId="00494047" w14:textId="77777777" w:rsidR="00FF481C" w:rsidRDefault="00FF481C" w:rsidP="00797ECE">
            <w:pPr>
              <w:rPr>
                <w:bCs/>
              </w:rPr>
            </w:pPr>
          </w:p>
          <w:p w14:paraId="1C3A219F" w14:textId="77777777" w:rsidR="00F8223C" w:rsidRPr="00F8223C" w:rsidRDefault="00F8223C" w:rsidP="00F8223C">
            <w:pPr>
              <w:rPr>
                <w:bCs/>
              </w:rPr>
            </w:pPr>
            <w:r w:rsidRPr="00F8223C">
              <w:rPr>
                <w:bCs/>
              </w:rPr>
              <w:t>The aim of this research is to build an understanding of the barriers faced by food and agriculture businesses in implementing HRDD and the opportunities that undertaking the process will present. The objectives of this research are to:</w:t>
            </w:r>
          </w:p>
          <w:p w14:paraId="00C98E94" w14:textId="77777777" w:rsidR="00593636" w:rsidRPr="00886C5C" w:rsidRDefault="00593636" w:rsidP="00593636">
            <w:pPr>
              <w:pStyle w:val="ListParagraph"/>
              <w:numPr>
                <w:ilvl w:val="0"/>
                <w:numId w:val="3"/>
              </w:numPr>
              <w:spacing w:after="120"/>
            </w:pPr>
            <w:r w:rsidRPr="00886C5C">
              <w:t xml:space="preserve">Outline </w:t>
            </w:r>
            <w:r>
              <w:t>why HRDD is needed within the food and agriculture industry including an overview of legislation and progress that has been made to date. Provide insights into the existing research on the barriers and opportunities for HRDD implementation.</w:t>
            </w:r>
            <w:r w:rsidRPr="00886C5C">
              <w:t xml:space="preserve"> </w:t>
            </w:r>
          </w:p>
          <w:p w14:paraId="4F6F6316" w14:textId="6919109F" w:rsidR="00593636" w:rsidRPr="00886C5C" w:rsidRDefault="00593636" w:rsidP="00593636">
            <w:pPr>
              <w:pStyle w:val="ListParagraph"/>
              <w:numPr>
                <w:ilvl w:val="0"/>
                <w:numId w:val="3"/>
              </w:numPr>
              <w:spacing w:after="120"/>
            </w:pPr>
            <w:r w:rsidRPr="00886C5C">
              <w:t xml:space="preserve">Critically assess internal and external barriers </w:t>
            </w:r>
            <w:r>
              <w:t xml:space="preserve">food and agriculture </w:t>
            </w:r>
            <w:r w:rsidRPr="00886C5C">
              <w:t>businesses face in developing and conducting a</w:t>
            </w:r>
            <w:r w:rsidR="006F02D0">
              <w:t>n</w:t>
            </w:r>
            <w:r w:rsidRPr="00886C5C">
              <w:t xml:space="preserve"> HRDD process</w:t>
            </w:r>
            <w:r>
              <w:t>, and how these vary depending on an organization’s position within the supply chain</w:t>
            </w:r>
            <w:r w:rsidRPr="00886C5C">
              <w:t>.</w:t>
            </w:r>
          </w:p>
          <w:p w14:paraId="7F3919FB" w14:textId="77777777" w:rsidR="00593636" w:rsidRPr="00886C5C" w:rsidRDefault="00593636" w:rsidP="00593636">
            <w:pPr>
              <w:pStyle w:val="ListParagraph"/>
              <w:numPr>
                <w:ilvl w:val="0"/>
                <w:numId w:val="3"/>
              </w:numPr>
              <w:spacing w:after="120"/>
            </w:pPr>
            <w:r w:rsidRPr="00886C5C">
              <w:t xml:space="preserve">Explore individual </w:t>
            </w:r>
            <w:r>
              <w:t xml:space="preserve">tier </w:t>
            </w:r>
            <w:r w:rsidRPr="00886C5C">
              <w:t>and industry-wide benefits to HRDD in agricultural supply chains</w:t>
            </w:r>
            <w:r>
              <w:t>.</w:t>
            </w:r>
          </w:p>
          <w:p w14:paraId="4CA6B96E" w14:textId="1E588EE9" w:rsidR="00593636" w:rsidRPr="00886C5C" w:rsidRDefault="00593636" w:rsidP="00593636">
            <w:pPr>
              <w:pStyle w:val="ListParagraph"/>
              <w:numPr>
                <w:ilvl w:val="0"/>
                <w:numId w:val="3"/>
              </w:numPr>
              <w:spacing w:after="120"/>
            </w:pPr>
            <w:r w:rsidRPr="00886C5C">
              <w:t xml:space="preserve">Summarize key </w:t>
            </w:r>
            <w:r>
              <w:t>forces</w:t>
            </w:r>
            <w:r w:rsidRPr="00886C5C">
              <w:t xml:space="preserve"> impacting the </w:t>
            </w:r>
            <w:r>
              <w:t>implementation</w:t>
            </w:r>
            <w:r w:rsidRPr="00886C5C">
              <w:t xml:space="preserve"> of </w:t>
            </w:r>
            <w:r>
              <w:t>a</w:t>
            </w:r>
            <w:r w:rsidR="006F02D0">
              <w:t>n</w:t>
            </w:r>
            <w:r>
              <w:t xml:space="preserve"> </w:t>
            </w:r>
            <w:r w:rsidRPr="00886C5C">
              <w:t xml:space="preserve">HRDD process in </w:t>
            </w:r>
            <w:r>
              <w:t>the food and agriculture industry</w:t>
            </w:r>
            <w:r w:rsidR="00852135">
              <w:t>,</w:t>
            </w:r>
            <w:r w:rsidRPr="00886C5C">
              <w:t xml:space="preserve"> to enable </w:t>
            </w:r>
            <w:r>
              <w:t>industry</w:t>
            </w:r>
            <w:r w:rsidRPr="00886C5C">
              <w:t xml:space="preserve"> professionals to build internal awareness and </w:t>
            </w:r>
            <w:r>
              <w:t>design a business case for HRDD</w:t>
            </w:r>
            <w:r w:rsidRPr="00886C5C">
              <w:t xml:space="preserve">. </w:t>
            </w:r>
          </w:p>
          <w:p w14:paraId="4342C786" w14:textId="77777777" w:rsidR="00E16420" w:rsidRDefault="00E16420" w:rsidP="00CE5EAC"/>
        </w:tc>
      </w:tr>
      <w:tr w:rsidR="00E16420" w14:paraId="0C7511E5" w14:textId="77777777" w:rsidTr="00E16420">
        <w:tc>
          <w:tcPr>
            <w:tcW w:w="9016" w:type="dxa"/>
            <w:gridSpan w:val="2"/>
          </w:tcPr>
          <w:p w14:paraId="70AA3F21" w14:textId="5EA59CA8" w:rsidR="00E16420" w:rsidRPr="00E16420" w:rsidRDefault="00E16420">
            <w:pPr>
              <w:rPr>
                <w:b/>
              </w:rPr>
            </w:pPr>
            <w:r w:rsidRPr="00E16420">
              <w:rPr>
                <w:b/>
              </w:rPr>
              <w:lastRenderedPageBreak/>
              <w:t>Indicative Literature</w:t>
            </w:r>
            <w:r w:rsidR="000B1E12">
              <w:rPr>
                <w:b/>
              </w:rPr>
              <w:t xml:space="preserve"> </w:t>
            </w:r>
          </w:p>
          <w:p w14:paraId="4E44CEE5" w14:textId="77777777" w:rsidR="00E16420" w:rsidRDefault="00E16420"/>
          <w:p w14:paraId="40C21569" w14:textId="688AA018" w:rsidR="00E16420" w:rsidRDefault="00502BA9">
            <w:pPr>
              <w:rPr>
                <w:b/>
                <w:bCs/>
                <w:i/>
                <w:iCs/>
              </w:rPr>
            </w:pPr>
            <w:r>
              <w:rPr>
                <w:b/>
                <w:bCs/>
                <w:i/>
                <w:iCs/>
              </w:rPr>
              <w:t>Human Rights Due Diligence</w:t>
            </w:r>
          </w:p>
          <w:p w14:paraId="1CFA2CB8" w14:textId="44924684" w:rsidR="00502BA9" w:rsidRDefault="00502BA9">
            <w:pPr>
              <w:rPr>
                <w:b/>
                <w:bCs/>
                <w:i/>
                <w:iCs/>
              </w:rPr>
            </w:pPr>
          </w:p>
          <w:p w14:paraId="278297AD" w14:textId="474F0A99" w:rsidR="00593636" w:rsidRDefault="00593636" w:rsidP="00203DD9">
            <w:r>
              <w:t xml:space="preserve">A variety of literature sources will be utilized </w:t>
            </w:r>
            <w:r w:rsidR="006B7CBC">
              <w:t>to provide an overview of HRDD and</w:t>
            </w:r>
            <w:r w:rsidR="00CD2C8B">
              <w:t xml:space="preserve"> current and</w:t>
            </w:r>
            <w:r w:rsidR="006B7CBC">
              <w:t xml:space="preserve"> pending regulations which impact businesses. In addition to the UNGPS themselves and associated guidance from the </w:t>
            </w:r>
            <w:r w:rsidR="006B7CBC" w:rsidRPr="006B7CBC">
              <w:t>Office of the High Commissioner for Human Rights</w:t>
            </w:r>
            <w:r w:rsidR="006B7CBC">
              <w:t xml:space="preserve">, sources will include journal and online articles from reputable sources as well as guidance from </w:t>
            </w:r>
            <w:r w:rsidR="00413A17">
              <w:t xml:space="preserve">legislative </w:t>
            </w:r>
            <w:r w:rsidR="006B7CBC">
              <w:t xml:space="preserve">bodies. </w:t>
            </w:r>
            <w:r w:rsidR="00413A17">
              <w:t>For example:</w:t>
            </w:r>
          </w:p>
          <w:p w14:paraId="1400B993" w14:textId="01083AF4" w:rsidR="00413A17" w:rsidRDefault="00413A17" w:rsidP="00413A17">
            <w:pPr>
              <w:pStyle w:val="ListParagraph"/>
              <w:numPr>
                <w:ilvl w:val="0"/>
                <w:numId w:val="4"/>
              </w:numPr>
            </w:pPr>
            <w:r w:rsidRPr="00413A17">
              <w:t xml:space="preserve">The UNGPs — Five Years on: From Consensus to Divergence in Public Regulation on Business and Human Rights. </w:t>
            </w:r>
            <w:r w:rsidRPr="00413A17">
              <w:rPr>
                <w:i/>
                <w:iCs/>
              </w:rPr>
              <w:t>Netherlands Quarterly of Human Rights</w:t>
            </w:r>
            <w:r>
              <w:t>.</w:t>
            </w:r>
            <w:r w:rsidR="00693374">
              <w:t xml:space="preserve"> Neglia (2016)</w:t>
            </w:r>
          </w:p>
          <w:p w14:paraId="72626512" w14:textId="2519FFA8" w:rsidR="00693374" w:rsidRDefault="00693374" w:rsidP="00413A17">
            <w:pPr>
              <w:pStyle w:val="ListParagraph"/>
              <w:numPr>
                <w:ilvl w:val="0"/>
                <w:numId w:val="4"/>
              </w:numPr>
            </w:pPr>
            <w:r>
              <w:t xml:space="preserve">The Concept of ‘Due Diligence’ in the UN Guiding Principles on Business and Human Rights. </w:t>
            </w:r>
            <w:r w:rsidRPr="00B816E8">
              <w:rPr>
                <w:i/>
                <w:iCs/>
              </w:rPr>
              <w:t>The European Journal of International Law</w:t>
            </w:r>
            <w:r>
              <w:t>. Bonnitcha and McCorquodale (2017)</w:t>
            </w:r>
          </w:p>
          <w:p w14:paraId="2D30487C" w14:textId="0A694B6E" w:rsidR="00693374" w:rsidRDefault="00693374" w:rsidP="00413A17">
            <w:pPr>
              <w:pStyle w:val="ListParagraph"/>
              <w:numPr>
                <w:ilvl w:val="0"/>
                <w:numId w:val="4"/>
              </w:numPr>
            </w:pPr>
            <w:r w:rsidRPr="00726855">
              <w:rPr>
                <w:i/>
                <w:iCs/>
              </w:rPr>
              <w:t>Directive on Corporate Sustainability Due Diligence: Frequently asked questions</w:t>
            </w:r>
            <w:r>
              <w:rPr>
                <w:i/>
                <w:iCs/>
              </w:rPr>
              <w:t xml:space="preserve">. </w:t>
            </w:r>
            <w:r>
              <w:t>European Commission (2024)</w:t>
            </w:r>
          </w:p>
          <w:p w14:paraId="08B14098" w14:textId="77777777" w:rsidR="004D0B12" w:rsidRDefault="004D0B12" w:rsidP="00203DD9">
            <w:pPr>
              <w:rPr>
                <w:b/>
                <w:bCs/>
                <w:i/>
                <w:iCs/>
              </w:rPr>
            </w:pPr>
          </w:p>
          <w:p w14:paraId="4F126C39" w14:textId="40D6BA2E" w:rsidR="00593636" w:rsidRDefault="00693374" w:rsidP="00203DD9">
            <w:pPr>
              <w:rPr>
                <w:b/>
                <w:bCs/>
                <w:i/>
                <w:iCs/>
              </w:rPr>
            </w:pPr>
            <w:r>
              <w:rPr>
                <w:b/>
                <w:bCs/>
                <w:i/>
                <w:iCs/>
              </w:rPr>
              <w:t>Human Rights in the Food and Agriculture Industry</w:t>
            </w:r>
          </w:p>
          <w:p w14:paraId="370E3D0F" w14:textId="77777777" w:rsidR="00693374" w:rsidRDefault="00693374" w:rsidP="00203DD9">
            <w:pPr>
              <w:rPr>
                <w:b/>
                <w:bCs/>
                <w:i/>
                <w:iCs/>
              </w:rPr>
            </w:pPr>
          </w:p>
          <w:p w14:paraId="6E611877" w14:textId="5EC43A72" w:rsidR="00693374" w:rsidRDefault="00693374" w:rsidP="00203DD9">
            <w:r>
              <w:t xml:space="preserve">The history of human rights in agricultural supply chains will be summarized and include examples of negative media coverage. Additionally, </w:t>
            </w:r>
            <w:r w:rsidR="001659BB">
              <w:t>guidance from consultants and industry bodies will provide insights into the support available to the industry. For example:</w:t>
            </w:r>
          </w:p>
          <w:p w14:paraId="6E22F911" w14:textId="440041A8" w:rsidR="001659BB" w:rsidRPr="001659BB" w:rsidRDefault="001659BB" w:rsidP="001659BB">
            <w:pPr>
              <w:pStyle w:val="ListParagraph"/>
              <w:numPr>
                <w:ilvl w:val="0"/>
                <w:numId w:val="5"/>
              </w:numPr>
            </w:pPr>
            <w:r w:rsidRPr="00FD1076">
              <w:t>Cocoa’s child laborers</w:t>
            </w:r>
            <w:r>
              <w:t xml:space="preserve">. </w:t>
            </w:r>
            <w:r>
              <w:rPr>
                <w:i/>
                <w:iCs/>
              </w:rPr>
              <w:t xml:space="preserve">The Washington Post. </w:t>
            </w:r>
            <w:r>
              <w:t>Whoriskey and Siegel (2019)</w:t>
            </w:r>
          </w:p>
          <w:p w14:paraId="13A6DBB5" w14:textId="36978701" w:rsidR="001659BB" w:rsidRDefault="001659BB" w:rsidP="001659BB">
            <w:pPr>
              <w:pStyle w:val="ListParagraph"/>
              <w:numPr>
                <w:ilvl w:val="0"/>
                <w:numId w:val="5"/>
              </w:numPr>
            </w:pPr>
            <w:r w:rsidRPr="003B3677">
              <w:rPr>
                <w:i/>
                <w:iCs/>
              </w:rPr>
              <w:lastRenderedPageBreak/>
              <w:t>CGF Human Rights Coalition – Working to End Forced Labor</w:t>
            </w:r>
            <w:r>
              <w:rPr>
                <w:i/>
                <w:iCs/>
              </w:rPr>
              <w:t xml:space="preserve">. </w:t>
            </w:r>
            <w:r>
              <w:t>Consumer Goods Forum (2022)</w:t>
            </w:r>
          </w:p>
          <w:p w14:paraId="54A0F5CC" w14:textId="41495D3A" w:rsidR="001659BB" w:rsidRDefault="001659BB" w:rsidP="001659BB">
            <w:pPr>
              <w:pStyle w:val="ListParagraph"/>
              <w:numPr>
                <w:ilvl w:val="0"/>
                <w:numId w:val="5"/>
              </w:numPr>
            </w:pPr>
            <w:r w:rsidRPr="00356C77">
              <w:rPr>
                <w:i/>
                <w:iCs/>
              </w:rPr>
              <w:t>10 Human Rights Priorities for the Food, Beverage, and Agriculture Sector</w:t>
            </w:r>
            <w:r>
              <w:rPr>
                <w:i/>
                <w:iCs/>
              </w:rPr>
              <w:t xml:space="preserve">. </w:t>
            </w:r>
            <w:r>
              <w:t>BSR (2024)</w:t>
            </w:r>
          </w:p>
          <w:p w14:paraId="685BD764" w14:textId="77777777" w:rsidR="001659BB" w:rsidRDefault="001659BB" w:rsidP="00203DD9"/>
          <w:p w14:paraId="40B33A4A" w14:textId="18885EFC" w:rsidR="001659BB" w:rsidRPr="00F41B24" w:rsidRDefault="00BF218C" w:rsidP="00203DD9">
            <w:pPr>
              <w:rPr>
                <w:b/>
                <w:bCs/>
                <w:i/>
                <w:iCs/>
              </w:rPr>
            </w:pPr>
            <w:r>
              <w:rPr>
                <w:b/>
                <w:bCs/>
                <w:i/>
                <w:iCs/>
              </w:rPr>
              <w:t>HRDD</w:t>
            </w:r>
            <w:r w:rsidR="0071506D">
              <w:rPr>
                <w:b/>
                <w:bCs/>
                <w:i/>
                <w:iCs/>
              </w:rPr>
              <w:t xml:space="preserve"> Barriers and Opportunities </w:t>
            </w:r>
            <w:r w:rsidR="001659BB" w:rsidRPr="00F41B24">
              <w:rPr>
                <w:b/>
                <w:bCs/>
                <w:i/>
                <w:iCs/>
              </w:rPr>
              <w:t>and Industry Benchmarking</w:t>
            </w:r>
          </w:p>
          <w:p w14:paraId="67248C6F" w14:textId="77777777" w:rsidR="001659BB" w:rsidRDefault="001659BB" w:rsidP="00203DD9"/>
          <w:p w14:paraId="44300789" w14:textId="137185AA" w:rsidR="001659BB" w:rsidRDefault="001659BB" w:rsidP="00203DD9">
            <w:r>
              <w:t>Journal articles</w:t>
            </w:r>
            <w:r w:rsidR="004B3806">
              <w:t xml:space="preserve"> and research reports</w:t>
            </w:r>
            <w:r>
              <w:t xml:space="preserve"> detailing prior quantitative and qualitative studies on business and HRDD will be utilized</w:t>
            </w:r>
            <w:r w:rsidR="0071506D">
              <w:t xml:space="preserve"> to inform</w:t>
            </w:r>
            <w:r w:rsidR="00626821">
              <w:t xml:space="preserve"> the survey</w:t>
            </w:r>
            <w:r w:rsidR="004B3806">
              <w:t>,</w:t>
            </w:r>
            <w:r w:rsidR="00626821">
              <w:t xml:space="preserve"> and as a comparison for </w:t>
            </w:r>
            <w:r w:rsidR="00637A36">
              <w:t>the analysed findings</w:t>
            </w:r>
            <w:r>
              <w:t>. Previous benchmarking data will provide a baseline for the current state of HRDD in the industry, as well as the sample population for the study. For example:</w:t>
            </w:r>
          </w:p>
          <w:p w14:paraId="3C7B34FC" w14:textId="2DAAF6B9" w:rsidR="001659BB" w:rsidRDefault="001659BB" w:rsidP="001659BB">
            <w:pPr>
              <w:pStyle w:val="ListParagraph"/>
              <w:numPr>
                <w:ilvl w:val="0"/>
                <w:numId w:val="6"/>
              </w:numPr>
            </w:pPr>
            <w:r w:rsidRPr="0052022A">
              <w:t>Human Rights Due Diligence in Law and Practice: Good Practices and Challenges for Business Enterprises</w:t>
            </w:r>
            <w:r>
              <w:t>.</w:t>
            </w:r>
            <w:r w:rsidRPr="0052022A">
              <w:t xml:space="preserve"> </w:t>
            </w:r>
            <w:r w:rsidRPr="009E310C">
              <w:rPr>
                <w:i/>
                <w:iCs/>
              </w:rPr>
              <w:t>Business and Human Rights Journal</w:t>
            </w:r>
            <w:r>
              <w:t xml:space="preserve">. </w:t>
            </w:r>
            <w:r w:rsidRPr="0052022A">
              <w:t xml:space="preserve">McCorquodale, </w:t>
            </w:r>
            <w:r>
              <w:t>Smit, Neely and Brooks (</w:t>
            </w:r>
            <w:r w:rsidRPr="0052022A">
              <w:t>2017</w:t>
            </w:r>
            <w:r>
              <w:t>)</w:t>
            </w:r>
          </w:p>
          <w:p w14:paraId="1BFB6516" w14:textId="3566FCAB" w:rsidR="001659BB" w:rsidRPr="00C414A3" w:rsidRDefault="001659BB" w:rsidP="001659BB">
            <w:pPr>
              <w:pStyle w:val="ListParagraph"/>
              <w:numPr>
                <w:ilvl w:val="0"/>
                <w:numId w:val="6"/>
              </w:numPr>
            </w:pPr>
            <w:r w:rsidRPr="00E0235B">
              <w:rPr>
                <w:rFonts w:cstheme="minorHAnsi"/>
                <w:shd w:val="clear" w:color="auto" w:fill="FFFFFF"/>
              </w:rPr>
              <w:t>Human rights due diligence in global supply</w:t>
            </w:r>
            <w:r>
              <w:rPr>
                <w:rFonts w:cstheme="minorHAnsi"/>
                <w:shd w:val="clear" w:color="auto" w:fill="FFFFFF"/>
              </w:rPr>
              <w:t xml:space="preserve"> </w:t>
            </w:r>
            <w:r w:rsidRPr="00E0235B">
              <w:rPr>
                <w:rFonts w:cstheme="minorHAnsi"/>
                <w:shd w:val="clear" w:color="auto" w:fill="FFFFFF"/>
              </w:rPr>
              <w:t>chains: evidence of corporate practices to inform a</w:t>
            </w:r>
            <w:r>
              <w:rPr>
                <w:rFonts w:cstheme="minorHAnsi"/>
                <w:shd w:val="clear" w:color="auto" w:fill="FFFFFF"/>
              </w:rPr>
              <w:t xml:space="preserve"> </w:t>
            </w:r>
            <w:r w:rsidRPr="00E0235B">
              <w:rPr>
                <w:rFonts w:cstheme="minorHAnsi"/>
                <w:shd w:val="clear" w:color="auto" w:fill="FFFFFF"/>
              </w:rPr>
              <w:t>legal standard</w:t>
            </w:r>
            <w:r>
              <w:rPr>
                <w:rFonts w:cstheme="minorHAnsi"/>
                <w:shd w:val="clear" w:color="auto" w:fill="FFFFFF"/>
              </w:rPr>
              <w:t xml:space="preserve">. </w:t>
            </w:r>
            <w:r>
              <w:rPr>
                <w:rFonts w:cstheme="minorHAnsi"/>
                <w:i/>
                <w:iCs/>
                <w:shd w:val="clear" w:color="auto" w:fill="FFFFFF"/>
              </w:rPr>
              <w:t xml:space="preserve">The International Journal of Human Rights. </w:t>
            </w:r>
            <w:r>
              <w:rPr>
                <w:rFonts w:cstheme="minorHAnsi"/>
                <w:shd w:val="clear" w:color="auto" w:fill="FFFFFF"/>
              </w:rPr>
              <w:t>Smit, Holly, McCorquodale</w:t>
            </w:r>
            <w:r w:rsidR="00C414A3">
              <w:rPr>
                <w:rFonts w:cstheme="minorHAnsi"/>
                <w:shd w:val="clear" w:color="auto" w:fill="FFFFFF"/>
              </w:rPr>
              <w:t xml:space="preserve"> </w:t>
            </w:r>
            <w:r>
              <w:rPr>
                <w:rFonts w:cstheme="minorHAnsi"/>
                <w:shd w:val="clear" w:color="auto" w:fill="FFFFFF"/>
              </w:rPr>
              <w:t xml:space="preserve">and Neely </w:t>
            </w:r>
            <w:r w:rsidR="00C414A3">
              <w:rPr>
                <w:rFonts w:cstheme="minorHAnsi"/>
                <w:shd w:val="clear" w:color="auto" w:fill="FFFFFF"/>
              </w:rPr>
              <w:t>(</w:t>
            </w:r>
            <w:r>
              <w:rPr>
                <w:rFonts w:cstheme="minorHAnsi"/>
                <w:shd w:val="clear" w:color="auto" w:fill="FFFFFF"/>
              </w:rPr>
              <w:t>2020</w:t>
            </w:r>
            <w:r w:rsidR="00C414A3">
              <w:rPr>
                <w:rFonts w:cstheme="minorHAnsi"/>
                <w:shd w:val="clear" w:color="auto" w:fill="FFFFFF"/>
              </w:rPr>
              <w:t>)</w:t>
            </w:r>
            <w:r>
              <w:rPr>
                <w:rFonts w:cstheme="minorHAnsi"/>
                <w:shd w:val="clear" w:color="auto" w:fill="FFFFFF"/>
              </w:rPr>
              <w:t>.</w:t>
            </w:r>
          </w:p>
          <w:p w14:paraId="01986044" w14:textId="1F0CAE0A" w:rsidR="00203DD9" w:rsidRDefault="00C414A3" w:rsidP="00203DD9">
            <w:pPr>
              <w:pStyle w:val="ListParagraph"/>
              <w:numPr>
                <w:ilvl w:val="0"/>
                <w:numId w:val="6"/>
              </w:numPr>
            </w:pPr>
            <w:r w:rsidRPr="00C414A3">
              <w:rPr>
                <w:i/>
                <w:iCs/>
              </w:rPr>
              <w:t>Food-and-Agriculture-Benchmark-2023-Public-Dataset</w:t>
            </w:r>
            <w:r>
              <w:t xml:space="preserve">. </w:t>
            </w:r>
            <w:r w:rsidRPr="00C414A3">
              <w:t>World Benchmarking Alliance</w:t>
            </w:r>
            <w:r>
              <w:t xml:space="preserve"> (2023)</w:t>
            </w:r>
          </w:p>
          <w:p w14:paraId="40406E9E" w14:textId="28A250DD" w:rsidR="00203DD9" w:rsidRDefault="00203DD9" w:rsidP="00203DD9"/>
          <w:p w14:paraId="47AF4B88" w14:textId="77777777" w:rsidR="00693374" w:rsidRDefault="00693374" w:rsidP="00693374">
            <w:r>
              <w:t xml:space="preserve">Library collections including ProQuest Central, Springer and LexisPlus UK will be utilized to access relevant articles and reports.    </w:t>
            </w:r>
          </w:p>
          <w:p w14:paraId="0CC7A70D" w14:textId="02E0888E" w:rsidR="00CB0250" w:rsidRDefault="00CB0250"/>
          <w:p w14:paraId="5C46353B" w14:textId="77777777" w:rsidR="00E16420" w:rsidRDefault="00E16420"/>
        </w:tc>
      </w:tr>
      <w:tr w:rsidR="00E16420" w14:paraId="77167C2A" w14:textId="77777777" w:rsidTr="00E16420">
        <w:tc>
          <w:tcPr>
            <w:tcW w:w="9016" w:type="dxa"/>
            <w:gridSpan w:val="2"/>
          </w:tcPr>
          <w:p w14:paraId="023C4288" w14:textId="5FA9BD49" w:rsidR="00E16420" w:rsidRPr="00E16420" w:rsidRDefault="00E16420">
            <w:pPr>
              <w:rPr>
                <w:b/>
              </w:rPr>
            </w:pPr>
            <w:r w:rsidRPr="00E16420">
              <w:rPr>
                <w:b/>
              </w:rPr>
              <w:lastRenderedPageBreak/>
              <w:t>Proposed Methodology</w:t>
            </w:r>
          </w:p>
          <w:p w14:paraId="64608129" w14:textId="77777777" w:rsidR="00D24E08" w:rsidRDefault="00D24E08"/>
          <w:p w14:paraId="01D84820" w14:textId="4CF088E9" w:rsidR="003A1747" w:rsidRDefault="003A1747">
            <w:r>
              <w:t>The positivism paradigm with be utilized to collect quantitative data in the form of a survey (Hall, 2020),</w:t>
            </w:r>
            <w:r w:rsidR="00323B79">
              <w:t xml:space="preserve"> </w:t>
            </w:r>
            <w:r w:rsidR="007004DA">
              <w:t>in addition to a desk-based literature review of pertinent sources to achieve objective one</w:t>
            </w:r>
            <w:r w:rsidR="001D007E">
              <w:t xml:space="preserve">. </w:t>
            </w:r>
            <w:r w:rsidR="007004DA">
              <w:t>The e</w:t>
            </w:r>
            <w:r w:rsidR="00B45C52">
              <w:t xml:space="preserve">mpirical data </w:t>
            </w:r>
            <w:r w:rsidR="007A18E6">
              <w:t xml:space="preserve">will </w:t>
            </w:r>
            <w:r w:rsidR="00347256">
              <w:t>provide key insights</w:t>
            </w:r>
            <w:r w:rsidR="007A18E6">
              <w:t xml:space="preserve"> to satisfy objectives two and three</w:t>
            </w:r>
            <w:r w:rsidR="00DA50E8">
              <w:t xml:space="preserve">. A </w:t>
            </w:r>
            <w:r w:rsidR="007003A9">
              <w:t>web-based</w:t>
            </w:r>
            <w:r w:rsidR="00323B79">
              <w:t>,</w:t>
            </w:r>
            <w:r w:rsidR="007003A9">
              <w:t xml:space="preserve"> </w:t>
            </w:r>
            <w:r w:rsidR="00323B79">
              <w:t xml:space="preserve">self-completion </w:t>
            </w:r>
            <w:r w:rsidR="005E3FF2">
              <w:t>questionnaire wi</w:t>
            </w:r>
            <w:r w:rsidR="00323B79">
              <w:t>ll</w:t>
            </w:r>
            <w:r w:rsidR="005E3FF2">
              <w:t xml:space="preserve"> be</w:t>
            </w:r>
            <w:r w:rsidR="00DA50E8">
              <w:t xml:space="preserve"> </w:t>
            </w:r>
            <w:r w:rsidR="00FC41E9">
              <w:t xml:space="preserve">designed </w:t>
            </w:r>
            <w:r w:rsidR="005E3FF2">
              <w:t>following the process and principles outlined by Ekinci (2015) using multiple choice and rating scale, closed-ended questions to ensure standardized data (Fraenkel et al., 2011).</w:t>
            </w:r>
            <w:r w:rsidR="00E90C92">
              <w:t xml:space="preserve"> </w:t>
            </w:r>
          </w:p>
          <w:p w14:paraId="5F9AB500" w14:textId="77777777" w:rsidR="003A1747" w:rsidRDefault="003A1747"/>
          <w:p w14:paraId="2BB689CD" w14:textId="38D51790" w:rsidR="003A1747" w:rsidRDefault="00323B79">
            <w:r>
              <w:t xml:space="preserve">A survey design was chosen to </w:t>
            </w:r>
            <w:r w:rsidR="00332478">
              <w:t xml:space="preserve">collect information related to the opinions, attitudes and experiences of the population </w:t>
            </w:r>
            <w:r>
              <w:t>towards HRDD</w:t>
            </w:r>
            <w:r w:rsidR="00332478">
              <w:t xml:space="preserve"> (Hall, 2020). A benefit of this approach is the ability to collect data from a large population and compare viewpoints based on respondent characteristics</w:t>
            </w:r>
            <w:r>
              <w:t xml:space="preserve"> (Creswell and Creswell, 2018). </w:t>
            </w:r>
            <w:r w:rsidR="00332478">
              <w:t>However, a self-completion questionnaire does have some disadvantages including possible response bias (Creswell and Creswell, 2018), potentially poor response rates, misinterpret</w:t>
            </w:r>
            <w:r w:rsidR="00E55EFA">
              <w:t>ation of</w:t>
            </w:r>
            <w:r w:rsidR="00332478">
              <w:t xml:space="preserve"> questions and </w:t>
            </w:r>
            <w:r w:rsidR="00E55EFA">
              <w:t>the failure of respondents to</w:t>
            </w:r>
            <w:r w:rsidR="00347256">
              <w:t xml:space="preserve"> fully</w:t>
            </w:r>
            <w:r w:rsidR="00E55EFA">
              <w:t xml:space="preserve"> complete the questionnaire (Hall, 2020). These challenges will be </w:t>
            </w:r>
            <w:r w:rsidR="0081457A">
              <w:t>considered</w:t>
            </w:r>
            <w:r w:rsidR="00E55EFA">
              <w:t xml:space="preserve"> during the design and distribution of the questionnaire in an attempt to mitigate the risk of them occurring.</w:t>
            </w:r>
          </w:p>
          <w:p w14:paraId="3E62C5FC" w14:textId="77777777" w:rsidR="003A1747" w:rsidRDefault="003A1747"/>
          <w:p w14:paraId="33F33E58" w14:textId="4B512D43" w:rsidR="00E55EFA" w:rsidRDefault="00E55EFA" w:rsidP="00E55EFA">
            <w:r>
              <w:t xml:space="preserve">As a student at the University of Wales Trinity Saint David (UWTSD), the research will abide by the UWTSD Research Ethics &amp; Integrity Code of Practice (2022a) and </w:t>
            </w:r>
            <w:r w:rsidRPr="000B2BD3">
              <w:t>Research Data Management Policy</w:t>
            </w:r>
            <w:r>
              <w:t xml:space="preserve"> (2022b). An application will be made for ethical approval prior to the data collection taking place. </w:t>
            </w:r>
            <w:r w:rsidR="00010BBE">
              <w:t>Due to</w:t>
            </w:r>
            <w:r>
              <w:t xml:space="preserve"> the potentially sensitive nature of the questions, the survey will remain anonymous for both the respondents and their organizations</w:t>
            </w:r>
            <w:r w:rsidR="00DA763B">
              <w:t>, a</w:t>
            </w:r>
            <w:r>
              <w:t xml:space="preserve"> benefit o</w:t>
            </w:r>
            <w:r w:rsidR="00DA763B">
              <w:t>f</w:t>
            </w:r>
            <w:r>
              <w:t xml:space="preserve"> utilizing a third-party, online survey tool.</w:t>
            </w:r>
            <w:r w:rsidR="00DA763B">
              <w:t xml:space="preserve"> </w:t>
            </w:r>
            <w:r w:rsidR="00010BBE">
              <w:t>Taking into consideration</w:t>
            </w:r>
            <w:r w:rsidR="00DA763B">
              <w:t xml:space="preserve"> the global nature of the target population, data protection laws will be reviewed in each countr</w:t>
            </w:r>
            <w:r w:rsidR="001D6FC6">
              <w:t>y and the approach to data collection adjusted as required to ensure compliance.</w:t>
            </w:r>
          </w:p>
          <w:p w14:paraId="65E24162" w14:textId="77777777" w:rsidR="00E55EFA" w:rsidRDefault="00E55EFA"/>
          <w:p w14:paraId="5C19AA99" w14:textId="7071EAFF" w:rsidR="004764E8" w:rsidRDefault="00610418">
            <w:r>
              <w:lastRenderedPageBreak/>
              <w:t xml:space="preserve">The target population for the survey will be the 350 most influential food and agriculture companies, as listed by the World Benchmarking Alliance (2023). Contact details for </w:t>
            </w:r>
            <w:r w:rsidR="005C6B19">
              <w:t>human rights, sustainability</w:t>
            </w:r>
            <w:r w:rsidR="0070686D">
              <w:t>, procurement</w:t>
            </w:r>
            <w:r w:rsidR="005C6B19">
              <w:t xml:space="preserve"> </w:t>
            </w:r>
            <w:r w:rsidR="0070686D">
              <w:t>or</w:t>
            </w:r>
            <w:r w:rsidR="005C6B19">
              <w:t xml:space="preserve"> legal professionals employed within </w:t>
            </w:r>
            <w:r>
              <w:t>th</w:t>
            </w:r>
            <w:r w:rsidR="0070686D">
              <w:t>ese</w:t>
            </w:r>
            <w:r>
              <w:t xml:space="preserve"> organizations will be sourced via personal connections or LinkedIn</w:t>
            </w:r>
            <w:r w:rsidR="005C6B19">
              <w:t xml:space="preserve">. </w:t>
            </w:r>
            <w:r w:rsidR="00E55EFA">
              <w:t>An introductory message will be crafted outlining the purpose of the research</w:t>
            </w:r>
            <w:r w:rsidR="009B1B3A">
              <w:t xml:space="preserve"> and</w:t>
            </w:r>
            <w:r w:rsidR="00E55EFA">
              <w:t xml:space="preserve"> containing a link to the online survey.</w:t>
            </w:r>
            <w:r w:rsidR="00C12DB6">
              <w:t xml:space="preserve"> Targeting individuals who work for these organizations</w:t>
            </w:r>
            <w:r w:rsidR="000C1BC9">
              <w:t>,</w:t>
            </w:r>
            <w:r w:rsidR="00C12DB6">
              <w:t xml:space="preserve"> in a function linked to human rights</w:t>
            </w:r>
            <w:r w:rsidR="000C1BC9">
              <w:t>,</w:t>
            </w:r>
            <w:r w:rsidR="00C12DB6">
              <w:t xml:space="preserve"> will improve the reliab</w:t>
            </w:r>
            <w:r w:rsidR="0070686D">
              <w:t xml:space="preserve">ility of the information, however due to the anonymous nature of the survey there </w:t>
            </w:r>
            <w:r w:rsidR="000C1BC9">
              <w:t>will be</w:t>
            </w:r>
            <w:r w:rsidR="0070686D">
              <w:t xml:space="preserve"> no guarantee that respondents will have an in-depth knowledge of their organization’s human rights strategy. It will also not be possible to monitor whether more than one response is received from the same organization.</w:t>
            </w:r>
            <w:r w:rsidR="00C12DB6">
              <w:t xml:space="preserve"> </w:t>
            </w:r>
          </w:p>
          <w:p w14:paraId="422B6091" w14:textId="77777777" w:rsidR="00E16420" w:rsidRDefault="00E16420"/>
          <w:p w14:paraId="60DE0AC8" w14:textId="7BF818F0" w:rsidR="006A39D6" w:rsidRDefault="006A39D6">
            <w:r>
              <w:t>The empirical data will be analysed according to theme (Biggam, 2015)</w:t>
            </w:r>
            <w:r w:rsidR="00C12DB6">
              <w:t>, including barriers and opportunities for the implementation of HRDD</w:t>
            </w:r>
            <w:r>
              <w:t xml:space="preserve">. </w:t>
            </w:r>
            <w:r w:rsidR="0070686D">
              <w:t xml:space="preserve">Relevant findings will be presented graphically in the form of pie and bar charts. </w:t>
            </w:r>
            <w:r w:rsidR="00441F56">
              <w:t>B</w:t>
            </w:r>
            <w:r>
              <w:t>enchmarking data</w:t>
            </w:r>
            <w:r w:rsidR="00441F56">
              <w:t xml:space="preserve"> such as the location of the organization and its segment in the industry will be utilized to investigate correlations in the data. </w:t>
            </w:r>
            <w:r w:rsidR="00C12DB6">
              <w:t xml:space="preserve">To understand the variations based on where in the supply chain an organization resides, respondents will be grouped by supply chain tier and their responses to the barriers and opportunities questions analysed. </w:t>
            </w:r>
            <w:r w:rsidR="00441F56">
              <w:t xml:space="preserve">These insights will </w:t>
            </w:r>
            <w:r w:rsidR="00C12DB6">
              <w:t xml:space="preserve">form the </w:t>
            </w:r>
            <w:r w:rsidR="00441F56">
              <w:t xml:space="preserve">basis to satisfy objectives </w:t>
            </w:r>
            <w:r w:rsidR="00A46869">
              <w:t>two</w:t>
            </w:r>
            <w:r w:rsidR="00441F56">
              <w:t xml:space="preserve"> and </w:t>
            </w:r>
            <w:r w:rsidR="00A46869">
              <w:t>three</w:t>
            </w:r>
            <w:r w:rsidR="00441F56">
              <w:t xml:space="preserve">. The opportunities and benefits will be plotted on a force field analysis diagram (Willis and Edwards, 2014) to provide a visual representation for industry professionals to satisfy objective </w:t>
            </w:r>
            <w:r w:rsidR="00A46869">
              <w:t>four</w:t>
            </w:r>
            <w:r w:rsidR="00441F56">
              <w:t>.</w:t>
            </w:r>
            <w:r w:rsidR="0070686D">
              <w:t xml:space="preserve"> The validity of the results will depend largely on the number of respondents overall and in each tier. Once the survey is closed, it will be determined whether the sample size is statistically relevant using an online sample size calculator.  </w:t>
            </w:r>
            <w:r w:rsidR="00441F56">
              <w:t xml:space="preserve"> </w:t>
            </w:r>
            <w:r>
              <w:t xml:space="preserve"> </w:t>
            </w:r>
          </w:p>
          <w:p w14:paraId="49945B26" w14:textId="77777777" w:rsidR="006A39D6" w:rsidRDefault="006A39D6"/>
          <w:p w14:paraId="15246AA1" w14:textId="370F754A" w:rsidR="00E16420" w:rsidRDefault="00947093">
            <w:r>
              <w:t>Key findings will be discussed and compared with the literature research</w:t>
            </w:r>
            <w:r w:rsidR="00D45382">
              <w:t xml:space="preserve">. </w:t>
            </w:r>
            <w:r w:rsidR="00EF2EBD">
              <w:t xml:space="preserve">Limitations to the study will be reviewed and the conclusion will include suggestions for further investigations. </w:t>
            </w:r>
            <w:r w:rsidR="007C1E33">
              <w:t>While n</w:t>
            </w:r>
            <w:r w:rsidR="003852BD">
              <w:t>uances i</w:t>
            </w:r>
            <w:r w:rsidR="009E1D12">
              <w:t xml:space="preserve">n individual supply chains </w:t>
            </w:r>
            <w:r w:rsidR="00D32DFC">
              <w:t>will dictate how companies tackle HRDD</w:t>
            </w:r>
            <w:r w:rsidR="00DD3912">
              <w:t>,</w:t>
            </w:r>
            <w:r w:rsidR="00A9711B">
              <w:t xml:space="preserve"> this research </w:t>
            </w:r>
            <w:r w:rsidR="007C1E33">
              <w:t>will provide</w:t>
            </w:r>
            <w:r w:rsidR="00DC5C71">
              <w:t xml:space="preserve"> </w:t>
            </w:r>
            <w:r w:rsidR="00B655C5">
              <w:t>a high-level</w:t>
            </w:r>
            <w:r w:rsidR="00A02FF5">
              <w:t xml:space="preserve"> understand</w:t>
            </w:r>
            <w:r w:rsidR="006413E9">
              <w:t>ing</w:t>
            </w:r>
            <w:r w:rsidR="00A02FF5">
              <w:t xml:space="preserve"> of the issues which may impa</w:t>
            </w:r>
            <w:r w:rsidR="00DD3912">
              <w:t>ct the process</w:t>
            </w:r>
            <w:r w:rsidR="00B124DD">
              <w:t xml:space="preserve"> and potential benefits to the organization</w:t>
            </w:r>
            <w:r w:rsidR="0032232E">
              <w:t xml:space="preserve"> and industry</w:t>
            </w:r>
            <w:r w:rsidR="00526688">
              <w:t>.</w:t>
            </w:r>
            <w:r w:rsidR="0032232E">
              <w:t xml:space="preserve"> </w:t>
            </w:r>
          </w:p>
          <w:p w14:paraId="71702A5F" w14:textId="73A65E46" w:rsidR="00EB2E64" w:rsidRDefault="00EB2E64"/>
        </w:tc>
      </w:tr>
      <w:tr w:rsidR="00EB2E64" w14:paraId="3248E760" w14:textId="77777777" w:rsidTr="00E16420">
        <w:tc>
          <w:tcPr>
            <w:tcW w:w="9016" w:type="dxa"/>
            <w:gridSpan w:val="2"/>
          </w:tcPr>
          <w:p w14:paraId="73EC1EEB" w14:textId="4360B0BC" w:rsidR="00EB2E64" w:rsidRDefault="00EB2E64" w:rsidP="00EB2E64">
            <w:pPr>
              <w:rPr>
                <w:b/>
              </w:rPr>
            </w:pPr>
            <w:r>
              <w:rPr>
                <w:b/>
              </w:rPr>
              <w:lastRenderedPageBreak/>
              <w:t xml:space="preserve">Time and Resource </w:t>
            </w:r>
            <w:r w:rsidR="00F46D98">
              <w:rPr>
                <w:b/>
              </w:rPr>
              <w:t>M</w:t>
            </w:r>
            <w:r>
              <w:rPr>
                <w:b/>
              </w:rPr>
              <w:t>anagement</w:t>
            </w:r>
          </w:p>
          <w:p w14:paraId="5D8554B3" w14:textId="77777777" w:rsidR="00EB2E64" w:rsidRDefault="00EB2E64" w:rsidP="00EB2E64">
            <w:pPr>
              <w:rPr>
                <w:b/>
              </w:rPr>
            </w:pPr>
          </w:p>
          <w:p w14:paraId="37FFC1B3" w14:textId="5A6612B7" w:rsidR="00EB2E64" w:rsidRPr="00EB2E64" w:rsidRDefault="00EB2E64" w:rsidP="00EB2E64">
            <w:pPr>
              <w:rPr>
                <w:bCs/>
              </w:rPr>
            </w:pPr>
            <w:r>
              <w:rPr>
                <w:bCs/>
              </w:rPr>
              <w:t>The Gantt chart below illustrates the timeline for completion. Literature for review will be sourced online</w:t>
            </w:r>
            <w:r w:rsidR="00FD0023">
              <w:rPr>
                <w:bCs/>
              </w:rPr>
              <w:t xml:space="preserve"> through the UWTSD library</w:t>
            </w:r>
            <w:r w:rsidR="002A499E">
              <w:rPr>
                <w:bCs/>
              </w:rPr>
              <w:t xml:space="preserve"> at no cost</w:t>
            </w:r>
            <w:r w:rsidR="00FD0023">
              <w:rPr>
                <w:bCs/>
              </w:rPr>
              <w:t>, however a small budget may be necessary for purchasing relevant books. One of the benefits of conducting an on-line survey is the low-cost. While many tools are available for free, a month monthly subscription may be required to create a questionnaire of the length and detail necessary. No additional resources will be required.</w:t>
            </w:r>
          </w:p>
          <w:p w14:paraId="25932E00" w14:textId="77777777" w:rsidR="00EB2E64" w:rsidRDefault="00EB2E64">
            <w:pPr>
              <w:rPr>
                <w:b/>
              </w:rPr>
            </w:pPr>
          </w:p>
          <w:p w14:paraId="30C5E0AC" w14:textId="77777777" w:rsidR="00EB2E64" w:rsidRPr="00E16420" w:rsidRDefault="00EB2E64">
            <w:pPr>
              <w:rPr>
                <w:b/>
              </w:rPr>
            </w:pPr>
          </w:p>
        </w:tc>
      </w:tr>
    </w:tbl>
    <w:p w14:paraId="34A648A0" w14:textId="77777777" w:rsidR="003C0728" w:rsidRDefault="003C0728"/>
    <w:p w14:paraId="0E52F0FE" w14:textId="77777777" w:rsidR="005C5580" w:rsidRDefault="005C5580"/>
    <w:p w14:paraId="0F9301A9" w14:textId="77777777" w:rsidR="005C5580" w:rsidRDefault="005C5580"/>
    <w:p w14:paraId="2B512360" w14:textId="77777777" w:rsidR="00064FEC" w:rsidRDefault="00DF4F3A">
      <w:pPr>
        <w:rPr>
          <w:b/>
        </w:rPr>
        <w:sectPr w:rsidR="00064FEC">
          <w:pgSz w:w="11906" w:h="16838"/>
          <w:pgMar w:top="1440" w:right="1440" w:bottom="1440" w:left="1440" w:header="708" w:footer="708" w:gutter="0"/>
          <w:cols w:space="708"/>
          <w:docGrid w:linePitch="360"/>
        </w:sectPr>
      </w:pPr>
      <w:r>
        <w:rPr>
          <w:b/>
        </w:rPr>
        <w:br w:type="page"/>
      </w:r>
    </w:p>
    <w:p w14:paraId="3787D695" w14:textId="4E160D7D" w:rsidR="00064FEC" w:rsidRDefault="00064FEC" w:rsidP="00064FEC">
      <w:pPr>
        <w:pStyle w:val="Heading2"/>
      </w:pPr>
      <w:r>
        <w:lastRenderedPageBreak/>
        <w:t>Timeline</w:t>
      </w:r>
    </w:p>
    <w:p w14:paraId="4D2109D9" w14:textId="5E99DA4B" w:rsidR="00207D6C" w:rsidRDefault="00207D6C">
      <w:pPr>
        <w:rPr>
          <w:b/>
        </w:rPr>
      </w:pPr>
    </w:p>
    <w:tbl>
      <w:tblPr>
        <w:tblStyle w:val="TableGrid"/>
        <w:tblW w:w="0" w:type="auto"/>
        <w:tblLayout w:type="fixed"/>
        <w:tblLook w:val="04A0" w:firstRow="1" w:lastRow="0" w:firstColumn="1" w:lastColumn="0" w:noHBand="0" w:noVBand="1"/>
      </w:tblPr>
      <w:tblGrid>
        <w:gridCol w:w="3595"/>
        <w:gridCol w:w="1440"/>
        <w:gridCol w:w="1440"/>
        <w:gridCol w:w="1440"/>
        <w:gridCol w:w="1440"/>
        <w:gridCol w:w="1440"/>
        <w:gridCol w:w="1440"/>
      </w:tblGrid>
      <w:tr w:rsidR="00FD0023" w14:paraId="200C4F44" w14:textId="77777777" w:rsidTr="00FD0023">
        <w:tc>
          <w:tcPr>
            <w:tcW w:w="3595" w:type="dxa"/>
            <w:shd w:val="clear" w:color="auto" w:fill="F2F2F2" w:themeFill="background1" w:themeFillShade="F2"/>
          </w:tcPr>
          <w:p w14:paraId="216BB2AF" w14:textId="71CF2148" w:rsidR="00207D6C" w:rsidRDefault="00FD0023">
            <w:pPr>
              <w:rPr>
                <w:b/>
              </w:rPr>
            </w:pPr>
            <w:r>
              <w:rPr>
                <w:b/>
              </w:rPr>
              <w:t>2024</w:t>
            </w:r>
          </w:p>
        </w:tc>
        <w:tc>
          <w:tcPr>
            <w:tcW w:w="1440" w:type="dxa"/>
            <w:shd w:val="clear" w:color="auto" w:fill="F2F2F2" w:themeFill="background1" w:themeFillShade="F2"/>
          </w:tcPr>
          <w:p w14:paraId="62C87B64" w14:textId="464EDB9E" w:rsidR="00207D6C" w:rsidRDefault="00207D6C">
            <w:pPr>
              <w:rPr>
                <w:b/>
              </w:rPr>
            </w:pPr>
            <w:r>
              <w:rPr>
                <w:b/>
              </w:rPr>
              <w:t>April</w:t>
            </w:r>
          </w:p>
        </w:tc>
        <w:tc>
          <w:tcPr>
            <w:tcW w:w="1440" w:type="dxa"/>
            <w:shd w:val="clear" w:color="auto" w:fill="F2F2F2" w:themeFill="background1" w:themeFillShade="F2"/>
          </w:tcPr>
          <w:p w14:paraId="3BB29879" w14:textId="66C305F5" w:rsidR="00207D6C" w:rsidRDefault="00207D6C">
            <w:pPr>
              <w:rPr>
                <w:b/>
              </w:rPr>
            </w:pPr>
            <w:r>
              <w:rPr>
                <w:b/>
              </w:rPr>
              <w:t>May</w:t>
            </w:r>
          </w:p>
        </w:tc>
        <w:tc>
          <w:tcPr>
            <w:tcW w:w="1440" w:type="dxa"/>
            <w:shd w:val="clear" w:color="auto" w:fill="F2F2F2" w:themeFill="background1" w:themeFillShade="F2"/>
          </w:tcPr>
          <w:p w14:paraId="4D903CF0" w14:textId="6F945EB7" w:rsidR="00207D6C" w:rsidRDefault="00207D6C">
            <w:pPr>
              <w:rPr>
                <w:b/>
              </w:rPr>
            </w:pPr>
            <w:r>
              <w:rPr>
                <w:b/>
              </w:rPr>
              <w:t>June</w:t>
            </w:r>
          </w:p>
        </w:tc>
        <w:tc>
          <w:tcPr>
            <w:tcW w:w="1440" w:type="dxa"/>
            <w:shd w:val="clear" w:color="auto" w:fill="F2F2F2" w:themeFill="background1" w:themeFillShade="F2"/>
          </w:tcPr>
          <w:p w14:paraId="317E9B01" w14:textId="0371D466" w:rsidR="00207D6C" w:rsidRDefault="00207D6C">
            <w:pPr>
              <w:rPr>
                <w:b/>
              </w:rPr>
            </w:pPr>
            <w:r>
              <w:rPr>
                <w:b/>
              </w:rPr>
              <w:t>July</w:t>
            </w:r>
          </w:p>
        </w:tc>
        <w:tc>
          <w:tcPr>
            <w:tcW w:w="1440" w:type="dxa"/>
            <w:shd w:val="clear" w:color="auto" w:fill="F2F2F2" w:themeFill="background1" w:themeFillShade="F2"/>
          </w:tcPr>
          <w:p w14:paraId="610D4AB4" w14:textId="053B1D2E" w:rsidR="00207D6C" w:rsidRDefault="00207D6C">
            <w:pPr>
              <w:rPr>
                <w:b/>
              </w:rPr>
            </w:pPr>
            <w:r>
              <w:rPr>
                <w:b/>
              </w:rPr>
              <w:t>August</w:t>
            </w:r>
          </w:p>
        </w:tc>
        <w:tc>
          <w:tcPr>
            <w:tcW w:w="1440" w:type="dxa"/>
            <w:shd w:val="clear" w:color="auto" w:fill="F2F2F2" w:themeFill="background1" w:themeFillShade="F2"/>
          </w:tcPr>
          <w:p w14:paraId="55F7D752" w14:textId="4AC1EDA4" w:rsidR="00207D6C" w:rsidRDefault="00207D6C">
            <w:pPr>
              <w:rPr>
                <w:b/>
              </w:rPr>
            </w:pPr>
            <w:r>
              <w:rPr>
                <w:b/>
              </w:rPr>
              <w:t>September</w:t>
            </w:r>
          </w:p>
        </w:tc>
      </w:tr>
      <w:tr w:rsidR="00207D6C" w14:paraId="735CF48A" w14:textId="77777777" w:rsidTr="00207D6C">
        <w:trPr>
          <w:trHeight w:val="537"/>
        </w:trPr>
        <w:tc>
          <w:tcPr>
            <w:tcW w:w="3595" w:type="dxa"/>
            <w:vAlign w:val="center"/>
          </w:tcPr>
          <w:p w14:paraId="13499B74" w14:textId="1B6422A1" w:rsidR="00207D6C" w:rsidRDefault="00207D6C" w:rsidP="00207D6C">
            <w:pPr>
              <w:rPr>
                <w:b/>
              </w:rPr>
            </w:pPr>
            <w:r>
              <w:rPr>
                <w:b/>
              </w:rPr>
              <w:t>Clarify aim/objectives</w:t>
            </w:r>
          </w:p>
        </w:tc>
        <w:tc>
          <w:tcPr>
            <w:tcW w:w="1440" w:type="dxa"/>
            <w:vAlign w:val="center"/>
          </w:tcPr>
          <w:p w14:paraId="7158E42E" w14:textId="12843C71" w:rsidR="00207D6C" w:rsidRDefault="00207D6C" w:rsidP="00207D6C">
            <w:pPr>
              <w:rPr>
                <w:b/>
              </w:rPr>
            </w:pPr>
            <w:r>
              <w:rPr>
                <w:b/>
                <w:noProof/>
              </w:rPr>
              <mc:AlternateContent>
                <mc:Choice Requires="wps">
                  <w:drawing>
                    <wp:anchor distT="0" distB="0" distL="114300" distR="114300" simplePos="0" relativeHeight="251659264" behindDoc="0" locked="0" layoutInCell="1" allowOverlap="1" wp14:anchorId="6AB3FBAF" wp14:editId="6FD66EA5">
                      <wp:simplePos x="0" y="0"/>
                      <wp:positionH relativeFrom="column">
                        <wp:posOffset>-72390</wp:posOffset>
                      </wp:positionH>
                      <wp:positionV relativeFrom="paragraph">
                        <wp:posOffset>17780</wp:posOffset>
                      </wp:positionV>
                      <wp:extent cx="918845" cy="137160"/>
                      <wp:effectExtent l="0" t="0" r="0" b="0"/>
                      <wp:wrapNone/>
                      <wp:docPr id="486924267" name="Rectangle 1"/>
                      <wp:cNvGraphicFramePr/>
                      <a:graphic xmlns:a="http://schemas.openxmlformats.org/drawingml/2006/main">
                        <a:graphicData uri="http://schemas.microsoft.com/office/word/2010/wordprocessingShape">
                          <wps:wsp>
                            <wps:cNvSpPr/>
                            <wps:spPr>
                              <a:xfrm>
                                <a:off x="0" y="0"/>
                                <a:ext cx="918845" cy="137160"/>
                              </a:xfrm>
                              <a:prstGeom prst="rect">
                                <a:avLst/>
                              </a:prstGeom>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83B44F4" id="Rectangle 1" o:spid="_x0000_s1026" style="position:absolute;margin-left:-5.7pt;margin-top:1.4pt;width:72.35pt;height:10.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" fillcolor="#5b9bd5 [3204]" stroked="f" strokeweight="1pt"/>
                  </w:pict>
                </mc:Fallback>
              </mc:AlternateContent>
            </w:r>
          </w:p>
        </w:tc>
        <w:tc>
          <w:tcPr>
            <w:tcW w:w="1440" w:type="dxa"/>
            <w:vAlign w:val="center"/>
          </w:tcPr>
          <w:p w14:paraId="09DD6A04" w14:textId="4032A10A" w:rsidR="00207D6C" w:rsidRDefault="00207D6C" w:rsidP="00207D6C">
            <w:pPr>
              <w:rPr>
                <w:b/>
              </w:rPr>
            </w:pPr>
          </w:p>
        </w:tc>
        <w:tc>
          <w:tcPr>
            <w:tcW w:w="1440" w:type="dxa"/>
            <w:vAlign w:val="center"/>
          </w:tcPr>
          <w:p w14:paraId="0E38C9C3" w14:textId="77777777" w:rsidR="00207D6C" w:rsidRDefault="00207D6C" w:rsidP="00207D6C">
            <w:pPr>
              <w:rPr>
                <w:b/>
              </w:rPr>
            </w:pPr>
          </w:p>
        </w:tc>
        <w:tc>
          <w:tcPr>
            <w:tcW w:w="1440" w:type="dxa"/>
            <w:vAlign w:val="center"/>
          </w:tcPr>
          <w:p w14:paraId="33A0FB0F" w14:textId="77777777" w:rsidR="00207D6C" w:rsidRDefault="00207D6C" w:rsidP="00207D6C">
            <w:pPr>
              <w:rPr>
                <w:b/>
              </w:rPr>
            </w:pPr>
          </w:p>
        </w:tc>
        <w:tc>
          <w:tcPr>
            <w:tcW w:w="1440" w:type="dxa"/>
            <w:vAlign w:val="center"/>
          </w:tcPr>
          <w:p w14:paraId="41CC3149" w14:textId="77777777" w:rsidR="00207D6C" w:rsidRDefault="00207D6C" w:rsidP="00207D6C">
            <w:pPr>
              <w:rPr>
                <w:b/>
              </w:rPr>
            </w:pPr>
          </w:p>
        </w:tc>
        <w:tc>
          <w:tcPr>
            <w:tcW w:w="1440" w:type="dxa"/>
            <w:vAlign w:val="center"/>
          </w:tcPr>
          <w:p w14:paraId="518B9842" w14:textId="77777777" w:rsidR="00207D6C" w:rsidRDefault="00207D6C" w:rsidP="00207D6C">
            <w:pPr>
              <w:rPr>
                <w:b/>
              </w:rPr>
            </w:pPr>
          </w:p>
        </w:tc>
      </w:tr>
      <w:tr w:rsidR="00207D6C" w14:paraId="2E4D5D82" w14:textId="77777777" w:rsidTr="00207D6C">
        <w:trPr>
          <w:trHeight w:val="537"/>
        </w:trPr>
        <w:tc>
          <w:tcPr>
            <w:tcW w:w="3595" w:type="dxa"/>
            <w:vAlign w:val="center"/>
          </w:tcPr>
          <w:p w14:paraId="501E46CC" w14:textId="3EB25FFB" w:rsidR="00207D6C" w:rsidRDefault="00207D6C" w:rsidP="00207D6C">
            <w:pPr>
              <w:rPr>
                <w:b/>
              </w:rPr>
            </w:pPr>
            <w:r>
              <w:rPr>
                <w:b/>
              </w:rPr>
              <w:t>Literature review</w:t>
            </w:r>
          </w:p>
        </w:tc>
        <w:tc>
          <w:tcPr>
            <w:tcW w:w="1440" w:type="dxa"/>
            <w:vAlign w:val="center"/>
          </w:tcPr>
          <w:p w14:paraId="2088F8F2" w14:textId="79D2794A" w:rsidR="00207D6C" w:rsidRDefault="00207D6C" w:rsidP="00207D6C">
            <w:pPr>
              <w:rPr>
                <w:b/>
              </w:rPr>
            </w:pPr>
          </w:p>
        </w:tc>
        <w:tc>
          <w:tcPr>
            <w:tcW w:w="1440" w:type="dxa"/>
            <w:vAlign w:val="center"/>
          </w:tcPr>
          <w:p w14:paraId="348ED2E8" w14:textId="2B089BA6" w:rsidR="00207D6C" w:rsidRDefault="00EB2E64" w:rsidP="00207D6C">
            <w:pPr>
              <w:rPr>
                <w:b/>
              </w:rPr>
            </w:pPr>
            <w:r>
              <w:rPr>
                <w:b/>
                <w:noProof/>
              </w:rPr>
              <mc:AlternateContent>
                <mc:Choice Requires="wps">
                  <w:drawing>
                    <wp:anchor distT="0" distB="0" distL="114300" distR="114300" simplePos="0" relativeHeight="251669504" behindDoc="0" locked="0" layoutInCell="1" allowOverlap="1" wp14:anchorId="1DFFA3AC" wp14:editId="4D279E77">
                      <wp:simplePos x="0" y="0"/>
                      <wp:positionH relativeFrom="column">
                        <wp:posOffset>-71755</wp:posOffset>
                      </wp:positionH>
                      <wp:positionV relativeFrom="paragraph">
                        <wp:posOffset>12700</wp:posOffset>
                      </wp:positionV>
                      <wp:extent cx="1343025" cy="140335"/>
                      <wp:effectExtent l="0" t="0" r="9525" b="0"/>
                      <wp:wrapNone/>
                      <wp:docPr id="1769068109" name="Rectangle 1"/>
                      <wp:cNvGraphicFramePr/>
                      <a:graphic xmlns:a="http://schemas.openxmlformats.org/drawingml/2006/main">
                        <a:graphicData uri="http://schemas.microsoft.com/office/word/2010/wordprocessingShape">
                          <wps:wsp>
                            <wps:cNvSpPr/>
                            <wps:spPr>
                              <a:xfrm>
                                <a:off x="0" y="0"/>
                                <a:ext cx="1343025" cy="140335"/>
                              </a:xfrm>
                              <a:prstGeom prst="rect">
                                <a:avLst/>
                              </a:prstGeom>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7B438C0" id="Rectangle 1" o:spid="_x0000_s1026" style="position:absolute;margin-left:-5.65pt;margin-top:1pt;width:105.75pt;height:11.0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" fillcolor="#5b9bd5 [3204]" stroked="f" strokeweight="1pt"/>
                  </w:pict>
                </mc:Fallback>
              </mc:AlternateContent>
            </w:r>
          </w:p>
        </w:tc>
        <w:tc>
          <w:tcPr>
            <w:tcW w:w="1440" w:type="dxa"/>
            <w:vAlign w:val="center"/>
          </w:tcPr>
          <w:p w14:paraId="663DDD1B" w14:textId="77777777" w:rsidR="00207D6C" w:rsidRDefault="00207D6C" w:rsidP="00207D6C">
            <w:pPr>
              <w:rPr>
                <w:b/>
              </w:rPr>
            </w:pPr>
          </w:p>
        </w:tc>
        <w:tc>
          <w:tcPr>
            <w:tcW w:w="1440" w:type="dxa"/>
            <w:vAlign w:val="center"/>
          </w:tcPr>
          <w:p w14:paraId="6E5831F1" w14:textId="77777777" w:rsidR="00207D6C" w:rsidRDefault="00207D6C" w:rsidP="00207D6C">
            <w:pPr>
              <w:rPr>
                <w:b/>
              </w:rPr>
            </w:pPr>
          </w:p>
        </w:tc>
        <w:tc>
          <w:tcPr>
            <w:tcW w:w="1440" w:type="dxa"/>
            <w:vAlign w:val="center"/>
          </w:tcPr>
          <w:p w14:paraId="4880E249" w14:textId="77777777" w:rsidR="00207D6C" w:rsidRDefault="00207D6C" w:rsidP="00207D6C">
            <w:pPr>
              <w:rPr>
                <w:b/>
              </w:rPr>
            </w:pPr>
          </w:p>
        </w:tc>
        <w:tc>
          <w:tcPr>
            <w:tcW w:w="1440" w:type="dxa"/>
            <w:vAlign w:val="center"/>
          </w:tcPr>
          <w:p w14:paraId="1375EE8D" w14:textId="77777777" w:rsidR="00207D6C" w:rsidRDefault="00207D6C" w:rsidP="00207D6C">
            <w:pPr>
              <w:rPr>
                <w:b/>
              </w:rPr>
            </w:pPr>
          </w:p>
        </w:tc>
      </w:tr>
      <w:tr w:rsidR="00207D6C" w14:paraId="7524D7BF" w14:textId="77777777" w:rsidTr="00207D6C">
        <w:trPr>
          <w:trHeight w:val="537"/>
        </w:trPr>
        <w:tc>
          <w:tcPr>
            <w:tcW w:w="3595" w:type="dxa"/>
            <w:vAlign w:val="center"/>
          </w:tcPr>
          <w:p w14:paraId="30497347" w14:textId="45F3D3A8" w:rsidR="00207D6C" w:rsidRDefault="00207D6C" w:rsidP="00207D6C">
            <w:pPr>
              <w:rPr>
                <w:b/>
              </w:rPr>
            </w:pPr>
            <w:r>
              <w:rPr>
                <w:b/>
              </w:rPr>
              <w:t>Methodology</w:t>
            </w:r>
          </w:p>
        </w:tc>
        <w:tc>
          <w:tcPr>
            <w:tcW w:w="1440" w:type="dxa"/>
            <w:vAlign w:val="center"/>
          </w:tcPr>
          <w:p w14:paraId="0CD82C36" w14:textId="32806D37" w:rsidR="00207D6C" w:rsidRDefault="00207D6C" w:rsidP="00207D6C">
            <w:pPr>
              <w:rPr>
                <w:b/>
              </w:rPr>
            </w:pPr>
          </w:p>
        </w:tc>
        <w:tc>
          <w:tcPr>
            <w:tcW w:w="1440" w:type="dxa"/>
            <w:vAlign w:val="center"/>
          </w:tcPr>
          <w:p w14:paraId="5C24C512" w14:textId="476A4082" w:rsidR="00207D6C" w:rsidRDefault="00207D6C" w:rsidP="00207D6C">
            <w:pPr>
              <w:rPr>
                <w:b/>
              </w:rPr>
            </w:pPr>
          </w:p>
        </w:tc>
        <w:tc>
          <w:tcPr>
            <w:tcW w:w="1440" w:type="dxa"/>
            <w:vAlign w:val="center"/>
          </w:tcPr>
          <w:p w14:paraId="09A918E3" w14:textId="38CE2D47" w:rsidR="00207D6C" w:rsidRDefault="00207D6C" w:rsidP="00207D6C">
            <w:pPr>
              <w:rPr>
                <w:b/>
              </w:rPr>
            </w:pPr>
          </w:p>
        </w:tc>
        <w:tc>
          <w:tcPr>
            <w:tcW w:w="1440" w:type="dxa"/>
            <w:vAlign w:val="center"/>
          </w:tcPr>
          <w:p w14:paraId="372C6BAC" w14:textId="6A6414AA" w:rsidR="00207D6C" w:rsidRDefault="00EB2E64" w:rsidP="00207D6C">
            <w:pPr>
              <w:rPr>
                <w:b/>
              </w:rPr>
            </w:pPr>
            <w:r>
              <w:rPr>
                <w:b/>
                <w:noProof/>
              </w:rPr>
              <mc:AlternateContent>
                <mc:Choice Requires="wps">
                  <w:drawing>
                    <wp:anchor distT="0" distB="0" distL="114300" distR="114300" simplePos="0" relativeHeight="251667456" behindDoc="0" locked="0" layoutInCell="1" allowOverlap="1" wp14:anchorId="664172E6" wp14:editId="588BA093">
                      <wp:simplePos x="0" y="0"/>
                      <wp:positionH relativeFrom="column">
                        <wp:posOffset>-553085</wp:posOffset>
                      </wp:positionH>
                      <wp:positionV relativeFrom="paragraph">
                        <wp:posOffset>12065</wp:posOffset>
                      </wp:positionV>
                      <wp:extent cx="1391285" cy="140335"/>
                      <wp:effectExtent l="0" t="0" r="0" b="0"/>
                      <wp:wrapNone/>
                      <wp:docPr id="140534099" name="Rectangle 1"/>
                      <wp:cNvGraphicFramePr/>
                      <a:graphic xmlns:a="http://schemas.openxmlformats.org/drawingml/2006/main">
                        <a:graphicData uri="http://schemas.microsoft.com/office/word/2010/wordprocessingShape">
                          <wps:wsp>
                            <wps:cNvSpPr/>
                            <wps:spPr>
                              <a:xfrm>
                                <a:off x="0" y="0"/>
                                <a:ext cx="1391285" cy="140335"/>
                              </a:xfrm>
                              <a:prstGeom prst="rect">
                                <a:avLst/>
                              </a:prstGeom>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4EAB509" id="Rectangle 1" o:spid="_x0000_s1026" style="position:absolute;margin-left:-43.55pt;margin-top:.95pt;width:109.55pt;height:11.0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" fillcolor="#5b9bd5 [3204]" stroked="f" strokeweight="1pt"/>
                  </w:pict>
                </mc:Fallback>
              </mc:AlternateContent>
            </w:r>
          </w:p>
        </w:tc>
        <w:tc>
          <w:tcPr>
            <w:tcW w:w="1440" w:type="dxa"/>
            <w:vAlign w:val="center"/>
          </w:tcPr>
          <w:p w14:paraId="3E2B6998" w14:textId="77777777" w:rsidR="00207D6C" w:rsidRDefault="00207D6C" w:rsidP="00207D6C">
            <w:pPr>
              <w:rPr>
                <w:b/>
              </w:rPr>
            </w:pPr>
          </w:p>
        </w:tc>
        <w:tc>
          <w:tcPr>
            <w:tcW w:w="1440" w:type="dxa"/>
            <w:vAlign w:val="center"/>
          </w:tcPr>
          <w:p w14:paraId="227ECA55" w14:textId="77777777" w:rsidR="00207D6C" w:rsidRDefault="00207D6C" w:rsidP="00207D6C">
            <w:pPr>
              <w:rPr>
                <w:b/>
              </w:rPr>
            </w:pPr>
          </w:p>
        </w:tc>
      </w:tr>
      <w:tr w:rsidR="00207D6C" w14:paraId="1D35F6A9" w14:textId="77777777" w:rsidTr="00207D6C">
        <w:trPr>
          <w:trHeight w:val="537"/>
        </w:trPr>
        <w:tc>
          <w:tcPr>
            <w:tcW w:w="3595" w:type="dxa"/>
            <w:vAlign w:val="center"/>
          </w:tcPr>
          <w:p w14:paraId="6909063C" w14:textId="4A6B6C96" w:rsidR="00207D6C" w:rsidRDefault="00207D6C" w:rsidP="00207D6C">
            <w:pPr>
              <w:rPr>
                <w:b/>
              </w:rPr>
            </w:pPr>
            <w:r>
              <w:rPr>
                <w:b/>
              </w:rPr>
              <w:t>Survey design</w:t>
            </w:r>
          </w:p>
        </w:tc>
        <w:tc>
          <w:tcPr>
            <w:tcW w:w="1440" w:type="dxa"/>
            <w:vAlign w:val="center"/>
          </w:tcPr>
          <w:p w14:paraId="770954C4" w14:textId="631B063A" w:rsidR="00207D6C" w:rsidRDefault="00207D6C" w:rsidP="00207D6C">
            <w:pPr>
              <w:rPr>
                <w:b/>
              </w:rPr>
            </w:pPr>
          </w:p>
        </w:tc>
        <w:tc>
          <w:tcPr>
            <w:tcW w:w="1440" w:type="dxa"/>
            <w:vAlign w:val="center"/>
          </w:tcPr>
          <w:p w14:paraId="1A412CFA" w14:textId="2775794E" w:rsidR="00207D6C" w:rsidRDefault="00207D6C" w:rsidP="00207D6C">
            <w:pPr>
              <w:rPr>
                <w:b/>
              </w:rPr>
            </w:pPr>
          </w:p>
        </w:tc>
        <w:tc>
          <w:tcPr>
            <w:tcW w:w="1440" w:type="dxa"/>
            <w:vAlign w:val="center"/>
          </w:tcPr>
          <w:p w14:paraId="51672BFD" w14:textId="795BC8F8" w:rsidR="00207D6C" w:rsidRDefault="00EB2E64" w:rsidP="00207D6C">
            <w:pPr>
              <w:rPr>
                <w:b/>
              </w:rPr>
            </w:pPr>
            <w:r>
              <w:rPr>
                <w:b/>
                <w:noProof/>
              </w:rPr>
              <mc:AlternateContent>
                <mc:Choice Requires="wps">
                  <w:drawing>
                    <wp:anchor distT="0" distB="0" distL="114300" distR="114300" simplePos="0" relativeHeight="251665408" behindDoc="0" locked="0" layoutInCell="1" allowOverlap="1" wp14:anchorId="71CDF9C2" wp14:editId="3297B4B0">
                      <wp:simplePos x="0" y="0"/>
                      <wp:positionH relativeFrom="column">
                        <wp:posOffset>354330</wp:posOffset>
                      </wp:positionH>
                      <wp:positionV relativeFrom="paragraph">
                        <wp:posOffset>28575</wp:posOffset>
                      </wp:positionV>
                      <wp:extent cx="712470" cy="140335"/>
                      <wp:effectExtent l="0" t="0" r="0" b="0"/>
                      <wp:wrapNone/>
                      <wp:docPr id="500179980" name="Rectangle 1"/>
                      <wp:cNvGraphicFramePr/>
                      <a:graphic xmlns:a="http://schemas.openxmlformats.org/drawingml/2006/main">
                        <a:graphicData uri="http://schemas.microsoft.com/office/word/2010/wordprocessingShape">
                          <wps:wsp>
                            <wps:cNvSpPr/>
                            <wps:spPr>
                              <a:xfrm>
                                <a:off x="0" y="0"/>
                                <a:ext cx="712470" cy="140335"/>
                              </a:xfrm>
                              <a:prstGeom prst="rect">
                                <a:avLst/>
                              </a:prstGeom>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DE4BEA2" id="Rectangle 1" o:spid="_x0000_s1026" style="position:absolute;margin-left:27.9pt;margin-top:2.25pt;width:56.1pt;height:11.0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" fillcolor="#5b9bd5 [3204]" stroked="f" strokeweight="1pt"/>
                  </w:pict>
                </mc:Fallback>
              </mc:AlternateContent>
            </w:r>
          </w:p>
        </w:tc>
        <w:tc>
          <w:tcPr>
            <w:tcW w:w="1440" w:type="dxa"/>
            <w:vAlign w:val="center"/>
          </w:tcPr>
          <w:p w14:paraId="7E0F7973" w14:textId="12DA54E6" w:rsidR="00207D6C" w:rsidRDefault="00207D6C" w:rsidP="00207D6C">
            <w:pPr>
              <w:rPr>
                <w:b/>
              </w:rPr>
            </w:pPr>
          </w:p>
        </w:tc>
        <w:tc>
          <w:tcPr>
            <w:tcW w:w="1440" w:type="dxa"/>
            <w:vAlign w:val="center"/>
          </w:tcPr>
          <w:p w14:paraId="32B32A3D" w14:textId="77777777" w:rsidR="00207D6C" w:rsidRDefault="00207D6C" w:rsidP="00207D6C">
            <w:pPr>
              <w:rPr>
                <w:b/>
              </w:rPr>
            </w:pPr>
          </w:p>
        </w:tc>
        <w:tc>
          <w:tcPr>
            <w:tcW w:w="1440" w:type="dxa"/>
            <w:vAlign w:val="center"/>
          </w:tcPr>
          <w:p w14:paraId="1E682A92" w14:textId="77777777" w:rsidR="00207D6C" w:rsidRDefault="00207D6C" w:rsidP="00207D6C">
            <w:pPr>
              <w:rPr>
                <w:b/>
              </w:rPr>
            </w:pPr>
          </w:p>
        </w:tc>
      </w:tr>
      <w:tr w:rsidR="00207D6C" w14:paraId="7D650456" w14:textId="77777777" w:rsidTr="00207D6C">
        <w:trPr>
          <w:trHeight w:val="537"/>
        </w:trPr>
        <w:tc>
          <w:tcPr>
            <w:tcW w:w="3595" w:type="dxa"/>
            <w:vAlign w:val="center"/>
          </w:tcPr>
          <w:p w14:paraId="3A448025" w14:textId="12BA440B" w:rsidR="00207D6C" w:rsidRDefault="00207D6C" w:rsidP="00207D6C">
            <w:pPr>
              <w:rPr>
                <w:b/>
              </w:rPr>
            </w:pPr>
            <w:r>
              <w:rPr>
                <w:b/>
              </w:rPr>
              <w:t>Survey distribution</w:t>
            </w:r>
          </w:p>
        </w:tc>
        <w:tc>
          <w:tcPr>
            <w:tcW w:w="1440" w:type="dxa"/>
            <w:vAlign w:val="center"/>
          </w:tcPr>
          <w:p w14:paraId="4A61CDF9" w14:textId="6ECF3BA5" w:rsidR="00207D6C" w:rsidRDefault="00207D6C" w:rsidP="00207D6C">
            <w:pPr>
              <w:rPr>
                <w:b/>
              </w:rPr>
            </w:pPr>
          </w:p>
        </w:tc>
        <w:tc>
          <w:tcPr>
            <w:tcW w:w="1440" w:type="dxa"/>
            <w:vAlign w:val="center"/>
          </w:tcPr>
          <w:p w14:paraId="70F4E19B" w14:textId="30F0E187" w:rsidR="00207D6C" w:rsidRDefault="00207D6C" w:rsidP="00207D6C">
            <w:pPr>
              <w:rPr>
                <w:b/>
              </w:rPr>
            </w:pPr>
          </w:p>
        </w:tc>
        <w:tc>
          <w:tcPr>
            <w:tcW w:w="1440" w:type="dxa"/>
            <w:vAlign w:val="center"/>
          </w:tcPr>
          <w:p w14:paraId="7D7FF329" w14:textId="07D12D5C" w:rsidR="00207D6C" w:rsidRDefault="00207D6C" w:rsidP="00207D6C">
            <w:pPr>
              <w:rPr>
                <w:b/>
              </w:rPr>
            </w:pPr>
          </w:p>
        </w:tc>
        <w:tc>
          <w:tcPr>
            <w:tcW w:w="1440" w:type="dxa"/>
            <w:vAlign w:val="center"/>
          </w:tcPr>
          <w:p w14:paraId="30A075D7" w14:textId="4AFC08ED" w:rsidR="00207D6C" w:rsidRDefault="00EB2E64" w:rsidP="00207D6C">
            <w:pPr>
              <w:rPr>
                <w:b/>
              </w:rPr>
            </w:pPr>
            <w:r>
              <w:rPr>
                <w:b/>
                <w:noProof/>
              </w:rPr>
              <mc:AlternateContent>
                <mc:Choice Requires="wps">
                  <w:drawing>
                    <wp:anchor distT="0" distB="0" distL="114300" distR="114300" simplePos="0" relativeHeight="251663360" behindDoc="0" locked="0" layoutInCell="1" allowOverlap="1" wp14:anchorId="5D668946" wp14:editId="3B23A110">
                      <wp:simplePos x="0" y="0"/>
                      <wp:positionH relativeFrom="column">
                        <wp:posOffset>138430</wp:posOffset>
                      </wp:positionH>
                      <wp:positionV relativeFrom="paragraph">
                        <wp:posOffset>26035</wp:posOffset>
                      </wp:positionV>
                      <wp:extent cx="1617345" cy="137160"/>
                      <wp:effectExtent l="0" t="0" r="1905" b="0"/>
                      <wp:wrapNone/>
                      <wp:docPr id="60798462" name="Rectangle 1"/>
                      <wp:cNvGraphicFramePr/>
                      <a:graphic xmlns:a="http://schemas.openxmlformats.org/drawingml/2006/main">
                        <a:graphicData uri="http://schemas.microsoft.com/office/word/2010/wordprocessingShape">
                          <wps:wsp>
                            <wps:cNvSpPr/>
                            <wps:spPr>
                              <a:xfrm>
                                <a:off x="0" y="0"/>
                                <a:ext cx="1617345" cy="137160"/>
                              </a:xfrm>
                              <a:prstGeom prst="rect">
                                <a:avLst/>
                              </a:prstGeom>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E44AF1" id="Rectangle 1" o:spid="_x0000_s1026" style="position:absolute;margin-left:10.9pt;margin-top:2.05pt;width:127.35pt;height:10.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" fillcolor="#5b9bd5 [3204]" stroked="f" strokeweight="1pt"/>
                  </w:pict>
                </mc:Fallback>
              </mc:AlternateContent>
            </w:r>
          </w:p>
        </w:tc>
        <w:tc>
          <w:tcPr>
            <w:tcW w:w="1440" w:type="dxa"/>
            <w:vAlign w:val="center"/>
          </w:tcPr>
          <w:p w14:paraId="16D57C05" w14:textId="77777777" w:rsidR="00207D6C" w:rsidRDefault="00207D6C" w:rsidP="00207D6C">
            <w:pPr>
              <w:rPr>
                <w:b/>
              </w:rPr>
            </w:pPr>
          </w:p>
        </w:tc>
        <w:tc>
          <w:tcPr>
            <w:tcW w:w="1440" w:type="dxa"/>
            <w:vAlign w:val="center"/>
          </w:tcPr>
          <w:p w14:paraId="1703872A" w14:textId="77777777" w:rsidR="00207D6C" w:rsidRDefault="00207D6C" w:rsidP="00207D6C">
            <w:pPr>
              <w:rPr>
                <w:b/>
              </w:rPr>
            </w:pPr>
          </w:p>
        </w:tc>
      </w:tr>
      <w:tr w:rsidR="00207D6C" w14:paraId="3F9EE12D" w14:textId="77777777" w:rsidTr="00207D6C">
        <w:trPr>
          <w:trHeight w:val="537"/>
        </w:trPr>
        <w:tc>
          <w:tcPr>
            <w:tcW w:w="3595" w:type="dxa"/>
            <w:vAlign w:val="center"/>
          </w:tcPr>
          <w:p w14:paraId="27644C48" w14:textId="1A981093" w:rsidR="00207D6C" w:rsidRDefault="00207D6C" w:rsidP="00207D6C">
            <w:pPr>
              <w:rPr>
                <w:b/>
              </w:rPr>
            </w:pPr>
            <w:r>
              <w:rPr>
                <w:b/>
              </w:rPr>
              <w:t>Findings and analysis</w:t>
            </w:r>
          </w:p>
        </w:tc>
        <w:tc>
          <w:tcPr>
            <w:tcW w:w="1440" w:type="dxa"/>
            <w:vAlign w:val="center"/>
          </w:tcPr>
          <w:p w14:paraId="7F1A7079" w14:textId="53FC7A6A" w:rsidR="00207D6C" w:rsidRDefault="00207D6C" w:rsidP="00207D6C">
            <w:pPr>
              <w:rPr>
                <w:b/>
              </w:rPr>
            </w:pPr>
          </w:p>
        </w:tc>
        <w:tc>
          <w:tcPr>
            <w:tcW w:w="1440" w:type="dxa"/>
            <w:vAlign w:val="center"/>
          </w:tcPr>
          <w:p w14:paraId="4DCF3581" w14:textId="3A862B44" w:rsidR="00207D6C" w:rsidRDefault="00207D6C" w:rsidP="00207D6C">
            <w:pPr>
              <w:rPr>
                <w:b/>
              </w:rPr>
            </w:pPr>
          </w:p>
        </w:tc>
        <w:tc>
          <w:tcPr>
            <w:tcW w:w="1440" w:type="dxa"/>
            <w:vAlign w:val="center"/>
          </w:tcPr>
          <w:p w14:paraId="21447D6B" w14:textId="77777777" w:rsidR="00207D6C" w:rsidRDefault="00207D6C" w:rsidP="00207D6C">
            <w:pPr>
              <w:rPr>
                <w:b/>
              </w:rPr>
            </w:pPr>
          </w:p>
        </w:tc>
        <w:tc>
          <w:tcPr>
            <w:tcW w:w="1440" w:type="dxa"/>
            <w:vAlign w:val="center"/>
          </w:tcPr>
          <w:p w14:paraId="5B8C2665" w14:textId="77777777" w:rsidR="00207D6C" w:rsidRDefault="00207D6C" w:rsidP="00207D6C">
            <w:pPr>
              <w:rPr>
                <w:b/>
              </w:rPr>
            </w:pPr>
          </w:p>
        </w:tc>
        <w:tc>
          <w:tcPr>
            <w:tcW w:w="1440" w:type="dxa"/>
            <w:vAlign w:val="center"/>
          </w:tcPr>
          <w:p w14:paraId="2AA9D732" w14:textId="659CE66E" w:rsidR="00207D6C" w:rsidRDefault="00207D6C" w:rsidP="00207D6C">
            <w:pPr>
              <w:rPr>
                <w:b/>
              </w:rPr>
            </w:pPr>
          </w:p>
        </w:tc>
        <w:tc>
          <w:tcPr>
            <w:tcW w:w="1440" w:type="dxa"/>
            <w:vAlign w:val="center"/>
          </w:tcPr>
          <w:p w14:paraId="50B15F39" w14:textId="79307108" w:rsidR="00207D6C" w:rsidRDefault="00EB2E64" w:rsidP="00207D6C">
            <w:pPr>
              <w:rPr>
                <w:b/>
              </w:rPr>
            </w:pPr>
            <w:r>
              <w:rPr>
                <w:b/>
                <w:noProof/>
              </w:rPr>
              <mc:AlternateContent>
                <mc:Choice Requires="wps">
                  <w:drawing>
                    <wp:anchor distT="0" distB="0" distL="114300" distR="114300" simplePos="0" relativeHeight="251671552" behindDoc="0" locked="0" layoutInCell="1" allowOverlap="1" wp14:anchorId="247E2A3E" wp14:editId="0E4C1763">
                      <wp:simplePos x="0" y="0"/>
                      <wp:positionH relativeFrom="column">
                        <wp:posOffset>-70485</wp:posOffset>
                      </wp:positionH>
                      <wp:positionV relativeFrom="paragraph">
                        <wp:posOffset>17145</wp:posOffset>
                      </wp:positionV>
                      <wp:extent cx="426720" cy="140335"/>
                      <wp:effectExtent l="0" t="0" r="0" b="0"/>
                      <wp:wrapNone/>
                      <wp:docPr id="1920816073" name="Rectangle 1"/>
                      <wp:cNvGraphicFramePr/>
                      <a:graphic xmlns:a="http://schemas.openxmlformats.org/drawingml/2006/main">
                        <a:graphicData uri="http://schemas.microsoft.com/office/word/2010/wordprocessingShape">
                          <wps:wsp>
                            <wps:cNvSpPr/>
                            <wps:spPr>
                              <a:xfrm>
                                <a:off x="0" y="0"/>
                                <a:ext cx="426720" cy="140335"/>
                              </a:xfrm>
                              <a:prstGeom prst="rect">
                                <a:avLst/>
                              </a:prstGeom>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545BE87" id="Rectangle 1" o:spid="_x0000_s1026" style="position:absolute;margin-left:-5.55pt;margin-top:1.35pt;width:33.6pt;height:11.0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" fillcolor="#5b9bd5 [3204]" stroked="f" strokeweight="1pt"/>
                  </w:pict>
                </mc:Fallback>
              </mc:AlternateContent>
            </w:r>
          </w:p>
        </w:tc>
      </w:tr>
      <w:tr w:rsidR="00207D6C" w14:paraId="5C72B351" w14:textId="77777777" w:rsidTr="00207D6C">
        <w:trPr>
          <w:trHeight w:val="537"/>
        </w:trPr>
        <w:tc>
          <w:tcPr>
            <w:tcW w:w="3595" w:type="dxa"/>
            <w:vAlign w:val="center"/>
          </w:tcPr>
          <w:p w14:paraId="44D4D93B" w14:textId="284579FE" w:rsidR="00207D6C" w:rsidRDefault="00207D6C" w:rsidP="00207D6C">
            <w:pPr>
              <w:rPr>
                <w:b/>
              </w:rPr>
            </w:pPr>
            <w:r>
              <w:rPr>
                <w:b/>
              </w:rPr>
              <w:t>Discussion and conclusion</w:t>
            </w:r>
          </w:p>
        </w:tc>
        <w:tc>
          <w:tcPr>
            <w:tcW w:w="1440" w:type="dxa"/>
            <w:vAlign w:val="center"/>
          </w:tcPr>
          <w:p w14:paraId="349E7DA8" w14:textId="04C6E5A4" w:rsidR="00207D6C" w:rsidRDefault="00207D6C" w:rsidP="00207D6C">
            <w:pPr>
              <w:rPr>
                <w:b/>
              </w:rPr>
            </w:pPr>
          </w:p>
        </w:tc>
        <w:tc>
          <w:tcPr>
            <w:tcW w:w="1440" w:type="dxa"/>
            <w:vAlign w:val="center"/>
          </w:tcPr>
          <w:p w14:paraId="3F476BF9" w14:textId="0CBA35FE" w:rsidR="00207D6C" w:rsidRDefault="00207D6C" w:rsidP="00207D6C">
            <w:pPr>
              <w:rPr>
                <w:b/>
              </w:rPr>
            </w:pPr>
          </w:p>
        </w:tc>
        <w:tc>
          <w:tcPr>
            <w:tcW w:w="1440" w:type="dxa"/>
            <w:vAlign w:val="center"/>
          </w:tcPr>
          <w:p w14:paraId="32061669" w14:textId="77777777" w:rsidR="00207D6C" w:rsidRDefault="00207D6C" w:rsidP="00207D6C">
            <w:pPr>
              <w:rPr>
                <w:b/>
              </w:rPr>
            </w:pPr>
          </w:p>
        </w:tc>
        <w:tc>
          <w:tcPr>
            <w:tcW w:w="1440" w:type="dxa"/>
            <w:vAlign w:val="center"/>
          </w:tcPr>
          <w:p w14:paraId="2E9683A7" w14:textId="353E913A" w:rsidR="00207D6C" w:rsidRDefault="00207D6C" w:rsidP="00207D6C">
            <w:pPr>
              <w:rPr>
                <w:b/>
              </w:rPr>
            </w:pPr>
          </w:p>
        </w:tc>
        <w:tc>
          <w:tcPr>
            <w:tcW w:w="1440" w:type="dxa"/>
            <w:vAlign w:val="center"/>
          </w:tcPr>
          <w:p w14:paraId="5F455869" w14:textId="78959CFB" w:rsidR="00207D6C" w:rsidRDefault="00207D6C" w:rsidP="00207D6C">
            <w:pPr>
              <w:rPr>
                <w:b/>
              </w:rPr>
            </w:pPr>
          </w:p>
        </w:tc>
        <w:tc>
          <w:tcPr>
            <w:tcW w:w="1440" w:type="dxa"/>
            <w:vAlign w:val="center"/>
          </w:tcPr>
          <w:p w14:paraId="025D9D93" w14:textId="7723567A" w:rsidR="00207D6C" w:rsidRDefault="00EB2E64" w:rsidP="00207D6C">
            <w:pPr>
              <w:rPr>
                <w:b/>
              </w:rPr>
            </w:pPr>
            <w:r>
              <w:rPr>
                <w:b/>
                <w:noProof/>
              </w:rPr>
              <mc:AlternateContent>
                <mc:Choice Requires="wps">
                  <w:drawing>
                    <wp:anchor distT="0" distB="0" distL="114300" distR="114300" simplePos="0" relativeHeight="251673600" behindDoc="0" locked="0" layoutInCell="1" allowOverlap="1" wp14:anchorId="2F58065B" wp14:editId="19A4BED9">
                      <wp:simplePos x="0" y="0"/>
                      <wp:positionH relativeFrom="column">
                        <wp:posOffset>406400</wp:posOffset>
                      </wp:positionH>
                      <wp:positionV relativeFrom="paragraph">
                        <wp:posOffset>19685</wp:posOffset>
                      </wp:positionV>
                      <wp:extent cx="426720" cy="140335"/>
                      <wp:effectExtent l="0" t="0" r="0" b="0"/>
                      <wp:wrapNone/>
                      <wp:docPr id="1793529042" name="Rectangle 1"/>
                      <wp:cNvGraphicFramePr/>
                      <a:graphic xmlns:a="http://schemas.openxmlformats.org/drawingml/2006/main">
                        <a:graphicData uri="http://schemas.microsoft.com/office/word/2010/wordprocessingShape">
                          <wps:wsp>
                            <wps:cNvSpPr/>
                            <wps:spPr>
                              <a:xfrm>
                                <a:off x="0" y="0"/>
                                <a:ext cx="426720" cy="140335"/>
                              </a:xfrm>
                              <a:prstGeom prst="rect">
                                <a:avLst/>
                              </a:prstGeom>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1B0F431" id="Rectangle 1" o:spid="_x0000_s1026" style="position:absolute;margin-left:32pt;margin-top:1.55pt;width:33.6pt;height:11.0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" fillcolor="#5b9bd5 [3204]" stroked="f" strokeweight="1pt"/>
                  </w:pict>
                </mc:Fallback>
              </mc:AlternateContent>
            </w:r>
          </w:p>
        </w:tc>
      </w:tr>
    </w:tbl>
    <w:p w14:paraId="1A5AAC63" w14:textId="163E828F" w:rsidR="00EB2E64" w:rsidRDefault="00EB2E64">
      <w:pPr>
        <w:rPr>
          <w:b/>
        </w:rPr>
      </w:pPr>
    </w:p>
    <w:p w14:paraId="644281AC" w14:textId="5A82BB6C" w:rsidR="00EB2E64" w:rsidRDefault="00EB2E64">
      <w:pPr>
        <w:rPr>
          <w:b/>
        </w:rPr>
      </w:pPr>
    </w:p>
    <w:p w14:paraId="04956434" w14:textId="4F89A6C8" w:rsidR="00EB2E64" w:rsidRDefault="00EB2E64">
      <w:pPr>
        <w:rPr>
          <w:b/>
        </w:rPr>
      </w:pPr>
    </w:p>
    <w:p w14:paraId="7D62E62D" w14:textId="77777777" w:rsidR="00EB2E64" w:rsidRDefault="00EB2E64">
      <w:pPr>
        <w:rPr>
          <w:b/>
        </w:rPr>
      </w:pPr>
    </w:p>
    <w:p w14:paraId="3EDB8639" w14:textId="7231D91B" w:rsidR="00064FEC" w:rsidRDefault="00064FEC">
      <w:pPr>
        <w:rPr>
          <w:b/>
        </w:rPr>
      </w:pPr>
      <w:r>
        <w:rPr>
          <w:b/>
        </w:rPr>
        <w:br w:type="page"/>
      </w:r>
    </w:p>
    <w:p w14:paraId="65EC9343" w14:textId="01740E32" w:rsidR="00064FEC" w:rsidRDefault="00064FEC">
      <w:pPr>
        <w:rPr>
          <w:b/>
        </w:rPr>
        <w:sectPr w:rsidR="00064FEC" w:rsidSect="00064FEC">
          <w:pgSz w:w="16838" w:h="11906" w:orient="landscape"/>
          <w:pgMar w:top="1440" w:right="1440" w:bottom="1440" w:left="1440" w:header="706" w:footer="706" w:gutter="0"/>
          <w:cols w:space="708"/>
          <w:docGrid w:linePitch="360"/>
        </w:sectPr>
      </w:pPr>
    </w:p>
    <w:p w14:paraId="33080BF5" w14:textId="4E8CFE0E" w:rsidR="005C5580" w:rsidRDefault="00DF4F3A" w:rsidP="00DF4F3A">
      <w:pPr>
        <w:pStyle w:val="Heading2"/>
      </w:pPr>
      <w:r>
        <w:lastRenderedPageBreak/>
        <w:t>References</w:t>
      </w:r>
    </w:p>
    <w:p w14:paraId="6EEEA051" w14:textId="77777777" w:rsidR="00DF4F3A" w:rsidRDefault="00DF4F3A" w:rsidP="005C5580">
      <w:pPr>
        <w:rPr>
          <w:b/>
        </w:rPr>
      </w:pPr>
    </w:p>
    <w:p w14:paraId="3F365105" w14:textId="640195EB" w:rsidR="006A39D6" w:rsidRDefault="006A39D6" w:rsidP="00DF4F3A">
      <w:r>
        <w:t xml:space="preserve">Biggam, J. 2015. </w:t>
      </w:r>
      <w:r>
        <w:rPr>
          <w:i/>
          <w:iCs/>
        </w:rPr>
        <w:t xml:space="preserve">Succeeding with your Master’s Dissertation: A step-by-step handbook. </w:t>
      </w:r>
      <w:r>
        <w:t>3</w:t>
      </w:r>
      <w:r w:rsidRPr="00AC0283">
        <w:rPr>
          <w:vertAlign w:val="superscript"/>
        </w:rPr>
        <w:t>rd</w:t>
      </w:r>
      <w:r>
        <w:t xml:space="preserve"> ed. [Kindle e-book]. Berkshire, UK: Open University Press.</w:t>
      </w:r>
    </w:p>
    <w:p w14:paraId="0120B9C2" w14:textId="70D1E475" w:rsidR="005E3FF2" w:rsidRDefault="005E3FF2" w:rsidP="00DF4F3A">
      <w:r>
        <w:t xml:space="preserve">Creswell, J.W. and Creswell J.D. 2018. </w:t>
      </w:r>
      <w:r>
        <w:rPr>
          <w:i/>
          <w:iCs/>
        </w:rPr>
        <w:t xml:space="preserve">Research Design: Qualitative, Quantitative and Mixed Methods Approaches. </w:t>
      </w:r>
      <w:r>
        <w:t>5</w:t>
      </w:r>
      <w:r w:rsidRPr="004E70CA">
        <w:rPr>
          <w:vertAlign w:val="superscript"/>
        </w:rPr>
        <w:t>th</w:t>
      </w:r>
      <w:r>
        <w:t xml:space="preserve"> ed. [Kindle e-book]. Los Angeles: SAGE Publications Ltd.</w:t>
      </w:r>
    </w:p>
    <w:p w14:paraId="087D589E" w14:textId="69230FC4" w:rsidR="000F5903" w:rsidRDefault="000F5903" w:rsidP="00DF4F3A">
      <w:r>
        <w:t xml:space="preserve">Dupont, V., Pietrzak, D. and Verbrugge, B. 2024. A step in the right direction, or more of the same? A systematic review of the impact of human rights due diligence legislation. </w:t>
      </w:r>
      <w:r>
        <w:rPr>
          <w:i/>
          <w:iCs/>
        </w:rPr>
        <w:t xml:space="preserve">Human Rights Review. </w:t>
      </w:r>
      <w:r>
        <w:t>[Online].</w:t>
      </w:r>
      <w:r>
        <w:rPr>
          <w:i/>
          <w:iCs/>
        </w:rPr>
        <w:t xml:space="preserve"> </w:t>
      </w:r>
      <w:r w:rsidRPr="00652B5C">
        <w:rPr>
          <w:b/>
          <w:bCs/>
        </w:rPr>
        <w:t>25</w:t>
      </w:r>
      <w:r>
        <w:rPr>
          <w:b/>
          <w:bCs/>
        </w:rPr>
        <w:t xml:space="preserve">, </w:t>
      </w:r>
      <w:r w:rsidRPr="000F5E62">
        <w:t>pp.</w:t>
      </w:r>
      <w:r>
        <w:t xml:space="preserve"> 131-154. [Accessed </w:t>
      </w:r>
      <w:r w:rsidR="006169EF">
        <w:t xml:space="preserve">3 </w:t>
      </w:r>
      <w:r w:rsidR="0049674C">
        <w:t>May</w:t>
      </w:r>
      <w:r>
        <w:t xml:space="preserve"> 2024]. Available from: </w:t>
      </w:r>
      <w:hyperlink r:id="rId7" w:history="1">
        <w:r w:rsidRPr="00A57204">
          <w:rPr>
            <w:rStyle w:val="Hyperlink"/>
          </w:rPr>
          <w:t>https://doi.org/10.1007/s12142-024-00724-9</w:t>
        </w:r>
      </w:hyperlink>
    </w:p>
    <w:p w14:paraId="035E97B6" w14:textId="52991172" w:rsidR="00543642" w:rsidRDefault="00543642" w:rsidP="00DF4F3A">
      <w:r>
        <w:t xml:space="preserve">ECCJ. (2017) </w:t>
      </w:r>
      <w:r w:rsidRPr="000168B5">
        <w:rPr>
          <w:i/>
          <w:iCs/>
        </w:rPr>
        <w:t>A historic first step: France adopts corporate duty of vigilance law</w:t>
      </w:r>
      <w:r>
        <w:rPr>
          <w:i/>
          <w:iCs/>
        </w:rPr>
        <w:t xml:space="preserve">. </w:t>
      </w:r>
      <w:r>
        <w:t>[Online]. [Accessed 5</w:t>
      </w:r>
      <w:r w:rsidR="00C165FE">
        <w:t xml:space="preserve"> May</w:t>
      </w:r>
      <w:r>
        <w:t xml:space="preserve"> 2024]. </w:t>
      </w:r>
      <w:hyperlink r:id="rId8" w:history="1">
        <w:r w:rsidRPr="00A57204">
          <w:rPr>
            <w:rStyle w:val="Hyperlink"/>
          </w:rPr>
          <w:t>https://corporatejustice.org/news/a-historic-first-step-france-adopts-corporate-duty-of-vigilance-law/</w:t>
        </w:r>
      </w:hyperlink>
      <w:r>
        <w:t xml:space="preserve"> </w:t>
      </w:r>
    </w:p>
    <w:p w14:paraId="22E20035" w14:textId="5E9DF93C" w:rsidR="00610418" w:rsidRDefault="00610418" w:rsidP="00DF4F3A">
      <w:pPr>
        <w:rPr>
          <w:rStyle w:val="Hyperlink"/>
        </w:rPr>
      </w:pPr>
      <w:r>
        <w:t xml:space="preserve">Ekinci, Y. 2015. </w:t>
      </w:r>
      <w:r w:rsidRPr="00A71E4C">
        <w:rPr>
          <w:i/>
          <w:iCs/>
        </w:rPr>
        <w:t>Designing Research Questionnaires for Business and Management Students</w:t>
      </w:r>
      <w:r>
        <w:t xml:space="preserve">. [Online]. </w:t>
      </w:r>
      <w:r w:rsidRPr="00657F14">
        <w:t>London: SAGE Publications Ltd.</w:t>
      </w:r>
      <w:r>
        <w:t xml:space="preserve"> [Accessed 8 May 2024]. Available from: </w:t>
      </w:r>
      <w:hyperlink r:id="rId9" w:history="1">
        <w:r w:rsidRPr="0026622F">
          <w:rPr>
            <w:rStyle w:val="Hyperlink"/>
          </w:rPr>
          <w:t>https://doi.org/10.4135/9781473917415</w:t>
        </w:r>
      </w:hyperlink>
    </w:p>
    <w:p w14:paraId="203BC7CD" w14:textId="73BE4090" w:rsidR="00610418" w:rsidRDefault="00610418" w:rsidP="00DF4F3A">
      <w:r>
        <w:t xml:space="preserve">Fraenkel, J. R., Wallen, N. E. and Hyun, H. H. 2011. </w:t>
      </w:r>
      <w:r w:rsidRPr="00F73979">
        <w:rPr>
          <w:i/>
          <w:iCs/>
        </w:rPr>
        <w:t xml:space="preserve">How To Design </w:t>
      </w:r>
      <w:r>
        <w:rPr>
          <w:i/>
          <w:iCs/>
        </w:rPr>
        <w:t>a</w:t>
      </w:r>
      <w:r w:rsidRPr="00F73979">
        <w:rPr>
          <w:i/>
          <w:iCs/>
        </w:rPr>
        <w:t>nd Evaluate Research In Education</w:t>
      </w:r>
      <w:r>
        <w:t>. [Online]. 8</w:t>
      </w:r>
      <w:r w:rsidRPr="00F73979">
        <w:rPr>
          <w:vertAlign w:val="superscript"/>
        </w:rPr>
        <w:t>th</w:t>
      </w:r>
      <w:r>
        <w:t xml:space="preserve"> ed. Open Source. [Accessed 8 May 2024]. Available from: </w:t>
      </w:r>
      <w:hyperlink r:id="rId10" w:history="1">
        <w:r w:rsidRPr="0026622F">
          <w:rPr>
            <w:rStyle w:val="Hyperlink"/>
          </w:rPr>
          <w:t>https://archive.org/details/HowToDesignAndEvaluateResearchInEducation8thEd/page/n429/mode/2up</w:t>
        </w:r>
      </w:hyperlink>
    </w:p>
    <w:p w14:paraId="072867C4" w14:textId="06CDDE9E" w:rsidR="00543642" w:rsidRDefault="00543642" w:rsidP="00DF4F3A">
      <w:r>
        <w:t xml:space="preserve">Frey, S., Bar Am, J. Doshi, V., Malik, A and Noble, S. 2023. </w:t>
      </w:r>
      <w:r w:rsidRPr="00502BA9">
        <w:t>Consumers care about sustainability—and back it up with their wallets.</w:t>
      </w:r>
      <w:r>
        <w:rPr>
          <w:i/>
          <w:iCs/>
        </w:rPr>
        <w:t xml:space="preserve"> </w:t>
      </w:r>
      <w:r w:rsidRPr="00502BA9">
        <w:rPr>
          <w:i/>
          <w:iCs/>
        </w:rPr>
        <w:t>McKinsey &amp; Company.</w:t>
      </w:r>
      <w:r>
        <w:t xml:space="preserve"> [Online]. [Accessed 4 May 2024]. Available from: </w:t>
      </w:r>
      <w:hyperlink r:id="rId11" w:history="1">
        <w:r w:rsidRPr="00A57204">
          <w:rPr>
            <w:rStyle w:val="Hyperlink"/>
          </w:rPr>
          <w:t>https://www.mckinsey.com/industries/consumer-packaged-goods/our-insights/consumers-care-about-sustainability-and-back-it-up-with-their-wallets</w:t>
        </w:r>
      </w:hyperlink>
      <w:r>
        <w:t xml:space="preserve"> </w:t>
      </w:r>
    </w:p>
    <w:p w14:paraId="403CCE78" w14:textId="19D9E0EB" w:rsidR="00543642" w:rsidRDefault="00543642" w:rsidP="00DF4F3A">
      <w:r>
        <w:t xml:space="preserve">Gelb, J., McCarthy, R., Rehm, W. &amp; Voronin, A. (2023) </w:t>
      </w:r>
      <w:r w:rsidRPr="00502BA9">
        <w:t>Investors want to hear from companies about the value of sustainability.</w:t>
      </w:r>
      <w:r>
        <w:t xml:space="preserve"> </w:t>
      </w:r>
      <w:r w:rsidRPr="00502BA9">
        <w:rPr>
          <w:i/>
          <w:iCs/>
        </w:rPr>
        <w:t>McKinsey &amp; Company.</w:t>
      </w:r>
      <w:r>
        <w:rPr>
          <w:i/>
          <w:iCs/>
        </w:rPr>
        <w:t xml:space="preserve"> </w:t>
      </w:r>
      <w:r w:rsidRPr="00543642">
        <w:t>[Online].</w:t>
      </w:r>
      <w:r>
        <w:t xml:space="preserve"> [Accessed 5 May 2024]. Available from: </w:t>
      </w:r>
      <w:hyperlink r:id="rId12" w:history="1">
        <w:r w:rsidRPr="00B1277B">
          <w:rPr>
            <w:rStyle w:val="Hyperlink"/>
          </w:rPr>
          <w:t>https://www.mckinsey.com/capabilities/strategy-and-corporate-finance/our-insights/investors-want-to-hear-from-companies-about-the-value-of-sustainability</w:t>
        </w:r>
      </w:hyperlink>
      <w:r>
        <w:t xml:space="preserve"> </w:t>
      </w:r>
    </w:p>
    <w:p w14:paraId="07C7D850" w14:textId="0BC3EAE6" w:rsidR="00323B79" w:rsidRPr="00323B79" w:rsidRDefault="00323B79" w:rsidP="00DF4F3A">
      <w:pPr>
        <w:rPr>
          <w:rFonts w:cstheme="minorHAnsi"/>
          <w:shd w:val="clear" w:color="auto" w:fill="FFFFFF"/>
        </w:rPr>
      </w:pPr>
      <w:r>
        <w:rPr>
          <w:rFonts w:cstheme="minorHAnsi"/>
          <w:shd w:val="clear" w:color="auto" w:fill="FFFFFF"/>
        </w:rPr>
        <w:t xml:space="preserve">Hall, R. 2020. </w:t>
      </w:r>
      <w:r>
        <w:rPr>
          <w:rFonts w:cstheme="minorHAnsi"/>
          <w:i/>
          <w:iCs/>
          <w:shd w:val="clear" w:color="auto" w:fill="FFFFFF"/>
        </w:rPr>
        <w:t xml:space="preserve">Mixing Methods in Social Research. </w:t>
      </w:r>
      <w:r>
        <w:rPr>
          <w:rFonts w:cstheme="minorHAnsi"/>
          <w:shd w:val="clear" w:color="auto" w:fill="FFFFFF"/>
        </w:rPr>
        <w:t xml:space="preserve">[Kindle e-book]. </w:t>
      </w:r>
      <w:r>
        <w:t>Los Angeles: SAGE Publications Ltd.</w:t>
      </w:r>
    </w:p>
    <w:p w14:paraId="232523A6" w14:textId="0355A5D7" w:rsidR="00DF4F3A" w:rsidRPr="00DF3A5A" w:rsidRDefault="00DF4F3A" w:rsidP="00DF4F3A">
      <w:r>
        <w:t xml:space="preserve">Heasman, L. (2018). </w:t>
      </w:r>
      <w:r w:rsidRPr="00DF3A5A">
        <w:rPr>
          <w:i/>
          <w:iCs/>
        </w:rPr>
        <w:t>The Corporate Responsibility To Protect Human Rights: The Evolution From Voluntarism To Mandatory Human Rights Due Diligence</w:t>
      </w:r>
      <w:r>
        <w:rPr>
          <w:i/>
          <w:iCs/>
        </w:rPr>
        <w:t xml:space="preserve">. </w:t>
      </w:r>
      <w:r>
        <w:t>PhD Dissertation. University of Helsinki.</w:t>
      </w:r>
    </w:p>
    <w:p w14:paraId="5AA5B3AA" w14:textId="121AA3B8" w:rsidR="0033471B" w:rsidRDefault="0033471B" w:rsidP="000F5903">
      <w:pPr>
        <w:rPr>
          <w:rFonts w:cstheme="minorHAnsi"/>
          <w:shd w:val="clear" w:color="auto" w:fill="FFFFFF"/>
        </w:rPr>
      </w:pPr>
      <w:r>
        <w:rPr>
          <w:rFonts w:cstheme="minorHAnsi"/>
          <w:shd w:val="clear" w:color="auto" w:fill="FFFFFF"/>
        </w:rPr>
        <w:t xml:space="preserve">KnowTheChain. 2024. </w:t>
      </w:r>
      <w:r w:rsidRPr="00B53B10">
        <w:rPr>
          <w:rFonts w:cstheme="minorHAnsi"/>
          <w:i/>
          <w:iCs/>
          <w:shd w:val="clear" w:color="auto" w:fill="FFFFFF"/>
        </w:rPr>
        <w:t>2022-23 Benchmar</w:t>
      </w:r>
      <w:r>
        <w:rPr>
          <w:rFonts w:cstheme="minorHAnsi"/>
          <w:i/>
          <w:iCs/>
          <w:shd w:val="clear" w:color="auto" w:fill="FFFFFF"/>
        </w:rPr>
        <w:t xml:space="preserve">k. Ranking of Companies. </w:t>
      </w:r>
      <w:r>
        <w:rPr>
          <w:rFonts w:cstheme="minorHAnsi"/>
          <w:shd w:val="clear" w:color="auto" w:fill="FFFFFF"/>
        </w:rPr>
        <w:t xml:space="preserve">[Online]. [Accessed 6 May 2024]. Available from: </w:t>
      </w:r>
      <w:hyperlink r:id="rId13" w:history="1">
        <w:r w:rsidRPr="0026622F">
          <w:rPr>
            <w:rStyle w:val="Hyperlink"/>
            <w:rFonts w:cstheme="minorHAnsi"/>
            <w:shd w:val="clear" w:color="auto" w:fill="FFFFFF"/>
          </w:rPr>
          <w:t>https://knowthechain.org/benchmark/</w:t>
        </w:r>
      </w:hyperlink>
    </w:p>
    <w:p w14:paraId="2C29ECD2" w14:textId="189D03C1" w:rsidR="00A462A5" w:rsidRDefault="00A462A5" w:rsidP="000F5903">
      <w:r>
        <w:rPr>
          <w:rFonts w:cstheme="minorHAnsi"/>
          <w:shd w:val="clear" w:color="auto" w:fill="FFFFFF"/>
        </w:rPr>
        <w:t xml:space="preserve">Marsden, K. 2020. </w:t>
      </w:r>
      <w:r w:rsidRPr="003B1519">
        <w:rPr>
          <w:rFonts w:cstheme="minorHAnsi"/>
          <w:i/>
          <w:iCs/>
          <w:shd w:val="clear" w:color="auto" w:fill="FFFFFF"/>
        </w:rPr>
        <w:t>Doing Well by Doing Right? Exploring The Potentials and Limitations of a Business Case for Human Rights.</w:t>
      </w:r>
      <w:r>
        <w:rPr>
          <w:rFonts w:cstheme="minorHAnsi"/>
          <w:shd w:val="clear" w:color="auto" w:fill="FFFFFF"/>
        </w:rPr>
        <w:t xml:space="preserve"> [Online]. </w:t>
      </w:r>
      <w:r>
        <w:rPr>
          <w:rFonts w:cs="Locator Light"/>
          <w:color w:val="000000"/>
        </w:rPr>
        <w:t xml:space="preserve">Copenhagen: The Danish Institute for Human Rights. [Accessed 4 May 2024]. Available from: </w:t>
      </w:r>
      <w:hyperlink r:id="rId14" w:history="1">
        <w:r w:rsidRPr="0018328C">
          <w:rPr>
            <w:rStyle w:val="Hyperlink"/>
            <w:rFonts w:cs="Locator Light"/>
          </w:rPr>
          <w:t>https://www.humanrights.dk/files/media/document/Rapport_DoingWell_tilg%C3%A6ngelig.pdf</w:t>
        </w:r>
      </w:hyperlink>
    </w:p>
    <w:p w14:paraId="0B6A51E2" w14:textId="6D9C9C6D" w:rsidR="006169EF" w:rsidRDefault="006169EF" w:rsidP="000F5903">
      <w:pPr>
        <w:rPr>
          <w:rStyle w:val="Hyperlink"/>
        </w:rPr>
      </w:pPr>
      <w:r w:rsidRPr="0052022A">
        <w:t>McCorquodale, R</w:t>
      </w:r>
      <w:r>
        <w:t>., Smit, L., Neely, S. and Brooks, R.</w:t>
      </w:r>
      <w:r w:rsidRPr="0052022A">
        <w:t xml:space="preserve"> 2017</w:t>
      </w:r>
      <w:r>
        <w:t>.</w:t>
      </w:r>
      <w:r w:rsidRPr="0052022A">
        <w:t xml:space="preserve"> Human Rights Due Diligence in Law and Practice: Good Practices and Challenges for Business Enterprises</w:t>
      </w:r>
      <w:r>
        <w:t>.</w:t>
      </w:r>
      <w:r w:rsidRPr="0052022A">
        <w:t xml:space="preserve"> </w:t>
      </w:r>
      <w:r w:rsidRPr="009E310C">
        <w:rPr>
          <w:i/>
          <w:iCs/>
        </w:rPr>
        <w:t xml:space="preserve">Business and Human Rights </w:t>
      </w:r>
      <w:r w:rsidRPr="009E310C">
        <w:rPr>
          <w:i/>
          <w:iCs/>
        </w:rPr>
        <w:lastRenderedPageBreak/>
        <w:t>Journal</w:t>
      </w:r>
      <w:r>
        <w:t>. [Online].</w:t>
      </w:r>
      <w:r w:rsidRPr="0052022A">
        <w:t xml:space="preserve"> </w:t>
      </w:r>
      <w:r w:rsidRPr="00604620">
        <w:rPr>
          <w:b/>
          <w:bCs/>
        </w:rPr>
        <w:t>2</w:t>
      </w:r>
      <w:r w:rsidRPr="0052022A">
        <w:t>(2), pp. 195–224.</w:t>
      </w:r>
      <w:r>
        <w:t xml:space="preserve"> [Accessed 3 Ma</w:t>
      </w:r>
      <w:r w:rsidR="0049674C">
        <w:t>y</w:t>
      </w:r>
      <w:r>
        <w:t xml:space="preserve"> 2024]. Available from: </w:t>
      </w:r>
      <w:hyperlink r:id="rId15" w:history="1">
        <w:r w:rsidRPr="00A57204">
          <w:rPr>
            <w:rStyle w:val="Hyperlink"/>
          </w:rPr>
          <w:t>https://doi.org/10.1017/bhj.2017.2</w:t>
        </w:r>
      </w:hyperlink>
    </w:p>
    <w:p w14:paraId="3888D725" w14:textId="31F0BCC3" w:rsidR="0049674C" w:rsidRDefault="0049674C" w:rsidP="000F5903">
      <w:pPr>
        <w:rPr>
          <w:rFonts w:cstheme="minorHAnsi"/>
          <w:shd w:val="clear" w:color="auto" w:fill="FFFFFF"/>
        </w:rPr>
      </w:pPr>
      <w:r>
        <w:t xml:space="preserve">Ruvio, A., Morgeson, F.V. and Clobes, A. 2023. </w:t>
      </w:r>
      <w:r w:rsidRPr="009106D3">
        <w:t>What Do Your Customers Want in 2023?</w:t>
      </w:r>
      <w:r>
        <w:t xml:space="preserve"> </w:t>
      </w:r>
      <w:r w:rsidRPr="009106D3">
        <w:rPr>
          <w:i/>
          <w:iCs/>
        </w:rPr>
        <w:t>Harvard Business Review</w:t>
      </w:r>
      <w:r>
        <w:t>.</w:t>
      </w:r>
      <w:r w:rsidR="00543642">
        <w:t xml:space="preserve"> [Online]. 19 January. [Accessed 4 May 2024]. Available from:</w:t>
      </w:r>
      <w:r>
        <w:t xml:space="preserve"> </w:t>
      </w:r>
      <w:hyperlink r:id="rId16" w:anchor=":~:text=Prioritize%20value.&amp;text=Despite%20heightened%20price%20sensitivity%2C%20today's,help%20them%20reach%20their%20goals" w:history="1">
        <w:r w:rsidRPr="00B1277B">
          <w:rPr>
            <w:rStyle w:val="Hyperlink"/>
          </w:rPr>
          <w:t>https://hbr.org/2023/01/what-do-your-customers-want-in-2023#:~:text=Prioritize%20value.&amp;text=Despite%20heightened%20price%20sensitivity%2C%20today's,help%20them%20reach%20their%20goals</w:t>
        </w:r>
      </w:hyperlink>
    </w:p>
    <w:p w14:paraId="7AB8D22E" w14:textId="7604FDC8" w:rsidR="0049674C" w:rsidRDefault="0049674C" w:rsidP="000F5903">
      <w:pPr>
        <w:rPr>
          <w:rFonts w:cstheme="minorHAnsi"/>
          <w:shd w:val="clear" w:color="auto" w:fill="FFFFFF"/>
        </w:rPr>
      </w:pPr>
      <w:r>
        <w:rPr>
          <w:rFonts w:cstheme="minorHAnsi"/>
          <w:shd w:val="clear" w:color="auto" w:fill="FFFFFF"/>
        </w:rPr>
        <w:t xml:space="preserve">Shift. 2024. </w:t>
      </w:r>
      <w:r w:rsidRPr="007A056B">
        <w:rPr>
          <w:rFonts w:cstheme="minorHAnsi"/>
          <w:i/>
          <w:iCs/>
          <w:shd w:val="clear" w:color="auto" w:fill="FFFFFF"/>
        </w:rPr>
        <w:t>Human Rights Due Diligence: The State of Play in Europe</w:t>
      </w:r>
      <w:r>
        <w:rPr>
          <w:rFonts w:cstheme="minorHAnsi"/>
          <w:shd w:val="clear" w:color="auto" w:fill="FFFFFF"/>
        </w:rPr>
        <w:t xml:space="preserve">. [Online]. [Accessed 23 May 2024]. Available from: </w:t>
      </w:r>
      <w:hyperlink r:id="rId17" w:history="1">
        <w:r w:rsidRPr="00A57204">
          <w:rPr>
            <w:rStyle w:val="Hyperlink"/>
            <w:rFonts w:cstheme="minorHAnsi"/>
            <w:shd w:val="clear" w:color="auto" w:fill="FFFFFF"/>
          </w:rPr>
          <w:t>https://shiftproject.org/resource/mhrdd-europe-map/</w:t>
        </w:r>
      </w:hyperlink>
      <w:r>
        <w:rPr>
          <w:rFonts w:cstheme="minorHAnsi"/>
          <w:shd w:val="clear" w:color="auto" w:fill="FFFFFF"/>
        </w:rPr>
        <w:t xml:space="preserve"> </w:t>
      </w:r>
    </w:p>
    <w:p w14:paraId="797C82FB" w14:textId="691CA4AC" w:rsidR="00FF481C" w:rsidRDefault="00FF481C" w:rsidP="000F5903">
      <w:pPr>
        <w:rPr>
          <w:rFonts w:cstheme="minorHAnsi"/>
          <w:shd w:val="clear" w:color="auto" w:fill="FFFFFF"/>
        </w:rPr>
      </w:pPr>
      <w:r>
        <w:rPr>
          <w:rFonts w:cstheme="minorHAnsi"/>
          <w:shd w:val="clear" w:color="auto" w:fill="FFFFFF"/>
        </w:rPr>
        <w:t xml:space="preserve">Smit, L., Holly, G., McCorquodale, R. and Neely, S. 2020. </w:t>
      </w:r>
      <w:r w:rsidRPr="00E0235B">
        <w:rPr>
          <w:rFonts w:cstheme="minorHAnsi"/>
          <w:shd w:val="clear" w:color="auto" w:fill="FFFFFF"/>
        </w:rPr>
        <w:t>Human rights due diligence in global supply</w:t>
      </w:r>
      <w:r>
        <w:rPr>
          <w:rFonts w:cstheme="minorHAnsi"/>
          <w:shd w:val="clear" w:color="auto" w:fill="FFFFFF"/>
        </w:rPr>
        <w:t xml:space="preserve"> </w:t>
      </w:r>
      <w:r w:rsidRPr="00E0235B">
        <w:rPr>
          <w:rFonts w:cstheme="minorHAnsi"/>
          <w:shd w:val="clear" w:color="auto" w:fill="FFFFFF"/>
        </w:rPr>
        <w:t>chains: evidence of corporate practices to inform a</w:t>
      </w:r>
      <w:r>
        <w:rPr>
          <w:rFonts w:cstheme="minorHAnsi"/>
          <w:shd w:val="clear" w:color="auto" w:fill="FFFFFF"/>
        </w:rPr>
        <w:t xml:space="preserve"> </w:t>
      </w:r>
      <w:r w:rsidRPr="00E0235B">
        <w:rPr>
          <w:rFonts w:cstheme="minorHAnsi"/>
          <w:shd w:val="clear" w:color="auto" w:fill="FFFFFF"/>
        </w:rPr>
        <w:t>legal standard</w:t>
      </w:r>
      <w:r>
        <w:rPr>
          <w:rFonts w:cstheme="minorHAnsi"/>
          <w:shd w:val="clear" w:color="auto" w:fill="FFFFFF"/>
        </w:rPr>
        <w:t xml:space="preserve">. </w:t>
      </w:r>
      <w:r>
        <w:rPr>
          <w:rFonts w:cstheme="minorHAnsi"/>
          <w:i/>
          <w:iCs/>
          <w:shd w:val="clear" w:color="auto" w:fill="FFFFFF"/>
        </w:rPr>
        <w:t xml:space="preserve">The International Journal of Human Rights. </w:t>
      </w:r>
      <w:r>
        <w:rPr>
          <w:rFonts w:cstheme="minorHAnsi"/>
          <w:shd w:val="clear" w:color="auto" w:fill="FFFFFF"/>
        </w:rPr>
        <w:t>[Online].</w:t>
      </w:r>
      <w:r>
        <w:rPr>
          <w:rFonts w:cstheme="minorHAnsi"/>
          <w:i/>
          <w:iCs/>
          <w:shd w:val="clear" w:color="auto" w:fill="FFFFFF"/>
        </w:rPr>
        <w:t xml:space="preserve"> </w:t>
      </w:r>
      <w:r>
        <w:rPr>
          <w:rFonts w:cstheme="minorHAnsi"/>
          <w:b/>
          <w:bCs/>
          <w:shd w:val="clear" w:color="auto" w:fill="FFFFFF"/>
        </w:rPr>
        <w:t>25</w:t>
      </w:r>
      <w:r>
        <w:rPr>
          <w:rFonts w:cstheme="minorHAnsi"/>
          <w:shd w:val="clear" w:color="auto" w:fill="FFFFFF"/>
        </w:rPr>
        <w:t xml:space="preserve">(6), pp. 945-973. [Accessed 4 May 2024]. Available from: </w:t>
      </w:r>
      <w:hyperlink r:id="rId18" w:history="1">
        <w:r w:rsidRPr="00A57204">
          <w:rPr>
            <w:rStyle w:val="Hyperlink"/>
            <w:rFonts w:cstheme="minorHAnsi"/>
            <w:shd w:val="clear" w:color="auto" w:fill="FFFFFF"/>
          </w:rPr>
          <w:t>https://doi-org.ezproxy.uwtsd.ac.uk/10.1080/13642987.2020.1799196</w:t>
        </w:r>
      </w:hyperlink>
      <w:r>
        <w:rPr>
          <w:rFonts w:cstheme="minorHAnsi"/>
          <w:shd w:val="clear" w:color="auto" w:fill="FFFFFF"/>
        </w:rPr>
        <w:t xml:space="preserve"> </w:t>
      </w:r>
    </w:p>
    <w:p w14:paraId="4E0B03AE" w14:textId="486F8635" w:rsidR="000F5903" w:rsidRDefault="000F5903" w:rsidP="000F5903">
      <w:r>
        <w:rPr>
          <w:rFonts w:cstheme="minorHAnsi"/>
          <w:shd w:val="clear" w:color="auto" w:fill="FFFFFF"/>
        </w:rPr>
        <w:t xml:space="preserve">United Nations. 2011. </w:t>
      </w:r>
      <w:r w:rsidRPr="00B040F1">
        <w:rPr>
          <w:i/>
          <w:iCs/>
        </w:rPr>
        <w:t>Guiding Principles on Business and Human Rights</w:t>
      </w:r>
      <w:r>
        <w:rPr>
          <w:i/>
          <w:iCs/>
        </w:rPr>
        <w:t>.</w:t>
      </w:r>
      <w:r>
        <w:t xml:space="preserve"> [Online]. Geneva: United Nations. [Accessed </w:t>
      </w:r>
      <w:r w:rsidR="006169EF">
        <w:t>3 Ma</w:t>
      </w:r>
      <w:r w:rsidR="0049674C">
        <w:t>y</w:t>
      </w:r>
      <w:r>
        <w:t xml:space="preserve"> 2024]. Available from: </w:t>
      </w:r>
      <w:hyperlink r:id="rId19" w:history="1">
        <w:r w:rsidRPr="0026622F">
          <w:rPr>
            <w:rStyle w:val="Hyperlink"/>
          </w:rPr>
          <w:t>https://www.ohchr.org/sites/default/files/documents/publications/guidingprinciplesbusinesshr_en.pdf</w:t>
        </w:r>
      </w:hyperlink>
      <w:r>
        <w:t xml:space="preserve"> </w:t>
      </w:r>
    </w:p>
    <w:p w14:paraId="4B95B05A" w14:textId="0DD5E57B" w:rsidR="0094242D" w:rsidRDefault="0094242D" w:rsidP="0094242D">
      <w:r>
        <w:rPr>
          <w:rFonts w:cstheme="minorHAnsi"/>
          <w:shd w:val="clear" w:color="auto" w:fill="FFFFFF"/>
        </w:rPr>
        <w:t xml:space="preserve">United Nations. 2024. </w:t>
      </w:r>
      <w:r w:rsidRPr="00625DD2">
        <w:rPr>
          <w:rFonts w:cstheme="minorHAnsi"/>
          <w:i/>
          <w:iCs/>
          <w:shd w:val="clear" w:color="auto" w:fill="FFFFFF"/>
        </w:rPr>
        <w:t>The Sustainable Development Goals Report 2024</w:t>
      </w:r>
      <w:r>
        <w:rPr>
          <w:rFonts w:cstheme="minorHAnsi"/>
          <w:i/>
          <w:iCs/>
          <w:shd w:val="clear" w:color="auto" w:fill="FFFFFF"/>
        </w:rPr>
        <w:t xml:space="preserve">. </w:t>
      </w:r>
      <w:r>
        <w:rPr>
          <w:rFonts w:cstheme="minorHAnsi"/>
          <w:shd w:val="clear" w:color="auto" w:fill="FFFFFF"/>
        </w:rPr>
        <w:t xml:space="preserve">[Online]. </w:t>
      </w:r>
      <w:r>
        <w:t xml:space="preserve">United States of America: Department of Economic and Social Affairs (DESA). [Accessed 20 May 2024]. Available from: </w:t>
      </w:r>
      <w:hyperlink r:id="rId20" w:history="1">
        <w:r w:rsidRPr="0026622F">
          <w:rPr>
            <w:rStyle w:val="Hyperlink"/>
          </w:rPr>
          <w:t>https://unstats.un.org/sdgs/report/2024/The-Sustainable-Development-Goals-Report-2024.pdf</w:t>
        </w:r>
      </w:hyperlink>
      <w:r>
        <w:t xml:space="preserve"> </w:t>
      </w:r>
    </w:p>
    <w:p w14:paraId="3FCC2F8D" w14:textId="77777777" w:rsidR="006A39D6" w:rsidRDefault="006A39D6" w:rsidP="006A39D6">
      <w:r>
        <w:t xml:space="preserve">University of Wales Trinity Saint David. (2022a). </w:t>
      </w:r>
      <w:r w:rsidRPr="00C0091E">
        <w:rPr>
          <w:i/>
          <w:iCs/>
        </w:rPr>
        <w:t>Research Ethics &amp; Integrity Code of Practice</w:t>
      </w:r>
      <w:r>
        <w:rPr>
          <w:i/>
          <w:iCs/>
        </w:rPr>
        <w:t xml:space="preserve">. </w:t>
      </w:r>
      <w:r>
        <w:t xml:space="preserve">[Online]. [Accessed 11 March 2024]. Available from: </w:t>
      </w:r>
      <w:hyperlink r:id="rId21" w:history="1">
        <w:r w:rsidRPr="0018328C">
          <w:rPr>
            <w:rStyle w:val="Hyperlink"/>
          </w:rPr>
          <w:t>https://www.uwtsd.ac.uk/media/2041/download?attachment</w:t>
        </w:r>
      </w:hyperlink>
      <w:r>
        <w:t xml:space="preserve"> </w:t>
      </w:r>
    </w:p>
    <w:p w14:paraId="2FED5B16" w14:textId="1748FA2C" w:rsidR="006A39D6" w:rsidRDefault="006A39D6" w:rsidP="006A39D6">
      <w:r>
        <w:t xml:space="preserve">University of Wales Trinity Saint David. (2022b). </w:t>
      </w:r>
      <w:r w:rsidRPr="00A5762F">
        <w:rPr>
          <w:i/>
          <w:iCs/>
        </w:rPr>
        <w:t>Research Data Management Policy</w:t>
      </w:r>
      <w:r>
        <w:rPr>
          <w:i/>
          <w:iCs/>
        </w:rPr>
        <w:t xml:space="preserve">. </w:t>
      </w:r>
      <w:r>
        <w:t xml:space="preserve">[Online]. [Accessed 11 March 2024]. Available from: </w:t>
      </w:r>
      <w:hyperlink r:id="rId22" w:history="1">
        <w:r w:rsidRPr="0018328C">
          <w:rPr>
            <w:rStyle w:val="Hyperlink"/>
          </w:rPr>
          <w:t>https://www.uwtsd.ac.uk/media/1675/download?attachment</w:t>
        </w:r>
      </w:hyperlink>
    </w:p>
    <w:p w14:paraId="121F087F" w14:textId="199CD03C" w:rsidR="0094242D" w:rsidRPr="00B040F1" w:rsidRDefault="0033471B" w:rsidP="000F5903">
      <w:pPr>
        <w:rPr>
          <w:rFonts w:cstheme="minorHAnsi"/>
          <w:shd w:val="clear" w:color="auto" w:fill="FFFFFF"/>
        </w:rPr>
      </w:pPr>
      <w:r>
        <w:t xml:space="preserve">World Benchmarking Alliance. 2023. </w:t>
      </w:r>
      <w:r w:rsidRPr="00FC1F10">
        <w:t>Food-and-Agriculture-Benchmark-2023-Public-Dataset</w:t>
      </w:r>
      <w:r>
        <w:t xml:space="preserve">. </w:t>
      </w:r>
      <w:r w:rsidRPr="00181DF8">
        <w:rPr>
          <w:i/>
          <w:iCs/>
        </w:rPr>
        <w:t>World Benchmarking Alliance</w:t>
      </w:r>
      <w:r>
        <w:rPr>
          <w:i/>
          <w:iCs/>
        </w:rPr>
        <w:t xml:space="preserve">. </w:t>
      </w:r>
      <w:r>
        <w:t xml:space="preserve">[Online]. [Accessed 6 May 2024]. Available from: </w:t>
      </w:r>
      <w:hyperlink r:id="rId23" w:history="1">
        <w:r w:rsidRPr="0026622F">
          <w:rPr>
            <w:rStyle w:val="Hyperlink"/>
          </w:rPr>
          <w:t>https://www.worldbenchmarkingalliance.org/research/2023-food-and-agriculture-benchmark-data-set/</w:t>
        </w:r>
      </w:hyperlink>
    </w:p>
    <w:p w14:paraId="51CF921C" w14:textId="77777777" w:rsidR="00DF4F3A" w:rsidRDefault="00DF4F3A" w:rsidP="005C5580">
      <w:pPr>
        <w:rPr>
          <w:b/>
        </w:rPr>
      </w:pPr>
    </w:p>
    <w:p w14:paraId="52E61564" w14:textId="77777777" w:rsidR="00DF4F3A" w:rsidRDefault="00DF4F3A" w:rsidP="005C5580">
      <w:pPr>
        <w:rPr>
          <w:b/>
        </w:rPr>
      </w:pPr>
    </w:p>
    <w:p w14:paraId="1C2B2949" w14:textId="77777777" w:rsidR="005C5580" w:rsidRDefault="005C5580"/>
    <w:sectPr w:rsidR="005C5580" w:rsidSect="00064FEC">
      <w:pgSz w:w="11906" w:h="16838"/>
      <w:pgMar w:top="1440" w:right="1440" w:bottom="1440" w:left="1440" w:header="706" w:footer="706"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55BB0B" w14:textId="77777777" w:rsidR="00CF205A" w:rsidRDefault="00CF205A" w:rsidP="000323C6">
      <w:pPr>
        <w:spacing w:after="0" w:line="240" w:lineRule="auto"/>
      </w:pPr>
      <w:r>
        <w:separator/>
      </w:r>
    </w:p>
  </w:endnote>
  <w:endnote w:type="continuationSeparator" w:id="0">
    <w:p w14:paraId="5A62D632" w14:textId="77777777" w:rsidR="00CF205A" w:rsidRDefault="00CF205A" w:rsidP="000323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Locator Light">
    <w:altName w:val="Calibri"/>
    <w:panose1 w:val="00000000000000000000"/>
    <w:charset w:val="00"/>
    <w:family w:val="swiss"/>
    <w:notTrueType/>
    <w:pitch w:val="default"/>
    <w:sig w:usb0="00000003" w:usb1="00000000" w:usb2="0000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853C26" w14:textId="77777777" w:rsidR="00CF205A" w:rsidRDefault="00CF205A" w:rsidP="000323C6">
      <w:pPr>
        <w:spacing w:after="0" w:line="240" w:lineRule="auto"/>
      </w:pPr>
      <w:r>
        <w:separator/>
      </w:r>
    </w:p>
  </w:footnote>
  <w:footnote w:type="continuationSeparator" w:id="0">
    <w:p w14:paraId="1E7D65D7" w14:textId="77777777" w:rsidR="00CF205A" w:rsidRDefault="00CF205A" w:rsidP="000323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7B5A7B"/>
    <w:multiLevelType w:val="hybridMultilevel"/>
    <w:tmpl w:val="CCE026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3C52254"/>
    <w:multiLevelType w:val="hybridMultilevel"/>
    <w:tmpl w:val="416676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5AC0CB1"/>
    <w:multiLevelType w:val="hybridMultilevel"/>
    <w:tmpl w:val="193699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2412E43"/>
    <w:multiLevelType w:val="hybridMultilevel"/>
    <w:tmpl w:val="15F498B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FEE518F"/>
    <w:multiLevelType w:val="hybridMultilevel"/>
    <w:tmpl w:val="9B80126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2C948D2"/>
    <w:multiLevelType w:val="hybridMultilevel"/>
    <w:tmpl w:val="EA5686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70227250">
    <w:abstractNumId w:val="4"/>
  </w:num>
  <w:num w:numId="2" w16cid:durableId="753942542">
    <w:abstractNumId w:val="1"/>
  </w:num>
  <w:num w:numId="3" w16cid:durableId="954290485">
    <w:abstractNumId w:val="3"/>
  </w:num>
  <w:num w:numId="4" w16cid:durableId="1572807338">
    <w:abstractNumId w:val="0"/>
  </w:num>
  <w:num w:numId="5" w16cid:durableId="515507968">
    <w:abstractNumId w:val="5"/>
  </w:num>
  <w:num w:numId="6" w16cid:durableId="178600462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16420"/>
    <w:rsid w:val="00005706"/>
    <w:rsid w:val="00010BBE"/>
    <w:rsid w:val="00013AAC"/>
    <w:rsid w:val="000168B5"/>
    <w:rsid w:val="0002200C"/>
    <w:rsid w:val="000310BD"/>
    <w:rsid w:val="000323C6"/>
    <w:rsid w:val="00036527"/>
    <w:rsid w:val="0004587A"/>
    <w:rsid w:val="000471AB"/>
    <w:rsid w:val="0005478B"/>
    <w:rsid w:val="00064FEC"/>
    <w:rsid w:val="0007087E"/>
    <w:rsid w:val="000846B0"/>
    <w:rsid w:val="000951B0"/>
    <w:rsid w:val="00095E76"/>
    <w:rsid w:val="000A102D"/>
    <w:rsid w:val="000B0AA5"/>
    <w:rsid w:val="000B1E12"/>
    <w:rsid w:val="000B34B5"/>
    <w:rsid w:val="000B40AE"/>
    <w:rsid w:val="000C1BC9"/>
    <w:rsid w:val="000E6567"/>
    <w:rsid w:val="000E6BD6"/>
    <w:rsid w:val="000F5903"/>
    <w:rsid w:val="00102866"/>
    <w:rsid w:val="001203BF"/>
    <w:rsid w:val="0013240A"/>
    <w:rsid w:val="001332F3"/>
    <w:rsid w:val="0015559C"/>
    <w:rsid w:val="00155E45"/>
    <w:rsid w:val="001659BB"/>
    <w:rsid w:val="00175B31"/>
    <w:rsid w:val="00175E02"/>
    <w:rsid w:val="00180225"/>
    <w:rsid w:val="00190E23"/>
    <w:rsid w:val="00195C04"/>
    <w:rsid w:val="001B7AC1"/>
    <w:rsid w:val="001D007E"/>
    <w:rsid w:val="001D32AC"/>
    <w:rsid w:val="001D6FC6"/>
    <w:rsid w:val="001F3ABE"/>
    <w:rsid w:val="00203DD9"/>
    <w:rsid w:val="00207D6C"/>
    <w:rsid w:val="00215779"/>
    <w:rsid w:val="00224BBA"/>
    <w:rsid w:val="002339D4"/>
    <w:rsid w:val="002354BC"/>
    <w:rsid w:val="00256B9D"/>
    <w:rsid w:val="00267A33"/>
    <w:rsid w:val="00271210"/>
    <w:rsid w:val="00296CB8"/>
    <w:rsid w:val="002978FE"/>
    <w:rsid w:val="002A499E"/>
    <w:rsid w:val="002A5820"/>
    <w:rsid w:val="002A61D5"/>
    <w:rsid w:val="002B1121"/>
    <w:rsid w:val="002B5C2D"/>
    <w:rsid w:val="002B7283"/>
    <w:rsid w:val="002B7D4C"/>
    <w:rsid w:val="002D43B7"/>
    <w:rsid w:val="002E37FE"/>
    <w:rsid w:val="002E7650"/>
    <w:rsid w:val="002F4A4B"/>
    <w:rsid w:val="00300E6D"/>
    <w:rsid w:val="00313B2F"/>
    <w:rsid w:val="0032232E"/>
    <w:rsid w:val="00323B79"/>
    <w:rsid w:val="0032763A"/>
    <w:rsid w:val="00332478"/>
    <w:rsid w:val="0033307A"/>
    <w:rsid w:val="0033471B"/>
    <w:rsid w:val="00347256"/>
    <w:rsid w:val="0036771B"/>
    <w:rsid w:val="00367809"/>
    <w:rsid w:val="00383A0F"/>
    <w:rsid w:val="003852BD"/>
    <w:rsid w:val="003A1747"/>
    <w:rsid w:val="003A45FD"/>
    <w:rsid w:val="003C0728"/>
    <w:rsid w:val="003C3F62"/>
    <w:rsid w:val="003E0BA9"/>
    <w:rsid w:val="003F5CFD"/>
    <w:rsid w:val="00400C8D"/>
    <w:rsid w:val="004017EF"/>
    <w:rsid w:val="0040748A"/>
    <w:rsid w:val="00413A17"/>
    <w:rsid w:val="00421BEB"/>
    <w:rsid w:val="00432E05"/>
    <w:rsid w:val="00441F56"/>
    <w:rsid w:val="00471AB3"/>
    <w:rsid w:val="004764E8"/>
    <w:rsid w:val="00487F17"/>
    <w:rsid w:val="00491F28"/>
    <w:rsid w:val="00495284"/>
    <w:rsid w:val="0049674C"/>
    <w:rsid w:val="004B3806"/>
    <w:rsid w:val="004D0B12"/>
    <w:rsid w:val="004E00DE"/>
    <w:rsid w:val="004F4EF8"/>
    <w:rsid w:val="00502BA9"/>
    <w:rsid w:val="00502FB4"/>
    <w:rsid w:val="00512AAD"/>
    <w:rsid w:val="005246C9"/>
    <w:rsid w:val="00526688"/>
    <w:rsid w:val="00542C7B"/>
    <w:rsid w:val="00543642"/>
    <w:rsid w:val="00553238"/>
    <w:rsid w:val="00554847"/>
    <w:rsid w:val="0056057F"/>
    <w:rsid w:val="00563F52"/>
    <w:rsid w:val="0056452B"/>
    <w:rsid w:val="00592FD5"/>
    <w:rsid w:val="00593636"/>
    <w:rsid w:val="0059793F"/>
    <w:rsid w:val="005A461D"/>
    <w:rsid w:val="005B03A3"/>
    <w:rsid w:val="005C0FA5"/>
    <w:rsid w:val="005C5580"/>
    <w:rsid w:val="005C6B19"/>
    <w:rsid w:val="005C7098"/>
    <w:rsid w:val="005C7176"/>
    <w:rsid w:val="005D50BA"/>
    <w:rsid w:val="005E3FF2"/>
    <w:rsid w:val="00610418"/>
    <w:rsid w:val="006118F0"/>
    <w:rsid w:val="006169EF"/>
    <w:rsid w:val="00617B8C"/>
    <w:rsid w:val="00626821"/>
    <w:rsid w:val="00632214"/>
    <w:rsid w:val="00634FF4"/>
    <w:rsid w:val="00636703"/>
    <w:rsid w:val="00637A36"/>
    <w:rsid w:val="006413E9"/>
    <w:rsid w:val="00650C18"/>
    <w:rsid w:val="006670BE"/>
    <w:rsid w:val="00686AC0"/>
    <w:rsid w:val="006926BE"/>
    <w:rsid w:val="00693374"/>
    <w:rsid w:val="00697848"/>
    <w:rsid w:val="006A39D6"/>
    <w:rsid w:val="006B2D81"/>
    <w:rsid w:val="006B7CBC"/>
    <w:rsid w:val="006D6325"/>
    <w:rsid w:val="006E4641"/>
    <w:rsid w:val="006F02D0"/>
    <w:rsid w:val="007003A9"/>
    <w:rsid w:val="007004DA"/>
    <w:rsid w:val="0070686D"/>
    <w:rsid w:val="00714FEE"/>
    <w:rsid w:val="0071506D"/>
    <w:rsid w:val="00731236"/>
    <w:rsid w:val="00736EEB"/>
    <w:rsid w:val="007401FF"/>
    <w:rsid w:val="00741DE2"/>
    <w:rsid w:val="00742473"/>
    <w:rsid w:val="00747A9C"/>
    <w:rsid w:val="00765C5F"/>
    <w:rsid w:val="007664D0"/>
    <w:rsid w:val="00771AB6"/>
    <w:rsid w:val="0077495F"/>
    <w:rsid w:val="00775403"/>
    <w:rsid w:val="007850A9"/>
    <w:rsid w:val="00797138"/>
    <w:rsid w:val="00797ECE"/>
    <w:rsid w:val="007A1157"/>
    <w:rsid w:val="007A18E6"/>
    <w:rsid w:val="007A3769"/>
    <w:rsid w:val="007A71C4"/>
    <w:rsid w:val="007C1E33"/>
    <w:rsid w:val="007E6EAC"/>
    <w:rsid w:val="007F57A2"/>
    <w:rsid w:val="007F5E74"/>
    <w:rsid w:val="008024E5"/>
    <w:rsid w:val="00803259"/>
    <w:rsid w:val="008046FC"/>
    <w:rsid w:val="00810D8D"/>
    <w:rsid w:val="00811068"/>
    <w:rsid w:val="0081457A"/>
    <w:rsid w:val="00816D54"/>
    <w:rsid w:val="00826F4C"/>
    <w:rsid w:val="00841979"/>
    <w:rsid w:val="008433FF"/>
    <w:rsid w:val="008450D4"/>
    <w:rsid w:val="00847068"/>
    <w:rsid w:val="00851BFD"/>
    <w:rsid w:val="00852135"/>
    <w:rsid w:val="00854A98"/>
    <w:rsid w:val="00856CEC"/>
    <w:rsid w:val="008719D2"/>
    <w:rsid w:val="0087667C"/>
    <w:rsid w:val="00882A65"/>
    <w:rsid w:val="00890757"/>
    <w:rsid w:val="0089720F"/>
    <w:rsid w:val="008A6954"/>
    <w:rsid w:val="008C0087"/>
    <w:rsid w:val="008C1A3A"/>
    <w:rsid w:val="008C3902"/>
    <w:rsid w:val="008C474D"/>
    <w:rsid w:val="008C478A"/>
    <w:rsid w:val="008C711C"/>
    <w:rsid w:val="008E59B9"/>
    <w:rsid w:val="008F2F5D"/>
    <w:rsid w:val="009106D3"/>
    <w:rsid w:val="0091123B"/>
    <w:rsid w:val="00940742"/>
    <w:rsid w:val="0094242D"/>
    <w:rsid w:val="009448ED"/>
    <w:rsid w:val="00945715"/>
    <w:rsid w:val="00945921"/>
    <w:rsid w:val="00947093"/>
    <w:rsid w:val="0096776D"/>
    <w:rsid w:val="009733C5"/>
    <w:rsid w:val="009830CD"/>
    <w:rsid w:val="009866FE"/>
    <w:rsid w:val="0099345B"/>
    <w:rsid w:val="009B1A67"/>
    <w:rsid w:val="009B1B3A"/>
    <w:rsid w:val="009C2153"/>
    <w:rsid w:val="009C314E"/>
    <w:rsid w:val="009E1D12"/>
    <w:rsid w:val="009E66E8"/>
    <w:rsid w:val="00A02FF5"/>
    <w:rsid w:val="00A17BE5"/>
    <w:rsid w:val="00A17CA1"/>
    <w:rsid w:val="00A37271"/>
    <w:rsid w:val="00A461BE"/>
    <w:rsid w:val="00A462A5"/>
    <w:rsid w:val="00A46869"/>
    <w:rsid w:val="00A67A96"/>
    <w:rsid w:val="00A763B1"/>
    <w:rsid w:val="00A9711B"/>
    <w:rsid w:val="00AD0F3A"/>
    <w:rsid w:val="00AD3080"/>
    <w:rsid w:val="00AE1B72"/>
    <w:rsid w:val="00AE723C"/>
    <w:rsid w:val="00AE76B0"/>
    <w:rsid w:val="00AF05AC"/>
    <w:rsid w:val="00B000E8"/>
    <w:rsid w:val="00B124DD"/>
    <w:rsid w:val="00B22334"/>
    <w:rsid w:val="00B26644"/>
    <w:rsid w:val="00B40C60"/>
    <w:rsid w:val="00B45C52"/>
    <w:rsid w:val="00B47DA7"/>
    <w:rsid w:val="00B5015A"/>
    <w:rsid w:val="00B655C5"/>
    <w:rsid w:val="00B722D0"/>
    <w:rsid w:val="00B77E94"/>
    <w:rsid w:val="00B93607"/>
    <w:rsid w:val="00BA04F0"/>
    <w:rsid w:val="00BA6060"/>
    <w:rsid w:val="00BB4BB3"/>
    <w:rsid w:val="00BC0E15"/>
    <w:rsid w:val="00BE6C3B"/>
    <w:rsid w:val="00BF218C"/>
    <w:rsid w:val="00BF34B2"/>
    <w:rsid w:val="00BF7BF8"/>
    <w:rsid w:val="00C00D64"/>
    <w:rsid w:val="00C109C4"/>
    <w:rsid w:val="00C12DB6"/>
    <w:rsid w:val="00C1434E"/>
    <w:rsid w:val="00C14C60"/>
    <w:rsid w:val="00C165FE"/>
    <w:rsid w:val="00C2380C"/>
    <w:rsid w:val="00C24BCC"/>
    <w:rsid w:val="00C40772"/>
    <w:rsid w:val="00C414A3"/>
    <w:rsid w:val="00C44A35"/>
    <w:rsid w:val="00C668C4"/>
    <w:rsid w:val="00C70A70"/>
    <w:rsid w:val="00C83618"/>
    <w:rsid w:val="00CB0250"/>
    <w:rsid w:val="00CB297C"/>
    <w:rsid w:val="00CC162F"/>
    <w:rsid w:val="00CC3BB9"/>
    <w:rsid w:val="00CD2C8B"/>
    <w:rsid w:val="00CE227C"/>
    <w:rsid w:val="00CE4419"/>
    <w:rsid w:val="00CE5EAC"/>
    <w:rsid w:val="00CF205A"/>
    <w:rsid w:val="00D00848"/>
    <w:rsid w:val="00D12247"/>
    <w:rsid w:val="00D12A2E"/>
    <w:rsid w:val="00D24E08"/>
    <w:rsid w:val="00D32DFC"/>
    <w:rsid w:val="00D45382"/>
    <w:rsid w:val="00D706B9"/>
    <w:rsid w:val="00D72E95"/>
    <w:rsid w:val="00D72EC3"/>
    <w:rsid w:val="00D80DC5"/>
    <w:rsid w:val="00DA50E8"/>
    <w:rsid w:val="00DA5811"/>
    <w:rsid w:val="00DA763B"/>
    <w:rsid w:val="00DC5C71"/>
    <w:rsid w:val="00DD2580"/>
    <w:rsid w:val="00DD3912"/>
    <w:rsid w:val="00DE0C67"/>
    <w:rsid w:val="00DE15A3"/>
    <w:rsid w:val="00DE24DE"/>
    <w:rsid w:val="00DE362E"/>
    <w:rsid w:val="00DF0523"/>
    <w:rsid w:val="00DF3A5A"/>
    <w:rsid w:val="00DF3C39"/>
    <w:rsid w:val="00DF4F3A"/>
    <w:rsid w:val="00E16420"/>
    <w:rsid w:val="00E25100"/>
    <w:rsid w:val="00E350DC"/>
    <w:rsid w:val="00E44A79"/>
    <w:rsid w:val="00E5148F"/>
    <w:rsid w:val="00E518CA"/>
    <w:rsid w:val="00E55EFA"/>
    <w:rsid w:val="00E63697"/>
    <w:rsid w:val="00E73E7E"/>
    <w:rsid w:val="00E870DF"/>
    <w:rsid w:val="00E873D1"/>
    <w:rsid w:val="00E90C92"/>
    <w:rsid w:val="00E92D02"/>
    <w:rsid w:val="00EB2E64"/>
    <w:rsid w:val="00EB4440"/>
    <w:rsid w:val="00EC3623"/>
    <w:rsid w:val="00EC3C08"/>
    <w:rsid w:val="00EC3C1C"/>
    <w:rsid w:val="00ED26AE"/>
    <w:rsid w:val="00ED7D04"/>
    <w:rsid w:val="00EE2262"/>
    <w:rsid w:val="00EE3645"/>
    <w:rsid w:val="00EF2EBD"/>
    <w:rsid w:val="00EF413B"/>
    <w:rsid w:val="00F030C4"/>
    <w:rsid w:val="00F073E6"/>
    <w:rsid w:val="00F11C9C"/>
    <w:rsid w:val="00F150E5"/>
    <w:rsid w:val="00F26443"/>
    <w:rsid w:val="00F33E91"/>
    <w:rsid w:val="00F34B68"/>
    <w:rsid w:val="00F41B24"/>
    <w:rsid w:val="00F45838"/>
    <w:rsid w:val="00F46D98"/>
    <w:rsid w:val="00F55E0E"/>
    <w:rsid w:val="00F60AC7"/>
    <w:rsid w:val="00F7049B"/>
    <w:rsid w:val="00F75124"/>
    <w:rsid w:val="00F8223C"/>
    <w:rsid w:val="00F90BE1"/>
    <w:rsid w:val="00FC3B95"/>
    <w:rsid w:val="00FC41E9"/>
    <w:rsid w:val="00FC571D"/>
    <w:rsid w:val="00FC6B37"/>
    <w:rsid w:val="00FD0023"/>
    <w:rsid w:val="00FD24A3"/>
    <w:rsid w:val="00FE0A4B"/>
    <w:rsid w:val="00FE3CCA"/>
    <w:rsid w:val="00FF1E75"/>
    <w:rsid w:val="00FF481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F98500B"/>
  <w15:chartTrackingRefBased/>
  <w15:docId w15:val="{7F92F982-B831-4953-997C-314015444B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DF4F3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1642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11068"/>
    <w:pPr>
      <w:ind w:left="720"/>
      <w:contextualSpacing/>
    </w:pPr>
  </w:style>
  <w:style w:type="character" w:styleId="Hyperlink">
    <w:name w:val="Hyperlink"/>
    <w:basedOn w:val="DefaultParagraphFont"/>
    <w:uiPriority w:val="99"/>
    <w:unhideWhenUsed/>
    <w:rsid w:val="00EC3C08"/>
    <w:rPr>
      <w:color w:val="0563C1" w:themeColor="hyperlink"/>
      <w:u w:val="single"/>
    </w:rPr>
  </w:style>
  <w:style w:type="character" w:styleId="UnresolvedMention">
    <w:name w:val="Unresolved Mention"/>
    <w:basedOn w:val="DefaultParagraphFont"/>
    <w:uiPriority w:val="99"/>
    <w:semiHidden/>
    <w:unhideWhenUsed/>
    <w:rsid w:val="00EC3C08"/>
    <w:rPr>
      <w:color w:val="605E5C"/>
      <w:shd w:val="clear" w:color="auto" w:fill="E1DFDD"/>
    </w:rPr>
  </w:style>
  <w:style w:type="paragraph" w:styleId="Title">
    <w:name w:val="Title"/>
    <w:basedOn w:val="Normal"/>
    <w:next w:val="Normal"/>
    <w:link w:val="TitleChar"/>
    <w:uiPriority w:val="10"/>
    <w:qFormat/>
    <w:rsid w:val="00DF4F3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4F3A"/>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DF4F3A"/>
    <w:rPr>
      <w:rFonts w:asciiTheme="majorHAnsi" w:eastAsiaTheme="majorEastAsia" w:hAnsiTheme="majorHAnsi" w:cstheme="majorBidi"/>
      <w:color w:val="2E74B5" w:themeColor="accent1" w:themeShade="BF"/>
      <w:sz w:val="26"/>
      <w:szCs w:val="26"/>
    </w:rPr>
  </w:style>
  <w:style w:type="character" w:styleId="FollowedHyperlink">
    <w:name w:val="FollowedHyperlink"/>
    <w:basedOn w:val="DefaultParagraphFont"/>
    <w:uiPriority w:val="99"/>
    <w:semiHidden/>
    <w:unhideWhenUsed/>
    <w:rsid w:val="00D0084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rporatejustice.org/news/a-historic-first-step-france-adopts-corporate-duty-of-vigilance-law/" TargetMode="External"/><Relationship Id="rId13" Type="http://schemas.openxmlformats.org/officeDocument/2006/relationships/hyperlink" Target="https://knowthechain.org/benchmark/" TargetMode="External"/><Relationship Id="rId18" Type="http://schemas.openxmlformats.org/officeDocument/2006/relationships/hyperlink" Target="https://doi-org.ezproxy.uwtsd.ac.uk/10.1080/13642987.2020.1799196" TargetMode="External"/><Relationship Id="rId3" Type="http://schemas.openxmlformats.org/officeDocument/2006/relationships/settings" Target="settings.xml"/><Relationship Id="rId21" Type="http://schemas.openxmlformats.org/officeDocument/2006/relationships/hyperlink" Target="https://www.uwtsd.ac.uk/media/2041/download?attachment" TargetMode="External"/><Relationship Id="rId7" Type="http://schemas.openxmlformats.org/officeDocument/2006/relationships/hyperlink" Target="https://doi.org/10.1007/s12142-024-00724-9" TargetMode="External"/><Relationship Id="rId12" Type="http://schemas.openxmlformats.org/officeDocument/2006/relationships/hyperlink" Target="https://www.mckinsey.com/capabilities/strategy-and-corporate-finance/our-insights/investors-want-to-hear-from-companies-about-the-value-of-sustainability" TargetMode="External"/><Relationship Id="rId17" Type="http://schemas.openxmlformats.org/officeDocument/2006/relationships/hyperlink" Target="https://shiftproject.org/resource/mhrdd-europe-map/"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hbr.org/2023/01/what-do-your-customers-want-in-2023" TargetMode="External"/><Relationship Id="rId20" Type="http://schemas.openxmlformats.org/officeDocument/2006/relationships/hyperlink" Target="https://unstats.un.org/sdgs/report/2024/The-Sustainable-Development-Goals-Report-2024.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ckinsey.com/industries/consumer-packaged-goods/our-insights/consumers-care-about-sustainability-and-back-it-up-with-their-wallets"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oi.org/10.1017/bhj.2017.2" TargetMode="External"/><Relationship Id="rId23" Type="http://schemas.openxmlformats.org/officeDocument/2006/relationships/hyperlink" Target="https://www.worldbenchmarkingalliance.org/research/2023-food-and-agriculture-benchmark-data-set/" TargetMode="External"/><Relationship Id="rId10" Type="http://schemas.openxmlformats.org/officeDocument/2006/relationships/hyperlink" Target="https://archive.org/details/HowToDesignAndEvaluateResearchInEducation8thEd/page/n429/mode/2up" TargetMode="External"/><Relationship Id="rId19" Type="http://schemas.openxmlformats.org/officeDocument/2006/relationships/hyperlink" Target="https://www.ohchr.org/sites/default/files/documents/publications/guidingprinciplesbusinesshr_en.pdf" TargetMode="External"/><Relationship Id="rId4" Type="http://schemas.openxmlformats.org/officeDocument/2006/relationships/webSettings" Target="webSettings.xml"/><Relationship Id="rId9" Type="http://schemas.openxmlformats.org/officeDocument/2006/relationships/hyperlink" Target="https://doi.org/10.4135/9781473917415" TargetMode="External"/><Relationship Id="rId14" Type="http://schemas.openxmlformats.org/officeDocument/2006/relationships/hyperlink" Target="https://www.humanrights.dk/files/media/document/Rapport_DoingWell_tilg%C3%A6ngelig.pdf" TargetMode="External"/><Relationship Id="rId22" Type="http://schemas.openxmlformats.org/officeDocument/2006/relationships/hyperlink" Target="https://www.uwtsd.ac.uk/media/1675/download?attach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104</TotalTime>
  <Pages>7</Pages>
  <Words>2645</Words>
  <Characters>17832</Characters>
  <Application>Microsoft Office Word</Application>
  <DocSecurity>0</DocSecurity>
  <Lines>318</Lines>
  <Paragraphs>83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Emanuel</dc:creator>
  <cp:keywords/>
  <dc:description/>
  <cp:lastModifiedBy>EMMA GLADSTONE</cp:lastModifiedBy>
  <cp:revision>44</cp:revision>
  <cp:lastPrinted>2024-09-26T19:42:00Z</cp:lastPrinted>
  <dcterms:created xsi:type="dcterms:W3CDTF">2024-09-26T17:44:00Z</dcterms:created>
  <dcterms:modified xsi:type="dcterms:W3CDTF">2024-09-26T21:51:00Z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e52e25d9-fa69-4797-8d62-d7c89697a54a_Enabled">
    <vt:lpwstr>true</vt:lpwstr>
  </property>
  <property fmtid="{D5CDD505-2E9C-101B-9397-08002B2CF9AE}" pid="3" name="MSIP_Label_e52e25d9-fa69-4797-8d62-d7c89697a54a_SetDate">
    <vt:lpwstr>2023-08-31T00:06:30Z</vt:lpwstr>
  </property>
  <property fmtid="{D5CDD505-2E9C-101B-9397-08002B2CF9AE}" pid="4" name="MSIP_Label_e52e25d9-fa69-4797-8d62-d7c89697a54a_Method">
    <vt:lpwstr>Standard</vt:lpwstr>
  </property>
  <property fmtid="{D5CDD505-2E9C-101B-9397-08002B2CF9AE}" pid="5" name="MSIP_Label_e52e25d9-fa69-4797-8d62-d7c89697a54a_Name">
    <vt:lpwstr>General - Internal</vt:lpwstr>
  </property>
  <property fmtid="{D5CDD505-2E9C-101B-9397-08002B2CF9AE}" pid="6" name="MSIP_Label_e52e25d9-fa69-4797-8d62-d7c89697a54a_SiteId">
    <vt:lpwstr>e274a129-849d-4351-ab82-7bd413959a93</vt:lpwstr>
  </property>
  <property fmtid="{D5CDD505-2E9C-101B-9397-08002B2CF9AE}" pid="7" name="MSIP_Label_e52e25d9-fa69-4797-8d62-d7c89697a54a_ActionId">
    <vt:lpwstr>9d59636f-60b3-4da1-931a-d6d0abc9b4f8</vt:lpwstr>
  </property>
  <property fmtid="{D5CDD505-2E9C-101B-9397-08002B2CF9AE}" pid="8" name="MSIP_Label_e52e25d9-fa69-4797-8d62-d7c89697a54a_ContentBits">
    <vt:lpwstr>0</vt:lpwstr>
  </property>
</Properties>
</file>