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857DA" w14:textId="59DBF2B0" w:rsidR="00FF3A75" w:rsidRDefault="00A54307" w:rsidP="00FF3A75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E314506" wp14:editId="74F60285">
                <wp:simplePos x="0" y="0"/>
                <wp:positionH relativeFrom="column">
                  <wp:posOffset>-571500</wp:posOffset>
                </wp:positionH>
                <wp:positionV relativeFrom="paragraph">
                  <wp:posOffset>2981325</wp:posOffset>
                </wp:positionV>
                <wp:extent cx="2238375" cy="635"/>
                <wp:effectExtent l="0" t="0" r="9525" b="6985"/>
                <wp:wrapTight wrapText="bothSides">
                  <wp:wrapPolygon edited="0">
                    <wp:start x="0" y="0"/>
                    <wp:lineTo x="0" y="21122"/>
                    <wp:lineTo x="21508" y="21122"/>
                    <wp:lineTo x="21508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795BDD" w14:textId="6F532EA9" w:rsidR="00666B5A" w:rsidRDefault="00666B5A" w:rsidP="0040605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1 Back view of Female Figurine</w:t>
                            </w:r>
                            <w:r w:rsidR="00B22B42">
                              <w:t xml:space="preserve">, CCM 1695.004, </w:t>
                            </w:r>
                            <w:r w:rsidR="00A54307">
                              <w:t>photo by Anna Matthews 2020, UWTSD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31450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5pt;margin-top:234.75pt;width:176.25pt;height:.05pt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" stroked="f">
                <v:textbox style="mso-fit-shape-to-text:t" inset="0,0,0,0">
                  <w:txbxContent>
                    <w:p w14:paraId="3D795BDD" w14:textId="6F532EA9" w:rsidR="00666B5A" w:rsidRDefault="00666B5A" w:rsidP="0040605A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1 Back view of Female Figurine</w:t>
                      </w:r>
                      <w:r w:rsidR="00B22B42">
                        <w:t xml:space="preserve">, CCM 1695.004, </w:t>
                      </w:r>
                      <w:r w:rsidR="00A54307">
                        <w:t>photo by Anna Matthews 2020, UWTSD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21889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F268879" wp14:editId="6BD02C3D">
                <wp:simplePos x="0" y="0"/>
                <wp:positionH relativeFrom="column">
                  <wp:posOffset>1724025</wp:posOffset>
                </wp:positionH>
                <wp:positionV relativeFrom="paragraph">
                  <wp:posOffset>2984500</wp:posOffset>
                </wp:positionV>
                <wp:extent cx="2009775" cy="635"/>
                <wp:effectExtent l="0" t="0" r="9525" b="0"/>
                <wp:wrapTight wrapText="bothSides">
                  <wp:wrapPolygon edited="0">
                    <wp:start x="0" y="0"/>
                    <wp:lineTo x="0" y="20057"/>
                    <wp:lineTo x="21498" y="20057"/>
                    <wp:lineTo x="21498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615076" w14:textId="5A1851C3" w:rsidR="00666B5A" w:rsidRDefault="00666B5A" w:rsidP="0040605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2 Front view of Female Figurine</w:t>
                            </w:r>
                            <w:r w:rsidR="00B22B42">
                              <w:t>, CCM 1695.004</w:t>
                            </w:r>
                            <w:r w:rsidR="00A54307">
                              <w:t>, photo by Anna Matthews, UWTSD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268879" id="Text Box 5" o:spid="_x0000_s1027" type="#_x0000_t202" style="position:absolute;margin-left:135.75pt;margin-top:235pt;width:158.25pt;height:.05pt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" stroked="f">
                <v:textbox style="mso-fit-shape-to-text:t" inset="0,0,0,0">
                  <w:txbxContent>
                    <w:p w14:paraId="0B615076" w14:textId="5A1851C3" w:rsidR="00666B5A" w:rsidRDefault="00666B5A" w:rsidP="0040605A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2 Front view of Female Figurine</w:t>
                      </w:r>
                      <w:r w:rsidR="00B22B42">
                        <w:t>, CCM 1695.004</w:t>
                      </w:r>
                      <w:r w:rsidR="00A54307">
                        <w:t>, photo by Anna Matthews, UWTSD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0605A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23554FD" wp14:editId="7D1E71C0">
                <wp:simplePos x="0" y="0"/>
                <wp:positionH relativeFrom="column">
                  <wp:posOffset>3886200</wp:posOffset>
                </wp:positionH>
                <wp:positionV relativeFrom="paragraph">
                  <wp:posOffset>2984500</wp:posOffset>
                </wp:positionV>
                <wp:extent cx="2486025" cy="635"/>
                <wp:effectExtent l="0" t="0" r="9525" b="0"/>
                <wp:wrapTight wrapText="bothSides">
                  <wp:wrapPolygon edited="0">
                    <wp:start x="0" y="0"/>
                    <wp:lineTo x="0" y="20057"/>
                    <wp:lineTo x="21517" y="20057"/>
                    <wp:lineTo x="21517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0542629" w14:textId="2DE0D926" w:rsidR="00666B5A" w:rsidRDefault="00666B5A" w:rsidP="0040605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3 Close up of the head of the Female Figurine</w:t>
                            </w:r>
                            <w:r w:rsidR="00B22B42">
                              <w:t>, CCM 1695.004</w:t>
                            </w:r>
                            <w:r w:rsidR="00A54307">
                              <w:t>, photo by Anna Matthews, UWTSD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3554FD" id="Text Box 7" o:spid="_x0000_s1028" type="#_x0000_t202" style="position:absolute;margin-left:306pt;margin-top:235pt;width:195.75pt;height:.05pt;z-index:-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" stroked="f">
                <v:textbox style="mso-fit-shape-to-text:t" inset="0,0,0,0">
                  <w:txbxContent>
                    <w:p w14:paraId="60542629" w14:textId="2DE0D926" w:rsidR="00666B5A" w:rsidRDefault="00666B5A" w:rsidP="0040605A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3 Close up of the head of the Female Figurine</w:t>
                      </w:r>
                      <w:r w:rsidR="00B22B42">
                        <w:t>, CCM 1695.004</w:t>
                      </w:r>
                      <w:r w:rsidR="00A54307">
                        <w:t>, photo by Anna Matthews, UWTSD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0605A">
        <w:rPr>
          <w:noProof/>
        </w:rPr>
        <w:drawing>
          <wp:anchor distT="0" distB="0" distL="114300" distR="114300" simplePos="0" relativeHeight="251659264" behindDoc="1" locked="0" layoutInCell="1" allowOverlap="1" wp14:anchorId="199DC945" wp14:editId="191CF625">
            <wp:simplePos x="0" y="0"/>
            <wp:positionH relativeFrom="margin">
              <wp:posOffset>1733550</wp:posOffset>
            </wp:positionH>
            <wp:positionV relativeFrom="paragraph">
              <wp:posOffset>0</wp:posOffset>
            </wp:positionV>
            <wp:extent cx="2238375" cy="2984500"/>
            <wp:effectExtent l="0" t="0" r="9525" b="6350"/>
            <wp:wrapTight wrapText="bothSides">
              <wp:wrapPolygon edited="0">
                <wp:start x="0" y="0"/>
                <wp:lineTo x="0" y="21508"/>
                <wp:lineTo x="21508" y="21508"/>
                <wp:lineTo x="21508" y="0"/>
                <wp:lineTo x="0" y="0"/>
              </wp:wrapPolygon>
            </wp:wrapTight>
            <wp:docPr id="4" name="Picture 4" descr="A picture containing indoor,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00218_1204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05A">
        <w:rPr>
          <w:noProof/>
        </w:rPr>
        <w:drawing>
          <wp:anchor distT="0" distB="0" distL="114300" distR="114300" simplePos="0" relativeHeight="251664384" behindDoc="1" locked="0" layoutInCell="1" allowOverlap="1" wp14:anchorId="1DE55446" wp14:editId="23B1527E">
            <wp:simplePos x="0" y="0"/>
            <wp:positionH relativeFrom="column">
              <wp:posOffset>3905250</wp:posOffset>
            </wp:positionH>
            <wp:positionV relativeFrom="paragraph">
              <wp:posOffset>0</wp:posOffset>
            </wp:positionV>
            <wp:extent cx="2238375" cy="2984500"/>
            <wp:effectExtent l="0" t="0" r="9525" b="6350"/>
            <wp:wrapTight wrapText="bothSides">
              <wp:wrapPolygon edited="0">
                <wp:start x="0" y="0"/>
                <wp:lineTo x="0" y="21508"/>
                <wp:lineTo x="21508" y="21508"/>
                <wp:lineTo x="21508" y="0"/>
                <wp:lineTo x="0" y="0"/>
              </wp:wrapPolygon>
            </wp:wrapTight>
            <wp:docPr id="6" name="Picture 6" descr="A close up of a stone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00214_1459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05A">
        <w:rPr>
          <w:noProof/>
        </w:rPr>
        <w:drawing>
          <wp:anchor distT="0" distB="0" distL="114300" distR="114300" simplePos="0" relativeHeight="251658240" behindDoc="1" locked="0" layoutInCell="1" allowOverlap="1" wp14:anchorId="346D50A5" wp14:editId="2E2A8D86">
            <wp:simplePos x="0" y="0"/>
            <wp:positionH relativeFrom="column">
              <wp:posOffset>-504825</wp:posOffset>
            </wp:positionH>
            <wp:positionV relativeFrom="paragraph">
              <wp:posOffset>0</wp:posOffset>
            </wp:positionV>
            <wp:extent cx="2238375" cy="2984500"/>
            <wp:effectExtent l="0" t="0" r="9525" b="6350"/>
            <wp:wrapTight wrapText="bothSides">
              <wp:wrapPolygon edited="0">
                <wp:start x="0" y="0"/>
                <wp:lineTo x="0" y="21508"/>
                <wp:lineTo x="21508" y="21508"/>
                <wp:lineTo x="21508" y="0"/>
                <wp:lineTo x="0" y="0"/>
              </wp:wrapPolygon>
            </wp:wrapTight>
            <wp:docPr id="3" name="Picture 3" descr="A piece of pizz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00225_10235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A75">
        <w:t>General Information</w:t>
      </w:r>
    </w:p>
    <w:p w14:paraId="7A6FE2E4" w14:textId="1457ECDA" w:rsidR="00FF3A75" w:rsidRDefault="00FF3A75" w:rsidP="00FF3A75">
      <w:r>
        <w:t>Object Name: Female Figurine</w:t>
      </w:r>
    </w:p>
    <w:p w14:paraId="31602CD4" w14:textId="59472D9F" w:rsidR="00FF3A75" w:rsidRDefault="00FF3A75" w:rsidP="00FF3A75">
      <w:proofErr w:type="spellStart"/>
      <w:r>
        <w:t>Cyfarthfa</w:t>
      </w:r>
      <w:proofErr w:type="spellEnd"/>
      <w:r>
        <w:t xml:space="preserve"> Castle, Merthyr Tydfil </w:t>
      </w:r>
      <w:r w:rsidR="00B66E08">
        <w:t xml:space="preserve">- </w:t>
      </w:r>
      <w:r>
        <w:t>CCM</w:t>
      </w:r>
      <w:r w:rsidR="005E552E">
        <w:t xml:space="preserve"> </w:t>
      </w:r>
      <w:r>
        <w:t xml:space="preserve">(thought to be 1695.004) </w:t>
      </w:r>
    </w:p>
    <w:p w14:paraId="51A49F59" w14:textId="396E54DC" w:rsidR="00FF3A75" w:rsidRDefault="00FF3A75" w:rsidP="00FF3A75">
      <w:r>
        <w:t>Object type: Wooden Female Figurine</w:t>
      </w:r>
    </w:p>
    <w:p w14:paraId="33820D79" w14:textId="428935B7" w:rsidR="00FF3A75" w:rsidRDefault="00FF3A75" w:rsidP="00FF3A75">
      <w:r>
        <w:t>Material: Soft wood, thought to be palm wood</w:t>
      </w:r>
      <w:r w:rsidR="00A4232B">
        <w:t xml:space="preserve"> or lime wood</w:t>
      </w:r>
    </w:p>
    <w:p w14:paraId="1F4BA344" w14:textId="36CDCDB6" w:rsidR="00FF3A75" w:rsidRDefault="00FF3A75" w:rsidP="005E552E">
      <w:pPr>
        <w:tabs>
          <w:tab w:val="left" w:pos="1980"/>
        </w:tabs>
      </w:pPr>
      <w:r>
        <w:t xml:space="preserve">Period: </w:t>
      </w:r>
      <w:proofErr w:type="spellStart"/>
      <w:r w:rsidR="005E552E">
        <w:t>Pharonic</w:t>
      </w:r>
      <w:proofErr w:type="spellEnd"/>
      <w:r w:rsidR="008E69FD">
        <w:t>?</w:t>
      </w:r>
    </w:p>
    <w:p w14:paraId="33C3260B" w14:textId="5B80409D" w:rsidR="00FF3A75" w:rsidRDefault="00FF3A75" w:rsidP="00FF3A75">
      <w:r>
        <w:t xml:space="preserve">Provenance: </w:t>
      </w:r>
      <w:r w:rsidR="005E552E">
        <w:t>Could be anywhere in Egypt, or two areas of Egyptian influence from Egyptian expansion (Nubia or Sinai)</w:t>
      </w:r>
    </w:p>
    <w:p w14:paraId="609752A1" w14:textId="74AB90E8" w:rsidR="00FF3A75" w:rsidRDefault="00FF3A75" w:rsidP="00FF3A75">
      <w:r>
        <w:t xml:space="preserve">Dimensions: </w:t>
      </w:r>
      <w:r w:rsidR="00326338">
        <w:t>Approximately:</w:t>
      </w:r>
    </w:p>
    <w:p w14:paraId="74E30E56" w14:textId="02B6AD8C" w:rsidR="00326338" w:rsidRDefault="00326338" w:rsidP="00326338">
      <w:pPr>
        <w:pStyle w:val="ListParagraph"/>
        <w:numPr>
          <w:ilvl w:val="0"/>
          <w:numId w:val="1"/>
        </w:numPr>
      </w:pPr>
      <w:r>
        <w:t>16-17cm in length, with the jagged bottom being the reason for the discrepancy in length,</w:t>
      </w:r>
    </w:p>
    <w:p w14:paraId="352C7FFE" w14:textId="4FA52810" w:rsidR="00326338" w:rsidRDefault="00326338" w:rsidP="00326338">
      <w:pPr>
        <w:pStyle w:val="ListParagraph"/>
        <w:numPr>
          <w:ilvl w:val="0"/>
          <w:numId w:val="1"/>
        </w:numPr>
      </w:pPr>
      <w:r>
        <w:t>Between 2.5cm and 3.5cm in width</w:t>
      </w:r>
    </w:p>
    <w:p w14:paraId="0DFED059" w14:textId="55B1BFC2" w:rsidR="00EB743E" w:rsidRDefault="00EB743E" w:rsidP="00326338">
      <w:pPr>
        <w:pStyle w:val="ListParagraph"/>
        <w:numPr>
          <w:ilvl w:val="0"/>
          <w:numId w:val="1"/>
        </w:numPr>
      </w:pPr>
      <w:r>
        <w:t>Depth</w:t>
      </w:r>
    </w:p>
    <w:p w14:paraId="2849D424" w14:textId="0C4BBCC3" w:rsidR="00FF3A75" w:rsidRPr="00A26B2E" w:rsidRDefault="00FF3A75" w:rsidP="00FF3A75">
      <w:pPr>
        <w:rPr>
          <w:b/>
          <w:i/>
          <w:sz w:val="24"/>
          <w:szCs w:val="24"/>
        </w:rPr>
      </w:pPr>
      <w:r w:rsidRPr="00A26B2E">
        <w:rPr>
          <w:b/>
          <w:i/>
          <w:sz w:val="24"/>
          <w:szCs w:val="24"/>
        </w:rPr>
        <w:t>Object analysis by Anna Matthews</w:t>
      </w:r>
    </w:p>
    <w:p w14:paraId="335C20E7" w14:textId="70D667BE" w:rsidR="00FF3A75" w:rsidRDefault="00FF3A75" w:rsidP="005E552E">
      <w:pPr>
        <w:pStyle w:val="Heading1"/>
      </w:pPr>
      <w:r>
        <w:t xml:space="preserve">Description </w:t>
      </w:r>
    </w:p>
    <w:p w14:paraId="6C56C547" w14:textId="24864234" w:rsidR="005E552E" w:rsidRDefault="008E69FD" w:rsidP="005E552E">
      <w:r>
        <w:t xml:space="preserve">The female figurine is a broken wooden figurine representing a female, as shown by the pubic triangle that </w:t>
      </w:r>
      <w:proofErr w:type="gramStart"/>
      <w:r w:rsidR="00EC3D42">
        <w:t>is</w:t>
      </w:r>
      <w:r>
        <w:t xml:space="preserve"> only shown</w:t>
      </w:r>
      <w:proofErr w:type="gramEnd"/>
      <w:r>
        <w:t xml:space="preserve"> on women to show in figurines that the figurine is a female. There is a dent on the top of the head, which could signify a potential headdress that is missing, or that it could connect to something else. </w:t>
      </w:r>
      <w:r w:rsidR="00EB743E">
        <w:t>Additionally, t</w:t>
      </w:r>
      <w:r>
        <w:t xml:space="preserve">he figurine is also missing both arms, </w:t>
      </w:r>
      <w:r w:rsidR="00EC3D42">
        <w:t xml:space="preserve">as there are two holes on each of the sides of the figurine for arms to be stuck into. </w:t>
      </w:r>
      <w:r w:rsidR="00EB743E">
        <w:t xml:space="preserve">Considering there are two sets of holes (so a total of four holes), it brings up the thought that the upper set of holes could be for wings </w:t>
      </w:r>
      <w:r w:rsidR="00EB743E">
        <w:lastRenderedPageBreak/>
        <w:t>and the lower set for the arms.</w:t>
      </w:r>
      <w:r w:rsidR="00A26B2E">
        <w:t xml:space="preserve"> The figurine also has a crude face, and there are no distinguishing features to discern if it is meant to be a specific </w:t>
      </w:r>
      <w:r w:rsidR="006A3780">
        <w:t>woman</w:t>
      </w:r>
      <w:r w:rsidR="00A26B2E">
        <w:t xml:space="preserve"> or </w:t>
      </w:r>
      <w:r w:rsidR="006A3780">
        <w:t>goddess</w:t>
      </w:r>
      <w:r w:rsidR="00A26B2E">
        <w:t>.</w:t>
      </w:r>
    </w:p>
    <w:p w14:paraId="2A20DAB2" w14:textId="57241036" w:rsidR="00651993" w:rsidRDefault="00651993" w:rsidP="005E552E">
      <w:r>
        <w:t xml:space="preserve">There are many ideas on what the female figurine </w:t>
      </w:r>
      <w:proofErr w:type="gramStart"/>
      <w:r w:rsidR="00277921">
        <w:t>was</w:t>
      </w:r>
      <w:r>
        <w:t xml:space="preserve"> used</w:t>
      </w:r>
      <w:proofErr w:type="gramEnd"/>
      <w:r>
        <w:t xml:space="preserve"> for</w:t>
      </w:r>
      <w:r w:rsidR="00A4232B">
        <w:t xml:space="preserve">. </w:t>
      </w:r>
      <w:r w:rsidR="00A26B2E">
        <w:t xml:space="preserve">It could be for </w:t>
      </w:r>
      <w:r w:rsidR="00277921">
        <w:t xml:space="preserve">either </w:t>
      </w:r>
      <w:r w:rsidR="00A26B2E">
        <w:t>everyday uses</w:t>
      </w:r>
      <w:r w:rsidR="00277921">
        <w:t xml:space="preserve"> </w:t>
      </w:r>
      <w:r w:rsidR="00A26B2E">
        <w:t>or for funerary use</w:t>
      </w:r>
      <w:r w:rsidR="00277921">
        <w:t>. A</w:t>
      </w:r>
      <w:r w:rsidR="00A26B2E">
        <w:t>s the female figurine is from unknown origins</w:t>
      </w:r>
      <w:r w:rsidR="00277921">
        <w:t xml:space="preserve">, meaning </w:t>
      </w:r>
      <w:r w:rsidR="00A26B2E">
        <w:t xml:space="preserve">we do not know where it </w:t>
      </w:r>
      <w:proofErr w:type="gramStart"/>
      <w:r w:rsidR="00A26B2E">
        <w:t>was discovered</w:t>
      </w:r>
      <w:proofErr w:type="gramEnd"/>
      <w:r w:rsidR="00A26B2E">
        <w:t xml:space="preserve"> or who found it</w:t>
      </w:r>
      <w:r w:rsidR="00277921">
        <w:t>,</w:t>
      </w:r>
      <w:r w:rsidR="00A26B2E">
        <w:t xml:space="preserve"> it therefore cannot be easily deciphered.</w:t>
      </w:r>
    </w:p>
    <w:p w14:paraId="587319FB" w14:textId="03A75D04" w:rsidR="00410199" w:rsidRDefault="00A26B2E" w:rsidP="005E552E">
      <w:r>
        <w:t xml:space="preserve">If it were to be an everyday item, there are chances it could be a toy, however, the two arm holes would disagree. Two arm holes </w:t>
      </w:r>
      <w:r w:rsidR="00E64B79">
        <w:t>could</w:t>
      </w:r>
      <w:r>
        <w:t xml:space="preserve"> mean</w:t>
      </w:r>
      <w:r w:rsidR="00E64B79">
        <w:t xml:space="preserve"> </w:t>
      </w:r>
      <w:r>
        <w:t>the arms are immobile, and consequently not the best thing for a child to play with</w:t>
      </w:r>
      <w:r w:rsidR="00E64B79">
        <w:t>. O</w:t>
      </w:r>
      <w:r>
        <w:t>r</w:t>
      </w:r>
      <w:r w:rsidR="00E64B79">
        <w:t>,</w:t>
      </w:r>
      <w:r>
        <w:t xml:space="preserve"> there are wings on the figurine and that would likely mean that the figurine is a goddess, and the chances of children playing with figurines of goddesses would be very low. </w:t>
      </w:r>
    </w:p>
    <w:p w14:paraId="303294FF" w14:textId="4D825B94" w:rsidR="00E21FA5" w:rsidRDefault="00A26B2E" w:rsidP="00410199">
      <w:pPr>
        <w:shd w:val="clear" w:color="auto" w:fill="FFFFFF"/>
        <w:rPr>
          <w:rFonts w:eastAsia="Times New Roman" w:cstheme="minorHAnsi"/>
          <w:color w:val="000000"/>
          <w:lang w:eastAsia="en-GB"/>
        </w:rPr>
      </w:pPr>
      <w:r>
        <w:t xml:space="preserve">Another idea of what it could be is a magic item, which can </w:t>
      </w:r>
      <w:proofErr w:type="gramStart"/>
      <w:r>
        <w:t>be used</w:t>
      </w:r>
      <w:proofErr w:type="gramEnd"/>
      <w:r>
        <w:t xml:space="preserve"> for various events. For example, it could be to increase fertility in a woman, as the main reason for divorce was the inability to </w:t>
      </w:r>
      <w:r w:rsidRPr="00410199">
        <w:rPr>
          <w:rFonts w:cstheme="minorHAnsi"/>
        </w:rPr>
        <w:t>provide children</w:t>
      </w:r>
      <w:r w:rsidR="00277921">
        <w:rPr>
          <w:rFonts w:cstheme="minorHAnsi"/>
        </w:rPr>
        <w:t>. O</w:t>
      </w:r>
      <w:r w:rsidRPr="00410199">
        <w:rPr>
          <w:rFonts w:cstheme="minorHAnsi"/>
        </w:rPr>
        <w:t>r it could be to heal any other problem within a person’s body, like a snake bite</w:t>
      </w:r>
      <w:r w:rsidR="00410199" w:rsidRPr="00410199">
        <w:rPr>
          <w:rFonts w:cstheme="minorHAnsi"/>
        </w:rPr>
        <w:t xml:space="preserve">. </w:t>
      </w:r>
      <w:r w:rsidR="00410199">
        <w:rPr>
          <w:rFonts w:cstheme="minorHAnsi"/>
        </w:rPr>
        <w:t xml:space="preserve">Moreover, </w:t>
      </w:r>
      <w:r w:rsidR="00410199" w:rsidRPr="00410199">
        <w:rPr>
          <w:rFonts w:cstheme="minorHAnsi"/>
        </w:rPr>
        <w:t>“</w:t>
      </w:r>
      <w:r w:rsidR="00410199" w:rsidRPr="00410199">
        <w:rPr>
          <w:rFonts w:eastAsia="Times New Roman" w:cstheme="minorHAnsi"/>
          <w:color w:val="000000"/>
          <w:lang w:eastAsia="en-GB"/>
        </w:rPr>
        <w:t xml:space="preserve">some  anti-venom  spells call for objects like a </w:t>
      </w:r>
      <w:proofErr w:type="spellStart"/>
      <w:r w:rsidR="00410199" w:rsidRPr="00410199">
        <w:rPr>
          <w:rFonts w:eastAsia="Times New Roman" w:cstheme="minorHAnsi"/>
          <w:i/>
          <w:iCs/>
          <w:color w:val="000000"/>
          <w:lang w:eastAsia="en-GB"/>
        </w:rPr>
        <w:t>rpyt</w:t>
      </w:r>
      <w:proofErr w:type="spellEnd"/>
      <w:r w:rsidR="00410199" w:rsidRPr="00410199">
        <w:rPr>
          <w:rFonts w:eastAsia="Times New Roman" w:cstheme="minorHAnsi"/>
          <w:i/>
          <w:iCs/>
          <w:color w:val="000000"/>
          <w:lang w:eastAsia="en-GB"/>
        </w:rPr>
        <w:t xml:space="preserve"> </w:t>
      </w:r>
      <w:proofErr w:type="spellStart"/>
      <w:r w:rsidR="00410199" w:rsidRPr="00410199">
        <w:rPr>
          <w:rFonts w:eastAsia="Times New Roman" w:cstheme="minorHAnsi"/>
          <w:i/>
          <w:iCs/>
          <w:color w:val="000000"/>
          <w:lang w:eastAsia="en-GB"/>
        </w:rPr>
        <w:t>Ast</w:t>
      </w:r>
      <w:proofErr w:type="spellEnd"/>
      <w:r w:rsidR="00410199" w:rsidRPr="00410199">
        <w:rPr>
          <w:rFonts w:eastAsia="Times New Roman" w:cstheme="minorHAnsi"/>
          <w:i/>
          <w:iCs/>
          <w:color w:val="000000"/>
          <w:lang w:eastAsia="en-GB"/>
        </w:rPr>
        <w:t xml:space="preserve"> m </w:t>
      </w:r>
      <w:proofErr w:type="spellStart"/>
      <w:r w:rsidR="00410199" w:rsidRPr="00410199">
        <w:rPr>
          <w:rFonts w:eastAsia="Times New Roman" w:cstheme="minorHAnsi"/>
          <w:i/>
          <w:iCs/>
          <w:color w:val="000000"/>
          <w:lang w:eastAsia="en-GB"/>
        </w:rPr>
        <w:t>xt</w:t>
      </w:r>
      <w:proofErr w:type="spellEnd"/>
      <w:r w:rsidR="00410199" w:rsidRPr="00410199">
        <w:rPr>
          <w:rFonts w:eastAsia="Times New Roman" w:cstheme="minorHAnsi"/>
          <w:i/>
          <w:iCs/>
          <w:color w:val="000000"/>
          <w:lang w:eastAsia="en-GB"/>
        </w:rPr>
        <w:t xml:space="preserve"> n </w:t>
      </w:r>
      <w:proofErr w:type="spellStart"/>
      <w:r w:rsidR="00410199" w:rsidRPr="00410199">
        <w:rPr>
          <w:rFonts w:eastAsia="Times New Roman" w:cstheme="minorHAnsi"/>
          <w:i/>
          <w:iCs/>
          <w:color w:val="000000"/>
          <w:lang w:eastAsia="en-GB"/>
        </w:rPr>
        <w:t>sDt</w:t>
      </w:r>
      <w:proofErr w:type="spellEnd"/>
      <w:r w:rsidR="00410199" w:rsidRPr="00410199">
        <w:rPr>
          <w:rFonts w:eastAsia="Times New Roman" w:cstheme="minorHAnsi"/>
          <w:color w:val="000000"/>
          <w:lang w:eastAsia="en-GB"/>
        </w:rPr>
        <w:t>, a</w:t>
      </w:r>
      <w:r w:rsidR="00410199">
        <w:rPr>
          <w:rFonts w:eastAsia="Times New Roman" w:cstheme="minorHAnsi"/>
          <w:color w:val="000000"/>
          <w:lang w:eastAsia="en-GB"/>
        </w:rPr>
        <w:t xml:space="preserve"> </w:t>
      </w:r>
      <w:r w:rsidR="00312A85">
        <w:rPr>
          <w:rFonts w:eastAsia="Times New Roman" w:cstheme="minorHAnsi"/>
          <w:color w:val="000000"/>
          <w:lang w:eastAsia="en-GB"/>
        </w:rPr>
        <w:t>‘</w:t>
      </w:r>
      <w:r w:rsidR="00410199" w:rsidRPr="00410199">
        <w:rPr>
          <w:rFonts w:eastAsia="Times New Roman" w:cstheme="minorHAnsi"/>
          <w:color w:val="000000"/>
          <w:lang w:eastAsia="en-GB"/>
        </w:rPr>
        <w:t>female  figure  of  Isis  in  firewood</w:t>
      </w:r>
      <w:r w:rsidR="00312A85">
        <w:rPr>
          <w:rFonts w:eastAsia="Times New Roman" w:cstheme="minorHAnsi"/>
          <w:color w:val="000000"/>
          <w:lang w:eastAsia="en-GB"/>
        </w:rPr>
        <w:t>’</w:t>
      </w:r>
      <w:r w:rsidR="00410199" w:rsidRPr="00410199">
        <w:rPr>
          <w:rFonts w:eastAsia="Times New Roman" w:cstheme="minorHAnsi"/>
          <w:color w:val="000000"/>
          <w:lang w:eastAsia="en-GB"/>
        </w:rPr>
        <w:t xml:space="preserve">  (BM  EA  9997 + 10309, V, 3: </w:t>
      </w:r>
      <w:proofErr w:type="spellStart"/>
      <w:r w:rsidR="00410199" w:rsidRPr="00410199">
        <w:rPr>
          <w:rFonts w:eastAsia="Times New Roman" w:cstheme="minorHAnsi"/>
          <w:color w:val="000000"/>
          <w:lang w:eastAsia="en-GB"/>
        </w:rPr>
        <w:t>Leitz</w:t>
      </w:r>
      <w:proofErr w:type="spellEnd"/>
      <w:r w:rsidR="00410199" w:rsidRPr="00410199">
        <w:rPr>
          <w:rFonts w:eastAsia="Times New Roman" w:cstheme="minorHAnsi"/>
          <w:color w:val="000000"/>
          <w:lang w:eastAsia="en-GB"/>
        </w:rPr>
        <w:t xml:space="preserve"> 1999: 8 - 11)”</w:t>
      </w:r>
      <w:r w:rsidR="00BA2330">
        <w:rPr>
          <w:rStyle w:val="FootnoteReference"/>
          <w:rFonts w:eastAsia="Times New Roman" w:cstheme="minorHAnsi"/>
          <w:color w:val="000000"/>
          <w:lang w:eastAsia="en-GB"/>
        </w:rPr>
        <w:footnoteReference w:id="1"/>
      </w:r>
      <w:r w:rsidR="00BA2330">
        <w:rPr>
          <w:rFonts w:eastAsia="Times New Roman" w:cstheme="minorHAnsi"/>
          <w:color w:val="000000"/>
          <w:lang w:eastAsia="en-GB"/>
        </w:rPr>
        <w:t xml:space="preserve">,  </w:t>
      </w:r>
      <w:r w:rsidR="00410199">
        <w:rPr>
          <w:rFonts w:eastAsia="Times New Roman" w:cstheme="minorHAnsi"/>
          <w:color w:val="000000"/>
          <w:lang w:eastAsia="en-GB"/>
        </w:rPr>
        <w:t>which proves that it could definitely be a magic item or represent Isis in some way.</w:t>
      </w:r>
      <w:r w:rsidR="003D63C6">
        <w:rPr>
          <w:rFonts w:eastAsia="Times New Roman" w:cstheme="minorHAnsi"/>
          <w:color w:val="000000"/>
          <w:lang w:eastAsia="en-GB"/>
        </w:rPr>
        <w:t xml:space="preserve"> </w:t>
      </w:r>
      <w:r w:rsidR="005E5EF4">
        <w:rPr>
          <w:rFonts w:eastAsia="Times New Roman" w:cstheme="minorHAnsi"/>
          <w:color w:val="000000"/>
          <w:lang w:eastAsia="en-GB"/>
        </w:rPr>
        <w:t xml:space="preserve">If it is a magic item, then the likelihood is that it would </w:t>
      </w:r>
      <w:proofErr w:type="gramStart"/>
      <w:r w:rsidR="005E5EF4">
        <w:rPr>
          <w:rFonts w:eastAsia="Times New Roman" w:cstheme="minorHAnsi"/>
          <w:color w:val="000000"/>
          <w:lang w:eastAsia="en-GB"/>
        </w:rPr>
        <w:t>be owned</w:t>
      </w:r>
      <w:proofErr w:type="gramEnd"/>
      <w:r w:rsidR="005E5EF4">
        <w:rPr>
          <w:rFonts w:eastAsia="Times New Roman" w:cstheme="minorHAnsi"/>
          <w:color w:val="000000"/>
          <w:lang w:eastAsia="en-GB"/>
        </w:rPr>
        <w:t xml:space="preserve"> by a priest or a magician, who were mostly men.</w:t>
      </w:r>
      <w:r w:rsidR="00BA2330">
        <w:rPr>
          <w:rFonts w:eastAsia="Times New Roman" w:cstheme="minorHAnsi"/>
          <w:color w:val="000000"/>
          <w:lang w:eastAsia="en-GB"/>
        </w:rPr>
        <w:t xml:space="preserve"> To support this, it is said that female figurines have been excavated as part of a magician’s kit</w:t>
      </w:r>
      <w:r w:rsidR="004E6262">
        <w:rPr>
          <w:rFonts w:eastAsia="Times New Roman" w:cstheme="minorHAnsi"/>
          <w:color w:val="000000"/>
          <w:lang w:eastAsia="en-GB"/>
        </w:rPr>
        <w:t>.</w:t>
      </w:r>
      <w:r w:rsidR="00BA2330">
        <w:rPr>
          <w:rStyle w:val="FootnoteReference"/>
          <w:rFonts w:eastAsia="Times New Roman" w:cstheme="minorHAnsi"/>
          <w:color w:val="000000"/>
          <w:lang w:eastAsia="en-GB"/>
        </w:rPr>
        <w:footnoteReference w:id="2"/>
      </w:r>
      <w:r w:rsidR="004E6262">
        <w:rPr>
          <w:rFonts w:eastAsia="Times New Roman" w:cstheme="minorHAnsi"/>
          <w:color w:val="000000"/>
          <w:lang w:eastAsia="en-GB"/>
        </w:rPr>
        <w:t xml:space="preserve"> </w:t>
      </w:r>
      <w:r w:rsidR="009D5A50">
        <w:rPr>
          <w:rFonts w:eastAsia="Times New Roman" w:cstheme="minorHAnsi"/>
          <w:color w:val="000000"/>
          <w:lang w:eastAsia="en-GB"/>
        </w:rPr>
        <w:t>Additionally, the female figurine would be made to be generic</w:t>
      </w:r>
      <w:r w:rsidR="0032190C">
        <w:rPr>
          <w:rFonts w:eastAsia="Times New Roman" w:cstheme="minorHAnsi"/>
          <w:color w:val="000000"/>
          <w:lang w:eastAsia="en-GB"/>
        </w:rPr>
        <w:t xml:space="preserve"> </w:t>
      </w:r>
      <w:r w:rsidR="009D5A50">
        <w:rPr>
          <w:rFonts w:eastAsia="Times New Roman" w:cstheme="minorHAnsi"/>
          <w:color w:val="000000"/>
          <w:lang w:eastAsia="en-GB"/>
        </w:rPr>
        <w:t>but still obviously a goddess, so they could serve as any goddess as needed, and to also protect the goddess from receiving the ailment they are supposed to be healing.</w:t>
      </w:r>
      <w:r w:rsidR="009D5A50">
        <w:rPr>
          <w:rStyle w:val="FootnoteReference"/>
          <w:rFonts w:eastAsia="Times New Roman" w:cstheme="minorHAnsi"/>
          <w:color w:val="000000"/>
          <w:lang w:eastAsia="en-GB"/>
        </w:rPr>
        <w:footnoteReference w:id="3"/>
      </w:r>
      <w:r w:rsidR="009D5A50">
        <w:rPr>
          <w:rFonts w:eastAsia="Times New Roman" w:cstheme="minorHAnsi"/>
          <w:color w:val="000000"/>
          <w:lang w:eastAsia="en-GB"/>
        </w:rPr>
        <w:t xml:space="preserve"> </w:t>
      </w:r>
      <w:r w:rsidR="00AD5386">
        <w:rPr>
          <w:rFonts w:eastAsia="Times New Roman" w:cstheme="minorHAnsi"/>
          <w:color w:val="000000"/>
          <w:lang w:eastAsia="en-GB"/>
        </w:rPr>
        <w:t xml:space="preserve">Thus, for the female figurine to be used by priests or magicians (or just any healer, male or female) would be very believable. </w:t>
      </w:r>
    </w:p>
    <w:p w14:paraId="031CD5E9" w14:textId="1861873C" w:rsidR="00410199" w:rsidRDefault="004E6262" w:rsidP="00410199">
      <w:pPr>
        <w:shd w:val="clear" w:color="auto" w:fill="FFFFFF"/>
        <w:rPr>
          <w:rFonts w:eastAsia="Times New Roman" w:cstheme="minorHAnsi"/>
          <w:color w:val="000000"/>
          <w:lang w:eastAsia="en-GB"/>
        </w:rPr>
      </w:pPr>
      <w:r>
        <w:rPr>
          <w:rFonts w:eastAsia="Times New Roman" w:cstheme="minorHAnsi"/>
          <w:color w:val="000000"/>
          <w:lang w:eastAsia="en-GB"/>
        </w:rPr>
        <w:t xml:space="preserve">Alternatively, it could even be a curse item, to be used on the female enemies of Egypt, like how Queen Nefertiti has been shown to smite the female enemies of Egypt just as a Pharaoh </w:t>
      </w:r>
      <w:r w:rsidRPr="009D5A50">
        <w:rPr>
          <w:rFonts w:eastAsia="Times New Roman" w:cstheme="minorHAnsi"/>
          <w:color w:val="000000"/>
          <w:lang w:eastAsia="en-GB"/>
        </w:rPr>
        <w:t>would smite the male enemies of Egypt.</w:t>
      </w:r>
      <w:r w:rsidRPr="009D5A50">
        <w:rPr>
          <w:rStyle w:val="FootnoteReference"/>
          <w:rFonts w:eastAsia="Times New Roman" w:cstheme="minorHAnsi"/>
          <w:color w:val="000000"/>
          <w:lang w:eastAsia="en-GB"/>
        </w:rPr>
        <w:footnoteReference w:id="4"/>
      </w:r>
      <w:r w:rsidRPr="009D5A50">
        <w:rPr>
          <w:rFonts w:eastAsia="Times New Roman" w:cstheme="minorHAnsi"/>
          <w:color w:val="000000"/>
          <w:lang w:eastAsia="en-GB"/>
        </w:rPr>
        <w:t xml:space="preserve">  </w:t>
      </w:r>
      <w:r w:rsidR="009D5A50" w:rsidRPr="009D5A50">
        <w:rPr>
          <w:rFonts w:eastAsia="Times New Roman" w:cstheme="minorHAnsi"/>
          <w:color w:val="000000"/>
          <w:lang w:eastAsia="en-GB"/>
        </w:rPr>
        <w:t xml:space="preserve">This would also fit into the ownership of the female figurine, as </w:t>
      </w:r>
      <w:r w:rsidR="009D5A50">
        <w:rPr>
          <w:rFonts w:eastAsia="Times New Roman" w:cstheme="minorHAnsi"/>
          <w:color w:val="000000"/>
          <w:lang w:eastAsia="en-GB"/>
        </w:rPr>
        <w:t>“</w:t>
      </w:r>
      <w:r w:rsidR="009D5A50" w:rsidRPr="009D5A50">
        <w:rPr>
          <w:rFonts w:cstheme="minorHAnsi"/>
          <w:shd w:val="clear" w:color="auto" w:fill="FFFFFF"/>
        </w:rPr>
        <w:t>In their role as defenders of the faith, they [priests] were also expected to be able to display the power of their god against those of any other nation</w:t>
      </w:r>
      <w:r w:rsidR="00E21FA5">
        <w:rPr>
          <w:rFonts w:cstheme="minorHAnsi"/>
          <w:shd w:val="clear" w:color="auto" w:fill="FFFFFF"/>
        </w:rPr>
        <w:t>.</w:t>
      </w:r>
      <w:r w:rsidR="009D5A50">
        <w:rPr>
          <w:rFonts w:cstheme="minorHAnsi"/>
          <w:shd w:val="clear" w:color="auto" w:fill="FFFFFF"/>
        </w:rPr>
        <w:t>”</w:t>
      </w:r>
      <w:r w:rsidR="009D5A50">
        <w:rPr>
          <w:rStyle w:val="FootnoteReference"/>
          <w:rFonts w:cstheme="minorHAnsi"/>
          <w:shd w:val="clear" w:color="auto" w:fill="FFFFFF"/>
        </w:rPr>
        <w:footnoteReference w:id="5"/>
      </w:r>
      <w:r w:rsidR="00E21FA5">
        <w:rPr>
          <w:rFonts w:cstheme="minorHAnsi"/>
          <w:shd w:val="clear" w:color="auto" w:fill="FFFFFF"/>
        </w:rPr>
        <w:t xml:space="preserve"> There is also a chance that it could be owned by a priestess, rather than a priest, to corroborate the fact that only females could smite or harm the female enemies of Egypt, as there is no known </w:t>
      </w:r>
      <w:r w:rsidR="00ED1EA6">
        <w:rPr>
          <w:rFonts w:cstheme="minorHAnsi"/>
          <w:shd w:val="clear" w:color="auto" w:fill="FFFFFF"/>
        </w:rPr>
        <w:t xml:space="preserve">instance </w:t>
      </w:r>
      <w:r w:rsidR="00E21FA5">
        <w:rPr>
          <w:rFonts w:cstheme="minorHAnsi"/>
          <w:shd w:val="clear" w:color="auto" w:fill="FFFFFF"/>
        </w:rPr>
        <w:t>that the Pharaoh would smite the female enemies, only the males.</w:t>
      </w:r>
      <w:r w:rsidR="00ED1EA6">
        <w:rPr>
          <w:rFonts w:cstheme="minorHAnsi"/>
          <w:shd w:val="clear" w:color="auto" w:fill="FFFFFF"/>
        </w:rPr>
        <w:t xml:space="preserve"> Therefore, the idea that </w:t>
      </w:r>
      <w:r w:rsidR="00CE3E06">
        <w:rPr>
          <w:rFonts w:cstheme="minorHAnsi"/>
          <w:shd w:val="clear" w:color="auto" w:fill="FFFFFF"/>
        </w:rPr>
        <w:t>females could use the female figurines</w:t>
      </w:r>
      <w:r w:rsidR="00ED1EA6">
        <w:rPr>
          <w:rFonts w:cstheme="minorHAnsi"/>
          <w:shd w:val="clear" w:color="auto" w:fill="FFFFFF"/>
        </w:rPr>
        <w:t xml:space="preserve"> to help the Egyptian state is </w:t>
      </w:r>
      <w:r w:rsidR="00AD5386">
        <w:rPr>
          <w:rFonts w:cstheme="minorHAnsi"/>
          <w:shd w:val="clear" w:color="auto" w:fill="FFFFFF"/>
        </w:rPr>
        <w:t>most definitely possible, however not widely believed.</w:t>
      </w:r>
    </w:p>
    <w:p w14:paraId="24E82D2D" w14:textId="3D7A524E" w:rsidR="00A26B2E" w:rsidRDefault="009B3457" w:rsidP="00AD5386">
      <w:pPr>
        <w:shd w:val="clear" w:color="auto" w:fill="FFFFFF"/>
        <w:rPr>
          <w:rFonts w:eastAsia="Times New Roman" w:cstheme="minorHAnsi"/>
          <w:color w:val="000000"/>
          <w:lang w:eastAsia="en-GB"/>
        </w:rPr>
      </w:pPr>
      <w:r>
        <w:rPr>
          <w:rFonts w:eastAsia="Times New Roman" w:cstheme="minorHAnsi"/>
          <w:color w:val="000000"/>
          <w:lang w:eastAsia="en-GB"/>
        </w:rPr>
        <w:t>Conclusively, it is most convincing for the</w:t>
      </w:r>
      <w:r w:rsidR="003D63C6">
        <w:rPr>
          <w:rFonts w:eastAsia="Times New Roman" w:cstheme="minorHAnsi"/>
          <w:color w:val="000000"/>
          <w:lang w:eastAsia="en-GB"/>
        </w:rPr>
        <w:t xml:space="preserve"> </w:t>
      </w:r>
      <w:r>
        <w:rPr>
          <w:rFonts w:eastAsia="Times New Roman" w:cstheme="minorHAnsi"/>
          <w:color w:val="000000"/>
          <w:lang w:eastAsia="en-GB"/>
        </w:rPr>
        <w:t>female</w:t>
      </w:r>
      <w:r w:rsidR="003D63C6">
        <w:rPr>
          <w:rFonts w:eastAsia="Times New Roman" w:cstheme="minorHAnsi"/>
          <w:color w:val="000000"/>
          <w:lang w:eastAsia="en-GB"/>
        </w:rPr>
        <w:t xml:space="preserve"> figure </w:t>
      </w:r>
      <w:r>
        <w:rPr>
          <w:rFonts w:eastAsia="Times New Roman" w:cstheme="minorHAnsi"/>
          <w:color w:val="000000"/>
          <w:lang w:eastAsia="en-GB"/>
        </w:rPr>
        <w:t>to</w:t>
      </w:r>
      <w:r w:rsidR="003D63C6">
        <w:rPr>
          <w:rFonts w:eastAsia="Times New Roman" w:cstheme="minorHAnsi"/>
          <w:color w:val="000000"/>
          <w:lang w:eastAsia="en-GB"/>
        </w:rPr>
        <w:t xml:space="preserve"> be representing a goddess</w:t>
      </w:r>
      <w:r>
        <w:rPr>
          <w:rFonts w:eastAsia="Times New Roman" w:cstheme="minorHAnsi"/>
          <w:color w:val="000000"/>
          <w:lang w:eastAsia="en-GB"/>
        </w:rPr>
        <w:t>, as t</w:t>
      </w:r>
      <w:r w:rsidR="00EF3591">
        <w:rPr>
          <w:rFonts w:eastAsia="Times New Roman" w:cstheme="minorHAnsi"/>
          <w:color w:val="000000"/>
          <w:lang w:eastAsia="en-GB"/>
        </w:rPr>
        <w:t xml:space="preserve">his is the most </w:t>
      </w:r>
      <w:r>
        <w:rPr>
          <w:rFonts w:eastAsia="Times New Roman" w:cstheme="minorHAnsi"/>
          <w:color w:val="000000"/>
          <w:lang w:eastAsia="en-GB"/>
        </w:rPr>
        <w:t>accommodating</w:t>
      </w:r>
      <w:r w:rsidR="00EF3591">
        <w:rPr>
          <w:rFonts w:eastAsia="Times New Roman" w:cstheme="minorHAnsi"/>
          <w:color w:val="000000"/>
          <w:lang w:eastAsia="en-GB"/>
        </w:rPr>
        <w:t xml:space="preserve"> answer to what the female figurine is supposed to represent as there would be many uses for a female figurine, even a wooden one. </w:t>
      </w:r>
      <w:r w:rsidR="00AD5386">
        <w:rPr>
          <w:rFonts w:eastAsia="Times New Roman" w:cstheme="minorHAnsi"/>
          <w:color w:val="000000"/>
          <w:lang w:eastAsia="en-GB"/>
        </w:rPr>
        <w:t xml:space="preserve">As a generic female figurine representing a goddess, there are many uses for it. </w:t>
      </w:r>
      <w:r w:rsidR="00CE3E06">
        <w:rPr>
          <w:rFonts w:eastAsia="Times New Roman" w:cstheme="minorHAnsi"/>
          <w:color w:val="000000"/>
          <w:lang w:eastAsia="en-GB"/>
        </w:rPr>
        <w:t>F</w:t>
      </w:r>
      <w:r w:rsidR="00AD5386">
        <w:rPr>
          <w:rFonts w:eastAsia="Times New Roman" w:cstheme="minorHAnsi"/>
          <w:color w:val="000000"/>
          <w:lang w:eastAsia="en-GB"/>
        </w:rPr>
        <w:t xml:space="preserve">or </w:t>
      </w:r>
      <w:r w:rsidR="00CE3E06">
        <w:rPr>
          <w:rFonts w:eastAsia="Times New Roman" w:cstheme="minorHAnsi"/>
          <w:color w:val="000000"/>
          <w:lang w:eastAsia="en-GB"/>
        </w:rPr>
        <w:t xml:space="preserve">instance, </w:t>
      </w:r>
      <w:r w:rsidR="00AD5386">
        <w:rPr>
          <w:rFonts w:eastAsia="Times New Roman" w:cstheme="minorHAnsi"/>
          <w:color w:val="000000"/>
          <w:lang w:eastAsia="en-GB"/>
        </w:rPr>
        <w:t>everyday rituals within the household</w:t>
      </w:r>
      <w:r w:rsidR="003C0FF5">
        <w:rPr>
          <w:rFonts w:eastAsia="Times New Roman" w:cstheme="minorHAnsi"/>
          <w:color w:val="000000"/>
          <w:lang w:eastAsia="en-GB"/>
        </w:rPr>
        <w:t>. T</w:t>
      </w:r>
      <w:r w:rsidR="00AD5386">
        <w:rPr>
          <w:rFonts w:eastAsia="Times New Roman" w:cstheme="minorHAnsi"/>
          <w:color w:val="000000"/>
          <w:lang w:eastAsia="en-GB"/>
        </w:rPr>
        <w:t>he house</w:t>
      </w:r>
      <w:r w:rsidR="003C0FF5">
        <w:rPr>
          <w:rFonts w:eastAsia="Times New Roman" w:cstheme="minorHAnsi"/>
          <w:color w:val="000000"/>
          <w:lang w:eastAsia="en-GB"/>
        </w:rPr>
        <w:t>hold</w:t>
      </w:r>
      <w:r w:rsidR="00AD5386">
        <w:rPr>
          <w:rFonts w:eastAsia="Times New Roman" w:cstheme="minorHAnsi"/>
          <w:color w:val="000000"/>
          <w:lang w:eastAsia="en-GB"/>
        </w:rPr>
        <w:t xml:space="preserve"> would sacrifice a portion of their daily food for protection, making the relationship between the gods and humans a </w:t>
      </w:r>
      <w:r w:rsidR="00AD5386">
        <w:rPr>
          <w:rFonts w:eastAsia="Times New Roman" w:cstheme="minorHAnsi"/>
          <w:i/>
          <w:iCs/>
          <w:color w:val="000000"/>
          <w:lang w:eastAsia="en-GB"/>
        </w:rPr>
        <w:t>quid pro quo</w:t>
      </w:r>
      <w:r w:rsidR="00AD5386">
        <w:rPr>
          <w:rFonts w:eastAsia="Times New Roman" w:cstheme="minorHAnsi"/>
          <w:color w:val="000000"/>
          <w:lang w:eastAsia="en-GB"/>
        </w:rPr>
        <w:t xml:space="preserve"> relationship, much like the Greeks and Romans after them.</w:t>
      </w:r>
      <w:r w:rsidR="00AD5386">
        <w:rPr>
          <w:rStyle w:val="FootnoteReference"/>
          <w:rFonts w:eastAsia="Times New Roman" w:cstheme="minorHAnsi"/>
          <w:color w:val="000000"/>
          <w:lang w:eastAsia="en-GB"/>
        </w:rPr>
        <w:footnoteReference w:id="6"/>
      </w:r>
      <w:r w:rsidR="003C0FF5">
        <w:rPr>
          <w:rFonts w:eastAsia="Times New Roman" w:cstheme="minorHAnsi"/>
          <w:color w:val="000000"/>
          <w:lang w:eastAsia="en-GB"/>
        </w:rPr>
        <w:t xml:space="preserve"> This is shown in Figure 4, which is described as a </w:t>
      </w:r>
      <w:r w:rsidR="006E244D">
        <w:rPr>
          <w:rFonts w:eastAsia="Times New Roman" w:cstheme="minorHAnsi"/>
          <w:color w:val="000000"/>
          <w:lang w:eastAsia="en-GB"/>
        </w:rPr>
        <w:t xml:space="preserve">wooden </w:t>
      </w:r>
      <w:r w:rsidR="003C0FF5">
        <w:rPr>
          <w:rFonts w:eastAsia="Times New Roman" w:cstheme="minorHAnsi"/>
          <w:color w:val="000000"/>
          <w:lang w:eastAsia="en-GB"/>
        </w:rPr>
        <w:t>servant holding a box of offering on her head</w:t>
      </w:r>
      <w:r w:rsidR="006E244D">
        <w:rPr>
          <w:rFonts w:eastAsia="Times New Roman" w:cstheme="minorHAnsi"/>
          <w:color w:val="000000"/>
          <w:lang w:eastAsia="en-GB"/>
        </w:rPr>
        <w:t>, supposedly from around the Middle Kingdom (dated around 2040 – 1783 BC).</w:t>
      </w:r>
      <w:r>
        <w:rPr>
          <w:rFonts w:eastAsia="Times New Roman" w:cstheme="minorHAnsi"/>
          <w:color w:val="000000"/>
          <w:lang w:eastAsia="en-GB"/>
        </w:rPr>
        <w:t xml:space="preserve"> However, </w:t>
      </w:r>
      <w:proofErr w:type="gramStart"/>
      <w:r w:rsidR="006E244D">
        <w:rPr>
          <w:rFonts w:eastAsia="Times New Roman" w:cstheme="minorHAnsi"/>
          <w:color w:val="000000"/>
          <w:lang w:eastAsia="en-GB"/>
        </w:rPr>
        <w:lastRenderedPageBreak/>
        <w:t>being used</w:t>
      </w:r>
      <w:proofErr w:type="gramEnd"/>
      <w:r w:rsidR="006E244D">
        <w:rPr>
          <w:rFonts w:eastAsia="Times New Roman" w:cstheme="minorHAnsi"/>
          <w:color w:val="000000"/>
          <w:lang w:eastAsia="en-GB"/>
        </w:rPr>
        <w:t xml:space="preserve"> for household rituals for protection</w:t>
      </w:r>
      <w:r>
        <w:rPr>
          <w:rFonts w:eastAsia="Times New Roman" w:cstheme="minorHAnsi"/>
          <w:color w:val="000000"/>
          <w:lang w:eastAsia="en-GB"/>
        </w:rPr>
        <w:t xml:space="preserve"> would not </w:t>
      </w:r>
      <w:r w:rsidR="006E244D">
        <w:rPr>
          <w:rFonts w:eastAsia="Times New Roman" w:cstheme="minorHAnsi"/>
          <w:color w:val="000000"/>
          <w:lang w:eastAsia="en-GB"/>
        </w:rPr>
        <w:t xml:space="preserve">necessarily </w:t>
      </w:r>
      <w:r>
        <w:rPr>
          <w:rFonts w:eastAsia="Times New Roman" w:cstheme="minorHAnsi"/>
          <w:color w:val="000000"/>
          <w:lang w:eastAsia="en-GB"/>
        </w:rPr>
        <w:t>explain the break if it is intentional</w:t>
      </w:r>
      <w:r w:rsidR="007E2FE4">
        <w:rPr>
          <w:rFonts w:eastAsia="Times New Roman" w:cstheme="minorHAnsi"/>
          <w:color w:val="000000"/>
          <w:lang w:eastAsia="en-GB"/>
        </w:rPr>
        <w:t>.</w:t>
      </w:r>
      <w:r w:rsidR="003C0FF5">
        <w:rPr>
          <w:rFonts w:eastAsia="Times New Roman" w:cstheme="minorHAnsi"/>
          <w:color w:val="000000"/>
          <w:lang w:eastAsia="en-GB"/>
        </w:rPr>
        <w:t xml:space="preserve"> </w:t>
      </w:r>
      <w:r w:rsidR="007E2FE4">
        <w:rPr>
          <w:rFonts w:eastAsia="Times New Roman" w:cstheme="minorHAnsi"/>
          <w:color w:val="000000"/>
          <w:lang w:eastAsia="en-GB"/>
        </w:rPr>
        <w:t xml:space="preserve">So, if the object is considered to be for a ritualistic use, </w:t>
      </w:r>
      <w:r w:rsidR="003C0FF5">
        <w:rPr>
          <w:rFonts w:eastAsia="Times New Roman" w:cstheme="minorHAnsi"/>
          <w:color w:val="000000"/>
          <w:lang w:eastAsia="en-GB"/>
        </w:rPr>
        <w:t>the break would be coincidental.</w:t>
      </w:r>
      <w:r>
        <w:rPr>
          <w:rFonts w:eastAsia="Times New Roman" w:cstheme="minorHAnsi"/>
          <w:color w:val="000000"/>
          <w:lang w:eastAsia="en-GB"/>
        </w:rPr>
        <w:t xml:space="preserve"> Therefore, the most apparent use for this specific female figurine, considering the break around the hips</w:t>
      </w:r>
      <w:r w:rsidR="00D2304A">
        <w:rPr>
          <w:rFonts w:eastAsia="Times New Roman" w:cstheme="minorHAnsi"/>
          <w:color w:val="000000"/>
          <w:lang w:eastAsia="en-GB"/>
        </w:rPr>
        <w:t>/</w:t>
      </w:r>
      <w:r>
        <w:rPr>
          <w:rFonts w:eastAsia="Times New Roman" w:cstheme="minorHAnsi"/>
          <w:color w:val="000000"/>
          <w:lang w:eastAsia="en-GB"/>
        </w:rPr>
        <w:t xml:space="preserve">upper thighs, would be a </w:t>
      </w:r>
      <w:r w:rsidR="006E244D"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20DCF5B" wp14:editId="298AC153">
                <wp:simplePos x="0" y="0"/>
                <wp:positionH relativeFrom="column">
                  <wp:posOffset>3769360</wp:posOffset>
                </wp:positionH>
                <wp:positionV relativeFrom="paragraph">
                  <wp:posOffset>3476625</wp:posOffset>
                </wp:positionV>
                <wp:extent cx="286956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5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5BCBF0" w14:textId="79D3D747" w:rsidR="006E244D" w:rsidRPr="00F30465" w:rsidRDefault="006E244D" w:rsidP="006E244D">
                            <w:pPr>
                              <w:pStyle w:val="Caption"/>
                              <w:rPr>
                                <w:rFonts w:eastAsia="Times New Roman" w:cstheme="minorHAnsi"/>
                                <w:color w:val="000000"/>
                              </w:rPr>
                            </w:pPr>
                            <w:r>
                              <w:t xml:space="preserve">Figure 4 Egyptian Wood Offering Bearer, taken from </w:t>
                            </w:r>
                            <w:r w:rsidRPr="002A47AE">
                              <w:t>https://www.christies.com/lotfinder/Lot/an-egyptian-wood-offering-bearer-middle-kingdom-3831642-details.aspx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DCF5B" id="Text Box 8" o:spid="_x0000_s1029" type="#_x0000_t202" style="position:absolute;margin-left:296.8pt;margin-top:273.75pt;width:225.95pt;height:.0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" stroked="f">
                <v:textbox style="mso-fit-shape-to-text:t" inset="0,0,0,0">
                  <w:txbxContent>
                    <w:p w14:paraId="6C5BCBF0" w14:textId="79D3D747" w:rsidR="006E244D" w:rsidRPr="00F30465" w:rsidRDefault="006E244D" w:rsidP="006E244D">
                      <w:pPr>
                        <w:pStyle w:val="Caption"/>
                        <w:rPr>
                          <w:rFonts w:eastAsia="Times New Roman" w:cstheme="minorHAnsi"/>
                          <w:color w:val="000000"/>
                        </w:rPr>
                      </w:pPr>
                      <w:r>
                        <w:t xml:space="preserve">Figure 4 Egyptian Wood Offering Bearer, taken from </w:t>
                      </w:r>
                      <w:r w:rsidRPr="002A47AE">
                        <w:t>https://www.christies.com/lotfinder/Lot/an-egyptian-wood-offering-bearer-middle-kingdom-3831642-details.aspx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C0FF5">
        <w:rPr>
          <w:noProof/>
        </w:rPr>
        <w:drawing>
          <wp:anchor distT="0" distB="0" distL="114300" distR="114300" simplePos="0" relativeHeight="251667456" behindDoc="1" locked="0" layoutInCell="1" allowOverlap="1" wp14:anchorId="4F6FB41B" wp14:editId="14154C63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2869565" cy="3419475"/>
            <wp:effectExtent l="0" t="0" r="6985" b="9525"/>
            <wp:wrapTight wrapText="bothSides">
              <wp:wrapPolygon edited="0">
                <wp:start x="0" y="0"/>
                <wp:lineTo x="0" y="21540"/>
                <wp:lineTo x="21509" y="21540"/>
                <wp:lineTo x="21509" y="0"/>
                <wp:lineTo x="0" y="0"/>
              </wp:wrapPolygon>
            </wp:wrapTight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6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  <w:color w:val="000000"/>
          <w:lang w:eastAsia="en-GB"/>
        </w:rPr>
        <w:t>magic item of some description, whether used for healing or to curse the enemies. Thus, the ownership of the female figurine is most likely a male magician or a priest, rather than a female</w:t>
      </w:r>
      <w:r w:rsidR="00A60886">
        <w:rPr>
          <w:rFonts w:eastAsia="Times New Roman" w:cstheme="minorHAnsi"/>
          <w:color w:val="000000"/>
          <w:lang w:eastAsia="en-GB"/>
        </w:rPr>
        <w:t xml:space="preserve"> magician, female </w:t>
      </w:r>
      <w:proofErr w:type="gramStart"/>
      <w:r w:rsidR="00CE3E06">
        <w:rPr>
          <w:rFonts w:eastAsia="Times New Roman" w:cstheme="minorHAnsi"/>
          <w:color w:val="000000"/>
          <w:lang w:eastAsia="en-GB"/>
        </w:rPr>
        <w:t>healer</w:t>
      </w:r>
      <w:proofErr w:type="gramEnd"/>
      <w:r w:rsidR="00A60886">
        <w:rPr>
          <w:rFonts w:eastAsia="Times New Roman" w:cstheme="minorHAnsi"/>
          <w:color w:val="000000"/>
          <w:lang w:eastAsia="en-GB"/>
        </w:rPr>
        <w:t xml:space="preserve"> or a priestess.</w:t>
      </w:r>
    </w:p>
    <w:p w14:paraId="16B44310" w14:textId="77777777" w:rsidR="00192166" w:rsidRDefault="00192166" w:rsidP="00192166">
      <w:pPr>
        <w:pStyle w:val="Heading1"/>
      </w:pPr>
      <w:r>
        <w:t>Bibliography</w:t>
      </w:r>
      <w:bookmarkStart w:id="0" w:name="_GoBack"/>
      <w:bookmarkEnd w:id="0"/>
    </w:p>
    <w:p w14:paraId="1C7D8678" w14:textId="77777777" w:rsidR="00192166" w:rsidRPr="00CD3589" w:rsidRDefault="00192166" w:rsidP="00192166">
      <w:pPr>
        <w:pStyle w:val="ListParagraph"/>
        <w:numPr>
          <w:ilvl w:val="0"/>
          <w:numId w:val="1"/>
        </w:numPr>
      </w:pPr>
      <w:r>
        <w:t xml:space="preserve">Christies, (2001), </w:t>
      </w:r>
      <w:r>
        <w:rPr>
          <w:i/>
          <w:iCs/>
        </w:rPr>
        <w:t>An Egyptian Wood Offering Bearer</w:t>
      </w:r>
      <w:r>
        <w:t xml:space="preserve">, available at: </w:t>
      </w:r>
      <w:hyperlink r:id="rId12" w:history="1">
        <w:r>
          <w:rPr>
            <w:rStyle w:val="Hyperlink"/>
          </w:rPr>
          <w:t>https://www.christies.com/lotfinder/Lot/an-egyptian-wood-offering-bearer-middle-kingdom-3831642-details.aspx</w:t>
        </w:r>
      </w:hyperlink>
      <w:r>
        <w:t xml:space="preserve"> (accessed 06/03/2020)</w:t>
      </w:r>
    </w:p>
    <w:p w14:paraId="169C7247" w14:textId="77777777" w:rsidR="00192166" w:rsidRDefault="00192166" w:rsidP="00192166">
      <w:pPr>
        <w:pStyle w:val="ListParagraph"/>
        <w:numPr>
          <w:ilvl w:val="0"/>
          <w:numId w:val="1"/>
        </w:numPr>
      </w:pPr>
      <w:proofErr w:type="spellStart"/>
      <w:r>
        <w:t>Fowden</w:t>
      </w:r>
      <w:proofErr w:type="spellEnd"/>
      <w:r>
        <w:t xml:space="preserve">, G., (1993), </w:t>
      </w:r>
      <w:r>
        <w:rPr>
          <w:i/>
          <w:iCs/>
        </w:rPr>
        <w:t>The Egyptian Hermes: A Historical Approach to the Late Pagan Mind</w:t>
      </w:r>
      <w:r>
        <w:t>, New Jersey: Princetown University Press</w:t>
      </w:r>
    </w:p>
    <w:p w14:paraId="0AD8C89E" w14:textId="77777777" w:rsidR="00192166" w:rsidRDefault="00192166" w:rsidP="00192166">
      <w:pPr>
        <w:pStyle w:val="ListParagraph"/>
        <w:numPr>
          <w:ilvl w:val="0"/>
          <w:numId w:val="1"/>
        </w:numPr>
      </w:pPr>
      <w:r>
        <w:t xml:space="preserve">Mark, J., (2017), </w:t>
      </w:r>
      <w:r>
        <w:rPr>
          <w:i/>
          <w:iCs/>
        </w:rPr>
        <w:t>Magic in Ancient Egypt</w:t>
      </w:r>
      <w:r>
        <w:t xml:space="preserve">, available at </w:t>
      </w:r>
      <w:hyperlink r:id="rId13" w:history="1">
        <w:r>
          <w:rPr>
            <w:rStyle w:val="Hyperlink"/>
          </w:rPr>
          <w:t>https://www.ancient.eu/article/1019/magic-in-ancient-egypt/</w:t>
        </w:r>
      </w:hyperlink>
      <w:r>
        <w:t xml:space="preserve"> (accessed 05/03/2020)</w:t>
      </w:r>
    </w:p>
    <w:p w14:paraId="3994F911" w14:textId="77777777" w:rsidR="00192166" w:rsidRPr="004E6262" w:rsidRDefault="00192166" w:rsidP="00192166">
      <w:pPr>
        <w:pStyle w:val="ListParagraph"/>
        <w:numPr>
          <w:ilvl w:val="0"/>
          <w:numId w:val="1"/>
        </w:numPr>
      </w:pPr>
      <w:r w:rsidRPr="004E6262">
        <w:t xml:space="preserve">Matic, U., (2017), </w:t>
      </w:r>
      <w:r w:rsidRPr="004E6262">
        <w:rPr>
          <w:i/>
          <w:iCs/>
        </w:rPr>
        <w:t xml:space="preserve">Archaeologies of Gender and Violence, </w:t>
      </w:r>
      <w:r w:rsidRPr="004E6262">
        <w:t>(</w:t>
      </w:r>
      <w:r w:rsidRPr="004E6262">
        <w:rPr>
          <w:i/>
          <w:iCs/>
        </w:rPr>
        <w:t>chapter five: “Her striking but cold beauty”: Gender and Violence in depictions of Queen Nefertiti smiting the enemies</w:t>
      </w:r>
      <w:r w:rsidRPr="004E6262">
        <w:t xml:space="preserve">) available at </w:t>
      </w:r>
      <w:hyperlink r:id="rId14" w:history="1">
        <w:r w:rsidRPr="004E6262">
          <w:rPr>
            <w:rStyle w:val="Hyperlink"/>
          </w:rPr>
          <w:t>https://www.academia.edu/11609987/Mati%C4%87_Uro%C5%A1._2017_Her_striking_but_cold_beauty_Gender_and_violence_in_depictions_of_Queen_Nefertiti_smiting_the_enemies._In_Uro%C5%A1_Mati%C4%87_and_Bo_Jensen_eds._Archaeologies_of_gender_and_violence._Oxford_Oxbow_Books_</w:t>
        </w:r>
      </w:hyperlink>
      <w:hyperlink r:id="rId15" w:history="1">
        <w:r w:rsidRPr="004E6262">
          <w:rPr>
            <w:rStyle w:val="Hyperlink"/>
          </w:rPr>
          <w:t>103-121</w:t>
        </w:r>
      </w:hyperlink>
      <w:r w:rsidRPr="004E6262">
        <w:t xml:space="preserve"> (accessed 25/02/2020)</w:t>
      </w:r>
    </w:p>
    <w:p w14:paraId="2323C656" w14:textId="77777777" w:rsidR="00192166" w:rsidRDefault="00192166" w:rsidP="00192166">
      <w:pPr>
        <w:pStyle w:val="ListParagraph"/>
        <w:numPr>
          <w:ilvl w:val="0"/>
          <w:numId w:val="1"/>
        </w:numPr>
      </w:pPr>
      <w:r>
        <w:t xml:space="preserve">Pinch, G., (2006), </w:t>
      </w:r>
      <w:r>
        <w:rPr>
          <w:i/>
          <w:iCs/>
        </w:rPr>
        <w:t>Magic in Ancient Egypt</w:t>
      </w:r>
      <w:r>
        <w:t xml:space="preserve">, London: British Museum Press available at: </w:t>
      </w:r>
      <w:hyperlink r:id="rId16" w:history="1">
        <w:r>
          <w:rPr>
            <w:rStyle w:val="Hyperlink"/>
          </w:rPr>
          <w:t>https://pdfs.semanticscholar.org/6d20/70130304d07e03ed28f0710e2dd62fd61b0f.pdf?_ga=2.172791971.1494792390.1583403631-2088137384.1583403631</w:t>
        </w:r>
      </w:hyperlink>
      <w:r>
        <w:t xml:space="preserve"> (accessed 05/03/2020)</w:t>
      </w:r>
    </w:p>
    <w:p w14:paraId="2E7C9DD2" w14:textId="77777777" w:rsidR="00192166" w:rsidRDefault="00192166" w:rsidP="00192166">
      <w:pPr>
        <w:pStyle w:val="ListParagraph"/>
        <w:numPr>
          <w:ilvl w:val="0"/>
          <w:numId w:val="1"/>
        </w:numPr>
      </w:pPr>
      <w:proofErr w:type="spellStart"/>
      <w:r w:rsidRPr="00D50F7C">
        <w:t>Waraksa</w:t>
      </w:r>
      <w:proofErr w:type="spellEnd"/>
      <w:r w:rsidRPr="00D50F7C">
        <w:t xml:space="preserve">, E., (2008), </w:t>
      </w:r>
      <w:r w:rsidRPr="00D50F7C">
        <w:rPr>
          <w:i/>
          <w:iCs/>
        </w:rPr>
        <w:t>Female Figurines (</w:t>
      </w:r>
      <w:proofErr w:type="spellStart"/>
      <w:r w:rsidRPr="00D50F7C">
        <w:rPr>
          <w:i/>
          <w:iCs/>
        </w:rPr>
        <w:t>Pharonic</w:t>
      </w:r>
      <w:proofErr w:type="spellEnd"/>
      <w:r w:rsidRPr="00D50F7C">
        <w:rPr>
          <w:i/>
          <w:iCs/>
        </w:rPr>
        <w:t xml:space="preserve"> Period)</w:t>
      </w:r>
      <w:r w:rsidRPr="00D50F7C">
        <w:t xml:space="preserve">, UCLA </w:t>
      </w:r>
      <w:proofErr w:type="spellStart"/>
      <w:r w:rsidRPr="00D50F7C">
        <w:t>Encyclopedia</w:t>
      </w:r>
      <w:proofErr w:type="spellEnd"/>
      <w:r w:rsidRPr="00D50F7C">
        <w:t xml:space="preserve"> of Egyptology 1(1), available at  </w:t>
      </w:r>
      <w:hyperlink r:id="rId17" w:history="1">
        <w:r w:rsidRPr="00D50F7C">
          <w:rPr>
            <w:rStyle w:val="Hyperlink"/>
          </w:rPr>
          <w:t>https://escholarship.org/uc/item/4dg0d57b</w:t>
        </w:r>
      </w:hyperlink>
      <w:r w:rsidRPr="00D50F7C">
        <w:t xml:space="preserve"> (accessed </w:t>
      </w:r>
      <w:r>
        <w:t>05</w:t>
      </w:r>
      <w:r w:rsidRPr="00D50F7C">
        <w:t>/0</w:t>
      </w:r>
      <w:r>
        <w:t>3</w:t>
      </w:r>
      <w:r w:rsidRPr="00D50F7C">
        <w:t>/2020)</w:t>
      </w:r>
    </w:p>
    <w:p w14:paraId="50D3DBA9" w14:textId="2D903AED" w:rsidR="00CD3589" w:rsidRDefault="00CD3589" w:rsidP="00AD5386">
      <w:pPr>
        <w:shd w:val="clear" w:color="auto" w:fill="FFFFFF"/>
        <w:rPr>
          <w:rFonts w:eastAsia="Times New Roman" w:cstheme="minorHAnsi"/>
          <w:color w:val="000000"/>
          <w:lang w:eastAsia="en-GB"/>
        </w:rPr>
      </w:pPr>
    </w:p>
    <w:sectPr w:rsidR="00CD3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90E65A" w14:textId="77777777" w:rsidR="00A021B8" w:rsidRDefault="00A021B8" w:rsidP="00BA2330">
      <w:pPr>
        <w:spacing w:after="0" w:line="240" w:lineRule="auto"/>
      </w:pPr>
      <w:r>
        <w:separator/>
      </w:r>
    </w:p>
  </w:endnote>
  <w:endnote w:type="continuationSeparator" w:id="0">
    <w:p w14:paraId="1FD92931" w14:textId="77777777" w:rsidR="00A021B8" w:rsidRDefault="00A021B8" w:rsidP="00BA2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C2309" w14:textId="77777777" w:rsidR="00A021B8" w:rsidRDefault="00A021B8" w:rsidP="00BA2330">
      <w:pPr>
        <w:spacing w:after="0" w:line="240" w:lineRule="auto"/>
      </w:pPr>
      <w:r>
        <w:separator/>
      </w:r>
    </w:p>
  </w:footnote>
  <w:footnote w:type="continuationSeparator" w:id="0">
    <w:p w14:paraId="2A382F49" w14:textId="77777777" w:rsidR="00A021B8" w:rsidRDefault="00A021B8" w:rsidP="00BA2330">
      <w:pPr>
        <w:spacing w:after="0" w:line="240" w:lineRule="auto"/>
      </w:pPr>
      <w:r>
        <w:continuationSeparator/>
      </w:r>
    </w:p>
  </w:footnote>
  <w:footnote w:id="1">
    <w:p w14:paraId="4DC9AB0E" w14:textId="269D45DB" w:rsidR="00BA2330" w:rsidRDefault="00BA23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Waraksa</w:t>
      </w:r>
      <w:proofErr w:type="spellEnd"/>
      <w:r>
        <w:t xml:space="preserve">, E., (2008), </w:t>
      </w:r>
      <w:proofErr w:type="spellStart"/>
      <w:r>
        <w:t>pg</w:t>
      </w:r>
      <w:proofErr w:type="spellEnd"/>
      <w:r>
        <w:t xml:space="preserve"> 2-3</w:t>
      </w:r>
    </w:p>
  </w:footnote>
  <w:footnote w:id="2">
    <w:p w14:paraId="0A56F802" w14:textId="61C531AC" w:rsidR="00BA2330" w:rsidRDefault="00BA2330">
      <w:pPr>
        <w:pStyle w:val="FootnoteText"/>
      </w:pPr>
      <w:r>
        <w:rPr>
          <w:rStyle w:val="FootnoteReference"/>
        </w:rPr>
        <w:footnoteRef/>
      </w:r>
      <w:r>
        <w:t xml:space="preserve"> Pinch, </w:t>
      </w:r>
      <w:proofErr w:type="gramStart"/>
      <w:r>
        <w:t>G,.</w:t>
      </w:r>
      <w:proofErr w:type="gramEnd"/>
      <w:r>
        <w:t xml:space="preserve"> (2006), </w:t>
      </w:r>
      <w:proofErr w:type="spellStart"/>
      <w:r>
        <w:t>pg</w:t>
      </w:r>
      <w:proofErr w:type="spellEnd"/>
      <w:r>
        <w:t xml:space="preserve"> 131</w:t>
      </w:r>
    </w:p>
  </w:footnote>
  <w:footnote w:id="3">
    <w:p w14:paraId="20DF9904" w14:textId="543E4390" w:rsidR="009D5A50" w:rsidRDefault="009D5A5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Waraksa</w:t>
      </w:r>
      <w:proofErr w:type="spellEnd"/>
      <w:r>
        <w:t xml:space="preserve">, E., (2008), </w:t>
      </w:r>
      <w:proofErr w:type="spellStart"/>
      <w:r>
        <w:t>pg</w:t>
      </w:r>
      <w:proofErr w:type="spellEnd"/>
      <w:r>
        <w:t xml:space="preserve"> 3</w:t>
      </w:r>
    </w:p>
  </w:footnote>
  <w:footnote w:id="4">
    <w:p w14:paraId="61A90962" w14:textId="2096DEB9" w:rsidR="004E6262" w:rsidRDefault="004E6262">
      <w:pPr>
        <w:pStyle w:val="FootnoteText"/>
      </w:pPr>
      <w:r>
        <w:rPr>
          <w:rStyle w:val="FootnoteReference"/>
        </w:rPr>
        <w:footnoteRef/>
      </w:r>
      <w:r>
        <w:t xml:space="preserve"> Matic, U., (2017), </w:t>
      </w:r>
      <w:proofErr w:type="spellStart"/>
      <w:r>
        <w:t>pg</w:t>
      </w:r>
      <w:proofErr w:type="spellEnd"/>
      <w:r>
        <w:t xml:space="preserve"> 103-104</w:t>
      </w:r>
    </w:p>
  </w:footnote>
  <w:footnote w:id="5">
    <w:p w14:paraId="712CFEBF" w14:textId="32CC1277" w:rsidR="009D5A50" w:rsidRDefault="009D5A50">
      <w:pPr>
        <w:pStyle w:val="FootnoteText"/>
      </w:pPr>
      <w:r>
        <w:rPr>
          <w:rStyle w:val="FootnoteReference"/>
        </w:rPr>
        <w:footnoteRef/>
      </w:r>
      <w:r>
        <w:t xml:space="preserve"> Mark, J., </w:t>
      </w:r>
      <w:r w:rsidR="008F0827">
        <w:t xml:space="preserve">(2017), available at: </w:t>
      </w:r>
      <w:hyperlink r:id="rId1" w:history="1">
        <w:r w:rsidR="008F0827">
          <w:rPr>
            <w:rStyle w:val="Hyperlink"/>
          </w:rPr>
          <w:t>https://www.ancient.eu/article/1019/magic-in-ancient-egypt/</w:t>
        </w:r>
      </w:hyperlink>
    </w:p>
  </w:footnote>
  <w:footnote w:id="6">
    <w:p w14:paraId="58E93786" w14:textId="450B02F6" w:rsidR="00AD5386" w:rsidRDefault="00AD53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Fowden</w:t>
      </w:r>
      <w:proofErr w:type="spellEnd"/>
      <w:r>
        <w:t xml:space="preserve">, G., (1993), </w:t>
      </w:r>
      <w:proofErr w:type="spellStart"/>
      <w:r>
        <w:t>pg</w:t>
      </w:r>
      <w:proofErr w:type="spellEnd"/>
      <w:r>
        <w:t xml:space="preserve"> 81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92166"/>
    <w:multiLevelType w:val="hybridMultilevel"/>
    <w:tmpl w:val="1B5601B2"/>
    <w:lvl w:ilvl="0" w:tplc="40C2D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2A37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801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D8E7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F06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04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901B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BA6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FE63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A831814"/>
    <w:multiLevelType w:val="hybridMultilevel"/>
    <w:tmpl w:val="AB3A7FB0"/>
    <w:lvl w:ilvl="0" w:tplc="4B42AD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85404"/>
    <w:multiLevelType w:val="hybridMultilevel"/>
    <w:tmpl w:val="A37C54BC"/>
    <w:lvl w:ilvl="0" w:tplc="278CAA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AA7D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8CB7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0CEE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24FA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AEA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3682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B4E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DC43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A75"/>
    <w:rsid w:val="00192166"/>
    <w:rsid w:val="00277921"/>
    <w:rsid w:val="002D5C1D"/>
    <w:rsid w:val="00312A85"/>
    <w:rsid w:val="0032190C"/>
    <w:rsid w:val="00326338"/>
    <w:rsid w:val="003679DE"/>
    <w:rsid w:val="003A0A1A"/>
    <w:rsid w:val="003C0FF5"/>
    <w:rsid w:val="003D63C6"/>
    <w:rsid w:val="0040605A"/>
    <w:rsid w:val="00410199"/>
    <w:rsid w:val="004E6262"/>
    <w:rsid w:val="0059330F"/>
    <w:rsid w:val="005E552E"/>
    <w:rsid w:val="005E5EF4"/>
    <w:rsid w:val="00651993"/>
    <w:rsid w:val="00661B77"/>
    <w:rsid w:val="00666B5A"/>
    <w:rsid w:val="006A3780"/>
    <w:rsid w:val="006E244D"/>
    <w:rsid w:val="00781161"/>
    <w:rsid w:val="007E2FE4"/>
    <w:rsid w:val="008E69FD"/>
    <w:rsid w:val="008F0827"/>
    <w:rsid w:val="009B3457"/>
    <w:rsid w:val="009D5A50"/>
    <w:rsid w:val="00A021B8"/>
    <w:rsid w:val="00A26B2E"/>
    <w:rsid w:val="00A4232B"/>
    <w:rsid w:val="00A54307"/>
    <w:rsid w:val="00A60886"/>
    <w:rsid w:val="00AD5386"/>
    <w:rsid w:val="00B21889"/>
    <w:rsid w:val="00B22B42"/>
    <w:rsid w:val="00B66E08"/>
    <w:rsid w:val="00BA1889"/>
    <w:rsid w:val="00BA2330"/>
    <w:rsid w:val="00CD3589"/>
    <w:rsid w:val="00CE3E06"/>
    <w:rsid w:val="00D2304A"/>
    <w:rsid w:val="00D50F7C"/>
    <w:rsid w:val="00DB76B9"/>
    <w:rsid w:val="00E15A01"/>
    <w:rsid w:val="00E21FA5"/>
    <w:rsid w:val="00E64B79"/>
    <w:rsid w:val="00EB743E"/>
    <w:rsid w:val="00EC3D42"/>
    <w:rsid w:val="00ED1EA6"/>
    <w:rsid w:val="00EF3591"/>
    <w:rsid w:val="00FB0590"/>
    <w:rsid w:val="00FF3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5EF24"/>
  <w15:chartTrackingRefBased/>
  <w15:docId w15:val="{446B385C-1EA9-489C-86DD-92FB4AFD0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A75"/>
  </w:style>
  <w:style w:type="paragraph" w:styleId="Heading1">
    <w:name w:val="heading 1"/>
    <w:basedOn w:val="Normal"/>
    <w:next w:val="Normal"/>
    <w:link w:val="Heading1Char"/>
    <w:uiPriority w:val="9"/>
    <w:qFormat/>
    <w:rsid w:val="00FF3A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A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F3A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3A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ption">
    <w:name w:val="caption"/>
    <w:basedOn w:val="Normal"/>
    <w:next w:val="Normal"/>
    <w:uiPriority w:val="35"/>
    <w:unhideWhenUsed/>
    <w:qFormat/>
    <w:rsid w:val="0040605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3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0F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0F7C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233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233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23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5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3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33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80419">
          <w:marLeft w:val="30"/>
          <w:marRight w:val="3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36455">
          <w:marLeft w:val="30"/>
          <w:marRight w:val="3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7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ancient.eu/article/1019/magic-in-ancient-egypt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hristies.com/lotfinder/Lot/an-egyptian-wood-offering-bearer-middle-kingdom-3831642-details.aspx" TargetMode="External"/><Relationship Id="rId17" Type="http://schemas.openxmlformats.org/officeDocument/2006/relationships/hyperlink" Target="https://escholarship.org/uc/item/4dg0d57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dfs.semanticscholar.org/6d20/70130304d07e03ed28f0710e2dd62fd61b0f.pdf?_ga=2.172791971.1494792390.1583403631-2088137384.158340363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academia.edu/11609987/Mati%C4%87_Uro%C5%A1._2017_Her_striking_but_cold_beauty_Gender_and_violence_in_depictions_of_Queen_Nefertiti_smiting_the_enemies._In_Uro%C5%A1_Mati%C4%87_and_Bo_Jensen_eds._Archaeologies_of_gender_and_violence._Oxford_Oxbow_Books_103-121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academia.edu/11609987/Mati%C4%87_Uro%C5%A1._2017_Her_striking_but_cold_beauty_Gender_and_violence_in_depictions_of_Queen_Nefertiti_smiting_the_enemies._In_Uro%C5%A1_Mati%C4%87_and_Bo_Jensen_eds._Archaeologies_of_gender_and_violence._Oxford_Oxbow_Books_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ncient.eu/article/1019/magic-in-ancient-egyp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0734F74-C987-4418-B020-CB284F5538D4}">
  <we:reference id="wa104380587" version="1.0.0.1" store="en-US" storeType="OMEX"/>
  <we:alternateReferences>
    <we:reference id="WA104380587" version="1.0.0.1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302A2-B2A5-4AD3-AF71-9900FF8C1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Matthews</dc:creator>
  <cp:keywords/>
  <dc:description/>
  <cp:lastModifiedBy>Anna Matthews</cp:lastModifiedBy>
  <cp:revision>21</cp:revision>
  <dcterms:created xsi:type="dcterms:W3CDTF">2020-03-02T02:14:00Z</dcterms:created>
  <dcterms:modified xsi:type="dcterms:W3CDTF">2020-03-08T14:49:00Z</dcterms:modified>
</cp:coreProperties>
</file>