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89C3BB" w14:textId="77777777" w:rsidR="00877B66" w:rsidRPr="00877B66" w:rsidRDefault="00877B66" w:rsidP="00877B66">
      <w:pPr>
        <w:spacing w:before="0" w:beforeAutospacing="0" w:after="0" w:afterAutospacing="0"/>
        <w:jc w:val="center"/>
        <w:rPr>
          <w:rFonts w:ascii="Arial" w:eastAsia="Times New Roman" w:hAnsi="Arial" w:cs="Arial"/>
          <w:noProof w:val="0"/>
          <w:sz w:val="22"/>
        </w:rPr>
      </w:pPr>
      <w:r w:rsidRPr="00877B66">
        <w:rPr>
          <w:rFonts w:ascii="Arial" w:eastAsia="Times New Roman" w:hAnsi="Arial" w:cs="Arial"/>
          <w:sz w:val="22"/>
          <w:lang w:eastAsia="en-GB"/>
        </w:rPr>
        <w:drawing>
          <wp:anchor distT="0" distB="0" distL="114300" distR="114300" simplePos="0" relativeHeight="251659264" behindDoc="0" locked="0" layoutInCell="1" allowOverlap="1" wp14:anchorId="25A7EC96" wp14:editId="362BEC37">
            <wp:simplePos x="0" y="0"/>
            <wp:positionH relativeFrom="margin">
              <wp:align>center</wp:align>
            </wp:positionH>
            <wp:positionV relativeFrom="paragraph">
              <wp:posOffset>74354</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0126A252" w14:textId="77777777" w:rsidR="00877B66" w:rsidRPr="00877B66" w:rsidRDefault="00877B66" w:rsidP="00877B66">
      <w:pPr>
        <w:spacing w:before="0" w:beforeAutospacing="0" w:after="0" w:afterAutospacing="0"/>
        <w:jc w:val="center"/>
        <w:rPr>
          <w:rFonts w:ascii="Arial" w:eastAsia="Times New Roman" w:hAnsi="Arial" w:cs="Arial"/>
          <w:b/>
          <w:noProof w:val="0"/>
          <w:sz w:val="22"/>
        </w:rPr>
      </w:pPr>
    </w:p>
    <w:p w14:paraId="422DDEE8" w14:textId="77777777" w:rsidR="00877B66" w:rsidRPr="00877B66" w:rsidRDefault="00877B66" w:rsidP="00877B66">
      <w:pPr>
        <w:spacing w:before="0" w:beforeAutospacing="0" w:after="0" w:afterAutospacing="0"/>
        <w:jc w:val="center"/>
        <w:rPr>
          <w:rFonts w:ascii="Arial" w:eastAsia="Times New Roman" w:hAnsi="Arial" w:cs="Arial"/>
          <w:b/>
          <w:noProof w:val="0"/>
          <w:sz w:val="22"/>
        </w:rPr>
      </w:pPr>
    </w:p>
    <w:p w14:paraId="74CD502F" w14:textId="77777777" w:rsidR="00877B66" w:rsidRPr="00877B66" w:rsidRDefault="00877B66" w:rsidP="00877B66">
      <w:pPr>
        <w:spacing w:before="0" w:beforeAutospacing="0" w:after="0" w:afterAutospacing="0"/>
        <w:jc w:val="center"/>
        <w:rPr>
          <w:rFonts w:ascii="Arial" w:eastAsia="Times New Roman" w:hAnsi="Arial" w:cs="Arial"/>
          <w:b/>
          <w:noProof w:val="0"/>
          <w:sz w:val="22"/>
        </w:rPr>
      </w:pPr>
    </w:p>
    <w:p w14:paraId="038A0195" w14:textId="77777777" w:rsidR="00877B66" w:rsidRPr="00877B66" w:rsidRDefault="00877B66" w:rsidP="00877B66">
      <w:pPr>
        <w:spacing w:before="0" w:beforeAutospacing="0" w:after="0" w:afterAutospacing="0"/>
        <w:jc w:val="center"/>
        <w:rPr>
          <w:rFonts w:ascii="Arial" w:eastAsia="Times New Roman" w:hAnsi="Arial" w:cs="Arial"/>
          <w:b/>
          <w:noProof w:val="0"/>
          <w:sz w:val="22"/>
        </w:rPr>
      </w:pPr>
    </w:p>
    <w:p w14:paraId="35DE716F" w14:textId="77777777" w:rsidR="001465BC" w:rsidRPr="001465BC" w:rsidRDefault="001465BC" w:rsidP="001465BC">
      <w:pPr>
        <w:spacing w:before="0" w:beforeAutospacing="0" w:after="0" w:afterAutospacing="0"/>
        <w:jc w:val="center"/>
        <w:rPr>
          <w:rFonts w:ascii="Arial" w:eastAsia="Times New Roman" w:hAnsi="Arial" w:cs="Arial"/>
          <w:b/>
          <w:noProof w:val="0"/>
          <w:sz w:val="22"/>
        </w:rPr>
      </w:pPr>
    </w:p>
    <w:p w14:paraId="31B27515" w14:textId="05D248A5" w:rsidR="001465BC" w:rsidRPr="001465BC" w:rsidRDefault="001465BC" w:rsidP="001465BC">
      <w:pPr>
        <w:spacing w:before="0" w:beforeAutospacing="0" w:after="0" w:afterAutospacing="0"/>
        <w:jc w:val="center"/>
        <w:rPr>
          <w:rFonts w:ascii="Arial" w:eastAsia="Times New Roman" w:hAnsi="Arial" w:cs="Arial"/>
          <w:b/>
          <w:noProof w:val="0"/>
          <w:sz w:val="36"/>
          <w:szCs w:val="36"/>
        </w:rPr>
      </w:pPr>
      <w:r w:rsidRPr="001465BC">
        <w:rPr>
          <w:rFonts w:ascii="Arial" w:eastAsia="Times New Roman" w:hAnsi="Arial" w:cs="Arial"/>
          <w:b/>
          <w:noProof w:val="0"/>
          <w:sz w:val="36"/>
          <w:szCs w:val="36"/>
        </w:rPr>
        <w:t xml:space="preserve">Student Name: </w:t>
      </w:r>
      <w:r w:rsidR="00123C77">
        <w:rPr>
          <w:rFonts w:ascii="Arial" w:eastAsia="Times New Roman" w:hAnsi="Arial" w:cs="Arial"/>
          <w:bCs/>
          <w:noProof w:val="0"/>
          <w:sz w:val="36"/>
          <w:szCs w:val="36"/>
        </w:rPr>
        <w:t>Asho Hassan</w:t>
      </w:r>
    </w:p>
    <w:p w14:paraId="606B50D2" w14:textId="73F5D0BE" w:rsidR="00877B66" w:rsidRDefault="001465BC" w:rsidP="001465BC">
      <w:pPr>
        <w:spacing w:before="0" w:beforeAutospacing="0" w:after="0" w:afterAutospacing="0"/>
        <w:jc w:val="center"/>
        <w:rPr>
          <w:rFonts w:ascii="Arial" w:eastAsia="Times New Roman" w:hAnsi="Arial" w:cs="Arial"/>
          <w:b/>
          <w:noProof w:val="0"/>
          <w:sz w:val="36"/>
          <w:szCs w:val="36"/>
        </w:rPr>
      </w:pPr>
      <w:r w:rsidRPr="001465BC">
        <w:rPr>
          <w:rFonts w:ascii="Arial" w:eastAsia="Times New Roman" w:hAnsi="Arial" w:cs="Arial"/>
          <w:b/>
          <w:noProof w:val="0"/>
          <w:sz w:val="36"/>
          <w:szCs w:val="36"/>
        </w:rPr>
        <w:t>Student ID:</w:t>
      </w:r>
      <w:r w:rsidR="00123C77">
        <w:rPr>
          <w:rFonts w:ascii="Arial" w:eastAsia="Times New Roman" w:hAnsi="Arial" w:cs="Arial"/>
          <w:b/>
          <w:noProof w:val="0"/>
          <w:sz w:val="36"/>
          <w:szCs w:val="36"/>
        </w:rPr>
        <w:t xml:space="preserve"> 2333642</w:t>
      </w:r>
    </w:p>
    <w:p w14:paraId="54E10818" w14:textId="5AFC0C83" w:rsidR="00123C77" w:rsidRPr="001465BC" w:rsidRDefault="00123C77" w:rsidP="001465BC">
      <w:pPr>
        <w:spacing w:before="0" w:beforeAutospacing="0" w:after="0" w:afterAutospacing="0"/>
        <w:jc w:val="center"/>
        <w:rPr>
          <w:rFonts w:ascii="Arial" w:eastAsia="Times New Roman" w:hAnsi="Arial" w:cs="Arial"/>
          <w:b/>
          <w:noProof w:val="0"/>
          <w:sz w:val="36"/>
          <w:szCs w:val="36"/>
        </w:rPr>
      </w:pPr>
      <w:r>
        <w:rPr>
          <w:rFonts w:ascii="Arial" w:eastAsia="Times New Roman" w:hAnsi="Arial" w:cs="Arial"/>
          <w:b/>
          <w:noProof w:val="0"/>
          <w:sz w:val="36"/>
          <w:szCs w:val="36"/>
        </w:rPr>
        <w:t xml:space="preserve">Lecturer: </w:t>
      </w:r>
      <w:r w:rsidRPr="00123C77">
        <w:rPr>
          <w:rFonts w:ascii="Arial" w:eastAsia="Times New Roman" w:hAnsi="Arial" w:cs="Arial"/>
          <w:b/>
          <w:noProof w:val="0"/>
          <w:sz w:val="28"/>
          <w:szCs w:val="28"/>
        </w:rPr>
        <w:t xml:space="preserve">Neale Haddon and Kennedy </w:t>
      </w:r>
      <w:proofErr w:type="spellStart"/>
      <w:r w:rsidRPr="00123C77">
        <w:rPr>
          <w:rFonts w:ascii="Arial" w:eastAsia="Times New Roman" w:hAnsi="Arial" w:cs="Arial"/>
          <w:b/>
          <w:noProof w:val="0"/>
          <w:sz w:val="28"/>
          <w:szCs w:val="28"/>
        </w:rPr>
        <w:t>Obohwemu</w:t>
      </w:r>
      <w:proofErr w:type="spellEnd"/>
    </w:p>
    <w:p w14:paraId="76CD63F3" w14:textId="77777777" w:rsidR="001465BC" w:rsidRDefault="001465BC" w:rsidP="001465BC">
      <w:pPr>
        <w:spacing w:before="0" w:beforeAutospacing="0" w:after="0" w:afterAutospacing="0"/>
        <w:jc w:val="center"/>
        <w:rPr>
          <w:rFonts w:ascii="Arial" w:eastAsia="Times New Roman" w:hAnsi="Arial" w:cs="Arial"/>
          <w:b/>
          <w:noProof w:val="0"/>
          <w:sz w:val="22"/>
        </w:rPr>
      </w:pPr>
    </w:p>
    <w:p w14:paraId="1767E606" w14:textId="77777777" w:rsidR="001465BC" w:rsidRPr="00877B66" w:rsidRDefault="001465BC" w:rsidP="001465BC">
      <w:pPr>
        <w:spacing w:before="0" w:beforeAutospacing="0" w:after="0" w:afterAutospacing="0"/>
        <w:jc w:val="center"/>
        <w:rPr>
          <w:rFonts w:ascii="Arial" w:eastAsia="Times New Roman" w:hAnsi="Arial" w:cs="Arial"/>
          <w:b/>
          <w:noProof w:val="0"/>
          <w:sz w:val="22"/>
        </w:rPr>
      </w:pPr>
    </w:p>
    <w:p w14:paraId="10088220" w14:textId="77777777" w:rsidR="00877B66" w:rsidRPr="001465BC" w:rsidRDefault="00877B66" w:rsidP="00877B66">
      <w:pPr>
        <w:spacing w:before="0" w:beforeAutospacing="0" w:after="0" w:afterAutospacing="0"/>
        <w:jc w:val="center"/>
        <w:rPr>
          <w:rFonts w:ascii="Arial" w:eastAsia="Times New Roman" w:hAnsi="Arial" w:cs="Arial"/>
          <w:noProof w:val="0"/>
          <w:sz w:val="28"/>
          <w:szCs w:val="20"/>
        </w:rPr>
      </w:pPr>
      <w:r w:rsidRPr="001465BC">
        <w:rPr>
          <w:rFonts w:ascii="Arial" w:eastAsia="Times New Roman" w:hAnsi="Arial" w:cs="Arial"/>
          <w:b/>
          <w:noProof w:val="0"/>
          <w:sz w:val="28"/>
          <w:szCs w:val="20"/>
        </w:rPr>
        <w:t>Module code</w:t>
      </w:r>
      <w:r w:rsidRPr="001465BC">
        <w:rPr>
          <w:rFonts w:ascii="Arial" w:eastAsia="Times New Roman" w:hAnsi="Arial" w:cs="Arial"/>
          <w:noProof w:val="0"/>
          <w:sz w:val="28"/>
          <w:szCs w:val="20"/>
        </w:rPr>
        <w:t>: BMHP6029</w:t>
      </w:r>
    </w:p>
    <w:p w14:paraId="3174C670" w14:textId="77777777" w:rsidR="00877B66" w:rsidRPr="001465BC" w:rsidRDefault="00877B66" w:rsidP="00877B66">
      <w:pPr>
        <w:spacing w:before="0" w:beforeAutospacing="0" w:after="0" w:afterAutospacing="0"/>
        <w:jc w:val="center"/>
        <w:rPr>
          <w:rFonts w:ascii="Arial" w:eastAsia="Times New Roman" w:hAnsi="Arial" w:cs="Arial"/>
          <w:noProof w:val="0"/>
          <w:sz w:val="28"/>
          <w:szCs w:val="20"/>
        </w:rPr>
      </w:pPr>
      <w:r w:rsidRPr="001465BC">
        <w:rPr>
          <w:rFonts w:ascii="Arial" w:eastAsia="Times New Roman" w:hAnsi="Arial" w:cs="Arial"/>
          <w:b/>
          <w:noProof w:val="0"/>
          <w:sz w:val="28"/>
          <w:szCs w:val="20"/>
        </w:rPr>
        <w:t>Module</w:t>
      </w:r>
      <w:r w:rsidRPr="001465BC">
        <w:rPr>
          <w:rFonts w:ascii="Arial" w:eastAsia="Times New Roman" w:hAnsi="Arial" w:cs="Arial"/>
          <w:noProof w:val="0"/>
          <w:sz w:val="28"/>
          <w:szCs w:val="20"/>
        </w:rPr>
        <w:t xml:space="preserve"> </w:t>
      </w:r>
      <w:r w:rsidRPr="001465BC">
        <w:rPr>
          <w:rFonts w:ascii="Arial" w:eastAsia="Times New Roman" w:hAnsi="Arial" w:cs="Arial"/>
          <w:b/>
          <w:noProof w:val="0"/>
          <w:sz w:val="28"/>
          <w:szCs w:val="20"/>
        </w:rPr>
        <w:t>Title</w:t>
      </w:r>
      <w:r w:rsidRPr="001465BC">
        <w:rPr>
          <w:rFonts w:ascii="Arial" w:eastAsia="Times New Roman" w:hAnsi="Arial" w:cs="Arial"/>
          <w:noProof w:val="0"/>
          <w:sz w:val="28"/>
          <w:szCs w:val="20"/>
        </w:rPr>
        <w:t xml:space="preserve">: </w:t>
      </w:r>
      <w:r w:rsidRPr="001465BC">
        <w:rPr>
          <w:rFonts w:ascii="Arial" w:eastAsia="Times New Roman" w:hAnsi="Arial" w:cs="Arial"/>
          <w:bCs/>
          <w:noProof w:val="0"/>
          <w:sz w:val="28"/>
          <w:szCs w:val="20"/>
        </w:rPr>
        <w:t>Psychological Classifications and Provisions</w:t>
      </w:r>
    </w:p>
    <w:p w14:paraId="67ED9518" w14:textId="77777777" w:rsidR="00877B66" w:rsidRPr="00877B66" w:rsidRDefault="00877B66" w:rsidP="00877B66">
      <w:pPr>
        <w:spacing w:before="0" w:beforeAutospacing="0" w:after="0" w:afterAutospacing="0"/>
        <w:jc w:val="center"/>
        <w:rPr>
          <w:rFonts w:ascii="Arial" w:eastAsia="Times New Roman" w:hAnsi="Arial" w:cs="Arial"/>
          <w:noProof w:val="0"/>
          <w:sz w:val="32"/>
        </w:rPr>
      </w:pPr>
    </w:p>
    <w:p w14:paraId="332EA29B" w14:textId="77777777" w:rsidR="00877B66" w:rsidRPr="00877B66" w:rsidRDefault="00877B66" w:rsidP="00123C77">
      <w:pPr>
        <w:pBdr>
          <w:bottom w:val="single" w:sz="4" w:space="1" w:color="auto"/>
        </w:pBdr>
        <w:spacing w:before="240" w:after="240"/>
        <w:contextualSpacing/>
        <w:rPr>
          <w:rFonts w:ascii="Arial" w:eastAsia="Times New Roman" w:hAnsi="Arial" w:cs="Arial"/>
          <w:b/>
          <w:caps/>
          <w:noProof w:val="0"/>
          <w:spacing w:val="-10"/>
          <w:kern w:val="28"/>
          <w:sz w:val="36"/>
          <w:szCs w:val="56"/>
        </w:rPr>
      </w:pPr>
      <w:r w:rsidRPr="00877B66">
        <w:rPr>
          <w:rFonts w:ascii="Arial" w:eastAsia="Times New Roman" w:hAnsi="Arial" w:cs="Arial"/>
          <w:b/>
          <w:caps/>
          <w:noProof w:val="0"/>
          <w:spacing w:val="-10"/>
          <w:kern w:val="28"/>
          <w:sz w:val="36"/>
          <w:szCs w:val="56"/>
        </w:rPr>
        <w:t>Assignment Title: Component 2: Written Assignment (Report)</w:t>
      </w:r>
    </w:p>
    <w:p w14:paraId="1F20EF6C" w14:textId="77777777" w:rsidR="00877B66" w:rsidRPr="00877B66" w:rsidRDefault="00877B66" w:rsidP="00877B66">
      <w:pPr>
        <w:spacing w:before="0" w:beforeAutospacing="0" w:after="0" w:afterAutospacing="0"/>
        <w:jc w:val="center"/>
        <w:rPr>
          <w:rFonts w:ascii="Arial" w:eastAsia="Times New Roman" w:hAnsi="Arial" w:cs="Arial"/>
          <w:b/>
          <w:noProof w:val="0"/>
          <w:sz w:val="22"/>
        </w:rPr>
      </w:pPr>
    </w:p>
    <w:p w14:paraId="4D8DD747" w14:textId="77777777" w:rsidR="00877B66" w:rsidRPr="00877B66" w:rsidRDefault="00877B66" w:rsidP="00877B66">
      <w:pPr>
        <w:spacing w:before="0" w:beforeAutospacing="0" w:after="0" w:afterAutospacing="0"/>
        <w:jc w:val="center"/>
        <w:rPr>
          <w:rFonts w:ascii="Arial" w:eastAsia="Times New Roman" w:hAnsi="Arial" w:cs="Arial"/>
          <w:b/>
          <w:noProof w:val="0"/>
          <w:sz w:val="22"/>
        </w:rPr>
      </w:pPr>
    </w:p>
    <w:p w14:paraId="55889EDA" w14:textId="77777777" w:rsidR="00877B66" w:rsidRPr="00877B66" w:rsidRDefault="00877B66" w:rsidP="00877B66">
      <w:pPr>
        <w:spacing w:before="0" w:beforeAutospacing="0" w:after="0" w:afterAutospacing="0"/>
        <w:jc w:val="center"/>
        <w:rPr>
          <w:rFonts w:ascii="Arial" w:eastAsia="Times New Roman" w:hAnsi="Arial" w:cs="Arial"/>
          <w:b/>
          <w:noProof w:val="0"/>
          <w:sz w:val="22"/>
        </w:rPr>
      </w:pPr>
    </w:p>
    <w:p w14:paraId="1D6CFC84" w14:textId="61987ADF" w:rsidR="00877B66" w:rsidRPr="00877B66" w:rsidRDefault="00877B66" w:rsidP="00877B66">
      <w:pPr>
        <w:jc w:val="center"/>
        <w:rPr>
          <w:rFonts w:ascii="Arial" w:hAnsi="Arial" w:cs="Arial"/>
          <w:sz w:val="22"/>
        </w:rPr>
      </w:pPr>
      <w:r w:rsidRPr="00877B66">
        <w:rPr>
          <w:rFonts w:ascii="Arial" w:hAnsi="Arial" w:cs="Arial"/>
          <w:sz w:val="22"/>
        </w:rPr>
        <w:br w:type="page"/>
      </w:r>
    </w:p>
    <w:sdt>
      <w:sdtPr>
        <w:rPr>
          <w:rFonts w:ascii="Arial" w:hAnsi="Arial" w:cs="Arial"/>
          <w:b/>
          <w:bCs/>
          <w:sz w:val="28"/>
          <w:szCs w:val="28"/>
        </w:rPr>
        <w:id w:val="75565723"/>
        <w:docPartObj>
          <w:docPartGallery w:val="Table of Contents"/>
          <w:docPartUnique/>
        </w:docPartObj>
      </w:sdtPr>
      <w:sdtEndPr>
        <w:rPr>
          <w:sz w:val="22"/>
          <w:szCs w:val="22"/>
        </w:rPr>
      </w:sdtEndPr>
      <w:sdtContent>
        <w:p w14:paraId="6C7F4D38" w14:textId="534E52B8" w:rsidR="00877B66" w:rsidRPr="00877B66" w:rsidRDefault="00877B66" w:rsidP="00584D75">
          <w:pPr>
            <w:spacing w:before="0" w:beforeAutospacing="0" w:after="0" w:afterAutospacing="0"/>
            <w:jc w:val="center"/>
            <w:rPr>
              <w:rFonts w:ascii="Arial" w:hAnsi="Arial" w:cs="Arial"/>
              <w:b/>
              <w:bCs/>
              <w:sz w:val="28"/>
              <w:szCs w:val="28"/>
            </w:rPr>
          </w:pPr>
          <w:r w:rsidRPr="00877B66">
            <w:rPr>
              <w:rFonts w:ascii="Arial" w:hAnsi="Arial" w:cs="Arial"/>
              <w:b/>
              <w:bCs/>
              <w:sz w:val="28"/>
              <w:szCs w:val="28"/>
            </w:rPr>
            <w:t>Table of Contents</w:t>
          </w:r>
        </w:p>
        <w:p w14:paraId="3A1DA414" w14:textId="4F5E16E9" w:rsidR="00584D75" w:rsidRPr="00584D75" w:rsidRDefault="00877B66" w:rsidP="00584D75">
          <w:pPr>
            <w:pStyle w:val="TOC1"/>
            <w:tabs>
              <w:tab w:val="right" w:leader="dot" w:pos="9016"/>
            </w:tabs>
            <w:spacing w:before="0" w:beforeAutospacing="0" w:after="0" w:afterAutospacing="0"/>
            <w:rPr>
              <w:rFonts w:asciiTheme="minorHAnsi" w:eastAsiaTheme="minorEastAsia" w:hAnsiTheme="minorHAnsi"/>
              <w:kern w:val="2"/>
              <w:sz w:val="22"/>
              <w:lang w:eastAsia="en-GB"/>
              <w14:ligatures w14:val="standardContextual"/>
            </w:rPr>
          </w:pPr>
          <w:r w:rsidRPr="00584D75">
            <w:rPr>
              <w:rFonts w:ascii="Arial" w:hAnsi="Arial" w:cs="Arial"/>
              <w:sz w:val="22"/>
            </w:rPr>
            <w:fldChar w:fldCharType="begin"/>
          </w:r>
          <w:r w:rsidRPr="00584D75">
            <w:rPr>
              <w:rFonts w:ascii="Arial" w:hAnsi="Arial" w:cs="Arial"/>
              <w:sz w:val="22"/>
            </w:rPr>
            <w:instrText xml:space="preserve"> TOC \o "1-3" \h \z \u </w:instrText>
          </w:r>
          <w:r w:rsidRPr="00584D75">
            <w:rPr>
              <w:rFonts w:ascii="Arial" w:hAnsi="Arial" w:cs="Arial"/>
              <w:sz w:val="22"/>
            </w:rPr>
            <w:fldChar w:fldCharType="separate"/>
          </w:r>
          <w:hyperlink w:anchor="_Toc231465136" w:history="1">
            <w:r w:rsidR="00584D75" w:rsidRPr="00584D75">
              <w:rPr>
                <w:rStyle w:val="Hyperlink"/>
                <w:rFonts w:ascii="Arial" w:hAnsi="Arial" w:cs="Arial"/>
                <w:sz w:val="22"/>
              </w:rPr>
              <w:t>Introduction</w:t>
            </w:r>
            <w:r w:rsidR="00584D75" w:rsidRPr="00584D75">
              <w:rPr>
                <w:webHidden/>
                <w:sz w:val="22"/>
              </w:rPr>
              <w:tab/>
            </w:r>
            <w:r w:rsidR="00584D75" w:rsidRPr="00584D75">
              <w:rPr>
                <w:webHidden/>
                <w:sz w:val="22"/>
              </w:rPr>
              <w:fldChar w:fldCharType="begin"/>
            </w:r>
            <w:r w:rsidR="00584D75" w:rsidRPr="00584D75">
              <w:rPr>
                <w:webHidden/>
                <w:sz w:val="22"/>
              </w:rPr>
              <w:instrText xml:space="preserve"> PAGEREF _Toc231465136 \h </w:instrText>
            </w:r>
            <w:r w:rsidR="00584D75" w:rsidRPr="00584D75">
              <w:rPr>
                <w:webHidden/>
                <w:sz w:val="22"/>
              </w:rPr>
            </w:r>
            <w:r w:rsidR="00584D75" w:rsidRPr="00584D75">
              <w:rPr>
                <w:webHidden/>
                <w:sz w:val="22"/>
              </w:rPr>
              <w:fldChar w:fldCharType="separate"/>
            </w:r>
            <w:r w:rsidR="00584D75" w:rsidRPr="00584D75">
              <w:rPr>
                <w:webHidden/>
                <w:sz w:val="22"/>
              </w:rPr>
              <w:t>3</w:t>
            </w:r>
            <w:r w:rsidR="00584D75" w:rsidRPr="00584D75">
              <w:rPr>
                <w:webHidden/>
                <w:sz w:val="22"/>
              </w:rPr>
              <w:fldChar w:fldCharType="end"/>
            </w:r>
          </w:hyperlink>
        </w:p>
        <w:p w14:paraId="1E2C732D" w14:textId="444FD97A" w:rsidR="00584D75" w:rsidRPr="00584D75" w:rsidRDefault="00584D75" w:rsidP="00584D75">
          <w:pPr>
            <w:pStyle w:val="TOC1"/>
            <w:tabs>
              <w:tab w:val="right" w:leader="dot" w:pos="9016"/>
            </w:tabs>
            <w:spacing w:before="0" w:beforeAutospacing="0" w:after="0" w:afterAutospacing="0"/>
            <w:rPr>
              <w:rFonts w:asciiTheme="minorHAnsi" w:eastAsiaTheme="minorEastAsia" w:hAnsiTheme="minorHAnsi"/>
              <w:kern w:val="2"/>
              <w:sz w:val="22"/>
              <w:lang w:eastAsia="en-GB"/>
              <w14:ligatures w14:val="standardContextual"/>
            </w:rPr>
          </w:pPr>
          <w:hyperlink w:anchor="_Toc231465137" w:history="1">
            <w:r w:rsidRPr="00584D75">
              <w:rPr>
                <w:rStyle w:val="Hyperlink"/>
                <w:rFonts w:ascii="Arial" w:hAnsi="Arial" w:cs="Arial"/>
                <w:sz w:val="22"/>
              </w:rPr>
              <w:t>1. Classification and Diagnosis</w:t>
            </w:r>
            <w:r w:rsidRPr="00584D75">
              <w:rPr>
                <w:webHidden/>
                <w:sz w:val="22"/>
              </w:rPr>
              <w:tab/>
            </w:r>
            <w:r w:rsidRPr="00584D75">
              <w:rPr>
                <w:webHidden/>
                <w:sz w:val="22"/>
              </w:rPr>
              <w:fldChar w:fldCharType="begin"/>
            </w:r>
            <w:r w:rsidRPr="00584D75">
              <w:rPr>
                <w:webHidden/>
                <w:sz w:val="22"/>
              </w:rPr>
              <w:instrText xml:space="preserve"> PAGEREF _Toc231465137 \h </w:instrText>
            </w:r>
            <w:r w:rsidRPr="00584D75">
              <w:rPr>
                <w:webHidden/>
                <w:sz w:val="22"/>
              </w:rPr>
            </w:r>
            <w:r w:rsidRPr="00584D75">
              <w:rPr>
                <w:webHidden/>
                <w:sz w:val="22"/>
              </w:rPr>
              <w:fldChar w:fldCharType="separate"/>
            </w:r>
            <w:r w:rsidRPr="00584D75">
              <w:rPr>
                <w:webHidden/>
                <w:sz w:val="22"/>
              </w:rPr>
              <w:t>3</w:t>
            </w:r>
            <w:r w:rsidRPr="00584D75">
              <w:rPr>
                <w:webHidden/>
                <w:sz w:val="22"/>
              </w:rPr>
              <w:fldChar w:fldCharType="end"/>
            </w:r>
          </w:hyperlink>
        </w:p>
        <w:p w14:paraId="2A4B4C02" w14:textId="112C7361" w:rsidR="00584D75" w:rsidRPr="00584D75" w:rsidRDefault="00584D75" w:rsidP="00584D75">
          <w:pPr>
            <w:pStyle w:val="TOC2"/>
            <w:tabs>
              <w:tab w:val="right" w:leader="dot" w:pos="9016"/>
            </w:tabs>
            <w:spacing w:before="0" w:beforeAutospacing="0" w:after="0" w:afterAutospacing="0"/>
            <w:rPr>
              <w:rFonts w:asciiTheme="minorHAnsi" w:eastAsiaTheme="minorEastAsia" w:hAnsiTheme="minorHAnsi"/>
              <w:kern w:val="2"/>
              <w:sz w:val="22"/>
              <w:lang w:eastAsia="en-GB"/>
              <w14:ligatures w14:val="standardContextual"/>
            </w:rPr>
          </w:pPr>
          <w:hyperlink w:anchor="_Toc231465138" w:history="1">
            <w:r w:rsidRPr="00584D75">
              <w:rPr>
                <w:rStyle w:val="Hyperlink"/>
                <w:rFonts w:ascii="Arial" w:hAnsi="Arial" w:cs="Arial"/>
                <w:sz w:val="22"/>
              </w:rPr>
              <w:t>1.1 Detailed analysis on the classification of Mood Disorder</w:t>
            </w:r>
            <w:r w:rsidRPr="00584D75">
              <w:rPr>
                <w:webHidden/>
                <w:sz w:val="22"/>
              </w:rPr>
              <w:tab/>
            </w:r>
            <w:r w:rsidRPr="00584D75">
              <w:rPr>
                <w:webHidden/>
                <w:sz w:val="22"/>
              </w:rPr>
              <w:fldChar w:fldCharType="begin"/>
            </w:r>
            <w:r w:rsidRPr="00584D75">
              <w:rPr>
                <w:webHidden/>
                <w:sz w:val="22"/>
              </w:rPr>
              <w:instrText xml:space="preserve"> PAGEREF _Toc231465138 \h </w:instrText>
            </w:r>
            <w:r w:rsidRPr="00584D75">
              <w:rPr>
                <w:webHidden/>
                <w:sz w:val="22"/>
              </w:rPr>
            </w:r>
            <w:r w:rsidRPr="00584D75">
              <w:rPr>
                <w:webHidden/>
                <w:sz w:val="22"/>
              </w:rPr>
              <w:fldChar w:fldCharType="separate"/>
            </w:r>
            <w:r w:rsidRPr="00584D75">
              <w:rPr>
                <w:webHidden/>
                <w:sz w:val="22"/>
              </w:rPr>
              <w:t>3</w:t>
            </w:r>
            <w:r w:rsidRPr="00584D75">
              <w:rPr>
                <w:webHidden/>
                <w:sz w:val="22"/>
              </w:rPr>
              <w:fldChar w:fldCharType="end"/>
            </w:r>
          </w:hyperlink>
        </w:p>
        <w:p w14:paraId="25AFA738" w14:textId="1B96B491" w:rsidR="00584D75" w:rsidRPr="00584D75" w:rsidRDefault="00584D75" w:rsidP="00584D75">
          <w:pPr>
            <w:pStyle w:val="TOC2"/>
            <w:tabs>
              <w:tab w:val="right" w:leader="dot" w:pos="9016"/>
            </w:tabs>
            <w:spacing w:before="0" w:beforeAutospacing="0" w:after="0" w:afterAutospacing="0"/>
            <w:rPr>
              <w:rFonts w:asciiTheme="minorHAnsi" w:eastAsiaTheme="minorEastAsia" w:hAnsiTheme="minorHAnsi"/>
              <w:kern w:val="2"/>
              <w:sz w:val="22"/>
              <w:lang w:eastAsia="en-GB"/>
              <w14:ligatures w14:val="standardContextual"/>
            </w:rPr>
          </w:pPr>
          <w:hyperlink w:anchor="_Toc231465139" w:history="1">
            <w:r w:rsidRPr="00584D75">
              <w:rPr>
                <w:rStyle w:val="Hyperlink"/>
                <w:rFonts w:ascii="Arial" w:hAnsi="Arial" w:cs="Arial"/>
                <w:sz w:val="22"/>
              </w:rPr>
              <w:t>1.2 Diagnostic criteria and processes associated with the Mood Disorder</w:t>
            </w:r>
            <w:r w:rsidRPr="00584D75">
              <w:rPr>
                <w:webHidden/>
                <w:sz w:val="22"/>
              </w:rPr>
              <w:tab/>
            </w:r>
            <w:r w:rsidRPr="00584D75">
              <w:rPr>
                <w:webHidden/>
                <w:sz w:val="22"/>
              </w:rPr>
              <w:fldChar w:fldCharType="begin"/>
            </w:r>
            <w:r w:rsidRPr="00584D75">
              <w:rPr>
                <w:webHidden/>
                <w:sz w:val="22"/>
              </w:rPr>
              <w:instrText xml:space="preserve"> PAGEREF _Toc231465139 \h </w:instrText>
            </w:r>
            <w:r w:rsidRPr="00584D75">
              <w:rPr>
                <w:webHidden/>
                <w:sz w:val="22"/>
              </w:rPr>
            </w:r>
            <w:r w:rsidRPr="00584D75">
              <w:rPr>
                <w:webHidden/>
                <w:sz w:val="22"/>
              </w:rPr>
              <w:fldChar w:fldCharType="separate"/>
            </w:r>
            <w:r w:rsidRPr="00584D75">
              <w:rPr>
                <w:webHidden/>
                <w:sz w:val="22"/>
              </w:rPr>
              <w:t>3</w:t>
            </w:r>
            <w:r w:rsidRPr="00584D75">
              <w:rPr>
                <w:webHidden/>
                <w:sz w:val="22"/>
              </w:rPr>
              <w:fldChar w:fldCharType="end"/>
            </w:r>
          </w:hyperlink>
        </w:p>
        <w:p w14:paraId="5EAED58D" w14:textId="4AACF903" w:rsidR="00584D75" w:rsidRPr="00584D75" w:rsidRDefault="00584D75" w:rsidP="00584D75">
          <w:pPr>
            <w:pStyle w:val="TOC2"/>
            <w:tabs>
              <w:tab w:val="right" w:leader="dot" w:pos="9016"/>
            </w:tabs>
            <w:spacing w:before="0" w:beforeAutospacing="0" w:after="0" w:afterAutospacing="0"/>
            <w:rPr>
              <w:rFonts w:asciiTheme="minorHAnsi" w:eastAsiaTheme="minorEastAsia" w:hAnsiTheme="minorHAnsi"/>
              <w:kern w:val="2"/>
              <w:sz w:val="22"/>
              <w:lang w:eastAsia="en-GB"/>
              <w14:ligatures w14:val="standardContextual"/>
            </w:rPr>
          </w:pPr>
          <w:hyperlink w:anchor="_Toc231465140" w:history="1">
            <w:r w:rsidRPr="00584D75">
              <w:rPr>
                <w:rStyle w:val="Hyperlink"/>
                <w:rFonts w:ascii="Arial" w:hAnsi="Arial" w:cs="Arial"/>
                <w:sz w:val="22"/>
              </w:rPr>
              <w:t>1.3 Language used in the classification</w:t>
            </w:r>
            <w:r w:rsidRPr="00584D75">
              <w:rPr>
                <w:webHidden/>
                <w:sz w:val="22"/>
              </w:rPr>
              <w:tab/>
            </w:r>
            <w:r w:rsidRPr="00584D75">
              <w:rPr>
                <w:webHidden/>
                <w:sz w:val="22"/>
              </w:rPr>
              <w:fldChar w:fldCharType="begin"/>
            </w:r>
            <w:r w:rsidRPr="00584D75">
              <w:rPr>
                <w:webHidden/>
                <w:sz w:val="22"/>
              </w:rPr>
              <w:instrText xml:space="preserve"> PAGEREF _Toc231465140 \h </w:instrText>
            </w:r>
            <w:r w:rsidRPr="00584D75">
              <w:rPr>
                <w:webHidden/>
                <w:sz w:val="22"/>
              </w:rPr>
            </w:r>
            <w:r w:rsidRPr="00584D75">
              <w:rPr>
                <w:webHidden/>
                <w:sz w:val="22"/>
              </w:rPr>
              <w:fldChar w:fldCharType="separate"/>
            </w:r>
            <w:r w:rsidRPr="00584D75">
              <w:rPr>
                <w:webHidden/>
                <w:sz w:val="22"/>
              </w:rPr>
              <w:t>4</w:t>
            </w:r>
            <w:r w:rsidRPr="00584D75">
              <w:rPr>
                <w:webHidden/>
                <w:sz w:val="22"/>
              </w:rPr>
              <w:fldChar w:fldCharType="end"/>
            </w:r>
          </w:hyperlink>
        </w:p>
        <w:p w14:paraId="744363A0" w14:textId="069B05FF" w:rsidR="00584D75" w:rsidRPr="00584D75" w:rsidRDefault="00584D75" w:rsidP="00584D75">
          <w:pPr>
            <w:pStyle w:val="TOC1"/>
            <w:tabs>
              <w:tab w:val="right" w:leader="dot" w:pos="9016"/>
            </w:tabs>
            <w:spacing w:before="0" w:beforeAutospacing="0" w:after="0" w:afterAutospacing="0"/>
            <w:rPr>
              <w:rFonts w:asciiTheme="minorHAnsi" w:eastAsiaTheme="minorEastAsia" w:hAnsiTheme="minorHAnsi"/>
              <w:kern w:val="2"/>
              <w:sz w:val="22"/>
              <w:lang w:eastAsia="en-GB"/>
              <w14:ligatures w14:val="standardContextual"/>
            </w:rPr>
          </w:pPr>
          <w:hyperlink w:anchor="_Toc231465141" w:history="1">
            <w:r w:rsidRPr="00584D75">
              <w:rPr>
                <w:rStyle w:val="Hyperlink"/>
                <w:rFonts w:ascii="Arial" w:hAnsi="Arial" w:cs="Arial"/>
                <w:sz w:val="22"/>
              </w:rPr>
              <w:t>2. Treatment and Rehabilitation</w:t>
            </w:r>
            <w:r w:rsidRPr="00584D75">
              <w:rPr>
                <w:webHidden/>
                <w:sz w:val="22"/>
              </w:rPr>
              <w:tab/>
            </w:r>
            <w:r w:rsidRPr="00584D75">
              <w:rPr>
                <w:webHidden/>
                <w:sz w:val="22"/>
              </w:rPr>
              <w:fldChar w:fldCharType="begin"/>
            </w:r>
            <w:r w:rsidRPr="00584D75">
              <w:rPr>
                <w:webHidden/>
                <w:sz w:val="22"/>
              </w:rPr>
              <w:instrText xml:space="preserve"> PAGEREF _Toc231465141 \h </w:instrText>
            </w:r>
            <w:r w:rsidRPr="00584D75">
              <w:rPr>
                <w:webHidden/>
                <w:sz w:val="22"/>
              </w:rPr>
            </w:r>
            <w:r w:rsidRPr="00584D75">
              <w:rPr>
                <w:webHidden/>
                <w:sz w:val="22"/>
              </w:rPr>
              <w:fldChar w:fldCharType="separate"/>
            </w:r>
            <w:r w:rsidRPr="00584D75">
              <w:rPr>
                <w:webHidden/>
                <w:sz w:val="22"/>
              </w:rPr>
              <w:t>4</w:t>
            </w:r>
            <w:r w:rsidRPr="00584D75">
              <w:rPr>
                <w:webHidden/>
                <w:sz w:val="22"/>
              </w:rPr>
              <w:fldChar w:fldCharType="end"/>
            </w:r>
          </w:hyperlink>
        </w:p>
        <w:p w14:paraId="5851F66C" w14:textId="69385341" w:rsidR="00584D75" w:rsidRPr="00584D75" w:rsidRDefault="00584D75" w:rsidP="00584D75">
          <w:pPr>
            <w:pStyle w:val="TOC2"/>
            <w:tabs>
              <w:tab w:val="right" w:leader="dot" w:pos="9016"/>
            </w:tabs>
            <w:spacing w:before="0" w:beforeAutospacing="0" w:after="0" w:afterAutospacing="0"/>
            <w:rPr>
              <w:rFonts w:asciiTheme="minorHAnsi" w:eastAsiaTheme="minorEastAsia" w:hAnsiTheme="minorHAnsi"/>
              <w:kern w:val="2"/>
              <w:sz w:val="22"/>
              <w:lang w:eastAsia="en-GB"/>
              <w14:ligatures w14:val="standardContextual"/>
            </w:rPr>
          </w:pPr>
          <w:hyperlink w:anchor="_Toc231465142" w:history="1">
            <w:r w:rsidRPr="00584D75">
              <w:rPr>
                <w:rStyle w:val="Hyperlink"/>
                <w:rFonts w:ascii="Arial" w:hAnsi="Arial" w:cs="Arial"/>
                <w:sz w:val="22"/>
              </w:rPr>
              <w:t>2.1 Critical evaluation on the standard treatment approaches for Mood Disorder</w:t>
            </w:r>
            <w:r w:rsidRPr="00584D75">
              <w:rPr>
                <w:webHidden/>
                <w:sz w:val="22"/>
              </w:rPr>
              <w:tab/>
            </w:r>
            <w:r w:rsidRPr="00584D75">
              <w:rPr>
                <w:webHidden/>
                <w:sz w:val="22"/>
              </w:rPr>
              <w:fldChar w:fldCharType="begin"/>
            </w:r>
            <w:r w:rsidRPr="00584D75">
              <w:rPr>
                <w:webHidden/>
                <w:sz w:val="22"/>
              </w:rPr>
              <w:instrText xml:space="preserve"> PAGEREF _Toc231465142 \h </w:instrText>
            </w:r>
            <w:r w:rsidRPr="00584D75">
              <w:rPr>
                <w:webHidden/>
                <w:sz w:val="22"/>
              </w:rPr>
            </w:r>
            <w:r w:rsidRPr="00584D75">
              <w:rPr>
                <w:webHidden/>
                <w:sz w:val="22"/>
              </w:rPr>
              <w:fldChar w:fldCharType="separate"/>
            </w:r>
            <w:r w:rsidRPr="00584D75">
              <w:rPr>
                <w:webHidden/>
                <w:sz w:val="22"/>
              </w:rPr>
              <w:t>4</w:t>
            </w:r>
            <w:r w:rsidRPr="00584D75">
              <w:rPr>
                <w:webHidden/>
                <w:sz w:val="22"/>
              </w:rPr>
              <w:fldChar w:fldCharType="end"/>
            </w:r>
          </w:hyperlink>
        </w:p>
        <w:p w14:paraId="5B676C78" w14:textId="7241F47E" w:rsidR="00584D75" w:rsidRPr="00584D75" w:rsidRDefault="00584D75" w:rsidP="00584D75">
          <w:pPr>
            <w:pStyle w:val="TOC2"/>
            <w:tabs>
              <w:tab w:val="right" w:leader="dot" w:pos="9016"/>
            </w:tabs>
            <w:spacing w:before="0" w:beforeAutospacing="0" w:after="0" w:afterAutospacing="0"/>
            <w:rPr>
              <w:rFonts w:asciiTheme="minorHAnsi" w:eastAsiaTheme="minorEastAsia" w:hAnsiTheme="minorHAnsi"/>
              <w:kern w:val="2"/>
              <w:sz w:val="22"/>
              <w:lang w:eastAsia="en-GB"/>
              <w14:ligatures w14:val="standardContextual"/>
            </w:rPr>
          </w:pPr>
          <w:hyperlink w:anchor="_Toc231465143" w:history="1">
            <w:r w:rsidRPr="00584D75">
              <w:rPr>
                <w:rStyle w:val="Hyperlink"/>
                <w:rFonts w:ascii="Arial" w:hAnsi="Arial" w:cs="Arial"/>
                <w:sz w:val="22"/>
              </w:rPr>
              <w:t>2.2 Examination on rehabilitation measures included in ICD-11 and in practice</w:t>
            </w:r>
            <w:r w:rsidRPr="00584D75">
              <w:rPr>
                <w:webHidden/>
                <w:sz w:val="22"/>
              </w:rPr>
              <w:tab/>
            </w:r>
            <w:r w:rsidRPr="00584D75">
              <w:rPr>
                <w:webHidden/>
                <w:sz w:val="22"/>
              </w:rPr>
              <w:fldChar w:fldCharType="begin"/>
            </w:r>
            <w:r w:rsidRPr="00584D75">
              <w:rPr>
                <w:webHidden/>
                <w:sz w:val="22"/>
              </w:rPr>
              <w:instrText xml:space="preserve"> PAGEREF _Toc231465143 \h </w:instrText>
            </w:r>
            <w:r w:rsidRPr="00584D75">
              <w:rPr>
                <w:webHidden/>
                <w:sz w:val="22"/>
              </w:rPr>
            </w:r>
            <w:r w:rsidRPr="00584D75">
              <w:rPr>
                <w:webHidden/>
                <w:sz w:val="22"/>
              </w:rPr>
              <w:fldChar w:fldCharType="separate"/>
            </w:r>
            <w:r w:rsidRPr="00584D75">
              <w:rPr>
                <w:webHidden/>
                <w:sz w:val="22"/>
              </w:rPr>
              <w:t>4</w:t>
            </w:r>
            <w:r w:rsidRPr="00584D75">
              <w:rPr>
                <w:webHidden/>
                <w:sz w:val="22"/>
              </w:rPr>
              <w:fldChar w:fldCharType="end"/>
            </w:r>
          </w:hyperlink>
        </w:p>
        <w:p w14:paraId="29B90C44" w14:textId="20B580A0" w:rsidR="00584D75" w:rsidRPr="00584D75" w:rsidRDefault="00584D75" w:rsidP="00584D75">
          <w:pPr>
            <w:pStyle w:val="TOC2"/>
            <w:tabs>
              <w:tab w:val="right" w:leader="dot" w:pos="9016"/>
            </w:tabs>
            <w:spacing w:before="0" w:beforeAutospacing="0" w:after="0" w:afterAutospacing="0"/>
            <w:rPr>
              <w:rFonts w:asciiTheme="minorHAnsi" w:eastAsiaTheme="minorEastAsia" w:hAnsiTheme="minorHAnsi"/>
              <w:kern w:val="2"/>
              <w:sz w:val="22"/>
              <w:lang w:eastAsia="en-GB"/>
              <w14:ligatures w14:val="standardContextual"/>
            </w:rPr>
          </w:pPr>
          <w:hyperlink w:anchor="_Toc231465144" w:history="1">
            <w:r w:rsidRPr="00584D75">
              <w:rPr>
                <w:rStyle w:val="Hyperlink"/>
                <w:rFonts w:ascii="Arial" w:hAnsi="Arial" w:cs="Arial"/>
                <w:sz w:val="22"/>
              </w:rPr>
              <w:t>2.3 Assessment on the effectiveness and limitations of these approaches</w:t>
            </w:r>
            <w:r w:rsidRPr="00584D75">
              <w:rPr>
                <w:webHidden/>
                <w:sz w:val="22"/>
              </w:rPr>
              <w:tab/>
            </w:r>
            <w:r w:rsidRPr="00584D75">
              <w:rPr>
                <w:webHidden/>
                <w:sz w:val="22"/>
              </w:rPr>
              <w:fldChar w:fldCharType="begin"/>
            </w:r>
            <w:r w:rsidRPr="00584D75">
              <w:rPr>
                <w:webHidden/>
                <w:sz w:val="22"/>
              </w:rPr>
              <w:instrText xml:space="preserve"> PAGEREF _Toc231465144 \h </w:instrText>
            </w:r>
            <w:r w:rsidRPr="00584D75">
              <w:rPr>
                <w:webHidden/>
                <w:sz w:val="22"/>
              </w:rPr>
            </w:r>
            <w:r w:rsidRPr="00584D75">
              <w:rPr>
                <w:webHidden/>
                <w:sz w:val="22"/>
              </w:rPr>
              <w:fldChar w:fldCharType="separate"/>
            </w:r>
            <w:r w:rsidRPr="00584D75">
              <w:rPr>
                <w:webHidden/>
                <w:sz w:val="22"/>
              </w:rPr>
              <w:t>5</w:t>
            </w:r>
            <w:r w:rsidRPr="00584D75">
              <w:rPr>
                <w:webHidden/>
                <w:sz w:val="22"/>
              </w:rPr>
              <w:fldChar w:fldCharType="end"/>
            </w:r>
          </w:hyperlink>
        </w:p>
        <w:p w14:paraId="3B1849EC" w14:textId="1AA9F624" w:rsidR="00584D75" w:rsidRPr="00584D75" w:rsidRDefault="00584D75" w:rsidP="00584D75">
          <w:pPr>
            <w:pStyle w:val="TOC1"/>
            <w:tabs>
              <w:tab w:val="right" w:leader="dot" w:pos="9016"/>
            </w:tabs>
            <w:spacing w:before="0" w:beforeAutospacing="0" w:after="0" w:afterAutospacing="0"/>
            <w:rPr>
              <w:rFonts w:asciiTheme="minorHAnsi" w:eastAsiaTheme="minorEastAsia" w:hAnsiTheme="minorHAnsi"/>
              <w:kern w:val="2"/>
              <w:sz w:val="22"/>
              <w:lang w:eastAsia="en-GB"/>
              <w14:ligatures w14:val="standardContextual"/>
            </w:rPr>
          </w:pPr>
          <w:hyperlink w:anchor="_Toc231465145" w:history="1">
            <w:r w:rsidRPr="00584D75">
              <w:rPr>
                <w:rStyle w:val="Hyperlink"/>
                <w:rFonts w:ascii="Arial" w:hAnsi="Arial" w:cs="Arial"/>
                <w:sz w:val="22"/>
              </w:rPr>
              <w:t>3. Current Debates and Emerging Issues</w:t>
            </w:r>
            <w:r w:rsidRPr="00584D75">
              <w:rPr>
                <w:webHidden/>
                <w:sz w:val="22"/>
              </w:rPr>
              <w:tab/>
            </w:r>
            <w:r w:rsidRPr="00584D75">
              <w:rPr>
                <w:webHidden/>
                <w:sz w:val="22"/>
              </w:rPr>
              <w:fldChar w:fldCharType="begin"/>
            </w:r>
            <w:r w:rsidRPr="00584D75">
              <w:rPr>
                <w:webHidden/>
                <w:sz w:val="22"/>
              </w:rPr>
              <w:instrText xml:space="preserve"> PAGEREF _Toc231465145 \h </w:instrText>
            </w:r>
            <w:r w:rsidRPr="00584D75">
              <w:rPr>
                <w:webHidden/>
                <w:sz w:val="22"/>
              </w:rPr>
            </w:r>
            <w:r w:rsidRPr="00584D75">
              <w:rPr>
                <w:webHidden/>
                <w:sz w:val="22"/>
              </w:rPr>
              <w:fldChar w:fldCharType="separate"/>
            </w:r>
            <w:r w:rsidRPr="00584D75">
              <w:rPr>
                <w:webHidden/>
                <w:sz w:val="22"/>
              </w:rPr>
              <w:t>5</w:t>
            </w:r>
            <w:r w:rsidRPr="00584D75">
              <w:rPr>
                <w:webHidden/>
                <w:sz w:val="22"/>
              </w:rPr>
              <w:fldChar w:fldCharType="end"/>
            </w:r>
          </w:hyperlink>
        </w:p>
        <w:p w14:paraId="2DD8A592" w14:textId="16715EF3" w:rsidR="00584D75" w:rsidRPr="00584D75" w:rsidRDefault="00584D75" w:rsidP="00584D75">
          <w:pPr>
            <w:pStyle w:val="TOC2"/>
            <w:tabs>
              <w:tab w:val="right" w:leader="dot" w:pos="9016"/>
            </w:tabs>
            <w:spacing w:before="0" w:beforeAutospacing="0" w:after="0" w:afterAutospacing="0"/>
            <w:rPr>
              <w:rFonts w:asciiTheme="minorHAnsi" w:eastAsiaTheme="minorEastAsia" w:hAnsiTheme="minorHAnsi"/>
              <w:kern w:val="2"/>
              <w:sz w:val="22"/>
              <w:lang w:eastAsia="en-GB"/>
              <w14:ligatures w14:val="standardContextual"/>
            </w:rPr>
          </w:pPr>
          <w:hyperlink w:anchor="_Toc231465146" w:history="1">
            <w:r w:rsidRPr="00584D75">
              <w:rPr>
                <w:rStyle w:val="Hyperlink"/>
                <w:rFonts w:ascii="Arial" w:hAnsi="Arial" w:cs="Arial"/>
                <w:sz w:val="22"/>
              </w:rPr>
              <w:t>3.1 Discussion on ongoing debates surrounding the classification and treatment of Mood Disorder</w:t>
            </w:r>
            <w:r w:rsidRPr="00584D75">
              <w:rPr>
                <w:webHidden/>
                <w:sz w:val="22"/>
              </w:rPr>
              <w:tab/>
            </w:r>
            <w:r w:rsidRPr="00584D75">
              <w:rPr>
                <w:webHidden/>
                <w:sz w:val="22"/>
              </w:rPr>
              <w:fldChar w:fldCharType="begin"/>
            </w:r>
            <w:r w:rsidRPr="00584D75">
              <w:rPr>
                <w:webHidden/>
                <w:sz w:val="22"/>
              </w:rPr>
              <w:instrText xml:space="preserve"> PAGEREF _Toc231465146 \h </w:instrText>
            </w:r>
            <w:r w:rsidRPr="00584D75">
              <w:rPr>
                <w:webHidden/>
                <w:sz w:val="22"/>
              </w:rPr>
            </w:r>
            <w:r w:rsidRPr="00584D75">
              <w:rPr>
                <w:webHidden/>
                <w:sz w:val="22"/>
              </w:rPr>
              <w:fldChar w:fldCharType="separate"/>
            </w:r>
            <w:r w:rsidRPr="00584D75">
              <w:rPr>
                <w:webHidden/>
                <w:sz w:val="22"/>
              </w:rPr>
              <w:t>5</w:t>
            </w:r>
            <w:r w:rsidRPr="00584D75">
              <w:rPr>
                <w:webHidden/>
                <w:sz w:val="22"/>
              </w:rPr>
              <w:fldChar w:fldCharType="end"/>
            </w:r>
          </w:hyperlink>
        </w:p>
        <w:p w14:paraId="6B54ACC6" w14:textId="3887627F" w:rsidR="00584D75" w:rsidRPr="00584D75" w:rsidRDefault="00584D75" w:rsidP="00584D75">
          <w:pPr>
            <w:pStyle w:val="TOC2"/>
            <w:tabs>
              <w:tab w:val="right" w:leader="dot" w:pos="9016"/>
            </w:tabs>
            <w:spacing w:before="0" w:beforeAutospacing="0" w:after="0" w:afterAutospacing="0"/>
            <w:rPr>
              <w:rFonts w:asciiTheme="minorHAnsi" w:eastAsiaTheme="minorEastAsia" w:hAnsiTheme="minorHAnsi"/>
              <w:kern w:val="2"/>
              <w:sz w:val="22"/>
              <w:lang w:eastAsia="en-GB"/>
              <w14:ligatures w14:val="standardContextual"/>
            </w:rPr>
          </w:pPr>
          <w:hyperlink w:anchor="_Toc231465147" w:history="1">
            <w:r w:rsidRPr="00584D75">
              <w:rPr>
                <w:rStyle w:val="Hyperlink"/>
                <w:rFonts w:ascii="Arial" w:hAnsi="Arial" w:cs="Arial"/>
                <w:sz w:val="22"/>
              </w:rPr>
              <w:t>3.2 Critical assessment on the role of neurodivergence and any relevant reclassification issues</w:t>
            </w:r>
            <w:r w:rsidRPr="00584D75">
              <w:rPr>
                <w:webHidden/>
                <w:sz w:val="22"/>
              </w:rPr>
              <w:tab/>
            </w:r>
            <w:r w:rsidRPr="00584D75">
              <w:rPr>
                <w:webHidden/>
                <w:sz w:val="22"/>
              </w:rPr>
              <w:fldChar w:fldCharType="begin"/>
            </w:r>
            <w:r w:rsidRPr="00584D75">
              <w:rPr>
                <w:webHidden/>
                <w:sz w:val="22"/>
              </w:rPr>
              <w:instrText xml:space="preserve"> PAGEREF _Toc231465147 \h </w:instrText>
            </w:r>
            <w:r w:rsidRPr="00584D75">
              <w:rPr>
                <w:webHidden/>
                <w:sz w:val="22"/>
              </w:rPr>
            </w:r>
            <w:r w:rsidRPr="00584D75">
              <w:rPr>
                <w:webHidden/>
                <w:sz w:val="22"/>
              </w:rPr>
              <w:fldChar w:fldCharType="separate"/>
            </w:r>
            <w:r w:rsidRPr="00584D75">
              <w:rPr>
                <w:webHidden/>
                <w:sz w:val="22"/>
              </w:rPr>
              <w:t>5</w:t>
            </w:r>
            <w:r w:rsidRPr="00584D75">
              <w:rPr>
                <w:webHidden/>
                <w:sz w:val="22"/>
              </w:rPr>
              <w:fldChar w:fldCharType="end"/>
            </w:r>
          </w:hyperlink>
        </w:p>
        <w:p w14:paraId="2A7526DC" w14:textId="213B20E1" w:rsidR="00584D75" w:rsidRPr="00584D75" w:rsidRDefault="00584D75" w:rsidP="00584D75">
          <w:pPr>
            <w:pStyle w:val="TOC2"/>
            <w:tabs>
              <w:tab w:val="right" w:leader="dot" w:pos="9016"/>
            </w:tabs>
            <w:spacing w:before="0" w:beforeAutospacing="0" w:after="0" w:afterAutospacing="0"/>
            <w:rPr>
              <w:rFonts w:asciiTheme="minorHAnsi" w:eastAsiaTheme="minorEastAsia" w:hAnsiTheme="minorHAnsi"/>
              <w:kern w:val="2"/>
              <w:sz w:val="22"/>
              <w:lang w:eastAsia="en-GB"/>
              <w14:ligatures w14:val="standardContextual"/>
            </w:rPr>
          </w:pPr>
          <w:hyperlink w:anchor="_Toc231465148" w:history="1">
            <w:r w:rsidRPr="00584D75">
              <w:rPr>
                <w:rStyle w:val="Hyperlink"/>
                <w:rFonts w:ascii="Arial" w:hAnsi="Arial" w:cs="Arial"/>
                <w:sz w:val="22"/>
              </w:rPr>
              <w:t>3.3 Consideration on the impact of these debates on practice and policy</w:t>
            </w:r>
            <w:r w:rsidRPr="00584D75">
              <w:rPr>
                <w:webHidden/>
                <w:sz w:val="22"/>
              </w:rPr>
              <w:tab/>
            </w:r>
            <w:r w:rsidRPr="00584D75">
              <w:rPr>
                <w:webHidden/>
                <w:sz w:val="22"/>
              </w:rPr>
              <w:fldChar w:fldCharType="begin"/>
            </w:r>
            <w:r w:rsidRPr="00584D75">
              <w:rPr>
                <w:webHidden/>
                <w:sz w:val="22"/>
              </w:rPr>
              <w:instrText xml:space="preserve"> PAGEREF _Toc231465148 \h </w:instrText>
            </w:r>
            <w:r w:rsidRPr="00584D75">
              <w:rPr>
                <w:webHidden/>
                <w:sz w:val="22"/>
              </w:rPr>
            </w:r>
            <w:r w:rsidRPr="00584D75">
              <w:rPr>
                <w:webHidden/>
                <w:sz w:val="22"/>
              </w:rPr>
              <w:fldChar w:fldCharType="separate"/>
            </w:r>
            <w:r w:rsidRPr="00584D75">
              <w:rPr>
                <w:webHidden/>
                <w:sz w:val="22"/>
              </w:rPr>
              <w:t>6</w:t>
            </w:r>
            <w:r w:rsidRPr="00584D75">
              <w:rPr>
                <w:webHidden/>
                <w:sz w:val="22"/>
              </w:rPr>
              <w:fldChar w:fldCharType="end"/>
            </w:r>
          </w:hyperlink>
        </w:p>
        <w:p w14:paraId="6B60945F" w14:textId="7EF6B698" w:rsidR="00584D75" w:rsidRPr="00584D75" w:rsidRDefault="00584D75" w:rsidP="00584D75">
          <w:pPr>
            <w:pStyle w:val="TOC1"/>
            <w:tabs>
              <w:tab w:val="right" w:leader="dot" w:pos="9016"/>
            </w:tabs>
            <w:spacing w:before="0" w:beforeAutospacing="0" w:after="0" w:afterAutospacing="0"/>
            <w:rPr>
              <w:rFonts w:asciiTheme="minorHAnsi" w:eastAsiaTheme="minorEastAsia" w:hAnsiTheme="minorHAnsi"/>
              <w:kern w:val="2"/>
              <w:sz w:val="22"/>
              <w:lang w:eastAsia="en-GB"/>
              <w14:ligatures w14:val="standardContextual"/>
            </w:rPr>
          </w:pPr>
          <w:hyperlink w:anchor="_Toc231465149" w:history="1">
            <w:r w:rsidRPr="00584D75">
              <w:rPr>
                <w:rStyle w:val="Hyperlink"/>
                <w:rFonts w:ascii="Arial" w:hAnsi="Arial" w:cs="Arial"/>
                <w:sz w:val="22"/>
              </w:rPr>
              <w:t>4. Recommendations</w:t>
            </w:r>
            <w:r w:rsidRPr="00584D75">
              <w:rPr>
                <w:webHidden/>
                <w:sz w:val="22"/>
              </w:rPr>
              <w:tab/>
            </w:r>
            <w:r w:rsidRPr="00584D75">
              <w:rPr>
                <w:webHidden/>
                <w:sz w:val="22"/>
              </w:rPr>
              <w:fldChar w:fldCharType="begin"/>
            </w:r>
            <w:r w:rsidRPr="00584D75">
              <w:rPr>
                <w:webHidden/>
                <w:sz w:val="22"/>
              </w:rPr>
              <w:instrText xml:space="preserve"> PAGEREF _Toc231465149 \h </w:instrText>
            </w:r>
            <w:r w:rsidRPr="00584D75">
              <w:rPr>
                <w:webHidden/>
                <w:sz w:val="22"/>
              </w:rPr>
            </w:r>
            <w:r w:rsidRPr="00584D75">
              <w:rPr>
                <w:webHidden/>
                <w:sz w:val="22"/>
              </w:rPr>
              <w:fldChar w:fldCharType="separate"/>
            </w:r>
            <w:r w:rsidRPr="00584D75">
              <w:rPr>
                <w:webHidden/>
                <w:sz w:val="22"/>
              </w:rPr>
              <w:t>7</w:t>
            </w:r>
            <w:r w:rsidRPr="00584D75">
              <w:rPr>
                <w:webHidden/>
                <w:sz w:val="22"/>
              </w:rPr>
              <w:fldChar w:fldCharType="end"/>
            </w:r>
          </w:hyperlink>
        </w:p>
        <w:p w14:paraId="7328E12B" w14:textId="64C4B176" w:rsidR="00584D75" w:rsidRPr="00584D75" w:rsidRDefault="00584D75" w:rsidP="00584D75">
          <w:pPr>
            <w:pStyle w:val="TOC2"/>
            <w:tabs>
              <w:tab w:val="right" w:leader="dot" w:pos="9016"/>
            </w:tabs>
            <w:spacing w:before="0" w:beforeAutospacing="0" w:after="0" w:afterAutospacing="0"/>
            <w:rPr>
              <w:rFonts w:asciiTheme="minorHAnsi" w:eastAsiaTheme="minorEastAsia" w:hAnsiTheme="minorHAnsi"/>
              <w:kern w:val="2"/>
              <w:sz w:val="22"/>
              <w:lang w:eastAsia="en-GB"/>
              <w14:ligatures w14:val="standardContextual"/>
            </w:rPr>
          </w:pPr>
          <w:hyperlink w:anchor="_Toc231465150" w:history="1">
            <w:r w:rsidRPr="00584D75">
              <w:rPr>
                <w:rStyle w:val="Hyperlink"/>
                <w:rFonts w:ascii="Arial" w:hAnsi="Arial" w:cs="Arial"/>
                <w:sz w:val="22"/>
              </w:rPr>
              <w:t>4.1 Well-reasoned recommendations for improving</w:t>
            </w:r>
            <w:r w:rsidRPr="00584D75">
              <w:rPr>
                <w:webHidden/>
                <w:sz w:val="22"/>
              </w:rPr>
              <w:tab/>
            </w:r>
            <w:r w:rsidRPr="00584D75">
              <w:rPr>
                <w:webHidden/>
                <w:sz w:val="22"/>
              </w:rPr>
              <w:fldChar w:fldCharType="begin"/>
            </w:r>
            <w:r w:rsidRPr="00584D75">
              <w:rPr>
                <w:webHidden/>
                <w:sz w:val="22"/>
              </w:rPr>
              <w:instrText xml:space="preserve"> PAGEREF _Toc231465150 \h </w:instrText>
            </w:r>
            <w:r w:rsidRPr="00584D75">
              <w:rPr>
                <w:webHidden/>
                <w:sz w:val="22"/>
              </w:rPr>
            </w:r>
            <w:r w:rsidRPr="00584D75">
              <w:rPr>
                <w:webHidden/>
                <w:sz w:val="22"/>
              </w:rPr>
              <w:fldChar w:fldCharType="separate"/>
            </w:r>
            <w:r w:rsidRPr="00584D75">
              <w:rPr>
                <w:webHidden/>
                <w:sz w:val="22"/>
              </w:rPr>
              <w:t>7</w:t>
            </w:r>
            <w:r w:rsidRPr="00584D75">
              <w:rPr>
                <w:webHidden/>
                <w:sz w:val="22"/>
              </w:rPr>
              <w:fldChar w:fldCharType="end"/>
            </w:r>
          </w:hyperlink>
        </w:p>
        <w:p w14:paraId="025314C1" w14:textId="65CCC169" w:rsidR="00584D75" w:rsidRPr="00584D75" w:rsidRDefault="00584D75" w:rsidP="00584D75">
          <w:pPr>
            <w:pStyle w:val="TOC2"/>
            <w:tabs>
              <w:tab w:val="right" w:leader="dot" w:pos="9016"/>
            </w:tabs>
            <w:spacing w:before="0" w:beforeAutospacing="0" w:after="0" w:afterAutospacing="0"/>
            <w:rPr>
              <w:rFonts w:asciiTheme="minorHAnsi" w:eastAsiaTheme="minorEastAsia" w:hAnsiTheme="minorHAnsi"/>
              <w:kern w:val="2"/>
              <w:sz w:val="22"/>
              <w:lang w:eastAsia="en-GB"/>
              <w14:ligatures w14:val="standardContextual"/>
            </w:rPr>
          </w:pPr>
          <w:hyperlink w:anchor="_Toc231465151" w:history="1">
            <w:r w:rsidRPr="00584D75">
              <w:rPr>
                <w:rStyle w:val="Hyperlink"/>
                <w:rFonts w:ascii="Arial" w:hAnsi="Arial" w:cs="Arial"/>
                <w:sz w:val="22"/>
              </w:rPr>
              <w:t>4.2 Implications of these recommendations</w:t>
            </w:r>
            <w:r w:rsidRPr="00584D75">
              <w:rPr>
                <w:webHidden/>
                <w:sz w:val="22"/>
              </w:rPr>
              <w:tab/>
            </w:r>
            <w:r w:rsidRPr="00584D75">
              <w:rPr>
                <w:webHidden/>
                <w:sz w:val="22"/>
              </w:rPr>
              <w:fldChar w:fldCharType="begin"/>
            </w:r>
            <w:r w:rsidRPr="00584D75">
              <w:rPr>
                <w:webHidden/>
                <w:sz w:val="22"/>
              </w:rPr>
              <w:instrText xml:space="preserve"> PAGEREF _Toc231465151 \h </w:instrText>
            </w:r>
            <w:r w:rsidRPr="00584D75">
              <w:rPr>
                <w:webHidden/>
                <w:sz w:val="22"/>
              </w:rPr>
            </w:r>
            <w:r w:rsidRPr="00584D75">
              <w:rPr>
                <w:webHidden/>
                <w:sz w:val="22"/>
              </w:rPr>
              <w:fldChar w:fldCharType="separate"/>
            </w:r>
            <w:r w:rsidRPr="00584D75">
              <w:rPr>
                <w:webHidden/>
                <w:sz w:val="22"/>
              </w:rPr>
              <w:t>7</w:t>
            </w:r>
            <w:r w:rsidRPr="00584D75">
              <w:rPr>
                <w:webHidden/>
                <w:sz w:val="22"/>
              </w:rPr>
              <w:fldChar w:fldCharType="end"/>
            </w:r>
          </w:hyperlink>
        </w:p>
        <w:p w14:paraId="484FD368" w14:textId="4B888CFC" w:rsidR="00584D75" w:rsidRPr="00584D75" w:rsidRDefault="00584D75" w:rsidP="00584D75">
          <w:pPr>
            <w:pStyle w:val="TOC1"/>
            <w:tabs>
              <w:tab w:val="right" w:leader="dot" w:pos="9016"/>
            </w:tabs>
            <w:spacing w:before="0" w:beforeAutospacing="0" w:after="0" w:afterAutospacing="0"/>
            <w:rPr>
              <w:rFonts w:asciiTheme="minorHAnsi" w:eastAsiaTheme="minorEastAsia" w:hAnsiTheme="minorHAnsi"/>
              <w:kern w:val="2"/>
              <w:sz w:val="22"/>
              <w:lang w:eastAsia="en-GB"/>
              <w14:ligatures w14:val="standardContextual"/>
            </w:rPr>
          </w:pPr>
          <w:hyperlink w:anchor="_Toc231465152" w:history="1">
            <w:r w:rsidRPr="00584D75">
              <w:rPr>
                <w:rStyle w:val="Hyperlink"/>
                <w:rFonts w:ascii="Arial" w:hAnsi="Arial" w:cs="Arial"/>
                <w:sz w:val="22"/>
              </w:rPr>
              <w:t>Conclusion</w:t>
            </w:r>
            <w:r w:rsidRPr="00584D75">
              <w:rPr>
                <w:webHidden/>
                <w:sz w:val="22"/>
              </w:rPr>
              <w:tab/>
            </w:r>
            <w:r w:rsidRPr="00584D75">
              <w:rPr>
                <w:webHidden/>
                <w:sz w:val="22"/>
              </w:rPr>
              <w:fldChar w:fldCharType="begin"/>
            </w:r>
            <w:r w:rsidRPr="00584D75">
              <w:rPr>
                <w:webHidden/>
                <w:sz w:val="22"/>
              </w:rPr>
              <w:instrText xml:space="preserve"> PAGEREF _Toc231465152 \h </w:instrText>
            </w:r>
            <w:r w:rsidRPr="00584D75">
              <w:rPr>
                <w:webHidden/>
                <w:sz w:val="22"/>
              </w:rPr>
            </w:r>
            <w:r w:rsidRPr="00584D75">
              <w:rPr>
                <w:webHidden/>
                <w:sz w:val="22"/>
              </w:rPr>
              <w:fldChar w:fldCharType="separate"/>
            </w:r>
            <w:r w:rsidRPr="00584D75">
              <w:rPr>
                <w:webHidden/>
                <w:sz w:val="22"/>
              </w:rPr>
              <w:t>8</w:t>
            </w:r>
            <w:r w:rsidRPr="00584D75">
              <w:rPr>
                <w:webHidden/>
                <w:sz w:val="22"/>
              </w:rPr>
              <w:fldChar w:fldCharType="end"/>
            </w:r>
          </w:hyperlink>
        </w:p>
        <w:p w14:paraId="396E0577" w14:textId="1078A6FC" w:rsidR="00584D75" w:rsidRPr="00584D75" w:rsidRDefault="00584D75" w:rsidP="00584D75">
          <w:pPr>
            <w:pStyle w:val="TOC1"/>
            <w:tabs>
              <w:tab w:val="right" w:leader="dot" w:pos="9016"/>
            </w:tabs>
            <w:spacing w:before="0" w:beforeAutospacing="0" w:after="0" w:afterAutospacing="0"/>
            <w:rPr>
              <w:rFonts w:asciiTheme="minorHAnsi" w:eastAsiaTheme="minorEastAsia" w:hAnsiTheme="minorHAnsi"/>
              <w:kern w:val="2"/>
              <w:sz w:val="22"/>
              <w:lang w:eastAsia="en-GB"/>
              <w14:ligatures w14:val="standardContextual"/>
            </w:rPr>
          </w:pPr>
          <w:hyperlink w:anchor="_Toc231465153" w:history="1">
            <w:r w:rsidRPr="00584D75">
              <w:rPr>
                <w:rStyle w:val="Hyperlink"/>
                <w:rFonts w:ascii="Arial" w:hAnsi="Arial" w:cs="Arial"/>
                <w:sz w:val="22"/>
              </w:rPr>
              <w:t>References</w:t>
            </w:r>
            <w:r w:rsidRPr="00584D75">
              <w:rPr>
                <w:webHidden/>
                <w:sz w:val="22"/>
              </w:rPr>
              <w:tab/>
            </w:r>
            <w:r w:rsidRPr="00584D75">
              <w:rPr>
                <w:webHidden/>
                <w:sz w:val="22"/>
              </w:rPr>
              <w:fldChar w:fldCharType="begin"/>
            </w:r>
            <w:r w:rsidRPr="00584D75">
              <w:rPr>
                <w:webHidden/>
                <w:sz w:val="22"/>
              </w:rPr>
              <w:instrText xml:space="preserve"> PAGEREF _Toc231465153 \h </w:instrText>
            </w:r>
            <w:r w:rsidRPr="00584D75">
              <w:rPr>
                <w:webHidden/>
                <w:sz w:val="22"/>
              </w:rPr>
            </w:r>
            <w:r w:rsidRPr="00584D75">
              <w:rPr>
                <w:webHidden/>
                <w:sz w:val="22"/>
              </w:rPr>
              <w:fldChar w:fldCharType="separate"/>
            </w:r>
            <w:r w:rsidRPr="00584D75">
              <w:rPr>
                <w:webHidden/>
                <w:sz w:val="22"/>
              </w:rPr>
              <w:t>9</w:t>
            </w:r>
            <w:r w:rsidRPr="00584D75">
              <w:rPr>
                <w:webHidden/>
                <w:sz w:val="22"/>
              </w:rPr>
              <w:fldChar w:fldCharType="end"/>
            </w:r>
          </w:hyperlink>
        </w:p>
        <w:p w14:paraId="6AC23C5A" w14:textId="4CD4780D" w:rsidR="00877B66" w:rsidRPr="00877B66" w:rsidRDefault="00877B66" w:rsidP="00584D75">
          <w:pPr>
            <w:spacing w:before="0" w:beforeAutospacing="0" w:after="0" w:afterAutospacing="0"/>
            <w:rPr>
              <w:rFonts w:ascii="Arial" w:hAnsi="Arial" w:cs="Arial"/>
              <w:sz w:val="22"/>
            </w:rPr>
          </w:pPr>
          <w:r w:rsidRPr="00584D75">
            <w:rPr>
              <w:rFonts w:ascii="Arial" w:hAnsi="Arial" w:cs="Arial"/>
              <w:b/>
              <w:bCs/>
              <w:sz w:val="22"/>
            </w:rPr>
            <w:fldChar w:fldCharType="end"/>
          </w:r>
        </w:p>
      </w:sdtContent>
    </w:sdt>
    <w:p w14:paraId="39BCBA09" w14:textId="1839C45D" w:rsidR="00877B66" w:rsidRPr="00877B66" w:rsidRDefault="00877B66">
      <w:pPr>
        <w:rPr>
          <w:rFonts w:ascii="Arial" w:hAnsi="Arial" w:cs="Arial"/>
          <w:sz w:val="22"/>
        </w:rPr>
      </w:pPr>
      <w:r w:rsidRPr="00877B66">
        <w:rPr>
          <w:rFonts w:ascii="Arial" w:hAnsi="Arial" w:cs="Arial"/>
          <w:sz w:val="22"/>
        </w:rPr>
        <w:br w:type="page"/>
      </w:r>
    </w:p>
    <w:p w14:paraId="5848F5B2" w14:textId="77777777" w:rsidR="00877B66" w:rsidRPr="00877B66" w:rsidRDefault="00877B66" w:rsidP="00877B66">
      <w:pPr>
        <w:pStyle w:val="Heading1"/>
        <w:rPr>
          <w:rFonts w:ascii="Arial" w:hAnsi="Arial" w:cs="Arial"/>
        </w:rPr>
      </w:pPr>
      <w:bookmarkStart w:id="0" w:name="_Toc231465136"/>
      <w:r w:rsidRPr="00877B66">
        <w:rPr>
          <w:rFonts w:ascii="Arial" w:hAnsi="Arial" w:cs="Arial"/>
        </w:rPr>
        <w:lastRenderedPageBreak/>
        <w:t>Introduction</w:t>
      </w:r>
      <w:bookmarkEnd w:id="0"/>
      <w:r w:rsidRPr="00877B66">
        <w:rPr>
          <w:rFonts w:ascii="Arial" w:hAnsi="Arial" w:cs="Arial"/>
        </w:rPr>
        <w:t> </w:t>
      </w:r>
    </w:p>
    <w:p w14:paraId="0206870F" w14:textId="77777777" w:rsidR="00877B66" w:rsidRPr="00877B66" w:rsidRDefault="00877B66" w:rsidP="00877B66">
      <w:pPr>
        <w:rPr>
          <w:rFonts w:ascii="Arial" w:hAnsi="Arial" w:cs="Arial"/>
          <w:sz w:val="22"/>
        </w:rPr>
      </w:pPr>
      <w:r w:rsidRPr="00877B66">
        <w:rPr>
          <w:rFonts w:ascii="Arial" w:hAnsi="Arial" w:cs="Arial"/>
          <w:sz w:val="22"/>
        </w:rPr>
        <w:t>This study will explore the Mood Disorders category under the ICD-11 system of classification. The emphasis of this study will focus on the system's structure, diagnostic criteria, and language utilized in its diagnosis system. This study will further explore the various ways in which mood disorders can be managed and rehabilitated. This study will further analyze contemporary controversies relating to issues concerning the classification, neurodiversity, and reclassification of disorders and how these controversies have created new challenges in the field of mental health. This study will further consider the possible impact of such controversies on practice and policy.</w:t>
      </w:r>
    </w:p>
    <w:p w14:paraId="4F77F24F" w14:textId="77777777" w:rsidR="00877B66" w:rsidRPr="00877B66" w:rsidRDefault="00877B66" w:rsidP="00877B66">
      <w:pPr>
        <w:pStyle w:val="Heading1"/>
        <w:rPr>
          <w:rFonts w:ascii="Arial" w:hAnsi="Arial" w:cs="Arial"/>
        </w:rPr>
      </w:pPr>
      <w:bookmarkStart w:id="1" w:name="_Toc231465137"/>
      <w:r w:rsidRPr="00877B66">
        <w:rPr>
          <w:rFonts w:ascii="Arial" w:hAnsi="Arial" w:cs="Arial"/>
        </w:rPr>
        <w:t>1. Classification and Diagnosis</w:t>
      </w:r>
      <w:bookmarkEnd w:id="1"/>
      <w:r w:rsidRPr="00877B66">
        <w:rPr>
          <w:rFonts w:ascii="Arial" w:hAnsi="Arial" w:cs="Arial"/>
        </w:rPr>
        <w:t> </w:t>
      </w:r>
    </w:p>
    <w:p w14:paraId="4797B2D1" w14:textId="77777777" w:rsidR="00877B66" w:rsidRPr="00877B66" w:rsidRDefault="00877B66" w:rsidP="00877B66">
      <w:pPr>
        <w:pStyle w:val="Heading2"/>
        <w:rPr>
          <w:rFonts w:ascii="Arial" w:hAnsi="Arial" w:cs="Arial"/>
        </w:rPr>
      </w:pPr>
      <w:bookmarkStart w:id="2" w:name="_Toc231465138"/>
      <w:r w:rsidRPr="00877B66">
        <w:rPr>
          <w:rFonts w:ascii="Arial" w:hAnsi="Arial" w:cs="Arial"/>
        </w:rPr>
        <w:t>1.1 Detailed analysis on the classification of Mood Disorder</w:t>
      </w:r>
      <w:bookmarkEnd w:id="2"/>
    </w:p>
    <w:p w14:paraId="21B3DEE9" w14:textId="77777777" w:rsidR="00877B66" w:rsidRPr="00877B66" w:rsidRDefault="00877B66" w:rsidP="00877B66">
      <w:pPr>
        <w:rPr>
          <w:rFonts w:ascii="Arial" w:hAnsi="Arial" w:cs="Arial"/>
          <w:sz w:val="22"/>
        </w:rPr>
      </w:pPr>
      <w:r w:rsidRPr="00877B66">
        <w:rPr>
          <w:rFonts w:ascii="Arial" w:hAnsi="Arial" w:cs="Arial"/>
          <w:sz w:val="22"/>
        </w:rPr>
        <w:t xml:space="preserve">Mood disorders belong to the class of 6 Mental, Behavioral or Neurodevelopmental Disorders, which include Bipolar disorders and Depressive disorders as described in the ICD-11. This classification is determined by factors like the nature, intensity, and duration of depressive, manic, hypomanic, and mixed episodes (International Classification of Diseases, 2026). While the above classification guarantees correct diagnosis and identification of symptoms, there are instances when symptoms appear alike and change depending on the mood in an episode. ICD-11 classifies mental disorders into a number of subgroups, including severity, remission, and presence of psychotic features (Arnone </w:t>
      </w:r>
      <w:r w:rsidRPr="00877B66">
        <w:rPr>
          <w:rFonts w:ascii="Arial" w:hAnsi="Arial" w:cs="Arial"/>
          <w:i/>
          <w:iCs/>
          <w:sz w:val="22"/>
        </w:rPr>
        <w:t>et al.</w:t>
      </w:r>
      <w:r w:rsidRPr="00877B66">
        <w:rPr>
          <w:rFonts w:ascii="Arial" w:hAnsi="Arial" w:cs="Arial"/>
          <w:sz w:val="22"/>
        </w:rPr>
        <w:t>, 2024). This systematic process helps to improve the process of clinical monitoring and can assist in developing more personalized intervention strategies.</w:t>
      </w:r>
    </w:p>
    <w:p w14:paraId="0C7B421A" w14:textId="77777777" w:rsidR="00877B66" w:rsidRPr="00877B66" w:rsidRDefault="00877B66" w:rsidP="00877B66">
      <w:pPr>
        <w:pStyle w:val="Heading2"/>
        <w:rPr>
          <w:rFonts w:ascii="Arial" w:hAnsi="Arial" w:cs="Arial"/>
        </w:rPr>
      </w:pPr>
      <w:bookmarkStart w:id="3" w:name="_Toc231465139"/>
      <w:r w:rsidRPr="00877B66">
        <w:rPr>
          <w:rFonts w:ascii="Arial" w:hAnsi="Arial" w:cs="Arial"/>
        </w:rPr>
        <w:t>1.2 Diagnostic criteria and processes associated with the Mood Disorder</w:t>
      </w:r>
      <w:bookmarkEnd w:id="3"/>
    </w:p>
    <w:p w14:paraId="6FA38E6C" w14:textId="77777777" w:rsidR="00877B66" w:rsidRPr="00877B66" w:rsidRDefault="00877B66" w:rsidP="00877B66">
      <w:pPr>
        <w:rPr>
          <w:rFonts w:ascii="Arial" w:hAnsi="Arial" w:cs="Arial"/>
          <w:sz w:val="22"/>
        </w:rPr>
      </w:pPr>
      <w:r w:rsidRPr="00877B66">
        <w:rPr>
          <w:rFonts w:ascii="Arial" w:hAnsi="Arial" w:cs="Arial"/>
          <w:sz w:val="22"/>
        </w:rPr>
        <w:t xml:space="preserve">Mood Disorder Diagnosis entails determining the type and length of depression, mania, hypomania, or mixed states that the client has been experiencing. For ICD-11, the diagnosis will involve a consideration of the extent of symptom presentation, dysfunctionality, and the temporal nature of such episodes. In the case of making the diagnosis, clinical interviewing techniques, mental state examinations, and patient history may be used to make a judgment. In any case, symptoms may be more accurately diagnosed through the use of other instruments. Further, ICD-11 mandates that clinicians consider if symptoms presented are due to another cause, which includes underlying medical conditions, or a side effect of medication </w:t>
      </w:r>
      <w:r w:rsidRPr="00877B66">
        <w:rPr>
          <w:rFonts w:ascii="Arial" w:hAnsi="Arial" w:cs="Arial"/>
          <w:sz w:val="22"/>
        </w:rPr>
        <w:lastRenderedPageBreak/>
        <w:t xml:space="preserve">(Lee </w:t>
      </w:r>
      <w:r w:rsidRPr="00877B66">
        <w:rPr>
          <w:rFonts w:ascii="Arial" w:hAnsi="Arial" w:cs="Arial"/>
          <w:i/>
          <w:iCs/>
          <w:sz w:val="22"/>
        </w:rPr>
        <w:t>et al.</w:t>
      </w:r>
      <w:r w:rsidRPr="00877B66">
        <w:rPr>
          <w:rFonts w:ascii="Arial" w:hAnsi="Arial" w:cs="Arial"/>
          <w:sz w:val="22"/>
        </w:rPr>
        <w:t>, 2024). This protection is especially crucial because of the high degree of overlap in symptoms for many mental disorders.</w:t>
      </w:r>
    </w:p>
    <w:p w14:paraId="709BC12A" w14:textId="77777777" w:rsidR="00877B66" w:rsidRPr="00877B66" w:rsidRDefault="00877B66" w:rsidP="00877B66">
      <w:pPr>
        <w:pStyle w:val="Heading2"/>
        <w:rPr>
          <w:rFonts w:ascii="Arial" w:hAnsi="Arial" w:cs="Arial"/>
        </w:rPr>
      </w:pPr>
      <w:bookmarkStart w:id="4" w:name="_Toc231465140"/>
      <w:r w:rsidRPr="00877B66">
        <w:rPr>
          <w:rFonts w:ascii="Arial" w:hAnsi="Arial" w:cs="Arial"/>
        </w:rPr>
        <w:t>1.3 Language used in the classification</w:t>
      </w:r>
      <w:bookmarkEnd w:id="4"/>
      <w:r w:rsidRPr="00877B66">
        <w:rPr>
          <w:rFonts w:ascii="Arial" w:hAnsi="Arial" w:cs="Arial"/>
        </w:rPr>
        <w:t> </w:t>
      </w:r>
    </w:p>
    <w:p w14:paraId="224E52E2" w14:textId="77777777" w:rsidR="00877B66" w:rsidRPr="00877B66" w:rsidRDefault="00877B66" w:rsidP="00877B66">
      <w:pPr>
        <w:rPr>
          <w:rFonts w:ascii="Arial" w:hAnsi="Arial" w:cs="Arial"/>
          <w:sz w:val="22"/>
        </w:rPr>
      </w:pPr>
      <w:r w:rsidRPr="00877B66">
        <w:rPr>
          <w:rFonts w:ascii="Arial" w:hAnsi="Arial" w:cs="Arial"/>
          <w:sz w:val="22"/>
        </w:rPr>
        <w:t>ICD-11 tends to describe the mental conditions by using the term “disorder” mainly. The categories under Mood Disorders including Bipolar type I disorder and Bipolar type II disorder are two examples of this practice (Berk et al., 2025). As for “mood disorder,” the term serves as a more general label that includes depression and bipolar conditions. This helps improve the standardisation of diagnosis and the uniformity of medical practice. Nevertheless, using the term “disorder” may lead to the reinforcement of the medical perspective. Furthermore, ICD-11 uses carefully developed criteria for the diagnosis of each condition to mitigate the risk for variability across interpretation, and enhance consistency in research and practice worldwide (Jantzi and Moulin, 2025). However, culture remains relevant to how symptoms are expressed, and how they are interpreted in society. </w:t>
      </w:r>
    </w:p>
    <w:p w14:paraId="31CE6DDC" w14:textId="77777777" w:rsidR="00877B66" w:rsidRPr="00877B66" w:rsidRDefault="00877B66" w:rsidP="00877B66">
      <w:pPr>
        <w:pStyle w:val="Heading1"/>
        <w:rPr>
          <w:rFonts w:ascii="Arial" w:hAnsi="Arial" w:cs="Arial"/>
        </w:rPr>
      </w:pPr>
      <w:bookmarkStart w:id="5" w:name="_Toc231465141"/>
      <w:r w:rsidRPr="00877B66">
        <w:rPr>
          <w:rFonts w:ascii="Arial" w:hAnsi="Arial" w:cs="Arial"/>
        </w:rPr>
        <w:t>2. Treatment and Rehabilitation</w:t>
      </w:r>
      <w:bookmarkEnd w:id="5"/>
      <w:r w:rsidRPr="00877B66">
        <w:rPr>
          <w:rFonts w:ascii="Arial" w:hAnsi="Arial" w:cs="Arial"/>
        </w:rPr>
        <w:t> </w:t>
      </w:r>
    </w:p>
    <w:p w14:paraId="57596EE1" w14:textId="77777777" w:rsidR="00877B66" w:rsidRPr="00877B66" w:rsidRDefault="00877B66" w:rsidP="00877B66">
      <w:pPr>
        <w:pStyle w:val="Heading2"/>
        <w:rPr>
          <w:rFonts w:ascii="Arial" w:hAnsi="Arial" w:cs="Arial"/>
        </w:rPr>
      </w:pPr>
      <w:bookmarkStart w:id="6" w:name="_Toc231465142"/>
      <w:r w:rsidRPr="00877B66">
        <w:rPr>
          <w:rFonts w:ascii="Arial" w:hAnsi="Arial" w:cs="Arial"/>
        </w:rPr>
        <w:t>2.1 Critical evaluation on the standard treatment approaches for Mood Disorder</w:t>
      </w:r>
      <w:bookmarkEnd w:id="6"/>
    </w:p>
    <w:p w14:paraId="1CFFA567" w14:textId="77777777" w:rsidR="00877B66" w:rsidRPr="00877B66" w:rsidRDefault="00877B66" w:rsidP="00877B66">
      <w:pPr>
        <w:rPr>
          <w:rFonts w:ascii="Arial" w:hAnsi="Arial" w:cs="Arial"/>
          <w:sz w:val="22"/>
        </w:rPr>
      </w:pPr>
      <w:r w:rsidRPr="00877B66">
        <w:rPr>
          <w:rFonts w:ascii="Arial" w:hAnsi="Arial" w:cs="Arial"/>
          <w:sz w:val="22"/>
        </w:rPr>
        <w:t>It should be noted that treatment of mood disorders mainly focuses on depressive episodes, manic episodes, hypomanic episodes, and mixed episodes using ICD-11 diagnostics criteria due to the possibility of the use of medication therapy or psychotherapy. The application of the processes are primarily considered to treat these symptoms and improve functional state (Chakrabarti, 2022). Research indicates that early treatment can ensure future stability. At the same time, the effectiveness of treatment varies significantly from case to case, particularly for bipolar disorder.</w:t>
      </w:r>
    </w:p>
    <w:p w14:paraId="167916F8" w14:textId="77777777" w:rsidR="00877B66" w:rsidRPr="00877B66" w:rsidRDefault="00877B66" w:rsidP="00877B66">
      <w:pPr>
        <w:pStyle w:val="Heading2"/>
        <w:rPr>
          <w:rFonts w:ascii="Arial" w:hAnsi="Arial" w:cs="Arial"/>
        </w:rPr>
      </w:pPr>
      <w:bookmarkStart w:id="7" w:name="_Toc231465143"/>
      <w:r w:rsidRPr="00877B66">
        <w:rPr>
          <w:rFonts w:ascii="Arial" w:hAnsi="Arial" w:cs="Arial"/>
        </w:rPr>
        <w:t>2.2 Examination on rehabilitation measures included in ICD-11 and in practice</w:t>
      </w:r>
      <w:bookmarkEnd w:id="7"/>
      <w:r w:rsidRPr="00877B66">
        <w:rPr>
          <w:rFonts w:ascii="Arial" w:hAnsi="Arial" w:cs="Arial"/>
        </w:rPr>
        <w:t> </w:t>
      </w:r>
    </w:p>
    <w:p w14:paraId="3E72E490" w14:textId="45337CD0" w:rsidR="00877B66" w:rsidRPr="00877B66" w:rsidRDefault="00877B66" w:rsidP="00877B66">
      <w:pPr>
        <w:rPr>
          <w:rFonts w:ascii="Arial" w:hAnsi="Arial" w:cs="Arial"/>
          <w:sz w:val="22"/>
        </w:rPr>
      </w:pPr>
      <w:r w:rsidRPr="00877B66">
        <w:rPr>
          <w:rFonts w:ascii="Arial" w:hAnsi="Arial" w:cs="Arial"/>
          <w:sz w:val="22"/>
        </w:rPr>
        <w:t xml:space="preserve">According to the ICD-11 manual, recovery is marked by factors including functional improvement, symptom reduction and restoration of social, educational, and occupational capacity. The various classification categories also acknowledge partial remission and total remission as key elements in recovery (Yang </w:t>
      </w:r>
      <w:r w:rsidRPr="00877B66">
        <w:rPr>
          <w:rFonts w:ascii="Arial" w:hAnsi="Arial" w:cs="Arial"/>
          <w:i/>
          <w:iCs/>
          <w:sz w:val="22"/>
        </w:rPr>
        <w:t>et al.</w:t>
      </w:r>
      <w:r w:rsidRPr="00877B66">
        <w:rPr>
          <w:rFonts w:ascii="Arial" w:hAnsi="Arial" w:cs="Arial"/>
          <w:sz w:val="22"/>
        </w:rPr>
        <w:t xml:space="preserve">, 2022). Practically, rehabilitation involves the provision of psychological treatment, support from communities, rehabilitation at </w:t>
      </w:r>
      <w:r w:rsidRPr="00877B66">
        <w:rPr>
          <w:rFonts w:ascii="Arial" w:hAnsi="Arial" w:cs="Arial"/>
          <w:sz w:val="22"/>
        </w:rPr>
        <w:lastRenderedPageBreak/>
        <w:t>workplaces, psychoeducation and relapse prevention programs. Nevertheless, service availability varies. On the other hand, multi-disciplinary rehabilitation promotes sustained independence.</w:t>
      </w:r>
      <w:r w:rsidR="00831C4A">
        <w:rPr>
          <w:rFonts w:ascii="Arial" w:hAnsi="Arial" w:cs="Arial"/>
          <w:sz w:val="22"/>
        </w:rPr>
        <w:t xml:space="preserve"> </w:t>
      </w:r>
      <w:r w:rsidR="00831C4A" w:rsidRPr="00831C4A">
        <w:rPr>
          <w:rFonts w:ascii="Arial" w:hAnsi="Arial" w:cs="Arial"/>
          <w:sz w:val="22"/>
        </w:rPr>
        <w:t>The application of the sustained independence in the intervention can ensure the critical development as per the necessities observed in the patients with mood disorders</w:t>
      </w:r>
      <w:r w:rsidR="00831C4A">
        <w:rPr>
          <w:rFonts w:ascii="Arial" w:hAnsi="Arial" w:cs="Arial"/>
          <w:sz w:val="22"/>
        </w:rPr>
        <w:t xml:space="preserve"> (Albarqi, 2024)</w:t>
      </w:r>
      <w:r w:rsidR="00831C4A" w:rsidRPr="00831C4A">
        <w:rPr>
          <w:rFonts w:ascii="Arial" w:hAnsi="Arial" w:cs="Arial"/>
          <w:sz w:val="22"/>
        </w:rPr>
        <w:t>.</w:t>
      </w:r>
      <w:r w:rsidR="00831C4A">
        <w:rPr>
          <w:rFonts w:ascii="Arial" w:hAnsi="Arial" w:cs="Arial"/>
          <w:sz w:val="22"/>
        </w:rPr>
        <w:t xml:space="preserve"> Therefore, the measures that are discussed in the practice can ensure the key development of the idealised processes as well. </w:t>
      </w:r>
    </w:p>
    <w:p w14:paraId="58B73231" w14:textId="77777777" w:rsidR="00877B66" w:rsidRPr="00877B66" w:rsidRDefault="00877B66" w:rsidP="00877B66">
      <w:pPr>
        <w:pStyle w:val="Heading2"/>
        <w:rPr>
          <w:rFonts w:ascii="Arial" w:hAnsi="Arial" w:cs="Arial"/>
        </w:rPr>
      </w:pPr>
      <w:bookmarkStart w:id="8" w:name="_Toc231465144"/>
      <w:r w:rsidRPr="00877B66">
        <w:rPr>
          <w:rFonts w:ascii="Arial" w:hAnsi="Arial" w:cs="Arial"/>
        </w:rPr>
        <w:t>2.3 Assessment on the effectiveness and limitations of these approaches</w:t>
      </w:r>
      <w:bookmarkEnd w:id="8"/>
      <w:r w:rsidRPr="00877B66">
        <w:rPr>
          <w:rFonts w:ascii="Arial" w:hAnsi="Arial" w:cs="Arial"/>
        </w:rPr>
        <w:t> </w:t>
      </w:r>
    </w:p>
    <w:p w14:paraId="070D5F64" w14:textId="77777777" w:rsidR="00877B66" w:rsidRPr="00877B66" w:rsidRDefault="00877B66" w:rsidP="00877B66">
      <w:pPr>
        <w:rPr>
          <w:rFonts w:ascii="Arial" w:hAnsi="Arial" w:cs="Arial"/>
          <w:sz w:val="22"/>
        </w:rPr>
      </w:pPr>
      <w:r w:rsidRPr="00877B66">
        <w:rPr>
          <w:rFonts w:ascii="Arial" w:hAnsi="Arial" w:cs="Arial"/>
          <w:sz w:val="22"/>
        </w:rPr>
        <w:t xml:space="preserve">The success of the interventions for mood disorders can be noted through the improvement in symptoms management, relapse prevention, and improvement in functioning. There is wide acceptance of psychological interventions and medications used to treat mood disorders among NHS professionals and scientific literature (Nicklas </w:t>
      </w:r>
      <w:r w:rsidRPr="00877B66">
        <w:rPr>
          <w:rFonts w:ascii="Arial" w:hAnsi="Arial" w:cs="Arial"/>
          <w:i/>
          <w:iCs/>
          <w:sz w:val="22"/>
        </w:rPr>
        <w:t>et al.</w:t>
      </w:r>
      <w:r w:rsidRPr="00877B66">
        <w:rPr>
          <w:rFonts w:ascii="Arial" w:hAnsi="Arial" w:cs="Arial"/>
          <w:sz w:val="22"/>
        </w:rPr>
        <w:t>, 2022). But there are significant weaknesses such as the side-effects of medications, differences in treatment response, and difficulty in ensuring patient compliance. Rehabilitation of patients is more effective when the aforementioned factors work in conjunction with one another.</w:t>
      </w:r>
    </w:p>
    <w:p w14:paraId="27112DC9" w14:textId="77777777" w:rsidR="00877B66" w:rsidRPr="00877B66" w:rsidRDefault="00877B66" w:rsidP="00877B66">
      <w:pPr>
        <w:pStyle w:val="Heading1"/>
        <w:rPr>
          <w:rFonts w:ascii="Arial" w:hAnsi="Arial" w:cs="Arial"/>
        </w:rPr>
      </w:pPr>
      <w:bookmarkStart w:id="9" w:name="_Toc231465145"/>
      <w:r w:rsidRPr="00877B66">
        <w:rPr>
          <w:rFonts w:ascii="Arial" w:hAnsi="Arial" w:cs="Arial"/>
        </w:rPr>
        <w:t>3. Current Debates and Emerging Issues</w:t>
      </w:r>
      <w:bookmarkEnd w:id="9"/>
      <w:r w:rsidRPr="00877B66">
        <w:rPr>
          <w:rFonts w:ascii="Arial" w:hAnsi="Arial" w:cs="Arial"/>
        </w:rPr>
        <w:t> </w:t>
      </w:r>
    </w:p>
    <w:p w14:paraId="5916432C" w14:textId="77777777" w:rsidR="00877B66" w:rsidRPr="00877B66" w:rsidRDefault="00877B66" w:rsidP="00877B66">
      <w:pPr>
        <w:pStyle w:val="Heading2"/>
        <w:rPr>
          <w:rFonts w:ascii="Arial" w:hAnsi="Arial" w:cs="Arial"/>
        </w:rPr>
      </w:pPr>
      <w:bookmarkStart w:id="10" w:name="_Toc231465146"/>
      <w:r w:rsidRPr="00877B66">
        <w:rPr>
          <w:rFonts w:ascii="Arial" w:hAnsi="Arial" w:cs="Arial"/>
        </w:rPr>
        <w:t>3.1 Discussion on ongoing debates surrounding the classification and treatment of Mood Disorder</w:t>
      </w:r>
      <w:bookmarkEnd w:id="10"/>
    </w:p>
    <w:p w14:paraId="461BCFF1" w14:textId="77777777" w:rsidR="00877B66" w:rsidRPr="00877B66" w:rsidRDefault="00877B66" w:rsidP="00877B66">
      <w:pPr>
        <w:rPr>
          <w:rFonts w:ascii="Arial" w:hAnsi="Arial" w:cs="Arial"/>
          <w:sz w:val="22"/>
        </w:rPr>
      </w:pPr>
      <w:r w:rsidRPr="00877B66">
        <w:rPr>
          <w:rFonts w:ascii="Arial" w:hAnsi="Arial" w:cs="Arial"/>
          <w:sz w:val="22"/>
        </w:rPr>
        <w:t xml:space="preserve">Controversies revolve around the broad diagnosis of Mood Disorders especially when the symptoms fall within the category of both depression and bipolar disorders (Malhi </w:t>
      </w:r>
      <w:r w:rsidRPr="00877B66">
        <w:rPr>
          <w:rFonts w:ascii="Arial" w:hAnsi="Arial" w:cs="Arial"/>
          <w:i/>
          <w:iCs/>
          <w:sz w:val="22"/>
        </w:rPr>
        <w:t xml:space="preserve">et al., </w:t>
      </w:r>
      <w:r w:rsidRPr="00877B66">
        <w:rPr>
          <w:rFonts w:ascii="Arial" w:hAnsi="Arial" w:cs="Arial"/>
          <w:sz w:val="22"/>
        </w:rPr>
        <w:t>2023). The new ICD-11 has taken into account mood episodes and varying levels of severity to enhance its efficiency in diagnosing. However, there is controversy over the boundaries of diagnoses and even the distinctions among the bipolar subtypes. Studies have shown that certain criteria in the ICD-11 are likely to decrease the accuracy of diagnoses in complicated cases (Hualparuca-Olivera and Tomás Caycho-Rodríguez, 2023). On the other hand, the proponents defend the system since it is more accurate in its practice.</w:t>
      </w:r>
    </w:p>
    <w:p w14:paraId="34052C0A" w14:textId="77777777" w:rsidR="00877B66" w:rsidRPr="00877B66" w:rsidRDefault="00877B66" w:rsidP="00877B66">
      <w:pPr>
        <w:pStyle w:val="Heading2"/>
        <w:rPr>
          <w:rFonts w:ascii="Arial" w:hAnsi="Arial" w:cs="Arial"/>
        </w:rPr>
      </w:pPr>
      <w:bookmarkStart w:id="11" w:name="_Toc231465147"/>
      <w:r w:rsidRPr="00877B66">
        <w:rPr>
          <w:rFonts w:ascii="Arial" w:hAnsi="Arial" w:cs="Arial"/>
        </w:rPr>
        <w:t>3.2 Critical assessment on the role of neurodivergence and any relevant reclassification issues</w:t>
      </w:r>
      <w:bookmarkEnd w:id="11"/>
      <w:r w:rsidRPr="00877B66">
        <w:rPr>
          <w:rFonts w:ascii="Arial" w:hAnsi="Arial" w:cs="Arial"/>
        </w:rPr>
        <w:t> </w:t>
      </w:r>
    </w:p>
    <w:p w14:paraId="45774D28" w14:textId="77777777" w:rsidR="00877B66" w:rsidRPr="00877B66" w:rsidRDefault="00877B66" w:rsidP="00877B66">
      <w:pPr>
        <w:rPr>
          <w:rFonts w:ascii="Arial" w:hAnsi="Arial" w:cs="Arial"/>
          <w:sz w:val="22"/>
        </w:rPr>
      </w:pPr>
      <w:r w:rsidRPr="00877B66">
        <w:rPr>
          <w:rFonts w:ascii="Arial" w:hAnsi="Arial" w:cs="Arial"/>
          <w:sz w:val="22"/>
        </w:rPr>
        <w:t xml:space="preserve">Neurodiversity in Mood Disorders has emerged as one of the significant topics of discussion in the field of psychiatry. It has been observed that mental illnesses such as ASD and ADHD could be associated with the regulation of emotions and could affect the diagnosis and </w:t>
      </w:r>
      <w:r w:rsidRPr="00877B66">
        <w:rPr>
          <w:rFonts w:ascii="Arial" w:hAnsi="Arial" w:cs="Arial"/>
          <w:sz w:val="22"/>
        </w:rPr>
        <w:lastRenderedPageBreak/>
        <w:t xml:space="preserve">management of symptoms (Barlattani </w:t>
      </w:r>
      <w:r w:rsidRPr="00877B66">
        <w:rPr>
          <w:rFonts w:ascii="Arial" w:hAnsi="Arial" w:cs="Arial"/>
          <w:i/>
          <w:iCs/>
          <w:sz w:val="22"/>
        </w:rPr>
        <w:t>et al.</w:t>
      </w:r>
      <w:r w:rsidRPr="00877B66">
        <w:rPr>
          <w:rFonts w:ascii="Arial" w:hAnsi="Arial" w:cs="Arial"/>
          <w:sz w:val="22"/>
        </w:rPr>
        <w:t xml:space="preserve">, 2023). These mental disorders have been classified separately under Neurodevelopmental Disorders in ICD-11, while Mood Disorders are another diagnostic entity altogether. However, there are certain issues that need to be addressed regarding the classification of these conditions (Shafik </w:t>
      </w:r>
      <w:r w:rsidRPr="00877B66">
        <w:rPr>
          <w:rFonts w:ascii="Arial" w:hAnsi="Arial" w:cs="Arial"/>
          <w:i/>
          <w:iCs/>
          <w:sz w:val="22"/>
        </w:rPr>
        <w:t>et al.</w:t>
      </w:r>
      <w:r w:rsidRPr="00877B66">
        <w:rPr>
          <w:rFonts w:ascii="Arial" w:hAnsi="Arial" w:cs="Arial"/>
          <w:sz w:val="22"/>
        </w:rPr>
        <w:t>, 2023). Some scholars suggest that some people who were diagnosed with neurodevelopmental disorders might have received incorrect identification since there were no specific criteria for diagnosing mood disorder among them.</w:t>
      </w:r>
    </w:p>
    <w:p w14:paraId="0CD7C2FD" w14:textId="77777777" w:rsidR="00877B66" w:rsidRPr="00877B66" w:rsidRDefault="00877B66" w:rsidP="00877B66">
      <w:pPr>
        <w:rPr>
          <w:rFonts w:ascii="Arial" w:hAnsi="Arial" w:cs="Arial"/>
          <w:sz w:val="22"/>
        </w:rPr>
      </w:pPr>
      <w:r w:rsidRPr="00877B66">
        <w:rPr>
          <w:rFonts w:ascii="Arial" w:hAnsi="Arial" w:cs="Arial"/>
          <w:sz w:val="22"/>
        </w:rPr>
        <w:t xml:space="preserve">Another problem related to reclassification is the emergence of dimensional approaches to classification in mental health care. The need to add features of neurodevelopmental and mood disorders as they often overlap has been proposed by some people (Bertollo </w:t>
      </w:r>
      <w:r w:rsidRPr="00877B66">
        <w:rPr>
          <w:rFonts w:ascii="Arial" w:hAnsi="Arial" w:cs="Arial"/>
          <w:i/>
          <w:iCs/>
          <w:sz w:val="22"/>
        </w:rPr>
        <w:t>et al.</w:t>
      </w:r>
      <w:r w:rsidRPr="00877B66">
        <w:rPr>
          <w:rFonts w:ascii="Arial" w:hAnsi="Arial" w:cs="Arial"/>
          <w:sz w:val="22"/>
        </w:rPr>
        <w:t xml:space="preserve">, 2025). The danger, on the other hand, lies in over-diagnosis, which is possible in case of excessive broadening of diagnostic criteria. For those who favor the existing classification of ICD-11, it seems more reasonable to leave things separate to facilitate therapeutic and research practice (Bach </w:t>
      </w:r>
      <w:r w:rsidRPr="00877B66">
        <w:rPr>
          <w:rFonts w:ascii="Arial" w:hAnsi="Arial" w:cs="Arial"/>
          <w:i/>
          <w:iCs/>
          <w:sz w:val="22"/>
        </w:rPr>
        <w:t>et al.</w:t>
      </w:r>
      <w:r w:rsidRPr="00877B66">
        <w:rPr>
          <w:rFonts w:ascii="Arial" w:hAnsi="Arial" w:cs="Arial"/>
          <w:sz w:val="22"/>
        </w:rPr>
        <w:t>, 2022). The classification on the dimensional recognition of complex symptoms can weaken long term comparison, due to inconsistent decision making in the treatment process and interventions.</w:t>
      </w:r>
    </w:p>
    <w:p w14:paraId="4C601404" w14:textId="77777777" w:rsidR="00877B66" w:rsidRPr="00877B66" w:rsidRDefault="00877B66" w:rsidP="00877B66">
      <w:pPr>
        <w:pStyle w:val="Heading2"/>
        <w:rPr>
          <w:rFonts w:ascii="Arial" w:hAnsi="Arial" w:cs="Arial"/>
        </w:rPr>
      </w:pPr>
      <w:bookmarkStart w:id="12" w:name="_Toc231465148"/>
      <w:r w:rsidRPr="00877B66">
        <w:rPr>
          <w:rFonts w:ascii="Arial" w:hAnsi="Arial" w:cs="Arial"/>
        </w:rPr>
        <w:t>3.3 Consideration on the impact of these debates on practice and policy</w:t>
      </w:r>
      <w:bookmarkEnd w:id="12"/>
      <w:r w:rsidRPr="00877B66">
        <w:rPr>
          <w:rFonts w:ascii="Arial" w:hAnsi="Arial" w:cs="Arial"/>
        </w:rPr>
        <w:t> </w:t>
      </w:r>
    </w:p>
    <w:p w14:paraId="1CECA875" w14:textId="3C987748" w:rsidR="00877B66" w:rsidRPr="00877B66" w:rsidRDefault="00877B66" w:rsidP="00877B66">
      <w:pPr>
        <w:rPr>
          <w:rFonts w:ascii="Arial" w:hAnsi="Arial" w:cs="Arial"/>
          <w:sz w:val="22"/>
        </w:rPr>
      </w:pPr>
      <w:r w:rsidRPr="00877B66">
        <w:rPr>
          <w:rFonts w:ascii="Arial" w:hAnsi="Arial" w:cs="Arial"/>
          <w:sz w:val="22"/>
        </w:rPr>
        <w:t>Mood disorders and treatments have had a major impact on the practice of mental health as well as health policies in the UK</w:t>
      </w:r>
      <w:r w:rsidR="00710315">
        <w:rPr>
          <w:rFonts w:ascii="Arial" w:hAnsi="Arial" w:cs="Arial"/>
          <w:sz w:val="22"/>
        </w:rPr>
        <w:t xml:space="preserve"> (Magomedova and Fatima, 2025)</w:t>
      </w:r>
      <w:r w:rsidRPr="00877B66">
        <w:rPr>
          <w:rFonts w:ascii="Arial" w:hAnsi="Arial" w:cs="Arial"/>
          <w:sz w:val="22"/>
        </w:rPr>
        <w:t xml:space="preserve">. The introduction of ICD-11 classifications has led to a more systematic way of diagnosis while taking into account the symptoms’ severity and episodes (International Classification of Diseases, 2026). It is because of that reason that the practice of mental health now focuses on personalized, multidisciplinary treatment and intervention programs. Nevertheless, issues relating to misdiagnosis and neurodivergent conditions have become an issue (Gellert </w:t>
      </w:r>
      <w:r w:rsidRPr="00877B66">
        <w:rPr>
          <w:rFonts w:ascii="Arial" w:hAnsi="Arial" w:cs="Arial"/>
          <w:i/>
          <w:iCs/>
          <w:sz w:val="22"/>
        </w:rPr>
        <w:t>et al.</w:t>
      </w:r>
      <w:r w:rsidRPr="00877B66">
        <w:rPr>
          <w:rFonts w:ascii="Arial" w:hAnsi="Arial" w:cs="Arial"/>
          <w:sz w:val="22"/>
        </w:rPr>
        <w:t>, 2025). Therefore, the need of inclusivity, accuracy and responsiveness are the key elements which can consider the application of the policy and practice through the governmental intervention processes. It can provide with the regulatory and the management based operations in the stated cure</w:t>
      </w:r>
      <w:r w:rsidR="00710315">
        <w:rPr>
          <w:rFonts w:ascii="Arial" w:hAnsi="Arial" w:cs="Arial"/>
          <w:sz w:val="22"/>
        </w:rPr>
        <w:t xml:space="preserve"> </w:t>
      </w:r>
      <w:r w:rsidR="00710315" w:rsidRPr="00710315">
        <w:rPr>
          <w:rFonts w:ascii="Arial" w:hAnsi="Arial" w:cs="Arial"/>
          <w:sz w:val="22"/>
        </w:rPr>
        <w:t xml:space="preserve">(Srivastava </w:t>
      </w:r>
      <w:r w:rsidR="00710315" w:rsidRPr="00710315">
        <w:rPr>
          <w:rFonts w:ascii="Arial" w:hAnsi="Arial" w:cs="Arial"/>
          <w:i/>
          <w:iCs/>
          <w:sz w:val="22"/>
        </w:rPr>
        <w:t>et al.</w:t>
      </w:r>
      <w:r w:rsidR="00710315" w:rsidRPr="00710315">
        <w:rPr>
          <w:rFonts w:ascii="Arial" w:hAnsi="Arial" w:cs="Arial"/>
          <w:sz w:val="22"/>
        </w:rPr>
        <w:t>, 2024)</w:t>
      </w:r>
      <w:r w:rsidRPr="00877B66">
        <w:rPr>
          <w:rFonts w:ascii="Arial" w:hAnsi="Arial" w:cs="Arial"/>
          <w:sz w:val="22"/>
        </w:rPr>
        <w:t>.</w:t>
      </w:r>
    </w:p>
    <w:p w14:paraId="3E076386" w14:textId="77777777" w:rsidR="00877B66" w:rsidRPr="00877B66" w:rsidRDefault="00877B66" w:rsidP="00877B66">
      <w:pPr>
        <w:rPr>
          <w:rFonts w:ascii="Arial" w:hAnsi="Arial" w:cs="Arial"/>
          <w:sz w:val="22"/>
        </w:rPr>
      </w:pPr>
      <w:r w:rsidRPr="00877B66">
        <w:rPr>
          <w:rFonts w:ascii="Arial" w:hAnsi="Arial" w:cs="Arial"/>
          <w:sz w:val="22"/>
        </w:rPr>
        <w:t xml:space="preserve">The following also become clear from the priorities established by the NHS Long Term Plan and initiatives within the Community Mental Health Framework (NHS England, 2024). These involve delivering integrated and person-centred care that is made up of medicine, psychology, and social work components. This increases the likelihood of better access to </w:t>
      </w:r>
      <w:r w:rsidRPr="00877B66">
        <w:rPr>
          <w:rFonts w:ascii="Arial" w:hAnsi="Arial" w:cs="Arial"/>
          <w:sz w:val="22"/>
        </w:rPr>
        <w:lastRenderedPageBreak/>
        <w:t xml:space="preserve">care while also enabling recovery-oriented practice (Chatwiriyaphong </w:t>
      </w:r>
      <w:r w:rsidRPr="00877B66">
        <w:rPr>
          <w:rFonts w:ascii="Arial" w:hAnsi="Arial" w:cs="Arial"/>
          <w:i/>
          <w:iCs/>
          <w:sz w:val="22"/>
        </w:rPr>
        <w:t>et al.</w:t>
      </w:r>
      <w:r w:rsidRPr="00877B66">
        <w:rPr>
          <w:rFonts w:ascii="Arial" w:hAnsi="Arial" w:cs="Arial"/>
          <w:sz w:val="22"/>
        </w:rPr>
        <w:t>, 2023). At the same time, debates about diagnostic criteria can complicate service delivery further.</w:t>
      </w:r>
    </w:p>
    <w:p w14:paraId="3C81EF69" w14:textId="45FC329F" w:rsidR="00877B66" w:rsidRPr="00877B66" w:rsidRDefault="00877B66" w:rsidP="00877B66">
      <w:pPr>
        <w:rPr>
          <w:rFonts w:ascii="Arial" w:hAnsi="Arial" w:cs="Arial"/>
          <w:sz w:val="22"/>
        </w:rPr>
      </w:pPr>
      <w:r w:rsidRPr="00877B66">
        <w:rPr>
          <w:rFonts w:ascii="Arial" w:hAnsi="Arial" w:cs="Arial"/>
          <w:sz w:val="22"/>
        </w:rPr>
        <w:t xml:space="preserve">Other effects have been noted in areas such as rehabilitation, workforce training, and service commissioning. Increased attention to neurodivergence has led to a rise in inclusive assessment approaches and support strategies for individuals with neurodivergent needs (Fernando, 2025). Nevertheless, lack of resources and variability in different regions may hinder the implementation of the approaches in all services. This is because these discussions have improved the evidence-based and personalized approach to care, although difficulties still exist in achieving this goal (Galovski </w:t>
      </w:r>
      <w:r w:rsidRPr="00877B66">
        <w:rPr>
          <w:rFonts w:ascii="Arial" w:hAnsi="Arial" w:cs="Arial"/>
          <w:i/>
          <w:iCs/>
          <w:sz w:val="22"/>
        </w:rPr>
        <w:t xml:space="preserve">et al., </w:t>
      </w:r>
      <w:r w:rsidR="00831C4A">
        <w:rPr>
          <w:rFonts w:ascii="Arial" w:hAnsi="Arial" w:cs="Arial"/>
          <w:sz w:val="22"/>
        </w:rPr>
        <w:t xml:space="preserve">2024). As a result, </w:t>
      </w:r>
      <w:r w:rsidR="00831C4A" w:rsidRPr="00831C4A">
        <w:rPr>
          <w:rFonts w:ascii="Arial" w:hAnsi="Arial" w:cs="Arial"/>
          <w:sz w:val="22"/>
        </w:rPr>
        <w:t>rehabilitation, workforce training, and service commissioning</w:t>
      </w:r>
      <w:r w:rsidR="00831C4A">
        <w:rPr>
          <w:rFonts w:ascii="Arial" w:hAnsi="Arial" w:cs="Arial"/>
          <w:sz w:val="22"/>
        </w:rPr>
        <w:t xml:space="preserve"> are idealised to promote a key development as per the necessities of the intervention and treatement processes.</w:t>
      </w:r>
    </w:p>
    <w:p w14:paraId="5FCA5FEA" w14:textId="77777777" w:rsidR="00877B66" w:rsidRPr="00877B66" w:rsidRDefault="00877B66" w:rsidP="00877B66">
      <w:pPr>
        <w:pStyle w:val="Heading1"/>
        <w:rPr>
          <w:rFonts w:ascii="Arial" w:hAnsi="Arial" w:cs="Arial"/>
        </w:rPr>
      </w:pPr>
      <w:bookmarkStart w:id="13" w:name="_Toc231465149"/>
      <w:r w:rsidRPr="00877B66">
        <w:rPr>
          <w:rFonts w:ascii="Arial" w:hAnsi="Arial" w:cs="Arial"/>
        </w:rPr>
        <w:t>4. Recommendations</w:t>
      </w:r>
      <w:bookmarkEnd w:id="13"/>
      <w:r w:rsidRPr="00877B66">
        <w:rPr>
          <w:rFonts w:ascii="Arial" w:hAnsi="Arial" w:cs="Arial"/>
        </w:rPr>
        <w:t> </w:t>
      </w:r>
    </w:p>
    <w:p w14:paraId="71CE8CDD" w14:textId="77777777" w:rsidR="00877B66" w:rsidRPr="00877B66" w:rsidRDefault="00877B66" w:rsidP="00877B66">
      <w:pPr>
        <w:pStyle w:val="Heading2"/>
        <w:rPr>
          <w:rFonts w:ascii="Arial" w:hAnsi="Arial" w:cs="Arial"/>
        </w:rPr>
      </w:pPr>
      <w:bookmarkStart w:id="14" w:name="_Toc231465150"/>
      <w:r w:rsidRPr="00877B66">
        <w:rPr>
          <w:rFonts w:ascii="Arial" w:hAnsi="Arial" w:cs="Arial"/>
        </w:rPr>
        <w:t>4.1 Well-reasoned recommendations for improving</w:t>
      </w:r>
      <w:bookmarkEnd w:id="14"/>
      <w:r w:rsidRPr="00877B66">
        <w:rPr>
          <w:rFonts w:ascii="Arial" w:hAnsi="Arial" w:cs="Arial"/>
        </w:rPr>
        <w:t> </w:t>
      </w:r>
    </w:p>
    <w:p w14:paraId="1BFEF9F7" w14:textId="2E28F8FD" w:rsidR="00877B66" w:rsidRPr="00877B66" w:rsidRDefault="00877B66" w:rsidP="00877B66">
      <w:pPr>
        <w:numPr>
          <w:ilvl w:val="0"/>
          <w:numId w:val="1"/>
        </w:numPr>
        <w:rPr>
          <w:rFonts w:ascii="Arial" w:hAnsi="Arial" w:cs="Arial"/>
          <w:sz w:val="22"/>
        </w:rPr>
      </w:pPr>
      <w:r w:rsidRPr="00877B66">
        <w:rPr>
          <w:rFonts w:ascii="Arial" w:hAnsi="Arial" w:cs="Arial"/>
          <w:sz w:val="22"/>
        </w:rPr>
        <w:t xml:space="preserve">Refining the criteria for classifying the various mood disorders may enhance the differential diagnosis of depressive disorder, bipolar disorder, and mood instability disorders. While current classifications ensure that there is consistency, some overlap in symptoms may pose diagnostic challenges (Lima </w:t>
      </w:r>
      <w:r w:rsidRPr="00877B66">
        <w:rPr>
          <w:rFonts w:ascii="Arial" w:hAnsi="Arial" w:cs="Arial"/>
          <w:i/>
          <w:iCs/>
          <w:sz w:val="22"/>
        </w:rPr>
        <w:t>et al.</w:t>
      </w:r>
      <w:r w:rsidRPr="00877B66">
        <w:rPr>
          <w:rFonts w:ascii="Arial" w:hAnsi="Arial" w:cs="Arial"/>
          <w:sz w:val="22"/>
        </w:rPr>
        <w:t xml:space="preserve">, 2022). </w:t>
      </w:r>
    </w:p>
    <w:p w14:paraId="1FC83FFD" w14:textId="02A92625" w:rsidR="00877B66" w:rsidRPr="00877B66" w:rsidRDefault="00877B66" w:rsidP="00877B66">
      <w:pPr>
        <w:numPr>
          <w:ilvl w:val="0"/>
          <w:numId w:val="1"/>
        </w:numPr>
        <w:rPr>
          <w:rFonts w:ascii="Arial" w:hAnsi="Arial" w:cs="Arial"/>
          <w:sz w:val="22"/>
        </w:rPr>
      </w:pPr>
      <w:r w:rsidRPr="00877B66">
        <w:rPr>
          <w:rFonts w:ascii="Arial" w:hAnsi="Arial" w:cs="Arial"/>
          <w:sz w:val="22"/>
        </w:rPr>
        <w:t xml:space="preserve">Improved diagnosis can be achieved through the conduct of extensive multidisciplinary diagnosis. Interviews may be aided by psychological tests, symptom monitoring, and information from family members where necessary (Pietsch </w:t>
      </w:r>
      <w:r w:rsidRPr="00877B66">
        <w:rPr>
          <w:rFonts w:ascii="Arial" w:hAnsi="Arial" w:cs="Arial"/>
          <w:i/>
          <w:iCs/>
          <w:sz w:val="22"/>
        </w:rPr>
        <w:t>et al.</w:t>
      </w:r>
      <w:r w:rsidRPr="00877B66">
        <w:rPr>
          <w:rFonts w:ascii="Arial" w:hAnsi="Arial" w:cs="Arial"/>
          <w:sz w:val="22"/>
        </w:rPr>
        <w:t xml:space="preserve">, 2026). </w:t>
      </w:r>
    </w:p>
    <w:p w14:paraId="604B9CC8" w14:textId="0C67BC22" w:rsidR="00877B66" w:rsidRPr="00877B66" w:rsidRDefault="00877B66" w:rsidP="00877B66">
      <w:pPr>
        <w:numPr>
          <w:ilvl w:val="0"/>
          <w:numId w:val="1"/>
        </w:numPr>
        <w:rPr>
          <w:rFonts w:ascii="Arial" w:hAnsi="Arial" w:cs="Arial"/>
          <w:sz w:val="22"/>
        </w:rPr>
      </w:pPr>
      <w:r w:rsidRPr="00877B66">
        <w:rPr>
          <w:rFonts w:ascii="Arial" w:hAnsi="Arial" w:cs="Arial"/>
          <w:sz w:val="22"/>
        </w:rPr>
        <w:t xml:space="preserve">Alternative treatment strategies that are highly individualized may take more precedence within mental health treatment programs. While medication is necessary, there could be further use of psychological, digital, and social approaches to ensure the best possible recovery process is facilitated (De Witte </w:t>
      </w:r>
      <w:r w:rsidRPr="00877B66">
        <w:rPr>
          <w:rFonts w:ascii="Arial" w:hAnsi="Arial" w:cs="Arial"/>
          <w:i/>
          <w:iCs/>
          <w:sz w:val="22"/>
        </w:rPr>
        <w:t>et al.</w:t>
      </w:r>
      <w:r w:rsidRPr="00877B66">
        <w:rPr>
          <w:rFonts w:ascii="Arial" w:hAnsi="Arial" w:cs="Arial"/>
          <w:sz w:val="22"/>
        </w:rPr>
        <w:t xml:space="preserve">, 2026). </w:t>
      </w:r>
    </w:p>
    <w:p w14:paraId="4FCA969F" w14:textId="77777777" w:rsidR="00877B66" w:rsidRPr="00877B66" w:rsidRDefault="00877B66" w:rsidP="00877B66">
      <w:pPr>
        <w:numPr>
          <w:ilvl w:val="0"/>
          <w:numId w:val="1"/>
        </w:numPr>
        <w:rPr>
          <w:rFonts w:ascii="Arial" w:hAnsi="Arial" w:cs="Arial"/>
          <w:sz w:val="22"/>
        </w:rPr>
      </w:pPr>
      <w:r w:rsidRPr="00877B66">
        <w:rPr>
          <w:rFonts w:ascii="Arial" w:hAnsi="Arial" w:cs="Arial"/>
          <w:sz w:val="22"/>
        </w:rPr>
        <w:t xml:space="preserve">There could be a further focus on long-term treatment and recovery programs that go beyond managing symptoms. Increased funding into areas such as vocational rehabilitation, support programs within communities, psychoeducation programs, and relapse prevention techniques would help individuals with mood disorders to live more independently and meaningfully (Killaspy </w:t>
      </w:r>
      <w:r w:rsidRPr="00877B66">
        <w:rPr>
          <w:rFonts w:ascii="Arial" w:hAnsi="Arial" w:cs="Arial"/>
          <w:i/>
          <w:iCs/>
          <w:sz w:val="22"/>
        </w:rPr>
        <w:t>et al.</w:t>
      </w:r>
      <w:r w:rsidRPr="00877B66">
        <w:rPr>
          <w:rFonts w:ascii="Arial" w:hAnsi="Arial" w:cs="Arial"/>
          <w:sz w:val="22"/>
        </w:rPr>
        <w:t>, 2022).</w:t>
      </w:r>
    </w:p>
    <w:p w14:paraId="2A01362B" w14:textId="77777777" w:rsidR="00877B66" w:rsidRPr="00877B66" w:rsidRDefault="00877B66" w:rsidP="00877B66">
      <w:pPr>
        <w:pStyle w:val="Heading2"/>
        <w:rPr>
          <w:rFonts w:ascii="Arial" w:hAnsi="Arial" w:cs="Arial"/>
        </w:rPr>
      </w:pPr>
      <w:bookmarkStart w:id="15" w:name="_Toc231465151"/>
      <w:r w:rsidRPr="00877B66">
        <w:rPr>
          <w:rFonts w:ascii="Arial" w:hAnsi="Arial" w:cs="Arial"/>
        </w:rPr>
        <w:t>4.2 Implications of these recommendations</w:t>
      </w:r>
      <w:bookmarkEnd w:id="15"/>
      <w:r w:rsidRPr="00877B66">
        <w:rPr>
          <w:rFonts w:ascii="Arial" w:hAnsi="Arial" w:cs="Arial"/>
        </w:rPr>
        <w:t> </w:t>
      </w:r>
    </w:p>
    <w:p w14:paraId="0B87D263" w14:textId="74E4C771" w:rsidR="00877B66" w:rsidRPr="00877B66" w:rsidRDefault="00877B66" w:rsidP="00877B66">
      <w:pPr>
        <w:rPr>
          <w:rFonts w:ascii="Arial" w:hAnsi="Arial" w:cs="Arial"/>
          <w:sz w:val="22"/>
        </w:rPr>
      </w:pPr>
      <w:r w:rsidRPr="00877B66">
        <w:rPr>
          <w:rFonts w:ascii="Arial" w:hAnsi="Arial" w:cs="Arial"/>
          <w:sz w:val="22"/>
        </w:rPr>
        <w:t xml:space="preserve">Some of the benefits that can arise from these recommendations for clinical practice include the capacity to create better diagnostics and prevent wrong treatment decisions through </w:t>
      </w:r>
      <w:r w:rsidRPr="00877B66">
        <w:rPr>
          <w:rFonts w:ascii="Arial" w:hAnsi="Arial" w:cs="Arial"/>
          <w:sz w:val="22"/>
        </w:rPr>
        <w:lastRenderedPageBreak/>
        <w:t xml:space="preserve">improved classification and evaluation of cases. Personalization of care is expected to improve the level of patient engagement and promote the achievement of better long-term results (Hickmann </w:t>
      </w:r>
      <w:r w:rsidRPr="00877B66">
        <w:rPr>
          <w:rFonts w:ascii="Arial" w:hAnsi="Arial" w:cs="Arial"/>
          <w:i/>
          <w:iCs/>
          <w:sz w:val="22"/>
        </w:rPr>
        <w:t xml:space="preserve">et al., </w:t>
      </w:r>
      <w:r w:rsidRPr="00877B66">
        <w:rPr>
          <w:rFonts w:ascii="Arial" w:hAnsi="Arial" w:cs="Arial"/>
          <w:sz w:val="22"/>
        </w:rPr>
        <w:t xml:space="preserve">2022). </w:t>
      </w:r>
    </w:p>
    <w:p w14:paraId="749ECD5E" w14:textId="07C4407A" w:rsidR="00877B66" w:rsidRPr="00877B66" w:rsidRDefault="00877B66" w:rsidP="00877B66">
      <w:pPr>
        <w:rPr>
          <w:rFonts w:ascii="Arial" w:hAnsi="Arial" w:cs="Arial"/>
          <w:sz w:val="22"/>
        </w:rPr>
      </w:pPr>
      <w:r w:rsidRPr="00877B66">
        <w:rPr>
          <w:rFonts w:ascii="Arial" w:hAnsi="Arial" w:cs="Arial"/>
          <w:sz w:val="22"/>
        </w:rPr>
        <w:t xml:space="preserve">There are several health policy implications as well that should be noted. Rehabilitation efforts and an integrated approach to care will help achieve the goal of person-centered care and recovery-oriented practices (Pany </w:t>
      </w:r>
      <w:r w:rsidRPr="00877B66">
        <w:rPr>
          <w:rFonts w:ascii="Arial" w:hAnsi="Arial" w:cs="Arial"/>
          <w:i/>
          <w:iCs/>
          <w:sz w:val="22"/>
        </w:rPr>
        <w:t>et al.</w:t>
      </w:r>
      <w:r w:rsidRPr="00877B66">
        <w:rPr>
          <w:rFonts w:ascii="Arial" w:hAnsi="Arial" w:cs="Arial"/>
          <w:sz w:val="22"/>
        </w:rPr>
        <w:t xml:space="preserve">, 2025). </w:t>
      </w:r>
    </w:p>
    <w:p w14:paraId="0B399234" w14:textId="0EEA36B4" w:rsidR="00877B66" w:rsidRPr="00877B66" w:rsidRDefault="00877B66" w:rsidP="00877B66">
      <w:pPr>
        <w:rPr>
          <w:rFonts w:ascii="Arial" w:hAnsi="Arial" w:cs="Arial"/>
          <w:sz w:val="22"/>
        </w:rPr>
      </w:pPr>
      <w:r w:rsidRPr="00877B66">
        <w:rPr>
          <w:rFonts w:ascii="Arial" w:hAnsi="Arial" w:cs="Arial"/>
          <w:sz w:val="22"/>
        </w:rPr>
        <w:t xml:space="preserve">Opportunities for further research can be considered important. The possible topics of further study could involve the relationship between mood disorders and neurodiversity. Other aspects to explore in future studies can include the outcomes of personalized rehabilitation programs and their effectiveness (Shen </w:t>
      </w:r>
      <w:r w:rsidRPr="00877B66">
        <w:rPr>
          <w:rFonts w:ascii="Arial" w:hAnsi="Arial" w:cs="Arial"/>
          <w:i/>
          <w:iCs/>
          <w:sz w:val="22"/>
        </w:rPr>
        <w:t>et al.</w:t>
      </w:r>
      <w:r w:rsidRPr="00877B66">
        <w:rPr>
          <w:rFonts w:ascii="Arial" w:hAnsi="Arial" w:cs="Arial"/>
          <w:sz w:val="22"/>
        </w:rPr>
        <w:t xml:space="preserve">, 2025). </w:t>
      </w:r>
    </w:p>
    <w:p w14:paraId="3AAA7C87" w14:textId="77777777" w:rsidR="00877B66" w:rsidRPr="00877B66" w:rsidRDefault="00877B66" w:rsidP="00877B66">
      <w:pPr>
        <w:pStyle w:val="Heading1"/>
        <w:rPr>
          <w:rFonts w:ascii="Arial" w:hAnsi="Arial" w:cs="Arial"/>
        </w:rPr>
      </w:pPr>
      <w:bookmarkStart w:id="16" w:name="_Toc231465152"/>
      <w:r w:rsidRPr="00877B66">
        <w:rPr>
          <w:rFonts w:ascii="Arial" w:hAnsi="Arial" w:cs="Arial"/>
        </w:rPr>
        <w:t>Conclusion</w:t>
      </w:r>
      <w:bookmarkEnd w:id="16"/>
      <w:r w:rsidRPr="00877B66">
        <w:rPr>
          <w:rFonts w:ascii="Arial" w:hAnsi="Arial" w:cs="Arial"/>
        </w:rPr>
        <w:t> </w:t>
      </w:r>
    </w:p>
    <w:p w14:paraId="39782441" w14:textId="77777777" w:rsidR="00877B66" w:rsidRPr="00877B66" w:rsidRDefault="00877B66" w:rsidP="00877B66">
      <w:pPr>
        <w:rPr>
          <w:rFonts w:ascii="Arial" w:hAnsi="Arial" w:cs="Arial"/>
          <w:sz w:val="22"/>
        </w:rPr>
      </w:pPr>
      <w:r w:rsidRPr="00877B66">
        <w:rPr>
          <w:rFonts w:ascii="Arial" w:hAnsi="Arial" w:cs="Arial"/>
          <w:sz w:val="22"/>
        </w:rPr>
        <w:t>Classification of mood disorders in accordance with ICD-11, along with diagnostic criteria and terminology, was investigated by the report. Criticism has been given concerning the existing treatment methods and rehabilitation strategies implemented nowadays in mental healthcare practice. Also, the report had taken into account controversies related to classification and neurodivergence topics. Strengths and weaknesses had been found within the frameworks for diagnosis and treatment of mood disorders. Practice, policy, and research-related implications were discussed in the report. In conclusion, recommendations for improvement were suggested to enhance diagnostic reliability, personalized therapy, rehabilitation process, and recovery prospects.</w:t>
      </w:r>
    </w:p>
    <w:p w14:paraId="2A17882F" w14:textId="77777777" w:rsidR="00877B66" w:rsidRDefault="00877B66">
      <w:pPr>
        <w:rPr>
          <w:rFonts w:ascii="Arial" w:hAnsi="Arial" w:cs="Arial"/>
          <w:b/>
          <w:color w:val="222222"/>
          <w:kern w:val="2"/>
          <w:sz w:val="28"/>
          <w:szCs w:val="40"/>
          <w:lang w:val="en-IN"/>
          <w14:ligatures w14:val="standardContextual"/>
        </w:rPr>
      </w:pPr>
      <w:r>
        <w:rPr>
          <w:rFonts w:ascii="Arial" w:hAnsi="Arial" w:cs="Arial"/>
        </w:rPr>
        <w:br w:type="page"/>
      </w:r>
    </w:p>
    <w:p w14:paraId="7B2ED622" w14:textId="77DB1091" w:rsidR="0018111A" w:rsidRPr="00877B66" w:rsidRDefault="00877B66" w:rsidP="00877B66">
      <w:pPr>
        <w:pStyle w:val="Heading1"/>
        <w:rPr>
          <w:rFonts w:ascii="Arial" w:hAnsi="Arial" w:cs="Arial"/>
        </w:rPr>
      </w:pPr>
      <w:bookmarkStart w:id="17" w:name="_Toc231465153"/>
      <w:r w:rsidRPr="00877B66">
        <w:rPr>
          <w:rFonts w:ascii="Arial" w:hAnsi="Arial" w:cs="Arial"/>
        </w:rPr>
        <w:lastRenderedPageBreak/>
        <w:t>References</w:t>
      </w:r>
      <w:bookmarkEnd w:id="17"/>
    </w:p>
    <w:p w14:paraId="179E3D9F" w14:textId="77777777" w:rsidR="009D6B15" w:rsidRPr="009D6B15" w:rsidRDefault="009D6B15" w:rsidP="009D6B15">
      <w:pPr>
        <w:rPr>
          <w:rFonts w:ascii="Arial" w:hAnsi="Arial" w:cs="Arial"/>
          <w:sz w:val="22"/>
        </w:rPr>
      </w:pPr>
      <w:r w:rsidRPr="00D006BB">
        <w:rPr>
          <w:rFonts w:ascii="Arial" w:hAnsi="Arial" w:cs="Arial"/>
          <w:sz w:val="22"/>
          <w:highlight w:val="yellow"/>
        </w:rPr>
        <w:t xml:space="preserve">Albarqi, M.N. (2024) ‘Exploring the Effectiveness of Technology-Assisted Interventions for Promoting Independence in Elderly Patients: A Systematic Review’, </w:t>
      </w:r>
      <w:r w:rsidRPr="00D006BB">
        <w:rPr>
          <w:rFonts w:ascii="Arial" w:hAnsi="Arial" w:cs="Arial"/>
          <w:i/>
          <w:iCs/>
          <w:sz w:val="22"/>
          <w:highlight w:val="yellow"/>
        </w:rPr>
        <w:t>Healthcare</w:t>
      </w:r>
      <w:r w:rsidRPr="00D006BB">
        <w:rPr>
          <w:rFonts w:ascii="Arial" w:hAnsi="Arial" w:cs="Arial"/>
          <w:sz w:val="22"/>
          <w:highlight w:val="yellow"/>
        </w:rPr>
        <w:t>, 12(21), pp. 2105–2105. Available at: https://doi.org/10.3390/healthcare12212105.</w:t>
      </w:r>
    </w:p>
    <w:p w14:paraId="2CAEACCB" w14:textId="77777777" w:rsidR="009D6B15" w:rsidRPr="00877B66" w:rsidRDefault="009D6B15" w:rsidP="00877B66">
      <w:pPr>
        <w:rPr>
          <w:rFonts w:ascii="Arial" w:hAnsi="Arial" w:cs="Arial"/>
          <w:sz w:val="22"/>
        </w:rPr>
      </w:pPr>
      <w:r w:rsidRPr="00877B66">
        <w:rPr>
          <w:rFonts w:ascii="Arial" w:hAnsi="Arial" w:cs="Arial"/>
          <w:sz w:val="22"/>
        </w:rPr>
        <w:t xml:space="preserve">Arnone, D., Karmegam, S.R., Östlundh, L., Alkhyeli, F., Alhammadi, L., Alhammadi, S., Alkhoori, A. and Selvaraj, S. (2024) ‘Risk of Suicidal behavior in patients with major depression and bipolar disorder-A systematic review and meta-analysis of registry-based studies’, </w:t>
      </w:r>
      <w:r w:rsidRPr="00877B66">
        <w:rPr>
          <w:rFonts w:ascii="Arial" w:hAnsi="Arial" w:cs="Arial"/>
          <w:i/>
          <w:iCs/>
          <w:sz w:val="22"/>
        </w:rPr>
        <w:t>Neuroscience &amp; Biobehavioral Reviews</w:t>
      </w:r>
      <w:r w:rsidRPr="00877B66">
        <w:rPr>
          <w:rFonts w:ascii="Arial" w:hAnsi="Arial" w:cs="Arial"/>
          <w:sz w:val="22"/>
        </w:rPr>
        <w:t>, 159, p. 105594. Available at: https://doi.org/10.1016/j.neubiorev.2024.105594.</w:t>
      </w:r>
    </w:p>
    <w:p w14:paraId="4427ABC8" w14:textId="77777777" w:rsidR="009D6B15" w:rsidRPr="00877B66" w:rsidRDefault="009D6B15" w:rsidP="00877B66">
      <w:pPr>
        <w:rPr>
          <w:rFonts w:ascii="Arial" w:hAnsi="Arial" w:cs="Arial"/>
          <w:sz w:val="22"/>
        </w:rPr>
      </w:pPr>
      <w:r w:rsidRPr="00877B66">
        <w:rPr>
          <w:rFonts w:ascii="Arial" w:hAnsi="Arial" w:cs="Arial"/>
          <w:sz w:val="22"/>
        </w:rPr>
        <w:t xml:space="preserve">Bach, B., Kramer, U., Doering, S., di Giacomo, E., Hutsebaut, J., Kaera, A., De Panfilis, C., Schmahl, C., Swales, M., Taubner, S. and Renneberg, B. (2022) ‘The ICD-11 Classification of Personality disorders: a European Perspective on Challenges and Opportunities’, </w:t>
      </w:r>
      <w:r w:rsidRPr="00877B66">
        <w:rPr>
          <w:rFonts w:ascii="Arial" w:hAnsi="Arial" w:cs="Arial"/>
          <w:i/>
          <w:iCs/>
          <w:sz w:val="22"/>
        </w:rPr>
        <w:t>Borderline Personality Disorder and Emotion Dysregulation</w:t>
      </w:r>
      <w:r w:rsidRPr="00877B66">
        <w:rPr>
          <w:rFonts w:ascii="Arial" w:hAnsi="Arial" w:cs="Arial"/>
          <w:sz w:val="22"/>
        </w:rPr>
        <w:t>, 9(1). Available at: https://doi.org/10.1186/s40479-022-00182-0.</w:t>
      </w:r>
    </w:p>
    <w:p w14:paraId="40F5EECC" w14:textId="77777777" w:rsidR="009D6B15" w:rsidRPr="00877B66" w:rsidRDefault="009D6B15" w:rsidP="00877B66">
      <w:pPr>
        <w:rPr>
          <w:rFonts w:ascii="Arial" w:hAnsi="Arial" w:cs="Arial"/>
          <w:sz w:val="22"/>
        </w:rPr>
      </w:pPr>
      <w:r w:rsidRPr="00877B66">
        <w:rPr>
          <w:rFonts w:ascii="Arial" w:hAnsi="Arial" w:cs="Arial"/>
          <w:sz w:val="22"/>
        </w:rPr>
        <w:t xml:space="preserve">Barlattani, T., D’Amelio, C., Cavatassi, A., Luca, D.D., Stefano, R.D., Berardo, A.D., Mantenuto, S., Minutillo, F., Leonardi, V., Renzi, G., Russo, A., Rossi, A. and Pacitti, F. (2023) ‘Autism spectrum disorders and psychiatric comorbidities: a narrative review’, </w:t>
      </w:r>
      <w:r w:rsidRPr="00877B66">
        <w:rPr>
          <w:rFonts w:ascii="Arial" w:hAnsi="Arial" w:cs="Arial"/>
          <w:i/>
          <w:iCs/>
          <w:sz w:val="22"/>
        </w:rPr>
        <w:t>Journal of Psychopathology</w:t>
      </w:r>
      <w:r w:rsidRPr="00877B66">
        <w:rPr>
          <w:rFonts w:ascii="Arial" w:hAnsi="Arial" w:cs="Arial"/>
          <w:sz w:val="22"/>
        </w:rPr>
        <w:t>, 1(1-2). Available at: https://doi.org/10.36148/2284-0249-N281.</w:t>
      </w:r>
    </w:p>
    <w:p w14:paraId="35D6EB77" w14:textId="77777777" w:rsidR="009D6B15" w:rsidRPr="00877B66" w:rsidRDefault="009D6B15" w:rsidP="00877B66">
      <w:pPr>
        <w:rPr>
          <w:rFonts w:ascii="Arial" w:hAnsi="Arial" w:cs="Arial"/>
          <w:sz w:val="22"/>
        </w:rPr>
      </w:pPr>
      <w:r w:rsidRPr="00877B66">
        <w:rPr>
          <w:rFonts w:ascii="Arial" w:hAnsi="Arial" w:cs="Arial"/>
          <w:sz w:val="22"/>
        </w:rPr>
        <w:t>Berk, M., Corrales, A., Trisno, R., Dodd, S., Yatham, L.N., Vieta, E., McIntyre, R.S., Suppes, T. and Agustini, B. (2025) ‘Bipolar II disorder: a state</w:t>
      </w:r>
      <w:r w:rsidRPr="00877B66">
        <w:rPr>
          <w:rFonts w:ascii="Cambria Math" w:hAnsi="Cambria Math" w:cs="Cambria Math"/>
          <w:sz w:val="22"/>
        </w:rPr>
        <w:t>‐</w:t>
      </w:r>
      <w:r w:rsidRPr="00877B66">
        <w:rPr>
          <w:rFonts w:ascii="Arial" w:hAnsi="Arial" w:cs="Arial"/>
          <w:sz w:val="22"/>
        </w:rPr>
        <w:t>of</w:t>
      </w:r>
      <w:r w:rsidRPr="00877B66">
        <w:rPr>
          <w:rFonts w:ascii="Cambria Math" w:hAnsi="Cambria Math" w:cs="Cambria Math"/>
          <w:sz w:val="22"/>
        </w:rPr>
        <w:t>‐</w:t>
      </w:r>
      <w:r w:rsidRPr="00877B66">
        <w:rPr>
          <w:rFonts w:ascii="Arial" w:hAnsi="Arial" w:cs="Arial"/>
          <w:sz w:val="22"/>
        </w:rPr>
        <w:t>the</w:t>
      </w:r>
      <w:r w:rsidRPr="00877B66">
        <w:rPr>
          <w:rFonts w:ascii="Cambria Math" w:hAnsi="Cambria Math" w:cs="Cambria Math"/>
          <w:sz w:val="22"/>
        </w:rPr>
        <w:t>‐</w:t>
      </w:r>
      <w:r w:rsidRPr="00877B66">
        <w:rPr>
          <w:rFonts w:ascii="Arial" w:hAnsi="Arial" w:cs="Arial"/>
          <w:sz w:val="22"/>
        </w:rPr>
        <w:t xml:space="preserve">art review’, </w:t>
      </w:r>
      <w:r w:rsidRPr="00877B66">
        <w:rPr>
          <w:rFonts w:ascii="Arial" w:hAnsi="Arial" w:cs="Arial"/>
          <w:i/>
          <w:iCs/>
          <w:sz w:val="22"/>
        </w:rPr>
        <w:t>World Psychiatry</w:t>
      </w:r>
      <w:r w:rsidRPr="00877B66">
        <w:rPr>
          <w:rFonts w:ascii="Arial" w:hAnsi="Arial" w:cs="Arial"/>
          <w:sz w:val="22"/>
        </w:rPr>
        <w:t>, 24(2), pp. 175–189. Available at: https://doi.org/10.1002/wps.21300.</w:t>
      </w:r>
    </w:p>
    <w:p w14:paraId="11140887" w14:textId="77777777" w:rsidR="009D6B15" w:rsidRPr="00877B66" w:rsidRDefault="009D6B15" w:rsidP="00877B66">
      <w:pPr>
        <w:rPr>
          <w:rFonts w:ascii="Arial" w:hAnsi="Arial" w:cs="Arial"/>
          <w:sz w:val="22"/>
        </w:rPr>
      </w:pPr>
      <w:r w:rsidRPr="00877B66">
        <w:rPr>
          <w:rFonts w:ascii="Arial" w:hAnsi="Arial" w:cs="Arial"/>
          <w:sz w:val="22"/>
        </w:rPr>
        <w:t xml:space="preserve">Bertollo, A.G., Puntel, C.F., da Silva, B.V., Martins, M., Bagatini, M.D. and Ignácio, Z.M. (2025) ‘Neurobiological Relationships Between Neurodevelopmental Disorders and Mood Disorders’, </w:t>
      </w:r>
      <w:r w:rsidRPr="00877B66">
        <w:rPr>
          <w:rFonts w:ascii="Arial" w:hAnsi="Arial" w:cs="Arial"/>
          <w:i/>
          <w:iCs/>
          <w:sz w:val="22"/>
        </w:rPr>
        <w:t>Brain Sciences</w:t>
      </w:r>
      <w:r w:rsidRPr="00877B66">
        <w:rPr>
          <w:rFonts w:ascii="Arial" w:hAnsi="Arial" w:cs="Arial"/>
          <w:sz w:val="22"/>
        </w:rPr>
        <w:t>, 15(3), p. 307. Available at: https://doi.org/10.3390/brainsci15030307.</w:t>
      </w:r>
    </w:p>
    <w:p w14:paraId="4897E3C8" w14:textId="77777777" w:rsidR="009D6B15" w:rsidRPr="00877B66" w:rsidRDefault="009D6B15" w:rsidP="00877B66">
      <w:pPr>
        <w:rPr>
          <w:rFonts w:ascii="Arial" w:hAnsi="Arial" w:cs="Arial"/>
          <w:sz w:val="22"/>
        </w:rPr>
      </w:pPr>
      <w:r w:rsidRPr="00877B66">
        <w:rPr>
          <w:rFonts w:ascii="Arial" w:hAnsi="Arial" w:cs="Arial"/>
          <w:sz w:val="22"/>
        </w:rPr>
        <w:t xml:space="preserve">Chakrabarti, S. (2022) ‘Bipolar disorder in the International Classification of Diseases-Eleventh version: A review of the changes, their basis, and usefulness’, </w:t>
      </w:r>
      <w:r w:rsidRPr="00877B66">
        <w:rPr>
          <w:rFonts w:ascii="Arial" w:hAnsi="Arial" w:cs="Arial"/>
          <w:i/>
          <w:iCs/>
          <w:sz w:val="22"/>
        </w:rPr>
        <w:t>World Journal of Psychiatry</w:t>
      </w:r>
      <w:r w:rsidRPr="00877B66">
        <w:rPr>
          <w:rFonts w:ascii="Arial" w:hAnsi="Arial" w:cs="Arial"/>
          <w:sz w:val="22"/>
        </w:rPr>
        <w:t>, 12(12), pp. 1335–1355. Available at: https://doi.org/10.5498/wjp.v12.i12.1335.</w:t>
      </w:r>
    </w:p>
    <w:p w14:paraId="060A471A" w14:textId="77777777" w:rsidR="009D6B15" w:rsidRPr="00877B66" w:rsidRDefault="009D6B15" w:rsidP="00877B66">
      <w:pPr>
        <w:rPr>
          <w:rFonts w:ascii="Arial" w:hAnsi="Arial" w:cs="Arial"/>
          <w:sz w:val="22"/>
        </w:rPr>
      </w:pPr>
      <w:r w:rsidRPr="00877B66">
        <w:rPr>
          <w:rFonts w:ascii="Arial" w:hAnsi="Arial" w:cs="Arial"/>
          <w:sz w:val="22"/>
        </w:rPr>
        <w:t>Chatwiriyaphong, R., Moxham, L., Bosworth, R. and Kinghorn, G. (2023) ‘The experience of healthcare professionals implementing recovery</w:t>
      </w:r>
      <w:r w:rsidRPr="00877B66">
        <w:rPr>
          <w:rFonts w:ascii="Cambria Math" w:hAnsi="Cambria Math" w:cs="Cambria Math"/>
          <w:sz w:val="22"/>
        </w:rPr>
        <w:t>‐</w:t>
      </w:r>
      <w:r w:rsidRPr="00877B66">
        <w:rPr>
          <w:rFonts w:ascii="Arial" w:hAnsi="Arial" w:cs="Arial"/>
          <w:sz w:val="22"/>
        </w:rPr>
        <w:t xml:space="preserve">oriented practice in mental health inpatient </w:t>
      </w:r>
      <w:r w:rsidRPr="00877B66">
        <w:rPr>
          <w:rFonts w:ascii="Arial" w:hAnsi="Arial" w:cs="Arial"/>
          <w:sz w:val="22"/>
        </w:rPr>
        <w:lastRenderedPageBreak/>
        <w:t xml:space="preserve">units: A qualitative evidence synthesis’, </w:t>
      </w:r>
      <w:r w:rsidRPr="00877B66">
        <w:rPr>
          <w:rFonts w:ascii="Arial" w:hAnsi="Arial" w:cs="Arial"/>
          <w:i/>
          <w:iCs/>
          <w:sz w:val="22"/>
        </w:rPr>
        <w:t>Journal of Psychiatric and Mental Health Nursing</w:t>
      </w:r>
      <w:r w:rsidRPr="00877B66">
        <w:rPr>
          <w:rFonts w:ascii="Arial" w:hAnsi="Arial" w:cs="Arial"/>
          <w:sz w:val="22"/>
        </w:rPr>
        <w:t>, 31(3), pp. 287–302. Available at: https://doi.org/10.1111/jpm.12985.</w:t>
      </w:r>
    </w:p>
    <w:p w14:paraId="535662F2" w14:textId="77777777" w:rsidR="009D6B15" w:rsidRPr="00877B66" w:rsidRDefault="009D6B15" w:rsidP="00877B66">
      <w:pPr>
        <w:rPr>
          <w:rFonts w:ascii="Arial" w:hAnsi="Arial" w:cs="Arial"/>
          <w:sz w:val="22"/>
        </w:rPr>
      </w:pPr>
      <w:r w:rsidRPr="00877B66">
        <w:rPr>
          <w:rFonts w:ascii="Arial" w:hAnsi="Arial" w:cs="Arial"/>
          <w:sz w:val="22"/>
        </w:rPr>
        <w:t xml:space="preserve">De Witte, N.A.J., Best, P., Torous, J., Mulvenna, M., Van Assche, E., Mathiasen, K., Kleiboer, A.M., Carlbring, P. and Van Daele, T. (2026) ‘Comprehensive Model for Mental health Access and service use (CoMMA): A process model for technology-enhanced mental healthcare’, </w:t>
      </w:r>
      <w:r w:rsidRPr="00877B66">
        <w:rPr>
          <w:rFonts w:ascii="Arial" w:hAnsi="Arial" w:cs="Arial"/>
          <w:i/>
          <w:iCs/>
          <w:sz w:val="22"/>
        </w:rPr>
        <w:t>Internet Interventions</w:t>
      </w:r>
      <w:r w:rsidRPr="00877B66">
        <w:rPr>
          <w:rFonts w:ascii="Arial" w:hAnsi="Arial" w:cs="Arial"/>
          <w:sz w:val="22"/>
        </w:rPr>
        <w:t>, p. 100927. Available at: https://doi.org/10.1016/j.invent.2026.100927.</w:t>
      </w:r>
    </w:p>
    <w:p w14:paraId="341EC817" w14:textId="77777777" w:rsidR="009D6B15" w:rsidRPr="00877B66" w:rsidRDefault="009D6B15" w:rsidP="00877B66">
      <w:pPr>
        <w:rPr>
          <w:rFonts w:ascii="Arial" w:hAnsi="Arial" w:cs="Arial"/>
          <w:sz w:val="22"/>
        </w:rPr>
      </w:pPr>
      <w:r w:rsidRPr="00877B66">
        <w:rPr>
          <w:rFonts w:ascii="Arial" w:hAnsi="Arial" w:cs="Arial"/>
          <w:sz w:val="22"/>
        </w:rPr>
        <w:t xml:space="preserve">Fernando, T. (2025) ‘Embracing Neurodiversity in Education: A Review of Inclusive Practices, Policies, and Pedagogies’, </w:t>
      </w:r>
      <w:r w:rsidRPr="00877B66">
        <w:rPr>
          <w:rFonts w:ascii="Arial" w:hAnsi="Arial" w:cs="Arial"/>
          <w:i/>
          <w:iCs/>
          <w:sz w:val="22"/>
        </w:rPr>
        <w:t>SchoRes Journal of Education Research</w:t>
      </w:r>
      <w:r w:rsidRPr="00877B66">
        <w:rPr>
          <w:rFonts w:ascii="Arial" w:hAnsi="Arial" w:cs="Arial"/>
          <w:sz w:val="22"/>
        </w:rPr>
        <w:t>, 2(2). Available at: https://schores.org/journals/sjer/article/view/65 (Accessed: 4 June 2026).</w:t>
      </w:r>
    </w:p>
    <w:p w14:paraId="1BEEDC98" w14:textId="77777777" w:rsidR="009D6B15" w:rsidRPr="00877B66" w:rsidRDefault="009D6B15" w:rsidP="00877B66">
      <w:pPr>
        <w:rPr>
          <w:rFonts w:ascii="Arial" w:hAnsi="Arial" w:cs="Arial"/>
          <w:sz w:val="22"/>
        </w:rPr>
      </w:pPr>
      <w:r w:rsidRPr="00877B66">
        <w:rPr>
          <w:rFonts w:ascii="Arial" w:hAnsi="Arial" w:cs="Arial"/>
          <w:sz w:val="22"/>
        </w:rPr>
        <w:t>Galovski, T.E., Reginald and Kehle</w:t>
      </w:r>
      <w:r w:rsidRPr="00877B66">
        <w:rPr>
          <w:rFonts w:ascii="Cambria Math" w:hAnsi="Cambria Math" w:cs="Cambria Math"/>
          <w:sz w:val="22"/>
        </w:rPr>
        <w:t>‐</w:t>
      </w:r>
      <w:r w:rsidRPr="00877B66">
        <w:rPr>
          <w:rFonts w:ascii="Arial" w:hAnsi="Arial" w:cs="Arial"/>
          <w:sz w:val="22"/>
        </w:rPr>
        <w:t xml:space="preserve">Forbes, S. (2024) ‘Walking the line between fidelity and flexibility: A conceptual review of personalized approaches to manualized treatments for posttraumatic stress disorder’, </w:t>
      </w:r>
      <w:r w:rsidRPr="00877B66">
        <w:rPr>
          <w:rFonts w:ascii="Arial" w:hAnsi="Arial" w:cs="Arial"/>
          <w:i/>
          <w:iCs/>
          <w:sz w:val="22"/>
        </w:rPr>
        <w:t>Journal of Traumatic Stress</w:t>
      </w:r>
      <w:r w:rsidRPr="00877B66">
        <w:rPr>
          <w:rFonts w:ascii="Arial" w:hAnsi="Arial" w:cs="Arial"/>
          <w:sz w:val="22"/>
        </w:rPr>
        <w:t xml:space="preserve"> [Preprint]. Available at: https://doi.org/10.1002/jts.23073.</w:t>
      </w:r>
    </w:p>
    <w:p w14:paraId="35917C93" w14:textId="77777777" w:rsidR="009D6B15" w:rsidRPr="00877B66" w:rsidRDefault="009D6B15" w:rsidP="00877B66">
      <w:pPr>
        <w:rPr>
          <w:rFonts w:ascii="Arial" w:hAnsi="Arial" w:cs="Arial"/>
          <w:sz w:val="22"/>
        </w:rPr>
      </w:pPr>
      <w:r w:rsidRPr="00877B66">
        <w:rPr>
          <w:rFonts w:ascii="Arial" w:hAnsi="Arial" w:cs="Arial"/>
          <w:sz w:val="22"/>
        </w:rPr>
        <w:t xml:space="preserve">Gellert, B., Ostrowski, J., Pinkas, J. and Religioni, U. (2025) ‘Underdiagnosed and Misunderstood: Clinical Challenges and Educational Needs of Healthcare Professionals in Identifying Autism Spectrum Disorder in Women’, </w:t>
      </w:r>
      <w:r w:rsidRPr="00877B66">
        <w:rPr>
          <w:rFonts w:ascii="Arial" w:hAnsi="Arial" w:cs="Arial"/>
          <w:i/>
          <w:iCs/>
          <w:sz w:val="22"/>
        </w:rPr>
        <w:t>Behavioral Sciences</w:t>
      </w:r>
      <w:r w:rsidRPr="00877B66">
        <w:rPr>
          <w:rFonts w:ascii="Arial" w:hAnsi="Arial" w:cs="Arial"/>
          <w:sz w:val="22"/>
        </w:rPr>
        <w:t>, 15(8), p. 1073. Available at: https://doi.org/10.3390/bs15081073.</w:t>
      </w:r>
    </w:p>
    <w:p w14:paraId="2964E693" w14:textId="77777777" w:rsidR="009D6B15" w:rsidRPr="00877B66" w:rsidRDefault="009D6B15" w:rsidP="00877B66">
      <w:pPr>
        <w:rPr>
          <w:rFonts w:ascii="Arial" w:hAnsi="Arial" w:cs="Arial"/>
          <w:sz w:val="22"/>
        </w:rPr>
      </w:pPr>
      <w:r w:rsidRPr="00877B66">
        <w:rPr>
          <w:rFonts w:ascii="Arial" w:hAnsi="Arial" w:cs="Arial"/>
          <w:sz w:val="22"/>
        </w:rPr>
        <w:t xml:space="preserve">Hickmann, E., Richter, P. and Schlieter, H. (2022) ‘All together now – patient engagement, patient empowerment, and associated terms in personal healthcare’, </w:t>
      </w:r>
      <w:r w:rsidRPr="00877B66">
        <w:rPr>
          <w:rFonts w:ascii="Arial" w:hAnsi="Arial" w:cs="Arial"/>
          <w:i/>
          <w:iCs/>
          <w:sz w:val="22"/>
        </w:rPr>
        <w:t>BMC Health Services Research</w:t>
      </w:r>
      <w:r w:rsidRPr="00877B66">
        <w:rPr>
          <w:rFonts w:ascii="Arial" w:hAnsi="Arial" w:cs="Arial"/>
          <w:sz w:val="22"/>
        </w:rPr>
        <w:t>, 22(1). Available at: https://doi.org/10.1186/s12913-022-08501-5.</w:t>
      </w:r>
    </w:p>
    <w:p w14:paraId="1EEE60B5" w14:textId="77777777" w:rsidR="009D6B15" w:rsidRPr="00877B66" w:rsidRDefault="009D6B15" w:rsidP="00877B66">
      <w:pPr>
        <w:rPr>
          <w:rFonts w:ascii="Arial" w:hAnsi="Arial" w:cs="Arial"/>
          <w:sz w:val="22"/>
        </w:rPr>
      </w:pPr>
      <w:r w:rsidRPr="00877B66">
        <w:rPr>
          <w:rFonts w:ascii="Arial" w:hAnsi="Arial" w:cs="Arial"/>
          <w:sz w:val="22"/>
        </w:rPr>
        <w:t xml:space="preserve">Hualparuca-Olivera, L. and Tomás Caycho-Rodríguez (2023) ‘Diagnostic accuracy of severity measures of ICD-11 and DSM-5 personality disorder: clarifying the clinical landscape with the most up-to-date evidence’, </w:t>
      </w:r>
      <w:r w:rsidRPr="00877B66">
        <w:rPr>
          <w:rFonts w:ascii="Arial" w:hAnsi="Arial" w:cs="Arial"/>
          <w:i/>
          <w:iCs/>
          <w:sz w:val="22"/>
        </w:rPr>
        <w:t>Frontiers in Psychiatry</w:t>
      </w:r>
      <w:r w:rsidRPr="00877B66">
        <w:rPr>
          <w:rFonts w:ascii="Arial" w:hAnsi="Arial" w:cs="Arial"/>
          <w:sz w:val="22"/>
        </w:rPr>
        <w:t>, 14. Available at: https://doi.org/10.3389/fpsyt.2023.1209679.</w:t>
      </w:r>
    </w:p>
    <w:p w14:paraId="3A00C849" w14:textId="77777777" w:rsidR="009D6B15" w:rsidRPr="00877B66" w:rsidRDefault="009D6B15" w:rsidP="00877B66">
      <w:pPr>
        <w:rPr>
          <w:rFonts w:ascii="Arial" w:hAnsi="Arial" w:cs="Arial"/>
          <w:sz w:val="22"/>
        </w:rPr>
      </w:pPr>
      <w:r w:rsidRPr="00877B66">
        <w:rPr>
          <w:rFonts w:ascii="Arial" w:hAnsi="Arial" w:cs="Arial"/>
          <w:sz w:val="22"/>
        </w:rPr>
        <w:t xml:space="preserve">INTERNATIONAL CLASSIFICATION OF DISEASES (2026) </w:t>
      </w:r>
      <w:r w:rsidRPr="00877B66">
        <w:rPr>
          <w:rFonts w:ascii="Arial" w:hAnsi="Arial" w:cs="Arial"/>
          <w:i/>
          <w:iCs/>
          <w:sz w:val="22"/>
        </w:rPr>
        <w:t>INTERNATIONAL CLASSIFICATION OF DISEASES -Mortality and Morbidity Statistics</w:t>
      </w:r>
      <w:r w:rsidRPr="00877B66">
        <w:rPr>
          <w:rFonts w:ascii="Arial" w:hAnsi="Arial" w:cs="Arial"/>
          <w:sz w:val="22"/>
        </w:rPr>
        <w:t>. Available at: https://faculty.ksu.edu.sa/sites/default/files/icd11_mms-en-06.pdf (Accessed: 4 June 2026).</w:t>
      </w:r>
    </w:p>
    <w:p w14:paraId="4B106BC4" w14:textId="77777777" w:rsidR="009D6B15" w:rsidRPr="00877B66" w:rsidRDefault="009D6B15" w:rsidP="00877B66">
      <w:pPr>
        <w:rPr>
          <w:rFonts w:ascii="Arial" w:hAnsi="Arial" w:cs="Arial"/>
          <w:sz w:val="22"/>
        </w:rPr>
      </w:pPr>
      <w:r w:rsidRPr="00877B66">
        <w:rPr>
          <w:rFonts w:ascii="Arial" w:hAnsi="Arial" w:cs="Arial"/>
          <w:sz w:val="22"/>
        </w:rPr>
        <w:t xml:space="preserve">Jantzi, C. and Moulin, V. (2025) ‘The new ICD-11 diagnosis of personality disorder in forensic psychiatry’, </w:t>
      </w:r>
      <w:r w:rsidRPr="00877B66">
        <w:rPr>
          <w:rFonts w:ascii="Arial" w:hAnsi="Arial" w:cs="Arial"/>
          <w:i/>
          <w:iCs/>
          <w:sz w:val="22"/>
        </w:rPr>
        <w:t>Frontiers in Psychiatry</w:t>
      </w:r>
      <w:r w:rsidRPr="00877B66">
        <w:rPr>
          <w:rFonts w:ascii="Arial" w:hAnsi="Arial" w:cs="Arial"/>
          <w:sz w:val="22"/>
        </w:rPr>
        <w:t>, 16. Available at: https://doi.org/10.3389/fpsyt.2025.1630512.</w:t>
      </w:r>
    </w:p>
    <w:p w14:paraId="50031079" w14:textId="77777777" w:rsidR="009D6B15" w:rsidRPr="00877B66" w:rsidRDefault="009D6B15" w:rsidP="00877B66">
      <w:pPr>
        <w:rPr>
          <w:rFonts w:ascii="Arial" w:hAnsi="Arial" w:cs="Arial"/>
          <w:sz w:val="22"/>
        </w:rPr>
      </w:pPr>
      <w:r w:rsidRPr="00877B66">
        <w:rPr>
          <w:rFonts w:ascii="Arial" w:hAnsi="Arial" w:cs="Arial"/>
          <w:sz w:val="22"/>
        </w:rPr>
        <w:lastRenderedPageBreak/>
        <w:t>Killaspy, H., Harvey, C., Brasier, C., Brophy, L., Ennals, P., Fletcher, J. and Hamilton, B. (2022) ‘Community</w:t>
      </w:r>
      <w:r w:rsidRPr="00877B66">
        <w:rPr>
          <w:rFonts w:ascii="Cambria Math" w:hAnsi="Cambria Math" w:cs="Cambria Math"/>
          <w:sz w:val="22"/>
        </w:rPr>
        <w:t>‐</w:t>
      </w:r>
      <w:r w:rsidRPr="00877B66">
        <w:rPr>
          <w:rFonts w:ascii="Arial" w:hAnsi="Arial" w:cs="Arial"/>
          <w:sz w:val="22"/>
        </w:rPr>
        <w:t xml:space="preserve">based Social Interventions for People with Severe Mental illness: a Systematic Review and Narrative Synthesis of Recent Evidence’, </w:t>
      </w:r>
      <w:r w:rsidRPr="00877B66">
        <w:rPr>
          <w:rFonts w:ascii="Arial" w:hAnsi="Arial" w:cs="Arial"/>
          <w:i/>
          <w:iCs/>
          <w:sz w:val="22"/>
        </w:rPr>
        <w:t>World Psychiatry</w:t>
      </w:r>
      <w:r w:rsidRPr="00877B66">
        <w:rPr>
          <w:rFonts w:ascii="Arial" w:hAnsi="Arial" w:cs="Arial"/>
          <w:sz w:val="22"/>
        </w:rPr>
        <w:t>, 21(1), pp. 96–123. Available at: https://doi.org/10.1002/wps.20940.</w:t>
      </w:r>
    </w:p>
    <w:p w14:paraId="209BDCBB" w14:textId="77777777" w:rsidR="009D6B15" w:rsidRPr="00877B66" w:rsidRDefault="009D6B15" w:rsidP="00877B66">
      <w:pPr>
        <w:rPr>
          <w:rFonts w:ascii="Arial" w:hAnsi="Arial" w:cs="Arial"/>
          <w:sz w:val="22"/>
        </w:rPr>
      </w:pPr>
      <w:r w:rsidRPr="00877B66">
        <w:rPr>
          <w:rFonts w:ascii="Arial" w:hAnsi="Arial" w:cs="Arial"/>
          <w:sz w:val="22"/>
        </w:rPr>
        <w:t xml:space="preserve">Lee, B.P., Witkiewitz, K., Mellinger, J., Anania, F.A., Bataller, R., Cotter, T.G., Curtis, B., Srinivasan Dasarathy, DeMartini, K.S., Diamond, I., Diazgranados, N., DiMartini, A.F., Falk, D.E., Fernandez, A.C., German, M.N., Kamath, P.S., Kidwell, K.M., Leggio, L., Litten, R. and Alexandre Louvet (2024) ‘Designing clinical trials to address alcohol use and alcohol-associated liver disease: an expert panel Consensus Statement’, </w:t>
      </w:r>
      <w:r w:rsidRPr="00877B66">
        <w:rPr>
          <w:rFonts w:ascii="Arial" w:hAnsi="Arial" w:cs="Arial"/>
          <w:i/>
          <w:iCs/>
          <w:sz w:val="22"/>
        </w:rPr>
        <w:t>Nature reviews. Gastroenterology &amp; hepatology</w:t>
      </w:r>
      <w:r w:rsidRPr="00877B66">
        <w:rPr>
          <w:rFonts w:ascii="Arial" w:hAnsi="Arial" w:cs="Arial"/>
          <w:sz w:val="22"/>
        </w:rPr>
        <w:t xml:space="preserve"> [Preprint]. Available at: https://doi.org/10.1038/s41575-024-00936-x.</w:t>
      </w:r>
    </w:p>
    <w:p w14:paraId="166FC58E" w14:textId="77777777" w:rsidR="009D6B15" w:rsidRPr="00877B66" w:rsidRDefault="009D6B15" w:rsidP="00877B66">
      <w:pPr>
        <w:rPr>
          <w:rFonts w:ascii="Arial" w:hAnsi="Arial" w:cs="Arial"/>
          <w:sz w:val="22"/>
        </w:rPr>
      </w:pPr>
      <w:r w:rsidRPr="00877B66">
        <w:rPr>
          <w:rFonts w:ascii="Arial" w:hAnsi="Arial" w:cs="Arial"/>
          <w:sz w:val="22"/>
        </w:rPr>
        <w:t xml:space="preserve">Lima, A.A., Mridha, M.F., Das, S.C., Kabir, M.M., Islam, Md.R. and Watanobe, Y. (2022) ‘A Comprehensive Survey on the Detection, Classification, and Challenges of Neurological Disorders’, </w:t>
      </w:r>
      <w:r w:rsidRPr="00877B66">
        <w:rPr>
          <w:rFonts w:ascii="Arial" w:hAnsi="Arial" w:cs="Arial"/>
          <w:i/>
          <w:iCs/>
          <w:sz w:val="22"/>
        </w:rPr>
        <w:t>Biology</w:t>
      </w:r>
      <w:r w:rsidRPr="00877B66">
        <w:rPr>
          <w:rFonts w:ascii="Arial" w:hAnsi="Arial" w:cs="Arial"/>
          <w:sz w:val="22"/>
        </w:rPr>
        <w:t>, 11(3), p. 469. Available at: https://doi.org/10.3390/biology11030469.</w:t>
      </w:r>
    </w:p>
    <w:p w14:paraId="58FAA756" w14:textId="77777777" w:rsidR="009D6B15" w:rsidRPr="009D6B15" w:rsidRDefault="009D6B15" w:rsidP="009D6B15">
      <w:pPr>
        <w:rPr>
          <w:rFonts w:ascii="Arial" w:hAnsi="Arial" w:cs="Arial"/>
          <w:sz w:val="22"/>
        </w:rPr>
      </w:pPr>
      <w:r w:rsidRPr="00D006BB">
        <w:rPr>
          <w:rFonts w:ascii="Arial" w:hAnsi="Arial" w:cs="Arial"/>
          <w:sz w:val="22"/>
          <w:highlight w:val="yellow"/>
        </w:rPr>
        <w:t xml:space="preserve">Magomedova, A. and Fatima, G. (2025) ‘Mental Health and Well-Being in the Modern Era: A Comprehensive Review of Challenges and Interventions’, </w:t>
      </w:r>
      <w:r w:rsidRPr="00D006BB">
        <w:rPr>
          <w:rFonts w:ascii="Arial" w:hAnsi="Arial" w:cs="Arial"/>
          <w:i/>
          <w:iCs/>
          <w:sz w:val="22"/>
          <w:highlight w:val="yellow"/>
        </w:rPr>
        <w:t>Cureus</w:t>
      </w:r>
      <w:r w:rsidRPr="00D006BB">
        <w:rPr>
          <w:rFonts w:ascii="Arial" w:hAnsi="Arial" w:cs="Arial"/>
          <w:sz w:val="22"/>
          <w:highlight w:val="yellow"/>
        </w:rPr>
        <w:t>, 17(1). Available at: https://doi.org/10.7759/cureus.77683.</w:t>
      </w:r>
    </w:p>
    <w:p w14:paraId="22F26469" w14:textId="77777777" w:rsidR="009D6B15" w:rsidRPr="00877B66" w:rsidRDefault="009D6B15" w:rsidP="00877B66">
      <w:pPr>
        <w:rPr>
          <w:rFonts w:ascii="Arial" w:hAnsi="Arial" w:cs="Arial"/>
          <w:sz w:val="22"/>
        </w:rPr>
      </w:pPr>
      <w:r w:rsidRPr="00877B66">
        <w:rPr>
          <w:rFonts w:ascii="Arial" w:hAnsi="Arial" w:cs="Arial"/>
          <w:sz w:val="22"/>
        </w:rPr>
        <w:t xml:space="preserve">Malhi, G.S., Jadidi, M. and Bell, E. (2023) ‘The diagnosis of bipolar disorder in children and adolescents: Past, present and future’, </w:t>
      </w:r>
      <w:r w:rsidRPr="00877B66">
        <w:rPr>
          <w:rFonts w:ascii="Arial" w:hAnsi="Arial" w:cs="Arial"/>
          <w:i/>
          <w:iCs/>
          <w:sz w:val="22"/>
        </w:rPr>
        <w:t>Bipolar Disorders</w:t>
      </w:r>
      <w:r w:rsidRPr="00877B66">
        <w:rPr>
          <w:rFonts w:ascii="Arial" w:hAnsi="Arial" w:cs="Arial"/>
          <w:sz w:val="22"/>
        </w:rPr>
        <w:t>, 25(6). Available at: https://doi.org/10.1111/bdi.13367.</w:t>
      </w:r>
    </w:p>
    <w:p w14:paraId="4802E5A3" w14:textId="77777777" w:rsidR="009D6B15" w:rsidRPr="00877B66" w:rsidRDefault="009D6B15" w:rsidP="00877B66">
      <w:pPr>
        <w:rPr>
          <w:rFonts w:ascii="Arial" w:hAnsi="Arial" w:cs="Arial"/>
          <w:sz w:val="22"/>
        </w:rPr>
      </w:pPr>
      <w:r w:rsidRPr="00877B66">
        <w:rPr>
          <w:rFonts w:ascii="Arial" w:hAnsi="Arial" w:cs="Arial"/>
          <w:sz w:val="22"/>
        </w:rPr>
        <w:t xml:space="preserve">NHS England (2024) </w:t>
      </w:r>
      <w:r w:rsidRPr="00877B66">
        <w:rPr>
          <w:rFonts w:ascii="Arial" w:hAnsi="Arial" w:cs="Arial"/>
          <w:i/>
          <w:iCs/>
          <w:sz w:val="22"/>
        </w:rPr>
        <w:t>NHS England» The community mental health framework for adults and older adults</w:t>
      </w:r>
      <w:r w:rsidRPr="00877B66">
        <w:rPr>
          <w:rFonts w:ascii="Arial" w:hAnsi="Arial" w:cs="Arial"/>
          <w:sz w:val="22"/>
        </w:rPr>
        <w:t xml:space="preserve">, </w:t>
      </w:r>
      <w:r w:rsidRPr="00877B66">
        <w:rPr>
          <w:rFonts w:ascii="Arial" w:hAnsi="Arial" w:cs="Arial"/>
          <w:i/>
          <w:iCs/>
          <w:sz w:val="22"/>
        </w:rPr>
        <w:t>England.nhs.uk</w:t>
      </w:r>
      <w:r w:rsidRPr="00877B66">
        <w:rPr>
          <w:rFonts w:ascii="Arial" w:hAnsi="Arial" w:cs="Arial"/>
          <w:sz w:val="22"/>
        </w:rPr>
        <w:t>. Available at: https://www.england.nhs.uk/publication/the-community-mental-health-framework-for-adults-and-older-adults/ (Accessed: 4 June 2026).</w:t>
      </w:r>
    </w:p>
    <w:p w14:paraId="323081B9" w14:textId="77777777" w:rsidR="009D6B15" w:rsidRPr="00877B66" w:rsidRDefault="009D6B15" w:rsidP="00877B66">
      <w:pPr>
        <w:rPr>
          <w:rFonts w:ascii="Arial" w:hAnsi="Arial" w:cs="Arial"/>
          <w:sz w:val="22"/>
        </w:rPr>
      </w:pPr>
      <w:r w:rsidRPr="00877B66">
        <w:rPr>
          <w:rFonts w:ascii="Arial" w:hAnsi="Arial" w:cs="Arial"/>
          <w:sz w:val="22"/>
        </w:rPr>
        <w:t xml:space="preserve">Nicklas, L., Albiston, M., Dunbar, M., Gillies, A., Hislop, J., Moffat, H. and Thomson, J. (2022) ‘A systematic review of economic analyses of psychological interventions and therapies in health-related settings’, </w:t>
      </w:r>
      <w:r w:rsidRPr="00877B66">
        <w:rPr>
          <w:rFonts w:ascii="Arial" w:hAnsi="Arial" w:cs="Arial"/>
          <w:i/>
          <w:iCs/>
          <w:sz w:val="22"/>
        </w:rPr>
        <w:t>BMC Health Services Research</w:t>
      </w:r>
      <w:r w:rsidRPr="00877B66">
        <w:rPr>
          <w:rFonts w:ascii="Arial" w:hAnsi="Arial" w:cs="Arial"/>
          <w:sz w:val="22"/>
        </w:rPr>
        <w:t>, 22(1). Available at: https://doi.org/10.1186/s12913-022-08158-0.</w:t>
      </w:r>
    </w:p>
    <w:p w14:paraId="09ED5214" w14:textId="77777777" w:rsidR="009D6B15" w:rsidRPr="00877B66" w:rsidRDefault="009D6B15" w:rsidP="00877B66">
      <w:pPr>
        <w:rPr>
          <w:rFonts w:ascii="Arial" w:hAnsi="Arial" w:cs="Arial"/>
          <w:sz w:val="22"/>
        </w:rPr>
      </w:pPr>
      <w:r w:rsidRPr="00877B66">
        <w:rPr>
          <w:rFonts w:ascii="Arial" w:hAnsi="Arial" w:cs="Arial"/>
          <w:sz w:val="22"/>
        </w:rPr>
        <w:t xml:space="preserve">Pany, S., Rawat, V.S. and Muliyala, K.P. (2025) ‘Recovery orientation of services - Narrative review’, </w:t>
      </w:r>
      <w:r w:rsidRPr="00877B66">
        <w:rPr>
          <w:rFonts w:ascii="Arial" w:hAnsi="Arial" w:cs="Arial"/>
          <w:i/>
          <w:iCs/>
          <w:sz w:val="22"/>
        </w:rPr>
        <w:t>Future Health</w:t>
      </w:r>
      <w:r w:rsidRPr="00877B66">
        <w:rPr>
          <w:rFonts w:ascii="Arial" w:hAnsi="Arial" w:cs="Arial"/>
          <w:sz w:val="22"/>
        </w:rPr>
        <w:t>, 3, pp. 93–102. Available at: https://doi.org/10.25259/fh_88_2025.</w:t>
      </w:r>
    </w:p>
    <w:p w14:paraId="707281C2" w14:textId="77777777" w:rsidR="009D6B15" w:rsidRPr="00877B66" w:rsidRDefault="009D6B15" w:rsidP="00877B66">
      <w:pPr>
        <w:rPr>
          <w:rFonts w:ascii="Arial" w:hAnsi="Arial" w:cs="Arial"/>
          <w:sz w:val="22"/>
        </w:rPr>
      </w:pPr>
      <w:r w:rsidRPr="00877B66">
        <w:rPr>
          <w:rFonts w:ascii="Arial" w:hAnsi="Arial" w:cs="Arial"/>
          <w:sz w:val="22"/>
        </w:rPr>
        <w:lastRenderedPageBreak/>
        <w:t xml:space="preserve">Pietsch, S., Köpke, S., Büker, C. and Müller, I. (2026) ‘Symptom Management in Chronic Heart Failure: Strategies and Behaviours From Patients’ Perspectives—A Scoping Review’, </w:t>
      </w:r>
      <w:r w:rsidRPr="00877B66">
        <w:rPr>
          <w:rFonts w:ascii="Arial" w:hAnsi="Arial" w:cs="Arial"/>
          <w:i/>
          <w:iCs/>
          <w:sz w:val="22"/>
        </w:rPr>
        <w:t>Health Expectations</w:t>
      </w:r>
      <w:r w:rsidRPr="00877B66">
        <w:rPr>
          <w:rFonts w:ascii="Arial" w:hAnsi="Arial" w:cs="Arial"/>
          <w:sz w:val="22"/>
        </w:rPr>
        <w:t>, 29(2). Available at: https://doi.org/10.1111/hex.70667.</w:t>
      </w:r>
    </w:p>
    <w:p w14:paraId="73E8EE07" w14:textId="77777777" w:rsidR="009D6B15" w:rsidRPr="00877B66" w:rsidRDefault="009D6B15" w:rsidP="00877B66">
      <w:pPr>
        <w:rPr>
          <w:rFonts w:ascii="Arial" w:hAnsi="Arial" w:cs="Arial"/>
          <w:sz w:val="22"/>
        </w:rPr>
      </w:pPr>
      <w:r w:rsidRPr="00877B66">
        <w:rPr>
          <w:rFonts w:ascii="Arial" w:hAnsi="Arial" w:cs="Arial"/>
          <w:sz w:val="22"/>
        </w:rPr>
        <w:t xml:space="preserve">Shafik, W., Tufail, A., Namoun, A., Silva and Apong, R.A. (2023) ‘A Systematic Literature Review on Plant Disease Detection: Motivations, Classification Techniques, Datasets, Challenges, and Future Trends’, </w:t>
      </w:r>
      <w:r w:rsidRPr="00877B66">
        <w:rPr>
          <w:rFonts w:ascii="Arial" w:hAnsi="Arial" w:cs="Arial"/>
          <w:i/>
          <w:iCs/>
          <w:sz w:val="22"/>
        </w:rPr>
        <w:t>IEEE Access</w:t>
      </w:r>
      <w:r w:rsidRPr="00877B66">
        <w:rPr>
          <w:rFonts w:ascii="Arial" w:hAnsi="Arial" w:cs="Arial"/>
          <w:sz w:val="22"/>
        </w:rPr>
        <w:t>, 11, pp. 59174–59203. Available at: https://doi.org/10.1109/access.2023.3284760.</w:t>
      </w:r>
    </w:p>
    <w:p w14:paraId="4A007ACD" w14:textId="77777777" w:rsidR="009D6B15" w:rsidRPr="00877B66" w:rsidRDefault="009D6B15" w:rsidP="00877B66">
      <w:pPr>
        <w:rPr>
          <w:rFonts w:ascii="Arial" w:hAnsi="Arial" w:cs="Arial"/>
          <w:sz w:val="22"/>
        </w:rPr>
      </w:pPr>
      <w:r w:rsidRPr="00877B66">
        <w:rPr>
          <w:rFonts w:ascii="Arial" w:hAnsi="Arial" w:cs="Arial"/>
          <w:sz w:val="22"/>
        </w:rPr>
        <w:t xml:space="preserve">Shen, Y., Jiang, L., Lai, J., Hu, J., Liang, F., Zhang, X. and Ma, F. (2025) ‘A comprehensive review of rehabilitation approaches for traumatic brain injury: efficacy and outcomes’, </w:t>
      </w:r>
      <w:r w:rsidRPr="00877B66">
        <w:rPr>
          <w:rFonts w:ascii="Arial" w:hAnsi="Arial" w:cs="Arial"/>
          <w:i/>
          <w:iCs/>
          <w:sz w:val="22"/>
        </w:rPr>
        <w:t>Frontiers in Neurology</w:t>
      </w:r>
      <w:r w:rsidRPr="00877B66">
        <w:rPr>
          <w:rFonts w:ascii="Arial" w:hAnsi="Arial" w:cs="Arial"/>
          <w:sz w:val="22"/>
        </w:rPr>
        <w:t>, 16. Available at: https://doi.org/10.3389/fneur.2025.1608645.</w:t>
      </w:r>
    </w:p>
    <w:p w14:paraId="0F73F8D8" w14:textId="77777777" w:rsidR="009D6B15" w:rsidRPr="00877B66" w:rsidRDefault="009D6B15" w:rsidP="009D6B15">
      <w:pPr>
        <w:rPr>
          <w:rFonts w:ascii="Arial" w:hAnsi="Arial" w:cs="Arial"/>
          <w:sz w:val="22"/>
        </w:rPr>
      </w:pPr>
      <w:r w:rsidRPr="00D006BB">
        <w:rPr>
          <w:rFonts w:ascii="Arial" w:hAnsi="Arial" w:cs="Arial"/>
          <w:sz w:val="22"/>
          <w:highlight w:val="yellow"/>
        </w:rPr>
        <w:t xml:space="preserve">Srivastava, G.K., Martinez-Rodriguez, S., Nur, Looi, D., Markey, G., Shukla, P., Fauzi, M.B. and Panetsos, F. (2024) ‘Progress in Wound-Healing Products Based on Natural Compounds, Stem Cells, and MicroRNA-Based Biopolymers in the European, USA, and Asian Markets: Opportunities, Barriers, and Regulatory Issues’, </w:t>
      </w:r>
      <w:r w:rsidRPr="00D006BB">
        <w:rPr>
          <w:rFonts w:ascii="Arial" w:hAnsi="Arial" w:cs="Arial"/>
          <w:i/>
          <w:iCs/>
          <w:sz w:val="22"/>
          <w:highlight w:val="yellow"/>
        </w:rPr>
        <w:t>Polymers</w:t>
      </w:r>
      <w:r w:rsidRPr="00D006BB">
        <w:rPr>
          <w:rFonts w:ascii="Arial" w:hAnsi="Arial" w:cs="Arial"/>
          <w:sz w:val="22"/>
          <w:highlight w:val="yellow"/>
        </w:rPr>
        <w:t>, 16(9), pp. 1280–1280. Available at: https://doi.org/10.3390/polym16091280.</w:t>
      </w:r>
    </w:p>
    <w:p w14:paraId="6F1E3F4C" w14:textId="77777777" w:rsidR="009D6B15" w:rsidRDefault="009D6B15">
      <w:pPr>
        <w:rPr>
          <w:rFonts w:ascii="Arial" w:hAnsi="Arial" w:cs="Arial"/>
          <w:sz w:val="22"/>
        </w:rPr>
      </w:pPr>
      <w:r w:rsidRPr="00877B66">
        <w:rPr>
          <w:rFonts w:ascii="Arial" w:hAnsi="Arial" w:cs="Arial"/>
          <w:sz w:val="22"/>
        </w:rPr>
        <w:t xml:space="preserve">Yang, H., Gao, S., Li, J., Yu, H., Xu, J., Lin, C., Yang, H., Teng, C., Ma, H. and Zhang, N. (2022) ‘Remission of symptoms is not equal to functional recovery: Psychosocial functioning impairment in major depression’, </w:t>
      </w:r>
      <w:r w:rsidRPr="00877B66">
        <w:rPr>
          <w:rFonts w:ascii="Arial" w:hAnsi="Arial" w:cs="Arial"/>
          <w:i/>
          <w:iCs/>
          <w:sz w:val="22"/>
        </w:rPr>
        <w:t>Frontiers in Psychiatry</w:t>
      </w:r>
      <w:r w:rsidRPr="00877B66">
        <w:rPr>
          <w:rFonts w:ascii="Arial" w:hAnsi="Arial" w:cs="Arial"/>
          <w:sz w:val="22"/>
        </w:rPr>
        <w:t xml:space="preserve">, 13. Available at: </w:t>
      </w:r>
      <w:hyperlink r:id="rId9" w:history="1">
        <w:r w:rsidRPr="008200E0">
          <w:rPr>
            <w:rStyle w:val="Hyperlink"/>
            <w:rFonts w:ascii="Arial" w:hAnsi="Arial" w:cs="Arial"/>
            <w:sz w:val="22"/>
          </w:rPr>
          <w:t>https://doi.org/10.3389/fpsyt.2022.915689</w:t>
        </w:r>
      </w:hyperlink>
      <w:r w:rsidRPr="00877B66">
        <w:rPr>
          <w:rFonts w:ascii="Arial" w:hAnsi="Arial" w:cs="Arial"/>
          <w:sz w:val="22"/>
        </w:rPr>
        <w:t>.</w:t>
      </w:r>
    </w:p>
    <w:sectPr w:rsidR="009D6B15" w:rsidSect="00430BA5">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EBFE1E" w14:textId="77777777" w:rsidR="003829EA" w:rsidRDefault="003829EA" w:rsidP="00430BA5">
      <w:pPr>
        <w:spacing w:before="0" w:after="0" w:line="240" w:lineRule="auto"/>
      </w:pPr>
      <w:r>
        <w:separator/>
      </w:r>
    </w:p>
  </w:endnote>
  <w:endnote w:type="continuationSeparator" w:id="0">
    <w:p w14:paraId="4CB91F7C" w14:textId="77777777" w:rsidR="003829EA" w:rsidRDefault="003829EA" w:rsidP="00430BA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5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309CF6" w14:textId="77777777" w:rsidR="00430BA5" w:rsidRDefault="00430BA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3667027"/>
      <w:docPartObj>
        <w:docPartGallery w:val="Page Numbers (Bottom of Page)"/>
        <w:docPartUnique/>
      </w:docPartObj>
    </w:sdtPr>
    <w:sdtEndPr>
      <w:rPr>
        <w:color w:val="7F7F7F" w:themeColor="background1" w:themeShade="7F"/>
        <w:spacing w:val="60"/>
      </w:rPr>
    </w:sdtEndPr>
    <w:sdtContent>
      <w:p w14:paraId="3D20AB63" w14:textId="613C05CB" w:rsidR="00430BA5" w:rsidRDefault="00430BA5" w:rsidP="00430BA5">
        <w:pPr>
          <w:pStyle w:val="Footer"/>
          <w:pBdr>
            <w:top w:val="single" w:sz="4" w:space="1" w:color="D9D9D9" w:themeColor="background1" w:themeShade="D9"/>
          </w:pBdr>
          <w:jc w:val="right"/>
        </w:pPr>
        <w:r w:rsidRPr="00430BA5">
          <w:rPr>
            <w:sz w:val="18"/>
            <w:szCs w:val="16"/>
          </w:rPr>
          <w:fldChar w:fldCharType="begin"/>
        </w:r>
        <w:r w:rsidRPr="00430BA5">
          <w:rPr>
            <w:sz w:val="18"/>
            <w:szCs w:val="16"/>
          </w:rPr>
          <w:instrText>PAGE   \* MERGEFORMAT</w:instrText>
        </w:r>
        <w:r w:rsidRPr="00430BA5">
          <w:rPr>
            <w:sz w:val="18"/>
            <w:szCs w:val="16"/>
          </w:rPr>
          <w:fldChar w:fldCharType="separate"/>
        </w:r>
        <w:r w:rsidR="00D006BB">
          <w:rPr>
            <w:sz w:val="18"/>
            <w:szCs w:val="16"/>
          </w:rPr>
          <w:t>10</w:t>
        </w:r>
        <w:r w:rsidRPr="00430BA5">
          <w:rPr>
            <w:sz w:val="18"/>
            <w:szCs w:val="16"/>
          </w:rPr>
          <w:fldChar w:fldCharType="end"/>
        </w:r>
        <w:r w:rsidRPr="00430BA5">
          <w:rPr>
            <w:sz w:val="18"/>
            <w:szCs w:val="16"/>
          </w:rPr>
          <w:t xml:space="preserve"> | </w:t>
        </w:r>
        <w:r w:rsidRPr="00430BA5">
          <w:rPr>
            <w:color w:val="7F7F7F" w:themeColor="background1" w:themeShade="7F"/>
            <w:spacing w:val="60"/>
            <w:sz w:val="18"/>
            <w:szCs w:val="16"/>
          </w:rPr>
          <w:t>Page</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570B4" w14:textId="77777777" w:rsidR="00430BA5" w:rsidRDefault="00430B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7F7A4" w14:textId="77777777" w:rsidR="003829EA" w:rsidRDefault="003829EA" w:rsidP="00430BA5">
      <w:pPr>
        <w:spacing w:before="0" w:after="0" w:line="240" w:lineRule="auto"/>
      </w:pPr>
      <w:r>
        <w:separator/>
      </w:r>
    </w:p>
  </w:footnote>
  <w:footnote w:type="continuationSeparator" w:id="0">
    <w:p w14:paraId="21383812" w14:textId="77777777" w:rsidR="003829EA" w:rsidRDefault="003829EA" w:rsidP="00430BA5">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50F05C" w14:textId="77777777" w:rsidR="00430BA5" w:rsidRDefault="00430BA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101C" w14:textId="77777777" w:rsidR="00430BA5" w:rsidRDefault="00430BA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B4843" w14:textId="77777777" w:rsidR="00430BA5" w:rsidRDefault="00430B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010B45"/>
    <w:multiLevelType w:val="multilevel"/>
    <w:tmpl w:val="FB6AC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40293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7B66"/>
    <w:rsid w:val="0000597E"/>
    <w:rsid w:val="000423A2"/>
    <w:rsid w:val="000435D6"/>
    <w:rsid w:val="00123C77"/>
    <w:rsid w:val="001465BC"/>
    <w:rsid w:val="0018111A"/>
    <w:rsid w:val="001A644E"/>
    <w:rsid w:val="00264BD2"/>
    <w:rsid w:val="003131E9"/>
    <w:rsid w:val="00352234"/>
    <w:rsid w:val="003829EA"/>
    <w:rsid w:val="00430BA5"/>
    <w:rsid w:val="004A7D30"/>
    <w:rsid w:val="004B5842"/>
    <w:rsid w:val="004F5FB2"/>
    <w:rsid w:val="00550DF4"/>
    <w:rsid w:val="00553229"/>
    <w:rsid w:val="00584D75"/>
    <w:rsid w:val="00696C2F"/>
    <w:rsid w:val="00710315"/>
    <w:rsid w:val="00831C4A"/>
    <w:rsid w:val="00877B66"/>
    <w:rsid w:val="008D5FD7"/>
    <w:rsid w:val="009078FD"/>
    <w:rsid w:val="009422F0"/>
    <w:rsid w:val="00964D51"/>
    <w:rsid w:val="009A3769"/>
    <w:rsid w:val="009B2B5E"/>
    <w:rsid w:val="009D3303"/>
    <w:rsid w:val="009D6B15"/>
    <w:rsid w:val="00A2635E"/>
    <w:rsid w:val="00A3178F"/>
    <w:rsid w:val="00B4311D"/>
    <w:rsid w:val="00B97C6A"/>
    <w:rsid w:val="00BB7E3D"/>
    <w:rsid w:val="00BE6706"/>
    <w:rsid w:val="00C17D42"/>
    <w:rsid w:val="00C2067F"/>
    <w:rsid w:val="00C326D6"/>
    <w:rsid w:val="00CB53A3"/>
    <w:rsid w:val="00D006BB"/>
    <w:rsid w:val="00D77BC9"/>
    <w:rsid w:val="00DA3E7F"/>
    <w:rsid w:val="00DF2F48"/>
    <w:rsid w:val="00E70DF1"/>
    <w:rsid w:val="00FC3A9A"/>
    <w:rsid w:val="00FD60BA"/>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C2C94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before="100" w:beforeAutospacing="1" w:after="100" w:afterAutospacing="1"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35D6"/>
    <w:rPr>
      <w:noProof/>
    </w:rPr>
  </w:style>
  <w:style w:type="paragraph" w:styleId="Heading1">
    <w:name w:val="heading 1"/>
    <w:basedOn w:val="Normal"/>
    <w:next w:val="Normal"/>
    <w:link w:val="Heading1Char"/>
    <w:autoRedefine/>
    <w:uiPriority w:val="9"/>
    <w:qFormat/>
    <w:rsid w:val="004B5842"/>
    <w:pPr>
      <w:keepNext/>
      <w:keepLines/>
      <w:spacing w:before="120" w:after="120"/>
      <w:outlineLvl w:val="0"/>
    </w:pPr>
    <w:rPr>
      <w:b/>
      <w:color w:val="222222"/>
      <w:kern w:val="2"/>
      <w:sz w:val="28"/>
      <w:szCs w:val="40"/>
      <w:lang w:val="en-IN"/>
      <w14:ligatures w14:val="standardContextual"/>
    </w:rPr>
  </w:style>
  <w:style w:type="paragraph" w:styleId="Heading2">
    <w:name w:val="heading 2"/>
    <w:basedOn w:val="Normal"/>
    <w:next w:val="Normal"/>
    <w:link w:val="Heading2Char"/>
    <w:autoRedefine/>
    <w:uiPriority w:val="9"/>
    <w:unhideWhenUsed/>
    <w:qFormat/>
    <w:rsid w:val="000435D6"/>
    <w:pPr>
      <w:keepNext/>
      <w:keepLines/>
      <w:outlineLvl w:val="1"/>
    </w:pPr>
    <w:rPr>
      <w:b/>
      <w:sz w:val="26"/>
      <w:szCs w:val="32"/>
    </w:rPr>
  </w:style>
  <w:style w:type="paragraph" w:styleId="Heading3">
    <w:name w:val="heading 3"/>
    <w:basedOn w:val="Normal"/>
    <w:next w:val="Normal"/>
    <w:link w:val="Heading3Char"/>
    <w:uiPriority w:val="9"/>
    <w:semiHidden/>
    <w:unhideWhenUsed/>
    <w:qFormat/>
    <w:rsid w:val="00877B66"/>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77B66"/>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77B66"/>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877B66"/>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77B66"/>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77B66"/>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77B66"/>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5842"/>
    <w:rPr>
      <w:b/>
      <w:sz w:val="28"/>
      <w:szCs w:val="40"/>
    </w:rPr>
  </w:style>
  <w:style w:type="character" w:customStyle="1" w:styleId="Heading2Char">
    <w:name w:val="Heading 2 Char"/>
    <w:basedOn w:val="DefaultParagraphFont"/>
    <w:link w:val="Heading2"/>
    <w:uiPriority w:val="9"/>
    <w:rsid w:val="000435D6"/>
    <w:rPr>
      <w:b/>
      <w:color w:val="auto"/>
      <w:kern w:val="0"/>
      <w:sz w:val="26"/>
      <w:szCs w:val="32"/>
      <w:lang w:val="en" w:eastAsia="en-IN"/>
      <w14:ligatures w14:val="none"/>
    </w:rPr>
  </w:style>
  <w:style w:type="paragraph" w:styleId="Title">
    <w:name w:val="Title"/>
    <w:basedOn w:val="Normal"/>
    <w:next w:val="Normal"/>
    <w:link w:val="TitleChar"/>
    <w:autoRedefine/>
    <w:uiPriority w:val="10"/>
    <w:qFormat/>
    <w:rsid w:val="00964D51"/>
    <w:pPr>
      <w:keepNext/>
      <w:keepLines/>
      <w:pBdr>
        <w:bottom w:val="single" w:sz="4" w:space="1" w:color="auto"/>
      </w:pBdr>
      <w:jc w:val="center"/>
    </w:pPr>
    <w:rPr>
      <w:b/>
      <w:caps/>
      <w:sz w:val="36"/>
      <w:szCs w:val="52"/>
    </w:rPr>
  </w:style>
  <w:style w:type="character" w:customStyle="1" w:styleId="TitleChar">
    <w:name w:val="Title Char"/>
    <w:basedOn w:val="DefaultParagraphFont"/>
    <w:link w:val="Title"/>
    <w:uiPriority w:val="10"/>
    <w:rsid w:val="00964D51"/>
    <w:rPr>
      <w:b/>
      <w:caps/>
      <w:color w:val="auto"/>
      <w:kern w:val="0"/>
      <w:sz w:val="36"/>
      <w:szCs w:val="52"/>
      <w:lang w:val="en" w:eastAsia="en-IN"/>
      <w14:ligatures w14:val="none"/>
    </w:rPr>
  </w:style>
  <w:style w:type="character" w:customStyle="1" w:styleId="Heading3Char">
    <w:name w:val="Heading 3 Char"/>
    <w:basedOn w:val="DefaultParagraphFont"/>
    <w:link w:val="Heading3"/>
    <w:uiPriority w:val="9"/>
    <w:semiHidden/>
    <w:rsid w:val="00877B66"/>
    <w:rPr>
      <w:rFonts w:asciiTheme="minorHAnsi" w:eastAsiaTheme="majorEastAsia" w:hAnsiTheme="minorHAnsi" w:cstheme="majorBidi"/>
      <w:noProof/>
      <w:color w:val="2F5496" w:themeColor="accent1" w:themeShade="BF"/>
      <w:sz w:val="28"/>
      <w:szCs w:val="28"/>
    </w:rPr>
  </w:style>
  <w:style w:type="character" w:customStyle="1" w:styleId="Heading4Char">
    <w:name w:val="Heading 4 Char"/>
    <w:basedOn w:val="DefaultParagraphFont"/>
    <w:link w:val="Heading4"/>
    <w:uiPriority w:val="9"/>
    <w:semiHidden/>
    <w:rsid w:val="00877B66"/>
    <w:rPr>
      <w:rFonts w:asciiTheme="minorHAnsi" w:eastAsiaTheme="majorEastAsia" w:hAnsiTheme="minorHAnsi" w:cstheme="majorBidi"/>
      <w:i/>
      <w:iCs/>
      <w:noProof/>
      <w:color w:val="2F5496" w:themeColor="accent1" w:themeShade="BF"/>
    </w:rPr>
  </w:style>
  <w:style w:type="character" w:customStyle="1" w:styleId="Heading5Char">
    <w:name w:val="Heading 5 Char"/>
    <w:basedOn w:val="DefaultParagraphFont"/>
    <w:link w:val="Heading5"/>
    <w:uiPriority w:val="9"/>
    <w:semiHidden/>
    <w:rsid w:val="00877B66"/>
    <w:rPr>
      <w:rFonts w:asciiTheme="minorHAnsi" w:eastAsiaTheme="majorEastAsia" w:hAnsiTheme="minorHAnsi" w:cstheme="majorBidi"/>
      <w:noProof/>
      <w:color w:val="2F5496" w:themeColor="accent1" w:themeShade="BF"/>
    </w:rPr>
  </w:style>
  <w:style w:type="character" w:customStyle="1" w:styleId="Heading6Char">
    <w:name w:val="Heading 6 Char"/>
    <w:basedOn w:val="DefaultParagraphFont"/>
    <w:link w:val="Heading6"/>
    <w:uiPriority w:val="9"/>
    <w:semiHidden/>
    <w:rsid w:val="00877B66"/>
    <w:rPr>
      <w:rFonts w:asciiTheme="minorHAnsi" w:eastAsiaTheme="majorEastAsia" w:hAnsiTheme="minorHAnsi" w:cstheme="majorBidi"/>
      <w:i/>
      <w:iCs/>
      <w:noProof/>
      <w:color w:val="595959" w:themeColor="text1" w:themeTint="A6"/>
    </w:rPr>
  </w:style>
  <w:style w:type="character" w:customStyle="1" w:styleId="Heading7Char">
    <w:name w:val="Heading 7 Char"/>
    <w:basedOn w:val="DefaultParagraphFont"/>
    <w:link w:val="Heading7"/>
    <w:uiPriority w:val="9"/>
    <w:semiHidden/>
    <w:rsid w:val="00877B66"/>
    <w:rPr>
      <w:rFonts w:asciiTheme="minorHAnsi" w:eastAsiaTheme="majorEastAsia" w:hAnsiTheme="minorHAnsi" w:cstheme="majorBidi"/>
      <w:noProof/>
      <w:color w:val="595959" w:themeColor="text1" w:themeTint="A6"/>
    </w:rPr>
  </w:style>
  <w:style w:type="character" w:customStyle="1" w:styleId="Heading8Char">
    <w:name w:val="Heading 8 Char"/>
    <w:basedOn w:val="DefaultParagraphFont"/>
    <w:link w:val="Heading8"/>
    <w:uiPriority w:val="9"/>
    <w:semiHidden/>
    <w:rsid w:val="00877B66"/>
    <w:rPr>
      <w:rFonts w:asciiTheme="minorHAnsi" w:eastAsiaTheme="majorEastAsia" w:hAnsiTheme="minorHAnsi" w:cstheme="majorBidi"/>
      <w:i/>
      <w:iCs/>
      <w:noProof/>
      <w:color w:val="272727" w:themeColor="text1" w:themeTint="D8"/>
    </w:rPr>
  </w:style>
  <w:style w:type="character" w:customStyle="1" w:styleId="Heading9Char">
    <w:name w:val="Heading 9 Char"/>
    <w:basedOn w:val="DefaultParagraphFont"/>
    <w:link w:val="Heading9"/>
    <w:uiPriority w:val="9"/>
    <w:semiHidden/>
    <w:rsid w:val="00877B66"/>
    <w:rPr>
      <w:rFonts w:asciiTheme="minorHAnsi" w:eastAsiaTheme="majorEastAsia" w:hAnsiTheme="minorHAnsi" w:cstheme="majorBidi"/>
      <w:noProof/>
      <w:color w:val="272727" w:themeColor="text1" w:themeTint="D8"/>
    </w:rPr>
  </w:style>
  <w:style w:type="paragraph" w:styleId="Subtitle">
    <w:name w:val="Subtitle"/>
    <w:basedOn w:val="Normal"/>
    <w:next w:val="Normal"/>
    <w:link w:val="SubtitleChar"/>
    <w:uiPriority w:val="11"/>
    <w:qFormat/>
    <w:rsid w:val="00877B66"/>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7B66"/>
    <w:rPr>
      <w:rFonts w:asciiTheme="minorHAnsi" w:eastAsiaTheme="majorEastAsia" w:hAnsiTheme="minorHAnsi" w:cstheme="majorBidi"/>
      <w:noProof/>
      <w:color w:val="595959" w:themeColor="text1" w:themeTint="A6"/>
      <w:spacing w:val="15"/>
      <w:sz w:val="28"/>
      <w:szCs w:val="28"/>
    </w:rPr>
  </w:style>
  <w:style w:type="paragraph" w:styleId="Quote">
    <w:name w:val="Quote"/>
    <w:basedOn w:val="Normal"/>
    <w:next w:val="Normal"/>
    <w:link w:val="QuoteChar"/>
    <w:uiPriority w:val="29"/>
    <w:qFormat/>
    <w:rsid w:val="00877B6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77B66"/>
    <w:rPr>
      <w:i/>
      <w:iCs/>
      <w:noProof/>
      <w:color w:val="404040" w:themeColor="text1" w:themeTint="BF"/>
    </w:rPr>
  </w:style>
  <w:style w:type="paragraph" w:styleId="ListParagraph">
    <w:name w:val="List Paragraph"/>
    <w:basedOn w:val="Normal"/>
    <w:uiPriority w:val="34"/>
    <w:qFormat/>
    <w:rsid w:val="00877B66"/>
    <w:pPr>
      <w:ind w:left="720"/>
      <w:contextualSpacing/>
    </w:pPr>
  </w:style>
  <w:style w:type="character" w:styleId="IntenseEmphasis">
    <w:name w:val="Intense Emphasis"/>
    <w:basedOn w:val="DefaultParagraphFont"/>
    <w:uiPriority w:val="21"/>
    <w:qFormat/>
    <w:rsid w:val="00877B66"/>
    <w:rPr>
      <w:i/>
      <w:iCs/>
      <w:color w:val="2F5496" w:themeColor="accent1" w:themeShade="BF"/>
    </w:rPr>
  </w:style>
  <w:style w:type="paragraph" w:styleId="IntenseQuote">
    <w:name w:val="Intense Quote"/>
    <w:basedOn w:val="Normal"/>
    <w:next w:val="Normal"/>
    <w:link w:val="IntenseQuoteChar"/>
    <w:uiPriority w:val="30"/>
    <w:qFormat/>
    <w:rsid w:val="00877B6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77B66"/>
    <w:rPr>
      <w:i/>
      <w:iCs/>
      <w:noProof/>
      <w:color w:val="2F5496" w:themeColor="accent1" w:themeShade="BF"/>
    </w:rPr>
  </w:style>
  <w:style w:type="character" w:styleId="IntenseReference">
    <w:name w:val="Intense Reference"/>
    <w:basedOn w:val="DefaultParagraphFont"/>
    <w:uiPriority w:val="32"/>
    <w:qFormat/>
    <w:rsid w:val="00877B66"/>
    <w:rPr>
      <w:b/>
      <w:bCs/>
      <w:smallCaps/>
      <w:color w:val="2F5496" w:themeColor="accent1" w:themeShade="BF"/>
      <w:spacing w:val="5"/>
    </w:rPr>
  </w:style>
  <w:style w:type="paragraph" w:styleId="TOCHeading">
    <w:name w:val="TOC Heading"/>
    <w:basedOn w:val="Heading1"/>
    <w:next w:val="Normal"/>
    <w:uiPriority w:val="39"/>
    <w:unhideWhenUsed/>
    <w:qFormat/>
    <w:rsid w:val="00877B66"/>
    <w:pPr>
      <w:spacing w:before="240" w:beforeAutospacing="0" w:after="0" w:afterAutospacing="0" w:line="259" w:lineRule="auto"/>
      <w:jc w:val="left"/>
      <w:outlineLvl w:val="9"/>
    </w:pPr>
    <w:rPr>
      <w:rFonts w:asciiTheme="majorHAnsi" w:eastAsiaTheme="majorEastAsia" w:hAnsiTheme="majorHAnsi" w:cstheme="majorBidi"/>
      <w:b w:val="0"/>
      <w:noProof w:val="0"/>
      <w:color w:val="2F5496" w:themeColor="accent1" w:themeShade="BF"/>
      <w:kern w:val="0"/>
      <w:sz w:val="32"/>
      <w:szCs w:val="32"/>
      <w:lang w:val="en-GB" w:eastAsia="en-GB"/>
      <w14:ligatures w14:val="none"/>
    </w:rPr>
  </w:style>
  <w:style w:type="paragraph" w:styleId="TOC1">
    <w:name w:val="toc 1"/>
    <w:basedOn w:val="Normal"/>
    <w:next w:val="Normal"/>
    <w:autoRedefine/>
    <w:uiPriority w:val="39"/>
    <w:unhideWhenUsed/>
    <w:rsid w:val="00877B66"/>
  </w:style>
  <w:style w:type="paragraph" w:styleId="TOC2">
    <w:name w:val="toc 2"/>
    <w:basedOn w:val="Normal"/>
    <w:next w:val="Normal"/>
    <w:autoRedefine/>
    <w:uiPriority w:val="39"/>
    <w:unhideWhenUsed/>
    <w:rsid w:val="00877B66"/>
    <w:pPr>
      <w:ind w:left="240"/>
    </w:pPr>
  </w:style>
  <w:style w:type="character" w:styleId="Hyperlink">
    <w:name w:val="Hyperlink"/>
    <w:basedOn w:val="DefaultParagraphFont"/>
    <w:uiPriority w:val="99"/>
    <w:unhideWhenUsed/>
    <w:rsid w:val="00877B66"/>
    <w:rPr>
      <w:color w:val="0563C1" w:themeColor="hyperlink"/>
      <w:u w:val="single"/>
    </w:rPr>
  </w:style>
  <w:style w:type="paragraph" w:styleId="Header">
    <w:name w:val="header"/>
    <w:basedOn w:val="Normal"/>
    <w:link w:val="HeaderChar"/>
    <w:uiPriority w:val="99"/>
    <w:unhideWhenUsed/>
    <w:rsid w:val="00430BA5"/>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430BA5"/>
    <w:rPr>
      <w:noProof/>
    </w:rPr>
  </w:style>
  <w:style w:type="paragraph" w:styleId="Footer">
    <w:name w:val="footer"/>
    <w:basedOn w:val="Normal"/>
    <w:link w:val="FooterChar"/>
    <w:uiPriority w:val="99"/>
    <w:unhideWhenUsed/>
    <w:rsid w:val="00430BA5"/>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430BA5"/>
    <w:rPr>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975826">
      <w:bodyDiv w:val="1"/>
      <w:marLeft w:val="0"/>
      <w:marRight w:val="0"/>
      <w:marTop w:val="0"/>
      <w:marBottom w:val="0"/>
      <w:divBdr>
        <w:top w:val="none" w:sz="0" w:space="0" w:color="auto"/>
        <w:left w:val="none" w:sz="0" w:space="0" w:color="auto"/>
        <w:bottom w:val="none" w:sz="0" w:space="0" w:color="auto"/>
        <w:right w:val="none" w:sz="0" w:space="0" w:color="auto"/>
      </w:divBdr>
      <w:divsChild>
        <w:div w:id="389840184">
          <w:marLeft w:val="0"/>
          <w:marRight w:val="0"/>
          <w:marTop w:val="0"/>
          <w:marBottom w:val="0"/>
          <w:divBdr>
            <w:top w:val="none" w:sz="0" w:space="0" w:color="auto"/>
            <w:left w:val="none" w:sz="0" w:space="0" w:color="auto"/>
            <w:bottom w:val="none" w:sz="0" w:space="0" w:color="auto"/>
            <w:right w:val="none" w:sz="0" w:space="0" w:color="auto"/>
          </w:divBdr>
        </w:div>
      </w:divsChild>
    </w:div>
    <w:div w:id="128130977">
      <w:bodyDiv w:val="1"/>
      <w:marLeft w:val="0"/>
      <w:marRight w:val="0"/>
      <w:marTop w:val="0"/>
      <w:marBottom w:val="0"/>
      <w:divBdr>
        <w:top w:val="none" w:sz="0" w:space="0" w:color="auto"/>
        <w:left w:val="none" w:sz="0" w:space="0" w:color="auto"/>
        <w:bottom w:val="none" w:sz="0" w:space="0" w:color="auto"/>
        <w:right w:val="none" w:sz="0" w:space="0" w:color="auto"/>
      </w:divBdr>
      <w:divsChild>
        <w:div w:id="526023605">
          <w:marLeft w:val="0"/>
          <w:marRight w:val="0"/>
          <w:marTop w:val="0"/>
          <w:marBottom w:val="0"/>
          <w:divBdr>
            <w:top w:val="none" w:sz="0" w:space="0" w:color="auto"/>
            <w:left w:val="none" w:sz="0" w:space="0" w:color="auto"/>
            <w:bottom w:val="none" w:sz="0" w:space="0" w:color="auto"/>
            <w:right w:val="none" w:sz="0" w:space="0" w:color="auto"/>
          </w:divBdr>
        </w:div>
      </w:divsChild>
    </w:div>
    <w:div w:id="279773513">
      <w:bodyDiv w:val="1"/>
      <w:marLeft w:val="0"/>
      <w:marRight w:val="0"/>
      <w:marTop w:val="0"/>
      <w:marBottom w:val="0"/>
      <w:divBdr>
        <w:top w:val="none" w:sz="0" w:space="0" w:color="auto"/>
        <w:left w:val="none" w:sz="0" w:space="0" w:color="auto"/>
        <w:bottom w:val="none" w:sz="0" w:space="0" w:color="auto"/>
        <w:right w:val="none" w:sz="0" w:space="0" w:color="auto"/>
      </w:divBdr>
      <w:divsChild>
        <w:div w:id="925917658">
          <w:marLeft w:val="0"/>
          <w:marRight w:val="0"/>
          <w:marTop w:val="0"/>
          <w:marBottom w:val="0"/>
          <w:divBdr>
            <w:top w:val="none" w:sz="0" w:space="0" w:color="auto"/>
            <w:left w:val="none" w:sz="0" w:space="0" w:color="auto"/>
            <w:bottom w:val="none" w:sz="0" w:space="0" w:color="auto"/>
            <w:right w:val="none" w:sz="0" w:space="0" w:color="auto"/>
          </w:divBdr>
        </w:div>
      </w:divsChild>
    </w:div>
    <w:div w:id="1688865639">
      <w:bodyDiv w:val="1"/>
      <w:marLeft w:val="0"/>
      <w:marRight w:val="0"/>
      <w:marTop w:val="0"/>
      <w:marBottom w:val="0"/>
      <w:divBdr>
        <w:top w:val="none" w:sz="0" w:space="0" w:color="auto"/>
        <w:left w:val="none" w:sz="0" w:space="0" w:color="auto"/>
        <w:bottom w:val="none" w:sz="0" w:space="0" w:color="auto"/>
        <w:right w:val="none" w:sz="0" w:space="0" w:color="auto"/>
      </w:divBdr>
      <w:divsChild>
        <w:div w:id="7261023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oi.org/10.3389/fpsyt.2022.915689"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3712</Words>
  <Characters>21160</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2026-06-23T19:53:00Z</dcterms:created>
  <dcterms:modified xsi:type="dcterms:W3CDTF">2026-06-23T19:53:00Z</dcterms:modified>
</cp:coreProperties>
</file>