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3579286">
      <w:pPr>
        <w:pStyle w:val="2"/>
        <w:keepNext w:val="0"/>
        <w:keepLines w:val="0"/>
        <w:widowControl/>
        <w:suppressLineNumbers w:val="0"/>
        <w:ind w:left="0" w:firstLine="0"/>
        <w:jc w:val="center"/>
        <w:rPr>
          <w:i w:val="0"/>
          <w:iCs w:val="0"/>
          <w:caps w:val="0"/>
          <w:color w:val="000000"/>
          <w:spacing w:val="0"/>
          <w:sz w:val="32"/>
          <w:szCs w:val="32"/>
          <w:u w:val="none"/>
        </w:rPr>
      </w:pPr>
      <w:bookmarkStart w:id="0" w:name="_GoBack"/>
      <w:bookmarkEnd w:id="0"/>
      <w:r>
        <w:rPr>
          <w:rStyle w:val="5"/>
          <w:i w:val="0"/>
          <w:iCs w:val="0"/>
          <w:caps w:val="0"/>
          <w:color w:val="000000"/>
          <w:spacing w:val="0"/>
          <w:sz w:val="32"/>
          <w:szCs w:val="32"/>
          <w:u w:val="none"/>
        </w:rPr>
        <w:t>Exploring Student Engagement in a Flipped Classroom: Challenges and Strategies</w:t>
      </w:r>
    </w:p>
    <w:p w14:paraId="7F370E82">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 flipped classroom model has gained traction as an innovative instructional approach that shifts traditional teaching methods by assigning pre-class learning tasks and utilizing in-class time for active engagement. Despite its numerous benefits, such as increased student participation and deeper learning, challenges remain regarding student engagement with pre-class materials. This study aims to investigate the specific emotional and cognitive engagement challenges students encounter in the flipped classroom setting and explore strategies to enhance their engagement. Additionally, it examines how the flipped classroom model influences students' active learning and participation during in-class activities.</w:t>
      </w:r>
    </w:p>
    <w:p w14:paraId="3F64B6F6">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 xml:space="preserve">The flipped classroom is a pedagogical approach that reverses the traditional learning process. According to Bergmann and Sams (2012), students first engage with instructional content outside the classroom, typically through videos, readings, or interactive modules, and then apply their knowledge in class through problem-solving activities, discussions, and collaborative tasks. This approach fosters a student-centered learning environment where instructors serve as facilitators rather than direct knowledge providers (Abeysekera and Dawson, 2015). Engagement in the flipped classroom can be classified into three dimensions: cognitive, emotional, and </w:t>
      </w:r>
      <w:r>
        <w:rPr>
          <w:rFonts w:hint="default"/>
          <w:i w:val="0"/>
          <w:iCs w:val="0"/>
          <w:caps w:val="0"/>
          <w:color w:val="000000"/>
          <w:spacing w:val="0"/>
          <w:u w:val="none"/>
          <w:lang w:val="en-US"/>
        </w:rPr>
        <w:t>b</w:t>
      </w:r>
      <w:r>
        <w:rPr>
          <w:i w:val="0"/>
          <w:iCs w:val="0"/>
          <w:caps w:val="0"/>
          <w:color w:val="000000"/>
          <w:spacing w:val="0"/>
          <w:u w:val="none"/>
          <w:lang w:val="en-US"/>
        </w:rPr>
        <w:t>ehavioural</w:t>
      </w:r>
      <w:r>
        <w:rPr>
          <w:i w:val="0"/>
          <w:iCs w:val="0"/>
          <w:caps w:val="0"/>
          <w:color w:val="000000"/>
          <w:spacing w:val="0"/>
          <w:u w:val="none"/>
        </w:rPr>
        <w:t xml:space="preserve"> engagement (Fredricks, Blumenfeld, and Paris, 2004). Cognitive engagement refers to students' investment in learning, emotional engagement relates to their attitudes and feelings towards the material, and </w:t>
      </w:r>
      <w:r>
        <w:rPr>
          <w:rFonts w:hint="default"/>
          <w:i w:val="0"/>
          <w:iCs w:val="0"/>
          <w:caps w:val="0"/>
          <w:color w:val="000000"/>
          <w:spacing w:val="0"/>
          <w:u w:val="none"/>
          <w:lang w:val="en-US"/>
        </w:rPr>
        <w:t>b</w:t>
      </w:r>
      <w:r>
        <w:rPr>
          <w:i w:val="0"/>
          <w:iCs w:val="0"/>
          <w:caps w:val="0"/>
          <w:color w:val="000000"/>
          <w:spacing w:val="0"/>
          <w:u w:val="none"/>
          <w:lang w:val="en-US"/>
        </w:rPr>
        <w:t>ehavioural</w:t>
      </w:r>
      <w:r>
        <w:rPr>
          <w:i w:val="0"/>
          <w:iCs w:val="0"/>
          <w:caps w:val="0"/>
          <w:color w:val="000000"/>
          <w:spacing w:val="0"/>
          <w:u w:val="none"/>
        </w:rPr>
        <w:t xml:space="preserve"> engagement involves participation in activities (Zainuddin and Perera, 2019). While some studies suggest that flipped classrooms enhance student engagement (Kim et al., 2014), others highlight the difficulties students face in maintaining motivation and discipline when engaging with pre-class materials (Lo and Hew, 2017).</w:t>
      </w:r>
    </w:p>
    <w:p w14:paraId="781DC943">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Theoretical frameworks such as self-determination theory (Deci &amp; Ryan, 2000) and social constructivism (Vygotsky, 1978) offer valuable insights into student engagement in the flipped classroom. Self-determination theory suggests that students are more likely to be engaged when their needs for autonomy, competence, and relatedness are met. In flipped learning, autonomy is provided through flexible learning resources, but without appropriate support, students may struggle with self-regulation (Abeysekera &amp; Dawson, 2015). Social constructivism emphasizes the role of social interaction in learning, highlighting that collaborative in-class activities in the flipped model are essential for deep learning. However, as Lo and Hew (2017) caution, merely providing opportunities for collaboration does not guarantee meaningful engagement, especially if students do not engage with pre-class materials.</w:t>
      </w:r>
    </w:p>
    <w:p w14:paraId="48072AF8">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It is important to question the assumption that flipped classrooms inherently promote engagement. While Kim et al. (2014) emphasize increased motivation and active participation, Lo and Hew (2017) provide compelling evidence that without clear guidance and accountability structures, students may disengage. This raises the concern that the effectiveness of flipped learning depends largely on the quality of implementation rather than the model itself. Moreover, the reliance on digital pre-class materials could disadvantage students with limited access to technology, an issue that is often overlooked in the literature (Bishop and Verleger, 2013). If the flipped classroom is to be universally beneficial, instructors must design pre-class tasks that are accessible, engaging, and appropriately challenging for diverse learners.</w:t>
      </w:r>
    </w:p>
    <w:p w14:paraId="1D513E18">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Research indicates that students often struggle with the self-regulated learning required for pre-class preparation. Barriers include lack of motivation, time constraints, difficulties in understanding the material, and lack of accountability (Bishop and Verleger, 2013). Emotional factors such as anxiety, frustration, and boredom further hinder engagement, particularly when students perceive the content as challenging or irrelevant (Chen, Wang, and Chen, 2019). While Tomas et al. (2019) argue that flipped learning improves critical thinking and collaboration, these benefits are conditional upon students arriving in class prepared. This suggests that engagement with pre-class materials is a prerequisite for successful in-class participation. However, a critical gap in the literature is whether all students benefit equally from this approach. For instance, Van Alten et al. (2019) found that while high-achieving students excel in flipped settings, lower-performing students often struggle to keep up, leading to a widening achievement gap.</w:t>
      </w:r>
    </w:p>
    <w:p w14:paraId="506414D6">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While previous studies agree on the potential benefits of the flipped classroom, there are discrepancies in the literature regarding its effectiveness in fostering engagement. For instance, Kim et al. (2014) and Zainuddin and Perera (2019) argue that the model enhances student participation and motivation, yet Lo and Hew (2017) emphasize that without adequate scaffolding and accountability measures, engagement remains inconsistent. Furthermore, some scholars, such as Abeysekera and Dawson (2015), stress the role of intrinsic motivation, whereas others, including Bishop and Verleger (2013), highlight the importance of structured external motivation, such as quizzes or graded assignments, to ensure compliance with pre-class learning. This divergence raises the question: is motivation for pre-class learning better fostered through autonomy-supportive teaching strategies, or do students require extrinsic reinforcement to ensure participation? The contrast in findings suggests a need for further research into the specific mechanisms that drive engagement in different learning contexts.</w:t>
      </w:r>
    </w:p>
    <w:p w14:paraId="736B7CD4">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seeks to bridge these gaps by focusing specifically on emotional and cognitive engagement with pre-class materials. The key research questions are: What specific challenges do students encounter when engaging with pre-class materials in a flipped classroom setting, particularly in terms of emotional and cognitive engagement? How does the flipped classroom model improve students' active learning and participation during class time? What strategies can be implemented to enhance student engagement with pre-class learning activities? The primary objectives are to explore the challenges students face in staying engaged with pre-class learning activities, identify effective strategies for improving engagement, and examine the impact of the flipped classroom model on students' active learning and participation during in-class activities.</w:t>
      </w:r>
    </w:p>
    <w:p w14:paraId="229EB70E">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This study adopts a qualitative research design to gain in-depth insights into students’ experiences, perceptions, and challenges in the flipped classroom environment. A phenomenological approach will be used to explore students’ lived experiences with pre-class materials and in-class activities. The study will focus on undergraduate students enrolled in flipped classroom courses at a university. A purposive sampling technique will be used to select participants who have prior experience with flipped learning.</w:t>
      </w:r>
    </w:p>
    <w:p w14:paraId="6846F099">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Potential challenges in this study include technological barriers, cultural differences in learning approaches, and varying levels of digital literacy among students. To mitigate these issues, students will be provided with alternative learning resources, such as printed materials or in-person support sessions, ensuring equitable access. Additionally, cultural considerations will be addressed by incorporating diverse instructional strategies that accommodate different learning preferences.</w:t>
      </w:r>
    </w:p>
    <w:p w14:paraId="6A947F4D">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A sample size of 15-20 students is considered sufficient for this qualitative study, as recommended by Creswell (2013), who suggests that phenomenological research typically requires 5-25 participants to obtain meaningful insights. Similarly, Guest, Bunce, and Johnson (2006) argue that data saturation, where no new themes emerge, is often achieved within 12-20 interviews. This aligns with Mason (2010), who highlights that a smaller sample can still yield rich, in-depth qualitative data, as long as participants are carefully selected based on their experiences and relevance to the research topic.</w:t>
      </w:r>
    </w:p>
    <w:p w14:paraId="38697F2C">
      <w:pPr>
        <w:pStyle w:val="2"/>
        <w:keepNext w:val="0"/>
        <w:keepLines w:val="0"/>
        <w:widowControl/>
        <w:suppressLineNumbers w:val="0"/>
        <w:ind w:left="0" w:firstLine="0"/>
        <w:jc w:val="both"/>
        <w:rPr>
          <w:rFonts w:hint="eastAsia"/>
          <w:i w:val="0"/>
          <w:iCs w:val="0"/>
          <w:caps w:val="0"/>
          <w:color w:val="000000"/>
          <w:spacing w:val="0"/>
          <w:u w:val="none"/>
        </w:rPr>
      </w:pPr>
      <w:r>
        <w:rPr>
          <w:rFonts w:hint="eastAsia"/>
          <w:i w:val="0"/>
          <w:iCs w:val="0"/>
          <w:caps w:val="0"/>
          <w:color w:val="000000"/>
          <w:spacing w:val="0"/>
          <w:u w:val="none"/>
        </w:rPr>
        <w:t>To enhance the validity of the research findings, multiple data sources will be used to cross-verify emerging themes. Ethical approval will be obtained from the university’s ethics board. Beyond informed consent, additional ethical considerations will be taken to protect participants' privacy, particularly when discussing sensitive topics such as frustration with learning materials. Anonymized data storage and encryption will be implemented to safeguard participant information.</w:t>
      </w:r>
    </w:p>
    <w:p w14:paraId="60F3367D">
      <w:pPr>
        <w:pStyle w:val="2"/>
        <w:keepNext w:val="0"/>
        <w:keepLines w:val="0"/>
        <w:widowControl/>
        <w:suppressLineNumbers w:val="0"/>
        <w:ind w:left="0" w:firstLine="0"/>
        <w:jc w:val="both"/>
        <w:rPr>
          <w:i w:val="0"/>
          <w:iCs w:val="0"/>
          <w:caps w:val="0"/>
          <w:color w:val="000000"/>
          <w:spacing w:val="0"/>
          <w:u w:val="none"/>
        </w:rPr>
      </w:pPr>
      <w:r>
        <w:rPr>
          <w:i w:val="0"/>
          <w:iCs w:val="0"/>
          <w:caps w:val="0"/>
          <w:color w:val="000000"/>
          <w:spacing w:val="0"/>
          <w:u w:val="none"/>
        </w:rPr>
        <w:t>The flipped classroom model offers significant benefits, but its success depends on students’ engagement with pre-class materials. By identifying challenges and exploring strategies to enhance engagement, this research will contribute to improving student experiences and learning outcomes in flipped classroom settings. Future studies could expand on these findings by exploring the role of digital tools, adaptive learning technologies, and personalized support mechanisms in fostering engagement.</w:t>
      </w:r>
    </w:p>
    <w:p w14:paraId="440A0465">
      <w:pPr>
        <w:pStyle w:val="2"/>
        <w:keepNext w:val="0"/>
        <w:keepLines w:val="0"/>
        <w:widowControl/>
        <w:suppressLineNumbers w:val="0"/>
        <w:ind w:left="0" w:firstLine="0"/>
        <w:rPr>
          <w:i w:val="0"/>
          <w:iCs w:val="0"/>
          <w:caps w:val="0"/>
          <w:color w:val="000000"/>
          <w:spacing w:val="0"/>
          <w:u w:val="none"/>
        </w:rPr>
      </w:pPr>
      <w:r>
        <w:rPr>
          <w:rStyle w:val="5"/>
          <w:i w:val="0"/>
          <w:iCs w:val="0"/>
          <w:caps w:val="0"/>
          <w:color w:val="000000"/>
          <w:spacing w:val="0"/>
          <w:u w:val="none"/>
        </w:rPr>
        <w:t>References</w:t>
      </w:r>
    </w:p>
    <w:p w14:paraId="025EB66D">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Abeysekera, L. and Dawson, P. (2015) ‘Motivation and cognitive load in the flipped classroom: definition, rationale and a call for research’, </w:t>
      </w:r>
      <w:r>
        <w:rPr>
          <w:i/>
          <w:iCs/>
          <w:caps w:val="0"/>
          <w:color w:val="000000"/>
          <w:spacing w:val="0"/>
          <w:u w:val="none"/>
        </w:rPr>
        <w:t>Higher Education Research &amp; Development</w:t>
      </w:r>
      <w:r>
        <w:rPr>
          <w:i w:val="0"/>
          <w:iCs w:val="0"/>
          <w:caps w:val="0"/>
          <w:color w:val="000000"/>
          <w:spacing w:val="0"/>
          <w:u w:val="none"/>
        </w:rPr>
        <w:t>, 34(1), pp. 1-14.</w:t>
      </w:r>
    </w:p>
    <w:p w14:paraId="448E0451">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Bergmann, J. and Sams, A. (2012) </w:t>
      </w:r>
      <w:r>
        <w:rPr>
          <w:i/>
          <w:iCs/>
          <w:caps w:val="0"/>
          <w:color w:val="000000"/>
          <w:spacing w:val="0"/>
          <w:u w:val="none"/>
        </w:rPr>
        <w:t>Flip your classroom: Reach every student in every class every day</w:t>
      </w:r>
      <w:r>
        <w:rPr>
          <w:rFonts w:hint="default"/>
          <w:i/>
          <w:iCs/>
          <w:caps w:val="0"/>
          <w:color w:val="000000"/>
          <w:spacing w:val="0"/>
          <w:u w:val="none"/>
          <w:lang w:val="en-US"/>
        </w:rPr>
        <w:t xml:space="preserve">, </w:t>
      </w:r>
      <w:r>
        <w:rPr>
          <w:i w:val="0"/>
          <w:iCs w:val="0"/>
          <w:caps w:val="0"/>
          <w:color w:val="000000"/>
          <w:spacing w:val="0"/>
          <w:u w:val="none"/>
        </w:rPr>
        <w:t>Washington, DC: International Society for Technology in Education.</w:t>
      </w:r>
    </w:p>
    <w:p w14:paraId="01DED66C">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Bishop, J. L. and Verleger, M. A. (2013) ‘The flipped classroom: A survey of the research’</w:t>
      </w:r>
      <w:r>
        <w:rPr>
          <w:rFonts w:hint="default"/>
          <w:i w:val="0"/>
          <w:iCs w:val="0"/>
          <w:caps w:val="0"/>
          <w:color w:val="000000"/>
          <w:spacing w:val="0"/>
          <w:u w:val="none"/>
          <w:lang w:val="en-US"/>
        </w:rPr>
        <w:t>.</w:t>
      </w:r>
      <w:r>
        <w:rPr>
          <w:i w:val="0"/>
          <w:iCs w:val="0"/>
          <w:caps w:val="0"/>
          <w:color w:val="000000"/>
          <w:spacing w:val="0"/>
          <w:u w:val="none"/>
        </w:rPr>
        <w:t xml:space="preserve"> </w:t>
      </w:r>
      <w:r>
        <w:rPr>
          <w:i/>
          <w:iCs/>
          <w:caps w:val="0"/>
          <w:color w:val="000000"/>
          <w:spacing w:val="0"/>
          <w:u w:val="none"/>
        </w:rPr>
        <w:t>ASEE National Conference Proceedings</w:t>
      </w:r>
      <w:r>
        <w:rPr>
          <w:i w:val="0"/>
          <w:iCs w:val="0"/>
          <w:caps w:val="0"/>
          <w:color w:val="000000"/>
          <w:spacing w:val="0"/>
          <w:u w:val="none"/>
        </w:rPr>
        <w:t>. Atlanta, GA: American Society for Engineering Education.</w:t>
      </w:r>
    </w:p>
    <w:p w14:paraId="372E84D7">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Chen, Y., Wang, Y. and Chen, N. S. (2019) ‘Is FLIP enough? Or should we use the FLIPPED model instead?’, </w:t>
      </w:r>
      <w:r>
        <w:rPr>
          <w:i/>
          <w:iCs/>
          <w:caps w:val="0"/>
          <w:color w:val="000000"/>
          <w:spacing w:val="0"/>
          <w:u w:val="none"/>
        </w:rPr>
        <w:t>Computers &amp; Education</w:t>
      </w:r>
      <w:r>
        <w:rPr>
          <w:i w:val="0"/>
          <w:iCs w:val="0"/>
          <w:caps w:val="0"/>
          <w:color w:val="000000"/>
          <w:spacing w:val="0"/>
          <w:u w:val="none"/>
        </w:rPr>
        <w:t>, 140, p. 103-106.</w:t>
      </w:r>
    </w:p>
    <w:p w14:paraId="77FA101F">
      <w:pPr>
        <w:pStyle w:val="2"/>
        <w:keepNext w:val="0"/>
        <w:keepLines w:val="0"/>
        <w:widowControl/>
        <w:suppressLineNumbers w:val="0"/>
        <w:ind w:left="0" w:firstLine="0"/>
        <w:rPr>
          <w:rFonts w:hint="eastAsia"/>
          <w:i w:val="0"/>
          <w:iCs w:val="0"/>
          <w:caps w:val="0"/>
          <w:color w:val="auto"/>
          <w:spacing w:val="0"/>
          <w:u w:val="none"/>
        </w:rPr>
      </w:pPr>
      <w:r>
        <w:rPr>
          <w:rFonts w:hint="eastAsia"/>
          <w:i w:val="0"/>
          <w:iCs w:val="0"/>
          <w:caps w:val="0"/>
          <w:color w:val="auto"/>
          <w:spacing w:val="0"/>
          <w:u w:val="none"/>
        </w:rPr>
        <w:t xml:space="preserve">Creswell, J.W. </w:t>
      </w:r>
      <w:r>
        <w:rPr>
          <w:rFonts w:hint="default"/>
          <w:i w:val="0"/>
          <w:iCs w:val="0"/>
          <w:caps w:val="0"/>
          <w:color w:val="auto"/>
          <w:spacing w:val="0"/>
          <w:u w:val="none"/>
          <w:lang w:val="en-US"/>
        </w:rPr>
        <w:t>(</w:t>
      </w:r>
      <w:r>
        <w:rPr>
          <w:rFonts w:hint="eastAsia"/>
          <w:i w:val="0"/>
          <w:iCs w:val="0"/>
          <w:caps w:val="0"/>
          <w:color w:val="auto"/>
          <w:spacing w:val="0"/>
          <w:u w:val="none"/>
        </w:rPr>
        <w:t>2013</w:t>
      </w:r>
      <w:r>
        <w:rPr>
          <w:rFonts w:hint="default"/>
          <w:i w:val="0"/>
          <w:iCs w:val="0"/>
          <w:caps w:val="0"/>
          <w:color w:val="auto"/>
          <w:spacing w:val="0"/>
          <w:u w:val="none"/>
          <w:lang w:val="en-US"/>
        </w:rPr>
        <w:t>)</w:t>
      </w:r>
      <w:r>
        <w:rPr>
          <w:rFonts w:hint="eastAsia"/>
          <w:i w:val="0"/>
          <w:iCs w:val="0"/>
          <w:caps w:val="0"/>
          <w:color w:val="auto"/>
          <w:spacing w:val="0"/>
          <w:u w:val="none"/>
        </w:rPr>
        <w:t xml:space="preserve"> </w:t>
      </w:r>
      <w:r>
        <w:rPr>
          <w:rFonts w:hint="eastAsia"/>
          <w:i/>
          <w:iCs/>
          <w:caps w:val="0"/>
          <w:color w:val="auto"/>
          <w:spacing w:val="0"/>
          <w:u w:val="none"/>
        </w:rPr>
        <w:t>Qualitative inquiry and research design: Choosing among five approaches</w:t>
      </w:r>
      <w:r>
        <w:rPr>
          <w:rFonts w:hint="eastAsia"/>
          <w:i w:val="0"/>
          <w:iCs w:val="0"/>
          <w:caps w:val="0"/>
          <w:color w:val="auto"/>
          <w:spacing w:val="0"/>
          <w:u w:val="none"/>
        </w:rPr>
        <w:t>. Sage publications.</w:t>
      </w:r>
    </w:p>
    <w:p w14:paraId="64471B8E">
      <w:pPr>
        <w:pStyle w:val="2"/>
        <w:keepNext w:val="0"/>
        <w:keepLines w:val="0"/>
        <w:widowControl/>
        <w:suppressLineNumbers w:val="0"/>
        <w:ind w:left="0" w:firstLine="0"/>
        <w:rPr>
          <w:rFonts w:hint="eastAsia"/>
          <w:i w:val="0"/>
          <w:iCs w:val="0"/>
          <w:caps w:val="0"/>
          <w:color w:val="auto"/>
          <w:spacing w:val="0"/>
          <w:u w:val="none"/>
        </w:rPr>
      </w:pPr>
      <w:r>
        <w:rPr>
          <w:rFonts w:hint="eastAsia"/>
          <w:i w:val="0"/>
          <w:iCs w:val="0"/>
          <w:caps w:val="0"/>
          <w:color w:val="auto"/>
          <w:spacing w:val="0"/>
          <w:u w:val="none"/>
        </w:rPr>
        <w:t xml:space="preserve">Deci, E.L. and Ryan, R.M. </w:t>
      </w:r>
      <w:r>
        <w:rPr>
          <w:rFonts w:hint="default"/>
          <w:i w:val="0"/>
          <w:iCs w:val="0"/>
          <w:caps w:val="0"/>
          <w:color w:val="auto"/>
          <w:spacing w:val="0"/>
          <w:u w:val="none"/>
          <w:lang w:val="en-US"/>
        </w:rPr>
        <w:t>(</w:t>
      </w:r>
      <w:r>
        <w:rPr>
          <w:rFonts w:hint="eastAsia"/>
          <w:i w:val="0"/>
          <w:iCs w:val="0"/>
          <w:caps w:val="0"/>
          <w:color w:val="auto"/>
          <w:spacing w:val="0"/>
          <w:u w:val="none"/>
        </w:rPr>
        <w:t>2000</w:t>
      </w:r>
      <w:r>
        <w:rPr>
          <w:rFonts w:hint="default"/>
          <w:i w:val="0"/>
          <w:iCs w:val="0"/>
          <w:caps w:val="0"/>
          <w:color w:val="auto"/>
          <w:spacing w:val="0"/>
          <w:u w:val="none"/>
          <w:lang w:val="en-US"/>
        </w:rPr>
        <w:t>)</w:t>
      </w:r>
      <w:r>
        <w:rPr>
          <w:rFonts w:hint="eastAsia"/>
          <w:i w:val="0"/>
          <w:iCs w:val="0"/>
          <w:caps w:val="0"/>
          <w:color w:val="auto"/>
          <w:spacing w:val="0"/>
          <w:u w:val="none"/>
        </w:rPr>
        <w:t xml:space="preserve"> The" what" and" why" of goal pursuits: Human needs and the self-determination of behavior</w:t>
      </w:r>
      <w:r>
        <w:rPr>
          <w:rFonts w:hint="default"/>
          <w:i w:val="0"/>
          <w:iCs w:val="0"/>
          <w:caps w:val="0"/>
          <w:color w:val="auto"/>
          <w:spacing w:val="0"/>
          <w:u w:val="none"/>
          <w:lang w:val="en-US"/>
        </w:rPr>
        <w:t xml:space="preserve">, </w:t>
      </w:r>
      <w:r>
        <w:rPr>
          <w:rFonts w:hint="eastAsia"/>
          <w:i/>
          <w:iCs/>
          <w:caps w:val="0"/>
          <w:color w:val="auto"/>
          <w:spacing w:val="0"/>
          <w:u w:val="none"/>
        </w:rPr>
        <w:t xml:space="preserve">Psychological </w:t>
      </w:r>
      <w:r>
        <w:rPr>
          <w:rFonts w:hint="default"/>
          <w:i/>
          <w:iCs/>
          <w:caps w:val="0"/>
          <w:color w:val="auto"/>
          <w:spacing w:val="0"/>
          <w:u w:val="none"/>
          <w:lang w:val="en-US"/>
        </w:rPr>
        <w:t>I</w:t>
      </w:r>
      <w:r>
        <w:rPr>
          <w:rFonts w:hint="eastAsia"/>
          <w:i/>
          <w:iCs/>
          <w:caps w:val="0"/>
          <w:color w:val="auto"/>
          <w:spacing w:val="0"/>
          <w:u w:val="none"/>
        </w:rPr>
        <w:t>nquiry</w:t>
      </w:r>
      <w:r>
        <w:rPr>
          <w:rFonts w:hint="eastAsia"/>
          <w:i w:val="0"/>
          <w:iCs w:val="0"/>
          <w:caps w:val="0"/>
          <w:color w:val="auto"/>
          <w:spacing w:val="0"/>
          <w:u w:val="none"/>
        </w:rPr>
        <w:t>, 11(4), pp.227-268.</w:t>
      </w:r>
    </w:p>
    <w:p w14:paraId="55B5D35C">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Fredricks, J. A., Blumenfeld, P. C. and Paris, A. H. (2004) ‘School engagement: Potential of the concept, state of the evidence’, </w:t>
      </w:r>
      <w:r>
        <w:rPr>
          <w:i/>
          <w:iCs/>
          <w:caps w:val="0"/>
          <w:color w:val="000000"/>
          <w:spacing w:val="0"/>
          <w:u w:val="none"/>
        </w:rPr>
        <w:t>Review of Educational Research</w:t>
      </w:r>
      <w:r>
        <w:rPr>
          <w:i w:val="0"/>
          <w:iCs w:val="0"/>
          <w:caps w:val="0"/>
          <w:color w:val="000000"/>
          <w:spacing w:val="0"/>
          <w:u w:val="none"/>
        </w:rPr>
        <w:t>, 74(1), pp. 59-109.</w:t>
      </w:r>
    </w:p>
    <w:p w14:paraId="1F6A4059">
      <w:pPr>
        <w:pStyle w:val="2"/>
        <w:keepNext w:val="0"/>
        <w:keepLines w:val="0"/>
        <w:widowControl/>
        <w:suppressLineNumbers w:val="0"/>
        <w:ind w:left="0" w:firstLine="0"/>
        <w:rPr>
          <w:i w:val="0"/>
          <w:iCs w:val="0"/>
          <w:caps w:val="0"/>
          <w:color w:val="auto"/>
          <w:spacing w:val="0"/>
          <w:u w:val="none"/>
        </w:rPr>
      </w:pPr>
      <w:r>
        <w:rPr>
          <w:rFonts w:hint="eastAsia"/>
          <w:i w:val="0"/>
          <w:iCs w:val="0"/>
          <w:caps w:val="0"/>
          <w:color w:val="auto"/>
          <w:spacing w:val="0"/>
          <w:u w:val="none"/>
        </w:rPr>
        <w:t xml:space="preserve">Guest, G., Bunce, A. and Johnson, L. </w:t>
      </w:r>
      <w:r>
        <w:rPr>
          <w:rFonts w:hint="default"/>
          <w:i w:val="0"/>
          <w:iCs w:val="0"/>
          <w:caps w:val="0"/>
          <w:color w:val="auto"/>
          <w:spacing w:val="0"/>
          <w:u w:val="none"/>
          <w:lang w:val="en-US"/>
        </w:rPr>
        <w:t>(</w:t>
      </w:r>
      <w:r>
        <w:rPr>
          <w:rFonts w:hint="eastAsia"/>
          <w:i w:val="0"/>
          <w:iCs w:val="0"/>
          <w:caps w:val="0"/>
          <w:color w:val="auto"/>
          <w:spacing w:val="0"/>
          <w:u w:val="none"/>
        </w:rPr>
        <w:t>2006</w:t>
      </w:r>
      <w:r>
        <w:rPr>
          <w:rFonts w:hint="default"/>
          <w:i w:val="0"/>
          <w:iCs w:val="0"/>
          <w:caps w:val="0"/>
          <w:color w:val="auto"/>
          <w:spacing w:val="0"/>
          <w:u w:val="none"/>
          <w:lang w:val="en-US"/>
        </w:rPr>
        <w:t>)</w:t>
      </w:r>
      <w:r>
        <w:rPr>
          <w:rFonts w:hint="eastAsia"/>
          <w:i w:val="0"/>
          <w:iCs w:val="0"/>
          <w:caps w:val="0"/>
          <w:color w:val="auto"/>
          <w:spacing w:val="0"/>
          <w:u w:val="none"/>
        </w:rPr>
        <w:t xml:space="preserve"> </w:t>
      </w:r>
      <w:r>
        <w:rPr>
          <w:i w:val="0"/>
          <w:iCs w:val="0"/>
          <w:caps w:val="0"/>
          <w:color w:val="auto"/>
          <w:spacing w:val="0"/>
          <w:u w:val="none"/>
        </w:rPr>
        <w:t>‘</w:t>
      </w:r>
      <w:r>
        <w:rPr>
          <w:rFonts w:hint="eastAsia"/>
          <w:i w:val="0"/>
          <w:iCs w:val="0"/>
          <w:caps w:val="0"/>
          <w:color w:val="auto"/>
          <w:spacing w:val="0"/>
          <w:u w:val="none"/>
        </w:rPr>
        <w:t>How many interviews are enough?: An experiment with data saturation and variability</w:t>
      </w:r>
      <w:r>
        <w:rPr>
          <w:i w:val="0"/>
          <w:iCs w:val="0"/>
          <w:caps w:val="0"/>
          <w:color w:val="auto"/>
          <w:spacing w:val="0"/>
          <w:u w:val="none"/>
        </w:rPr>
        <w:t>’</w:t>
      </w:r>
      <w:r>
        <w:rPr>
          <w:rFonts w:hint="default"/>
          <w:i w:val="0"/>
          <w:iCs w:val="0"/>
          <w:caps w:val="0"/>
          <w:color w:val="auto"/>
          <w:spacing w:val="0"/>
          <w:u w:val="none"/>
          <w:lang w:val="en-US"/>
        </w:rPr>
        <w:t xml:space="preserve">, </w:t>
      </w:r>
      <w:r>
        <w:rPr>
          <w:rFonts w:hint="eastAsia"/>
          <w:i/>
          <w:iCs/>
          <w:caps w:val="0"/>
          <w:color w:val="auto"/>
          <w:spacing w:val="0"/>
          <w:u w:val="none"/>
        </w:rPr>
        <w:t xml:space="preserve">Field </w:t>
      </w:r>
      <w:r>
        <w:rPr>
          <w:rFonts w:hint="default"/>
          <w:i/>
          <w:iCs/>
          <w:caps w:val="0"/>
          <w:color w:val="auto"/>
          <w:spacing w:val="0"/>
          <w:u w:val="none"/>
          <w:lang w:val="en-US"/>
        </w:rPr>
        <w:t>M</w:t>
      </w:r>
      <w:r>
        <w:rPr>
          <w:rFonts w:hint="eastAsia"/>
          <w:i/>
          <w:iCs/>
          <w:caps w:val="0"/>
          <w:color w:val="auto"/>
          <w:spacing w:val="0"/>
          <w:u w:val="none"/>
        </w:rPr>
        <w:t>ethods</w:t>
      </w:r>
      <w:r>
        <w:rPr>
          <w:rFonts w:hint="eastAsia"/>
          <w:i w:val="0"/>
          <w:iCs w:val="0"/>
          <w:caps w:val="0"/>
          <w:color w:val="auto"/>
          <w:spacing w:val="0"/>
          <w:u w:val="none"/>
        </w:rPr>
        <w:t>, 18(1), pp.59-82.</w:t>
      </w:r>
    </w:p>
    <w:p w14:paraId="5A59D5CC">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Kim, M. K., Kim, S. M., Khera, O. and Getman, J. (2014) ‘The experience of three flipped classrooms in an urban university: an exploration of design principles’, </w:t>
      </w:r>
      <w:r>
        <w:rPr>
          <w:i/>
          <w:iCs/>
          <w:caps w:val="0"/>
          <w:color w:val="000000"/>
          <w:spacing w:val="0"/>
          <w:u w:val="none"/>
        </w:rPr>
        <w:t>The Internet and Higher Education</w:t>
      </w:r>
      <w:r>
        <w:rPr>
          <w:i w:val="0"/>
          <w:iCs w:val="0"/>
          <w:caps w:val="0"/>
          <w:color w:val="000000"/>
          <w:spacing w:val="0"/>
          <w:u w:val="none"/>
        </w:rPr>
        <w:t>, 22, pp. 37-50.</w:t>
      </w:r>
    </w:p>
    <w:p w14:paraId="3DD15BBD">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 xml:space="preserve">Lo, C. K. and Hew, K. F. (2017) ‘A critical review of flipped classroom challenges in K-12 education: Possible solutions and recommendations for future research’, </w:t>
      </w:r>
      <w:r>
        <w:rPr>
          <w:i/>
          <w:iCs/>
          <w:caps w:val="0"/>
          <w:color w:val="000000"/>
          <w:spacing w:val="0"/>
          <w:u w:val="none"/>
        </w:rPr>
        <w:t>Research and Practice in Technology Enhanced Learning</w:t>
      </w:r>
      <w:r>
        <w:rPr>
          <w:i w:val="0"/>
          <w:iCs w:val="0"/>
          <w:caps w:val="0"/>
          <w:color w:val="000000"/>
          <w:spacing w:val="0"/>
          <w:u w:val="none"/>
        </w:rPr>
        <w:t>, 12(1), pp. 1-22.</w:t>
      </w:r>
    </w:p>
    <w:p w14:paraId="010EEEFD">
      <w:pPr>
        <w:pStyle w:val="2"/>
        <w:keepNext w:val="0"/>
        <w:keepLines w:val="0"/>
        <w:widowControl/>
        <w:suppressLineNumbers w:val="0"/>
        <w:ind w:left="0" w:firstLine="0"/>
        <w:rPr>
          <w:i w:val="0"/>
          <w:iCs w:val="0"/>
          <w:caps w:val="0"/>
          <w:color w:val="auto"/>
          <w:spacing w:val="0"/>
          <w:u w:val="none"/>
        </w:rPr>
      </w:pPr>
      <w:r>
        <w:rPr>
          <w:rFonts w:hint="eastAsia"/>
          <w:i w:val="0"/>
          <w:iCs w:val="0"/>
          <w:caps w:val="0"/>
          <w:color w:val="auto"/>
          <w:spacing w:val="0"/>
          <w:u w:val="none"/>
        </w:rPr>
        <w:t xml:space="preserve">Mason, M. </w:t>
      </w:r>
      <w:r>
        <w:rPr>
          <w:rFonts w:hint="default"/>
          <w:i w:val="0"/>
          <w:iCs w:val="0"/>
          <w:caps w:val="0"/>
          <w:color w:val="auto"/>
          <w:spacing w:val="0"/>
          <w:u w:val="none"/>
          <w:lang w:val="en-US"/>
        </w:rPr>
        <w:t>(</w:t>
      </w:r>
      <w:r>
        <w:rPr>
          <w:rFonts w:hint="eastAsia"/>
          <w:i w:val="0"/>
          <w:iCs w:val="0"/>
          <w:caps w:val="0"/>
          <w:color w:val="auto"/>
          <w:spacing w:val="0"/>
          <w:u w:val="none"/>
        </w:rPr>
        <w:t>2010</w:t>
      </w:r>
      <w:r>
        <w:rPr>
          <w:rFonts w:hint="default"/>
          <w:i w:val="0"/>
          <w:iCs w:val="0"/>
          <w:caps w:val="0"/>
          <w:color w:val="auto"/>
          <w:spacing w:val="0"/>
          <w:u w:val="none"/>
          <w:lang w:val="en-US"/>
        </w:rPr>
        <w:t>)</w:t>
      </w:r>
      <w:r>
        <w:rPr>
          <w:rFonts w:hint="eastAsia"/>
          <w:i w:val="0"/>
          <w:iCs w:val="0"/>
          <w:caps w:val="0"/>
          <w:color w:val="auto"/>
          <w:spacing w:val="0"/>
          <w:u w:val="none"/>
        </w:rPr>
        <w:t xml:space="preserve"> </w:t>
      </w:r>
      <w:r>
        <w:rPr>
          <w:i w:val="0"/>
          <w:iCs w:val="0"/>
          <w:caps w:val="0"/>
          <w:color w:val="auto"/>
          <w:spacing w:val="0"/>
          <w:u w:val="none"/>
        </w:rPr>
        <w:t>‘</w:t>
      </w:r>
      <w:r>
        <w:rPr>
          <w:rFonts w:hint="eastAsia"/>
          <w:i w:val="0"/>
          <w:iCs w:val="0"/>
          <w:caps w:val="0"/>
          <w:color w:val="auto"/>
          <w:spacing w:val="0"/>
          <w:u w:val="none"/>
        </w:rPr>
        <w:t>Sample size and saturation in PhD studies using qualitative case study design</w:t>
      </w:r>
      <w:r>
        <w:rPr>
          <w:i w:val="0"/>
          <w:iCs w:val="0"/>
          <w:caps w:val="0"/>
          <w:color w:val="auto"/>
          <w:spacing w:val="0"/>
          <w:u w:val="none"/>
        </w:rPr>
        <w:t>’</w:t>
      </w:r>
      <w:r>
        <w:rPr>
          <w:rFonts w:hint="default"/>
          <w:i w:val="0"/>
          <w:iCs w:val="0"/>
          <w:caps w:val="0"/>
          <w:color w:val="auto"/>
          <w:spacing w:val="0"/>
          <w:u w:val="none"/>
          <w:lang w:val="en-US"/>
        </w:rPr>
        <w:t>,</w:t>
      </w:r>
      <w:r>
        <w:rPr>
          <w:rFonts w:hint="eastAsia"/>
          <w:i w:val="0"/>
          <w:iCs w:val="0"/>
          <w:caps w:val="0"/>
          <w:color w:val="auto"/>
          <w:spacing w:val="0"/>
          <w:u w:val="none"/>
        </w:rPr>
        <w:t xml:space="preserve"> </w:t>
      </w:r>
      <w:r>
        <w:rPr>
          <w:rFonts w:hint="eastAsia"/>
          <w:i/>
          <w:iCs/>
          <w:caps w:val="0"/>
          <w:color w:val="auto"/>
          <w:spacing w:val="0"/>
          <w:u w:val="none"/>
        </w:rPr>
        <w:t>Forum Qualitative Sozialforschung/Forum: Qualitative Social Research</w:t>
      </w:r>
      <w:r>
        <w:rPr>
          <w:rFonts w:hint="eastAsia"/>
          <w:i w:val="0"/>
          <w:iCs w:val="0"/>
          <w:caps w:val="0"/>
          <w:color w:val="auto"/>
          <w:spacing w:val="0"/>
          <w:u w:val="none"/>
        </w:rPr>
        <w:t xml:space="preserve">, 11(3), </w:t>
      </w:r>
      <w:r>
        <w:rPr>
          <w:rFonts w:hint="default"/>
          <w:i w:val="0"/>
          <w:iCs w:val="0"/>
          <w:caps w:val="0"/>
          <w:color w:val="auto"/>
          <w:spacing w:val="0"/>
          <w:u w:val="none"/>
          <w:lang w:val="en-US"/>
        </w:rPr>
        <w:t>p</w:t>
      </w:r>
      <w:r>
        <w:rPr>
          <w:rFonts w:hint="eastAsia"/>
          <w:i w:val="0"/>
          <w:iCs w:val="0"/>
          <w:caps w:val="0"/>
          <w:color w:val="auto"/>
          <w:spacing w:val="0"/>
          <w:u w:val="none"/>
        </w:rPr>
        <w:t>. 8.</w:t>
      </w:r>
    </w:p>
    <w:p w14:paraId="5B0C6D6C">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Tomas, L., Evans, N., Doyle, T. and Skamp, K. (2019) ‘Are first year students ready for a flipped classroom? A case for a flipped learning approach’, International Journal of Educational Technology in Higher Education, 16(1), p. 5.</w:t>
      </w:r>
    </w:p>
    <w:p w14:paraId="1A62191C">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Van Alten, D. C. D., Phielix, C., Janssen, J. and Kester, L. (2019) ‘Effects of flipping the classroom on learning outcomes and satisfaction: A meta-analysis’, Educational Research Review, 28, p. 100281.</w:t>
      </w:r>
    </w:p>
    <w:p w14:paraId="257FD590">
      <w:pPr>
        <w:pStyle w:val="2"/>
        <w:keepNext w:val="0"/>
        <w:keepLines w:val="0"/>
        <w:widowControl/>
        <w:suppressLineNumbers w:val="0"/>
        <w:ind w:left="0" w:firstLine="0"/>
        <w:rPr>
          <w:i w:val="0"/>
          <w:iCs w:val="0"/>
          <w:caps w:val="0"/>
          <w:color w:val="auto"/>
          <w:spacing w:val="0"/>
          <w:u w:val="none"/>
        </w:rPr>
      </w:pPr>
      <w:r>
        <w:rPr>
          <w:rFonts w:hint="eastAsia"/>
          <w:i w:val="0"/>
          <w:iCs w:val="0"/>
          <w:caps w:val="0"/>
          <w:color w:val="auto"/>
          <w:spacing w:val="0"/>
          <w:u w:val="none"/>
        </w:rPr>
        <w:t xml:space="preserve">Vygotsky, L.S. </w:t>
      </w:r>
      <w:r>
        <w:rPr>
          <w:rFonts w:hint="default"/>
          <w:i w:val="0"/>
          <w:iCs w:val="0"/>
          <w:caps w:val="0"/>
          <w:color w:val="auto"/>
          <w:spacing w:val="0"/>
          <w:u w:val="none"/>
          <w:lang w:val="en-US"/>
        </w:rPr>
        <w:t>(</w:t>
      </w:r>
      <w:r>
        <w:rPr>
          <w:rFonts w:hint="eastAsia"/>
          <w:i w:val="0"/>
          <w:iCs w:val="0"/>
          <w:caps w:val="0"/>
          <w:color w:val="auto"/>
          <w:spacing w:val="0"/>
          <w:u w:val="none"/>
        </w:rPr>
        <w:t>1978</w:t>
      </w:r>
      <w:r>
        <w:rPr>
          <w:rFonts w:hint="default"/>
          <w:i w:val="0"/>
          <w:iCs w:val="0"/>
          <w:caps w:val="0"/>
          <w:color w:val="auto"/>
          <w:spacing w:val="0"/>
          <w:u w:val="none"/>
          <w:lang w:val="en-US"/>
        </w:rPr>
        <w:t>)</w:t>
      </w:r>
      <w:r>
        <w:rPr>
          <w:rFonts w:hint="eastAsia"/>
          <w:i w:val="0"/>
          <w:iCs w:val="0"/>
          <w:caps w:val="0"/>
          <w:color w:val="auto"/>
          <w:spacing w:val="0"/>
          <w:u w:val="none"/>
        </w:rPr>
        <w:t xml:space="preserve"> </w:t>
      </w:r>
      <w:r>
        <w:rPr>
          <w:rFonts w:hint="eastAsia"/>
          <w:i/>
          <w:iCs/>
          <w:caps w:val="0"/>
          <w:color w:val="auto"/>
          <w:spacing w:val="0"/>
          <w:u w:val="none"/>
        </w:rPr>
        <w:t>Mind in society: The development of higher psychological processes</w:t>
      </w:r>
      <w:r>
        <w:rPr>
          <w:rFonts w:hint="eastAsia"/>
          <w:i w:val="0"/>
          <w:iCs w:val="0"/>
          <w:caps w:val="0"/>
          <w:color w:val="auto"/>
          <w:spacing w:val="0"/>
          <w:u w:val="none"/>
        </w:rPr>
        <w:t xml:space="preserve">. Harvard </w:t>
      </w:r>
      <w:r>
        <w:rPr>
          <w:rFonts w:hint="default"/>
          <w:i w:val="0"/>
          <w:iCs w:val="0"/>
          <w:caps w:val="0"/>
          <w:color w:val="auto"/>
          <w:spacing w:val="0"/>
          <w:u w:val="none"/>
          <w:lang w:val="en-US"/>
        </w:rPr>
        <w:t>U</w:t>
      </w:r>
      <w:r>
        <w:rPr>
          <w:rFonts w:hint="eastAsia"/>
          <w:i w:val="0"/>
          <w:iCs w:val="0"/>
          <w:caps w:val="0"/>
          <w:color w:val="auto"/>
          <w:spacing w:val="0"/>
          <w:u w:val="none"/>
        </w:rPr>
        <w:t xml:space="preserve">niversity </w:t>
      </w:r>
      <w:r>
        <w:rPr>
          <w:rFonts w:hint="default"/>
          <w:i w:val="0"/>
          <w:iCs w:val="0"/>
          <w:caps w:val="0"/>
          <w:color w:val="auto"/>
          <w:spacing w:val="0"/>
          <w:u w:val="none"/>
          <w:lang w:val="en-US"/>
        </w:rPr>
        <w:t>P</w:t>
      </w:r>
      <w:r>
        <w:rPr>
          <w:rFonts w:hint="eastAsia"/>
          <w:i w:val="0"/>
          <w:iCs w:val="0"/>
          <w:caps w:val="0"/>
          <w:color w:val="auto"/>
          <w:spacing w:val="0"/>
          <w:u w:val="none"/>
        </w:rPr>
        <w:t>ress.</w:t>
      </w:r>
    </w:p>
    <w:p w14:paraId="26D95A10">
      <w:pPr>
        <w:pStyle w:val="2"/>
        <w:keepNext w:val="0"/>
        <w:keepLines w:val="0"/>
        <w:widowControl/>
        <w:suppressLineNumbers w:val="0"/>
        <w:ind w:left="0" w:firstLine="0"/>
        <w:rPr>
          <w:color w:val="0000FF"/>
        </w:rPr>
      </w:pPr>
      <w:r>
        <w:rPr>
          <w:i w:val="0"/>
          <w:iCs w:val="0"/>
          <w:caps w:val="0"/>
          <w:color w:val="000000"/>
          <w:spacing w:val="0"/>
          <w:u w:val="none"/>
        </w:rPr>
        <w:t xml:space="preserve">Zainuddin, Z. and Perera, C. J. (2019) ‘Exploring students’ competence, autonomy and relatedness in the flipped classroom pedagogical model’, </w:t>
      </w:r>
      <w:r>
        <w:rPr>
          <w:i/>
          <w:iCs/>
          <w:caps w:val="0"/>
          <w:color w:val="000000"/>
          <w:spacing w:val="0"/>
          <w:u w:val="none"/>
        </w:rPr>
        <w:t>Journal of Further and Higher Education</w:t>
      </w:r>
      <w:r>
        <w:rPr>
          <w:i w:val="0"/>
          <w:iCs w:val="0"/>
          <w:caps w:val="0"/>
          <w:color w:val="000000"/>
          <w:spacing w:val="0"/>
          <w:u w:val="none"/>
        </w:rPr>
        <w:t>, 43(1), pp. 115-126.</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DB3E42E"/>
    <w:rsid w:val="35AD3EDD"/>
    <w:rsid w:val="3EF1DFE1"/>
    <w:rsid w:val="3F47A0F8"/>
    <w:rsid w:val="3FEFCF37"/>
    <w:rsid w:val="4EAF4EBC"/>
    <w:rsid w:val="5DFAF4B2"/>
    <w:rsid w:val="5F99DC68"/>
    <w:rsid w:val="5FFD8692"/>
    <w:rsid w:val="6BEB9350"/>
    <w:rsid w:val="6FFFCF94"/>
    <w:rsid w:val="72F9B4E0"/>
    <w:rsid w:val="73B3DD59"/>
    <w:rsid w:val="79BF61CF"/>
    <w:rsid w:val="7EE94298"/>
    <w:rsid w:val="7EFFD67C"/>
    <w:rsid w:val="8FFF6845"/>
    <w:rsid w:val="A7CFC367"/>
    <w:rsid w:val="B83B38F9"/>
    <w:rsid w:val="BBB968F1"/>
    <w:rsid w:val="BBFCA6F3"/>
    <w:rsid w:val="CFCE5461"/>
    <w:rsid w:val="D57F8D4D"/>
    <w:rsid w:val="DBAA7659"/>
    <w:rsid w:val="DFEB51CE"/>
    <w:rsid w:val="DFF5341D"/>
    <w:rsid w:val="EDF3D61B"/>
    <w:rsid w:val="F2CF65BB"/>
    <w:rsid w:val="F5EF47FE"/>
    <w:rsid w:val="F7B72EBE"/>
    <w:rsid w:val="F7FF1255"/>
    <w:rsid w:val="F94A2F9D"/>
    <w:rsid w:val="FAD92959"/>
    <w:rsid w:val="FDB3E42E"/>
    <w:rsid w:val="FFBF26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pPr>
      <w:spacing w:before="0" w:beforeAutospacing="1" w:after="0" w:afterAutospacing="1"/>
      <w:ind w:left="0" w:right="0"/>
      <w:jc w:val="left"/>
    </w:pPr>
    <w:rPr>
      <w:kern w:val="0"/>
      <w:sz w:val="24"/>
      <w:lang w:val="en-US" w:eastAsia="zh-CN" w:bidi="ar"/>
    </w:rPr>
  </w:style>
  <w:style w:type="character" w:styleId="5">
    <w:name w:val="Strong"/>
    <w:basedOn w:val="4"/>
    <w:qFormat/>
    <w:uiPriority w:val="0"/>
    <w:rPr>
      <w:b/>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5</Pages>
  <Words>0</Words>
  <Characters>0</Characters>
  <Lines>0</Lines>
  <Paragraphs>0</Paragraphs>
  <TotalTime>0</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2025-02-18T18:00:00Z</dcterms:created>
  <dc:creator>oops</dc:creator>
  <cp:lastModifiedBy>oops</cp:lastModifiedBy>
  <dcterms:modified xsi:type="dcterms:W3CDTF">2025-02-18T22:48:30Z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F645455581759814B2AEB46700C438FA_41</vt:lpwstr>
  </property>
</Properties>
</file>