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30B626" w14:textId="77777777" w:rsidR="00E215A7" w:rsidRDefault="00582EFB" w:rsidP="00E81A3F">
      <w:pPr>
        <w:spacing w:line="360" w:lineRule="auto"/>
        <w:rPr>
          <w:b/>
          <w:bCs/>
          <w:sz w:val="32"/>
          <w:szCs w:val="32"/>
        </w:rPr>
      </w:pPr>
      <w:r>
        <w:rPr>
          <w:b/>
          <w:bCs/>
          <w:noProof/>
          <w:sz w:val="32"/>
          <w:szCs w:val="32"/>
        </w:rPr>
        <w:drawing>
          <wp:inline distT="0" distB="0" distL="0" distR="0" wp14:anchorId="434B5C68" wp14:editId="331B4B83">
            <wp:extent cx="4713605" cy="2011680"/>
            <wp:effectExtent l="0" t="0" r="0" b="7620"/>
            <wp:docPr id="3224007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10596" cy="2053074"/>
                    </a:xfrm>
                    <a:prstGeom prst="rect">
                      <a:avLst/>
                    </a:prstGeom>
                    <a:noFill/>
                  </pic:spPr>
                </pic:pic>
              </a:graphicData>
            </a:graphic>
          </wp:inline>
        </w:drawing>
      </w:r>
    </w:p>
    <w:p w14:paraId="4429934C" w14:textId="0245ADFF" w:rsidR="00582EFB" w:rsidRDefault="00582EFB" w:rsidP="00E81A3F">
      <w:pPr>
        <w:spacing w:line="360" w:lineRule="auto"/>
        <w:rPr>
          <w:b/>
          <w:bCs/>
          <w:sz w:val="32"/>
          <w:szCs w:val="32"/>
        </w:rPr>
      </w:pPr>
      <w:r>
        <w:rPr>
          <w:b/>
          <w:bCs/>
          <w:sz w:val="32"/>
          <w:szCs w:val="32"/>
        </w:rPr>
        <w:t>Student Name: Neboh Celsius</w:t>
      </w:r>
    </w:p>
    <w:p w14:paraId="444612F5" w14:textId="53A088E7" w:rsidR="00582EFB" w:rsidRDefault="00582EFB" w:rsidP="00E81A3F">
      <w:pPr>
        <w:spacing w:line="360" w:lineRule="auto"/>
        <w:rPr>
          <w:b/>
          <w:bCs/>
          <w:sz w:val="32"/>
          <w:szCs w:val="32"/>
        </w:rPr>
      </w:pPr>
      <w:r>
        <w:rPr>
          <w:b/>
          <w:bCs/>
          <w:sz w:val="32"/>
          <w:szCs w:val="32"/>
        </w:rPr>
        <w:t>Student Number: 2434221</w:t>
      </w:r>
    </w:p>
    <w:p w14:paraId="541D9FBA" w14:textId="0A3D5704" w:rsidR="003A1339" w:rsidRDefault="003A1339" w:rsidP="00E81A3F">
      <w:pPr>
        <w:spacing w:line="360" w:lineRule="auto"/>
        <w:rPr>
          <w:b/>
          <w:bCs/>
          <w:sz w:val="32"/>
          <w:szCs w:val="32"/>
        </w:rPr>
      </w:pPr>
      <w:r>
        <w:rPr>
          <w:b/>
          <w:bCs/>
          <w:sz w:val="32"/>
          <w:szCs w:val="32"/>
        </w:rPr>
        <w:t>Module</w:t>
      </w:r>
      <w:r w:rsidR="00FC6EC4">
        <w:rPr>
          <w:b/>
          <w:bCs/>
          <w:sz w:val="32"/>
          <w:szCs w:val="32"/>
        </w:rPr>
        <w:t xml:space="preserve">: Introduction to </w:t>
      </w:r>
      <w:r w:rsidR="00A004E5">
        <w:rPr>
          <w:b/>
          <w:bCs/>
          <w:sz w:val="32"/>
          <w:szCs w:val="32"/>
        </w:rPr>
        <w:t>Physiology</w:t>
      </w:r>
    </w:p>
    <w:p w14:paraId="2C6DE82F" w14:textId="59F442A3" w:rsidR="00582EFB" w:rsidRDefault="00582EFB" w:rsidP="00E81A3F">
      <w:pPr>
        <w:spacing w:line="360" w:lineRule="auto"/>
        <w:rPr>
          <w:b/>
          <w:bCs/>
          <w:sz w:val="32"/>
          <w:szCs w:val="32"/>
        </w:rPr>
      </w:pPr>
      <w:r>
        <w:rPr>
          <w:b/>
          <w:bCs/>
          <w:sz w:val="32"/>
          <w:szCs w:val="32"/>
        </w:rPr>
        <w:t>Module Code: BMHP5023</w:t>
      </w:r>
    </w:p>
    <w:p w14:paraId="43A5A101" w14:textId="4AD7E76F" w:rsidR="00582EFB" w:rsidRDefault="00582EFB" w:rsidP="00E81A3F">
      <w:pPr>
        <w:spacing w:line="360" w:lineRule="auto"/>
        <w:rPr>
          <w:b/>
          <w:bCs/>
          <w:sz w:val="32"/>
          <w:szCs w:val="32"/>
        </w:rPr>
      </w:pPr>
      <w:r>
        <w:rPr>
          <w:b/>
          <w:bCs/>
          <w:sz w:val="32"/>
          <w:szCs w:val="32"/>
        </w:rPr>
        <w:t>Assignment title: ‘Case Study Report-Ty</w:t>
      </w:r>
      <w:r w:rsidR="001F5FC6">
        <w:rPr>
          <w:b/>
          <w:bCs/>
          <w:sz w:val="32"/>
          <w:szCs w:val="32"/>
        </w:rPr>
        <w:t>pe 2 Diabetes’</w:t>
      </w:r>
    </w:p>
    <w:p w14:paraId="58E1552D" w14:textId="115F7BFE" w:rsidR="001F5FC6" w:rsidRDefault="001F5FC6" w:rsidP="00E81A3F">
      <w:pPr>
        <w:spacing w:line="360" w:lineRule="auto"/>
        <w:rPr>
          <w:b/>
          <w:bCs/>
          <w:sz w:val="32"/>
          <w:szCs w:val="32"/>
        </w:rPr>
      </w:pPr>
      <w:r>
        <w:rPr>
          <w:b/>
          <w:bCs/>
          <w:sz w:val="32"/>
          <w:szCs w:val="32"/>
        </w:rPr>
        <w:t xml:space="preserve">Lecturer: Robert </w:t>
      </w:r>
      <w:r w:rsidR="004B2E42">
        <w:rPr>
          <w:b/>
          <w:bCs/>
          <w:sz w:val="32"/>
          <w:szCs w:val="32"/>
        </w:rPr>
        <w:t>Nartowski</w:t>
      </w:r>
    </w:p>
    <w:p w14:paraId="48F2667D" w14:textId="076B3C35" w:rsidR="003B3807" w:rsidRDefault="004B2E42" w:rsidP="00E81A3F">
      <w:pPr>
        <w:spacing w:line="360" w:lineRule="auto"/>
        <w:rPr>
          <w:b/>
          <w:bCs/>
          <w:sz w:val="32"/>
          <w:szCs w:val="32"/>
        </w:rPr>
      </w:pPr>
      <w:r>
        <w:rPr>
          <w:b/>
          <w:bCs/>
          <w:sz w:val="32"/>
          <w:szCs w:val="32"/>
        </w:rPr>
        <w:t>Date of Submission: 28</w:t>
      </w:r>
      <w:r w:rsidRPr="004B2E42">
        <w:rPr>
          <w:b/>
          <w:bCs/>
          <w:sz w:val="32"/>
          <w:szCs w:val="32"/>
          <w:vertAlign w:val="superscript"/>
        </w:rPr>
        <w:t>th</w:t>
      </w:r>
      <w:r>
        <w:rPr>
          <w:b/>
          <w:bCs/>
          <w:sz w:val="32"/>
          <w:szCs w:val="32"/>
        </w:rPr>
        <w:t xml:space="preserve"> June 2026</w:t>
      </w:r>
    </w:p>
    <w:p w14:paraId="70CF874C" w14:textId="77777777" w:rsidR="002933AC" w:rsidRDefault="002933AC" w:rsidP="00E81A3F">
      <w:pPr>
        <w:spacing w:line="360" w:lineRule="auto"/>
        <w:rPr>
          <w:b/>
          <w:bCs/>
          <w:sz w:val="32"/>
          <w:szCs w:val="32"/>
        </w:rPr>
      </w:pPr>
    </w:p>
    <w:p w14:paraId="1011A475" w14:textId="77777777" w:rsidR="002933AC" w:rsidRDefault="002933AC" w:rsidP="00E81A3F">
      <w:pPr>
        <w:spacing w:line="360" w:lineRule="auto"/>
        <w:rPr>
          <w:b/>
          <w:bCs/>
          <w:sz w:val="32"/>
          <w:szCs w:val="32"/>
        </w:rPr>
      </w:pPr>
    </w:p>
    <w:p w14:paraId="71CF4280" w14:textId="77777777" w:rsidR="002933AC" w:rsidRDefault="002933AC" w:rsidP="00E81A3F">
      <w:pPr>
        <w:spacing w:line="360" w:lineRule="auto"/>
        <w:rPr>
          <w:b/>
          <w:bCs/>
          <w:sz w:val="32"/>
          <w:szCs w:val="32"/>
        </w:rPr>
      </w:pPr>
    </w:p>
    <w:p w14:paraId="5766D27D" w14:textId="77777777" w:rsidR="002933AC" w:rsidRDefault="002933AC" w:rsidP="00E81A3F">
      <w:pPr>
        <w:spacing w:line="360" w:lineRule="auto"/>
        <w:rPr>
          <w:b/>
          <w:bCs/>
          <w:sz w:val="32"/>
          <w:szCs w:val="32"/>
        </w:rPr>
      </w:pPr>
    </w:p>
    <w:p w14:paraId="5CF985D8" w14:textId="77777777" w:rsidR="002933AC" w:rsidRDefault="002933AC" w:rsidP="00E81A3F">
      <w:pPr>
        <w:spacing w:line="360" w:lineRule="auto"/>
        <w:rPr>
          <w:b/>
          <w:bCs/>
          <w:sz w:val="32"/>
          <w:szCs w:val="32"/>
        </w:rPr>
      </w:pPr>
    </w:p>
    <w:p w14:paraId="22975162" w14:textId="77777777" w:rsidR="002933AC" w:rsidRDefault="002933AC" w:rsidP="00E81A3F">
      <w:pPr>
        <w:spacing w:line="360" w:lineRule="auto"/>
        <w:rPr>
          <w:b/>
          <w:bCs/>
          <w:sz w:val="32"/>
          <w:szCs w:val="32"/>
        </w:rPr>
      </w:pPr>
    </w:p>
    <w:p w14:paraId="714F326F" w14:textId="77777777" w:rsidR="002933AC" w:rsidRDefault="002933AC" w:rsidP="00E81A3F">
      <w:pPr>
        <w:spacing w:line="360" w:lineRule="auto"/>
        <w:rPr>
          <w:b/>
          <w:bCs/>
          <w:sz w:val="32"/>
          <w:szCs w:val="32"/>
        </w:rPr>
      </w:pPr>
    </w:p>
    <w:sdt>
      <w:sdtPr>
        <w:rPr>
          <w:rFonts w:asciiTheme="minorHAnsi" w:eastAsiaTheme="minorHAnsi" w:hAnsiTheme="minorHAnsi" w:cstheme="minorBidi"/>
          <w:color w:val="auto"/>
          <w:kern w:val="2"/>
          <w:sz w:val="24"/>
          <w:szCs w:val="24"/>
          <w:lang w:eastAsia="en-US"/>
          <w14:ligatures w14:val="standardContextual"/>
        </w:rPr>
        <w:id w:val="-920484650"/>
        <w:docPartObj>
          <w:docPartGallery w:val="Table of Contents"/>
          <w:docPartUnique/>
        </w:docPartObj>
      </w:sdtPr>
      <w:sdtEndPr>
        <w:rPr>
          <w:b/>
          <w:bCs/>
        </w:rPr>
      </w:sdtEndPr>
      <w:sdtContent>
        <w:p w14:paraId="6942AE18" w14:textId="7FC87B7B" w:rsidR="00035183" w:rsidRDefault="00035183" w:rsidP="00E81A3F">
          <w:pPr>
            <w:pStyle w:val="TOCHeading"/>
            <w:spacing w:line="360" w:lineRule="auto"/>
          </w:pPr>
          <w:r>
            <w:t>Contents</w:t>
          </w:r>
        </w:p>
        <w:p w14:paraId="22453306" w14:textId="60C2809D" w:rsidR="00C51AC9" w:rsidRDefault="0003518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2588037" w:history="1">
            <w:r w:rsidR="00C51AC9" w:rsidRPr="00EA6F66">
              <w:rPr>
                <w:rStyle w:val="Hyperlink"/>
                <w:noProof/>
              </w:rPr>
              <w:t>Introduction</w:t>
            </w:r>
            <w:r w:rsidR="00C51AC9">
              <w:rPr>
                <w:noProof/>
                <w:webHidden/>
              </w:rPr>
              <w:tab/>
            </w:r>
            <w:r w:rsidR="00C51AC9">
              <w:rPr>
                <w:noProof/>
                <w:webHidden/>
              </w:rPr>
              <w:fldChar w:fldCharType="begin"/>
            </w:r>
            <w:r w:rsidR="00C51AC9">
              <w:rPr>
                <w:noProof/>
                <w:webHidden/>
              </w:rPr>
              <w:instrText xml:space="preserve"> PAGEREF _Toc232588037 \h </w:instrText>
            </w:r>
            <w:r w:rsidR="00C51AC9">
              <w:rPr>
                <w:noProof/>
                <w:webHidden/>
              </w:rPr>
            </w:r>
            <w:r w:rsidR="00C51AC9">
              <w:rPr>
                <w:noProof/>
                <w:webHidden/>
              </w:rPr>
              <w:fldChar w:fldCharType="separate"/>
            </w:r>
            <w:r w:rsidR="00C51AC9">
              <w:rPr>
                <w:noProof/>
                <w:webHidden/>
              </w:rPr>
              <w:t>2</w:t>
            </w:r>
            <w:r w:rsidR="00C51AC9">
              <w:rPr>
                <w:noProof/>
                <w:webHidden/>
              </w:rPr>
              <w:fldChar w:fldCharType="end"/>
            </w:r>
          </w:hyperlink>
        </w:p>
        <w:p w14:paraId="53C33051" w14:textId="6F433E63" w:rsidR="00C51AC9" w:rsidRDefault="00C51AC9">
          <w:pPr>
            <w:pStyle w:val="TOC2"/>
            <w:tabs>
              <w:tab w:val="right" w:leader="dot" w:pos="9016"/>
            </w:tabs>
            <w:rPr>
              <w:rFonts w:eastAsiaTheme="minorEastAsia"/>
              <w:noProof/>
              <w:lang w:eastAsia="en-GB"/>
            </w:rPr>
          </w:pPr>
          <w:hyperlink w:anchor="_Toc232588038" w:history="1">
            <w:r w:rsidRPr="00EA6F66">
              <w:rPr>
                <w:rStyle w:val="Hyperlink"/>
                <w:noProof/>
              </w:rPr>
              <w:t>Section 1: Anatomy and Physiology</w:t>
            </w:r>
            <w:r>
              <w:rPr>
                <w:noProof/>
                <w:webHidden/>
              </w:rPr>
              <w:tab/>
            </w:r>
            <w:r>
              <w:rPr>
                <w:noProof/>
                <w:webHidden/>
              </w:rPr>
              <w:fldChar w:fldCharType="begin"/>
            </w:r>
            <w:r>
              <w:rPr>
                <w:noProof/>
                <w:webHidden/>
              </w:rPr>
              <w:instrText xml:space="preserve"> PAGEREF _Toc232588038 \h </w:instrText>
            </w:r>
            <w:r>
              <w:rPr>
                <w:noProof/>
                <w:webHidden/>
              </w:rPr>
            </w:r>
            <w:r>
              <w:rPr>
                <w:noProof/>
                <w:webHidden/>
              </w:rPr>
              <w:fldChar w:fldCharType="separate"/>
            </w:r>
            <w:r>
              <w:rPr>
                <w:noProof/>
                <w:webHidden/>
              </w:rPr>
              <w:t>3</w:t>
            </w:r>
            <w:r>
              <w:rPr>
                <w:noProof/>
                <w:webHidden/>
              </w:rPr>
              <w:fldChar w:fldCharType="end"/>
            </w:r>
          </w:hyperlink>
        </w:p>
        <w:p w14:paraId="022163AE" w14:textId="5937E759" w:rsidR="00C51AC9" w:rsidRDefault="00C51AC9">
          <w:pPr>
            <w:pStyle w:val="TOC2"/>
            <w:tabs>
              <w:tab w:val="right" w:leader="dot" w:pos="9016"/>
            </w:tabs>
            <w:rPr>
              <w:rFonts w:eastAsiaTheme="minorEastAsia"/>
              <w:noProof/>
              <w:lang w:eastAsia="en-GB"/>
            </w:rPr>
          </w:pPr>
          <w:hyperlink w:anchor="_Toc232588039" w:history="1">
            <w:r w:rsidRPr="00EA6F66">
              <w:rPr>
                <w:rStyle w:val="Hyperlink"/>
                <w:noProof/>
              </w:rPr>
              <w:t>Section 2: Pathophys iology and Impact</w:t>
            </w:r>
            <w:r>
              <w:rPr>
                <w:noProof/>
                <w:webHidden/>
              </w:rPr>
              <w:tab/>
            </w:r>
            <w:r>
              <w:rPr>
                <w:noProof/>
                <w:webHidden/>
              </w:rPr>
              <w:fldChar w:fldCharType="begin"/>
            </w:r>
            <w:r>
              <w:rPr>
                <w:noProof/>
                <w:webHidden/>
              </w:rPr>
              <w:instrText xml:space="preserve"> PAGEREF _Toc232588039 \h </w:instrText>
            </w:r>
            <w:r>
              <w:rPr>
                <w:noProof/>
                <w:webHidden/>
              </w:rPr>
            </w:r>
            <w:r>
              <w:rPr>
                <w:noProof/>
                <w:webHidden/>
              </w:rPr>
              <w:fldChar w:fldCharType="separate"/>
            </w:r>
            <w:r>
              <w:rPr>
                <w:noProof/>
                <w:webHidden/>
              </w:rPr>
              <w:t>4</w:t>
            </w:r>
            <w:r>
              <w:rPr>
                <w:noProof/>
                <w:webHidden/>
              </w:rPr>
              <w:fldChar w:fldCharType="end"/>
            </w:r>
          </w:hyperlink>
        </w:p>
        <w:p w14:paraId="55F9ABED" w14:textId="05148DE9" w:rsidR="00C51AC9" w:rsidRDefault="00C51AC9">
          <w:pPr>
            <w:pStyle w:val="TOC2"/>
            <w:tabs>
              <w:tab w:val="right" w:leader="dot" w:pos="9016"/>
            </w:tabs>
            <w:rPr>
              <w:rFonts w:eastAsiaTheme="minorEastAsia"/>
              <w:noProof/>
              <w:lang w:eastAsia="en-GB"/>
            </w:rPr>
          </w:pPr>
          <w:hyperlink w:anchor="_Toc232588040" w:history="1">
            <w:r w:rsidRPr="00EA6F66">
              <w:rPr>
                <w:rStyle w:val="Hyperlink"/>
                <w:noProof/>
              </w:rPr>
              <w:t>Section 3: Monitoring and Data Use</w:t>
            </w:r>
            <w:r>
              <w:rPr>
                <w:noProof/>
                <w:webHidden/>
              </w:rPr>
              <w:tab/>
            </w:r>
            <w:r>
              <w:rPr>
                <w:noProof/>
                <w:webHidden/>
              </w:rPr>
              <w:fldChar w:fldCharType="begin"/>
            </w:r>
            <w:r>
              <w:rPr>
                <w:noProof/>
                <w:webHidden/>
              </w:rPr>
              <w:instrText xml:space="preserve"> PAGEREF _Toc232588040 \h </w:instrText>
            </w:r>
            <w:r>
              <w:rPr>
                <w:noProof/>
                <w:webHidden/>
              </w:rPr>
            </w:r>
            <w:r>
              <w:rPr>
                <w:noProof/>
                <w:webHidden/>
              </w:rPr>
              <w:fldChar w:fldCharType="separate"/>
            </w:r>
            <w:r>
              <w:rPr>
                <w:noProof/>
                <w:webHidden/>
              </w:rPr>
              <w:t>6</w:t>
            </w:r>
            <w:r>
              <w:rPr>
                <w:noProof/>
                <w:webHidden/>
              </w:rPr>
              <w:fldChar w:fldCharType="end"/>
            </w:r>
          </w:hyperlink>
        </w:p>
        <w:p w14:paraId="66459943" w14:textId="6769E4D0" w:rsidR="00C51AC9" w:rsidRDefault="00C51AC9">
          <w:pPr>
            <w:pStyle w:val="TOC1"/>
            <w:tabs>
              <w:tab w:val="right" w:leader="dot" w:pos="9016"/>
            </w:tabs>
            <w:rPr>
              <w:rFonts w:eastAsiaTheme="minorEastAsia"/>
              <w:noProof/>
              <w:lang w:eastAsia="en-GB"/>
            </w:rPr>
          </w:pPr>
          <w:hyperlink w:anchor="_Toc232588041" w:history="1">
            <w:r w:rsidRPr="00EA6F66">
              <w:rPr>
                <w:rStyle w:val="Hyperlink"/>
                <w:noProof/>
              </w:rPr>
              <w:t>Conclusion</w:t>
            </w:r>
            <w:r>
              <w:rPr>
                <w:noProof/>
                <w:webHidden/>
              </w:rPr>
              <w:tab/>
            </w:r>
            <w:r>
              <w:rPr>
                <w:noProof/>
                <w:webHidden/>
              </w:rPr>
              <w:fldChar w:fldCharType="begin"/>
            </w:r>
            <w:r>
              <w:rPr>
                <w:noProof/>
                <w:webHidden/>
              </w:rPr>
              <w:instrText xml:space="preserve"> PAGEREF _Toc232588041 \h </w:instrText>
            </w:r>
            <w:r>
              <w:rPr>
                <w:noProof/>
                <w:webHidden/>
              </w:rPr>
            </w:r>
            <w:r>
              <w:rPr>
                <w:noProof/>
                <w:webHidden/>
              </w:rPr>
              <w:fldChar w:fldCharType="separate"/>
            </w:r>
            <w:r>
              <w:rPr>
                <w:noProof/>
                <w:webHidden/>
              </w:rPr>
              <w:t>8</w:t>
            </w:r>
            <w:r>
              <w:rPr>
                <w:noProof/>
                <w:webHidden/>
              </w:rPr>
              <w:fldChar w:fldCharType="end"/>
            </w:r>
          </w:hyperlink>
        </w:p>
        <w:p w14:paraId="17157AFB" w14:textId="022CF512" w:rsidR="00C51AC9" w:rsidRDefault="00C51AC9">
          <w:pPr>
            <w:pStyle w:val="TOC1"/>
            <w:tabs>
              <w:tab w:val="right" w:leader="dot" w:pos="9016"/>
            </w:tabs>
            <w:rPr>
              <w:rFonts w:eastAsiaTheme="minorEastAsia"/>
              <w:noProof/>
              <w:lang w:eastAsia="en-GB"/>
            </w:rPr>
          </w:pPr>
          <w:hyperlink w:anchor="_Toc232588042" w:history="1">
            <w:r w:rsidRPr="00EA6F66">
              <w:rPr>
                <w:rStyle w:val="Hyperlink"/>
                <w:noProof/>
              </w:rPr>
              <w:t>References</w:t>
            </w:r>
            <w:r>
              <w:rPr>
                <w:noProof/>
                <w:webHidden/>
              </w:rPr>
              <w:tab/>
            </w:r>
            <w:r>
              <w:rPr>
                <w:noProof/>
                <w:webHidden/>
              </w:rPr>
              <w:fldChar w:fldCharType="begin"/>
            </w:r>
            <w:r>
              <w:rPr>
                <w:noProof/>
                <w:webHidden/>
              </w:rPr>
              <w:instrText xml:space="preserve"> PAGEREF _Toc232588042 \h </w:instrText>
            </w:r>
            <w:r>
              <w:rPr>
                <w:noProof/>
                <w:webHidden/>
              </w:rPr>
            </w:r>
            <w:r>
              <w:rPr>
                <w:noProof/>
                <w:webHidden/>
              </w:rPr>
              <w:fldChar w:fldCharType="separate"/>
            </w:r>
            <w:r>
              <w:rPr>
                <w:noProof/>
                <w:webHidden/>
              </w:rPr>
              <w:t>9</w:t>
            </w:r>
            <w:r>
              <w:rPr>
                <w:noProof/>
                <w:webHidden/>
              </w:rPr>
              <w:fldChar w:fldCharType="end"/>
            </w:r>
          </w:hyperlink>
        </w:p>
        <w:p w14:paraId="3E1DB5BF" w14:textId="2E1BA848" w:rsidR="00035183" w:rsidRDefault="00035183" w:rsidP="00E81A3F">
          <w:pPr>
            <w:spacing w:line="360" w:lineRule="auto"/>
          </w:pPr>
          <w:r>
            <w:rPr>
              <w:b/>
              <w:bCs/>
            </w:rPr>
            <w:fldChar w:fldCharType="end"/>
          </w:r>
        </w:p>
      </w:sdtContent>
    </w:sdt>
    <w:p w14:paraId="5B153933" w14:textId="77777777" w:rsidR="00035183" w:rsidRDefault="00035183" w:rsidP="00E81A3F">
      <w:pPr>
        <w:spacing w:line="360" w:lineRule="auto"/>
        <w:rPr>
          <w:rFonts w:ascii="Arial" w:hAnsi="Arial" w:cs="Arial"/>
          <w:b/>
          <w:bCs/>
          <w:sz w:val="22"/>
          <w:szCs w:val="22"/>
        </w:rPr>
      </w:pPr>
    </w:p>
    <w:p w14:paraId="167E6278" w14:textId="77777777" w:rsidR="00035183" w:rsidRDefault="00035183" w:rsidP="00E81A3F">
      <w:pPr>
        <w:spacing w:line="360" w:lineRule="auto"/>
        <w:rPr>
          <w:rFonts w:ascii="Arial" w:hAnsi="Arial" w:cs="Arial"/>
          <w:b/>
          <w:bCs/>
          <w:sz w:val="22"/>
          <w:szCs w:val="22"/>
        </w:rPr>
      </w:pPr>
    </w:p>
    <w:p w14:paraId="1C675F50" w14:textId="77777777" w:rsidR="00035183" w:rsidRDefault="00035183" w:rsidP="00E81A3F">
      <w:pPr>
        <w:spacing w:line="360" w:lineRule="auto"/>
        <w:rPr>
          <w:rFonts w:ascii="Arial" w:hAnsi="Arial" w:cs="Arial"/>
          <w:b/>
          <w:bCs/>
          <w:sz w:val="22"/>
          <w:szCs w:val="22"/>
        </w:rPr>
      </w:pPr>
    </w:p>
    <w:p w14:paraId="1D943AA7" w14:textId="77777777" w:rsidR="00035183" w:rsidRDefault="00035183" w:rsidP="00E81A3F">
      <w:pPr>
        <w:spacing w:line="360" w:lineRule="auto"/>
        <w:rPr>
          <w:rFonts w:ascii="Arial" w:hAnsi="Arial" w:cs="Arial"/>
          <w:b/>
          <w:bCs/>
          <w:sz w:val="22"/>
          <w:szCs w:val="22"/>
        </w:rPr>
      </w:pPr>
    </w:p>
    <w:p w14:paraId="7EF5805A" w14:textId="77777777" w:rsidR="00035183" w:rsidRDefault="00035183" w:rsidP="00E81A3F">
      <w:pPr>
        <w:spacing w:line="360" w:lineRule="auto"/>
        <w:rPr>
          <w:rFonts w:ascii="Arial" w:hAnsi="Arial" w:cs="Arial"/>
          <w:b/>
          <w:bCs/>
          <w:sz w:val="22"/>
          <w:szCs w:val="22"/>
        </w:rPr>
      </w:pPr>
    </w:p>
    <w:p w14:paraId="507D950B" w14:textId="77777777" w:rsidR="00035183" w:rsidRDefault="00035183" w:rsidP="00E81A3F">
      <w:pPr>
        <w:spacing w:line="360" w:lineRule="auto"/>
        <w:rPr>
          <w:rFonts w:ascii="Arial" w:hAnsi="Arial" w:cs="Arial"/>
          <w:b/>
          <w:bCs/>
          <w:sz w:val="22"/>
          <w:szCs w:val="22"/>
        </w:rPr>
      </w:pPr>
    </w:p>
    <w:p w14:paraId="2AA3E664" w14:textId="77777777" w:rsidR="00035183" w:rsidRDefault="00035183" w:rsidP="00E81A3F">
      <w:pPr>
        <w:spacing w:line="360" w:lineRule="auto"/>
        <w:rPr>
          <w:rFonts w:ascii="Arial" w:hAnsi="Arial" w:cs="Arial"/>
          <w:b/>
          <w:bCs/>
          <w:sz w:val="22"/>
          <w:szCs w:val="22"/>
        </w:rPr>
      </w:pPr>
    </w:p>
    <w:p w14:paraId="28583AFD" w14:textId="77777777" w:rsidR="00035183" w:rsidRDefault="00035183" w:rsidP="00E81A3F">
      <w:pPr>
        <w:spacing w:line="360" w:lineRule="auto"/>
        <w:rPr>
          <w:rFonts w:ascii="Arial" w:hAnsi="Arial" w:cs="Arial"/>
          <w:b/>
          <w:bCs/>
          <w:sz w:val="22"/>
          <w:szCs w:val="22"/>
        </w:rPr>
      </w:pPr>
    </w:p>
    <w:p w14:paraId="19931038" w14:textId="77777777" w:rsidR="00035183" w:rsidRDefault="00035183" w:rsidP="00E81A3F">
      <w:pPr>
        <w:spacing w:line="360" w:lineRule="auto"/>
        <w:rPr>
          <w:rFonts w:ascii="Arial" w:hAnsi="Arial" w:cs="Arial"/>
          <w:b/>
          <w:bCs/>
          <w:sz w:val="22"/>
          <w:szCs w:val="22"/>
        </w:rPr>
      </w:pPr>
    </w:p>
    <w:p w14:paraId="2C79503D" w14:textId="77777777" w:rsidR="006636E5" w:rsidRDefault="006636E5" w:rsidP="00E81A3F">
      <w:pPr>
        <w:pStyle w:val="Heading1"/>
        <w:spacing w:line="360" w:lineRule="auto"/>
      </w:pPr>
    </w:p>
    <w:p w14:paraId="06A56F47" w14:textId="77777777" w:rsidR="00911402" w:rsidRDefault="00911402" w:rsidP="00E81A3F">
      <w:pPr>
        <w:pStyle w:val="Heading1"/>
        <w:spacing w:line="360" w:lineRule="auto"/>
      </w:pPr>
    </w:p>
    <w:p w14:paraId="2D998B1C" w14:textId="77777777" w:rsidR="00075568" w:rsidRDefault="00075568" w:rsidP="00075568"/>
    <w:p w14:paraId="74B71BC2" w14:textId="77777777" w:rsidR="009E0B79" w:rsidRDefault="009E0B79" w:rsidP="00075568"/>
    <w:p w14:paraId="745682D3" w14:textId="77777777" w:rsidR="009E0B79" w:rsidRDefault="009E0B79" w:rsidP="00075568"/>
    <w:p w14:paraId="4D6F7EB9" w14:textId="77777777" w:rsidR="009E0B79" w:rsidRPr="00075568" w:rsidRDefault="009E0B79" w:rsidP="00075568"/>
    <w:p w14:paraId="3EED1825" w14:textId="13AAA267" w:rsidR="00D45CBD" w:rsidRPr="00070004" w:rsidRDefault="00F46A01" w:rsidP="00E81A3F">
      <w:pPr>
        <w:pStyle w:val="Heading1"/>
        <w:spacing w:line="360" w:lineRule="auto"/>
      </w:pPr>
      <w:r w:rsidRPr="00070004">
        <w:lastRenderedPageBreak/>
        <w:t xml:space="preserve">   </w:t>
      </w:r>
      <w:bookmarkStart w:id="0" w:name="_Toc232588037"/>
      <w:r w:rsidR="00D45CBD" w:rsidRPr="00070004">
        <w:t>Introduction</w:t>
      </w:r>
      <w:bookmarkEnd w:id="0"/>
    </w:p>
    <w:p w14:paraId="28C41498" w14:textId="2EC124DC" w:rsidR="00D45CBD" w:rsidRPr="00F12DD5" w:rsidRDefault="00D45CBD" w:rsidP="00E81A3F">
      <w:pPr>
        <w:spacing w:line="360" w:lineRule="auto"/>
        <w:jc w:val="both"/>
        <w:rPr>
          <w:rFonts w:ascii="Arial" w:hAnsi="Arial" w:cs="Arial"/>
          <w:sz w:val="22"/>
          <w:szCs w:val="22"/>
        </w:rPr>
      </w:pPr>
      <w:r w:rsidRPr="00F12DD5">
        <w:rPr>
          <w:rFonts w:ascii="Arial" w:hAnsi="Arial" w:cs="Arial"/>
          <w:sz w:val="22"/>
          <w:szCs w:val="22"/>
        </w:rPr>
        <w:t>Type 2 Diabetes Mellitus (T2DM) is a chronic metabolic condition categorised by high blood glucose levels</w:t>
      </w:r>
      <w:r w:rsidR="006C7070" w:rsidRPr="00F12DD5">
        <w:rPr>
          <w:rFonts w:ascii="Arial" w:hAnsi="Arial" w:cs="Arial"/>
          <w:sz w:val="22"/>
          <w:szCs w:val="22"/>
        </w:rPr>
        <w:t xml:space="preserve"> </w:t>
      </w:r>
      <w:r w:rsidR="001E7E12" w:rsidRPr="00F12DD5">
        <w:rPr>
          <w:rFonts w:ascii="Arial" w:hAnsi="Arial" w:cs="Arial"/>
          <w:sz w:val="22"/>
          <w:szCs w:val="22"/>
        </w:rPr>
        <w:t>due to</w:t>
      </w:r>
      <w:r w:rsidR="00D625F8" w:rsidRPr="00F12DD5">
        <w:rPr>
          <w:rFonts w:ascii="Arial" w:hAnsi="Arial" w:cs="Arial"/>
          <w:sz w:val="22"/>
          <w:szCs w:val="22"/>
        </w:rPr>
        <w:t xml:space="preserve"> </w:t>
      </w:r>
      <w:r w:rsidRPr="00F12DD5">
        <w:rPr>
          <w:rFonts w:ascii="Arial" w:hAnsi="Arial" w:cs="Arial"/>
          <w:sz w:val="22"/>
          <w:szCs w:val="22"/>
        </w:rPr>
        <w:t>insulin resistance and progressive disfunction of pancreatic beta cells (National Institute for Health and Care Excellence (NICE), 2022). It is the most general form of diabetes, accounting for about 90–95% of all diabetes cases worldwide (World Health Organization (WHO), 2023).</w:t>
      </w:r>
      <w:r w:rsidR="004A6DD5" w:rsidRPr="00F12DD5">
        <w:rPr>
          <w:rFonts w:ascii="Arial" w:hAnsi="Arial" w:cs="Arial"/>
          <w:sz w:val="22"/>
          <w:szCs w:val="22"/>
        </w:rPr>
        <w:t xml:space="preserve"> </w:t>
      </w:r>
      <w:r w:rsidRPr="00F12DD5">
        <w:rPr>
          <w:rFonts w:ascii="Arial" w:hAnsi="Arial" w:cs="Arial"/>
          <w:sz w:val="22"/>
          <w:szCs w:val="22"/>
        </w:rPr>
        <w:t xml:space="preserve">Unlike type1 </w:t>
      </w:r>
      <w:r w:rsidR="00F02553" w:rsidRPr="00F12DD5">
        <w:rPr>
          <w:rFonts w:ascii="Arial" w:hAnsi="Arial" w:cs="Arial"/>
          <w:sz w:val="22"/>
          <w:szCs w:val="22"/>
        </w:rPr>
        <w:t>diabetes, T</w:t>
      </w:r>
      <w:r w:rsidRPr="00F12DD5">
        <w:rPr>
          <w:rFonts w:ascii="Arial" w:hAnsi="Arial" w:cs="Arial"/>
          <w:sz w:val="22"/>
          <w:szCs w:val="22"/>
        </w:rPr>
        <w:t>2DMis caused by the autoimmune destruction of insulin-producing cells and develops gradually, strongly associated with lifestyle and environmental factors.</w:t>
      </w:r>
    </w:p>
    <w:p w14:paraId="0556CAD6" w14:textId="19B873C7" w:rsidR="00D45CBD" w:rsidRPr="00F12DD5" w:rsidRDefault="00D45CBD" w:rsidP="00E81A3F">
      <w:pPr>
        <w:spacing w:line="360" w:lineRule="auto"/>
        <w:jc w:val="both"/>
        <w:rPr>
          <w:rFonts w:ascii="Arial" w:hAnsi="Arial" w:cs="Arial"/>
          <w:sz w:val="22"/>
          <w:szCs w:val="22"/>
        </w:rPr>
      </w:pPr>
      <w:r w:rsidRPr="00F12DD5">
        <w:rPr>
          <w:rFonts w:ascii="Arial" w:hAnsi="Arial" w:cs="Arial"/>
          <w:sz w:val="22"/>
          <w:szCs w:val="22"/>
        </w:rPr>
        <w:t>Some risk factors contribute to the development of T2DM. These include obesity, physical inactivity, unhealthy eating habits, smoking, age-related changes, family history, high blood pressure, and certain ethnic groups, especially in the African, Caribbean and South Asian populations (DiabetesUK2024</w:t>
      </w:r>
      <w:r w:rsidR="008F4116" w:rsidRPr="00F12DD5">
        <w:rPr>
          <w:rFonts w:ascii="Arial" w:hAnsi="Arial" w:cs="Arial"/>
          <w:sz w:val="22"/>
          <w:szCs w:val="22"/>
        </w:rPr>
        <w:t>). Excessive</w:t>
      </w:r>
      <w:r w:rsidRPr="00F12DD5">
        <w:rPr>
          <w:rFonts w:ascii="Arial" w:hAnsi="Arial" w:cs="Arial"/>
          <w:sz w:val="22"/>
          <w:szCs w:val="22"/>
        </w:rPr>
        <w:t xml:space="preserve"> body fat, particularly abdominal obesity, increases insulin resistance significantly and requires more pancreatic beta cells.</w:t>
      </w:r>
    </w:p>
    <w:p w14:paraId="6DB02F62" w14:textId="077442D1" w:rsidR="00D45CBD" w:rsidRPr="00F12DD5" w:rsidRDefault="00D45CBD" w:rsidP="00E81A3F">
      <w:pPr>
        <w:spacing w:line="360" w:lineRule="auto"/>
        <w:jc w:val="both"/>
        <w:rPr>
          <w:rFonts w:ascii="Arial" w:hAnsi="Arial" w:cs="Arial"/>
          <w:sz w:val="22"/>
          <w:szCs w:val="22"/>
        </w:rPr>
      </w:pPr>
      <w:r w:rsidRPr="00F12DD5">
        <w:rPr>
          <w:rFonts w:ascii="Arial" w:hAnsi="Arial" w:cs="Arial"/>
          <w:sz w:val="22"/>
          <w:szCs w:val="22"/>
        </w:rPr>
        <w:t>The prevalence of T2DM continues to rise globally and is a major public health concern. This disease is associated with severe complications, including cardiovascular diseases, kidney disease, neuropathy, retinal inflammation and lower leg amputations (American Diabetes Association (ADA), 2025</w:t>
      </w:r>
      <w:r w:rsidR="006B2171" w:rsidRPr="00F12DD5">
        <w:rPr>
          <w:rFonts w:ascii="Arial" w:hAnsi="Arial" w:cs="Arial"/>
          <w:sz w:val="22"/>
          <w:szCs w:val="22"/>
        </w:rPr>
        <w:t>). Therefore</w:t>
      </w:r>
      <w:r w:rsidRPr="00F12DD5">
        <w:rPr>
          <w:rFonts w:ascii="Arial" w:hAnsi="Arial" w:cs="Arial"/>
          <w:sz w:val="22"/>
          <w:szCs w:val="22"/>
        </w:rPr>
        <w:t>, effective treatment requires patients to understand the physiological mechanisms underlying the regulation of blood glucose and the impact of lifestyle behaviours on the progression of the disease.</w:t>
      </w:r>
    </w:p>
    <w:p w14:paraId="14EFCC7D" w14:textId="11D94AFB" w:rsidR="002933AC" w:rsidRPr="00F12DD5" w:rsidRDefault="00D45CBD" w:rsidP="00E81A3F">
      <w:pPr>
        <w:spacing w:line="360" w:lineRule="auto"/>
        <w:rPr>
          <w:b/>
          <w:bCs/>
          <w:sz w:val="22"/>
          <w:szCs w:val="22"/>
        </w:rPr>
      </w:pPr>
      <w:r w:rsidRPr="00F12DD5">
        <w:rPr>
          <w:rFonts w:ascii="Arial" w:hAnsi="Arial" w:cs="Arial"/>
          <w:sz w:val="22"/>
          <w:szCs w:val="22"/>
        </w:rPr>
        <w:t xml:space="preserve">The purpose of this report is to provide evidence-based information to help patients understand type2 diabetes. It </w:t>
      </w:r>
      <w:r w:rsidR="006B2171" w:rsidRPr="00F12DD5">
        <w:rPr>
          <w:rFonts w:ascii="Arial" w:hAnsi="Arial" w:cs="Arial"/>
          <w:sz w:val="22"/>
          <w:szCs w:val="22"/>
        </w:rPr>
        <w:t>explains</w:t>
      </w:r>
      <w:r w:rsidRPr="00F12DD5">
        <w:rPr>
          <w:rFonts w:ascii="Arial" w:hAnsi="Arial" w:cs="Arial"/>
          <w:sz w:val="22"/>
          <w:szCs w:val="22"/>
        </w:rPr>
        <w:t xml:space="preserve"> </w:t>
      </w:r>
      <w:r w:rsidR="005D75BD" w:rsidRPr="00F12DD5">
        <w:rPr>
          <w:rFonts w:ascii="Arial" w:hAnsi="Arial" w:cs="Arial"/>
          <w:sz w:val="22"/>
          <w:szCs w:val="22"/>
        </w:rPr>
        <w:t>show to</w:t>
      </w:r>
      <w:r w:rsidRPr="00F12DD5">
        <w:rPr>
          <w:rFonts w:ascii="Arial" w:hAnsi="Arial" w:cs="Arial"/>
          <w:sz w:val="22"/>
          <w:szCs w:val="22"/>
        </w:rPr>
        <w:t xml:space="preserve"> maintain blood sugar levels in healthy people, how glucose and oxygen are used to produce energy through cell metabolism, how diabetes develops when these mechanisms fail, and how to monitor blood sugar with lifestyle modifications to improve disease management and health outcomes.</w:t>
      </w:r>
    </w:p>
    <w:p w14:paraId="632E10A4" w14:textId="34ADE90C" w:rsidR="00AD6ACB" w:rsidRPr="00070004" w:rsidRDefault="00C91AC9" w:rsidP="00E81A3F">
      <w:pPr>
        <w:pStyle w:val="Heading2"/>
        <w:spacing w:line="360" w:lineRule="auto"/>
      </w:pPr>
      <w:r w:rsidRPr="00070004">
        <w:t xml:space="preserve">                                   </w:t>
      </w:r>
      <w:bookmarkStart w:id="1" w:name="_Toc232588038"/>
      <w:r w:rsidR="00AD6ACB" w:rsidRPr="00070004">
        <w:t>Section 1: Anatomy and Physiology</w:t>
      </w:r>
      <w:bookmarkEnd w:id="1"/>
    </w:p>
    <w:p w14:paraId="794152FE" w14:textId="08DDBA43" w:rsidR="00AD6ACB" w:rsidRPr="00070004" w:rsidRDefault="00BE1DDF" w:rsidP="00E81A3F">
      <w:pPr>
        <w:spacing w:line="360" w:lineRule="auto"/>
        <w:rPr>
          <w:rFonts w:ascii="Arial" w:hAnsi="Arial" w:cs="Arial"/>
          <w:b/>
          <w:bCs/>
          <w:sz w:val="22"/>
          <w:szCs w:val="22"/>
        </w:rPr>
      </w:pPr>
      <w:r w:rsidRPr="00070004">
        <w:rPr>
          <w:rFonts w:ascii="Arial" w:hAnsi="Arial" w:cs="Arial"/>
          <w:b/>
          <w:bCs/>
          <w:sz w:val="22"/>
          <w:szCs w:val="22"/>
        </w:rPr>
        <w:t xml:space="preserve">. </w:t>
      </w:r>
      <w:r w:rsidR="00AD6ACB" w:rsidRPr="00070004">
        <w:rPr>
          <w:rFonts w:ascii="Arial" w:hAnsi="Arial" w:cs="Arial"/>
          <w:b/>
          <w:bCs/>
          <w:sz w:val="22"/>
          <w:szCs w:val="22"/>
        </w:rPr>
        <w:t>Regulation of Blood Glucose Levels</w:t>
      </w:r>
    </w:p>
    <w:p w14:paraId="5A19DE4C" w14:textId="1466A7A5" w:rsidR="00AD6ACB" w:rsidRPr="00453AFB" w:rsidRDefault="00AD6ACB" w:rsidP="00E81A3F">
      <w:pPr>
        <w:spacing w:line="360" w:lineRule="auto"/>
        <w:rPr>
          <w:rFonts w:ascii="Arial" w:hAnsi="Arial" w:cs="Arial"/>
          <w:b/>
          <w:bCs/>
          <w:sz w:val="22"/>
          <w:szCs w:val="22"/>
        </w:rPr>
      </w:pPr>
      <w:r w:rsidRPr="00453AFB">
        <w:rPr>
          <w:rFonts w:ascii="Arial" w:hAnsi="Arial" w:cs="Arial"/>
          <w:sz w:val="22"/>
          <w:szCs w:val="22"/>
        </w:rPr>
        <w:t>The human body</w:t>
      </w:r>
      <w:r w:rsidR="005B77A1" w:rsidRPr="00453AFB">
        <w:rPr>
          <w:rFonts w:ascii="Arial" w:hAnsi="Arial" w:cs="Arial"/>
          <w:sz w:val="22"/>
          <w:szCs w:val="22"/>
        </w:rPr>
        <w:t xml:space="preserve"> </w:t>
      </w:r>
      <w:r w:rsidRPr="00453AFB">
        <w:rPr>
          <w:rFonts w:ascii="Arial" w:hAnsi="Arial" w:cs="Arial"/>
          <w:sz w:val="22"/>
          <w:szCs w:val="22"/>
        </w:rPr>
        <w:t xml:space="preserve">maintains glucose in the blood in a narrow physiological range by the coordination of hormones, especially insulin </w:t>
      </w:r>
      <w:r w:rsidR="008A0C13" w:rsidRPr="00453AFB">
        <w:rPr>
          <w:rFonts w:ascii="Arial" w:hAnsi="Arial" w:cs="Arial"/>
          <w:sz w:val="22"/>
          <w:szCs w:val="22"/>
        </w:rPr>
        <w:t>and glucose</w:t>
      </w:r>
      <w:r w:rsidRPr="00453AFB">
        <w:rPr>
          <w:rFonts w:ascii="Arial" w:hAnsi="Arial" w:cs="Arial"/>
          <w:sz w:val="22"/>
          <w:szCs w:val="22"/>
        </w:rPr>
        <w:t>. This process is known as glucose homeostasis, because glucose is the body's main source of energy (Hall and Hall, 2020).</w:t>
      </w:r>
    </w:p>
    <w:p w14:paraId="2D71E58C" w14:textId="3DE413B5" w:rsidR="00AD6ACB" w:rsidRPr="00453AFB" w:rsidRDefault="00AD6ACB" w:rsidP="00E81A3F">
      <w:pPr>
        <w:spacing w:line="360" w:lineRule="auto"/>
        <w:jc w:val="both"/>
        <w:rPr>
          <w:rFonts w:ascii="Arial" w:hAnsi="Arial" w:cs="Arial"/>
          <w:sz w:val="22"/>
          <w:szCs w:val="22"/>
        </w:rPr>
      </w:pPr>
      <w:r w:rsidRPr="00453AFB">
        <w:rPr>
          <w:rFonts w:ascii="Arial" w:hAnsi="Arial" w:cs="Arial"/>
          <w:sz w:val="22"/>
          <w:szCs w:val="22"/>
        </w:rPr>
        <w:t xml:space="preserve">The pancreas plays a central role in the regulation of blood glucose. It is located behind the stomach and contains a cluster of endocrine cells called </w:t>
      </w:r>
      <w:r w:rsidR="00745B28" w:rsidRPr="00453AFB">
        <w:rPr>
          <w:rFonts w:ascii="Arial" w:hAnsi="Arial" w:cs="Arial"/>
          <w:sz w:val="22"/>
          <w:szCs w:val="22"/>
        </w:rPr>
        <w:t>Langerhans</w:t>
      </w:r>
      <w:r w:rsidRPr="00453AFB">
        <w:rPr>
          <w:rFonts w:ascii="Arial" w:hAnsi="Arial" w:cs="Arial"/>
          <w:sz w:val="22"/>
          <w:szCs w:val="22"/>
        </w:rPr>
        <w:t xml:space="preserve"> Isles. Beta cells produce insulin, while Alphacells produce glucagon.  After eating, carbohydrates</w:t>
      </w:r>
      <w:r w:rsidR="00FF21C3" w:rsidRPr="00453AFB">
        <w:rPr>
          <w:rFonts w:ascii="Arial" w:hAnsi="Arial" w:cs="Arial"/>
          <w:sz w:val="22"/>
          <w:szCs w:val="22"/>
        </w:rPr>
        <w:t xml:space="preserve"> </w:t>
      </w:r>
      <w:r w:rsidRPr="00453AFB">
        <w:rPr>
          <w:rFonts w:ascii="Arial" w:hAnsi="Arial" w:cs="Arial"/>
          <w:sz w:val="22"/>
          <w:szCs w:val="22"/>
        </w:rPr>
        <w:t xml:space="preserve">are digested into </w:t>
      </w:r>
      <w:r w:rsidRPr="00453AFB">
        <w:rPr>
          <w:rFonts w:ascii="Arial" w:hAnsi="Arial" w:cs="Arial"/>
          <w:sz w:val="22"/>
          <w:szCs w:val="22"/>
        </w:rPr>
        <w:lastRenderedPageBreak/>
        <w:t>glucose and absorbed into the blood, resulting in an increase in blood glucose levels. In response, beta cells release insulin (Tortora and Derrickson, 2021).</w:t>
      </w:r>
    </w:p>
    <w:p w14:paraId="058000D5" w14:textId="2299544C" w:rsidR="00AD6ACB" w:rsidRPr="00453AFB" w:rsidRDefault="00AD6ACB" w:rsidP="00E81A3F">
      <w:pPr>
        <w:spacing w:line="360" w:lineRule="auto"/>
        <w:jc w:val="both"/>
        <w:rPr>
          <w:rFonts w:ascii="Arial" w:hAnsi="Arial" w:cs="Arial"/>
          <w:sz w:val="22"/>
          <w:szCs w:val="22"/>
        </w:rPr>
      </w:pPr>
      <w:r w:rsidRPr="00453AFB">
        <w:rPr>
          <w:rFonts w:ascii="Arial" w:hAnsi="Arial" w:cs="Arial"/>
          <w:sz w:val="22"/>
          <w:szCs w:val="22"/>
        </w:rPr>
        <w:t xml:space="preserve">Insulin facilitates glucose absorption into muscle and fat tissue by stimulating glucose carrier proteins (GLUT4) moving to cell membranes. This allows glucose to enter cells and be used to produce energy or store glucose in the liver and muscle. Insulin also inhibits </w:t>
      </w:r>
      <w:r w:rsidR="00E02DA7" w:rsidRPr="00453AFB">
        <w:rPr>
          <w:rFonts w:ascii="Arial" w:hAnsi="Arial" w:cs="Arial"/>
          <w:sz w:val="22"/>
          <w:szCs w:val="22"/>
        </w:rPr>
        <w:t>glycogen decomposition</w:t>
      </w:r>
      <w:r w:rsidRPr="00453AFB">
        <w:rPr>
          <w:rFonts w:ascii="Arial" w:hAnsi="Arial" w:cs="Arial"/>
          <w:sz w:val="22"/>
          <w:szCs w:val="22"/>
        </w:rPr>
        <w:t xml:space="preserve"> and glucose production in the liver, thus reducing blood glucose concentrations (Kahn et al., 2014).</w:t>
      </w:r>
    </w:p>
    <w:p w14:paraId="1AAC9E1C" w14:textId="77777777" w:rsidR="00AD6ACB" w:rsidRPr="00453AFB" w:rsidRDefault="00AD6ACB" w:rsidP="00E81A3F">
      <w:pPr>
        <w:spacing w:line="360" w:lineRule="auto"/>
        <w:jc w:val="both"/>
        <w:rPr>
          <w:rFonts w:ascii="Arial" w:hAnsi="Arial" w:cs="Arial"/>
          <w:sz w:val="22"/>
          <w:szCs w:val="22"/>
        </w:rPr>
      </w:pPr>
      <w:r w:rsidRPr="00453AFB">
        <w:rPr>
          <w:rFonts w:ascii="Arial" w:hAnsi="Arial" w:cs="Arial"/>
          <w:sz w:val="22"/>
          <w:szCs w:val="22"/>
        </w:rPr>
        <w:t>When blood glucose levels reduce between meals or during physical activity, alpha cells release glucagon. Glucagon stimulates glycogen breakdown and glucose release from the liver, ensuring a continuous supply of glucose for bodily functions (NHS, 2024). The balance between insulin and glucagon maintains stable blood glucose levels and supports normal physiological functioning.</w:t>
      </w:r>
    </w:p>
    <w:p w14:paraId="6B3A4A85" w14:textId="61A5B5D4" w:rsidR="00AD6ACB" w:rsidRPr="00700F49" w:rsidRDefault="006230CD" w:rsidP="00E81A3F">
      <w:pPr>
        <w:spacing w:line="360" w:lineRule="auto"/>
        <w:rPr>
          <w:rFonts w:ascii="Arial" w:hAnsi="Arial" w:cs="Arial"/>
          <w:b/>
          <w:bCs/>
        </w:rPr>
      </w:pPr>
      <w:r>
        <w:rPr>
          <w:rFonts w:ascii="Arial" w:hAnsi="Arial" w:cs="Arial"/>
          <w:b/>
          <w:bCs/>
          <w:sz w:val="32"/>
          <w:szCs w:val="32"/>
        </w:rPr>
        <w:t>.</w:t>
      </w:r>
      <w:r w:rsidR="00AC4909">
        <w:rPr>
          <w:rFonts w:ascii="Arial" w:hAnsi="Arial" w:cs="Arial"/>
          <w:b/>
          <w:bCs/>
          <w:sz w:val="32"/>
          <w:szCs w:val="32"/>
        </w:rPr>
        <w:t xml:space="preserve"> </w:t>
      </w:r>
      <w:r w:rsidR="00AD6ACB" w:rsidRPr="00E64EE7">
        <w:rPr>
          <w:rFonts w:ascii="Arial" w:hAnsi="Arial" w:cs="Arial"/>
          <w:b/>
          <w:bCs/>
          <w:sz w:val="22"/>
          <w:szCs w:val="22"/>
        </w:rPr>
        <w:t>Cellular Metabolism and Energy Production</w:t>
      </w:r>
    </w:p>
    <w:p w14:paraId="3649D2EB" w14:textId="77777777" w:rsidR="00AD6ACB" w:rsidRPr="00E64EE7" w:rsidRDefault="00AD6ACB" w:rsidP="00E81A3F">
      <w:pPr>
        <w:spacing w:line="360" w:lineRule="auto"/>
        <w:jc w:val="both"/>
        <w:rPr>
          <w:rFonts w:ascii="Arial" w:hAnsi="Arial" w:cs="Arial"/>
          <w:sz w:val="22"/>
          <w:szCs w:val="22"/>
        </w:rPr>
      </w:pPr>
      <w:r w:rsidRPr="00E64EE7">
        <w:rPr>
          <w:rFonts w:ascii="Arial" w:hAnsi="Arial" w:cs="Arial"/>
          <w:sz w:val="22"/>
          <w:szCs w:val="22"/>
        </w:rPr>
        <w:t>Cells require a continuous supply of energy to perform essential activities such as muscle contraction, nerve impulse transmission, growth, and tissue repair. This energy is produced through cellular respiration, a process involving glucose and oxygen.</w:t>
      </w:r>
    </w:p>
    <w:p w14:paraId="460994E5" w14:textId="77777777" w:rsidR="003437C2" w:rsidRPr="00E64EE7" w:rsidRDefault="00AD6ACB" w:rsidP="00E81A3F">
      <w:pPr>
        <w:spacing w:line="360" w:lineRule="auto"/>
        <w:jc w:val="both"/>
        <w:rPr>
          <w:rFonts w:ascii="Arial" w:hAnsi="Arial" w:cs="Arial"/>
          <w:sz w:val="22"/>
          <w:szCs w:val="22"/>
        </w:rPr>
      </w:pPr>
      <w:r w:rsidRPr="00E64EE7">
        <w:rPr>
          <w:rFonts w:ascii="Arial" w:hAnsi="Arial" w:cs="Arial"/>
          <w:sz w:val="22"/>
          <w:szCs w:val="22"/>
        </w:rPr>
        <w:t>Cellular respiration occurs primarily within mitochondria and consists of three stages: glycolysis, the Krebs cycle, and the electron transport chain. During glycolysis, glucose is broken down into pyruvate within the cytoplasm, producing a small amount of adenosine triphosphate (ATP). The pyruvate then enters the mitochondria where it</w:t>
      </w:r>
      <w:r w:rsidR="00472492" w:rsidRPr="00E64EE7">
        <w:rPr>
          <w:rFonts w:ascii="Arial" w:hAnsi="Arial" w:cs="Arial"/>
          <w:sz w:val="22"/>
          <w:szCs w:val="22"/>
        </w:rPr>
        <w:t xml:space="preserve"> </w:t>
      </w:r>
      <w:r w:rsidR="003437C2" w:rsidRPr="00E64EE7">
        <w:rPr>
          <w:rFonts w:ascii="Arial" w:hAnsi="Arial" w:cs="Arial"/>
          <w:sz w:val="22"/>
          <w:szCs w:val="22"/>
        </w:rPr>
        <w:t>undergoes further breakdown through the Krebs cycle. Finally, electrons generated during these reactions pass through the electron transport chain, where oxygen acts as the final electron acceptor, enabling substantial ATP production (Silverthorn, 2022).</w:t>
      </w:r>
    </w:p>
    <w:p w14:paraId="75452FA1" w14:textId="1F4346E2" w:rsidR="003437C2" w:rsidRPr="00E64EE7" w:rsidRDefault="00412938" w:rsidP="00E81A3F">
      <w:pPr>
        <w:spacing w:line="360" w:lineRule="auto"/>
        <w:rPr>
          <w:rFonts w:ascii="Arial" w:hAnsi="Arial" w:cs="Arial"/>
          <w:b/>
          <w:bCs/>
          <w:sz w:val="22"/>
          <w:szCs w:val="22"/>
        </w:rPr>
      </w:pPr>
      <w:r>
        <w:rPr>
          <w:rFonts w:ascii="Arial" w:hAnsi="Arial" w:cs="Arial"/>
          <w:b/>
          <w:bCs/>
          <w:sz w:val="32"/>
          <w:szCs w:val="32"/>
        </w:rPr>
        <w:t xml:space="preserve">. </w:t>
      </w:r>
      <w:r w:rsidR="003437C2" w:rsidRPr="00E64EE7">
        <w:rPr>
          <w:rFonts w:ascii="Arial" w:hAnsi="Arial" w:cs="Arial"/>
          <w:b/>
          <w:bCs/>
          <w:sz w:val="22"/>
          <w:szCs w:val="22"/>
        </w:rPr>
        <w:t xml:space="preserve">The overall equation </w:t>
      </w:r>
      <w:r w:rsidR="00F0224A" w:rsidRPr="00E64EE7">
        <w:rPr>
          <w:rFonts w:ascii="Arial" w:hAnsi="Arial" w:cs="Arial"/>
          <w:b/>
          <w:bCs/>
          <w:sz w:val="22"/>
          <w:szCs w:val="22"/>
        </w:rPr>
        <w:t>is</w:t>
      </w:r>
      <w:r w:rsidR="00952623" w:rsidRPr="00E64EE7">
        <w:rPr>
          <w:rFonts w:ascii="Arial" w:hAnsi="Arial" w:cs="Arial"/>
          <w:b/>
          <w:bCs/>
          <w:sz w:val="22"/>
          <w:szCs w:val="22"/>
        </w:rPr>
        <w:t xml:space="preserve"> </w:t>
      </w:r>
      <w:r w:rsidR="003437C2" w:rsidRPr="00E64EE7">
        <w:rPr>
          <w:rFonts w:ascii="Arial" w:hAnsi="Arial" w:cs="Arial"/>
          <w:b/>
          <w:bCs/>
          <w:sz w:val="22"/>
          <w:szCs w:val="22"/>
        </w:rPr>
        <w:t>Glucose + Oxygen → Carbon Dioxide + Water + ATP</w:t>
      </w:r>
    </w:p>
    <w:p w14:paraId="098DAA72" w14:textId="25926D93" w:rsidR="00075568" w:rsidRDefault="003437C2" w:rsidP="007B4B1E">
      <w:pPr>
        <w:spacing w:line="360" w:lineRule="auto"/>
        <w:jc w:val="both"/>
        <w:rPr>
          <w:rFonts w:ascii="Arial" w:hAnsi="Arial" w:cs="Arial"/>
          <w:sz w:val="22"/>
          <w:szCs w:val="22"/>
        </w:rPr>
      </w:pPr>
      <w:r w:rsidRPr="00ED4C7A">
        <w:rPr>
          <w:rFonts w:ascii="Arial" w:hAnsi="Arial" w:cs="Arial"/>
          <w:sz w:val="22"/>
          <w:szCs w:val="22"/>
        </w:rPr>
        <w:t>ATP is the body's primary energy currency and supports virtually all cellular activities. Effective glucose uptake is therefore essential for maintaining adequate energy production. In healthy individuals, insulin ensures that cells can access glucose efficiently. However, in T2DM, insulin resistance disrupts this process, resulting in reduced cellular glucose utilisation and impaired energy production.</w:t>
      </w:r>
    </w:p>
    <w:p w14:paraId="1E6B39BE" w14:textId="77777777" w:rsidR="00E80568" w:rsidRDefault="00E80568" w:rsidP="00075568">
      <w:pPr>
        <w:pStyle w:val="Heading2"/>
      </w:pPr>
    </w:p>
    <w:p w14:paraId="4784CA0D" w14:textId="115253F3" w:rsidR="009429B5" w:rsidRPr="007B4B1E" w:rsidRDefault="001353BC" w:rsidP="00075568">
      <w:pPr>
        <w:pStyle w:val="Heading2"/>
        <w:rPr>
          <w:rFonts w:ascii="Arial" w:hAnsi="Arial" w:cs="Arial"/>
          <w:sz w:val="22"/>
          <w:szCs w:val="22"/>
        </w:rPr>
      </w:pPr>
      <w:r w:rsidRPr="001353BC">
        <w:t xml:space="preserve">  </w:t>
      </w:r>
      <w:bookmarkStart w:id="2" w:name="_Toc232588039"/>
      <w:r w:rsidRPr="001353BC">
        <w:t xml:space="preserve">Section 2: </w:t>
      </w:r>
      <w:proofErr w:type="spellStart"/>
      <w:r w:rsidRPr="001353BC">
        <w:t>Pathophys</w:t>
      </w:r>
      <w:proofErr w:type="spellEnd"/>
      <w:r w:rsidR="00710B68" w:rsidRPr="001353BC">
        <w:t xml:space="preserve"> </w:t>
      </w:r>
      <w:proofErr w:type="spellStart"/>
      <w:r w:rsidR="003437C2" w:rsidRPr="001353BC">
        <w:t>iology</w:t>
      </w:r>
      <w:proofErr w:type="spellEnd"/>
      <w:r w:rsidR="003437C2" w:rsidRPr="001353BC">
        <w:t xml:space="preserve"> and Impact</w:t>
      </w:r>
      <w:bookmarkEnd w:id="2"/>
      <w:r w:rsidR="009429B5" w:rsidRPr="001353BC">
        <w:t xml:space="preserve">   </w:t>
      </w:r>
    </w:p>
    <w:p w14:paraId="17DB118B" w14:textId="6FA1864F" w:rsidR="003437C2" w:rsidRPr="00ED4C7A" w:rsidRDefault="00740532" w:rsidP="00E81A3F">
      <w:pPr>
        <w:spacing w:line="360" w:lineRule="auto"/>
        <w:rPr>
          <w:rFonts w:ascii="Arial" w:hAnsi="Arial" w:cs="Arial"/>
          <w:b/>
          <w:bCs/>
          <w:sz w:val="22"/>
          <w:szCs w:val="22"/>
        </w:rPr>
      </w:pPr>
      <w:r>
        <w:rPr>
          <w:rFonts w:ascii="Arial" w:hAnsi="Arial" w:cs="Arial"/>
          <w:b/>
          <w:bCs/>
          <w:sz w:val="32"/>
          <w:szCs w:val="32"/>
        </w:rPr>
        <w:t xml:space="preserve">. </w:t>
      </w:r>
      <w:r w:rsidR="00393DB3" w:rsidRPr="00ED4C7A">
        <w:rPr>
          <w:rFonts w:ascii="Arial" w:hAnsi="Arial" w:cs="Arial"/>
          <w:b/>
          <w:bCs/>
          <w:sz w:val="22"/>
          <w:szCs w:val="22"/>
        </w:rPr>
        <w:t xml:space="preserve">The </w:t>
      </w:r>
      <w:r w:rsidR="00A71937" w:rsidRPr="00ED4C7A">
        <w:rPr>
          <w:rFonts w:ascii="Arial" w:hAnsi="Arial" w:cs="Arial"/>
          <w:b/>
          <w:bCs/>
          <w:sz w:val="22"/>
          <w:szCs w:val="22"/>
        </w:rPr>
        <w:t xml:space="preserve">consequence </w:t>
      </w:r>
      <w:r w:rsidR="00E13253" w:rsidRPr="00ED4C7A">
        <w:rPr>
          <w:rFonts w:ascii="Arial" w:hAnsi="Arial" w:cs="Arial"/>
          <w:b/>
          <w:bCs/>
          <w:sz w:val="22"/>
          <w:szCs w:val="22"/>
        </w:rPr>
        <w:t>of blood</w:t>
      </w:r>
      <w:r w:rsidR="00110575" w:rsidRPr="00ED4C7A">
        <w:rPr>
          <w:rFonts w:ascii="Arial" w:hAnsi="Arial" w:cs="Arial"/>
          <w:b/>
          <w:bCs/>
          <w:sz w:val="22"/>
          <w:szCs w:val="22"/>
        </w:rPr>
        <w:t xml:space="preserve"> sugar regulation</w:t>
      </w:r>
      <w:r w:rsidR="00BA6978" w:rsidRPr="00ED4C7A">
        <w:rPr>
          <w:rFonts w:ascii="Arial" w:hAnsi="Arial" w:cs="Arial"/>
          <w:b/>
          <w:bCs/>
          <w:sz w:val="22"/>
          <w:szCs w:val="22"/>
        </w:rPr>
        <w:t xml:space="preserve"> failure</w:t>
      </w:r>
      <w:r w:rsidR="00980A5B" w:rsidRPr="00ED4C7A">
        <w:rPr>
          <w:rFonts w:ascii="Arial" w:hAnsi="Arial" w:cs="Arial"/>
          <w:b/>
          <w:bCs/>
          <w:sz w:val="22"/>
          <w:szCs w:val="22"/>
        </w:rPr>
        <w:t>:</w:t>
      </w:r>
    </w:p>
    <w:p w14:paraId="4A3CCC93" w14:textId="77777777" w:rsidR="003437C2" w:rsidRPr="00A132C1" w:rsidRDefault="003437C2" w:rsidP="00E81A3F">
      <w:pPr>
        <w:spacing w:line="360" w:lineRule="auto"/>
        <w:jc w:val="both"/>
        <w:rPr>
          <w:rFonts w:ascii="Arial" w:hAnsi="Arial" w:cs="Arial"/>
          <w:sz w:val="22"/>
          <w:szCs w:val="22"/>
        </w:rPr>
      </w:pPr>
      <w:r w:rsidRPr="00A132C1">
        <w:rPr>
          <w:rFonts w:ascii="Arial" w:hAnsi="Arial" w:cs="Arial"/>
          <w:sz w:val="22"/>
          <w:szCs w:val="22"/>
        </w:rPr>
        <w:t>Type 2 diabetes develops when body tissues become resistant to insulin and pancreatic beta cells gradually lose their ability to compensate through increased insulin production (DeFronzo et al., 2015).</w:t>
      </w:r>
    </w:p>
    <w:p w14:paraId="1980FD65" w14:textId="77777777" w:rsidR="003437C2" w:rsidRPr="00A132C1" w:rsidRDefault="003437C2" w:rsidP="00E81A3F">
      <w:pPr>
        <w:spacing w:line="360" w:lineRule="auto"/>
        <w:jc w:val="both"/>
        <w:rPr>
          <w:rFonts w:ascii="Arial" w:hAnsi="Arial" w:cs="Arial"/>
          <w:sz w:val="22"/>
          <w:szCs w:val="22"/>
        </w:rPr>
      </w:pPr>
      <w:r w:rsidRPr="00A132C1">
        <w:rPr>
          <w:rFonts w:ascii="Arial" w:hAnsi="Arial" w:cs="Arial"/>
          <w:sz w:val="22"/>
          <w:szCs w:val="22"/>
        </w:rPr>
        <w:t>Initially, the pancreas responds to insulin resistance by producing larger amounts of insulin. During this stage, blood glucose may remain relatively normal despite increasing metabolic dysfunction. However, over time, beta cells become exhausted and insulin secretion declines. Consequently, glucose accumulates in the bloodstream, resulting in chronic hyperglycaemia (ADA, 2025).</w:t>
      </w:r>
    </w:p>
    <w:p w14:paraId="0485C4F1" w14:textId="77777777" w:rsidR="003437C2" w:rsidRPr="00A132C1" w:rsidRDefault="003437C2" w:rsidP="00E81A3F">
      <w:pPr>
        <w:spacing w:line="360" w:lineRule="auto"/>
        <w:jc w:val="both"/>
        <w:rPr>
          <w:rFonts w:ascii="Arial" w:hAnsi="Arial" w:cs="Arial"/>
          <w:sz w:val="22"/>
          <w:szCs w:val="22"/>
        </w:rPr>
      </w:pPr>
      <w:r w:rsidRPr="00A132C1">
        <w:rPr>
          <w:rFonts w:ascii="Arial" w:hAnsi="Arial" w:cs="Arial"/>
          <w:sz w:val="22"/>
          <w:szCs w:val="22"/>
        </w:rPr>
        <w:t>Persistent hyperglycaemia causes significant physiological damage. Excess glucose damages blood vessel walls through oxidative stress and chronic inflammation. Small blood vessels are particularly vulnerable, increasing the risk of diabetic retinopathy, nephropathy, and neuropathy. Damage to larger blood vessels contributes to cardiovascular disease, stroke, and peripheral vascular disease (NICE, 2022).</w:t>
      </w:r>
    </w:p>
    <w:p w14:paraId="16E3F17A" w14:textId="77777777" w:rsidR="00064E63" w:rsidRPr="00A132C1" w:rsidRDefault="003437C2" w:rsidP="00E81A3F">
      <w:pPr>
        <w:spacing w:line="360" w:lineRule="auto"/>
        <w:jc w:val="both"/>
        <w:rPr>
          <w:rFonts w:ascii="Arial" w:hAnsi="Arial" w:cs="Arial"/>
          <w:sz w:val="22"/>
          <w:szCs w:val="22"/>
        </w:rPr>
      </w:pPr>
      <w:r w:rsidRPr="00A132C1">
        <w:rPr>
          <w:rFonts w:ascii="Arial" w:hAnsi="Arial" w:cs="Arial"/>
          <w:sz w:val="22"/>
          <w:szCs w:val="22"/>
        </w:rPr>
        <w:t>Patients may experience symptoms such as increased thirst, frequent urination, fatigue, blurred vision, recurrent infections, and delayed wound healing. If left untreated, prolonged hyperglycaemia significantly increases morbidity and mortality.</w:t>
      </w:r>
    </w:p>
    <w:p w14:paraId="7FB79A16" w14:textId="44A21E2C" w:rsidR="00505FF7" w:rsidRPr="00A132C1" w:rsidRDefault="00774E1F" w:rsidP="00E81A3F">
      <w:pPr>
        <w:spacing w:line="360" w:lineRule="auto"/>
        <w:rPr>
          <w:rFonts w:ascii="Arial" w:hAnsi="Arial" w:cs="Arial"/>
          <w:b/>
          <w:bCs/>
          <w:sz w:val="22"/>
          <w:szCs w:val="22"/>
        </w:rPr>
      </w:pPr>
      <w:r w:rsidRPr="00A132C1">
        <w:rPr>
          <w:rFonts w:ascii="Arial" w:hAnsi="Arial" w:cs="Arial"/>
          <w:b/>
          <w:bCs/>
          <w:sz w:val="22"/>
          <w:szCs w:val="22"/>
        </w:rPr>
        <w:t xml:space="preserve">                </w:t>
      </w:r>
      <w:r w:rsidR="00505FF7" w:rsidRPr="00A132C1">
        <w:rPr>
          <w:rFonts w:ascii="Arial" w:hAnsi="Arial" w:cs="Arial"/>
          <w:b/>
          <w:bCs/>
          <w:sz w:val="22"/>
          <w:szCs w:val="22"/>
        </w:rPr>
        <w:t>Influence of Lifestyle Factors on Glucose Control</w:t>
      </w:r>
    </w:p>
    <w:p w14:paraId="01FE6915" w14:textId="30D3C9E8" w:rsidR="009927D7" w:rsidRPr="00A132C1" w:rsidRDefault="004A708A" w:rsidP="00E81A3F">
      <w:pPr>
        <w:pStyle w:val="ListParagraph"/>
        <w:numPr>
          <w:ilvl w:val="0"/>
          <w:numId w:val="3"/>
        </w:numPr>
        <w:spacing w:line="360" w:lineRule="auto"/>
        <w:rPr>
          <w:rFonts w:ascii="Arial" w:hAnsi="Arial" w:cs="Arial"/>
          <w:b/>
          <w:bCs/>
          <w:sz w:val="22"/>
          <w:szCs w:val="22"/>
        </w:rPr>
      </w:pPr>
      <w:r w:rsidRPr="00A132C1">
        <w:rPr>
          <w:rFonts w:ascii="Arial" w:hAnsi="Arial" w:cs="Arial"/>
          <w:b/>
          <w:bCs/>
          <w:sz w:val="22"/>
          <w:szCs w:val="22"/>
        </w:rPr>
        <w:t xml:space="preserve">Diet </w:t>
      </w:r>
    </w:p>
    <w:p w14:paraId="419F3B7F" w14:textId="5C9AE6E2" w:rsidR="00505FF7" w:rsidRPr="00A132C1" w:rsidRDefault="00505FF7" w:rsidP="00E81A3F">
      <w:pPr>
        <w:spacing w:line="360" w:lineRule="auto"/>
        <w:jc w:val="both"/>
        <w:rPr>
          <w:rFonts w:ascii="Arial" w:hAnsi="Arial" w:cs="Arial"/>
          <w:sz w:val="22"/>
          <w:szCs w:val="22"/>
        </w:rPr>
      </w:pPr>
      <w:r w:rsidRPr="00A132C1">
        <w:rPr>
          <w:rFonts w:ascii="Arial" w:hAnsi="Arial" w:cs="Arial"/>
          <w:sz w:val="22"/>
          <w:szCs w:val="22"/>
        </w:rPr>
        <w:t>Diet plays a major role in both the development and management of T2DM. Diets high in refined carbohydrates, saturated fats, and sugary beverages contribute to obesity and</w:t>
      </w:r>
      <w:r w:rsidR="00497031" w:rsidRPr="00A132C1">
        <w:rPr>
          <w:rFonts w:ascii="Arial" w:hAnsi="Arial" w:cs="Arial"/>
          <w:sz w:val="22"/>
          <w:szCs w:val="22"/>
        </w:rPr>
        <w:t xml:space="preserve"> insulin resistance</w:t>
      </w:r>
      <w:r w:rsidRPr="00A132C1">
        <w:rPr>
          <w:rFonts w:ascii="Arial" w:hAnsi="Arial" w:cs="Arial"/>
          <w:sz w:val="22"/>
          <w:szCs w:val="22"/>
        </w:rPr>
        <w:t>. Excess calorie consumption promotes visceral fat accumulation, which releases inflammatory substances that impair insulin signalling pathways (Diabetes UK, 2024).</w:t>
      </w:r>
    </w:p>
    <w:p w14:paraId="14BA5A92" w14:textId="7C89CB54" w:rsidR="00505FF7" w:rsidRPr="00A132C1" w:rsidRDefault="00505FF7" w:rsidP="00E81A3F">
      <w:pPr>
        <w:pStyle w:val="ListParagraph"/>
        <w:numPr>
          <w:ilvl w:val="0"/>
          <w:numId w:val="3"/>
        </w:numPr>
        <w:spacing w:line="360" w:lineRule="auto"/>
        <w:rPr>
          <w:rFonts w:ascii="Arial" w:hAnsi="Arial" w:cs="Arial"/>
          <w:b/>
          <w:bCs/>
          <w:sz w:val="22"/>
          <w:szCs w:val="22"/>
        </w:rPr>
      </w:pPr>
      <w:r w:rsidRPr="00A132C1">
        <w:rPr>
          <w:rFonts w:ascii="Arial" w:hAnsi="Arial" w:cs="Arial"/>
          <w:b/>
          <w:bCs/>
          <w:sz w:val="22"/>
          <w:szCs w:val="22"/>
        </w:rPr>
        <w:t>Physical Inactivity</w:t>
      </w:r>
    </w:p>
    <w:p w14:paraId="4C3147F0" w14:textId="27AF5357" w:rsidR="00505FF7" w:rsidRPr="00A132C1" w:rsidRDefault="00505FF7" w:rsidP="00E81A3F">
      <w:pPr>
        <w:spacing w:line="360" w:lineRule="auto"/>
        <w:jc w:val="both"/>
        <w:rPr>
          <w:rFonts w:ascii="Arial" w:hAnsi="Arial" w:cs="Arial"/>
          <w:sz w:val="22"/>
          <w:szCs w:val="22"/>
        </w:rPr>
      </w:pPr>
      <w:r w:rsidRPr="00A132C1">
        <w:rPr>
          <w:rFonts w:ascii="Arial" w:hAnsi="Arial" w:cs="Arial"/>
          <w:sz w:val="22"/>
          <w:szCs w:val="22"/>
        </w:rPr>
        <w:t>Regular physical activity enhances insulin sensitivity by increasing glucose uptake into skeletal muscles. Conversely, sedentary behaviour reduces metabolic efficiency and contributes to weight gain. Research demonstrates that physically active individuals</w:t>
      </w:r>
      <w:r w:rsidR="003A097D" w:rsidRPr="00A132C1">
        <w:rPr>
          <w:rFonts w:ascii="Arial" w:hAnsi="Arial" w:cs="Arial"/>
          <w:sz w:val="22"/>
          <w:szCs w:val="22"/>
        </w:rPr>
        <w:t xml:space="preserve"> </w:t>
      </w:r>
      <w:r w:rsidRPr="00A132C1">
        <w:rPr>
          <w:rFonts w:ascii="Arial" w:hAnsi="Arial" w:cs="Arial"/>
          <w:sz w:val="22"/>
          <w:szCs w:val="22"/>
        </w:rPr>
        <w:t>have significantly lower risks of developing T2DM and experience better glycaemic control after diagnosis (Colberg et al., 2016).</w:t>
      </w:r>
    </w:p>
    <w:p w14:paraId="19A1A52C" w14:textId="09A6CEF0" w:rsidR="00505FF7" w:rsidRPr="00A132C1" w:rsidRDefault="00505FF7" w:rsidP="00E81A3F">
      <w:pPr>
        <w:pStyle w:val="ListParagraph"/>
        <w:numPr>
          <w:ilvl w:val="0"/>
          <w:numId w:val="3"/>
        </w:numPr>
        <w:spacing w:line="360" w:lineRule="auto"/>
        <w:rPr>
          <w:rFonts w:ascii="Arial" w:hAnsi="Arial" w:cs="Arial"/>
          <w:b/>
          <w:bCs/>
          <w:sz w:val="22"/>
          <w:szCs w:val="22"/>
        </w:rPr>
      </w:pPr>
      <w:r w:rsidRPr="00A132C1">
        <w:rPr>
          <w:rFonts w:ascii="Arial" w:hAnsi="Arial" w:cs="Arial"/>
          <w:b/>
          <w:bCs/>
          <w:sz w:val="22"/>
          <w:szCs w:val="22"/>
        </w:rPr>
        <w:lastRenderedPageBreak/>
        <w:t>Smoking</w:t>
      </w:r>
    </w:p>
    <w:p w14:paraId="694A3A6F" w14:textId="3B33D88B" w:rsidR="00505FF7" w:rsidRPr="00A132C1" w:rsidRDefault="00505FF7" w:rsidP="00E81A3F">
      <w:pPr>
        <w:spacing w:line="360" w:lineRule="auto"/>
        <w:jc w:val="both"/>
        <w:rPr>
          <w:rFonts w:ascii="Arial" w:hAnsi="Arial" w:cs="Arial"/>
          <w:sz w:val="22"/>
          <w:szCs w:val="22"/>
        </w:rPr>
      </w:pPr>
      <w:r w:rsidRPr="00A132C1">
        <w:rPr>
          <w:rFonts w:ascii="Arial" w:hAnsi="Arial" w:cs="Arial"/>
          <w:sz w:val="22"/>
          <w:szCs w:val="22"/>
        </w:rPr>
        <w:t>Smoking negatively affects glucose metabolism and vascular health. Nicotine increases insulin resistance and contributes to endothelial dysfunction. Smoking also increases the risk of cardiovascular complications, which are already elevated among people with diabetes (</w:t>
      </w:r>
      <w:r w:rsidR="001665B8" w:rsidRPr="00A132C1">
        <w:rPr>
          <w:rFonts w:ascii="Arial" w:hAnsi="Arial" w:cs="Arial"/>
          <w:sz w:val="22"/>
          <w:szCs w:val="22"/>
        </w:rPr>
        <w:t>Centres</w:t>
      </w:r>
      <w:r w:rsidRPr="00A132C1">
        <w:rPr>
          <w:rFonts w:ascii="Arial" w:hAnsi="Arial" w:cs="Arial"/>
          <w:sz w:val="22"/>
          <w:szCs w:val="22"/>
        </w:rPr>
        <w:t xml:space="preserve"> for Disease Control and Prevention (CDC), 2024).</w:t>
      </w:r>
    </w:p>
    <w:p w14:paraId="5FB0B007" w14:textId="77777777" w:rsidR="00505FF7" w:rsidRPr="00A132C1" w:rsidRDefault="00505FF7" w:rsidP="00E81A3F">
      <w:pPr>
        <w:pStyle w:val="ListParagraph"/>
        <w:numPr>
          <w:ilvl w:val="0"/>
          <w:numId w:val="3"/>
        </w:numPr>
        <w:spacing w:line="360" w:lineRule="auto"/>
        <w:rPr>
          <w:rFonts w:ascii="Arial" w:hAnsi="Arial" w:cs="Arial"/>
          <w:b/>
          <w:bCs/>
          <w:sz w:val="22"/>
          <w:szCs w:val="22"/>
        </w:rPr>
      </w:pPr>
      <w:r w:rsidRPr="00A132C1">
        <w:rPr>
          <w:rFonts w:ascii="Arial" w:hAnsi="Arial" w:cs="Arial"/>
          <w:b/>
          <w:bCs/>
          <w:sz w:val="22"/>
          <w:szCs w:val="22"/>
        </w:rPr>
        <w:t>Obesity</w:t>
      </w:r>
    </w:p>
    <w:p w14:paraId="185DF87A" w14:textId="77777777" w:rsidR="00505FF7" w:rsidRPr="00A132C1" w:rsidRDefault="00505FF7" w:rsidP="00E81A3F">
      <w:pPr>
        <w:spacing w:line="360" w:lineRule="auto"/>
        <w:jc w:val="both"/>
        <w:rPr>
          <w:rFonts w:ascii="Arial" w:hAnsi="Arial" w:cs="Arial"/>
          <w:sz w:val="22"/>
          <w:szCs w:val="22"/>
        </w:rPr>
      </w:pPr>
      <w:r w:rsidRPr="00A132C1">
        <w:rPr>
          <w:rFonts w:ascii="Arial" w:hAnsi="Arial" w:cs="Arial"/>
          <w:sz w:val="22"/>
          <w:szCs w:val="22"/>
        </w:rPr>
        <w:t>Obesity is one of the strongest predictors of T2DM. Excess adipose tissue promotes chronic low-grade inflammation and interferes with insulin signalling. Weight reduction has been shown to improve insulin sensitivity and, in some cases, induce diabetes remission (Lean et al., 2018).</w:t>
      </w:r>
    </w:p>
    <w:p w14:paraId="1B0C6E13" w14:textId="6898D5CC" w:rsidR="00505FF7" w:rsidRPr="00A132C1" w:rsidRDefault="00314BB7" w:rsidP="00E81A3F">
      <w:pPr>
        <w:pStyle w:val="Heading2"/>
        <w:spacing w:line="360" w:lineRule="auto"/>
      </w:pPr>
      <w:r w:rsidRPr="00A132C1">
        <w:t xml:space="preserve">   </w:t>
      </w:r>
      <w:bookmarkStart w:id="3" w:name="_Toc232588040"/>
      <w:r w:rsidR="00505FF7" w:rsidRPr="00A132C1">
        <w:t>Section 3: Monitoring and Data Use</w:t>
      </w:r>
      <w:bookmarkEnd w:id="3"/>
    </w:p>
    <w:p w14:paraId="1D0D5B2C" w14:textId="65C08E00" w:rsidR="00516BC1" w:rsidRPr="00A132C1" w:rsidRDefault="00FA2E07" w:rsidP="00E81A3F">
      <w:pPr>
        <w:spacing w:line="360" w:lineRule="auto"/>
        <w:rPr>
          <w:rFonts w:ascii="Arial" w:hAnsi="Arial" w:cs="Arial"/>
          <w:b/>
          <w:bCs/>
          <w:sz w:val="22"/>
          <w:szCs w:val="22"/>
        </w:rPr>
      </w:pPr>
      <w:r w:rsidRPr="00A132C1">
        <w:rPr>
          <w:rFonts w:ascii="Arial" w:hAnsi="Arial" w:cs="Arial"/>
          <w:b/>
          <w:bCs/>
          <w:sz w:val="22"/>
          <w:szCs w:val="22"/>
        </w:rPr>
        <w:t>.</w:t>
      </w:r>
      <w:r w:rsidR="00003B3D" w:rsidRPr="00A132C1">
        <w:rPr>
          <w:rFonts w:ascii="Arial" w:hAnsi="Arial" w:cs="Arial"/>
          <w:b/>
          <w:bCs/>
          <w:sz w:val="22"/>
          <w:szCs w:val="22"/>
        </w:rPr>
        <w:t xml:space="preserve"> </w:t>
      </w:r>
      <w:r w:rsidR="00D46F80" w:rsidRPr="00A132C1">
        <w:rPr>
          <w:rFonts w:ascii="Arial" w:hAnsi="Arial" w:cs="Arial"/>
          <w:b/>
          <w:bCs/>
          <w:sz w:val="22"/>
          <w:szCs w:val="22"/>
        </w:rPr>
        <w:t xml:space="preserve">The </w:t>
      </w:r>
      <w:r w:rsidR="002752DD" w:rsidRPr="00A132C1">
        <w:rPr>
          <w:rFonts w:ascii="Arial" w:hAnsi="Arial" w:cs="Arial"/>
          <w:b/>
          <w:bCs/>
          <w:sz w:val="22"/>
          <w:szCs w:val="22"/>
        </w:rPr>
        <w:t xml:space="preserve">benefits of </w:t>
      </w:r>
      <w:r w:rsidR="003C34A0" w:rsidRPr="00A132C1">
        <w:rPr>
          <w:rFonts w:ascii="Arial" w:hAnsi="Arial" w:cs="Arial"/>
          <w:b/>
          <w:bCs/>
          <w:sz w:val="22"/>
          <w:szCs w:val="22"/>
        </w:rPr>
        <w:t>tracking health data</w:t>
      </w:r>
      <w:r w:rsidR="00605BC5" w:rsidRPr="00A132C1">
        <w:rPr>
          <w:rFonts w:ascii="Arial" w:hAnsi="Arial" w:cs="Arial"/>
          <w:b/>
          <w:bCs/>
          <w:sz w:val="22"/>
          <w:szCs w:val="22"/>
        </w:rPr>
        <w:t xml:space="preserve">: </w:t>
      </w:r>
    </w:p>
    <w:p w14:paraId="1A3089E9" w14:textId="77777777" w:rsidR="009F554A" w:rsidRPr="00A132C1" w:rsidRDefault="00505FF7" w:rsidP="00E81A3F">
      <w:pPr>
        <w:spacing w:line="360" w:lineRule="auto"/>
        <w:jc w:val="both"/>
        <w:rPr>
          <w:rFonts w:ascii="Arial" w:hAnsi="Arial" w:cs="Arial"/>
          <w:sz w:val="22"/>
          <w:szCs w:val="22"/>
        </w:rPr>
      </w:pPr>
      <w:r w:rsidRPr="00A132C1">
        <w:rPr>
          <w:rFonts w:ascii="Arial" w:hAnsi="Arial" w:cs="Arial"/>
          <w:sz w:val="22"/>
          <w:szCs w:val="22"/>
        </w:rPr>
        <w:t>Monitoring blood glucose levels is a fundamental aspect of diabetes management. It provides valuable information regarding how diet, physical activity, medication, illness, and stress influence glycaemic control.</w:t>
      </w:r>
      <w:r w:rsidR="00166EA6" w:rsidRPr="00A132C1">
        <w:rPr>
          <w:rFonts w:ascii="Arial" w:hAnsi="Arial" w:cs="Arial"/>
          <w:sz w:val="22"/>
          <w:szCs w:val="22"/>
        </w:rPr>
        <w:t xml:space="preserve"> </w:t>
      </w:r>
      <w:r w:rsidR="009F554A" w:rsidRPr="00A132C1">
        <w:rPr>
          <w:rFonts w:ascii="Arial" w:hAnsi="Arial" w:cs="Arial"/>
          <w:sz w:val="22"/>
          <w:szCs w:val="22"/>
        </w:rPr>
        <w:t>Patients may monitor glucose using finger-prick testing devices or Continuous Glucose Monitoring (CGM) systems. These technologies allow individuals to identify fluctuations in blood glucose levels and make informed decisions regarding lifestyle and treatment (NICE, 2022).</w:t>
      </w:r>
    </w:p>
    <w:p w14:paraId="53277D45" w14:textId="77777777" w:rsidR="009F554A" w:rsidRPr="00A132C1" w:rsidRDefault="009F554A" w:rsidP="00E81A3F">
      <w:pPr>
        <w:spacing w:line="360" w:lineRule="auto"/>
        <w:jc w:val="both"/>
        <w:rPr>
          <w:rFonts w:ascii="Arial" w:hAnsi="Arial" w:cs="Arial"/>
          <w:sz w:val="22"/>
          <w:szCs w:val="22"/>
        </w:rPr>
      </w:pPr>
      <w:r w:rsidRPr="00A132C1">
        <w:rPr>
          <w:rFonts w:ascii="Arial" w:hAnsi="Arial" w:cs="Arial"/>
          <w:sz w:val="22"/>
          <w:szCs w:val="22"/>
        </w:rPr>
        <w:t>An important long-term monitoring measure is glycated haemoglobin (HbA1c). HbA1c reflects average blood glucose levels over approximately three months and is routinely used to assess diabetes control. Elevated HbA1c values indicate poor glycaemic management and increased risk of complications (ADA, 2025).</w:t>
      </w:r>
    </w:p>
    <w:p w14:paraId="2CFDA0CD" w14:textId="77777777" w:rsidR="009F554A" w:rsidRPr="00A132C1" w:rsidRDefault="009F554A" w:rsidP="00E81A3F">
      <w:pPr>
        <w:spacing w:line="360" w:lineRule="auto"/>
        <w:jc w:val="both"/>
        <w:rPr>
          <w:rFonts w:ascii="Arial" w:hAnsi="Arial" w:cs="Arial"/>
          <w:sz w:val="22"/>
          <w:szCs w:val="22"/>
        </w:rPr>
      </w:pPr>
      <w:r w:rsidRPr="00A132C1">
        <w:rPr>
          <w:rFonts w:ascii="Arial" w:hAnsi="Arial" w:cs="Arial"/>
          <w:sz w:val="22"/>
          <w:szCs w:val="22"/>
        </w:rPr>
        <w:t>Recording blood glucose readings provides several benefits. Firstly, it allows patients to recognise patterns and understand how specific foods, exercise routines, or medications affect glucose levels. Secondly, it supports healthcare professionals in making evidence-based treatment decisions. Thirdly, regular monitoring encourages patient engagement and self-management, improving adherence to care plans.</w:t>
      </w:r>
    </w:p>
    <w:p w14:paraId="4EBD763E" w14:textId="5E63FADC" w:rsidR="007B65F8" w:rsidRPr="00A132C1" w:rsidRDefault="00AA2204" w:rsidP="00E81A3F">
      <w:pPr>
        <w:spacing w:line="360" w:lineRule="auto"/>
        <w:jc w:val="both"/>
        <w:rPr>
          <w:rFonts w:ascii="Arial" w:hAnsi="Arial" w:cs="Arial"/>
          <w:b/>
          <w:bCs/>
          <w:sz w:val="22"/>
          <w:szCs w:val="22"/>
        </w:rPr>
      </w:pPr>
      <w:r w:rsidRPr="00A132C1">
        <w:rPr>
          <w:rFonts w:ascii="Arial" w:hAnsi="Arial" w:cs="Arial"/>
          <w:b/>
          <w:bCs/>
          <w:sz w:val="22"/>
          <w:szCs w:val="22"/>
        </w:rPr>
        <w:t>.</w:t>
      </w:r>
      <w:r w:rsidR="00D6030E" w:rsidRPr="00A132C1">
        <w:rPr>
          <w:rFonts w:ascii="Arial" w:hAnsi="Arial" w:cs="Arial"/>
          <w:b/>
          <w:bCs/>
          <w:sz w:val="22"/>
          <w:szCs w:val="22"/>
        </w:rPr>
        <w:t xml:space="preserve"> </w:t>
      </w:r>
      <w:r w:rsidR="00C80DCC" w:rsidRPr="00A132C1">
        <w:rPr>
          <w:rFonts w:ascii="Arial" w:hAnsi="Arial" w:cs="Arial"/>
          <w:b/>
          <w:bCs/>
          <w:sz w:val="22"/>
          <w:szCs w:val="22"/>
        </w:rPr>
        <w:t>Management of the condition th</w:t>
      </w:r>
      <w:r w:rsidR="0050279E" w:rsidRPr="00A132C1">
        <w:rPr>
          <w:rFonts w:ascii="Arial" w:hAnsi="Arial" w:cs="Arial"/>
          <w:b/>
          <w:bCs/>
          <w:sz w:val="22"/>
          <w:szCs w:val="22"/>
        </w:rPr>
        <w:t>rough routine collection</w:t>
      </w:r>
      <w:r w:rsidR="00C64C53" w:rsidRPr="00A132C1">
        <w:rPr>
          <w:rFonts w:ascii="Arial" w:hAnsi="Arial" w:cs="Arial"/>
          <w:b/>
          <w:bCs/>
          <w:sz w:val="22"/>
          <w:szCs w:val="22"/>
        </w:rPr>
        <w:t xml:space="preserve">: </w:t>
      </w:r>
    </w:p>
    <w:p w14:paraId="190E9F0F" w14:textId="77777777" w:rsidR="009F554A" w:rsidRPr="00A132C1" w:rsidRDefault="009F554A" w:rsidP="00E81A3F">
      <w:pPr>
        <w:spacing w:line="360" w:lineRule="auto"/>
        <w:jc w:val="both"/>
        <w:rPr>
          <w:rFonts w:ascii="Arial" w:hAnsi="Arial" w:cs="Arial"/>
          <w:sz w:val="22"/>
          <w:szCs w:val="22"/>
        </w:rPr>
      </w:pPr>
      <w:r w:rsidRPr="00A132C1">
        <w:rPr>
          <w:rFonts w:ascii="Arial" w:hAnsi="Arial" w:cs="Arial"/>
          <w:sz w:val="22"/>
          <w:szCs w:val="22"/>
        </w:rPr>
        <w:t>Routine data collection also supports early intervention. For example, rising glucose levels may indicate declining medication effectiveness or worsening insulin resistance. Early identification enables healthcare professionals to modify treatment before serious complications develop.</w:t>
      </w:r>
    </w:p>
    <w:p w14:paraId="268FEFCE" w14:textId="77777777" w:rsidR="009F21A9" w:rsidRDefault="009F554A" w:rsidP="005D72A9">
      <w:pPr>
        <w:spacing w:line="360" w:lineRule="auto"/>
        <w:jc w:val="both"/>
        <w:rPr>
          <w:rFonts w:ascii="Arial" w:hAnsi="Arial" w:cs="Arial"/>
          <w:sz w:val="22"/>
          <w:szCs w:val="22"/>
        </w:rPr>
      </w:pPr>
      <w:r w:rsidRPr="00A132C1">
        <w:rPr>
          <w:rFonts w:ascii="Arial" w:hAnsi="Arial" w:cs="Arial"/>
          <w:sz w:val="22"/>
          <w:szCs w:val="22"/>
        </w:rPr>
        <w:lastRenderedPageBreak/>
        <w:t>Modern digital technologies have further enhanced diabetes management. Smartphone applications and CGM systems allow real-time data sharing between patients and healthcare providers, facilitating personalised care and improving outcomes. Therefore, monitoring and recording blood glucose data are essential for maintaining safe and effective diabetes management.</w:t>
      </w:r>
    </w:p>
    <w:p w14:paraId="41034FC9" w14:textId="04C2219B" w:rsidR="009F554A" w:rsidRPr="005D72A9" w:rsidRDefault="00F245E6" w:rsidP="005D72A9">
      <w:pPr>
        <w:spacing w:line="360" w:lineRule="auto"/>
        <w:jc w:val="both"/>
        <w:rPr>
          <w:rFonts w:ascii="Arial" w:hAnsi="Arial" w:cs="Arial"/>
          <w:sz w:val="22"/>
          <w:szCs w:val="22"/>
        </w:rPr>
      </w:pPr>
      <w:r w:rsidRPr="00A132C1">
        <w:t xml:space="preserve">  </w:t>
      </w:r>
      <w:r w:rsidR="009F554A" w:rsidRPr="00A132C1">
        <w:t>Section 4: Evidence-Based Lifestyle Recommendat</w:t>
      </w:r>
      <w:r w:rsidR="00941BB7" w:rsidRPr="00A132C1">
        <w:t>ions</w:t>
      </w:r>
    </w:p>
    <w:p w14:paraId="3718B30D" w14:textId="77777777" w:rsidR="009F554A" w:rsidRPr="00A132C1" w:rsidRDefault="009F554A" w:rsidP="00E81A3F">
      <w:pPr>
        <w:pStyle w:val="ListParagraph"/>
        <w:numPr>
          <w:ilvl w:val="0"/>
          <w:numId w:val="2"/>
        </w:numPr>
        <w:spacing w:line="360" w:lineRule="auto"/>
        <w:rPr>
          <w:rFonts w:ascii="Arial" w:hAnsi="Arial" w:cs="Arial"/>
          <w:b/>
          <w:bCs/>
          <w:sz w:val="22"/>
          <w:szCs w:val="22"/>
        </w:rPr>
      </w:pPr>
      <w:r w:rsidRPr="00A132C1">
        <w:rPr>
          <w:rFonts w:ascii="Arial" w:hAnsi="Arial" w:cs="Arial"/>
          <w:b/>
          <w:bCs/>
          <w:sz w:val="22"/>
          <w:szCs w:val="22"/>
        </w:rPr>
        <w:t>Adopting a Healthy Diet</w:t>
      </w:r>
    </w:p>
    <w:p w14:paraId="4999DC2E" w14:textId="77777777" w:rsidR="009F554A" w:rsidRPr="00A132C1" w:rsidRDefault="009F554A" w:rsidP="00E81A3F">
      <w:pPr>
        <w:spacing w:line="360" w:lineRule="auto"/>
        <w:jc w:val="both"/>
        <w:rPr>
          <w:rFonts w:ascii="Arial" w:hAnsi="Arial" w:cs="Arial"/>
          <w:sz w:val="22"/>
          <w:szCs w:val="22"/>
        </w:rPr>
      </w:pPr>
      <w:r w:rsidRPr="00A132C1">
        <w:rPr>
          <w:rFonts w:ascii="Arial" w:hAnsi="Arial" w:cs="Arial"/>
          <w:sz w:val="22"/>
          <w:szCs w:val="22"/>
        </w:rPr>
        <w:t>Dietary modification represents one of the most effective interventions for managing T2DM. NICE (2022) recommends a balanced diet rich in vegetables, fruits, whole grains, legumes, lean proteins, and healthy fats.</w:t>
      </w:r>
    </w:p>
    <w:p w14:paraId="46E787C6" w14:textId="2EA09E1D" w:rsidR="00505FF7" w:rsidRPr="00A132C1" w:rsidRDefault="009F554A" w:rsidP="00E81A3F">
      <w:pPr>
        <w:spacing w:line="360" w:lineRule="auto"/>
        <w:jc w:val="both"/>
        <w:rPr>
          <w:rFonts w:ascii="Arial" w:hAnsi="Arial" w:cs="Arial"/>
          <w:sz w:val="22"/>
          <w:szCs w:val="22"/>
        </w:rPr>
      </w:pPr>
      <w:r w:rsidRPr="00A132C1">
        <w:rPr>
          <w:rFonts w:ascii="Arial" w:hAnsi="Arial" w:cs="Arial"/>
          <w:sz w:val="22"/>
          <w:szCs w:val="22"/>
        </w:rPr>
        <w:t>The Mediterranean diet has demonstrated significant benefits in improving glycaemic control and reducing cardiovascular risk. This dietary pattern emphasises olive oil, fish,</w:t>
      </w:r>
    </w:p>
    <w:p w14:paraId="3D280580" w14:textId="77777777" w:rsidR="005278FB" w:rsidRPr="00A132C1" w:rsidRDefault="005278FB" w:rsidP="00E81A3F">
      <w:pPr>
        <w:spacing w:line="360" w:lineRule="auto"/>
        <w:jc w:val="both"/>
        <w:rPr>
          <w:rFonts w:ascii="Arial" w:hAnsi="Arial" w:cs="Arial"/>
          <w:sz w:val="22"/>
          <w:szCs w:val="22"/>
        </w:rPr>
      </w:pPr>
      <w:r w:rsidRPr="00A132C1">
        <w:rPr>
          <w:rFonts w:ascii="Arial" w:hAnsi="Arial" w:cs="Arial"/>
          <w:sz w:val="22"/>
          <w:szCs w:val="22"/>
        </w:rPr>
        <w:t>vegetables, legumes, and whole grains while limiting processed foods and refined sugars (Esposito et al., 2017).</w:t>
      </w:r>
    </w:p>
    <w:p w14:paraId="4367D90A" w14:textId="77777777" w:rsidR="005278FB" w:rsidRPr="00A132C1" w:rsidRDefault="005278FB" w:rsidP="00E81A3F">
      <w:pPr>
        <w:spacing w:line="360" w:lineRule="auto"/>
        <w:jc w:val="both"/>
        <w:rPr>
          <w:rFonts w:ascii="Arial" w:hAnsi="Arial" w:cs="Arial"/>
          <w:sz w:val="22"/>
          <w:szCs w:val="22"/>
        </w:rPr>
      </w:pPr>
      <w:r w:rsidRPr="00A132C1">
        <w:rPr>
          <w:rFonts w:ascii="Arial" w:hAnsi="Arial" w:cs="Arial"/>
          <w:sz w:val="22"/>
          <w:szCs w:val="22"/>
        </w:rPr>
        <w:t>Reducing high-glycaemic foods helps minimise rapid blood glucose spikes and improves insulin sensitivity. Increased dietary fibre intake also slows glucose absorption and promotes satiety.</w:t>
      </w:r>
    </w:p>
    <w:p w14:paraId="01FE30CC" w14:textId="77777777" w:rsidR="005278FB" w:rsidRPr="00A132C1" w:rsidRDefault="005278FB" w:rsidP="00E81A3F">
      <w:pPr>
        <w:pStyle w:val="ListParagraph"/>
        <w:numPr>
          <w:ilvl w:val="0"/>
          <w:numId w:val="2"/>
        </w:numPr>
        <w:spacing w:line="360" w:lineRule="auto"/>
        <w:rPr>
          <w:rFonts w:ascii="Arial" w:hAnsi="Arial" w:cs="Arial"/>
          <w:b/>
          <w:bCs/>
          <w:sz w:val="22"/>
          <w:szCs w:val="22"/>
        </w:rPr>
      </w:pPr>
      <w:r w:rsidRPr="00A132C1">
        <w:rPr>
          <w:rFonts w:ascii="Arial" w:hAnsi="Arial" w:cs="Arial"/>
          <w:b/>
          <w:bCs/>
          <w:sz w:val="22"/>
          <w:szCs w:val="22"/>
        </w:rPr>
        <w:t>Increasing Physical Activity</w:t>
      </w:r>
    </w:p>
    <w:p w14:paraId="0FA2C59F" w14:textId="77777777" w:rsidR="005278FB" w:rsidRPr="00A132C1" w:rsidRDefault="005278FB" w:rsidP="00E81A3F">
      <w:pPr>
        <w:spacing w:line="360" w:lineRule="auto"/>
        <w:jc w:val="both"/>
        <w:rPr>
          <w:rFonts w:ascii="Arial" w:hAnsi="Arial" w:cs="Arial"/>
          <w:sz w:val="22"/>
          <w:szCs w:val="22"/>
        </w:rPr>
      </w:pPr>
      <w:r w:rsidRPr="00A132C1">
        <w:rPr>
          <w:rFonts w:ascii="Arial" w:hAnsi="Arial" w:cs="Arial"/>
          <w:sz w:val="22"/>
          <w:szCs w:val="22"/>
        </w:rPr>
        <w:t>Physical activity is strongly recommended for individuals with T2DM. NICE advises at least 150 minutes of moderate-intensity exercise per week combined with muscle-strengthening activities on two or more days weekly (NICE, 2022).</w:t>
      </w:r>
    </w:p>
    <w:p w14:paraId="7284317D" w14:textId="77777777" w:rsidR="005278FB" w:rsidRPr="00A132C1" w:rsidRDefault="005278FB" w:rsidP="00E81A3F">
      <w:pPr>
        <w:spacing w:line="360" w:lineRule="auto"/>
        <w:jc w:val="both"/>
        <w:rPr>
          <w:rFonts w:ascii="Arial" w:hAnsi="Arial" w:cs="Arial"/>
          <w:sz w:val="22"/>
          <w:szCs w:val="22"/>
        </w:rPr>
      </w:pPr>
      <w:r w:rsidRPr="00A132C1">
        <w:rPr>
          <w:rFonts w:ascii="Arial" w:hAnsi="Arial" w:cs="Arial"/>
          <w:sz w:val="22"/>
          <w:szCs w:val="22"/>
        </w:rPr>
        <w:t>Exercise improves insulin sensitivity, enhances glucose uptake by skeletal muscles, supports weight management, and reduces cardiovascular risk. Walking, cycling, swimming, and resistance training are particularly beneficial.</w:t>
      </w:r>
    </w:p>
    <w:p w14:paraId="546B7940" w14:textId="77777777" w:rsidR="005278FB" w:rsidRPr="00A132C1" w:rsidRDefault="005278FB" w:rsidP="00E81A3F">
      <w:pPr>
        <w:pStyle w:val="ListParagraph"/>
        <w:numPr>
          <w:ilvl w:val="0"/>
          <w:numId w:val="2"/>
        </w:numPr>
        <w:spacing w:line="360" w:lineRule="auto"/>
        <w:rPr>
          <w:rFonts w:ascii="Arial" w:hAnsi="Arial" w:cs="Arial"/>
          <w:b/>
          <w:bCs/>
          <w:sz w:val="22"/>
          <w:szCs w:val="22"/>
        </w:rPr>
      </w:pPr>
      <w:r w:rsidRPr="00A132C1">
        <w:rPr>
          <w:rFonts w:ascii="Arial" w:hAnsi="Arial" w:cs="Arial"/>
          <w:b/>
          <w:bCs/>
          <w:sz w:val="22"/>
          <w:szCs w:val="22"/>
        </w:rPr>
        <w:t>Smoking Cessation</w:t>
      </w:r>
    </w:p>
    <w:p w14:paraId="3A177B5F" w14:textId="77777777" w:rsidR="005278FB" w:rsidRPr="00A132C1" w:rsidRDefault="005278FB" w:rsidP="00E81A3F">
      <w:pPr>
        <w:spacing w:line="360" w:lineRule="auto"/>
        <w:jc w:val="both"/>
        <w:rPr>
          <w:rFonts w:ascii="Arial" w:hAnsi="Arial" w:cs="Arial"/>
          <w:sz w:val="22"/>
          <w:szCs w:val="22"/>
        </w:rPr>
      </w:pPr>
      <w:r w:rsidRPr="00A132C1">
        <w:rPr>
          <w:rFonts w:ascii="Arial" w:hAnsi="Arial" w:cs="Arial"/>
          <w:sz w:val="22"/>
          <w:szCs w:val="22"/>
        </w:rPr>
        <w:t>Smoking cessation should be strongly encouraged. Stopping smoking improves cardiovascular health, reduces inflammation, and decreases the risk of diabetes-related complications. Healthcare professionals can support cessation through behavioural counselling, nicotine replacement therapy, and specialist stop-smoking services (CDC, 2024).</w:t>
      </w:r>
    </w:p>
    <w:p w14:paraId="31E4AD4D" w14:textId="77777777" w:rsidR="005278FB" w:rsidRPr="00A132C1" w:rsidRDefault="005278FB" w:rsidP="00E81A3F">
      <w:pPr>
        <w:pStyle w:val="ListParagraph"/>
        <w:numPr>
          <w:ilvl w:val="0"/>
          <w:numId w:val="2"/>
        </w:numPr>
        <w:spacing w:line="360" w:lineRule="auto"/>
        <w:rPr>
          <w:rFonts w:ascii="Arial" w:hAnsi="Arial" w:cs="Arial"/>
          <w:b/>
          <w:bCs/>
          <w:sz w:val="22"/>
          <w:szCs w:val="22"/>
        </w:rPr>
      </w:pPr>
      <w:r w:rsidRPr="00A132C1">
        <w:rPr>
          <w:rFonts w:ascii="Arial" w:hAnsi="Arial" w:cs="Arial"/>
          <w:b/>
          <w:bCs/>
          <w:sz w:val="22"/>
          <w:szCs w:val="22"/>
        </w:rPr>
        <w:t>Weight Management</w:t>
      </w:r>
    </w:p>
    <w:p w14:paraId="2CD928E2" w14:textId="77777777" w:rsidR="005278FB" w:rsidRPr="00A132C1" w:rsidRDefault="005278FB" w:rsidP="00E81A3F">
      <w:pPr>
        <w:spacing w:line="360" w:lineRule="auto"/>
        <w:jc w:val="both"/>
        <w:rPr>
          <w:rFonts w:ascii="Arial" w:hAnsi="Arial" w:cs="Arial"/>
          <w:sz w:val="22"/>
          <w:szCs w:val="22"/>
        </w:rPr>
      </w:pPr>
      <w:r w:rsidRPr="00A132C1">
        <w:rPr>
          <w:rFonts w:ascii="Arial" w:hAnsi="Arial" w:cs="Arial"/>
          <w:sz w:val="22"/>
          <w:szCs w:val="22"/>
        </w:rPr>
        <w:lastRenderedPageBreak/>
        <w:t>Evidence suggests that losing 5–10% of body weight significantly improves glycaemic control and insulin sensitivity (Diabetes UK, 2024). Structured weight-management programmes, dietitian support, and behavioural interventions can help patients achieve sustainable weight loss.</w:t>
      </w:r>
    </w:p>
    <w:p w14:paraId="22022BA3" w14:textId="44C420D1" w:rsidR="005278FB" w:rsidRPr="00A132C1" w:rsidRDefault="005278FB" w:rsidP="00E81A3F">
      <w:pPr>
        <w:spacing w:line="360" w:lineRule="auto"/>
        <w:jc w:val="both"/>
        <w:rPr>
          <w:rFonts w:ascii="Arial" w:hAnsi="Arial" w:cs="Arial"/>
          <w:sz w:val="22"/>
          <w:szCs w:val="22"/>
        </w:rPr>
      </w:pPr>
      <w:r w:rsidRPr="00A132C1">
        <w:rPr>
          <w:rFonts w:ascii="Arial" w:hAnsi="Arial" w:cs="Arial"/>
          <w:sz w:val="22"/>
          <w:szCs w:val="22"/>
        </w:rPr>
        <w:t>The Direct trial demonstrated that substantial weight loss can even result in diabetes remission in some individuals, highlighting the importance of weight management as a therapeutic strategy (Lean et al., 2018).</w:t>
      </w:r>
      <w:r w:rsidR="00514420" w:rsidRPr="00A132C1">
        <w:rPr>
          <w:rFonts w:ascii="Arial" w:hAnsi="Arial" w:cs="Arial"/>
          <w:sz w:val="22"/>
          <w:szCs w:val="22"/>
        </w:rPr>
        <w:t xml:space="preserve"> </w:t>
      </w:r>
    </w:p>
    <w:p w14:paraId="3DC95C41" w14:textId="77777777" w:rsidR="00E26929" w:rsidRPr="00A132C1" w:rsidRDefault="00E26929" w:rsidP="00E81A3F">
      <w:pPr>
        <w:pStyle w:val="ListParagraph"/>
        <w:numPr>
          <w:ilvl w:val="0"/>
          <w:numId w:val="2"/>
        </w:numPr>
        <w:spacing w:line="360" w:lineRule="auto"/>
        <w:rPr>
          <w:rFonts w:ascii="Arial" w:hAnsi="Arial" w:cs="Arial"/>
          <w:b/>
          <w:bCs/>
          <w:sz w:val="22"/>
          <w:szCs w:val="22"/>
        </w:rPr>
      </w:pPr>
      <w:r w:rsidRPr="00A132C1">
        <w:rPr>
          <w:rFonts w:ascii="Arial" w:hAnsi="Arial" w:cs="Arial"/>
          <w:b/>
          <w:bCs/>
          <w:sz w:val="22"/>
          <w:szCs w:val="22"/>
        </w:rPr>
        <w:t>Patient Education and Self-Management</w:t>
      </w:r>
    </w:p>
    <w:p w14:paraId="70E5119C" w14:textId="77777777" w:rsidR="00E26929" w:rsidRPr="00A132C1" w:rsidRDefault="00E26929" w:rsidP="00E81A3F">
      <w:pPr>
        <w:spacing w:line="360" w:lineRule="auto"/>
        <w:jc w:val="both"/>
        <w:rPr>
          <w:rFonts w:ascii="Arial" w:hAnsi="Arial" w:cs="Arial"/>
          <w:sz w:val="22"/>
          <w:szCs w:val="22"/>
        </w:rPr>
      </w:pPr>
      <w:r w:rsidRPr="00A132C1">
        <w:rPr>
          <w:rFonts w:ascii="Arial" w:hAnsi="Arial" w:cs="Arial"/>
          <w:sz w:val="22"/>
          <w:szCs w:val="22"/>
        </w:rPr>
        <w:t>Patient education plays a crucial role in diabetes care. Individuals who understand their condition are more likely to adhere to treatment plans and make informed lifestyle choices. Structured education programmes such as DESMOND have been shown to improve self-management skills and health outcomes.</w:t>
      </w:r>
    </w:p>
    <w:p w14:paraId="1EE1925F" w14:textId="1B2768A9" w:rsidR="00E26929" w:rsidRPr="00A132C1" w:rsidRDefault="00E26929" w:rsidP="00E81A3F">
      <w:pPr>
        <w:spacing w:line="360" w:lineRule="auto"/>
        <w:jc w:val="both"/>
        <w:rPr>
          <w:rFonts w:ascii="Arial" w:hAnsi="Arial" w:cs="Arial"/>
          <w:sz w:val="22"/>
          <w:szCs w:val="22"/>
        </w:rPr>
      </w:pPr>
      <w:r w:rsidRPr="00A132C1">
        <w:rPr>
          <w:rFonts w:ascii="Arial" w:hAnsi="Arial" w:cs="Arial"/>
          <w:sz w:val="22"/>
          <w:szCs w:val="22"/>
        </w:rPr>
        <w:t>Healthcare professionals should provide ongoing support and encourage patients to actively participate in monitoring and managing their condition. Empowering patients promotes long-term behavioural change and improved quality of life.</w:t>
      </w:r>
      <w:r w:rsidR="001535B8" w:rsidRPr="00A132C1">
        <w:rPr>
          <w:rFonts w:ascii="Arial" w:hAnsi="Arial" w:cs="Arial"/>
          <w:sz w:val="22"/>
          <w:szCs w:val="22"/>
        </w:rPr>
        <w:t xml:space="preserve"> </w:t>
      </w:r>
    </w:p>
    <w:p w14:paraId="1FE0A57E" w14:textId="5A7D96AE" w:rsidR="00A1600F" w:rsidRPr="00A132C1" w:rsidRDefault="0044456D" w:rsidP="00E81A3F">
      <w:pPr>
        <w:pStyle w:val="Heading1"/>
        <w:spacing w:line="360" w:lineRule="auto"/>
      </w:pPr>
      <w:r w:rsidRPr="00A132C1">
        <w:t xml:space="preserve">                                             </w:t>
      </w:r>
      <w:bookmarkStart w:id="4" w:name="_Toc232588041"/>
      <w:r w:rsidR="00A1600F" w:rsidRPr="00A132C1">
        <w:t>Conclusion</w:t>
      </w:r>
      <w:bookmarkEnd w:id="4"/>
    </w:p>
    <w:p w14:paraId="08398CD9" w14:textId="77777777" w:rsidR="00A1600F" w:rsidRPr="00A132C1" w:rsidRDefault="00A1600F" w:rsidP="00E81A3F">
      <w:pPr>
        <w:spacing w:line="360" w:lineRule="auto"/>
        <w:jc w:val="both"/>
        <w:rPr>
          <w:rFonts w:ascii="Arial" w:hAnsi="Arial" w:cs="Arial"/>
          <w:sz w:val="22"/>
          <w:szCs w:val="22"/>
        </w:rPr>
      </w:pPr>
      <w:r w:rsidRPr="00A132C1">
        <w:rPr>
          <w:rFonts w:ascii="Arial" w:hAnsi="Arial" w:cs="Arial"/>
          <w:sz w:val="22"/>
          <w:szCs w:val="22"/>
        </w:rPr>
        <w:t>Type 2 Diabetes Mellitus is a significant chronic health condition characterised by insulin resistance and progressive pancreatic beta-cell dysfunction. In healthy individuals, blood glucose levels are maintained through the coordinated actions of insulin and glucagon, ensuring a continuous supply of glucose for cellular metabolism and ATP production. However, when these regulatory mechanisms fail, chronic hyperglycaemia develops and can lead to serious complications affecting the eyes, kidneys, nerves, and cardiovascular system.</w:t>
      </w:r>
    </w:p>
    <w:p w14:paraId="22DD0B8B" w14:textId="77777777" w:rsidR="00A1600F" w:rsidRPr="00A132C1" w:rsidRDefault="00A1600F" w:rsidP="00E81A3F">
      <w:pPr>
        <w:spacing w:line="360" w:lineRule="auto"/>
        <w:jc w:val="both"/>
        <w:rPr>
          <w:rFonts w:ascii="Arial" w:hAnsi="Arial" w:cs="Arial"/>
          <w:sz w:val="22"/>
          <w:szCs w:val="22"/>
        </w:rPr>
      </w:pPr>
      <w:r w:rsidRPr="00A132C1">
        <w:rPr>
          <w:rFonts w:ascii="Arial" w:hAnsi="Arial" w:cs="Arial"/>
          <w:sz w:val="22"/>
          <w:szCs w:val="22"/>
        </w:rPr>
        <w:t>Lifestyle factors such as obesity, poor diet, physical inactivity, and smoking play major roles in both the development and progression of T2DM. Understanding these risk factors enables patients to make informed decisions that support improved health outcomes.</w:t>
      </w:r>
    </w:p>
    <w:p w14:paraId="15109B81" w14:textId="77777777" w:rsidR="00A1600F" w:rsidRPr="00A132C1" w:rsidRDefault="00A1600F" w:rsidP="00E81A3F">
      <w:pPr>
        <w:spacing w:line="360" w:lineRule="auto"/>
        <w:jc w:val="both"/>
        <w:rPr>
          <w:rFonts w:ascii="Arial" w:hAnsi="Arial" w:cs="Arial"/>
          <w:sz w:val="22"/>
          <w:szCs w:val="22"/>
        </w:rPr>
      </w:pPr>
      <w:r w:rsidRPr="00A132C1">
        <w:rPr>
          <w:rFonts w:ascii="Arial" w:hAnsi="Arial" w:cs="Arial"/>
          <w:sz w:val="22"/>
          <w:szCs w:val="22"/>
        </w:rPr>
        <w:t>Regular monitoring of blood glucose and HbA1c provides valuable information that supports safe and effective diabetes management. Routine data collection helps patients identify patterns, supports clinical decision-making, and allows early intervention when glycaemic control deteriorates.</w:t>
      </w:r>
    </w:p>
    <w:p w14:paraId="392A6CB2" w14:textId="77777777" w:rsidR="00A1600F" w:rsidRPr="00A132C1" w:rsidRDefault="00A1600F" w:rsidP="00E81A3F">
      <w:pPr>
        <w:spacing w:line="360" w:lineRule="auto"/>
        <w:jc w:val="both"/>
        <w:rPr>
          <w:rFonts w:ascii="Arial" w:hAnsi="Arial" w:cs="Arial"/>
          <w:sz w:val="22"/>
          <w:szCs w:val="22"/>
        </w:rPr>
      </w:pPr>
      <w:r w:rsidRPr="00A132C1">
        <w:rPr>
          <w:rFonts w:ascii="Arial" w:hAnsi="Arial" w:cs="Arial"/>
          <w:sz w:val="22"/>
          <w:szCs w:val="22"/>
        </w:rPr>
        <w:t xml:space="preserve">Evidence-based lifestyle interventions including healthy eating, increased physical activity, smoking cessation, weight management, and patient education have been shown to improve insulin sensitivity, reduce blood glucose levels, and decrease the risk of long-term </w:t>
      </w:r>
      <w:r w:rsidRPr="00A132C1">
        <w:rPr>
          <w:rFonts w:ascii="Arial" w:hAnsi="Arial" w:cs="Arial"/>
          <w:sz w:val="22"/>
          <w:szCs w:val="22"/>
        </w:rPr>
        <w:lastRenderedPageBreak/>
        <w:t>complications. Healthcare professionals therefore play a critical role in educating and supporting patients throughout their diabetes management journey.</w:t>
      </w:r>
    </w:p>
    <w:p w14:paraId="2B98B16C" w14:textId="2872D591" w:rsidR="00A1600F" w:rsidRPr="00A132C1" w:rsidRDefault="00A1600F" w:rsidP="00E81A3F">
      <w:pPr>
        <w:spacing w:line="360" w:lineRule="auto"/>
        <w:jc w:val="both"/>
        <w:rPr>
          <w:rFonts w:ascii="Arial" w:hAnsi="Arial" w:cs="Arial"/>
          <w:sz w:val="22"/>
          <w:szCs w:val="22"/>
        </w:rPr>
      </w:pPr>
      <w:r w:rsidRPr="00A132C1">
        <w:rPr>
          <w:rFonts w:ascii="Arial" w:hAnsi="Arial" w:cs="Arial"/>
          <w:sz w:val="22"/>
          <w:szCs w:val="22"/>
        </w:rPr>
        <w:t>By combining effective monitoring with sustainable lifestyle modifications, individuals with Type 2 diabetes can achieve better glycaemic control, reduce complications, and improve their overall quality of life.</w:t>
      </w:r>
      <w:r w:rsidR="006A5059" w:rsidRPr="00A132C1">
        <w:rPr>
          <w:rFonts w:ascii="Arial" w:hAnsi="Arial" w:cs="Arial"/>
          <w:sz w:val="22"/>
          <w:szCs w:val="22"/>
        </w:rPr>
        <w:t xml:space="preserve"> </w:t>
      </w:r>
    </w:p>
    <w:p w14:paraId="64024C68" w14:textId="77777777" w:rsidR="00BA401B" w:rsidRDefault="00BA401B" w:rsidP="00E81A3F">
      <w:pPr>
        <w:spacing w:line="360" w:lineRule="auto"/>
        <w:rPr>
          <w:rFonts w:ascii="Arial" w:hAnsi="Arial" w:cs="Arial"/>
          <w:b/>
          <w:bCs/>
        </w:rPr>
      </w:pPr>
    </w:p>
    <w:p w14:paraId="1BDC21E8" w14:textId="77777777" w:rsidR="00BA401B" w:rsidRDefault="00BA401B" w:rsidP="00E81A3F">
      <w:pPr>
        <w:spacing w:line="360" w:lineRule="auto"/>
        <w:rPr>
          <w:rFonts w:ascii="Arial" w:hAnsi="Arial" w:cs="Arial"/>
          <w:b/>
          <w:bCs/>
        </w:rPr>
      </w:pPr>
    </w:p>
    <w:p w14:paraId="0C0853D9" w14:textId="77777777" w:rsidR="00BA401B" w:rsidRDefault="00BA401B" w:rsidP="00E81A3F">
      <w:pPr>
        <w:spacing w:line="360" w:lineRule="auto"/>
        <w:rPr>
          <w:rFonts w:ascii="Arial" w:hAnsi="Arial" w:cs="Arial"/>
          <w:b/>
          <w:bCs/>
        </w:rPr>
      </w:pPr>
    </w:p>
    <w:p w14:paraId="365B4339" w14:textId="77777777" w:rsidR="00BA401B" w:rsidRDefault="00BA401B" w:rsidP="00E81A3F">
      <w:pPr>
        <w:spacing w:line="360" w:lineRule="auto"/>
        <w:rPr>
          <w:rFonts w:ascii="Arial" w:hAnsi="Arial" w:cs="Arial"/>
          <w:b/>
          <w:bCs/>
        </w:rPr>
      </w:pPr>
    </w:p>
    <w:p w14:paraId="2B228CEB" w14:textId="77777777" w:rsidR="00BA401B" w:rsidRDefault="00BA401B" w:rsidP="00E81A3F">
      <w:pPr>
        <w:spacing w:line="360" w:lineRule="auto"/>
        <w:rPr>
          <w:rFonts w:ascii="Arial" w:hAnsi="Arial" w:cs="Arial"/>
          <w:b/>
          <w:bCs/>
        </w:rPr>
      </w:pPr>
    </w:p>
    <w:p w14:paraId="70AFAC3F" w14:textId="77777777" w:rsidR="00BA401B" w:rsidRDefault="00BA401B" w:rsidP="00E81A3F">
      <w:pPr>
        <w:spacing w:line="360" w:lineRule="auto"/>
        <w:rPr>
          <w:rFonts w:ascii="Arial" w:hAnsi="Arial" w:cs="Arial"/>
          <w:b/>
          <w:bCs/>
        </w:rPr>
      </w:pPr>
    </w:p>
    <w:p w14:paraId="42A5EE0B" w14:textId="77777777" w:rsidR="00BA401B" w:rsidRDefault="00BA401B" w:rsidP="00E81A3F">
      <w:pPr>
        <w:spacing w:line="360" w:lineRule="auto"/>
        <w:rPr>
          <w:rFonts w:ascii="Arial" w:hAnsi="Arial" w:cs="Arial"/>
          <w:b/>
          <w:bCs/>
        </w:rPr>
      </w:pPr>
    </w:p>
    <w:p w14:paraId="7B911833" w14:textId="77777777" w:rsidR="00BA401B" w:rsidRDefault="00BA401B" w:rsidP="00E81A3F">
      <w:pPr>
        <w:spacing w:line="360" w:lineRule="auto"/>
        <w:rPr>
          <w:rFonts w:ascii="Arial" w:hAnsi="Arial" w:cs="Arial"/>
          <w:b/>
          <w:bCs/>
        </w:rPr>
      </w:pPr>
    </w:p>
    <w:p w14:paraId="6CD690F9" w14:textId="77777777" w:rsidR="001D39F1" w:rsidRDefault="001D39F1" w:rsidP="00E81A3F">
      <w:pPr>
        <w:spacing w:line="360" w:lineRule="auto"/>
        <w:rPr>
          <w:rFonts w:ascii="Arial" w:hAnsi="Arial" w:cs="Arial"/>
          <w:b/>
          <w:bCs/>
        </w:rPr>
      </w:pPr>
    </w:p>
    <w:p w14:paraId="7303628F" w14:textId="77777777" w:rsidR="00937648" w:rsidRDefault="001D39F1" w:rsidP="00E81A3F">
      <w:pPr>
        <w:spacing w:line="360" w:lineRule="auto"/>
        <w:rPr>
          <w:rFonts w:ascii="Arial" w:hAnsi="Arial" w:cs="Arial"/>
          <w:b/>
          <w:bCs/>
          <w:sz w:val="22"/>
          <w:szCs w:val="22"/>
        </w:rPr>
      </w:pPr>
      <w:r w:rsidRPr="003616A6">
        <w:rPr>
          <w:rFonts w:ascii="Arial" w:hAnsi="Arial" w:cs="Arial"/>
          <w:b/>
          <w:bCs/>
          <w:sz w:val="22"/>
          <w:szCs w:val="22"/>
        </w:rPr>
        <w:t xml:space="preserve">                                                             </w:t>
      </w:r>
    </w:p>
    <w:p w14:paraId="7ABA36A4" w14:textId="77777777" w:rsidR="00937648" w:rsidRDefault="00937648" w:rsidP="00E81A3F">
      <w:pPr>
        <w:spacing w:line="360" w:lineRule="auto"/>
        <w:rPr>
          <w:rFonts w:ascii="Arial" w:hAnsi="Arial" w:cs="Arial"/>
          <w:b/>
          <w:bCs/>
          <w:sz w:val="22"/>
          <w:szCs w:val="22"/>
        </w:rPr>
      </w:pPr>
    </w:p>
    <w:p w14:paraId="29DB4CD2" w14:textId="77777777" w:rsidR="00937648" w:rsidRDefault="00937648" w:rsidP="00E81A3F">
      <w:pPr>
        <w:spacing w:line="360" w:lineRule="auto"/>
        <w:rPr>
          <w:rFonts w:ascii="Arial" w:hAnsi="Arial" w:cs="Arial"/>
          <w:b/>
          <w:bCs/>
          <w:sz w:val="22"/>
          <w:szCs w:val="22"/>
        </w:rPr>
      </w:pPr>
    </w:p>
    <w:p w14:paraId="015296D6" w14:textId="77777777" w:rsidR="00937648" w:rsidRDefault="00937648" w:rsidP="00E81A3F">
      <w:pPr>
        <w:spacing w:line="360" w:lineRule="auto"/>
        <w:rPr>
          <w:rFonts w:ascii="Arial" w:hAnsi="Arial" w:cs="Arial"/>
          <w:b/>
          <w:bCs/>
          <w:sz w:val="22"/>
          <w:szCs w:val="22"/>
        </w:rPr>
      </w:pPr>
    </w:p>
    <w:p w14:paraId="0B047A57" w14:textId="77777777" w:rsidR="00937648" w:rsidRDefault="00937648" w:rsidP="00E81A3F">
      <w:pPr>
        <w:spacing w:line="360" w:lineRule="auto"/>
        <w:rPr>
          <w:rFonts w:ascii="Arial" w:hAnsi="Arial" w:cs="Arial"/>
          <w:b/>
          <w:bCs/>
          <w:sz w:val="22"/>
          <w:szCs w:val="22"/>
        </w:rPr>
      </w:pPr>
    </w:p>
    <w:p w14:paraId="4212D306" w14:textId="77777777" w:rsidR="00937648" w:rsidRDefault="00937648" w:rsidP="00E81A3F">
      <w:pPr>
        <w:spacing w:line="360" w:lineRule="auto"/>
        <w:rPr>
          <w:rFonts w:ascii="Arial" w:hAnsi="Arial" w:cs="Arial"/>
          <w:b/>
          <w:bCs/>
          <w:sz w:val="22"/>
          <w:szCs w:val="22"/>
        </w:rPr>
      </w:pPr>
    </w:p>
    <w:p w14:paraId="2B1B5383" w14:textId="77777777" w:rsidR="00937648" w:rsidRDefault="00937648" w:rsidP="00E81A3F">
      <w:pPr>
        <w:spacing w:line="360" w:lineRule="auto"/>
        <w:rPr>
          <w:rFonts w:ascii="Arial" w:hAnsi="Arial" w:cs="Arial"/>
          <w:b/>
          <w:bCs/>
          <w:sz w:val="22"/>
          <w:szCs w:val="22"/>
        </w:rPr>
      </w:pPr>
    </w:p>
    <w:p w14:paraId="34C8629B" w14:textId="77777777" w:rsidR="00937648" w:rsidRDefault="00937648" w:rsidP="00E81A3F">
      <w:pPr>
        <w:spacing w:line="360" w:lineRule="auto"/>
        <w:rPr>
          <w:rFonts w:ascii="Arial" w:hAnsi="Arial" w:cs="Arial"/>
          <w:b/>
          <w:bCs/>
          <w:sz w:val="22"/>
          <w:szCs w:val="22"/>
        </w:rPr>
      </w:pPr>
    </w:p>
    <w:p w14:paraId="51AC7B49" w14:textId="77777777" w:rsidR="00937648" w:rsidRDefault="00937648" w:rsidP="00E81A3F">
      <w:pPr>
        <w:spacing w:line="360" w:lineRule="auto"/>
        <w:rPr>
          <w:rFonts w:ascii="Arial" w:hAnsi="Arial" w:cs="Arial"/>
          <w:b/>
          <w:bCs/>
          <w:sz w:val="22"/>
          <w:szCs w:val="22"/>
        </w:rPr>
      </w:pPr>
    </w:p>
    <w:p w14:paraId="39CAEF81" w14:textId="77777777" w:rsidR="00937648" w:rsidRDefault="00937648" w:rsidP="00E81A3F">
      <w:pPr>
        <w:spacing w:line="360" w:lineRule="auto"/>
        <w:rPr>
          <w:rFonts w:ascii="Arial" w:hAnsi="Arial" w:cs="Arial"/>
          <w:b/>
          <w:bCs/>
          <w:sz w:val="22"/>
          <w:szCs w:val="22"/>
        </w:rPr>
      </w:pPr>
    </w:p>
    <w:p w14:paraId="3FFC6D7F" w14:textId="77777777" w:rsidR="00937648" w:rsidRDefault="00937648" w:rsidP="00E81A3F">
      <w:pPr>
        <w:spacing w:line="360" w:lineRule="auto"/>
        <w:rPr>
          <w:rFonts w:ascii="Arial" w:hAnsi="Arial" w:cs="Arial"/>
          <w:b/>
          <w:bCs/>
          <w:sz w:val="22"/>
          <w:szCs w:val="22"/>
        </w:rPr>
      </w:pPr>
    </w:p>
    <w:p w14:paraId="1AF7BB9A" w14:textId="77777777" w:rsidR="00937648" w:rsidRDefault="00937648" w:rsidP="00E81A3F">
      <w:pPr>
        <w:spacing w:line="360" w:lineRule="auto"/>
        <w:rPr>
          <w:rFonts w:ascii="Arial" w:hAnsi="Arial" w:cs="Arial"/>
          <w:b/>
          <w:bCs/>
          <w:sz w:val="22"/>
          <w:szCs w:val="22"/>
        </w:rPr>
      </w:pPr>
    </w:p>
    <w:p w14:paraId="3CC9553B" w14:textId="77777777" w:rsidR="000C0840" w:rsidRDefault="000C0840" w:rsidP="00E81A3F">
      <w:pPr>
        <w:spacing w:line="360" w:lineRule="auto"/>
        <w:rPr>
          <w:rFonts w:ascii="Arial" w:hAnsi="Arial" w:cs="Arial"/>
          <w:b/>
          <w:bCs/>
          <w:sz w:val="22"/>
          <w:szCs w:val="22"/>
        </w:rPr>
      </w:pPr>
    </w:p>
    <w:p w14:paraId="72F0DAA7" w14:textId="77777777" w:rsidR="000C0840" w:rsidRDefault="000C0840" w:rsidP="00E81A3F">
      <w:pPr>
        <w:spacing w:line="360" w:lineRule="auto"/>
        <w:rPr>
          <w:rFonts w:ascii="Arial" w:hAnsi="Arial" w:cs="Arial"/>
          <w:b/>
          <w:bCs/>
          <w:sz w:val="22"/>
          <w:szCs w:val="22"/>
        </w:rPr>
      </w:pPr>
    </w:p>
    <w:p w14:paraId="1708CE94" w14:textId="12D79160" w:rsidR="00C65F01" w:rsidRPr="003616A6" w:rsidRDefault="001D39F1" w:rsidP="00E81A3F">
      <w:pPr>
        <w:pStyle w:val="Heading1"/>
        <w:spacing w:line="360" w:lineRule="auto"/>
      </w:pPr>
      <w:r w:rsidRPr="003616A6">
        <w:t xml:space="preserve">  </w:t>
      </w:r>
      <w:bookmarkStart w:id="5" w:name="_Toc232588042"/>
      <w:r w:rsidR="00C65F01" w:rsidRPr="003616A6">
        <w:t>References</w:t>
      </w:r>
      <w:bookmarkEnd w:id="5"/>
    </w:p>
    <w:p w14:paraId="47E9BF25" w14:textId="3599AC13" w:rsidR="00C65F01" w:rsidRPr="003616A6" w:rsidRDefault="00C65F01" w:rsidP="00E81A3F">
      <w:pPr>
        <w:spacing w:line="360" w:lineRule="auto"/>
        <w:jc w:val="both"/>
        <w:rPr>
          <w:rFonts w:ascii="Arial" w:hAnsi="Arial" w:cs="Arial"/>
          <w:sz w:val="22"/>
          <w:szCs w:val="22"/>
        </w:rPr>
      </w:pPr>
      <w:r w:rsidRPr="003616A6">
        <w:rPr>
          <w:rFonts w:ascii="Arial" w:hAnsi="Arial" w:cs="Arial"/>
          <w:sz w:val="22"/>
          <w:szCs w:val="22"/>
        </w:rPr>
        <w:t xml:space="preserve">American Diabetes Association (2025) </w:t>
      </w:r>
      <w:r w:rsidRPr="003616A6">
        <w:rPr>
          <w:rFonts w:ascii="Arial" w:hAnsi="Arial" w:cs="Arial"/>
          <w:i/>
          <w:iCs/>
          <w:sz w:val="22"/>
          <w:szCs w:val="22"/>
        </w:rPr>
        <w:t>Standards of Care in Diabetes 2025</w:t>
      </w:r>
      <w:r w:rsidRPr="003616A6">
        <w:rPr>
          <w:rFonts w:ascii="Arial" w:hAnsi="Arial" w:cs="Arial"/>
          <w:sz w:val="22"/>
          <w:szCs w:val="22"/>
        </w:rPr>
        <w:t xml:space="preserve">. </w:t>
      </w:r>
      <w:r w:rsidRPr="003616A6">
        <w:rPr>
          <w:rFonts w:ascii="Arial" w:hAnsi="Arial" w:cs="Arial"/>
          <w:i/>
          <w:iCs/>
          <w:sz w:val="22"/>
          <w:szCs w:val="22"/>
        </w:rPr>
        <w:t>Diabetes Care</w:t>
      </w:r>
      <w:r w:rsidRPr="003616A6">
        <w:rPr>
          <w:rFonts w:ascii="Arial" w:hAnsi="Arial" w:cs="Arial"/>
          <w:sz w:val="22"/>
          <w:szCs w:val="22"/>
        </w:rPr>
        <w:t>, 48(Suppl. 1), pp. 1–350.</w:t>
      </w:r>
    </w:p>
    <w:p w14:paraId="6D56D98D" w14:textId="3D3AD12E" w:rsidR="00C65F01" w:rsidRPr="003616A6" w:rsidRDefault="000C7C00" w:rsidP="00E81A3F">
      <w:pPr>
        <w:spacing w:line="360" w:lineRule="auto"/>
        <w:jc w:val="both"/>
        <w:rPr>
          <w:rFonts w:ascii="Arial" w:hAnsi="Arial" w:cs="Arial"/>
          <w:sz w:val="22"/>
          <w:szCs w:val="22"/>
        </w:rPr>
      </w:pPr>
      <w:proofErr w:type="spellStart"/>
      <w:r w:rsidRPr="003616A6">
        <w:rPr>
          <w:rFonts w:ascii="Arial" w:hAnsi="Arial" w:cs="Arial"/>
          <w:sz w:val="22"/>
          <w:szCs w:val="22"/>
        </w:rPr>
        <w:t>Cent</w:t>
      </w:r>
      <w:r w:rsidR="00407898" w:rsidRPr="003616A6">
        <w:rPr>
          <w:rFonts w:ascii="Arial" w:hAnsi="Arial" w:cs="Arial"/>
          <w:sz w:val="22"/>
          <w:szCs w:val="22"/>
        </w:rPr>
        <w:t>ers</w:t>
      </w:r>
      <w:proofErr w:type="spellEnd"/>
      <w:r w:rsidR="00C65F01" w:rsidRPr="003616A6">
        <w:rPr>
          <w:rFonts w:ascii="Arial" w:hAnsi="Arial" w:cs="Arial"/>
          <w:sz w:val="22"/>
          <w:szCs w:val="22"/>
        </w:rPr>
        <w:t xml:space="preserve"> for Disease Control and Prevention (2024) </w:t>
      </w:r>
      <w:r w:rsidR="00C65F01" w:rsidRPr="003616A6">
        <w:rPr>
          <w:rFonts w:ascii="Arial" w:hAnsi="Arial" w:cs="Arial"/>
          <w:i/>
          <w:iCs/>
          <w:sz w:val="22"/>
          <w:szCs w:val="22"/>
        </w:rPr>
        <w:t>Diabetes and Smoking</w:t>
      </w:r>
      <w:r w:rsidR="00C65F01" w:rsidRPr="003616A6">
        <w:rPr>
          <w:rFonts w:ascii="Arial" w:hAnsi="Arial" w:cs="Arial"/>
          <w:sz w:val="22"/>
          <w:szCs w:val="22"/>
        </w:rPr>
        <w:t xml:space="preserve">. Available at: </w:t>
      </w:r>
      <w:hyperlink r:id="rId9" w:tgtFrame="_new" w:history="1">
        <w:r w:rsidR="00C65F01" w:rsidRPr="003616A6">
          <w:rPr>
            <w:rStyle w:val="Hyperlink"/>
            <w:rFonts w:ascii="Arial" w:hAnsi="Arial" w:cs="Arial"/>
            <w:sz w:val="22"/>
            <w:szCs w:val="22"/>
          </w:rPr>
          <w:t>https://www.cdc.gov/diabetes/risk-factors/diabetes-and-smoking.html</w:t>
        </w:r>
      </w:hyperlink>
      <w:r w:rsidR="00C65F01" w:rsidRPr="003616A6">
        <w:rPr>
          <w:rFonts w:ascii="Arial" w:hAnsi="Arial" w:cs="Arial"/>
          <w:sz w:val="22"/>
          <w:szCs w:val="22"/>
        </w:rPr>
        <w:t xml:space="preserve"> (Accessed: 1 June 2026).</w:t>
      </w:r>
    </w:p>
    <w:p w14:paraId="37E4D5FB" w14:textId="77777777" w:rsidR="00C65F01" w:rsidRPr="003616A6" w:rsidRDefault="00C65F01" w:rsidP="00E81A3F">
      <w:pPr>
        <w:spacing w:line="360" w:lineRule="auto"/>
        <w:jc w:val="both"/>
        <w:rPr>
          <w:rFonts w:ascii="Arial" w:hAnsi="Arial" w:cs="Arial"/>
          <w:sz w:val="22"/>
          <w:szCs w:val="22"/>
        </w:rPr>
      </w:pPr>
      <w:r w:rsidRPr="003616A6">
        <w:rPr>
          <w:rFonts w:ascii="Arial" w:hAnsi="Arial" w:cs="Arial"/>
          <w:sz w:val="22"/>
          <w:szCs w:val="22"/>
        </w:rPr>
        <w:t xml:space="preserve">Colberg, S.R., Sigal, R.J., Yardley, J.E., Riddell, M.C., Dunstan, D.W., Dempsey, P.C., Horton, E.S., Castorino, K. and Tate, D.F. (2016) 'Physical activity/exercise and diabetes', </w:t>
      </w:r>
      <w:r w:rsidRPr="003616A6">
        <w:rPr>
          <w:rFonts w:ascii="Arial" w:hAnsi="Arial" w:cs="Arial"/>
          <w:i/>
          <w:iCs/>
          <w:sz w:val="22"/>
          <w:szCs w:val="22"/>
        </w:rPr>
        <w:t>Diabetes Care</w:t>
      </w:r>
      <w:r w:rsidRPr="003616A6">
        <w:rPr>
          <w:rFonts w:ascii="Arial" w:hAnsi="Arial" w:cs="Arial"/>
          <w:sz w:val="22"/>
          <w:szCs w:val="22"/>
        </w:rPr>
        <w:t>, 39(11), pp. 2065–2079.</w:t>
      </w:r>
    </w:p>
    <w:p w14:paraId="60F1DD6A" w14:textId="77777777" w:rsidR="00C65F01" w:rsidRPr="003616A6" w:rsidRDefault="00C65F01" w:rsidP="00E81A3F">
      <w:pPr>
        <w:spacing w:line="360" w:lineRule="auto"/>
        <w:jc w:val="both"/>
        <w:rPr>
          <w:rFonts w:ascii="Arial" w:hAnsi="Arial" w:cs="Arial"/>
          <w:sz w:val="22"/>
          <w:szCs w:val="22"/>
        </w:rPr>
      </w:pPr>
      <w:r w:rsidRPr="003616A6">
        <w:rPr>
          <w:rFonts w:ascii="Arial" w:hAnsi="Arial" w:cs="Arial"/>
          <w:sz w:val="22"/>
          <w:szCs w:val="22"/>
        </w:rPr>
        <w:t xml:space="preserve">DeFronzo, R.A., </w:t>
      </w:r>
      <w:proofErr w:type="spellStart"/>
      <w:r w:rsidRPr="003616A6">
        <w:rPr>
          <w:rFonts w:ascii="Arial" w:hAnsi="Arial" w:cs="Arial"/>
          <w:sz w:val="22"/>
          <w:szCs w:val="22"/>
        </w:rPr>
        <w:t>Ferrannini</w:t>
      </w:r>
      <w:proofErr w:type="spellEnd"/>
      <w:r w:rsidRPr="003616A6">
        <w:rPr>
          <w:rFonts w:ascii="Arial" w:hAnsi="Arial" w:cs="Arial"/>
          <w:sz w:val="22"/>
          <w:szCs w:val="22"/>
        </w:rPr>
        <w:t xml:space="preserve">, E., Groop, L., Henry, R.R., Herman, W.H., Holst, J.J., Hu, F.B., Kahn, C.R., Raz, I. and Shulman, G.I. (2015) 'Type 2 diabetes mellitus', </w:t>
      </w:r>
      <w:r w:rsidRPr="003616A6">
        <w:rPr>
          <w:rFonts w:ascii="Arial" w:hAnsi="Arial" w:cs="Arial"/>
          <w:i/>
          <w:iCs/>
          <w:sz w:val="22"/>
          <w:szCs w:val="22"/>
        </w:rPr>
        <w:t>Nature Reviews Disease Primers</w:t>
      </w:r>
      <w:r w:rsidRPr="003616A6">
        <w:rPr>
          <w:rFonts w:ascii="Arial" w:hAnsi="Arial" w:cs="Arial"/>
          <w:sz w:val="22"/>
          <w:szCs w:val="22"/>
        </w:rPr>
        <w:t>, 1, Article 15019. doi:10.1038/nrdp.2015.19.</w:t>
      </w:r>
    </w:p>
    <w:p w14:paraId="39C8268A" w14:textId="25E47251" w:rsidR="00C65F01" w:rsidRPr="003616A6" w:rsidRDefault="00C65F01" w:rsidP="00E81A3F">
      <w:pPr>
        <w:spacing w:line="360" w:lineRule="auto"/>
        <w:jc w:val="both"/>
        <w:rPr>
          <w:rFonts w:ascii="Arial" w:hAnsi="Arial" w:cs="Arial"/>
          <w:sz w:val="22"/>
          <w:szCs w:val="22"/>
        </w:rPr>
      </w:pPr>
      <w:r w:rsidRPr="003616A6">
        <w:rPr>
          <w:rFonts w:ascii="Arial" w:hAnsi="Arial" w:cs="Arial"/>
          <w:sz w:val="22"/>
          <w:szCs w:val="22"/>
        </w:rPr>
        <w:t>Diabetes</w:t>
      </w:r>
      <w:r w:rsidR="009A1320" w:rsidRPr="003616A6">
        <w:rPr>
          <w:rFonts w:ascii="Arial" w:hAnsi="Arial" w:cs="Arial"/>
          <w:sz w:val="22"/>
          <w:szCs w:val="22"/>
        </w:rPr>
        <w:t xml:space="preserve"> </w:t>
      </w:r>
      <w:r w:rsidRPr="003616A6">
        <w:rPr>
          <w:rFonts w:ascii="Arial" w:hAnsi="Arial" w:cs="Arial"/>
          <w:sz w:val="22"/>
          <w:szCs w:val="22"/>
        </w:rPr>
        <w:t>UK (2024)</w:t>
      </w:r>
      <w:r w:rsidR="009A1320" w:rsidRPr="003616A6">
        <w:rPr>
          <w:rFonts w:ascii="Arial" w:hAnsi="Arial" w:cs="Arial"/>
          <w:sz w:val="22"/>
          <w:szCs w:val="22"/>
        </w:rPr>
        <w:t xml:space="preserve"> </w:t>
      </w:r>
      <w:r w:rsidRPr="003616A6">
        <w:rPr>
          <w:rFonts w:ascii="Arial" w:hAnsi="Arial" w:cs="Arial"/>
          <w:i/>
          <w:iCs/>
          <w:sz w:val="22"/>
          <w:szCs w:val="22"/>
        </w:rPr>
        <w:t>Diabetes</w:t>
      </w:r>
      <w:r w:rsidR="009A1320" w:rsidRPr="003616A6">
        <w:rPr>
          <w:rFonts w:ascii="Arial" w:hAnsi="Arial" w:cs="Arial"/>
          <w:i/>
          <w:iCs/>
          <w:sz w:val="22"/>
          <w:szCs w:val="22"/>
        </w:rPr>
        <w:t xml:space="preserve"> </w:t>
      </w:r>
      <w:r w:rsidRPr="003616A6">
        <w:rPr>
          <w:rFonts w:ascii="Arial" w:hAnsi="Arial" w:cs="Arial"/>
          <w:i/>
          <w:iCs/>
          <w:sz w:val="22"/>
          <w:szCs w:val="22"/>
        </w:rPr>
        <w:t>Statistics</w:t>
      </w:r>
      <w:r w:rsidRPr="003616A6">
        <w:rPr>
          <w:rFonts w:ascii="Arial" w:hAnsi="Arial" w:cs="Arial"/>
          <w:sz w:val="22"/>
          <w:szCs w:val="22"/>
        </w:rPr>
        <w:t>.</w:t>
      </w:r>
      <w:r w:rsidR="006A04BA" w:rsidRPr="003616A6">
        <w:rPr>
          <w:rFonts w:ascii="Arial" w:hAnsi="Arial" w:cs="Arial"/>
          <w:sz w:val="22"/>
          <w:szCs w:val="22"/>
        </w:rPr>
        <w:t xml:space="preserve"> </w:t>
      </w:r>
      <w:r w:rsidRPr="003616A6">
        <w:rPr>
          <w:rFonts w:ascii="Arial" w:hAnsi="Arial" w:cs="Arial"/>
          <w:sz w:val="22"/>
          <w:szCs w:val="22"/>
        </w:rPr>
        <w:t xml:space="preserve">Available at: </w:t>
      </w:r>
      <w:hyperlink r:id="rId10" w:tgtFrame="_new" w:history="1">
        <w:r w:rsidRPr="003616A6">
          <w:rPr>
            <w:rStyle w:val="Hyperlink"/>
            <w:rFonts w:ascii="Arial" w:hAnsi="Arial" w:cs="Arial"/>
            <w:sz w:val="22"/>
            <w:szCs w:val="22"/>
          </w:rPr>
          <w:t>https://www.diabetes.org.uk/about-us/about-the-charity/our-strategy/statistics</w:t>
        </w:r>
      </w:hyperlink>
      <w:r w:rsidRPr="003616A6">
        <w:rPr>
          <w:rFonts w:ascii="Arial" w:hAnsi="Arial" w:cs="Arial"/>
          <w:sz w:val="22"/>
          <w:szCs w:val="22"/>
        </w:rPr>
        <w:t xml:space="preserve"> (Accessed: 1 June 2026).</w:t>
      </w:r>
    </w:p>
    <w:p w14:paraId="4E7B5FB6" w14:textId="77777777" w:rsidR="00C65F01" w:rsidRPr="003616A6" w:rsidRDefault="00C65F01" w:rsidP="00E81A3F">
      <w:pPr>
        <w:spacing w:line="360" w:lineRule="auto"/>
        <w:jc w:val="both"/>
        <w:rPr>
          <w:rFonts w:ascii="Arial" w:hAnsi="Arial" w:cs="Arial"/>
          <w:sz w:val="22"/>
          <w:szCs w:val="22"/>
        </w:rPr>
      </w:pPr>
      <w:r w:rsidRPr="003616A6">
        <w:rPr>
          <w:rFonts w:ascii="Arial" w:hAnsi="Arial" w:cs="Arial"/>
          <w:sz w:val="22"/>
          <w:szCs w:val="22"/>
        </w:rPr>
        <w:t xml:space="preserve">Esposito, K., Maiorino, M.I., </w:t>
      </w:r>
      <w:proofErr w:type="spellStart"/>
      <w:r w:rsidRPr="003616A6">
        <w:rPr>
          <w:rFonts w:ascii="Arial" w:hAnsi="Arial" w:cs="Arial"/>
          <w:sz w:val="22"/>
          <w:szCs w:val="22"/>
        </w:rPr>
        <w:t>Bellastella</w:t>
      </w:r>
      <w:proofErr w:type="spellEnd"/>
      <w:r w:rsidRPr="003616A6">
        <w:rPr>
          <w:rFonts w:ascii="Arial" w:hAnsi="Arial" w:cs="Arial"/>
          <w:sz w:val="22"/>
          <w:szCs w:val="22"/>
        </w:rPr>
        <w:t xml:space="preserve">, G., Chiodini, P. and Giugliano, D. (2017) 'Mediterranean diet for type 2 diabetes', </w:t>
      </w:r>
      <w:r w:rsidRPr="003616A6">
        <w:rPr>
          <w:rFonts w:ascii="Arial" w:hAnsi="Arial" w:cs="Arial"/>
          <w:i/>
          <w:iCs/>
          <w:sz w:val="22"/>
          <w:szCs w:val="22"/>
        </w:rPr>
        <w:t>Diabetes Research and Clinical Practice</w:t>
      </w:r>
      <w:r w:rsidRPr="003616A6">
        <w:rPr>
          <w:rFonts w:ascii="Arial" w:hAnsi="Arial" w:cs="Arial"/>
          <w:sz w:val="22"/>
          <w:szCs w:val="22"/>
        </w:rPr>
        <w:t>, 107(2), pp. 1–10.</w:t>
      </w:r>
    </w:p>
    <w:p w14:paraId="6E13B250" w14:textId="77777777" w:rsidR="00C65F01" w:rsidRPr="003616A6" w:rsidRDefault="00C65F01" w:rsidP="00E81A3F">
      <w:pPr>
        <w:spacing w:line="360" w:lineRule="auto"/>
        <w:jc w:val="both"/>
        <w:rPr>
          <w:rFonts w:ascii="Arial" w:hAnsi="Arial" w:cs="Arial"/>
          <w:sz w:val="22"/>
          <w:szCs w:val="22"/>
        </w:rPr>
      </w:pPr>
      <w:r w:rsidRPr="003616A6">
        <w:rPr>
          <w:rFonts w:ascii="Arial" w:hAnsi="Arial" w:cs="Arial"/>
          <w:sz w:val="22"/>
          <w:szCs w:val="22"/>
        </w:rPr>
        <w:t xml:space="preserve">Hall, J.E. and Hall, M.E. (2020) </w:t>
      </w:r>
      <w:r w:rsidRPr="003616A6">
        <w:rPr>
          <w:rFonts w:ascii="Arial" w:hAnsi="Arial" w:cs="Arial"/>
          <w:i/>
          <w:iCs/>
          <w:sz w:val="22"/>
          <w:szCs w:val="22"/>
        </w:rPr>
        <w:t>Guyton and Hall Textbook of Medical Physiology</w:t>
      </w:r>
      <w:r w:rsidRPr="003616A6">
        <w:rPr>
          <w:rFonts w:ascii="Arial" w:hAnsi="Arial" w:cs="Arial"/>
          <w:sz w:val="22"/>
          <w:szCs w:val="22"/>
        </w:rPr>
        <w:t xml:space="preserve">. 14th </w:t>
      </w:r>
      <w:proofErr w:type="spellStart"/>
      <w:r w:rsidRPr="003616A6">
        <w:rPr>
          <w:rFonts w:ascii="Arial" w:hAnsi="Arial" w:cs="Arial"/>
          <w:sz w:val="22"/>
          <w:szCs w:val="22"/>
        </w:rPr>
        <w:t>edn</w:t>
      </w:r>
      <w:proofErr w:type="spellEnd"/>
      <w:r w:rsidRPr="003616A6">
        <w:rPr>
          <w:rFonts w:ascii="Arial" w:hAnsi="Arial" w:cs="Arial"/>
          <w:sz w:val="22"/>
          <w:szCs w:val="22"/>
        </w:rPr>
        <w:t>. Philadelphia: Elsevier.</w:t>
      </w:r>
    </w:p>
    <w:p w14:paraId="04ACA82B" w14:textId="77777777" w:rsidR="00C65F01" w:rsidRPr="003616A6" w:rsidRDefault="00C65F01" w:rsidP="00E81A3F">
      <w:pPr>
        <w:spacing w:line="360" w:lineRule="auto"/>
        <w:jc w:val="both"/>
        <w:rPr>
          <w:rFonts w:ascii="Arial" w:hAnsi="Arial" w:cs="Arial"/>
          <w:sz w:val="22"/>
          <w:szCs w:val="22"/>
        </w:rPr>
      </w:pPr>
      <w:r w:rsidRPr="003616A6">
        <w:rPr>
          <w:rFonts w:ascii="Arial" w:hAnsi="Arial" w:cs="Arial"/>
          <w:sz w:val="22"/>
          <w:szCs w:val="22"/>
        </w:rPr>
        <w:t xml:space="preserve">International Diabetes Federation (2024) </w:t>
      </w:r>
      <w:r w:rsidRPr="003616A6">
        <w:rPr>
          <w:rFonts w:ascii="Arial" w:hAnsi="Arial" w:cs="Arial"/>
          <w:i/>
          <w:iCs/>
          <w:sz w:val="22"/>
          <w:szCs w:val="22"/>
        </w:rPr>
        <w:t>IDF Diabetes Atlas</w:t>
      </w:r>
      <w:r w:rsidRPr="003616A6">
        <w:rPr>
          <w:rFonts w:ascii="Arial" w:hAnsi="Arial" w:cs="Arial"/>
          <w:sz w:val="22"/>
          <w:szCs w:val="22"/>
        </w:rPr>
        <w:t xml:space="preserve">. 11th </w:t>
      </w:r>
      <w:proofErr w:type="spellStart"/>
      <w:r w:rsidRPr="003616A6">
        <w:rPr>
          <w:rFonts w:ascii="Arial" w:hAnsi="Arial" w:cs="Arial"/>
          <w:sz w:val="22"/>
          <w:szCs w:val="22"/>
        </w:rPr>
        <w:t>edn</w:t>
      </w:r>
      <w:proofErr w:type="spellEnd"/>
      <w:r w:rsidRPr="003616A6">
        <w:rPr>
          <w:rFonts w:ascii="Arial" w:hAnsi="Arial" w:cs="Arial"/>
          <w:sz w:val="22"/>
          <w:szCs w:val="22"/>
        </w:rPr>
        <w:t>. Brussels: International Diabetes Federation.</w:t>
      </w:r>
    </w:p>
    <w:p w14:paraId="6EBC2BE5" w14:textId="77777777" w:rsidR="00C65F01" w:rsidRPr="003616A6" w:rsidRDefault="00C65F01" w:rsidP="00E81A3F">
      <w:pPr>
        <w:spacing w:line="360" w:lineRule="auto"/>
        <w:jc w:val="both"/>
        <w:rPr>
          <w:rFonts w:ascii="Arial" w:hAnsi="Arial" w:cs="Arial"/>
          <w:sz w:val="22"/>
          <w:szCs w:val="22"/>
        </w:rPr>
      </w:pPr>
      <w:r w:rsidRPr="003616A6">
        <w:rPr>
          <w:rFonts w:ascii="Arial" w:hAnsi="Arial" w:cs="Arial"/>
          <w:sz w:val="22"/>
          <w:szCs w:val="22"/>
        </w:rPr>
        <w:t xml:space="preserve">Kahn, S.E., Cooper, M.E. and Del Prato, S. (2014) 'Pathophysiology and treatment of type 2 diabetes: perspectives on the past, present, and future', </w:t>
      </w:r>
      <w:r w:rsidRPr="003616A6">
        <w:rPr>
          <w:rFonts w:ascii="Arial" w:hAnsi="Arial" w:cs="Arial"/>
          <w:i/>
          <w:iCs/>
          <w:sz w:val="22"/>
          <w:szCs w:val="22"/>
        </w:rPr>
        <w:t>The Lancet</w:t>
      </w:r>
      <w:r w:rsidRPr="003616A6">
        <w:rPr>
          <w:rFonts w:ascii="Arial" w:hAnsi="Arial" w:cs="Arial"/>
          <w:sz w:val="22"/>
          <w:szCs w:val="22"/>
        </w:rPr>
        <w:t>, 383(9922), pp. 1068–1083.</w:t>
      </w:r>
    </w:p>
    <w:p w14:paraId="43ECEBD3" w14:textId="77777777" w:rsidR="00C65F01" w:rsidRPr="003616A6" w:rsidRDefault="00C65F01" w:rsidP="00E81A3F">
      <w:pPr>
        <w:spacing w:line="360" w:lineRule="auto"/>
        <w:jc w:val="both"/>
        <w:rPr>
          <w:rFonts w:ascii="Arial" w:hAnsi="Arial" w:cs="Arial"/>
          <w:sz w:val="22"/>
          <w:szCs w:val="22"/>
        </w:rPr>
      </w:pPr>
      <w:r w:rsidRPr="003616A6">
        <w:rPr>
          <w:rFonts w:ascii="Arial" w:hAnsi="Arial" w:cs="Arial"/>
          <w:sz w:val="22"/>
          <w:szCs w:val="22"/>
        </w:rPr>
        <w:t xml:space="preserve">Lean, M.E.J., Leslie, W.S., Barnes, A.C., Brosnahan, N., Thom, G., McCombie, L., Peters, C., </w:t>
      </w:r>
      <w:proofErr w:type="spellStart"/>
      <w:r w:rsidRPr="003616A6">
        <w:rPr>
          <w:rFonts w:ascii="Arial" w:hAnsi="Arial" w:cs="Arial"/>
          <w:sz w:val="22"/>
          <w:szCs w:val="22"/>
        </w:rPr>
        <w:t>Zhyzhneuskaya</w:t>
      </w:r>
      <w:proofErr w:type="spellEnd"/>
      <w:r w:rsidRPr="003616A6">
        <w:rPr>
          <w:rFonts w:ascii="Arial" w:hAnsi="Arial" w:cs="Arial"/>
          <w:sz w:val="22"/>
          <w:szCs w:val="22"/>
        </w:rPr>
        <w:t>, S., Al-</w:t>
      </w:r>
      <w:proofErr w:type="spellStart"/>
      <w:r w:rsidRPr="003616A6">
        <w:rPr>
          <w:rFonts w:ascii="Arial" w:hAnsi="Arial" w:cs="Arial"/>
          <w:sz w:val="22"/>
          <w:szCs w:val="22"/>
        </w:rPr>
        <w:t>Mrabeh</w:t>
      </w:r>
      <w:proofErr w:type="spellEnd"/>
      <w:r w:rsidRPr="003616A6">
        <w:rPr>
          <w:rFonts w:ascii="Arial" w:hAnsi="Arial" w:cs="Arial"/>
          <w:sz w:val="22"/>
          <w:szCs w:val="22"/>
        </w:rPr>
        <w:t xml:space="preserve">, A. and Hollingsworth, K.G. (2018) 'Primary care-led weight management for remission of type 2 diabetes', </w:t>
      </w:r>
      <w:r w:rsidRPr="003616A6">
        <w:rPr>
          <w:rFonts w:ascii="Arial" w:hAnsi="Arial" w:cs="Arial"/>
          <w:i/>
          <w:iCs/>
          <w:sz w:val="22"/>
          <w:szCs w:val="22"/>
        </w:rPr>
        <w:t>The Lancet</w:t>
      </w:r>
      <w:r w:rsidRPr="003616A6">
        <w:rPr>
          <w:rFonts w:ascii="Arial" w:hAnsi="Arial" w:cs="Arial"/>
          <w:sz w:val="22"/>
          <w:szCs w:val="22"/>
        </w:rPr>
        <w:t>, 391(10120), pp. 541–551.</w:t>
      </w:r>
    </w:p>
    <w:p w14:paraId="731FCC66" w14:textId="77777777" w:rsidR="00C65F01" w:rsidRPr="003616A6" w:rsidRDefault="00C65F01" w:rsidP="00E81A3F">
      <w:pPr>
        <w:spacing w:line="360" w:lineRule="auto"/>
        <w:jc w:val="both"/>
        <w:rPr>
          <w:rFonts w:ascii="Arial" w:hAnsi="Arial" w:cs="Arial"/>
          <w:sz w:val="22"/>
          <w:szCs w:val="22"/>
        </w:rPr>
      </w:pPr>
      <w:r w:rsidRPr="003616A6">
        <w:rPr>
          <w:rFonts w:ascii="Arial" w:hAnsi="Arial" w:cs="Arial"/>
          <w:sz w:val="22"/>
          <w:szCs w:val="22"/>
        </w:rPr>
        <w:lastRenderedPageBreak/>
        <w:t xml:space="preserve">National Institute for Health and Care Excellence (2022) </w:t>
      </w:r>
      <w:r w:rsidRPr="003616A6">
        <w:rPr>
          <w:rFonts w:ascii="Arial" w:hAnsi="Arial" w:cs="Arial"/>
          <w:i/>
          <w:iCs/>
          <w:sz w:val="22"/>
          <w:szCs w:val="22"/>
        </w:rPr>
        <w:t>Type 2 Diabetes in Adults: Management (NG28)</w:t>
      </w:r>
      <w:r w:rsidRPr="003616A6">
        <w:rPr>
          <w:rFonts w:ascii="Arial" w:hAnsi="Arial" w:cs="Arial"/>
          <w:sz w:val="22"/>
          <w:szCs w:val="22"/>
        </w:rPr>
        <w:t xml:space="preserve">. London: NICE. Available at: </w:t>
      </w:r>
      <w:hyperlink r:id="rId11" w:tgtFrame="_new" w:history="1">
        <w:r w:rsidRPr="003616A6">
          <w:rPr>
            <w:rStyle w:val="Hyperlink"/>
            <w:rFonts w:ascii="Arial" w:hAnsi="Arial" w:cs="Arial"/>
            <w:sz w:val="22"/>
            <w:szCs w:val="22"/>
          </w:rPr>
          <w:t>https://www.nice.org.uk/guidance/ng28</w:t>
        </w:r>
      </w:hyperlink>
      <w:r w:rsidRPr="003616A6">
        <w:rPr>
          <w:rFonts w:ascii="Arial" w:hAnsi="Arial" w:cs="Arial"/>
          <w:sz w:val="22"/>
          <w:szCs w:val="22"/>
        </w:rPr>
        <w:t xml:space="preserve"> (Accessed: 3 June 2026).</w:t>
      </w:r>
    </w:p>
    <w:p w14:paraId="25F16196" w14:textId="77777777" w:rsidR="00C65F01" w:rsidRPr="003616A6" w:rsidRDefault="00C65F01" w:rsidP="00E81A3F">
      <w:pPr>
        <w:spacing w:line="360" w:lineRule="auto"/>
        <w:jc w:val="both"/>
        <w:rPr>
          <w:rFonts w:ascii="Arial" w:hAnsi="Arial" w:cs="Arial"/>
          <w:sz w:val="22"/>
          <w:szCs w:val="22"/>
        </w:rPr>
      </w:pPr>
      <w:r w:rsidRPr="003616A6">
        <w:rPr>
          <w:rFonts w:ascii="Arial" w:hAnsi="Arial" w:cs="Arial"/>
          <w:sz w:val="22"/>
          <w:szCs w:val="22"/>
        </w:rPr>
        <w:t xml:space="preserve">NHS (2024) </w:t>
      </w:r>
      <w:r w:rsidRPr="003616A6">
        <w:rPr>
          <w:rFonts w:ascii="Arial" w:hAnsi="Arial" w:cs="Arial"/>
          <w:i/>
          <w:iCs/>
          <w:sz w:val="22"/>
          <w:szCs w:val="22"/>
        </w:rPr>
        <w:t>Type 2 Diabetes</w:t>
      </w:r>
      <w:r w:rsidRPr="003616A6">
        <w:rPr>
          <w:rFonts w:ascii="Arial" w:hAnsi="Arial" w:cs="Arial"/>
          <w:sz w:val="22"/>
          <w:szCs w:val="22"/>
        </w:rPr>
        <w:t xml:space="preserve">. Available at: </w:t>
      </w:r>
      <w:hyperlink r:id="rId12" w:tgtFrame="_new" w:history="1">
        <w:r w:rsidRPr="003616A6">
          <w:rPr>
            <w:rStyle w:val="Hyperlink"/>
            <w:rFonts w:ascii="Arial" w:hAnsi="Arial" w:cs="Arial"/>
            <w:sz w:val="22"/>
            <w:szCs w:val="22"/>
          </w:rPr>
          <w:t>https://www.nhs.uk/conditions/type-2-diabetes/</w:t>
        </w:r>
      </w:hyperlink>
      <w:r w:rsidRPr="003616A6">
        <w:rPr>
          <w:rFonts w:ascii="Arial" w:hAnsi="Arial" w:cs="Arial"/>
          <w:sz w:val="22"/>
          <w:szCs w:val="22"/>
        </w:rPr>
        <w:t xml:space="preserve"> (Accessed: 1 June 2026).</w:t>
      </w:r>
    </w:p>
    <w:p w14:paraId="38398D23" w14:textId="77777777" w:rsidR="00C65F01" w:rsidRPr="003616A6" w:rsidRDefault="00C65F01" w:rsidP="00E81A3F">
      <w:pPr>
        <w:spacing w:line="360" w:lineRule="auto"/>
        <w:jc w:val="both"/>
        <w:rPr>
          <w:rFonts w:ascii="Arial" w:hAnsi="Arial" w:cs="Arial"/>
          <w:sz w:val="22"/>
          <w:szCs w:val="22"/>
        </w:rPr>
      </w:pPr>
      <w:r w:rsidRPr="003616A6">
        <w:rPr>
          <w:rFonts w:ascii="Arial" w:hAnsi="Arial" w:cs="Arial"/>
          <w:sz w:val="22"/>
          <w:szCs w:val="22"/>
        </w:rPr>
        <w:t xml:space="preserve">Silverthorn, D.U. (2022) </w:t>
      </w:r>
      <w:r w:rsidRPr="003616A6">
        <w:rPr>
          <w:rFonts w:ascii="Arial" w:hAnsi="Arial" w:cs="Arial"/>
          <w:i/>
          <w:iCs/>
          <w:sz w:val="22"/>
          <w:szCs w:val="22"/>
        </w:rPr>
        <w:t>Human Physiology: An Integrated Approach</w:t>
      </w:r>
      <w:r w:rsidRPr="003616A6">
        <w:rPr>
          <w:rFonts w:ascii="Arial" w:hAnsi="Arial" w:cs="Arial"/>
          <w:sz w:val="22"/>
          <w:szCs w:val="22"/>
        </w:rPr>
        <w:t xml:space="preserve">. 9th </w:t>
      </w:r>
      <w:proofErr w:type="spellStart"/>
      <w:r w:rsidRPr="003616A6">
        <w:rPr>
          <w:rFonts w:ascii="Arial" w:hAnsi="Arial" w:cs="Arial"/>
          <w:sz w:val="22"/>
          <w:szCs w:val="22"/>
        </w:rPr>
        <w:t>edn</w:t>
      </w:r>
      <w:proofErr w:type="spellEnd"/>
      <w:r w:rsidRPr="003616A6">
        <w:rPr>
          <w:rFonts w:ascii="Arial" w:hAnsi="Arial" w:cs="Arial"/>
          <w:sz w:val="22"/>
          <w:szCs w:val="22"/>
        </w:rPr>
        <w:t>. Harlow: Pearson.</w:t>
      </w:r>
    </w:p>
    <w:p w14:paraId="12E842CC" w14:textId="77777777" w:rsidR="00C65F01" w:rsidRPr="003616A6" w:rsidRDefault="00C65F01" w:rsidP="00E81A3F">
      <w:pPr>
        <w:spacing w:line="360" w:lineRule="auto"/>
        <w:jc w:val="both"/>
        <w:rPr>
          <w:rFonts w:ascii="Arial" w:hAnsi="Arial" w:cs="Arial"/>
          <w:sz w:val="22"/>
          <w:szCs w:val="22"/>
        </w:rPr>
      </w:pPr>
      <w:r w:rsidRPr="003616A6">
        <w:rPr>
          <w:rFonts w:ascii="Arial" w:hAnsi="Arial" w:cs="Arial"/>
          <w:sz w:val="22"/>
          <w:szCs w:val="22"/>
        </w:rPr>
        <w:t xml:space="preserve">Tortora, G.J. and Derrickson, B.H. (2021) </w:t>
      </w:r>
      <w:r w:rsidRPr="003616A6">
        <w:rPr>
          <w:rFonts w:ascii="Arial" w:hAnsi="Arial" w:cs="Arial"/>
          <w:i/>
          <w:iCs/>
          <w:sz w:val="22"/>
          <w:szCs w:val="22"/>
        </w:rPr>
        <w:t>Principles of Anatomy and Physiology</w:t>
      </w:r>
      <w:r w:rsidRPr="003616A6">
        <w:rPr>
          <w:rFonts w:ascii="Arial" w:hAnsi="Arial" w:cs="Arial"/>
          <w:sz w:val="22"/>
          <w:szCs w:val="22"/>
        </w:rPr>
        <w:t xml:space="preserve">. 16th </w:t>
      </w:r>
      <w:proofErr w:type="spellStart"/>
      <w:r w:rsidRPr="003616A6">
        <w:rPr>
          <w:rFonts w:ascii="Arial" w:hAnsi="Arial" w:cs="Arial"/>
          <w:sz w:val="22"/>
          <w:szCs w:val="22"/>
        </w:rPr>
        <w:t>edn</w:t>
      </w:r>
      <w:proofErr w:type="spellEnd"/>
      <w:r w:rsidRPr="003616A6">
        <w:rPr>
          <w:rFonts w:ascii="Arial" w:hAnsi="Arial" w:cs="Arial"/>
          <w:sz w:val="22"/>
          <w:szCs w:val="22"/>
        </w:rPr>
        <w:t>. Hoboken: Wiley.</w:t>
      </w:r>
    </w:p>
    <w:p w14:paraId="73573FBB" w14:textId="77777777" w:rsidR="00C65F01" w:rsidRPr="003616A6" w:rsidRDefault="00C65F01" w:rsidP="00E81A3F">
      <w:pPr>
        <w:spacing w:line="360" w:lineRule="auto"/>
        <w:jc w:val="both"/>
        <w:rPr>
          <w:rFonts w:ascii="Arial" w:hAnsi="Arial" w:cs="Arial"/>
          <w:sz w:val="22"/>
          <w:szCs w:val="22"/>
        </w:rPr>
      </w:pPr>
      <w:r w:rsidRPr="003616A6">
        <w:rPr>
          <w:rFonts w:ascii="Arial" w:hAnsi="Arial" w:cs="Arial"/>
          <w:sz w:val="22"/>
          <w:szCs w:val="22"/>
        </w:rPr>
        <w:t xml:space="preserve">UK Health Security Agency (2023) </w:t>
      </w:r>
      <w:r w:rsidRPr="003616A6">
        <w:rPr>
          <w:rFonts w:ascii="Arial" w:hAnsi="Arial" w:cs="Arial"/>
          <w:i/>
          <w:iCs/>
          <w:sz w:val="22"/>
          <w:szCs w:val="22"/>
        </w:rPr>
        <w:t>Health Effects of Obesity and Diabetes</w:t>
      </w:r>
      <w:r w:rsidRPr="003616A6">
        <w:rPr>
          <w:rFonts w:ascii="Arial" w:hAnsi="Arial" w:cs="Arial"/>
          <w:sz w:val="22"/>
          <w:szCs w:val="22"/>
        </w:rPr>
        <w:t>. London: UK Health Security Agency.</w:t>
      </w:r>
    </w:p>
    <w:p w14:paraId="7534EEE7" w14:textId="402BB266" w:rsidR="00C65F01" w:rsidRPr="003616A6" w:rsidRDefault="00C65F01" w:rsidP="00E81A3F">
      <w:pPr>
        <w:spacing w:line="360" w:lineRule="auto"/>
        <w:jc w:val="both"/>
        <w:rPr>
          <w:rFonts w:ascii="Arial" w:hAnsi="Arial" w:cs="Arial"/>
          <w:sz w:val="22"/>
          <w:szCs w:val="22"/>
        </w:rPr>
      </w:pPr>
      <w:r w:rsidRPr="003616A6">
        <w:rPr>
          <w:rFonts w:ascii="Arial" w:hAnsi="Arial" w:cs="Arial"/>
          <w:sz w:val="22"/>
          <w:szCs w:val="22"/>
        </w:rPr>
        <w:t xml:space="preserve">World Health Organization (2023) </w:t>
      </w:r>
      <w:r w:rsidRPr="003616A6">
        <w:rPr>
          <w:rFonts w:ascii="Arial" w:hAnsi="Arial" w:cs="Arial"/>
          <w:i/>
          <w:iCs/>
          <w:sz w:val="22"/>
          <w:szCs w:val="22"/>
        </w:rPr>
        <w:t>Diabetes</w:t>
      </w:r>
      <w:r w:rsidRPr="003616A6">
        <w:rPr>
          <w:rFonts w:ascii="Arial" w:hAnsi="Arial" w:cs="Arial"/>
          <w:sz w:val="22"/>
          <w:szCs w:val="22"/>
        </w:rPr>
        <w:t xml:space="preserve">. Available at: </w:t>
      </w:r>
      <w:hyperlink r:id="rId13" w:tgtFrame="_new" w:history="1">
        <w:r w:rsidRPr="003616A6">
          <w:rPr>
            <w:rStyle w:val="Hyperlink"/>
            <w:rFonts w:ascii="Arial" w:hAnsi="Arial" w:cs="Arial"/>
            <w:sz w:val="22"/>
            <w:szCs w:val="22"/>
          </w:rPr>
          <w:t>https://www.who.int/news-room/fact-sheets/detail/diabetes</w:t>
        </w:r>
      </w:hyperlink>
      <w:r w:rsidRPr="003616A6">
        <w:rPr>
          <w:rFonts w:ascii="Arial" w:hAnsi="Arial" w:cs="Arial"/>
          <w:sz w:val="22"/>
          <w:szCs w:val="22"/>
        </w:rPr>
        <w:t xml:space="preserve"> (Accessed: 1 June 2026).</w:t>
      </w:r>
      <w:r w:rsidR="00B95B99" w:rsidRPr="003616A6">
        <w:rPr>
          <w:rFonts w:ascii="Arial" w:hAnsi="Arial" w:cs="Arial"/>
          <w:sz w:val="22"/>
          <w:szCs w:val="22"/>
        </w:rPr>
        <w:t xml:space="preserve"> </w:t>
      </w:r>
    </w:p>
    <w:p w14:paraId="62ED1817" w14:textId="77777777" w:rsidR="000738AF" w:rsidRPr="00700F49" w:rsidRDefault="000738AF" w:rsidP="00E81A3F">
      <w:pPr>
        <w:spacing w:line="360" w:lineRule="auto"/>
        <w:jc w:val="both"/>
        <w:rPr>
          <w:rFonts w:ascii="Arial" w:hAnsi="Arial" w:cs="Arial"/>
        </w:rPr>
      </w:pPr>
    </w:p>
    <w:p w14:paraId="1580731F" w14:textId="77777777" w:rsidR="002B1012" w:rsidRPr="00700F49" w:rsidRDefault="002B1012" w:rsidP="00E81A3F">
      <w:pPr>
        <w:spacing w:line="360" w:lineRule="auto"/>
        <w:jc w:val="both"/>
        <w:rPr>
          <w:rFonts w:ascii="Arial" w:hAnsi="Arial" w:cs="Arial"/>
        </w:rPr>
      </w:pPr>
    </w:p>
    <w:p w14:paraId="1D92CBEB" w14:textId="77777777" w:rsidR="00964EA8" w:rsidRPr="00700F49" w:rsidRDefault="00964EA8" w:rsidP="00E81A3F">
      <w:pPr>
        <w:spacing w:line="360" w:lineRule="auto"/>
        <w:jc w:val="both"/>
        <w:rPr>
          <w:rFonts w:ascii="Arial" w:hAnsi="Arial" w:cs="Arial"/>
        </w:rPr>
      </w:pPr>
    </w:p>
    <w:p w14:paraId="321C321F" w14:textId="77777777" w:rsidR="001572A7" w:rsidRPr="00700F49" w:rsidRDefault="001572A7" w:rsidP="00E81A3F">
      <w:pPr>
        <w:spacing w:line="360" w:lineRule="auto"/>
        <w:jc w:val="both"/>
        <w:rPr>
          <w:rFonts w:ascii="Arial" w:hAnsi="Arial" w:cs="Arial"/>
        </w:rPr>
      </w:pPr>
    </w:p>
    <w:p w14:paraId="3046F002" w14:textId="77777777" w:rsidR="00543AA0" w:rsidRDefault="00543AA0" w:rsidP="00E81A3F">
      <w:pPr>
        <w:spacing w:line="360" w:lineRule="auto"/>
        <w:jc w:val="both"/>
        <w:rPr>
          <w:rFonts w:ascii="Arial" w:hAnsi="Arial" w:cs="Arial"/>
        </w:rPr>
      </w:pPr>
    </w:p>
    <w:p w14:paraId="1AE0FC56" w14:textId="053D2C95" w:rsidR="003437C2" w:rsidRPr="00700F49" w:rsidRDefault="009E0BC5" w:rsidP="00E81A3F">
      <w:pPr>
        <w:spacing w:line="360" w:lineRule="auto"/>
        <w:jc w:val="both"/>
        <w:rPr>
          <w:rFonts w:ascii="Arial" w:hAnsi="Arial" w:cs="Arial"/>
        </w:rPr>
      </w:pPr>
      <w:r>
        <w:rPr>
          <w:rFonts w:ascii="Arial" w:hAnsi="Arial" w:cs="Arial"/>
        </w:rPr>
        <w:t xml:space="preserve">         </w:t>
      </w:r>
      <w:r w:rsidR="00064E63">
        <w:rPr>
          <w:rFonts w:ascii="Arial" w:hAnsi="Arial" w:cs="Arial"/>
        </w:rPr>
        <w:t xml:space="preserve">    </w:t>
      </w:r>
    </w:p>
    <w:p w14:paraId="2F117F1B" w14:textId="7413BD10" w:rsidR="006833E9" w:rsidRDefault="006A79B5" w:rsidP="00E81A3F">
      <w:pPr>
        <w:spacing w:line="360" w:lineRule="auto"/>
        <w:rPr>
          <w:b/>
          <w:bCs/>
          <w:sz w:val="32"/>
          <w:szCs w:val="32"/>
        </w:rPr>
      </w:pPr>
      <w:r>
        <w:rPr>
          <w:b/>
          <w:bCs/>
          <w:sz w:val="32"/>
          <w:szCs w:val="32"/>
        </w:rPr>
        <w:t xml:space="preserve"> </w:t>
      </w:r>
    </w:p>
    <w:sectPr w:rsidR="006833E9">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5F2C26" w14:textId="77777777" w:rsidR="00D83785" w:rsidRDefault="00D83785" w:rsidP="006760A6">
      <w:pPr>
        <w:spacing w:after="0" w:line="240" w:lineRule="auto"/>
      </w:pPr>
      <w:r>
        <w:separator/>
      </w:r>
    </w:p>
  </w:endnote>
  <w:endnote w:type="continuationSeparator" w:id="0">
    <w:p w14:paraId="0E2F9CD3" w14:textId="77777777" w:rsidR="00D83785" w:rsidRDefault="00D83785" w:rsidP="006760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954E0" w14:textId="77777777" w:rsidR="006760A6" w:rsidRDefault="006760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88B76" w14:textId="77777777" w:rsidR="006760A6" w:rsidRDefault="006760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7AA98" w14:textId="77777777" w:rsidR="006760A6" w:rsidRDefault="006760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44293D" w14:textId="77777777" w:rsidR="00D83785" w:rsidRDefault="00D83785" w:rsidP="006760A6">
      <w:pPr>
        <w:spacing w:after="0" w:line="240" w:lineRule="auto"/>
      </w:pPr>
      <w:r>
        <w:separator/>
      </w:r>
    </w:p>
  </w:footnote>
  <w:footnote w:type="continuationSeparator" w:id="0">
    <w:p w14:paraId="3A11F081" w14:textId="77777777" w:rsidR="00D83785" w:rsidRDefault="00D83785" w:rsidP="006760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1F8AC" w14:textId="77777777" w:rsidR="006760A6" w:rsidRDefault="006760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91390" w14:textId="77777777" w:rsidR="006760A6" w:rsidRDefault="006760A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27D84" w14:textId="77777777" w:rsidR="006760A6" w:rsidRDefault="006760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435767"/>
    <w:multiLevelType w:val="hybridMultilevel"/>
    <w:tmpl w:val="49769C2A"/>
    <w:lvl w:ilvl="0" w:tplc="1E224C5E">
      <w:start w:val="1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D0A3B13"/>
    <w:multiLevelType w:val="hybridMultilevel"/>
    <w:tmpl w:val="896678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4226AF"/>
    <w:multiLevelType w:val="hybridMultilevel"/>
    <w:tmpl w:val="DDBE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75520B"/>
    <w:multiLevelType w:val="hybridMultilevel"/>
    <w:tmpl w:val="FE3275F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38036083">
    <w:abstractNumId w:val="3"/>
  </w:num>
  <w:num w:numId="2" w16cid:durableId="999431387">
    <w:abstractNumId w:val="2"/>
  </w:num>
  <w:num w:numId="3" w16cid:durableId="1055082311">
    <w:abstractNumId w:val="1"/>
  </w:num>
  <w:num w:numId="4" w16cid:durableId="6794352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EFB"/>
    <w:rsid w:val="00003B3D"/>
    <w:rsid w:val="00006C80"/>
    <w:rsid w:val="00035183"/>
    <w:rsid w:val="00064E63"/>
    <w:rsid w:val="00070004"/>
    <w:rsid w:val="000738AF"/>
    <w:rsid w:val="0007458B"/>
    <w:rsid w:val="00075568"/>
    <w:rsid w:val="00086915"/>
    <w:rsid w:val="000A5ABB"/>
    <w:rsid w:val="000C0840"/>
    <w:rsid w:val="000C7C00"/>
    <w:rsid w:val="000D44F1"/>
    <w:rsid w:val="000F0642"/>
    <w:rsid w:val="00110575"/>
    <w:rsid w:val="001353BC"/>
    <w:rsid w:val="001535B8"/>
    <w:rsid w:val="001572A7"/>
    <w:rsid w:val="001665B8"/>
    <w:rsid w:val="00166EA6"/>
    <w:rsid w:val="0017472F"/>
    <w:rsid w:val="001920F1"/>
    <w:rsid w:val="001A3851"/>
    <w:rsid w:val="001A4241"/>
    <w:rsid w:val="001C606B"/>
    <w:rsid w:val="001D39F1"/>
    <w:rsid w:val="001E7E12"/>
    <w:rsid w:val="001F5FC6"/>
    <w:rsid w:val="001F70CF"/>
    <w:rsid w:val="00226C57"/>
    <w:rsid w:val="002373D8"/>
    <w:rsid w:val="00262A48"/>
    <w:rsid w:val="00262E76"/>
    <w:rsid w:val="002743B0"/>
    <w:rsid w:val="002752DD"/>
    <w:rsid w:val="002769C0"/>
    <w:rsid w:val="002933AC"/>
    <w:rsid w:val="002A1497"/>
    <w:rsid w:val="002A383D"/>
    <w:rsid w:val="002B1012"/>
    <w:rsid w:val="002D371F"/>
    <w:rsid w:val="002E58FC"/>
    <w:rsid w:val="00314BB7"/>
    <w:rsid w:val="003437C2"/>
    <w:rsid w:val="003616A6"/>
    <w:rsid w:val="00393DB3"/>
    <w:rsid w:val="003A097D"/>
    <w:rsid w:val="003A1339"/>
    <w:rsid w:val="003B3807"/>
    <w:rsid w:val="003C34A0"/>
    <w:rsid w:val="003D222A"/>
    <w:rsid w:val="003D3BAE"/>
    <w:rsid w:val="00407898"/>
    <w:rsid w:val="00412938"/>
    <w:rsid w:val="00415D83"/>
    <w:rsid w:val="0044456D"/>
    <w:rsid w:val="004474B5"/>
    <w:rsid w:val="00453AFB"/>
    <w:rsid w:val="00460321"/>
    <w:rsid w:val="00465B0C"/>
    <w:rsid w:val="004675D6"/>
    <w:rsid w:val="00472492"/>
    <w:rsid w:val="00497031"/>
    <w:rsid w:val="004A2C09"/>
    <w:rsid w:val="004A6DD5"/>
    <w:rsid w:val="004A708A"/>
    <w:rsid w:val="004B2E42"/>
    <w:rsid w:val="004F4062"/>
    <w:rsid w:val="0050279E"/>
    <w:rsid w:val="00505FF7"/>
    <w:rsid w:val="00514420"/>
    <w:rsid w:val="00516BC1"/>
    <w:rsid w:val="005278FB"/>
    <w:rsid w:val="00534B97"/>
    <w:rsid w:val="00543AA0"/>
    <w:rsid w:val="005533C9"/>
    <w:rsid w:val="00574850"/>
    <w:rsid w:val="00582EFB"/>
    <w:rsid w:val="005B77A1"/>
    <w:rsid w:val="005D72A9"/>
    <w:rsid w:val="005D75BD"/>
    <w:rsid w:val="005F0DB0"/>
    <w:rsid w:val="005F0EE8"/>
    <w:rsid w:val="005F1A77"/>
    <w:rsid w:val="005F348A"/>
    <w:rsid w:val="005F7026"/>
    <w:rsid w:val="00605BC5"/>
    <w:rsid w:val="006230CD"/>
    <w:rsid w:val="00624373"/>
    <w:rsid w:val="00626C04"/>
    <w:rsid w:val="006636E5"/>
    <w:rsid w:val="00663BD6"/>
    <w:rsid w:val="00667920"/>
    <w:rsid w:val="006760A6"/>
    <w:rsid w:val="00681A46"/>
    <w:rsid w:val="006833E9"/>
    <w:rsid w:val="006907C7"/>
    <w:rsid w:val="006A04BA"/>
    <w:rsid w:val="006A5059"/>
    <w:rsid w:val="006A79B5"/>
    <w:rsid w:val="006B2171"/>
    <w:rsid w:val="006C68EC"/>
    <w:rsid w:val="006C7070"/>
    <w:rsid w:val="006D70B8"/>
    <w:rsid w:val="00710B68"/>
    <w:rsid w:val="00740532"/>
    <w:rsid w:val="00745B28"/>
    <w:rsid w:val="00750680"/>
    <w:rsid w:val="007660C5"/>
    <w:rsid w:val="00774E1F"/>
    <w:rsid w:val="00780015"/>
    <w:rsid w:val="0078055D"/>
    <w:rsid w:val="007B4B1E"/>
    <w:rsid w:val="007B65F8"/>
    <w:rsid w:val="007E30CE"/>
    <w:rsid w:val="007F29E5"/>
    <w:rsid w:val="00802E79"/>
    <w:rsid w:val="00815473"/>
    <w:rsid w:val="008616DB"/>
    <w:rsid w:val="008776C6"/>
    <w:rsid w:val="0089652A"/>
    <w:rsid w:val="008A093D"/>
    <w:rsid w:val="008A0C13"/>
    <w:rsid w:val="008C0CBC"/>
    <w:rsid w:val="008F4116"/>
    <w:rsid w:val="00911402"/>
    <w:rsid w:val="00920674"/>
    <w:rsid w:val="009221AD"/>
    <w:rsid w:val="00937648"/>
    <w:rsid w:val="00940EA2"/>
    <w:rsid w:val="00941BB7"/>
    <w:rsid w:val="009429B5"/>
    <w:rsid w:val="00952623"/>
    <w:rsid w:val="00955F5E"/>
    <w:rsid w:val="00964EA8"/>
    <w:rsid w:val="00980A5B"/>
    <w:rsid w:val="009927D7"/>
    <w:rsid w:val="009A1320"/>
    <w:rsid w:val="009A327D"/>
    <w:rsid w:val="009A32F6"/>
    <w:rsid w:val="009B30A7"/>
    <w:rsid w:val="009E0B79"/>
    <w:rsid w:val="009E0BC5"/>
    <w:rsid w:val="009E27AB"/>
    <w:rsid w:val="009F21A9"/>
    <w:rsid w:val="009F2561"/>
    <w:rsid w:val="009F554A"/>
    <w:rsid w:val="00A004E5"/>
    <w:rsid w:val="00A132C1"/>
    <w:rsid w:val="00A1600F"/>
    <w:rsid w:val="00A21A7C"/>
    <w:rsid w:val="00A412F9"/>
    <w:rsid w:val="00A4702E"/>
    <w:rsid w:val="00A56172"/>
    <w:rsid w:val="00A71937"/>
    <w:rsid w:val="00AA2204"/>
    <w:rsid w:val="00AC4909"/>
    <w:rsid w:val="00AC6F79"/>
    <w:rsid w:val="00AD6ACB"/>
    <w:rsid w:val="00B372CC"/>
    <w:rsid w:val="00B56173"/>
    <w:rsid w:val="00B7742F"/>
    <w:rsid w:val="00B95B99"/>
    <w:rsid w:val="00B97CDE"/>
    <w:rsid w:val="00BA401B"/>
    <w:rsid w:val="00BA6978"/>
    <w:rsid w:val="00BA7CDA"/>
    <w:rsid w:val="00BE1DDF"/>
    <w:rsid w:val="00BE68B8"/>
    <w:rsid w:val="00BF1B2D"/>
    <w:rsid w:val="00C21820"/>
    <w:rsid w:val="00C2457D"/>
    <w:rsid w:val="00C51AC9"/>
    <w:rsid w:val="00C64C53"/>
    <w:rsid w:val="00C65F01"/>
    <w:rsid w:val="00C73086"/>
    <w:rsid w:val="00C80DCC"/>
    <w:rsid w:val="00C91AC9"/>
    <w:rsid w:val="00CD7D2F"/>
    <w:rsid w:val="00CD7F19"/>
    <w:rsid w:val="00D40364"/>
    <w:rsid w:val="00D45CBD"/>
    <w:rsid w:val="00D46F80"/>
    <w:rsid w:val="00D6030E"/>
    <w:rsid w:val="00D625F8"/>
    <w:rsid w:val="00D83785"/>
    <w:rsid w:val="00D97AAE"/>
    <w:rsid w:val="00DC52AC"/>
    <w:rsid w:val="00DD5850"/>
    <w:rsid w:val="00DE29A8"/>
    <w:rsid w:val="00DF46DA"/>
    <w:rsid w:val="00E02DA7"/>
    <w:rsid w:val="00E12D54"/>
    <w:rsid w:val="00E13253"/>
    <w:rsid w:val="00E215A7"/>
    <w:rsid w:val="00E21EEA"/>
    <w:rsid w:val="00E26929"/>
    <w:rsid w:val="00E500DB"/>
    <w:rsid w:val="00E50CCC"/>
    <w:rsid w:val="00E64EE7"/>
    <w:rsid w:val="00E64F08"/>
    <w:rsid w:val="00E66531"/>
    <w:rsid w:val="00E80568"/>
    <w:rsid w:val="00E81A3F"/>
    <w:rsid w:val="00EA6B40"/>
    <w:rsid w:val="00EC3B52"/>
    <w:rsid w:val="00ED4C7A"/>
    <w:rsid w:val="00F0224A"/>
    <w:rsid w:val="00F02553"/>
    <w:rsid w:val="00F059C3"/>
    <w:rsid w:val="00F12DD5"/>
    <w:rsid w:val="00F13A5E"/>
    <w:rsid w:val="00F245E6"/>
    <w:rsid w:val="00F4614C"/>
    <w:rsid w:val="00F46A01"/>
    <w:rsid w:val="00FA2E07"/>
    <w:rsid w:val="00FC09CE"/>
    <w:rsid w:val="00FC6EC4"/>
    <w:rsid w:val="00FC73D3"/>
    <w:rsid w:val="00FD6BCA"/>
    <w:rsid w:val="00FF21C3"/>
    <w:rsid w:val="00FF29C1"/>
    <w:rsid w:val="00FF56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227DA"/>
  <w15:chartTrackingRefBased/>
  <w15:docId w15:val="{DD6D6863-A635-449B-BA45-FF0CC50CC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2E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82E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2E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2E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2E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2E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2E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2E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2E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2E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82E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2E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2E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2E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2E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2E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2E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2EFB"/>
    <w:rPr>
      <w:rFonts w:eastAsiaTheme="majorEastAsia" w:cstheme="majorBidi"/>
      <w:color w:val="272727" w:themeColor="text1" w:themeTint="D8"/>
    </w:rPr>
  </w:style>
  <w:style w:type="paragraph" w:styleId="Title">
    <w:name w:val="Title"/>
    <w:basedOn w:val="Normal"/>
    <w:next w:val="Normal"/>
    <w:link w:val="TitleChar"/>
    <w:uiPriority w:val="10"/>
    <w:qFormat/>
    <w:rsid w:val="00582E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2E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2E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2E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2EFB"/>
    <w:pPr>
      <w:spacing w:before="160"/>
      <w:jc w:val="center"/>
    </w:pPr>
    <w:rPr>
      <w:i/>
      <w:iCs/>
      <w:color w:val="404040" w:themeColor="text1" w:themeTint="BF"/>
    </w:rPr>
  </w:style>
  <w:style w:type="character" w:customStyle="1" w:styleId="QuoteChar">
    <w:name w:val="Quote Char"/>
    <w:basedOn w:val="DefaultParagraphFont"/>
    <w:link w:val="Quote"/>
    <w:uiPriority w:val="29"/>
    <w:rsid w:val="00582EFB"/>
    <w:rPr>
      <w:i/>
      <w:iCs/>
      <w:color w:val="404040" w:themeColor="text1" w:themeTint="BF"/>
    </w:rPr>
  </w:style>
  <w:style w:type="paragraph" w:styleId="ListParagraph">
    <w:name w:val="List Paragraph"/>
    <w:basedOn w:val="Normal"/>
    <w:uiPriority w:val="34"/>
    <w:qFormat/>
    <w:rsid w:val="00582EFB"/>
    <w:pPr>
      <w:ind w:left="720"/>
      <w:contextualSpacing/>
    </w:pPr>
  </w:style>
  <w:style w:type="character" w:styleId="IntenseEmphasis">
    <w:name w:val="Intense Emphasis"/>
    <w:basedOn w:val="DefaultParagraphFont"/>
    <w:uiPriority w:val="21"/>
    <w:qFormat/>
    <w:rsid w:val="00582EFB"/>
    <w:rPr>
      <w:i/>
      <w:iCs/>
      <w:color w:val="0F4761" w:themeColor="accent1" w:themeShade="BF"/>
    </w:rPr>
  </w:style>
  <w:style w:type="paragraph" w:styleId="IntenseQuote">
    <w:name w:val="Intense Quote"/>
    <w:basedOn w:val="Normal"/>
    <w:next w:val="Normal"/>
    <w:link w:val="IntenseQuoteChar"/>
    <w:uiPriority w:val="30"/>
    <w:qFormat/>
    <w:rsid w:val="00582E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2EFB"/>
    <w:rPr>
      <w:i/>
      <w:iCs/>
      <w:color w:val="0F4761" w:themeColor="accent1" w:themeShade="BF"/>
    </w:rPr>
  </w:style>
  <w:style w:type="character" w:styleId="IntenseReference">
    <w:name w:val="Intense Reference"/>
    <w:basedOn w:val="DefaultParagraphFont"/>
    <w:uiPriority w:val="32"/>
    <w:qFormat/>
    <w:rsid w:val="00582EFB"/>
    <w:rPr>
      <w:b/>
      <w:bCs/>
      <w:smallCaps/>
      <w:color w:val="0F4761" w:themeColor="accent1" w:themeShade="BF"/>
      <w:spacing w:val="5"/>
    </w:rPr>
  </w:style>
  <w:style w:type="paragraph" w:styleId="Header">
    <w:name w:val="header"/>
    <w:basedOn w:val="Normal"/>
    <w:link w:val="HeaderChar"/>
    <w:uiPriority w:val="99"/>
    <w:unhideWhenUsed/>
    <w:rsid w:val="006760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60A6"/>
  </w:style>
  <w:style w:type="paragraph" w:styleId="Footer">
    <w:name w:val="footer"/>
    <w:basedOn w:val="Normal"/>
    <w:link w:val="FooterChar"/>
    <w:uiPriority w:val="99"/>
    <w:unhideWhenUsed/>
    <w:rsid w:val="006760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60A6"/>
  </w:style>
  <w:style w:type="character" w:styleId="Hyperlink">
    <w:name w:val="Hyperlink"/>
    <w:basedOn w:val="DefaultParagraphFont"/>
    <w:uiPriority w:val="99"/>
    <w:unhideWhenUsed/>
    <w:rsid w:val="00C65F01"/>
    <w:rPr>
      <w:color w:val="467886" w:themeColor="hyperlink"/>
      <w:u w:val="single"/>
    </w:rPr>
  </w:style>
  <w:style w:type="paragraph" w:styleId="TOCHeading">
    <w:name w:val="TOC Heading"/>
    <w:basedOn w:val="Heading1"/>
    <w:next w:val="Normal"/>
    <w:uiPriority w:val="39"/>
    <w:unhideWhenUsed/>
    <w:qFormat/>
    <w:rsid w:val="00035183"/>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035183"/>
    <w:pPr>
      <w:spacing w:after="100"/>
    </w:pPr>
  </w:style>
  <w:style w:type="paragraph" w:styleId="TOC2">
    <w:name w:val="toc 2"/>
    <w:basedOn w:val="Normal"/>
    <w:next w:val="Normal"/>
    <w:autoRedefine/>
    <w:uiPriority w:val="39"/>
    <w:unhideWhenUsed/>
    <w:rsid w:val="0003518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ho.int/news-room/fact-sheets/detail/diabetes"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nhs.uk/conditions/type-2-diabete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ice.org.uk/guidance/ng28"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diabetes.org.uk/about-us/about-the-charity/our-strategy/statistics"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cdc.gov/diabetes/risk-factors/diabetes-and-smoking.html"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C616C-3250-4589-8F15-CD53C23EA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TotalTime>
  <Pages>11</Pages>
  <Words>2694</Words>
  <Characters>15361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Celsius Neboh</dc:creator>
  <cp:keywords/>
  <dc:description/>
  <cp:lastModifiedBy>Celsius Neboh</cp:lastModifiedBy>
  <cp:revision>198</cp:revision>
  <dcterms:created xsi:type="dcterms:W3CDTF">2026-06-07T16:26:00Z</dcterms:created>
  <dcterms:modified xsi:type="dcterms:W3CDTF">2026-06-17T10:28:00Z</dcterms:modified>
</cp:coreProperties>
</file>