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D9AF5F" w14:textId="77777777" w:rsidR="008D3CE4" w:rsidRPr="00A52857" w:rsidRDefault="008D3CE4" w:rsidP="008D3CE4">
      <w:pPr>
        <w:pStyle w:val="Title"/>
        <w:rPr>
          <w:lang w:val="en-GB"/>
        </w:rPr>
      </w:pPr>
    </w:p>
    <w:p w14:paraId="073034EC" w14:textId="490678FB" w:rsidR="008D3CE4" w:rsidRPr="00A52857" w:rsidRDefault="008D3CE4" w:rsidP="008D3CE4">
      <w:pPr>
        <w:pStyle w:val="Title"/>
        <w:rPr>
          <w:lang w:val="en-GB"/>
        </w:rPr>
      </w:pPr>
    </w:p>
    <w:p w14:paraId="2759EF4A" w14:textId="77777777" w:rsidR="008D3CE4" w:rsidRPr="00A52857" w:rsidRDefault="008D3CE4" w:rsidP="008D3CE4">
      <w:pPr>
        <w:rPr>
          <w:lang w:val="en-GB"/>
        </w:rPr>
      </w:pPr>
    </w:p>
    <w:p w14:paraId="186E5137" w14:textId="77777777" w:rsidR="008D3CE4" w:rsidRPr="00A52857" w:rsidRDefault="008D3CE4" w:rsidP="008D3CE4">
      <w:pPr>
        <w:rPr>
          <w:lang w:val="en-GB"/>
        </w:rPr>
      </w:pPr>
    </w:p>
    <w:p w14:paraId="150D0B66" w14:textId="474CF20D" w:rsidR="008D3CE4" w:rsidRPr="00A52857" w:rsidRDefault="008D3CE4" w:rsidP="008D3CE4">
      <w:pPr>
        <w:pStyle w:val="Title"/>
        <w:rPr>
          <w:lang w:val="en-GB"/>
        </w:rPr>
      </w:pPr>
      <w:r w:rsidRPr="00A52857">
        <w:rPr>
          <w:lang w:val="en-GB"/>
        </w:rPr>
        <w:t>Consent and its role in cases involving</w:t>
      </w:r>
      <w:r w:rsidR="007D4EFE">
        <w:rPr>
          <w:lang w:val="en-GB"/>
        </w:rPr>
        <w:t>-</w:t>
      </w:r>
      <w:r w:rsidR="00EF2B81" w:rsidRPr="00A52857">
        <w:rPr>
          <w:lang w:val="en-GB"/>
        </w:rPr>
        <w:t>battery</w:t>
      </w:r>
    </w:p>
    <w:p w14:paraId="5D78B30E" w14:textId="77777777" w:rsidR="008D3CE4" w:rsidRPr="00A52857" w:rsidRDefault="008D3CE4" w:rsidP="008D3CE4">
      <w:pPr>
        <w:rPr>
          <w:lang w:val="en-GB"/>
        </w:rPr>
      </w:pPr>
    </w:p>
    <w:p w14:paraId="390A9601" w14:textId="77777777" w:rsidR="008D3CE4" w:rsidRPr="00A52857" w:rsidRDefault="008D3CE4" w:rsidP="008D3CE4">
      <w:pPr>
        <w:rPr>
          <w:lang w:val="en-GB"/>
        </w:rPr>
      </w:pPr>
    </w:p>
    <w:p w14:paraId="61CCD7B3" w14:textId="77777777" w:rsidR="008D3CE4" w:rsidRPr="00A52857" w:rsidRDefault="008D3CE4" w:rsidP="008D3CE4">
      <w:pPr>
        <w:rPr>
          <w:lang w:val="en-GB"/>
        </w:rPr>
      </w:pPr>
    </w:p>
    <w:p w14:paraId="497BA3A6" w14:textId="77777777" w:rsidR="008D3CE4" w:rsidRPr="00A52857" w:rsidRDefault="008D3CE4" w:rsidP="008D3CE4">
      <w:pPr>
        <w:rPr>
          <w:lang w:val="en-GB"/>
        </w:rPr>
      </w:pPr>
    </w:p>
    <w:p w14:paraId="38159A09" w14:textId="0AC5AA01" w:rsidR="008D3CE4" w:rsidRPr="00A52857" w:rsidRDefault="008D3CE4" w:rsidP="008D3CE4">
      <w:pPr>
        <w:jc w:val="center"/>
        <w:rPr>
          <w:b/>
          <w:bCs/>
          <w:sz w:val="28"/>
          <w:szCs w:val="24"/>
          <w:lang w:val="en-GB"/>
        </w:rPr>
      </w:pPr>
      <w:r w:rsidRPr="00A52857">
        <w:rPr>
          <w:b/>
          <w:bCs/>
          <w:sz w:val="28"/>
          <w:szCs w:val="24"/>
          <w:lang w:val="en-GB"/>
        </w:rPr>
        <w:t>Student Name:</w:t>
      </w:r>
      <w:r w:rsidR="001E1F15">
        <w:rPr>
          <w:b/>
          <w:bCs/>
          <w:sz w:val="28"/>
          <w:szCs w:val="24"/>
          <w:lang w:val="en-GB"/>
        </w:rPr>
        <w:t xml:space="preserve"> Cosmina Hajdu</w:t>
      </w:r>
    </w:p>
    <w:p w14:paraId="4BEC537B" w14:textId="3FA10B6D" w:rsidR="008D3CE4" w:rsidRPr="00A52857" w:rsidRDefault="008D3CE4" w:rsidP="008D3CE4">
      <w:pPr>
        <w:jc w:val="center"/>
        <w:rPr>
          <w:b/>
          <w:bCs/>
          <w:sz w:val="28"/>
          <w:szCs w:val="24"/>
          <w:lang w:val="en-GB"/>
        </w:rPr>
      </w:pPr>
      <w:r w:rsidRPr="00A52857">
        <w:rPr>
          <w:b/>
          <w:bCs/>
          <w:sz w:val="28"/>
          <w:szCs w:val="24"/>
          <w:lang w:val="en-GB"/>
        </w:rPr>
        <w:t>Student ID:</w:t>
      </w:r>
      <w:r w:rsidR="001E1F15">
        <w:rPr>
          <w:b/>
          <w:bCs/>
          <w:sz w:val="28"/>
          <w:szCs w:val="24"/>
          <w:lang w:val="en-GB"/>
        </w:rPr>
        <w:t xml:space="preserve"> 2242302</w:t>
      </w:r>
    </w:p>
    <w:p w14:paraId="7A9E4B7F" w14:textId="25C34C10" w:rsidR="008D3CE4" w:rsidRPr="00A52857" w:rsidRDefault="008D3CE4" w:rsidP="008D3CE4">
      <w:pPr>
        <w:spacing w:line="259" w:lineRule="auto"/>
        <w:jc w:val="left"/>
        <w:rPr>
          <w:lang w:val="en-GB"/>
        </w:rPr>
      </w:pPr>
      <w:r w:rsidRPr="00A52857">
        <w:rPr>
          <w:lang w:val="en-GB"/>
        </w:rPr>
        <w:br w:type="page"/>
      </w:r>
    </w:p>
    <w:p w14:paraId="3D8D5E67" w14:textId="3DFC59C7" w:rsidR="00E15B87" w:rsidRPr="00A52857" w:rsidRDefault="00E15B87" w:rsidP="00E15B87">
      <w:pPr>
        <w:pStyle w:val="Heading1"/>
        <w:rPr>
          <w:lang w:val="en-GB"/>
        </w:rPr>
      </w:pPr>
      <w:r w:rsidRPr="00A52857">
        <w:rPr>
          <w:lang w:val="en-GB"/>
        </w:rPr>
        <w:lastRenderedPageBreak/>
        <w:t xml:space="preserve">Introduction </w:t>
      </w:r>
    </w:p>
    <w:p w14:paraId="1F986BD0" w14:textId="12ECC1CB" w:rsidR="00656C29" w:rsidRPr="00A52857" w:rsidRDefault="00656C29" w:rsidP="00D94304">
      <w:pPr>
        <w:pStyle w:val="Heading1"/>
        <w:rPr>
          <w:rFonts w:eastAsiaTheme="minorHAnsi" w:cstheme="minorBidi"/>
          <w:b w:val="0"/>
          <w:sz w:val="24"/>
          <w:szCs w:val="22"/>
          <w:lang w:val="en-GB"/>
        </w:rPr>
      </w:pPr>
      <w:r w:rsidRPr="00A52857">
        <w:rPr>
          <w:rFonts w:eastAsiaTheme="minorHAnsi" w:cstheme="minorBidi"/>
          <w:b w:val="0"/>
          <w:sz w:val="24"/>
          <w:szCs w:val="22"/>
          <w:lang w:val="en-GB"/>
        </w:rPr>
        <w:t>In the complicated criminal law environment, particularly in cases involving battery, the concept of con</w:t>
      </w:r>
      <w:r w:rsidR="009D2D59">
        <w:rPr>
          <w:rFonts w:eastAsiaTheme="minorHAnsi" w:cstheme="minorBidi"/>
          <w:b w:val="0"/>
          <w:sz w:val="24"/>
          <w:szCs w:val="22"/>
          <w:lang w:val="en-GB"/>
        </w:rPr>
        <w:t>s</w:t>
      </w:r>
      <w:r w:rsidRPr="00A52857">
        <w:rPr>
          <w:rFonts w:eastAsiaTheme="minorHAnsi" w:cstheme="minorBidi"/>
          <w:b w:val="0"/>
          <w:sz w:val="24"/>
          <w:szCs w:val="22"/>
          <w:lang w:val="en-GB"/>
        </w:rPr>
        <w:t>ent is critical. Con</w:t>
      </w:r>
      <w:r w:rsidR="009D2D59">
        <w:rPr>
          <w:rFonts w:eastAsiaTheme="minorHAnsi" w:cstheme="minorBidi"/>
          <w:b w:val="0"/>
          <w:sz w:val="24"/>
          <w:szCs w:val="22"/>
          <w:lang w:val="en-GB"/>
        </w:rPr>
        <w:t>s</w:t>
      </w:r>
      <w:r w:rsidRPr="00A52857">
        <w:rPr>
          <w:rFonts w:eastAsiaTheme="minorHAnsi" w:cstheme="minorBidi"/>
          <w:b w:val="0"/>
          <w:sz w:val="24"/>
          <w:szCs w:val="22"/>
          <w:lang w:val="en-GB"/>
        </w:rPr>
        <w:t xml:space="preserve">ent has several dimensions, including ethical, philosophical, and legal components that influence its interpretation and application in legal proceedings. The goal of this essay is to investigate the issues of </w:t>
      </w:r>
      <w:r w:rsidR="00B01671">
        <w:rPr>
          <w:rFonts w:eastAsiaTheme="minorHAnsi" w:cstheme="minorBidi"/>
          <w:b w:val="0"/>
          <w:sz w:val="24"/>
          <w:szCs w:val="22"/>
          <w:lang w:val="en-GB"/>
        </w:rPr>
        <w:t xml:space="preserve">consent </w:t>
      </w:r>
      <w:r w:rsidRPr="00A52857">
        <w:rPr>
          <w:rFonts w:eastAsiaTheme="minorHAnsi" w:cstheme="minorBidi"/>
          <w:b w:val="0"/>
          <w:sz w:val="24"/>
          <w:szCs w:val="22"/>
          <w:lang w:val="en-GB"/>
        </w:rPr>
        <w:t xml:space="preserve">and its application in cases of battery. The definition and legal implications of consent and battery will be addressed. The examination will be focused on the ethical and philosophical grounds that influence the understanding of consent, as well as the legal ideas and relevant case law that guide its application in cases of battery. </w:t>
      </w:r>
    </w:p>
    <w:p w14:paraId="27373DDF" w14:textId="61C6B847" w:rsidR="00E15B87" w:rsidRPr="00A52857" w:rsidRDefault="00D94304" w:rsidP="00D94304">
      <w:pPr>
        <w:pStyle w:val="Heading1"/>
        <w:rPr>
          <w:lang w:val="en-GB"/>
        </w:rPr>
      </w:pPr>
      <w:r w:rsidRPr="00A52857">
        <w:rPr>
          <w:lang w:val="en-GB"/>
        </w:rPr>
        <w:t>Main body</w:t>
      </w:r>
    </w:p>
    <w:p w14:paraId="155F6B2E" w14:textId="056AF876" w:rsidR="00656C29" w:rsidRPr="00A52857" w:rsidRDefault="00656C29" w:rsidP="009268C3">
      <w:pPr>
        <w:rPr>
          <w:lang w:val="en-GB"/>
        </w:rPr>
      </w:pPr>
      <w:r w:rsidRPr="00A52857">
        <w:rPr>
          <w:lang w:val="en-GB"/>
        </w:rPr>
        <w:t>Within the legal system, consent denotes an individual</w:t>
      </w:r>
      <w:r w:rsidR="00B01671">
        <w:rPr>
          <w:lang w:val="en-GB"/>
        </w:rPr>
        <w:t xml:space="preserve"> i</w:t>
      </w:r>
      <w:r w:rsidRPr="00A52857">
        <w:rPr>
          <w:lang w:val="en-GB"/>
        </w:rPr>
        <w:t xml:space="preserve">s voluntary and informed approval of a specific action or </w:t>
      </w:r>
      <w:r w:rsidR="00B01671" w:rsidRPr="00A52857">
        <w:rPr>
          <w:lang w:val="en-GB"/>
        </w:rPr>
        <w:t>proposal,</w:t>
      </w:r>
      <w:r w:rsidRPr="00A52857">
        <w:rPr>
          <w:lang w:val="en-GB"/>
        </w:rPr>
        <w:t xml:space="preserve"> and</w:t>
      </w:r>
      <w:r w:rsidR="00B01671">
        <w:rPr>
          <w:lang w:val="en-GB"/>
        </w:rPr>
        <w:t xml:space="preserve"> it is used</w:t>
      </w:r>
      <w:r w:rsidRPr="00A52857">
        <w:rPr>
          <w:lang w:val="en-GB"/>
        </w:rPr>
        <w:t xml:space="preserve"> </w:t>
      </w:r>
      <w:r w:rsidR="00B01671">
        <w:rPr>
          <w:lang w:val="en-GB"/>
        </w:rPr>
        <w:t xml:space="preserve">commonly </w:t>
      </w:r>
      <w:r w:rsidRPr="00A52857">
        <w:rPr>
          <w:lang w:val="en-GB"/>
        </w:rPr>
        <w:t>as a fundamental element in a wide range of legal contexts. It comprises a person</w:t>
      </w:r>
      <w:r w:rsidR="00B01671">
        <w:rPr>
          <w:lang w:val="en-GB"/>
        </w:rPr>
        <w:t xml:space="preserve"> i</w:t>
      </w:r>
      <w:r w:rsidRPr="00A52857">
        <w:rPr>
          <w:lang w:val="en-GB"/>
        </w:rPr>
        <w:t>s unequivocal, uncoerced and explicit agreement, often expressed vocally or in writing, to participate in a certain activity or allow a specific act to be performed</w:t>
      </w:r>
      <w:r w:rsidR="00A52857" w:rsidRPr="00A52857">
        <w:rPr>
          <w:lang w:val="en-GB"/>
        </w:rPr>
        <w:t xml:space="preserve"> (Cocanour, 2017)</w:t>
      </w:r>
      <w:r w:rsidRPr="00A52857">
        <w:rPr>
          <w:lang w:val="en-GB"/>
        </w:rPr>
        <w:t xml:space="preserve">. In the realm of criminal law, consent is </w:t>
      </w:r>
      <w:r w:rsidR="00B01671" w:rsidRPr="00A52857">
        <w:rPr>
          <w:lang w:val="en-GB"/>
        </w:rPr>
        <w:t>a key factor</w:t>
      </w:r>
      <w:r w:rsidRPr="00A52857">
        <w:rPr>
          <w:lang w:val="en-GB"/>
        </w:rPr>
        <w:t xml:space="preserve"> in determining the legality of certain activities, especially when it</w:t>
      </w:r>
      <w:r w:rsidR="005D04DA">
        <w:rPr>
          <w:lang w:val="en-GB"/>
        </w:rPr>
        <w:t xml:space="preserve"> i</w:t>
      </w:r>
      <w:r w:rsidRPr="00A52857">
        <w:rPr>
          <w:lang w:val="en-GB"/>
        </w:rPr>
        <w:t>s lack may constitute an unlawful or criminal act. It is more than just the presence of an affirmative response; it is evidence of willingness, comprehension, and decision-making capacity, especially in situations where one's rights, physical integrity or autonomy are at stake (StudySmarter, 2023).</w:t>
      </w:r>
    </w:p>
    <w:p w14:paraId="5A051D67" w14:textId="672CFD8B" w:rsidR="009268C3" w:rsidRPr="00A52857" w:rsidRDefault="009268C3" w:rsidP="009268C3">
      <w:pPr>
        <w:rPr>
          <w:lang w:val="en-GB"/>
        </w:rPr>
      </w:pPr>
      <w:r w:rsidRPr="00A52857">
        <w:rPr>
          <w:lang w:val="en-GB"/>
        </w:rPr>
        <w:t xml:space="preserve">On the other hand, battery is a common-law offence that entails the unlawful and intentional application of force without the agreement of another individual. It includes any intentional and non-consensual physical contact that causes injury or harm, with the severity ranging from slight to severe. Battery, like its related notions such as assault, falls under the category of criminal offences in which the lack of </w:t>
      </w:r>
      <w:r w:rsidR="005D04DA">
        <w:rPr>
          <w:lang w:val="en-GB"/>
        </w:rPr>
        <w:t>agree</w:t>
      </w:r>
      <w:r w:rsidRPr="00A52857">
        <w:rPr>
          <w:lang w:val="en-GB"/>
        </w:rPr>
        <w:t xml:space="preserve"> is a significant determinant. The presence or lack of legal consent distinguishes legitimate activities from criminal offences in criminal proceedings particularly where bodily damage or force is involved</w:t>
      </w:r>
      <w:r w:rsidR="0078648C" w:rsidRPr="00A52857">
        <w:rPr>
          <w:lang w:val="en-GB"/>
        </w:rPr>
        <w:t xml:space="preserve"> (Legal Information Institute, 2023)</w:t>
      </w:r>
      <w:r w:rsidRPr="00A52857">
        <w:rPr>
          <w:lang w:val="en-GB"/>
        </w:rPr>
        <w:t>.</w:t>
      </w:r>
    </w:p>
    <w:p w14:paraId="0787DB55" w14:textId="6500A723" w:rsidR="009268C3" w:rsidRPr="00A52857" w:rsidRDefault="009268C3" w:rsidP="009268C3">
      <w:pPr>
        <w:rPr>
          <w:lang w:val="en-GB"/>
        </w:rPr>
      </w:pPr>
      <w:r w:rsidRPr="00A52857">
        <w:rPr>
          <w:lang w:val="en-GB"/>
        </w:rPr>
        <w:t xml:space="preserve">It is impossible to exaggerate the importance of both consent and battery in criminal prosecutions. Consent acts as a dividing line between legitimate and illegal conduct especially when physical autonomy and individual rights are at risk. Battery, on the other hand, as an unlawful application of force without agreement, is at the heart of numerous criminal </w:t>
      </w:r>
      <w:r w:rsidRPr="00A52857">
        <w:rPr>
          <w:lang w:val="en-GB"/>
        </w:rPr>
        <w:lastRenderedPageBreak/>
        <w:t>prosecutions. Understanding and interpreting these notions is critical in determining guilt and legality under criminal law. Understanding the subtleties and breadth of both ideas is critical to establishing the legitimacy of conduct and its legal ramifications in criminal trials</w:t>
      </w:r>
      <w:r w:rsidR="00E007DF" w:rsidRPr="00A52857">
        <w:rPr>
          <w:lang w:val="en-GB"/>
        </w:rPr>
        <w:t xml:space="preserve"> (Chisholm, 2020)</w:t>
      </w:r>
      <w:r w:rsidRPr="00A52857">
        <w:rPr>
          <w:lang w:val="en-GB"/>
        </w:rPr>
        <w:t>.</w:t>
      </w:r>
    </w:p>
    <w:p w14:paraId="3FB87787" w14:textId="454D2EA1" w:rsidR="00E62F6A" w:rsidRPr="00A52857" w:rsidRDefault="00E62F6A" w:rsidP="009268C3">
      <w:pPr>
        <w:rPr>
          <w:lang w:val="en-GB"/>
        </w:rPr>
      </w:pPr>
      <w:r w:rsidRPr="00A52857">
        <w:rPr>
          <w:lang w:val="en-GB"/>
        </w:rPr>
        <w:t xml:space="preserve">Ethical and philosophical issues have a significant impact on how </w:t>
      </w:r>
      <w:r w:rsidR="00B01671">
        <w:rPr>
          <w:lang w:val="en-GB"/>
        </w:rPr>
        <w:t>approve</w:t>
      </w:r>
      <w:r w:rsidRPr="00A52857">
        <w:rPr>
          <w:lang w:val="en-GB"/>
        </w:rPr>
        <w:t xml:space="preserve"> is understood and interpreted within legal systems</w:t>
      </w:r>
      <w:r w:rsidR="00A52857">
        <w:rPr>
          <w:lang w:val="en-GB"/>
        </w:rPr>
        <w:t>,</w:t>
      </w:r>
      <w:r w:rsidRPr="00A52857">
        <w:rPr>
          <w:lang w:val="en-GB"/>
        </w:rPr>
        <w:t xml:space="preserve"> particularly in battery situations. The validity of </w:t>
      </w:r>
      <w:r w:rsidR="00B01671">
        <w:rPr>
          <w:lang w:val="en-GB"/>
        </w:rPr>
        <w:t xml:space="preserve">consent </w:t>
      </w:r>
      <w:r w:rsidRPr="00A52857">
        <w:rPr>
          <w:lang w:val="en-GB"/>
        </w:rPr>
        <w:t>is evaluated using ethical principles such as autonomy and respect for individual decision-making. Autonomy emphasises the value of self-government and the freedom to make decisions without compulsion or other pressures. This ethical concept of self-determination heavily influences legal interpretations of what constitutes</w:t>
      </w:r>
      <w:r w:rsidR="00362A98">
        <w:rPr>
          <w:lang w:val="en-GB"/>
        </w:rPr>
        <w:t xml:space="preserve"> valid consent </w:t>
      </w:r>
      <w:r w:rsidR="00E007DF" w:rsidRPr="00A52857">
        <w:rPr>
          <w:lang w:val="en-GB"/>
        </w:rPr>
        <w:t>(</w:t>
      </w:r>
      <w:r w:rsidR="00E007DF" w:rsidRPr="00A52857">
        <w:rPr>
          <w:shd w:val="clear" w:color="auto" w:fill="FFFFFF"/>
          <w:lang w:val="en-GB"/>
        </w:rPr>
        <w:t>Müller and Schaber, 2018)</w:t>
      </w:r>
      <w:r w:rsidRPr="00A52857">
        <w:rPr>
          <w:lang w:val="en-GB"/>
        </w:rPr>
        <w:t xml:space="preserve">. The ability to </w:t>
      </w:r>
      <w:r w:rsidR="007D4EFE" w:rsidRPr="00A52857">
        <w:rPr>
          <w:lang w:val="en-GB"/>
        </w:rPr>
        <w:t>agree to an activity or treatment freely and voluntarily</w:t>
      </w:r>
      <w:r w:rsidRPr="00A52857">
        <w:rPr>
          <w:lang w:val="en-GB"/>
        </w:rPr>
        <w:t xml:space="preserve"> is </w:t>
      </w:r>
      <w:r w:rsidR="007D4EFE" w:rsidRPr="00A52857">
        <w:rPr>
          <w:lang w:val="en-GB"/>
        </w:rPr>
        <w:t>related</w:t>
      </w:r>
      <w:r w:rsidRPr="00A52857">
        <w:rPr>
          <w:lang w:val="en-GB"/>
        </w:rPr>
        <w:t xml:space="preserve"> to ethical questions of personal agency and self-determination. Consent is frequently viewed philosophically within the framework of social contract theory or moral agency theories. John Stuart Mill</w:t>
      </w:r>
      <w:r w:rsidR="007D4EFE">
        <w:rPr>
          <w:lang w:val="en-GB"/>
        </w:rPr>
        <w:t xml:space="preserve"> i</w:t>
      </w:r>
      <w:r w:rsidRPr="00A52857">
        <w:rPr>
          <w:lang w:val="en-GB"/>
        </w:rPr>
        <w:t>s damage principle and Immanuel Kant's categorical imperative, for example, contribute to the ethical landscape around consent. These philosophical foundations help to define acceptable behaviour and make informed decisions. To promote fairness and justice, courts and legal systems work to reconcile legal interpretations with ethical and philosophical concepts</w:t>
      </w:r>
      <w:r w:rsidR="001B1011" w:rsidRPr="00A52857">
        <w:rPr>
          <w:lang w:val="en-GB"/>
        </w:rPr>
        <w:t xml:space="preserve"> (</w:t>
      </w:r>
      <w:r w:rsidR="001B1011" w:rsidRPr="00A52857">
        <w:rPr>
          <w:shd w:val="clear" w:color="auto" w:fill="FFFFFF"/>
          <w:lang w:val="en-GB"/>
        </w:rPr>
        <w:t>Lefkowitz, 2017)</w:t>
      </w:r>
      <w:r w:rsidRPr="00A52857">
        <w:rPr>
          <w:lang w:val="en-GB"/>
        </w:rPr>
        <w:t xml:space="preserve">. In cases involving battery, ethical and philosophical issues lead </w:t>
      </w:r>
      <w:r w:rsidR="00A52857">
        <w:rPr>
          <w:lang w:val="en-GB"/>
        </w:rPr>
        <w:t xml:space="preserve">to </w:t>
      </w:r>
      <w:r w:rsidRPr="00A52857">
        <w:rPr>
          <w:lang w:val="en-GB"/>
        </w:rPr>
        <w:t xml:space="preserve">the determination of whether </w:t>
      </w:r>
      <w:r w:rsidR="00B01671">
        <w:rPr>
          <w:lang w:val="en-GB"/>
        </w:rPr>
        <w:t>consent</w:t>
      </w:r>
      <w:r w:rsidRPr="00A52857">
        <w:rPr>
          <w:lang w:val="en-GB"/>
        </w:rPr>
        <w:t xml:space="preserve"> was valid, informed and granted without coercion or undue influence. There are a lot of ethical ideas that affect how courts understand and apply consent in the legal context of battery. These include the circumstances of consent and ideas about individual choice and autonomy</w:t>
      </w:r>
      <w:r w:rsidR="00D744CB" w:rsidRPr="00A52857">
        <w:rPr>
          <w:lang w:val="en-GB"/>
        </w:rPr>
        <w:t xml:space="preserve"> (Oxford University, 2023)</w:t>
      </w:r>
      <w:r w:rsidRPr="00A52857">
        <w:rPr>
          <w:lang w:val="en-GB"/>
        </w:rPr>
        <w:t>.</w:t>
      </w:r>
    </w:p>
    <w:p w14:paraId="5FC94FE1" w14:textId="11F94D3C" w:rsidR="00D94304" w:rsidRPr="00A52857" w:rsidRDefault="00DB3AEE" w:rsidP="009268C3">
      <w:pPr>
        <w:rPr>
          <w:lang w:val="en-GB"/>
        </w:rPr>
      </w:pPr>
      <w:r w:rsidRPr="00A52857">
        <w:rPr>
          <w:lang w:val="en-GB"/>
        </w:rPr>
        <w:t>Legal concepts controlling consent and battery are critical in assessing the legitimacy of activities within the framework of criminal law. In the context of consent</w:t>
      </w:r>
      <w:r w:rsidR="00A52857">
        <w:rPr>
          <w:lang w:val="en-GB"/>
        </w:rPr>
        <w:t>,</w:t>
      </w:r>
      <w:r w:rsidRPr="00A52857">
        <w:rPr>
          <w:lang w:val="en-GB"/>
        </w:rPr>
        <w:t xml:space="preserve"> legal principles emphasise the importance of real, informed, and voluntary agreement. The availability of legitimate </w:t>
      </w:r>
      <w:r w:rsidR="00B01671">
        <w:rPr>
          <w:lang w:val="en-GB"/>
        </w:rPr>
        <w:t>consent</w:t>
      </w:r>
      <w:r w:rsidRPr="00A52857">
        <w:rPr>
          <w:lang w:val="en-GB"/>
        </w:rPr>
        <w:t xml:space="preserve"> serves as a defence against charges of violence or other illegal activities. This principle distinguishes between consensual and criminal behaviours. The basic legal principle in battery is the absence of consent</w:t>
      </w:r>
      <w:r w:rsidR="00E007DF" w:rsidRPr="00A52857">
        <w:rPr>
          <w:lang w:val="en-GB"/>
        </w:rPr>
        <w:t xml:space="preserve"> (Beetham, 2018)</w:t>
      </w:r>
      <w:r w:rsidRPr="00A52857">
        <w:rPr>
          <w:lang w:val="en-GB"/>
        </w:rPr>
        <w:t xml:space="preserve">. Battery is defined as any purposeful and non-consensual application of force that results in physical harm or injury. The absence of legal </w:t>
      </w:r>
      <w:r w:rsidR="005D04DA">
        <w:rPr>
          <w:lang w:val="en-GB"/>
        </w:rPr>
        <w:t>consent</w:t>
      </w:r>
      <w:r w:rsidRPr="00A52857">
        <w:rPr>
          <w:lang w:val="en-GB"/>
        </w:rPr>
        <w:t xml:space="preserve"> is crucial in determining the criminality of the act. Relevant case law, such as R v Brown [1993] 2 All ER 75, has demonstrated the importance of consent within the legal system</w:t>
      </w:r>
      <w:r w:rsidR="00A52857">
        <w:rPr>
          <w:lang w:val="en-GB"/>
        </w:rPr>
        <w:t xml:space="preserve"> (Oxford University </w:t>
      </w:r>
      <w:r w:rsidR="00A52857" w:rsidRPr="00A52857">
        <w:rPr>
          <w:lang w:val="en-GB"/>
        </w:rPr>
        <w:t>2023</w:t>
      </w:r>
      <w:r w:rsidR="00A52857">
        <w:rPr>
          <w:lang w:val="en-GB"/>
        </w:rPr>
        <w:t>)</w:t>
      </w:r>
      <w:r w:rsidRPr="00A52857">
        <w:rPr>
          <w:lang w:val="en-GB"/>
        </w:rPr>
        <w:t xml:space="preserve">. This case dealt primarily with consensual behaviours involving harm and demonstrated the limitations of consent as a defence, particularly when </w:t>
      </w:r>
      <w:r w:rsidRPr="00A52857">
        <w:rPr>
          <w:lang w:val="en-GB"/>
        </w:rPr>
        <w:lastRenderedPageBreak/>
        <w:t>acts go beyond societal acceptable or include significant harm. These legal ideas and case law help us figure out when consent and battery are valid and how they should be used in criminal cases.</w:t>
      </w:r>
    </w:p>
    <w:p w14:paraId="7896B10A" w14:textId="02A4FFEE" w:rsidR="00D94304" w:rsidRPr="00A52857" w:rsidRDefault="00D94304" w:rsidP="009268C3">
      <w:pPr>
        <w:rPr>
          <w:b/>
          <w:bCs/>
          <w:lang w:val="en-GB"/>
        </w:rPr>
      </w:pPr>
      <w:r w:rsidRPr="00A52857">
        <w:rPr>
          <w:b/>
          <w:bCs/>
          <w:lang w:val="en-GB"/>
        </w:rPr>
        <w:t>Consent in Different Contexts</w:t>
      </w:r>
    </w:p>
    <w:p w14:paraId="51B67F4F" w14:textId="3FE4FAA0" w:rsidR="001B2A60" w:rsidRPr="00A52857" w:rsidRDefault="00A52857" w:rsidP="001B2A60">
      <w:pPr>
        <w:rPr>
          <w:lang w:val="en-GB"/>
        </w:rPr>
      </w:pPr>
      <w:r>
        <w:rPr>
          <w:lang w:val="en-GB"/>
        </w:rPr>
        <w:t>In medical</w:t>
      </w:r>
      <w:r w:rsidR="001B2A60" w:rsidRPr="00A52857">
        <w:rPr>
          <w:lang w:val="en-GB"/>
        </w:rPr>
        <w:t xml:space="preserve"> </w:t>
      </w:r>
      <w:r w:rsidR="001B1011" w:rsidRPr="00A52857">
        <w:rPr>
          <w:lang w:val="en-GB"/>
        </w:rPr>
        <w:t>treatment</w:t>
      </w:r>
      <w:r w:rsidR="00D94304" w:rsidRPr="00A52857">
        <w:rPr>
          <w:lang w:val="en-GB"/>
        </w:rPr>
        <w:t>, c</w:t>
      </w:r>
      <w:r w:rsidR="001B2A60" w:rsidRPr="00A52857">
        <w:rPr>
          <w:lang w:val="en-GB"/>
        </w:rPr>
        <w:t xml:space="preserve">onsent is a basic ethical, </w:t>
      </w:r>
      <w:r w:rsidR="007D4EFE" w:rsidRPr="00A52857">
        <w:rPr>
          <w:lang w:val="en-GB"/>
        </w:rPr>
        <w:t>legal,</w:t>
      </w:r>
      <w:r w:rsidR="001B2A60" w:rsidRPr="00A52857">
        <w:rPr>
          <w:lang w:val="en-GB"/>
        </w:rPr>
        <w:t xml:space="preserve"> and practical need in medical situations. In the context of medical treatment, a patient's informed and voluntary </w:t>
      </w:r>
      <w:r w:rsidR="005D04DA">
        <w:rPr>
          <w:lang w:val="en-GB"/>
        </w:rPr>
        <w:t>consent</w:t>
      </w:r>
      <w:r w:rsidR="001B2A60" w:rsidRPr="00A52857">
        <w:rPr>
          <w:lang w:val="en-GB"/>
        </w:rPr>
        <w:t xml:space="preserve"> is both an ethical and legal need. This consent indicates the patient's acceptance of a certain medical procedure or intervention. Before seeking </w:t>
      </w:r>
      <w:r w:rsidR="007D4EFE" w:rsidRPr="00A52857">
        <w:rPr>
          <w:lang w:val="en-GB"/>
        </w:rPr>
        <w:t>consent,</w:t>
      </w:r>
      <w:r w:rsidR="001B2A60" w:rsidRPr="00A52857">
        <w:rPr>
          <w:lang w:val="en-GB"/>
        </w:rPr>
        <w:t xml:space="preserve"> medical practitioners must ensure that patients fully understand the nature of the therapy, it</w:t>
      </w:r>
      <w:r w:rsidR="003902E3">
        <w:rPr>
          <w:lang w:val="en-GB"/>
        </w:rPr>
        <w:t xml:space="preserve"> i</w:t>
      </w:r>
      <w:r w:rsidR="001B2A60" w:rsidRPr="00A52857">
        <w:rPr>
          <w:lang w:val="en-GB"/>
        </w:rPr>
        <w:t xml:space="preserve">s potential </w:t>
      </w:r>
      <w:r w:rsidR="005D04DA" w:rsidRPr="00A52857">
        <w:rPr>
          <w:lang w:val="en-GB"/>
        </w:rPr>
        <w:t>hazards,</w:t>
      </w:r>
      <w:r w:rsidR="001B2A60" w:rsidRPr="00A52857">
        <w:rPr>
          <w:lang w:val="en-GB"/>
        </w:rPr>
        <w:t xml:space="preserve"> and alternatives. Consent in medical treatment is important in legal problems, notably in cases of medical malpractice</w:t>
      </w:r>
      <w:r w:rsidR="00D4539D">
        <w:rPr>
          <w:lang w:val="en-GB"/>
        </w:rPr>
        <w:t xml:space="preserve"> (</w:t>
      </w:r>
      <w:r w:rsidR="00D4539D">
        <w:rPr>
          <w:shd w:val="clear" w:color="auto" w:fill="FFFFFF"/>
        </w:rPr>
        <w:t xml:space="preserve">Love and Pace, </w:t>
      </w:r>
      <w:r w:rsidR="00D4539D" w:rsidRPr="00D4539D">
        <w:rPr>
          <w:shd w:val="clear" w:color="auto" w:fill="FFFFFF"/>
        </w:rPr>
        <w:t>2018</w:t>
      </w:r>
      <w:r w:rsidR="00D4539D">
        <w:rPr>
          <w:shd w:val="clear" w:color="auto" w:fill="FFFFFF"/>
        </w:rPr>
        <w:t>)</w:t>
      </w:r>
      <w:r w:rsidR="001B2A60" w:rsidRPr="00A52857">
        <w:rPr>
          <w:lang w:val="en-GB"/>
        </w:rPr>
        <w:t xml:space="preserve">. When a patient claims that a medical procedure caused him or her harm, the presence or absence of legal </w:t>
      </w:r>
      <w:r w:rsidR="00B01671">
        <w:rPr>
          <w:lang w:val="en-GB"/>
        </w:rPr>
        <w:t>consent</w:t>
      </w:r>
      <w:r w:rsidR="001B2A60" w:rsidRPr="00A52857">
        <w:rPr>
          <w:lang w:val="en-GB"/>
        </w:rPr>
        <w:t xml:space="preserve"> becomes critical in evaluating culpability. Courts consider whether the patient gave informed and voluntary consent to the treatment and if the healthcare provider appropriately advised them of the dangers. </w:t>
      </w:r>
      <w:r w:rsidR="001B1011" w:rsidRPr="00A52857">
        <w:rPr>
          <w:lang w:val="en-GB"/>
        </w:rPr>
        <w:t>(</w:t>
      </w:r>
      <w:r w:rsidR="001B1011" w:rsidRPr="00A52857">
        <w:rPr>
          <w:shd w:val="clear" w:color="auto" w:fill="FFFFFF"/>
          <w:lang w:val="en-GB"/>
        </w:rPr>
        <w:t>Pietrzykowski and Smilowska, 2021)</w:t>
      </w:r>
      <w:r w:rsidR="001B2A60" w:rsidRPr="00A52857">
        <w:rPr>
          <w:lang w:val="en-GB"/>
        </w:rPr>
        <w:t>.</w:t>
      </w:r>
    </w:p>
    <w:p w14:paraId="2D758D25" w14:textId="4E6F95A1" w:rsidR="001B2A60" w:rsidRPr="00A52857" w:rsidRDefault="001B2A60" w:rsidP="001B2A60">
      <w:pPr>
        <w:rPr>
          <w:lang w:val="en-GB"/>
        </w:rPr>
      </w:pPr>
      <w:r w:rsidRPr="00A52857">
        <w:rPr>
          <w:lang w:val="en-GB"/>
        </w:rPr>
        <w:t xml:space="preserve">Contact </w:t>
      </w:r>
      <w:r w:rsidR="00D94304" w:rsidRPr="00A52857">
        <w:rPr>
          <w:lang w:val="en-GB"/>
        </w:rPr>
        <w:t>s</w:t>
      </w:r>
      <w:r w:rsidRPr="00A52857">
        <w:rPr>
          <w:lang w:val="en-GB"/>
        </w:rPr>
        <w:t>ports</w:t>
      </w:r>
      <w:r w:rsidR="00D94304" w:rsidRPr="00A52857">
        <w:rPr>
          <w:lang w:val="en-GB"/>
        </w:rPr>
        <w:t>, c</w:t>
      </w:r>
      <w:r w:rsidRPr="00A52857">
        <w:rPr>
          <w:lang w:val="en-GB"/>
        </w:rPr>
        <w:t xml:space="preserve">onsent in contact sports is complicated by a number of factors. Participants in contact sports are aware that these activities are fundamentally dangerous. In many circumstances, by freely participating in the sport, participants implicitly consent to these dangers. However, this implicit </w:t>
      </w:r>
      <w:r w:rsidR="005D04DA">
        <w:rPr>
          <w:lang w:val="en-GB"/>
        </w:rPr>
        <w:t>consent</w:t>
      </w:r>
      <w:r w:rsidRPr="00A52857">
        <w:rPr>
          <w:lang w:val="en-GB"/>
        </w:rPr>
        <w:t xml:space="preserve"> is </w:t>
      </w:r>
      <w:r w:rsidR="007D4EFE" w:rsidRPr="00A52857">
        <w:rPr>
          <w:lang w:val="en-GB"/>
        </w:rPr>
        <w:t>conditional,</w:t>
      </w:r>
      <w:r w:rsidRPr="00A52857">
        <w:rPr>
          <w:lang w:val="en-GB"/>
        </w:rPr>
        <w:t xml:space="preserve"> and it has limitations. Examining consent in sports is especially important when participants may experience harm. The legality of behaviour in a sport is frequently dictated by the laws and regulations that regulate the specific activity</w:t>
      </w:r>
      <w:r w:rsidR="009D1760" w:rsidRPr="00A52857">
        <w:rPr>
          <w:lang w:val="en-GB"/>
        </w:rPr>
        <w:t xml:space="preserve"> (</w:t>
      </w:r>
      <w:r w:rsidR="009D1760" w:rsidRPr="00A52857">
        <w:rPr>
          <w:shd w:val="clear" w:color="auto" w:fill="FFFFFF"/>
          <w:lang w:val="en-GB"/>
        </w:rPr>
        <w:t>Young, 2019)</w:t>
      </w:r>
      <w:r w:rsidRPr="00A52857">
        <w:rPr>
          <w:lang w:val="en-GB"/>
        </w:rPr>
        <w:t xml:space="preserve">. </w:t>
      </w:r>
      <w:r w:rsidR="007D4EFE" w:rsidRPr="00A52857">
        <w:rPr>
          <w:lang w:val="en-GB"/>
        </w:rPr>
        <w:t>If</w:t>
      </w:r>
      <w:r w:rsidRPr="00A52857">
        <w:rPr>
          <w:lang w:val="en-GB"/>
        </w:rPr>
        <w:t xml:space="preserve"> players follow these regulations, any injuries sustained may not be considered criminal. When activities go beyond the boundaries of the game or are deemed risky, they may fall outside of the range of consent. </w:t>
      </w:r>
    </w:p>
    <w:p w14:paraId="75A32B43" w14:textId="5901F575" w:rsidR="001B2A60" w:rsidRPr="00A52857" w:rsidRDefault="001B2A60" w:rsidP="001B2A60">
      <w:pPr>
        <w:rPr>
          <w:lang w:val="en-GB"/>
        </w:rPr>
      </w:pPr>
      <w:r w:rsidRPr="00A52857">
        <w:rPr>
          <w:lang w:val="en-GB"/>
        </w:rPr>
        <w:t>Consent in intimate relationships is a complicated and delicate matter. It refers to the free and mutual agreement of individuals participating in intimate activities. Consent in intimate relationships is fraught with ethical and legal quandaries</w:t>
      </w:r>
      <w:r w:rsidR="00A52857">
        <w:rPr>
          <w:lang w:val="en-GB"/>
        </w:rPr>
        <w:t>,</w:t>
      </w:r>
      <w:r w:rsidRPr="00A52857">
        <w:rPr>
          <w:lang w:val="en-GB"/>
        </w:rPr>
        <w:t xml:space="preserve"> particularly in circumstances of alleged sexual assault or abuse</w:t>
      </w:r>
      <w:r w:rsidR="00D4539D">
        <w:rPr>
          <w:lang w:val="en-GB"/>
        </w:rPr>
        <w:t xml:space="preserve"> (</w:t>
      </w:r>
      <w:r w:rsidR="00D4539D">
        <w:rPr>
          <w:shd w:val="clear" w:color="auto" w:fill="FFFFFF"/>
        </w:rPr>
        <w:t xml:space="preserve">Syme and Steele, </w:t>
      </w:r>
      <w:r w:rsidR="00D4539D" w:rsidRPr="00A52857">
        <w:rPr>
          <w:shd w:val="clear" w:color="auto" w:fill="FFFFFF"/>
        </w:rPr>
        <w:t>2016</w:t>
      </w:r>
      <w:r w:rsidR="00D4539D">
        <w:rPr>
          <w:shd w:val="clear" w:color="auto" w:fill="FFFFFF"/>
        </w:rPr>
        <w:t>)</w:t>
      </w:r>
      <w:r w:rsidRPr="00A52857">
        <w:rPr>
          <w:lang w:val="en-GB"/>
        </w:rPr>
        <w:t xml:space="preserve">. Consent is a critical issue in cases of sexual assault or abuse. The lack of legitimate consent is a critical component in evaluating the crime of the conduct. Consent must be unambiguous, </w:t>
      </w:r>
      <w:r w:rsidR="007D4EFE" w:rsidRPr="00A52857">
        <w:rPr>
          <w:lang w:val="en-GB"/>
        </w:rPr>
        <w:t>voluntary,</w:t>
      </w:r>
      <w:r w:rsidRPr="00A52857">
        <w:rPr>
          <w:lang w:val="en-GB"/>
        </w:rPr>
        <w:t xml:space="preserve"> and informed. In cases of alleged assault, the prosecution frequently has the burden of proving the absence of consent. Courts consider the facts of the case, the parties involved and the presence of any coercive </w:t>
      </w:r>
      <w:r w:rsidRPr="00A52857">
        <w:rPr>
          <w:lang w:val="en-GB"/>
        </w:rPr>
        <w:lastRenderedPageBreak/>
        <w:t>considerations. Consent is legally recognised as a defence against charges of sexual assault or abuse. The legal system strives to find a balance between respecting an individual's autonomy and ensuring that persons are protected from sexual offences</w:t>
      </w:r>
      <w:r w:rsidR="009D1760" w:rsidRPr="00A52857">
        <w:rPr>
          <w:lang w:val="en-GB"/>
        </w:rPr>
        <w:t xml:space="preserve"> (RAINN, 2023)</w:t>
      </w:r>
      <w:r w:rsidRPr="00A52857">
        <w:rPr>
          <w:lang w:val="en-GB"/>
        </w:rPr>
        <w:t>.</w:t>
      </w:r>
    </w:p>
    <w:p w14:paraId="02DA672A" w14:textId="0FB479FF" w:rsidR="00D94304" w:rsidRPr="00A52857" w:rsidRDefault="00D94304">
      <w:pPr>
        <w:spacing w:line="259" w:lineRule="auto"/>
        <w:jc w:val="left"/>
        <w:rPr>
          <w:lang w:val="en-GB"/>
        </w:rPr>
      </w:pPr>
      <w:r w:rsidRPr="00A52857">
        <w:rPr>
          <w:lang w:val="en-GB"/>
        </w:rPr>
        <w:br w:type="page"/>
      </w:r>
    </w:p>
    <w:p w14:paraId="19B8E6E9" w14:textId="11D4BAC2" w:rsidR="00D94304" w:rsidRPr="00A52857" w:rsidRDefault="00D94304" w:rsidP="00D94304">
      <w:pPr>
        <w:pStyle w:val="Heading1"/>
        <w:rPr>
          <w:lang w:val="en-GB"/>
        </w:rPr>
      </w:pPr>
      <w:r w:rsidRPr="00A52857">
        <w:rPr>
          <w:lang w:val="en-GB"/>
        </w:rPr>
        <w:lastRenderedPageBreak/>
        <w:t xml:space="preserve">Conclusion </w:t>
      </w:r>
    </w:p>
    <w:p w14:paraId="01780BDC" w14:textId="1A13B65F" w:rsidR="00D94304" w:rsidRPr="00A52857" w:rsidRDefault="00D94304" w:rsidP="001B2A60">
      <w:pPr>
        <w:rPr>
          <w:lang w:val="en-GB"/>
        </w:rPr>
      </w:pPr>
      <w:r w:rsidRPr="00A52857">
        <w:rPr>
          <w:lang w:val="en-GB"/>
        </w:rPr>
        <w:t xml:space="preserve">In conclusion, the investigation of consent in various settings demonstrated its complex function within legal systems. The definitions and consequences of battery and consent were emphasised, highlighting the importance of these concepts in criminal procedures. Ethical and philosophical frameworks have an impact on how the law interprets consent, and case law and legal concepts serve as a guide for implementation. The use of consent in intimate relationships, contact sports and medical care highlights its contextual nature and crucial role in determining legality. Common themes include respect for individual autonomy, voluntary agreement, and well-informed decision-making. </w:t>
      </w:r>
      <w:r w:rsidR="007D4EFE" w:rsidRPr="00A52857">
        <w:rPr>
          <w:lang w:val="en-GB"/>
        </w:rPr>
        <w:t>To</w:t>
      </w:r>
      <w:r w:rsidRPr="00A52857">
        <w:rPr>
          <w:lang w:val="en-GB"/>
        </w:rPr>
        <w:t xml:space="preserve"> ensure justice, respect and legality while navigating the intricacies of consent in various circumstances, it is imperative to acknowledge these values. Therefore, a full comprehension of consent is essential to maintaining justice and protecting individual rights in a variety of contexts.</w:t>
      </w:r>
    </w:p>
    <w:p w14:paraId="3B39285D" w14:textId="77777777" w:rsidR="00D94304" w:rsidRPr="00A52857" w:rsidRDefault="00D94304">
      <w:pPr>
        <w:spacing w:line="259" w:lineRule="auto"/>
        <w:jc w:val="left"/>
        <w:rPr>
          <w:lang w:val="en-GB"/>
        </w:rPr>
      </w:pPr>
      <w:r w:rsidRPr="00A52857">
        <w:rPr>
          <w:lang w:val="en-GB"/>
        </w:rPr>
        <w:br w:type="page"/>
      </w:r>
    </w:p>
    <w:p w14:paraId="4D79D335" w14:textId="06F65DE6" w:rsidR="00D94304" w:rsidRPr="00A52857" w:rsidRDefault="00D94304" w:rsidP="00D94304">
      <w:pPr>
        <w:pStyle w:val="Heading1"/>
        <w:rPr>
          <w:lang w:val="en-GB"/>
        </w:rPr>
      </w:pPr>
      <w:r w:rsidRPr="00A52857">
        <w:rPr>
          <w:lang w:val="en-GB"/>
        </w:rPr>
        <w:lastRenderedPageBreak/>
        <w:t xml:space="preserve">References </w:t>
      </w:r>
    </w:p>
    <w:p w14:paraId="233D66B4" w14:textId="65BFD50F" w:rsidR="00D4539D" w:rsidRPr="00A52857" w:rsidRDefault="00D4539D" w:rsidP="00D94304">
      <w:pPr>
        <w:rPr>
          <w:lang w:val="en-GB"/>
        </w:rPr>
      </w:pPr>
      <w:r w:rsidRPr="00A52857">
        <w:rPr>
          <w:lang w:val="en-GB"/>
        </w:rPr>
        <w:t xml:space="preserve">Beetham, A., </w:t>
      </w:r>
      <w:r w:rsidR="0017375F">
        <w:rPr>
          <w:lang w:val="en-GB"/>
        </w:rPr>
        <w:t>(</w:t>
      </w:r>
      <w:r w:rsidRPr="00A52857">
        <w:rPr>
          <w:lang w:val="en-GB"/>
        </w:rPr>
        <w:t>2018</w:t>
      </w:r>
      <w:r w:rsidR="0017375F">
        <w:rPr>
          <w:lang w:val="en-GB"/>
        </w:rPr>
        <w:t xml:space="preserve">). </w:t>
      </w:r>
      <w:r w:rsidRPr="00A52857">
        <w:rPr>
          <w:lang w:val="en-GB"/>
        </w:rPr>
        <w:t xml:space="preserve">Body modification: A case of modern maiming? R v BM [2018] EWCA Crim </w:t>
      </w:r>
      <w:r w:rsidR="0017375F" w:rsidRPr="00A52857">
        <w:rPr>
          <w:lang w:val="en-GB"/>
        </w:rPr>
        <w:t>560; [</w:t>
      </w:r>
      <w:r w:rsidRPr="00A52857">
        <w:rPr>
          <w:lang w:val="en-GB"/>
        </w:rPr>
        <w:t xml:space="preserve">2018] WLR (D) 187. </w:t>
      </w:r>
      <w:r w:rsidR="0017375F">
        <w:rPr>
          <w:lang w:val="en-GB"/>
        </w:rPr>
        <w:t>‘’</w:t>
      </w:r>
      <w:r w:rsidRPr="0017375F">
        <w:rPr>
          <w:i/>
          <w:iCs/>
          <w:lang w:val="en-GB"/>
        </w:rPr>
        <w:t>The Journal of Criminal Law</w:t>
      </w:r>
      <w:r w:rsidR="0017375F">
        <w:rPr>
          <w:i/>
          <w:iCs/>
          <w:lang w:val="en-GB"/>
        </w:rPr>
        <w:t>’’</w:t>
      </w:r>
      <w:r w:rsidRPr="00A52857">
        <w:rPr>
          <w:lang w:val="en-GB"/>
        </w:rPr>
        <w:t>, 82(3), p</w:t>
      </w:r>
      <w:r w:rsidR="0017375F">
        <w:rPr>
          <w:lang w:val="en-GB"/>
        </w:rPr>
        <w:t>.</w:t>
      </w:r>
      <w:r w:rsidRPr="00A52857">
        <w:rPr>
          <w:lang w:val="en-GB"/>
        </w:rPr>
        <w:t>p.</w:t>
      </w:r>
      <w:r w:rsidR="0017375F">
        <w:rPr>
          <w:lang w:val="en-GB"/>
        </w:rPr>
        <w:t xml:space="preserve"> </w:t>
      </w:r>
      <w:r w:rsidRPr="00A52857">
        <w:rPr>
          <w:lang w:val="en-GB"/>
        </w:rPr>
        <w:t>206-208.</w:t>
      </w:r>
    </w:p>
    <w:p w14:paraId="0599CCDA" w14:textId="45BB032A" w:rsidR="00D4539D" w:rsidRPr="00A52857" w:rsidRDefault="00D4539D" w:rsidP="00D94304">
      <w:pPr>
        <w:rPr>
          <w:lang w:val="en-GB"/>
        </w:rPr>
      </w:pPr>
      <w:r w:rsidRPr="00A52857">
        <w:rPr>
          <w:lang w:val="en-GB"/>
        </w:rPr>
        <w:t xml:space="preserve">Chisholm, N., (2020). English Law of Assault and </w:t>
      </w:r>
      <w:r w:rsidR="0017375F" w:rsidRPr="00A52857">
        <w:rPr>
          <w:lang w:val="en-GB"/>
        </w:rPr>
        <w:t xml:space="preserve">Battery: </w:t>
      </w:r>
      <w:r w:rsidR="0017375F">
        <w:rPr>
          <w:lang w:val="en-GB"/>
        </w:rPr>
        <w:t>‘</w:t>
      </w:r>
      <w:r w:rsidR="0017375F" w:rsidRPr="00A52857">
        <w:rPr>
          <w:lang w:val="en-GB"/>
        </w:rPr>
        <w:t>Outline</w:t>
      </w:r>
      <w:r w:rsidRPr="0017375F">
        <w:rPr>
          <w:i/>
          <w:iCs/>
          <w:lang w:val="en-GB"/>
        </w:rPr>
        <w:t xml:space="preserve"> and Case Summaries</w:t>
      </w:r>
      <w:r w:rsidR="0017375F">
        <w:rPr>
          <w:i/>
          <w:iCs/>
          <w:lang w:val="en-GB"/>
        </w:rPr>
        <w:t>’’</w:t>
      </w:r>
      <w:r w:rsidRPr="00A52857">
        <w:rPr>
          <w:lang w:val="en-GB"/>
        </w:rPr>
        <w:t xml:space="preserve"> Available at SSRN 3705763.</w:t>
      </w:r>
    </w:p>
    <w:p w14:paraId="78548947" w14:textId="2B626990" w:rsidR="00D4539D" w:rsidRPr="00A52857" w:rsidRDefault="00D4539D" w:rsidP="001B2A60">
      <w:pPr>
        <w:rPr>
          <w:lang w:val="en-GB"/>
        </w:rPr>
      </w:pPr>
      <w:r w:rsidRPr="00A52857">
        <w:rPr>
          <w:lang w:val="en-GB"/>
        </w:rPr>
        <w:t>Cocanour, C.S., (2017). Informed consent</w:t>
      </w:r>
      <w:r w:rsidR="0017375F">
        <w:rPr>
          <w:lang w:val="en-GB"/>
        </w:rPr>
        <w:t xml:space="preserve"> </w:t>
      </w:r>
      <w:r w:rsidR="0017375F" w:rsidRPr="00A52857">
        <w:rPr>
          <w:lang w:val="en-GB"/>
        </w:rPr>
        <w:t>It is</w:t>
      </w:r>
      <w:r w:rsidRPr="00A52857">
        <w:rPr>
          <w:lang w:val="en-GB"/>
        </w:rPr>
        <w:t xml:space="preserve"> more than a signature on a piece of </w:t>
      </w:r>
      <w:r w:rsidR="0017375F" w:rsidRPr="00A52857">
        <w:rPr>
          <w:lang w:val="en-GB"/>
        </w:rPr>
        <w:t>paper</w:t>
      </w:r>
      <w:r w:rsidR="0017375F">
        <w:rPr>
          <w:lang w:val="en-GB"/>
        </w:rPr>
        <w:t xml:space="preserve">; </w:t>
      </w:r>
      <w:r w:rsidR="0017375F" w:rsidRPr="00A52857">
        <w:rPr>
          <w:lang w:val="en-GB"/>
        </w:rPr>
        <w:t>‘</w:t>
      </w:r>
      <w:r w:rsidRPr="00A52857">
        <w:rPr>
          <w:i/>
          <w:iCs/>
          <w:lang w:val="en-GB"/>
        </w:rPr>
        <w:t>The American Journal of Surgery</w:t>
      </w:r>
      <w:r w:rsidR="0017375F">
        <w:rPr>
          <w:i/>
          <w:iCs/>
          <w:lang w:val="en-GB"/>
        </w:rPr>
        <w:t>;’</w:t>
      </w:r>
      <w:r w:rsidRPr="00A52857">
        <w:rPr>
          <w:lang w:val="en-GB"/>
        </w:rPr>
        <w:t> </w:t>
      </w:r>
      <w:r w:rsidRPr="00A52857">
        <w:rPr>
          <w:i/>
          <w:iCs/>
          <w:lang w:val="en-GB"/>
        </w:rPr>
        <w:t>214</w:t>
      </w:r>
      <w:r w:rsidRPr="00A52857">
        <w:rPr>
          <w:lang w:val="en-GB"/>
        </w:rPr>
        <w:t>(6), p</w:t>
      </w:r>
      <w:r w:rsidR="0017375F">
        <w:rPr>
          <w:lang w:val="en-GB"/>
        </w:rPr>
        <w:t>.</w:t>
      </w:r>
      <w:r w:rsidRPr="00A52857">
        <w:rPr>
          <w:lang w:val="en-GB"/>
        </w:rPr>
        <w:t>p.</w:t>
      </w:r>
      <w:r w:rsidR="0017375F">
        <w:rPr>
          <w:lang w:val="en-GB"/>
        </w:rPr>
        <w:t xml:space="preserve"> </w:t>
      </w:r>
      <w:r w:rsidRPr="00A52857">
        <w:rPr>
          <w:lang w:val="en-GB"/>
        </w:rPr>
        <w:t>993-997.</w:t>
      </w:r>
    </w:p>
    <w:p w14:paraId="5E2370F0" w14:textId="023D6D47" w:rsidR="00D4539D" w:rsidRPr="00A52857" w:rsidRDefault="00D4539D" w:rsidP="001B1011">
      <w:pPr>
        <w:rPr>
          <w:shd w:val="clear" w:color="auto" w:fill="FFFFFF"/>
          <w:lang w:val="en-GB"/>
        </w:rPr>
      </w:pPr>
      <w:r w:rsidRPr="00A52857">
        <w:rPr>
          <w:shd w:val="clear" w:color="auto" w:fill="FFFFFF"/>
          <w:lang w:val="en-GB"/>
        </w:rPr>
        <w:t>Lefkowitz, J., (2017). </w:t>
      </w:r>
      <w:r w:rsidR="0017375F">
        <w:rPr>
          <w:shd w:val="clear" w:color="auto" w:fill="FFFFFF"/>
          <w:lang w:val="en-GB"/>
        </w:rPr>
        <w:t>‘</w:t>
      </w:r>
      <w:r w:rsidRPr="0017375F">
        <w:rPr>
          <w:i/>
          <w:iCs/>
          <w:shd w:val="clear" w:color="auto" w:fill="FFFFFF"/>
          <w:lang w:val="en-GB"/>
        </w:rPr>
        <w:t>Ethics and values in industrial-organizational psychology</w:t>
      </w:r>
      <w:r w:rsidR="0017375F">
        <w:rPr>
          <w:shd w:val="clear" w:color="auto" w:fill="FFFFFF"/>
          <w:lang w:val="en-GB"/>
        </w:rPr>
        <w:t>;’</w:t>
      </w:r>
      <w:r w:rsidRPr="00A52857">
        <w:rPr>
          <w:shd w:val="clear" w:color="auto" w:fill="FFFFFF"/>
          <w:lang w:val="en-GB"/>
        </w:rPr>
        <w:t xml:space="preserve"> Taylor &amp; Francis.</w:t>
      </w:r>
    </w:p>
    <w:p w14:paraId="10B082AE" w14:textId="6CB2E74C" w:rsidR="00D4539D" w:rsidRPr="00A52857" w:rsidRDefault="00D4539D" w:rsidP="0078648C">
      <w:pPr>
        <w:rPr>
          <w:lang w:val="en-GB"/>
        </w:rPr>
      </w:pPr>
      <w:r w:rsidRPr="00A52857">
        <w:rPr>
          <w:lang w:val="en-GB"/>
        </w:rPr>
        <w:t xml:space="preserve">Legal Information Institute (2023) </w:t>
      </w:r>
      <w:r w:rsidRPr="00A52857">
        <w:rPr>
          <w:i/>
          <w:iCs/>
          <w:lang w:val="en-GB"/>
        </w:rPr>
        <w:t>Battery</w:t>
      </w:r>
      <w:r w:rsidR="0017375F">
        <w:rPr>
          <w:lang w:val="en-GB"/>
        </w:rPr>
        <w:t>; ‘</w:t>
      </w:r>
      <w:r w:rsidRPr="00A52857">
        <w:rPr>
          <w:i/>
          <w:iCs/>
          <w:lang w:val="en-GB"/>
        </w:rPr>
        <w:t>Legal Information Institute</w:t>
      </w:r>
      <w:r w:rsidR="0017375F">
        <w:rPr>
          <w:lang w:val="en-GB"/>
        </w:rPr>
        <w:t>’</w:t>
      </w:r>
      <w:r w:rsidRPr="00A52857">
        <w:rPr>
          <w:lang w:val="en-GB"/>
        </w:rPr>
        <w:t xml:space="preserve"> Available at: </w:t>
      </w:r>
      <w:hyperlink r:id="rId7" w:history="1">
        <w:r w:rsidR="0017375F" w:rsidRPr="003B0834">
          <w:rPr>
            <w:rStyle w:val="Hyperlink"/>
            <w:lang w:val="en-GB"/>
          </w:rPr>
          <w:t>https://www.law.cornell.edu/wex/battery</w:t>
        </w:r>
      </w:hyperlink>
      <w:r w:rsidR="0017375F">
        <w:rPr>
          <w:lang w:val="en-GB"/>
        </w:rPr>
        <w:t xml:space="preserve"> </w:t>
      </w:r>
      <w:r w:rsidRPr="00A52857">
        <w:rPr>
          <w:lang w:val="en-GB"/>
        </w:rPr>
        <w:t xml:space="preserve">(Accessed: 30 October 2023). </w:t>
      </w:r>
    </w:p>
    <w:p w14:paraId="5E91F85E" w14:textId="222209C5" w:rsidR="00D4539D" w:rsidRPr="00A52857" w:rsidRDefault="00D4539D" w:rsidP="009D1760">
      <w:pPr>
        <w:rPr>
          <w:shd w:val="clear" w:color="auto" w:fill="FFFFFF"/>
          <w:lang w:val="en-GB"/>
        </w:rPr>
      </w:pPr>
      <w:r w:rsidRPr="00D4539D">
        <w:rPr>
          <w:shd w:val="clear" w:color="auto" w:fill="FFFFFF"/>
        </w:rPr>
        <w:t xml:space="preserve">Love, C. and Pace, N., </w:t>
      </w:r>
      <w:r>
        <w:rPr>
          <w:shd w:val="clear" w:color="auto" w:fill="FFFFFF"/>
        </w:rPr>
        <w:t>(</w:t>
      </w:r>
      <w:r w:rsidRPr="00D4539D">
        <w:rPr>
          <w:shd w:val="clear" w:color="auto" w:fill="FFFFFF"/>
        </w:rPr>
        <w:t>2018</w:t>
      </w:r>
      <w:r>
        <w:rPr>
          <w:shd w:val="clear" w:color="auto" w:fill="FFFFFF"/>
        </w:rPr>
        <w:t>)</w:t>
      </w:r>
      <w:r w:rsidRPr="00D4539D">
        <w:rPr>
          <w:shd w:val="clear" w:color="auto" w:fill="FFFFFF"/>
        </w:rPr>
        <w:t>. Consent</w:t>
      </w:r>
      <w:r w:rsidR="0017375F">
        <w:rPr>
          <w:shd w:val="clear" w:color="auto" w:fill="FFFFFF"/>
        </w:rPr>
        <w:t>;</w:t>
      </w:r>
      <w:r w:rsidRPr="00D4539D">
        <w:rPr>
          <w:shd w:val="clear" w:color="auto" w:fill="FFFFFF"/>
        </w:rPr>
        <w:t> </w:t>
      </w:r>
      <w:r w:rsidR="0017375F">
        <w:rPr>
          <w:shd w:val="clear" w:color="auto" w:fill="FFFFFF"/>
        </w:rPr>
        <w:t>‘</w:t>
      </w:r>
      <w:r w:rsidRPr="00D4539D">
        <w:rPr>
          <w:i/>
          <w:iCs/>
          <w:shd w:val="clear" w:color="auto" w:fill="FFFFFF"/>
        </w:rPr>
        <w:t>Anaesthesia &amp; Intensive Care Medicine</w:t>
      </w:r>
      <w:r w:rsidR="0017375F">
        <w:rPr>
          <w:shd w:val="clear" w:color="auto" w:fill="FFFFFF"/>
        </w:rPr>
        <w:t>’;</w:t>
      </w:r>
      <w:r w:rsidRPr="00D4539D">
        <w:rPr>
          <w:shd w:val="clear" w:color="auto" w:fill="FFFFFF"/>
        </w:rPr>
        <w:t> </w:t>
      </w:r>
      <w:r w:rsidRPr="00D4539D">
        <w:rPr>
          <w:i/>
          <w:iCs/>
          <w:shd w:val="clear" w:color="auto" w:fill="FFFFFF"/>
        </w:rPr>
        <w:t>19</w:t>
      </w:r>
      <w:r w:rsidRPr="00D4539D">
        <w:rPr>
          <w:shd w:val="clear" w:color="auto" w:fill="FFFFFF"/>
        </w:rPr>
        <w:t>(5), p</w:t>
      </w:r>
      <w:r w:rsidR="0017375F">
        <w:rPr>
          <w:shd w:val="clear" w:color="auto" w:fill="FFFFFF"/>
        </w:rPr>
        <w:t>.</w:t>
      </w:r>
      <w:r w:rsidRPr="00D4539D">
        <w:rPr>
          <w:shd w:val="clear" w:color="auto" w:fill="FFFFFF"/>
        </w:rPr>
        <w:t>p.</w:t>
      </w:r>
      <w:r w:rsidR="0017375F">
        <w:rPr>
          <w:shd w:val="clear" w:color="auto" w:fill="FFFFFF"/>
        </w:rPr>
        <w:t xml:space="preserve"> </w:t>
      </w:r>
      <w:r w:rsidRPr="00D4539D">
        <w:rPr>
          <w:shd w:val="clear" w:color="auto" w:fill="FFFFFF"/>
        </w:rPr>
        <w:t>263-266.</w:t>
      </w:r>
    </w:p>
    <w:p w14:paraId="20F21FF7" w14:textId="60E8B675" w:rsidR="00D4539D" w:rsidRPr="00A52857" w:rsidRDefault="00D4539D" w:rsidP="00E007DF">
      <w:pPr>
        <w:rPr>
          <w:shd w:val="clear" w:color="auto" w:fill="FFFFFF"/>
          <w:lang w:val="en-GB"/>
        </w:rPr>
      </w:pPr>
      <w:r w:rsidRPr="00A52857">
        <w:rPr>
          <w:shd w:val="clear" w:color="auto" w:fill="FFFFFF"/>
          <w:lang w:val="en-GB"/>
        </w:rPr>
        <w:t>Müller, A. and Schaber, P. e</w:t>
      </w:r>
      <w:r w:rsidR="0017375F">
        <w:rPr>
          <w:shd w:val="clear" w:color="auto" w:fill="FFFFFF"/>
          <w:lang w:val="en-GB"/>
        </w:rPr>
        <w:t>t</w:t>
      </w:r>
      <w:r w:rsidR="007D4EFE">
        <w:rPr>
          <w:shd w:val="clear" w:color="auto" w:fill="FFFFFF"/>
          <w:lang w:val="en-GB"/>
        </w:rPr>
        <w:t>. at</w:t>
      </w:r>
      <w:r w:rsidRPr="00A52857">
        <w:rPr>
          <w:shd w:val="clear" w:color="auto" w:fill="FFFFFF"/>
          <w:lang w:val="en-GB"/>
        </w:rPr>
        <w:t>., (2018). </w:t>
      </w:r>
      <w:r w:rsidR="007D4EFE">
        <w:rPr>
          <w:shd w:val="clear" w:color="auto" w:fill="FFFFFF"/>
          <w:lang w:val="en-GB"/>
        </w:rPr>
        <w:t>‘</w:t>
      </w:r>
      <w:r w:rsidRPr="00A52857">
        <w:rPr>
          <w:i/>
          <w:iCs/>
          <w:shd w:val="clear" w:color="auto" w:fill="FFFFFF"/>
          <w:lang w:val="en-GB"/>
        </w:rPr>
        <w:t>The Routledge handbook of the ethics of consent</w:t>
      </w:r>
      <w:r w:rsidR="007D4EFE">
        <w:rPr>
          <w:i/>
          <w:iCs/>
          <w:shd w:val="clear" w:color="auto" w:fill="FFFFFF"/>
          <w:lang w:val="en-GB"/>
        </w:rPr>
        <w:t>;’</w:t>
      </w:r>
      <w:r w:rsidRPr="00A52857">
        <w:rPr>
          <w:shd w:val="clear" w:color="auto" w:fill="FFFFFF"/>
          <w:lang w:val="en-GB"/>
        </w:rPr>
        <w:t> p</w:t>
      </w:r>
      <w:r w:rsidR="007D4EFE">
        <w:rPr>
          <w:shd w:val="clear" w:color="auto" w:fill="FFFFFF"/>
          <w:lang w:val="en-GB"/>
        </w:rPr>
        <w:t>.</w:t>
      </w:r>
      <w:r w:rsidRPr="00A52857">
        <w:rPr>
          <w:shd w:val="clear" w:color="auto" w:fill="FFFFFF"/>
          <w:lang w:val="en-GB"/>
        </w:rPr>
        <w:t>p. 119-130). New York: Routledge.</w:t>
      </w:r>
    </w:p>
    <w:p w14:paraId="03C11D34" w14:textId="3BC2905C" w:rsidR="00D4539D" w:rsidRPr="00A52857" w:rsidRDefault="00D4539D" w:rsidP="00D744CB">
      <w:pPr>
        <w:rPr>
          <w:lang w:val="en-GB"/>
        </w:rPr>
      </w:pPr>
      <w:r w:rsidRPr="00A52857">
        <w:rPr>
          <w:lang w:val="en-GB"/>
        </w:rPr>
        <w:t xml:space="preserve">Oxford University (2023) </w:t>
      </w:r>
      <w:r w:rsidR="007D4EFE">
        <w:rPr>
          <w:lang w:val="en-GB"/>
        </w:rPr>
        <w:t>‘</w:t>
      </w:r>
      <w:r w:rsidRPr="007D4EFE">
        <w:rPr>
          <w:i/>
          <w:iCs/>
          <w:lang w:val="en-GB"/>
        </w:rPr>
        <w:t xml:space="preserve">Loveland: Constitutional law, administrative </w:t>
      </w:r>
      <w:r w:rsidR="007D4EFE" w:rsidRPr="007D4EFE">
        <w:rPr>
          <w:i/>
          <w:iCs/>
          <w:lang w:val="en-GB"/>
        </w:rPr>
        <w:t>law,</w:t>
      </w:r>
      <w:r w:rsidRPr="007D4EFE">
        <w:rPr>
          <w:i/>
          <w:iCs/>
          <w:lang w:val="en-GB"/>
        </w:rPr>
        <w:t xml:space="preserve"> and human rights</w:t>
      </w:r>
      <w:r w:rsidR="007D4EFE">
        <w:rPr>
          <w:i/>
          <w:iCs/>
          <w:lang w:val="en-GB"/>
        </w:rPr>
        <w:t>’</w:t>
      </w:r>
      <w:r w:rsidRPr="007D4EFE">
        <w:rPr>
          <w:i/>
          <w:iCs/>
          <w:lang w:val="en-GB"/>
        </w:rPr>
        <w:t xml:space="preserve"> </w:t>
      </w:r>
      <w:r w:rsidRPr="00A52857">
        <w:rPr>
          <w:lang w:val="en-GB"/>
        </w:rPr>
        <w:t xml:space="preserve">8E: Online casebook, R v Brown and other appeals [1993] 2 All ER 75. Available at: </w:t>
      </w:r>
      <w:hyperlink r:id="rId8" w:history="1">
        <w:r w:rsidR="007D4EFE" w:rsidRPr="003B0834">
          <w:rPr>
            <w:rStyle w:val="Hyperlink"/>
            <w:lang w:val="en-GB"/>
          </w:rPr>
          <w:t>https://learninglink.oup.com/static/5c0e79ef50eddf00160f35ad/casebook_185.htm</w:t>
        </w:r>
      </w:hyperlink>
      <w:r w:rsidR="007D4EFE">
        <w:rPr>
          <w:lang w:val="en-GB"/>
        </w:rPr>
        <w:t xml:space="preserve"> </w:t>
      </w:r>
      <w:r w:rsidRPr="00A52857">
        <w:rPr>
          <w:lang w:val="en-GB"/>
        </w:rPr>
        <w:t xml:space="preserve"> (Accessed: 30 October 2023). </w:t>
      </w:r>
    </w:p>
    <w:p w14:paraId="2289F888" w14:textId="68BA2B64" w:rsidR="00D4539D" w:rsidRPr="00A52857" w:rsidRDefault="00D4539D" w:rsidP="001B1011">
      <w:pPr>
        <w:rPr>
          <w:shd w:val="clear" w:color="auto" w:fill="FFFFFF"/>
          <w:lang w:val="en-GB"/>
        </w:rPr>
      </w:pPr>
      <w:r w:rsidRPr="00A52857">
        <w:rPr>
          <w:shd w:val="clear" w:color="auto" w:fill="FFFFFF"/>
          <w:lang w:val="en-GB"/>
        </w:rPr>
        <w:t xml:space="preserve">Pietrzykowski, T. and Smilowska, K., (2021). </w:t>
      </w:r>
      <w:r w:rsidRPr="007D4EFE">
        <w:rPr>
          <w:i/>
          <w:iCs/>
          <w:shd w:val="clear" w:color="auto" w:fill="FFFFFF"/>
          <w:lang w:val="en-GB"/>
        </w:rPr>
        <w:t>The reality of informed consent: empirical studies on patient comprehension—systematic review</w:t>
      </w:r>
      <w:r w:rsidRPr="007D4EFE">
        <w:rPr>
          <w:shd w:val="clear" w:color="auto" w:fill="FFFFFF"/>
          <w:lang w:val="en-GB"/>
        </w:rPr>
        <w:t>. Trials, 22</w:t>
      </w:r>
      <w:r w:rsidRPr="00A52857">
        <w:rPr>
          <w:shd w:val="clear" w:color="auto" w:fill="FFFFFF"/>
          <w:lang w:val="en-GB"/>
        </w:rPr>
        <w:t>, p</w:t>
      </w:r>
      <w:r w:rsidR="007D4EFE">
        <w:rPr>
          <w:shd w:val="clear" w:color="auto" w:fill="FFFFFF"/>
          <w:lang w:val="en-GB"/>
        </w:rPr>
        <w:t>.</w:t>
      </w:r>
      <w:r w:rsidRPr="00A52857">
        <w:rPr>
          <w:shd w:val="clear" w:color="auto" w:fill="FFFFFF"/>
          <w:lang w:val="en-GB"/>
        </w:rPr>
        <w:t>p.1-8.</w:t>
      </w:r>
    </w:p>
    <w:p w14:paraId="22104C6E" w14:textId="1662C07F" w:rsidR="00D4539D" w:rsidRPr="00A52857" w:rsidRDefault="00D4539D" w:rsidP="009D1760">
      <w:pPr>
        <w:rPr>
          <w:lang w:val="en-GB"/>
        </w:rPr>
      </w:pPr>
      <w:r w:rsidRPr="00A52857">
        <w:rPr>
          <w:lang w:val="en-GB"/>
        </w:rPr>
        <w:t xml:space="preserve">RAINN (2023) </w:t>
      </w:r>
      <w:r w:rsidRPr="00A52857">
        <w:rPr>
          <w:i/>
          <w:iCs/>
          <w:lang w:val="en-GB"/>
        </w:rPr>
        <w:t>What consent looks like</w:t>
      </w:r>
      <w:r w:rsidRPr="00A52857">
        <w:rPr>
          <w:lang w:val="en-GB"/>
        </w:rPr>
        <w:t xml:space="preserve">, </w:t>
      </w:r>
      <w:r w:rsidRPr="00A52857">
        <w:rPr>
          <w:i/>
          <w:iCs/>
          <w:lang w:val="en-GB"/>
        </w:rPr>
        <w:t>RAINN</w:t>
      </w:r>
      <w:r w:rsidRPr="00A52857">
        <w:rPr>
          <w:lang w:val="en-GB"/>
        </w:rPr>
        <w:t xml:space="preserve">. Available at: </w:t>
      </w:r>
      <w:hyperlink r:id="rId9" w:anchor=":~:text=What%20is%20consent%3F,and%20respect%20each%20other’s%20boundaries" w:history="1">
        <w:r w:rsidR="007D4EFE" w:rsidRPr="003B0834">
          <w:rPr>
            <w:rStyle w:val="Hyperlink"/>
            <w:lang w:val="en-GB"/>
          </w:rPr>
          <w:t>https://www.rainn.org/articles/what-is-consent#:~:text=What%20is%20consent%3F,and%20respect%20each%20other’s%20boundaries</w:t>
        </w:r>
      </w:hyperlink>
      <w:r w:rsidR="007D4EFE">
        <w:rPr>
          <w:lang w:val="en-GB"/>
        </w:rPr>
        <w:t xml:space="preserve"> </w:t>
      </w:r>
      <w:r w:rsidRPr="00A52857">
        <w:rPr>
          <w:lang w:val="en-GB"/>
        </w:rPr>
        <w:t xml:space="preserve">. (Accessed: 30 October 2023). </w:t>
      </w:r>
    </w:p>
    <w:p w14:paraId="6650D553" w14:textId="6D10D966" w:rsidR="00D4539D" w:rsidRPr="00A52857" w:rsidRDefault="007D4EFE" w:rsidP="00E007DF">
      <w:pPr>
        <w:rPr>
          <w:lang w:val="en-GB"/>
        </w:rPr>
      </w:pPr>
      <w:r w:rsidRPr="00A52857">
        <w:rPr>
          <w:lang w:val="en-GB"/>
        </w:rPr>
        <w:t>Study Smarter</w:t>
      </w:r>
      <w:r w:rsidR="00D4539D" w:rsidRPr="00A52857">
        <w:rPr>
          <w:lang w:val="en-GB"/>
        </w:rPr>
        <w:t xml:space="preserve"> (2023) </w:t>
      </w:r>
      <w:r w:rsidR="00D4539D" w:rsidRPr="00A52857">
        <w:rPr>
          <w:i/>
          <w:iCs/>
          <w:lang w:val="en-GB"/>
        </w:rPr>
        <w:t>What is consent in law</w:t>
      </w:r>
      <w:r w:rsidR="00D4539D" w:rsidRPr="00A52857">
        <w:rPr>
          <w:lang w:val="en-GB"/>
        </w:rPr>
        <w:t xml:space="preserve">, </w:t>
      </w:r>
      <w:r w:rsidR="00D4539D" w:rsidRPr="00A52857">
        <w:rPr>
          <w:i/>
          <w:iCs/>
          <w:lang w:val="en-GB"/>
        </w:rPr>
        <w:t>StudySmarter UK</w:t>
      </w:r>
      <w:r w:rsidR="00D4539D" w:rsidRPr="00A52857">
        <w:rPr>
          <w:lang w:val="en-GB"/>
        </w:rPr>
        <w:t xml:space="preserve">. Available at: </w:t>
      </w:r>
      <w:hyperlink r:id="rId10" w:history="1">
        <w:r w:rsidRPr="003B0834">
          <w:rPr>
            <w:rStyle w:val="Hyperlink"/>
            <w:lang w:val="en-GB"/>
          </w:rPr>
          <w:t>https://www.studysmarter.co.uk/explanations/law/civil-law/what-is-consent-in-law/</w:t>
        </w:r>
      </w:hyperlink>
      <w:r>
        <w:rPr>
          <w:lang w:val="en-GB"/>
        </w:rPr>
        <w:t xml:space="preserve"> </w:t>
      </w:r>
      <w:r w:rsidR="00D4539D" w:rsidRPr="00A52857">
        <w:rPr>
          <w:lang w:val="en-GB"/>
        </w:rPr>
        <w:t xml:space="preserve">(Accessed: 30 October 2023). </w:t>
      </w:r>
    </w:p>
    <w:p w14:paraId="4614C84A" w14:textId="6D230954" w:rsidR="00D4539D" w:rsidRDefault="00D4539D" w:rsidP="009D1760">
      <w:pPr>
        <w:rPr>
          <w:shd w:val="clear" w:color="auto" w:fill="FFFFFF"/>
        </w:rPr>
      </w:pPr>
      <w:r w:rsidRPr="00A52857">
        <w:rPr>
          <w:shd w:val="clear" w:color="auto" w:fill="FFFFFF"/>
        </w:rPr>
        <w:lastRenderedPageBreak/>
        <w:t xml:space="preserve">Syme, M.L. and Steele, D., </w:t>
      </w:r>
      <w:r>
        <w:rPr>
          <w:shd w:val="clear" w:color="auto" w:fill="FFFFFF"/>
        </w:rPr>
        <w:t>(</w:t>
      </w:r>
      <w:r w:rsidRPr="00A52857">
        <w:rPr>
          <w:shd w:val="clear" w:color="auto" w:fill="FFFFFF"/>
        </w:rPr>
        <w:t>2016</w:t>
      </w:r>
      <w:r>
        <w:rPr>
          <w:shd w:val="clear" w:color="auto" w:fill="FFFFFF"/>
        </w:rPr>
        <w:t>)</w:t>
      </w:r>
      <w:r w:rsidRPr="00A52857">
        <w:rPr>
          <w:shd w:val="clear" w:color="auto" w:fill="FFFFFF"/>
        </w:rPr>
        <w:t>. Sexual consent capacity assessment with older adults. </w:t>
      </w:r>
      <w:r w:rsidR="007D4EFE">
        <w:rPr>
          <w:shd w:val="clear" w:color="auto" w:fill="FFFFFF"/>
        </w:rPr>
        <w:t>‘</w:t>
      </w:r>
      <w:r w:rsidRPr="00A52857">
        <w:rPr>
          <w:i/>
          <w:iCs/>
          <w:shd w:val="clear" w:color="auto" w:fill="FFFFFF"/>
        </w:rPr>
        <w:t>Archives of Clinical Neuropsychology</w:t>
      </w:r>
      <w:r w:rsidR="007D4EFE">
        <w:rPr>
          <w:i/>
          <w:iCs/>
          <w:shd w:val="clear" w:color="auto" w:fill="FFFFFF"/>
        </w:rPr>
        <w:t>’</w:t>
      </w:r>
      <w:r w:rsidRPr="00A52857">
        <w:rPr>
          <w:shd w:val="clear" w:color="auto" w:fill="FFFFFF"/>
        </w:rPr>
        <w:t>, </w:t>
      </w:r>
      <w:r w:rsidRPr="00A52857">
        <w:rPr>
          <w:i/>
          <w:iCs/>
          <w:shd w:val="clear" w:color="auto" w:fill="FFFFFF"/>
        </w:rPr>
        <w:t>31</w:t>
      </w:r>
      <w:r w:rsidRPr="00A52857">
        <w:rPr>
          <w:shd w:val="clear" w:color="auto" w:fill="FFFFFF"/>
        </w:rPr>
        <w:t>(6), p</w:t>
      </w:r>
      <w:r w:rsidR="007D4EFE">
        <w:rPr>
          <w:shd w:val="clear" w:color="auto" w:fill="FFFFFF"/>
        </w:rPr>
        <w:t>.</w:t>
      </w:r>
      <w:r w:rsidRPr="00A52857">
        <w:rPr>
          <w:shd w:val="clear" w:color="auto" w:fill="FFFFFF"/>
        </w:rPr>
        <w:t>p.495-505.</w:t>
      </w:r>
    </w:p>
    <w:p w14:paraId="26549161" w14:textId="27ECF883" w:rsidR="00D4539D" w:rsidRDefault="00D4539D" w:rsidP="009D1760">
      <w:pPr>
        <w:rPr>
          <w:shd w:val="clear" w:color="auto" w:fill="FFFFFF"/>
          <w:lang w:val="en-GB"/>
        </w:rPr>
      </w:pPr>
      <w:r w:rsidRPr="00A52857">
        <w:rPr>
          <w:shd w:val="clear" w:color="auto" w:fill="FFFFFF"/>
          <w:lang w:val="en-GB"/>
        </w:rPr>
        <w:t>Young, K., (2019). </w:t>
      </w:r>
      <w:r w:rsidR="007D4EFE">
        <w:rPr>
          <w:shd w:val="clear" w:color="auto" w:fill="FFFFFF"/>
          <w:lang w:val="en-GB"/>
        </w:rPr>
        <w:t>‘</w:t>
      </w:r>
      <w:r w:rsidRPr="00A52857">
        <w:rPr>
          <w:i/>
          <w:iCs/>
          <w:shd w:val="clear" w:color="auto" w:fill="FFFFFF"/>
          <w:lang w:val="en-GB"/>
        </w:rPr>
        <w:t xml:space="preserve">Sport, </w:t>
      </w:r>
      <w:r w:rsidR="007D4EFE" w:rsidRPr="00A52857">
        <w:rPr>
          <w:i/>
          <w:iCs/>
          <w:shd w:val="clear" w:color="auto" w:fill="FFFFFF"/>
          <w:lang w:val="en-GB"/>
        </w:rPr>
        <w:t>violence,</w:t>
      </w:r>
      <w:r w:rsidRPr="00A52857">
        <w:rPr>
          <w:i/>
          <w:iCs/>
          <w:shd w:val="clear" w:color="auto" w:fill="FFFFFF"/>
          <w:lang w:val="en-GB"/>
        </w:rPr>
        <w:t xml:space="preserve"> and society</w:t>
      </w:r>
      <w:r w:rsidR="007D4EFE">
        <w:rPr>
          <w:shd w:val="clear" w:color="auto" w:fill="FFFFFF"/>
          <w:lang w:val="en-GB"/>
        </w:rPr>
        <w:t>,’</w:t>
      </w:r>
      <w:r w:rsidRPr="00A52857">
        <w:rPr>
          <w:shd w:val="clear" w:color="auto" w:fill="FFFFFF"/>
          <w:lang w:val="en-GB"/>
        </w:rPr>
        <w:t xml:space="preserve"> Routledge.</w:t>
      </w:r>
    </w:p>
    <w:sectPr w:rsidR="00D4539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2341C9" w14:textId="77777777" w:rsidR="00A51339" w:rsidRDefault="00A51339" w:rsidP="000A6ABA">
      <w:pPr>
        <w:spacing w:after="0" w:line="240" w:lineRule="auto"/>
      </w:pPr>
      <w:r>
        <w:separator/>
      </w:r>
    </w:p>
  </w:endnote>
  <w:endnote w:type="continuationSeparator" w:id="0">
    <w:p w14:paraId="3D55FE4F" w14:textId="77777777" w:rsidR="00A51339" w:rsidRDefault="00A51339" w:rsidP="000A6A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6384714"/>
      <w:docPartObj>
        <w:docPartGallery w:val="Page Numbers (Bottom of Page)"/>
        <w:docPartUnique/>
      </w:docPartObj>
    </w:sdtPr>
    <w:sdtEndPr>
      <w:rPr>
        <w:noProof/>
      </w:rPr>
    </w:sdtEndPr>
    <w:sdtContent>
      <w:p w14:paraId="69A3ABED" w14:textId="239AC6B0" w:rsidR="000A6ABA" w:rsidRDefault="000A6ABA">
        <w:pPr>
          <w:pStyle w:val="Footer"/>
          <w:jc w:val="right"/>
        </w:pPr>
        <w:r>
          <w:fldChar w:fldCharType="begin"/>
        </w:r>
        <w:r>
          <w:instrText xml:space="preserve"> PAGE   \* MERGEFORMAT </w:instrText>
        </w:r>
        <w:r>
          <w:fldChar w:fldCharType="separate"/>
        </w:r>
        <w:r w:rsidR="00362A98">
          <w:rPr>
            <w:noProof/>
          </w:rPr>
          <w:t>6</w:t>
        </w:r>
        <w:r>
          <w:rPr>
            <w:noProof/>
          </w:rPr>
          <w:fldChar w:fldCharType="end"/>
        </w:r>
      </w:p>
    </w:sdtContent>
  </w:sdt>
  <w:p w14:paraId="6FCCA02A" w14:textId="77777777" w:rsidR="000A6ABA" w:rsidRDefault="000A6A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64D9D" w14:textId="77777777" w:rsidR="00A51339" w:rsidRDefault="00A51339" w:rsidP="000A6ABA">
      <w:pPr>
        <w:spacing w:after="0" w:line="240" w:lineRule="auto"/>
      </w:pPr>
      <w:r>
        <w:separator/>
      </w:r>
    </w:p>
  </w:footnote>
  <w:footnote w:type="continuationSeparator" w:id="0">
    <w:p w14:paraId="1DDC7398" w14:textId="77777777" w:rsidR="00A51339" w:rsidRDefault="00A51339" w:rsidP="000A6A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5B87"/>
    <w:rsid w:val="00041BC8"/>
    <w:rsid w:val="000A6ABA"/>
    <w:rsid w:val="0017375F"/>
    <w:rsid w:val="001B1011"/>
    <w:rsid w:val="001B2A60"/>
    <w:rsid w:val="001E1F15"/>
    <w:rsid w:val="00224276"/>
    <w:rsid w:val="002C7E9F"/>
    <w:rsid w:val="00362A98"/>
    <w:rsid w:val="00374044"/>
    <w:rsid w:val="003902E3"/>
    <w:rsid w:val="00427D17"/>
    <w:rsid w:val="00436A3D"/>
    <w:rsid w:val="00577A8B"/>
    <w:rsid w:val="005D04DA"/>
    <w:rsid w:val="00656C29"/>
    <w:rsid w:val="00702233"/>
    <w:rsid w:val="0078648C"/>
    <w:rsid w:val="007D4EFE"/>
    <w:rsid w:val="008D3CE4"/>
    <w:rsid w:val="008F6212"/>
    <w:rsid w:val="009268C3"/>
    <w:rsid w:val="009D1760"/>
    <w:rsid w:val="009D2D59"/>
    <w:rsid w:val="00A51339"/>
    <w:rsid w:val="00A52857"/>
    <w:rsid w:val="00B01671"/>
    <w:rsid w:val="00CC2752"/>
    <w:rsid w:val="00D4539D"/>
    <w:rsid w:val="00D625CD"/>
    <w:rsid w:val="00D744CB"/>
    <w:rsid w:val="00D94304"/>
    <w:rsid w:val="00DB3AEE"/>
    <w:rsid w:val="00E007DF"/>
    <w:rsid w:val="00E15B87"/>
    <w:rsid w:val="00E62F6A"/>
    <w:rsid w:val="00EE2F2C"/>
    <w:rsid w:val="00EE63AD"/>
    <w:rsid w:val="00EF2B81"/>
    <w:rsid w:val="00F548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E31C4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5B8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15B87"/>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autoRedefine/>
    <w:uiPriority w:val="9"/>
    <w:semiHidden/>
    <w:unhideWhenUsed/>
    <w:qFormat/>
    <w:rsid w:val="00E15B87"/>
    <w:pPr>
      <w:keepNext/>
      <w:keepLines/>
      <w:spacing w:before="40" w:after="0"/>
      <w:outlineLvl w:val="1"/>
    </w:pPr>
    <w:rPr>
      <w:rFonts w:eastAsiaTheme="majorEastAsia" w:cstheme="majorBidi"/>
      <w:b/>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B87"/>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semiHidden/>
    <w:rsid w:val="00E15B87"/>
    <w:rPr>
      <w:rFonts w:ascii="Times New Roman" w:eastAsiaTheme="majorEastAsia" w:hAnsi="Times New Roman" w:cstheme="majorBidi"/>
      <w:b/>
      <w:sz w:val="32"/>
      <w:szCs w:val="26"/>
    </w:rPr>
  </w:style>
  <w:style w:type="paragraph" w:styleId="Header">
    <w:name w:val="header"/>
    <w:basedOn w:val="Normal"/>
    <w:link w:val="HeaderChar"/>
    <w:uiPriority w:val="99"/>
    <w:unhideWhenUsed/>
    <w:rsid w:val="000A6A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6ABA"/>
    <w:rPr>
      <w:rFonts w:ascii="Times New Roman" w:hAnsi="Times New Roman"/>
      <w:sz w:val="24"/>
    </w:rPr>
  </w:style>
  <w:style w:type="paragraph" w:styleId="Footer">
    <w:name w:val="footer"/>
    <w:basedOn w:val="Normal"/>
    <w:link w:val="FooterChar"/>
    <w:uiPriority w:val="99"/>
    <w:unhideWhenUsed/>
    <w:rsid w:val="000A6A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6ABA"/>
    <w:rPr>
      <w:rFonts w:ascii="Times New Roman" w:hAnsi="Times New Roman"/>
      <w:sz w:val="24"/>
    </w:rPr>
  </w:style>
  <w:style w:type="paragraph" w:styleId="Title">
    <w:name w:val="Title"/>
    <w:basedOn w:val="Normal"/>
    <w:next w:val="Normal"/>
    <w:link w:val="TitleChar"/>
    <w:autoRedefine/>
    <w:uiPriority w:val="10"/>
    <w:qFormat/>
    <w:rsid w:val="008D3CE4"/>
    <w:pPr>
      <w:spacing w:after="0"/>
      <w:contextualSpacing/>
      <w:jc w:val="center"/>
    </w:pPr>
    <w:rPr>
      <w:rFonts w:eastAsiaTheme="majorEastAsia" w:cstheme="majorBidi"/>
      <w:b/>
      <w:spacing w:val="-10"/>
      <w:kern w:val="28"/>
      <w:sz w:val="72"/>
      <w:szCs w:val="72"/>
    </w:rPr>
  </w:style>
  <w:style w:type="character" w:customStyle="1" w:styleId="TitleChar">
    <w:name w:val="Title Char"/>
    <w:basedOn w:val="DefaultParagraphFont"/>
    <w:link w:val="Title"/>
    <w:uiPriority w:val="10"/>
    <w:rsid w:val="008D3CE4"/>
    <w:rPr>
      <w:rFonts w:ascii="Times New Roman" w:eastAsiaTheme="majorEastAsia" w:hAnsi="Times New Roman" w:cstheme="majorBidi"/>
      <w:b/>
      <w:spacing w:val="-10"/>
      <w:kern w:val="28"/>
      <w:sz w:val="72"/>
      <w:szCs w:val="72"/>
    </w:rPr>
  </w:style>
  <w:style w:type="paragraph" w:styleId="NormalWeb">
    <w:name w:val="Normal (Web)"/>
    <w:basedOn w:val="Normal"/>
    <w:uiPriority w:val="99"/>
    <w:semiHidden/>
    <w:unhideWhenUsed/>
    <w:rsid w:val="0078648C"/>
    <w:pPr>
      <w:spacing w:before="100" w:beforeAutospacing="1" w:after="100" w:afterAutospacing="1" w:line="240" w:lineRule="auto"/>
      <w:jc w:val="left"/>
    </w:pPr>
    <w:rPr>
      <w:rFonts w:eastAsia="Times New Roman" w:cs="Times New Roman"/>
      <w:kern w:val="0"/>
      <w:szCs w:val="24"/>
      <w:lang w:eastAsia="en-IN"/>
      <w14:ligatures w14:val="none"/>
    </w:rPr>
  </w:style>
  <w:style w:type="character" w:styleId="Hyperlink">
    <w:name w:val="Hyperlink"/>
    <w:basedOn w:val="DefaultParagraphFont"/>
    <w:uiPriority w:val="99"/>
    <w:unhideWhenUsed/>
    <w:rsid w:val="0017375F"/>
    <w:rPr>
      <w:color w:val="0563C1" w:themeColor="hyperlink"/>
      <w:u w:val="single"/>
    </w:rPr>
  </w:style>
  <w:style w:type="character" w:styleId="UnresolvedMention">
    <w:name w:val="Unresolved Mention"/>
    <w:basedOn w:val="DefaultParagraphFont"/>
    <w:uiPriority w:val="99"/>
    <w:semiHidden/>
    <w:unhideWhenUsed/>
    <w:rsid w:val="001737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420049">
      <w:bodyDiv w:val="1"/>
      <w:marLeft w:val="0"/>
      <w:marRight w:val="0"/>
      <w:marTop w:val="0"/>
      <w:marBottom w:val="0"/>
      <w:divBdr>
        <w:top w:val="none" w:sz="0" w:space="0" w:color="auto"/>
        <w:left w:val="none" w:sz="0" w:space="0" w:color="auto"/>
        <w:bottom w:val="none" w:sz="0" w:space="0" w:color="auto"/>
        <w:right w:val="none" w:sz="0" w:space="0" w:color="auto"/>
      </w:divBdr>
    </w:div>
    <w:div w:id="518933866">
      <w:bodyDiv w:val="1"/>
      <w:marLeft w:val="0"/>
      <w:marRight w:val="0"/>
      <w:marTop w:val="0"/>
      <w:marBottom w:val="0"/>
      <w:divBdr>
        <w:top w:val="none" w:sz="0" w:space="0" w:color="auto"/>
        <w:left w:val="none" w:sz="0" w:space="0" w:color="auto"/>
        <w:bottom w:val="none" w:sz="0" w:space="0" w:color="auto"/>
        <w:right w:val="none" w:sz="0" w:space="0" w:color="auto"/>
      </w:divBdr>
    </w:div>
    <w:div w:id="1197161500">
      <w:bodyDiv w:val="1"/>
      <w:marLeft w:val="0"/>
      <w:marRight w:val="0"/>
      <w:marTop w:val="0"/>
      <w:marBottom w:val="0"/>
      <w:divBdr>
        <w:top w:val="none" w:sz="0" w:space="0" w:color="auto"/>
        <w:left w:val="none" w:sz="0" w:space="0" w:color="auto"/>
        <w:bottom w:val="none" w:sz="0" w:space="0" w:color="auto"/>
        <w:right w:val="none" w:sz="0" w:space="0" w:color="auto"/>
      </w:divBdr>
    </w:div>
    <w:div w:id="1762332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link.oup.com/static/5c0e79ef50eddf00160f35ad/casebook_185.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aw.cornell.edu/wex/batter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tudysmarter.co.uk/explanations/law/civil-law/what-is-consent-in-law/" TargetMode="External"/><Relationship Id="rId4" Type="http://schemas.openxmlformats.org/officeDocument/2006/relationships/webSettings" Target="webSettings.xml"/><Relationship Id="rId9" Type="http://schemas.openxmlformats.org/officeDocument/2006/relationships/hyperlink" Target="https://www.rainn.org/articles/what-is-cons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411034-36E7-43D0-AB9C-D5DEA129E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1788</Words>
  <Characters>10198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2023-11-10T12:37:00Z</dcterms:created>
  <dcterms:modified xsi:type="dcterms:W3CDTF">2023-11-10T12:37:00Z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4c686513aa1bd7b5e9156b5b127527421b9f0fe8f4bbb6ace7fdbd3b53a38878</vt:lpwstr>
  </property>
</Properties>
</file>