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F18190" w14:textId="77777777" w:rsidR="009E3AE6" w:rsidRPr="00A40BE5" w:rsidRDefault="009E3AE6" w:rsidP="00A40BE5">
      <w:pPr>
        <w:spacing w:line="360" w:lineRule="auto"/>
        <w:jc w:val="center"/>
        <w:rPr>
          <w:rFonts w:cs="Times New Roman"/>
          <w:b/>
          <w:szCs w:val="24"/>
          <w:lang w:eastAsia="en-GB"/>
        </w:rPr>
      </w:pPr>
    </w:p>
    <w:p w14:paraId="5804623A" w14:textId="77777777" w:rsidR="009E3AE6" w:rsidRPr="00A40BE5" w:rsidRDefault="009E3AE6" w:rsidP="00A40BE5">
      <w:pPr>
        <w:spacing w:line="360" w:lineRule="auto"/>
        <w:jc w:val="center"/>
        <w:rPr>
          <w:rFonts w:cs="Times New Roman"/>
          <w:b/>
          <w:szCs w:val="24"/>
          <w:lang w:eastAsia="en-GB"/>
        </w:rPr>
      </w:pPr>
    </w:p>
    <w:p w14:paraId="51F3EBEB" w14:textId="77777777" w:rsidR="00892ADE" w:rsidRPr="00A40BE5" w:rsidRDefault="00892ADE" w:rsidP="00A40BE5">
      <w:pPr>
        <w:spacing w:line="360" w:lineRule="auto"/>
        <w:jc w:val="center"/>
        <w:rPr>
          <w:rFonts w:cs="Times New Roman"/>
          <w:b/>
          <w:szCs w:val="24"/>
          <w:lang w:eastAsia="en-GB"/>
        </w:rPr>
      </w:pPr>
    </w:p>
    <w:p w14:paraId="3B394115" w14:textId="77777777" w:rsidR="009E3AE6" w:rsidRPr="004B3677" w:rsidRDefault="009E3AE6" w:rsidP="00A40BE5">
      <w:pPr>
        <w:spacing w:line="360" w:lineRule="auto"/>
        <w:jc w:val="center"/>
        <w:rPr>
          <w:rFonts w:cs="Times New Roman"/>
          <w:b/>
          <w:sz w:val="32"/>
          <w:szCs w:val="32"/>
          <w:lang w:eastAsia="en-GB"/>
        </w:rPr>
      </w:pPr>
    </w:p>
    <w:p w14:paraId="1E829FB1" w14:textId="2F6B0F46" w:rsidR="007F4187" w:rsidRPr="004B3677" w:rsidRDefault="00024BEF" w:rsidP="00A40BE5">
      <w:pPr>
        <w:spacing w:line="360" w:lineRule="auto"/>
        <w:jc w:val="center"/>
        <w:rPr>
          <w:rFonts w:cs="Times New Roman"/>
          <w:b/>
          <w:sz w:val="32"/>
          <w:szCs w:val="32"/>
          <w:lang w:eastAsia="en-GB"/>
        </w:rPr>
      </w:pPr>
      <w:r w:rsidRPr="004B3677">
        <w:rPr>
          <w:rFonts w:cs="Times New Roman"/>
          <w:b/>
          <w:sz w:val="32"/>
          <w:szCs w:val="32"/>
          <w:lang w:eastAsia="en-GB"/>
        </w:rPr>
        <w:t>STUDENT NAME: POPA MADALINA</w:t>
      </w:r>
    </w:p>
    <w:p w14:paraId="5E1C5C11" w14:textId="627566CC" w:rsidR="00024BEF" w:rsidRPr="004B3677" w:rsidRDefault="00024BEF" w:rsidP="00A40BE5">
      <w:pPr>
        <w:spacing w:line="360" w:lineRule="auto"/>
        <w:jc w:val="center"/>
        <w:rPr>
          <w:rFonts w:cs="Times New Roman"/>
          <w:b/>
          <w:sz w:val="32"/>
          <w:szCs w:val="32"/>
          <w:lang w:eastAsia="en-GB"/>
        </w:rPr>
      </w:pPr>
      <w:r w:rsidRPr="004B3677">
        <w:rPr>
          <w:rFonts w:cs="Times New Roman"/>
          <w:b/>
          <w:sz w:val="32"/>
          <w:szCs w:val="32"/>
          <w:lang w:eastAsia="en-GB"/>
        </w:rPr>
        <w:t>STUDENT NUMBER:2244753</w:t>
      </w:r>
    </w:p>
    <w:p w14:paraId="02457A94" w14:textId="569DB699" w:rsidR="00024BEF" w:rsidRPr="004B3677" w:rsidRDefault="00024BEF" w:rsidP="00A40BE5">
      <w:pPr>
        <w:spacing w:line="360" w:lineRule="auto"/>
        <w:jc w:val="center"/>
        <w:rPr>
          <w:rFonts w:cs="Times New Roman"/>
          <w:b/>
          <w:sz w:val="32"/>
          <w:szCs w:val="32"/>
          <w:lang w:eastAsia="en-GB"/>
        </w:rPr>
      </w:pPr>
      <w:r w:rsidRPr="004B3677">
        <w:rPr>
          <w:rFonts w:cs="Times New Roman"/>
          <w:b/>
          <w:sz w:val="32"/>
          <w:szCs w:val="32"/>
          <w:lang w:eastAsia="en-GB"/>
        </w:rPr>
        <w:t>MODULE NAME: CRIMINAL LAW</w:t>
      </w:r>
    </w:p>
    <w:p w14:paraId="143513B5" w14:textId="77777777" w:rsidR="007F4187" w:rsidRPr="00A40BE5" w:rsidRDefault="007F4187" w:rsidP="00A40BE5">
      <w:pPr>
        <w:spacing w:line="360" w:lineRule="auto"/>
        <w:jc w:val="left"/>
        <w:rPr>
          <w:rFonts w:cs="Times New Roman"/>
          <w:b/>
          <w:szCs w:val="24"/>
          <w:lang w:eastAsia="en-GB"/>
        </w:rPr>
      </w:pPr>
      <w:r w:rsidRPr="00A40BE5">
        <w:rPr>
          <w:rFonts w:cs="Times New Roman"/>
          <w:b/>
          <w:szCs w:val="24"/>
          <w:lang w:eastAsia="en-GB"/>
        </w:rPr>
        <w:br w:type="page"/>
      </w:r>
    </w:p>
    <w:sdt>
      <w:sdtPr>
        <w:rPr>
          <w:rFonts w:ascii="Times New Roman" w:eastAsiaTheme="minorHAnsi" w:hAnsi="Times New Roman" w:cs="Times New Roman"/>
          <w:b w:val="0"/>
          <w:bCs w:val="0"/>
          <w:color w:val="auto"/>
          <w:sz w:val="24"/>
          <w:szCs w:val="24"/>
          <w:lang w:val="en-GB" w:eastAsia="en-US"/>
        </w:rPr>
        <w:id w:val="-787655542"/>
        <w:docPartObj>
          <w:docPartGallery w:val="Table of Contents"/>
          <w:docPartUnique/>
        </w:docPartObj>
      </w:sdtPr>
      <w:sdtEndPr>
        <w:rPr>
          <w:noProof/>
        </w:rPr>
      </w:sdtEndPr>
      <w:sdtContent>
        <w:p w14:paraId="3C51C6FE" w14:textId="01E5D0C9" w:rsidR="009E6447" w:rsidRPr="00A40BE5" w:rsidRDefault="009E6447" w:rsidP="00A40BE5">
          <w:pPr>
            <w:pStyle w:val="TOCHeading"/>
            <w:spacing w:line="360" w:lineRule="auto"/>
            <w:rPr>
              <w:rFonts w:ascii="Times New Roman" w:hAnsi="Times New Roman" w:cs="Times New Roman"/>
              <w:sz w:val="24"/>
              <w:szCs w:val="24"/>
            </w:rPr>
          </w:pPr>
          <w:r w:rsidRPr="00A40BE5">
            <w:rPr>
              <w:rFonts w:ascii="Times New Roman" w:hAnsi="Times New Roman" w:cs="Times New Roman"/>
              <w:sz w:val="24"/>
              <w:szCs w:val="24"/>
            </w:rPr>
            <w:t>Table of Contents</w:t>
          </w:r>
        </w:p>
        <w:p w14:paraId="2AB23F6B" w14:textId="71D3AC3E" w:rsidR="00F12807" w:rsidRDefault="009E6447">
          <w:pPr>
            <w:pStyle w:val="TOC1"/>
            <w:tabs>
              <w:tab w:val="right" w:leader="dot" w:pos="9016"/>
            </w:tabs>
            <w:rPr>
              <w:rFonts w:asciiTheme="minorHAnsi" w:eastAsiaTheme="minorEastAsia" w:hAnsiTheme="minorHAnsi"/>
              <w:noProof/>
              <w:kern w:val="2"/>
              <w:szCs w:val="24"/>
              <w:lang w:eastAsia="en-GB"/>
              <w14:ligatures w14:val="standardContextual"/>
            </w:rPr>
          </w:pPr>
          <w:r w:rsidRPr="00A40BE5">
            <w:rPr>
              <w:rFonts w:cs="Times New Roman"/>
              <w:szCs w:val="24"/>
            </w:rPr>
            <w:fldChar w:fldCharType="begin"/>
          </w:r>
          <w:r w:rsidRPr="00A40BE5">
            <w:rPr>
              <w:rFonts w:cs="Times New Roman"/>
              <w:szCs w:val="24"/>
            </w:rPr>
            <w:instrText xml:space="preserve"> TOC \o "1-3" \h \z \u </w:instrText>
          </w:r>
          <w:r w:rsidRPr="00A40BE5">
            <w:rPr>
              <w:rFonts w:cs="Times New Roman"/>
              <w:szCs w:val="24"/>
            </w:rPr>
            <w:fldChar w:fldCharType="separate"/>
          </w:r>
          <w:hyperlink w:anchor="_Toc172308204" w:history="1">
            <w:r w:rsidR="00F12807" w:rsidRPr="00272CE9">
              <w:rPr>
                <w:rStyle w:val="Hyperlink"/>
                <w:rFonts w:eastAsia="Times New Roman" w:cs="Times New Roman"/>
                <w:noProof/>
                <w:lang w:eastAsia="en-GB"/>
              </w:rPr>
              <w:t>Introduction</w:t>
            </w:r>
            <w:r w:rsidR="00F12807">
              <w:rPr>
                <w:noProof/>
                <w:webHidden/>
              </w:rPr>
              <w:tab/>
            </w:r>
            <w:r w:rsidR="00F12807">
              <w:rPr>
                <w:noProof/>
                <w:webHidden/>
              </w:rPr>
              <w:fldChar w:fldCharType="begin"/>
            </w:r>
            <w:r w:rsidR="00F12807">
              <w:rPr>
                <w:noProof/>
                <w:webHidden/>
              </w:rPr>
              <w:instrText xml:space="preserve"> PAGEREF _Toc172308204 \h </w:instrText>
            </w:r>
            <w:r w:rsidR="00F12807">
              <w:rPr>
                <w:noProof/>
                <w:webHidden/>
              </w:rPr>
            </w:r>
            <w:r w:rsidR="00F12807">
              <w:rPr>
                <w:noProof/>
                <w:webHidden/>
              </w:rPr>
              <w:fldChar w:fldCharType="separate"/>
            </w:r>
            <w:r w:rsidR="00F12807">
              <w:rPr>
                <w:noProof/>
                <w:webHidden/>
              </w:rPr>
              <w:t>3</w:t>
            </w:r>
            <w:r w:rsidR="00F12807">
              <w:rPr>
                <w:noProof/>
                <w:webHidden/>
              </w:rPr>
              <w:fldChar w:fldCharType="end"/>
            </w:r>
          </w:hyperlink>
        </w:p>
        <w:p w14:paraId="1337B8D3" w14:textId="6D712ADF" w:rsidR="00F12807" w:rsidRDefault="00F1280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2308205" w:history="1">
            <w:r w:rsidRPr="00272CE9">
              <w:rPr>
                <w:rStyle w:val="Hyperlink"/>
                <w:rFonts w:eastAsia="Times New Roman" w:cs="Times New Roman"/>
                <w:noProof/>
                <w:lang w:eastAsia="en-GB"/>
              </w:rPr>
              <w:t>Examine Carla’s potential criminal liability, taking into account pertinent case law and legislation</w:t>
            </w:r>
            <w:r>
              <w:rPr>
                <w:noProof/>
                <w:webHidden/>
              </w:rPr>
              <w:tab/>
            </w:r>
            <w:r>
              <w:rPr>
                <w:noProof/>
                <w:webHidden/>
              </w:rPr>
              <w:fldChar w:fldCharType="begin"/>
            </w:r>
            <w:r>
              <w:rPr>
                <w:noProof/>
                <w:webHidden/>
              </w:rPr>
              <w:instrText xml:space="preserve"> PAGEREF _Toc172308205 \h </w:instrText>
            </w:r>
            <w:r>
              <w:rPr>
                <w:noProof/>
                <w:webHidden/>
              </w:rPr>
            </w:r>
            <w:r>
              <w:rPr>
                <w:noProof/>
                <w:webHidden/>
              </w:rPr>
              <w:fldChar w:fldCharType="separate"/>
            </w:r>
            <w:r>
              <w:rPr>
                <w:noProof/>
                <w:webHidden/>
              </w:rPr>
              <w:t>4</w:t>
            </w:r>
            <w:r>
              <w:rPr>
                <w:noProof/>
                <w:webHidden/>
              </w:rPr>
              <w:fldChar w:fldCharType="end"/>
            </w:r>
          </w:hyperlink>
        </w:p>
        <w:p w14:paraId="5BBA3F08" w14:textId="62CBE75C" w:rsidR="00F12807" w:rsidRDefault="00F1280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2308206" w:history="1">
            <w:r w:rsidRPr="00272CE9">
              <w:rPr>
                <w:rStyle w:val="Hyperlink"/>
                <w:rFonts w:eastAsia="Times New Roman" w:cs="Times New Roman"/>
                <w:noProof/>
                <w:lang w:eastAsia="en-GB"/>
              </w:rPr>
              <w:t>Examine the potential offences committed and any defences that may be considered</w:t>
            </w:r>
            <w:r>
              <w:rPr>
                <w:noProof/>
                <w:webHidden/>
              </w:rPr>
              <w:tab/>
            </w:r>
            <w:r>
              <w:rPr>
                <w:noProof/>
                <w:webHidden/>
              </w:rPr>
              <w:fldChar w:fldCharType="begin"/>
            </w:r>
            <w:r>
              <w:rPr>
                <w:noProof/>
                <w:webHidden/>
              </w:rPr>
              <w:instrText xml:space="preserve"> PAGEREF _Toc172308206 \h </w:instrText>
            </w:r>
            <w:r>
              <w:rPr>
                <w:noProof/>
                <w:webHidden/>
              </w:rPr>
            </w:r>
            <w:r>
              <w:rPr>
                <w:noProof/>
                <w:webHidden/>
              </w:rPr>
              <w:fldChar w:fldCharType="separate"/>
            </w:r>
            <w:r>
              <w:rPr>
                <w:noProof/>
                <w:webHidden/>
              </w:rPr>
              <w:t>7</w:t>
            </w:r>
            <w:r>
              <w:rPr>
                <w:noProof/>
                <w:webHidden/>
              </w:rPr>
              <w:fldChar w:fldCharType="end"/>
            </w:r>
          </w:hyperlink>
        </w:p>
        <w:p w14:paraId="13110195" w14:textId="3417C6A8" w:rsidR="00F12807" w:rsidRDefault="00F1280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2308207" w:history="1">
            <w:r w:rsidRPr="00272CE9">
              <w:rPr>
                <w:rStyle w:val="Hyperlink"/>
                <w:rFonts w:eastAsia="Times New Roman" w:cs="Times New Roman"/>
                <w:noProof/>
                <w:lang w:eastAsia="en-GB"/>
              </w:rPr>
              <w:t>Conclusion</w:t>
            </w:r>
            <w:r>
              <w:rPr>
                <w:noProof/>
                <w:webHidden/>
              </w:rPr>
              <w:tab/>
            </w:r>
            <w:r>
              <w:rPr>
                <w:noProof/>
                <w:webHidden/>
              </w:rPr>
              <w:fldChar w:fldCharType="begin"/>
            </w:r>
            <w:r>
              <w:rPr>
                <w:noProof/>
                <w:webHidden/>
              </w:rPr>
              <w:instrText xml:space="preserve"> PAGEREF _Toc172308207 \h </w:instrText>
            </w:r>
            <w:r>
              <w:rPr>
                <w:noProof/>
                <w:webHidden/>
              </w:rPr>
            </w:r>
            <w:r>
              <w:rPr>
                <w:noProof/>
                <w:webHidden/>
              </w:rPr>
              <w:fldChar w:fldCharType="separate"/>
            </w:r>
            <w:r>
              <w:rPr>
                <w:noProof/>
                <w:webHidden/>
              </w:rPr>
              <w:t>9</w:t>
            </w:r>
            <w:r>
              <w:rPr>
                <w:noProof/>
                <w:webHidden/>
              </w:rPr>
              <w:fldChar w:fldCharType="end"/>
            </w:r>
          </w:hyperlink>
        </w:p>
        <w:p w14:paraId="0E766548" w14:textId="6165BEAF" w:rsidR="00F12807" w:rsidRDefault="00F1280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2308208" w:history="1">
            <w:r w:rsidRPr="00272CE9">
              <w:rPr>
                <w:rStyle w:val="Hyperlink"/>
                <w:rFonts w:cs="Times New Roman"/>
                <w:noProof/>
                <w:lang w:eastAsia="en-GB"/>
              </w:rPr>
              <w:t>References</w:t>
            </w:r>
            <w:r>
              <w:rPr>
                <w:noProof/>
                <w:webHidden/>
              </w:rPr>
              <w:tab/>
            </w:r>
            <w:r>
              <w:rPr>
                <w:noProof/>
                <w:webHidden/>
              </w:rPr>
              <w:fldChar w:fldCharType="begin"/>
            </w:r>
            <w:r>
              <w:rPr>
                <w:noProof/>
                <w:webHidden/>
              </w:rPr>
              <w:instrText xml:space="preserve"> PAGEREF _Toc172308208 \h </w:instrText>
            </w:r>
            <w:r>
              <w:rPr>
                <w:noProof/>
                <w:webHidden/>
              </w:rPr>
            </w:r>
            <w:r>
              <w:rPr>
                <w:noProof/>
                <w:webHidden/>
              </w:rPr>
              <w:fldChar w:fldCharType="separate"/>
            </w:r>
            <w:r>
              <w:rPr>
                <w:noProof/>
                <w:webHidden/>
              </w:rPr>
              <w:t>10</w:t>
            </w:r>
            <w:r>
              <w:rPr>
                <w:noProof/>
                <w:webHidden/>
              </w:rPr>
              <w:fldChar w:fldCharType="end"/>
            </w:r>
          </w:hyperlink>
        </w:p>
        <w:p w14:paraId="284BDC76" w14:textId="6F183ED0" w:rsidR="009E6447" w:rsidRPr="00A40BE5" w:rsidRDefault="009E6447" w:rsidP="00A40BE5">
          <w:pPr>
            <w:spacing w:line="360" w:lineRule="auto"/>
            <w:rPr>
              <w:rFonts w:cs="Times New Roman"/>
              <w:szCs w:val="24"/>
            </w:rPr>
          </w:pPr>
          <w:r w:rsidRPr="00A40BE5">
            <w:rPr>
              <w:rFonts w:cs="Times New Roman"/>
              <w:b/>
              <w:bCs/>
              <w:noProof/>
              <w:szCs w:val="24"/>
            </w:rPr>
            <w:fldChar w:fldCharType="end"/>
          </w:r>
        </w:p>
      </w:sdtContent>
    </w:sdt>
    <w:p w14:paraId="5E0C4FC0" w14:textId="77777777" w:rsidR="009E3AE6" w:rsidRPr="00A40BE5" w:rsidRDefault="009E3AE6" w:rsidP="00A40BE5">
      <w:pPr>
        <w:spacing w:line="360" w:lineRule="auto"/>
        <w:jc w:val="center"/>
        <w:rPr>
          <w:rFonts w:cs="Times New Roman"/>
          <w:b/>
          <w:szCs w:val="24"/>
          <w:lang w:eastAsia="en-GB"/>
        </w:rPr>
      </w:pPr>
    </w:p>
    <w:p w14:paraId="195C6FAA" w14:textId="77777777" w:rsidR="009E3AE6" w:rsidRPr="00A40BE5" w:rsidRDefault="009E3AE6" w:rsidP="00A40BE5">
      <w:pPr>
        <w:spacing w:line="360" w:lineRule="auto"/>
        <w:jc w:val="left"/>
        <w:rPr>
          <w:rFonts w:eastAsia="Times New Roman" w:cs="Times New Roman"/>
          <w:b/>
          <w:bCs/>
          <w:szCs w:val="24"/>
          <w:lang w:eastAsia="en-GB"/>
        </w:rPr>
      </w:pPr>
      <w:r w:rsidRPr="00A40BE5">
        <w:rPr>
          <w:rFonts w:eastAsia="Times New Roman" w:cs="Times New Roman"/>
          <w:b/>
          <w:bCs/>
          <w:szCs w:val="24"/>
          <w:lang w:eastAsia="en-GB"/>
        </w:rPr>
        <w:br w:type="page"/>
      </w:r>
    </w:p>
    <w:p w14:paraId="0A348A5A" w14:textId="77777777" w:rsidR="009E3AE6" w:rsidRPr="00A40BE5" w:rsidRDefault="009E3AE6" w:rsidP="00A40BE5">
      <w:pPr>
        <w:pStyle w:val="Heading1"/>
        <w:spacing w:line="360" w:lineRule="auto"/>
        <w:rPr>
          <w:rFonts w:eastAsia="Times New Roman" w:cs="Times New Roman"/>
          <w:color w:val="auto"/>
          <w:sz w:val="24"/>
          <w:lang w:eastAsia="en-GB"/>
        </w:rPr>
      </w:pPr>
      <w:bookmarkStart w:id="0" w:name="_Hlk172290331"/>
      <w:bookmarkStart w:id="1" w:name="_Toc172308204"/>
      <w:r w:rsidRPr="00A40BE5">
        <w:rPr>
          <w:rFonts w:eastAsia="Times New Roman" w:cs="Times New Roman"/>
          <w:color w:val="auto"/>
          <w:sz w:val="24"/>
          <w:lang w:eastAsia="en-GB"/>
        </w:rPr>
        <w:lastRenderedPageBreak/>
        <w:t>Introduction</w:t>
      </w:r>
      <w:bookmarkEnd w:id="1"/>
      <w:r w:rsidRPr="00A40BE5">
        <w:rPr>
          <w:rFonts w:eastAsia="Times New Roman" w:cs="Times New Roman"/>
          <w:color w:val="auto"/>
          <w:sz w:val="24"/>
          <w:lang w:eastAsia="en-GB"/>
        </w:rPr>
        <w:t> </w:t>
      </w:r>
    </w:p>
    <w:p w14:paraId="1CAC5E03" w14:textId="4FA207E2" w:rsidR="009E3AE6" w:rsidRPr="00A40BE5" w:rsidRDefault="00BA6A7B" w:rsidP="00A40BE5">
      <w:pPr>
        <w:spacing w:line="360" w:lineRule="auto"/>
        <w:rPr>
          <w:rFonts w:cs="Times New Roman"/>
          <w:szCs w:val="24"/>
          <w:lang w:eastAsia="en-GB"/>
        </w:rPr>
      </w:pPr>
      <w:r>
        <w:t xml:space="preserve">This paper examines a scenario </w:t>
      </w:r>
      <w:r w:rsidR="00133299">
        <w:t xml:space="preserve">which </w:t>
      </w:r>
      <w:r>
        <w:t xml:space="preserve">begins with a hypothetical situation that identifies Carla </w:t>
      </w:r>
      <w:r w:rsidR="00133299">
        <w:t xml:space="preserve">as the defendant </w:t>
      </w:r>
      <w:r>
        <w:t>and Jamie</w:t>
      </w:r>
      <w:r w:rsidR="00133299">
        <w:t xml:space="preserve"> as the victim. In this case, the defendant and the victim</w:t>
      </w:r>
      <w:r>
        <w:t xml:space="preserve"> had been in a</w:t>
      </w:r>
      <w:r w:rsidR="00583A42">
        <w:t xml:space="preserve"> </w:t>
      </w:r>
      <w:r>
        <w:t xml:space="preserve">relationship </w:t>
      </w:r>
      <w:r w:rsidR="00133299">
        <w:t xml:space="preserve">for fifteen </w:t>
      </w:r>
      <w:r>
        <w:t>years and caused significant harm due to marital problems and frustration</w:t>
      </w:r>
      <w:r w:rsidR="00EE2144">
        <w:t xml:space="preserve">. </w:t>
      </w:r>
      <w:r>
        <w:t>Following a heated altercation, Carla took extreme action, raising questions about potential criminal offences, their boundaries, consequences, and possible defences. Under United Kingdom law, depending on Carla's intent and the severity of Jamie’s injuries, charges of Attempted Murder might apply (Legislation GOV, 2010). Additionally, because Carla intentionally inflicted substantial harm, she could face charges under Wounding and Grievous Bodily Harm (GBH) Section 18 of the OAPA 1861 (Sentencing Council, 2018).</w:t>
      </w:r>
      <w:r w:rsidR="00B403F2">
        <w:t xml:space="preserve"> This analysis seeks to explore the interplay between the emotionally charged dynamics of interpersonal conflicts and the underlying intent of the parties involved, by examining the conditions under which heightened emotional states influence the nature and interpretation of intent, this study aims to provide a comprehensive understanding of how these factors impact legal liability.</w:t>
      </w:r>
    </w:p>
    <w:p w14:paraId="589112B8" w14:textId="16037472" w:rsidR="00892ADE" w:rsidRPr="00A40BE5" w:rsidRDefault="00892ADE" w:rsidP="00A40BE5">
      <w:pPr>
        <w:spacing w:line="360" w:lineRule="auto"/>
        <w:jc w:val="left"/>
        <w:rPr>
          <w:rFonts w:eastAsia="Times New Roman" w:cs="Times New Roman"/>
          <w:b/>
          <w:bCs/>
          <w:szCs w:val="24"/>
          <w:shd w:val="clear" w:color="auto" w:fill="FFFFFF"/>
          <w:lang w:eastAsia="en-GB"/>
        </w:rPr>
      </w:pPr>
      <w:bookmarkStart w:id="2" w:name="_Toc171353994"/>
      <w:r w:rsidRPr="00A40BE5">
        <w:rPr>
          <w:rFonts w:eastAsia="Times New Roman" w:cs="Times New Roman"/>
          <w:szCs w:val="24"/>
          <w:lang w:eastAsia="en-GB"/>
        </w:rPr>
        <w:br w:type="page"/>
      </w:r>
    </w:p>
    <w:bookmarkEnd w:id="2"/>
    <w:p w14:paraId="0CE1144C" w14:textId="31617F72" w:rsidR="00892ADE" w:rsidRPr="00A40BE5" w:rsidRDefault="00892ADE" w:rsidP="00A40BE5">
      <w:pPr>
        <w:spacing w:line="360" w:lineRule="auto"/>
        <w:jc w:val="left"/>
        <w:rPr>
          <w:rFonts w:eastAsia="Times New Roman" w:cs="Times New Roman"/>
          <w:b/>
          <w:bCs/>
          <w:szCs w:val="24"/>
          <w:shd w:val="clear" w:color="auto" w:fill="FFFFFF"/>
          <w:lang w:eastAsia="en-GB"/>
        </w:rPr>
      </w:pPr>
    </w:p>
    <w:p w14:paraId="591AB67F" w14:textId="24F5AC4B" w:rsidR="009E3AE6" w:rsidRPr="00A40BE5" w:rsidRDefault="003E1DF6" w:rsidP="00A40BE5">
      <w:pPr>
        <w:pStyle w:val="Heading1"/>
        <w:spacing w:line="360" w:lineRule="auto"/>
        <w:rPr>
          <w:rFonts w:eastAsia="Times New Roman" w:cs="Times New Roman"/>
          <w:color w:val="auto"/>
          <w:sz w:val="24"/>
          <w:lang w:eastAsia="en-GB"/>
        </w:rPr>
      </w:pPr>
      <w:bookmarkStart w:id="3" w:name="_Toc172308205"/>
      <w:r>
        <w:rPr>
          <w:rFonts w:eastAsia="Times New Roman" w:cs="Times New Roman"/>
          <w:color w:val="auto"/>
          <w:sz w:val="24"/>
          <w:lang w:eastAsia="en-GB"/>
        </w:rPr>
        <w:t>Examine</w:t>
      </w:r>
      <w:r w:rsidR="009E3AE6" w:rsidRPr="00A40BE5">
        <w:rPr>
          <w:rFonts w:eastAsia="Times New Roman" w:cs="Times New Roman"/>
          <w:color w:val="auto"/>
          <w:sz w:val="24"/>
          <w:lang w:eastAsia="en-GB"/>
        </w:rPr>
        <w:t xml:space="preserve"> Carla’s potential criminal liability, </w:t>
      </w:r>
      <w:r>
        <w:rPr>
          <w:rFonts w:eastAsia="Times New Roman" w:cs="Times New Roman"/>
          <w:color w:val="auto"/>
          <w:sz w:val="24"/>
          <w:lang w:eastAsia="en-GB"/>
        </w:rPr>
        <w:t>taking into account pertinent</w:t>
      </w:r>
      <w:r w:rsidR="002308A4" w:rsidRPr="00A40BE5">
        <w:rPr>
          <w:rFonts w:eastAsia="Times New Roman" w:cs="Times New Roman"/>
          <w:color w:val="auto"/>
          <w:sz w:val="24"/>
          <w:lang w:eastAsia="en-GB"/>
        </w:rPr>
        <w:t xml:space="preserve"> case law and legislation</w:t>
      </w:r>
      <w:bookmarkEnd w:id="3"/>
      <w:r w:rsidR="00E55D93">
        <w:rPr>
          <w:rFonts w:eastAsia="Times New Roman" w:cs="Times New Roman"/>
          <w:color w:val="auto"/>
          <w:sz w:val="24"/>
          <w:lang w:eastAsia="en-GB"/>
        </w:rPr>
        <w:t>.</w:t>
      </w:r>
    </w:p>
    <w:p w14:paraId="70D804EB" w14:textId="77777777" w:rsidR="009E3AE6" w:rsidRPr="00A40BE5" w:rsidRDefault="009E3AE6" w:rsidP="00A40BE5">
      <w:pPr>
        <w:spacing w:line="360" w:lineRule="auto"/>
        <w:rPr>
          <w:rFonts w:cs="Times New Roman"/>
          <w:szCs w:val="24"/>
          <w:lang w:eastAsia="en-GB"/>
        </w:rPr>
      </w:pPr>
      <w:r w:rsidRPr="00A40BE5">
        <w:rPr>
          <w:rFonts w:cs="Times New Roman"/>
          <w:szCs w:val="24"/>
          <w:shd w:val="clear" w:color="auto" w:fill="FFFFFF"/>
          <w:lang w:eastAsia="en-GB"/>
        </w:rPr>
        <w:t>In assessing whether Carla committed a crime by stabbing Jamie it is hereby crucial to understand the legal elements of the offence, the defence that may apply in this case the state of mind of Carla and the fact that Jamie confessed during a fight.</w:t>
      </w:r>
    </w:p>
    <w:p w14:paraId="2A41A2F5" w14:textId="77777777" w:rsidR="009E3AE6" w:rsidRPr="00A40BE5" w:rsidRDefault="009E3AE6" w:rsidP="00A40BE5">
      <w:pPr>
        <w:spacing w:line="360" w:lineRule="auto"/>
        <w:rPr>
          <w:rFonts w:cs="Times New Roman"/>
          <w:b/>
          <w:i/>
          <w:szCs w:val="24"/>
          <w:lang w:eastAsia="en-GB"/>
        </w:rPr>
      </w:pPr>
      <w:r w:rsidRPr="00A40BE5">
        <w:rPr>
          <w:rFonts w:cs="Times New Roman"/>
          <w:b/>
          <w:i/>
          <w:szCs w:val="24"/>
          <w:shd w:val="clear" w:color="auto" w:fill="FFFFFF"/>
          <w:lang w:eastAsia="en-GB"/>
        </w:rPr>
        <w:t>Elements of the Offense</w:t>
      </w:r>
    </w:p>
    <w:p w14:paraId="331566F3" w14:textId="77777777" w:rsidR="009E3AE6" w:rsidRPr="00A40BE5" w:rsidRDefault="009E3AE6" w:rsidP="00A40BE5">
      <w:pPr>
        <w:spacing w:line="360" w:lineRule="auto"/>
        <w:rPr>
          <w:rFonts w:cs="Times New Roman"/>
          <w:szCs w:val="24"/>
          <w:lang w:eastAsia="en-GB"/>
        </w:rPr>
      </w:pPr>
      <w:r w:rsidRPr="00A40BE5">
        <w:rPr>
          <w:rFonts w:cs="Times New Roman"/>
          <w:szCs w:val="24"/>
          <w:shd w:val="clear" w:color="auto" w:fill="FFFFFF"/>
          <w:lang w:eastAsia="en-GB"/>
        </w:rPr>
        <w:t>Carla’s actions would be looked at as the offence of grievous bodily harm (GBH) or attempted murder, depending on the extent of harm caused to Jamie and the intention set by her</w:t>
      </w:r>
      <w:r w:rsidR="00A92B23" w:rsidRPr="00A40BE5">
        <w:rPr>
          <w:rFonts w:cs="Times New Roman"/>
          <w:szCs w:val="24"/>
          <w:shd w:val="clear" w:color="auto" w:fill="FFFFFF"/>
          <w:lang w:eastAsia="en-GB"/>
        </w:rPr>
        <w:t xml:space="preserve"> (</w:t>
      </w:r>
      <w:r w:rsidR="00A92B23" w:rsidRPr="00A40BE5">
        <w:rPr>
          <w:rFonts w:cs="Times New Roman"/>
          <w:szCs w:val="24"/>
          <w:shd w:val="clear" w:color="auto" w:fill="FFFFFF"/>
        </w:rPr>
        <w:t>Husak, 2020)</w:t>
      </w:r>
      <w:r w:rsidRPr="00A40BE5">
        <w:rPr>
          <w:rFonts w:cs="Times New Roman"/>
          <w:szCs w:val="24"/>
          <w:shd w:val="clear" w:color="auto" w:fill="FFFFFF"/>
          <w:lang w:eastAsia="en-GB"/>
        </w:rPr>
        <w:t>.</w:t>
      </w:r>
    </w:p>
    <w:p w14:paraId="5CE493B4" w14:textId="10D30359" w:rsidR="00086F44" w:rsidRPr="00A40BE5" w:rsidRDefault="009E3AE6" w:rsidP="00A40BE5">
      <w:pPr>
        <w:tabs>
          <w:tab w:val="left" w:pos="1116"/>
        </w:tabs>
        <w:spacing w:line="360" w:lineRule="auto"/>
        <w:rPr>
          <w:rFonts w:cs="Times New Roman"/>
          <w:szCs w:val="24"/>
        </w:rPr>
      </w:pPr>
      <w:r w:rsidRPr="00A40BE5">
        <w:rPr>
          <w:rFonts w:cs="Times New Roman"/>
          <w:b/>
          <w:szCs w:val="24"/>
          <w:shd w:val="clear" w:color="auto" w:fill="FFFFFF"/>
          <w:lang w:eastAsia="en-GB"/>
        </w:rPr>
        <w:t>1. Grievous Bodily Harm (GBH):</w:t>
      </w:r>
      <w:r w:rsidRPr="00A40BE5">
        <w:rPr>
          <w:rFonts w:cs="Times New Roman"/>
          <w:szCs w:val="24"/>
          <w:shd w:val="clear" w:color="auto" w:fill="FFFFFF"/>
          <w:lang w:eastAsia="en-GB"/>
        </w:rPr>
        <w:t xml:space="preserve"> </w:t>
      </w:r>
      <w:r w:rsidR="0033762A">
        <w:t xml:space="preserve">Under Section 18 of the Offences Against the Person Act 1861, the use of violence resulting in serious physical harm is legally significant. In this instance, Carla’s act of stabbing Jamie in the chest, which led to severe injury, falls within this framework. The actus reus comprises the intentional infliction of grievous bodily harm, exemplified by the stabbing (Huxley-Binns, 2014). </w:t>
      </w:r>
      <w:r w:rsidR="00E55D93">
        <w:t>As stated by</w:t>
      </w:r>
      <w:r w:rsidR="0033762A">
        <w:t xml:space="preserve"> Fewtrell (1948), the men’s rea necessitates a specific intent to cause serious harm or recklessness regarding the likelihood of such harm. Therefore, the actus reus involves causing significant injury, such as through a stabbing. The discussion around men’s rea highlights its critical role in establishing criminal liability, with academic analysis emphasizing that either intent or recklessness is essential for this determination (Doe, 2018), impacting judicial outcomes.</w:t>
      </w:r>
    </w:p>
    <w:p w14:paraId="571B38DD" w14:textId="48034565" w:rsidR="009E3AE6" w:rsidRPr="00A40BE5" w:rsidRDefault="009E3AE6" w:rsidP="00A40BE5">
      <w:pPr>
        <w:spacing w:line="360" w:lineRule="auto"/>
        <w:rPr>
          <w:rFonts w:cs="Times New Roman"/>
          <w:szCs w:val="24"/>
          <w:lang w:eastAsia="en-GB"/>
        </w:rPr>
      </w:pPr>
    </w:p>
    <w:p w14:paraId="544FF2B5" w14:textId="1215B015" w:rsidR="00086F44" w:rsidRPr="00A40BE5" w:rsidRDefault="009E3AE6" w:rsidP="004B7CB1">
      <w:pPr>
        <w:pStyle w:val="NormalWeb"/>
        <w:spacing w:line="360" w:lineRule="auto"/>
      </w:pPr>
      <w:r w:rsidRPr="00A40BE5">
        <w:rPr>
          <w:b/>
          <w:shd w:val="clear" w:color="auto" w:fill="FFFFFF"/>
        </w:rPr>
        <w:t>2. Attempted Murder:</w:t>
      </w:r>
      <w:r w:rsidRPr="00A40BE5">
        <w:rPr>
          <w:shd w:val="clear" w:color="auto" w:fill="FFFFFF"/>
        </w:rPr>
        <w:t xml:space="preserve"> </w:t>
      </w:r>
      <w:r w:rsidR="0033762A">
        <w:t>If Carla's actions were premeditated, they would constitute an attempt at murder under United Kingdom law</w:t>
      </w:r>
      <w:r w:rsidR="004B7CB1">
        <w:t xml:space="preserve">, which depends on her mental state at the time of the stabbing </w:t>
      </w:r>
      <w:r w:rsidR="0033762A">
        <w:t xml:space="preserve">(Sunga, 2023). The actus reus involves Carla's deliberate act of stabbing Jamie, representing a concrete and deliberate action that surpasses mere preparation (Rosen, 1999). The men’s rea is crucial; if Carla had a conscious and intentional desire to kill Jamie, </w:t>
      </w:r>
      <w:r w:rsidR="004B7CB1">
        <w:t xml:space="preserve">followed by the state of mind </w:t>
      </w:r>
      <w:r w:rsidR="0033762A">
        <w:t>required for attempted murder (Smith, Hogan &amp; Ormerod, 2020). Thus, both the intentional act and the specific intent to cause death are essential elements in evaluating the charge of attempted murder.</w:t>
      </w:r>
    </w:p>
    <w:p w14:paraId="4A616627" w14:textId="1A1EF74D" w:rsidR="009E3AE6" w:rsidRPr="00A40BE5" w:rsidRDefault="009E3AE6" w:rsidP="00A40BE5">
      <w:pPr>
        <w:spacing w:line="360" w:lineRule="auto"/>
        <w:rPr>
          <w:rFonts w:cs="Times New Roman"/>
          <w:szCs w:val="24"/>
          <w:lang w:eastAsia="en-GB"/>
        </w:rPr>
      </w:pPr>
    </w:p>
    <w:p w14:paraId="1598C747" w14:textId="77777777" w:rsidR="009E3AE6" w:rsidRPr="00A40BE5" w:rsidRDefault="009E3AE6" w:rsidP="00A40BE5">
      <w:pPr>
        <w:spacing w:line="360" w:lineRule="auto"/>
        <w:rPr>
          <w:rFonts w:cs="Times New Roman"/>
          <w:b/>
          <w:i/>
          <w:szCs w:val="24"/>
          <w:lang w:eastAsia="en-GB"/>
        </w:rPr>
      </w:pPr>
      <w:r w:rsidRPr="00A40BE5">
        <w:rPr>
          <w:rFonts w:cs="Times New Roman"/>
          <w:b/>
          <w:i/>
          <w:szCs w:val="24"/>
          <w:shd w:val="clear" w:color="auto" w:fill="FFFFFF"/>
          <w:lang w:eastAsia="en-GB"/>
        </w:rPr>
        <w:t xml:space="preserve">Potential </w:t>
      </w:r>
      <w:r w:rsidR="00603890" w:rsidRPr="00A40BE5">
        <w:rPr>
          <w:rFonts w:cs="Times New Roman"/>
          <w:b/>
          <w:i/>
          <w:szCs w:val="24"/>
          <w:shd w:val="clear" w:color="auto" w:fill="FFFFFF"/>
          <w:lang w:eastAsia="en-GB"/>
        </w:rPr>
        <w:t>Defences</w:t>
      </w:r>
    </w:p>
    <w:p w14:paraId="2121B1DB" w14:textId="77777777" w:rsidR="009E3AE6" w:rsidRPr="00A40BE5" w:rsidRDefault="009E3AE6" w:rsidP="00A40BE5">
      <w:pPr>
        <w:spacing w:line="360" w:lineRule="auto"/>
        <w:rPr>
          <w:rFonts w:cs="Times New Roman"/>
          <w:szCs w:val="24"/>
          <w:lang w:eastAsia="en-GB"/>
        </w:rPr>
      </w:pPr>
      <w:r w:rsidRPr="00A40BE5">
        <w:rPr>
          <w:rFonts w:cs="Times New Roman"/>
          <w:szCs w:val="24"/>
          <w:shd w:val="clear" w:color="auto" w:fill="FFFFFF"/>
          <w:lang w:eastAsia="en-GB"/>
        </w:rPr>
        <w:t>Carla may raise several defences to mitigate or negate her criminal liability</w:t>
      </w:r>
      <w:r w:rsidR="002308A4" w:rsidRPr="00A40BE5">
        <w:rPr>
          <w:rFonts w:cs="Times New Roman"/>
          <w:szCs w:val="24"/>
          <w:lang w:eastAsia="en-GB"/>
        </w:rPr>
        <w:t>:</w:t>
      </w:r>
    </w:p>
    <w:p w14:paraId="31BAEF4F" w14:textId="7BEAD640" w:rsidR="009E3AE6" w:rsidRPr="00A40BE5" w:rsidRDefault="009E3AE6" w:rsidP="00A40BE5">
      <w:pPr>
        <w:spacing w:line="360" w:lineRule="auto"/>
        <w:rPr>
          <w:rFonts w:cs="Times New Roman"/>
          <w:szCs w:val="24"/>
          <w:lang w:eastAsia="en-GB"/>
        </w:rPr>
      </w:pPr>
      <w:r w:rsidRPr="00A40BE5">
        <w:rPr>
          <w:rFonts w:cs="Times New Roman"/>
          <w:b/>
          <w:szCs w:val="24"/>
          <w:shd w:val="clear" w:color="auto" w:fill="FFFFFF"/>
          <w:lang w:eastAsia="en-GB"/>
        </w:rPr>
        <w:t>1. Self-De</w:t>
      </w:r>
      <w:r w:rsidR="00603890" w:rsidRPr="00A40BE5">
        <w:rPr>
          <w:rFonts w:cs="Times New Roman"/>
          <w:b/>
          <w:szCs w:val="24"/>
          <w:shd w:val="clear" w:color="auto" w:fill="FFFFFF"/>
          <w:lang w:eastAsia="en-GB"/>
        </w:rPr>
        <w:t>fenc</w:t>
      </w:r>
      <w:r w:rsidRPr="00A40BE5">
        <w:rPr>
          <w:rFonts w:cs="Times New Roman"/>
          <w:b/>
          <w:szCs w:val="24"/>
          <w:shd w:val="clear" w:color="auto" w:fill="FFFFFF"/>
          <w:lang w:eastAsia="en-GB"/>
        </w:rPr>
        <w:t>e:</w:t>
      </w:r>
      <w:r w:rsidR="00F1130E" w:rsidRPr="00A40BE5">
        <w:rPr>
          <w:rFonts w:cs="Times New Roman"/>
          <w:szCs w:val="24"/>
        </w:rPr>
        <w:t xml:space="preserve"> </w:t>
      </w:r>
      <w:r w:rsidR="00E76D35">
        <w:t>In the context of self-defence, Carla may invoke this principle particularly considering Jamie's intoxicated state upon his return home, requiring a thorough examination of the circumstances, and any threatening behaviour he exhibited, to assess whether Carla's belief in the need for self-defence was justified under the law.</w:t>
      </w:r>
      <w:r w:rsidR="00E76D35" w:rsidRPr="00A40BE5">
        <w:rPr>
          <w:rFonts w:cs="Times New Roman"/>
          <w:szCs w:val="24"/>
        </w:rPr>
        <w:t xml:space="preserve"> It</w:t>
      </w:r>
      <w:r w:rsidR="00F1130E" w:rsidRPr="00A40BE5">
        <w:rPr>
          <w:rFonts w:cs="Times New Roman"/>
          <w:szCs w:val="24"/>
        </w:rPr>
        <w:t xml:space="preserve"> is crucial to note that her use of force must be proportionate to the perceived threat</w:t>
      </w:r>
      <w:r w:rsidR="00EA4DCC">
        <w:rPr>
          <w:rFonts w:cs="Times New Roman"/>
          <w:szCs w:val="24"/>
        </w:rPr>
        <w:t>, ensuring</w:t>
      </w:r>
      <w:r w:rsidR="00F1130E" w:rsidRPr="00A40BE5">
        <w:rPr>
          <w:rFonts w:cs="Times New Roman"/>
          <w:szCs w:val="24"/>
        </w:rPr>
        <w:t xml:space="preserve"> that self-defence claims are not used to justify excessive force, in which the defendant`s belief in the threat and the proportionality of her response will be examined to determine if her actions meet the legal criteria for self-defence (Hill, 2012).</w:t>
      </w:r>
    </w:p>
    <w:p w14:paraId="6B7B791F" w14:textId="77777777" w:rsidR="009E3AE6" w:rsidRPr="00A40BE5" w:rsidRDefault="009E3AE6" w:rsidP="00A40BE5">
      <w:pPr>
        <w:spacing w:line="360" w:lineRule="auto"/>
        <w:rPr>
          <w:rFonts w:cs="Times New Roman"/>
          <w:szCs w:val="24"/>
          <w:lang w:eastAsia="en-GB"/>
        </w:rPr>
      </w:pPr>
      <w:r w:rsidRPr="00A40BE5">
        <w:rPr>
          <w:rFonts w:cs="Times New Roman"/>
          <w:b/>
          <w:szCs w:val="24"/>
          <w:shd w:val="clear" w:color="auto" w:fill="FFFFFF"/>
          <w:lang w:eastAsia="en-GB"/>
        </w:rPr>
        <w:t>2. Loss of Control:</w:t>
      </w:r>
      <w:r w:rsidRPr="00A40BE5">
        <w:rPr>
          <w:rFonts w:cs="Times New Roman"/>
          <w:szCs w:val="24"/>
          <w:shd w:val="clear" w:color="auto" w:fill="FFFFFF"/>
          <w:lang w:eastAsia="en-GB"/>
        </w:rPr>
        <w:t xml:space="preserve"> Following the partial defence of provocation, Carla could state to the jury that due to the admission of infidelity by Jamie, she was unable to control her actions. In essence, for this defence, one has to show that someone of Carla’s sex and age, with similar self-control, might have acted in the same manner.</w:t>
      </w:r>
    </w:p>
    <w:p w14:paraId="7AE288C7" w14:textId="35BEF017" w:rsidR="009E3AE6" w:rsidRPr="00A40BE5" w:rsidRDefault="009E3AE6" w:rsidP="00A40BE5">
      <w:pPr>
        <w:spacing w:line="360" w:lineRule="auto"/>
        <w:rPr>
          <w:rFonts w:cs="Times New Roman"/>
          <w:szCs w:val="24"/>
          <w:lang w:eastAsia="en-GB"/>
        </w:rPr>
      </w:pPr>
      <w:r w:rsidRPr="00A40BE5">
        <w:rPr>
          <w:rFonts w:cs="Times New Roman"/>
          <w:b/>
          <w:szCs w:val="24"/>
          <w:shd w:val="clear" w:color="auto" w:fill="FFFFFF"/>
          <w:lang w:eastAsia="en-GB"/>
        </w:rPr>
        <w:t>3. Diminished Responsibility:</w:t>
      </w:r>
      <w:r w:rsidRPr="00A40BE5">
        <w:rPr>
          <w:rFonts w:cs="Times New Roman"/>
          <w:szCs w:val="24"/>
          <w:shd w:val="clear" w:color="auto" w:fill="FFFFFF"/>
          <w:lang w:eastAsia="en-GB"/>
        </w:rPr>
        <w:t xml:space="preserve"> If available, Carla could tell that she was of diminished responsibility because of her state of mind at the time of the offence</w:t>
      </w:r>
      <w:r w:rsidR="00EA4DCC">
        <w:rPr>
          <w:rFonts w:cs="Times New Roman"/>
          <w:szCs w:val="24"/>
          <w:shd w:val="clear" w:color="auto" w:fill="FFFFFF"/>
          <w:lang w:eastAsia="en-GB"/>
        </w:rPr>
        <w:t>, which entail</w:t>
      </w:r>
      <w:r w:rsidRPr="00A40BE5">
        <w:rPr>
          <w:rFonts w:cs="Times New Roman"/>
          <w:szCs w:val="24"/>
          <w:shd w:val="clear" w:color="auto" w:fill="FFFFFF"/>
          <w:lang w:eastAsia="en-GB"/>
        </w:rPr>
        <w:t xml:space="preserve"> the need to prove that due to her mental state, she was unable to exercise control as any reasonable person would</w:t>
      </w:r>
      <w:r w:rsidR="00A92B23" w:rsidRPr="00A40BE5">
        <w:rPr>
          <w:rFonts w:cs="Times New Roman"/>
          <w:szCs w:val="24"/>
          <w:shd w:val="clear" w:color="auto" w:fill="FFFFFF"/>
          <w:lang w:eastAsia="en-GB"/>
        </w:rPr>
        <w:t xml:space="preserve"> (</w:t>
      </w:r>
      <w:r w:rsidR="00E83BC6" w:rsidRPr="00A40BE5">
        <w:rPr>
          <w:rFonts w:cs="Times New Roman"/>
          <w:szCs w:val="24"/>
          <w:shd w:val="clear" w:color="auto" w:fill="FFFFFF"/>
        </w:rPr>
        <w:t>Zucca, 2020</w:t>
      </w:r>
      <w:r w:rsidR="00A92B23" w:rsidRPr="00A40BE5">
        <w:rPr>
          <w:rFonts w:cs="Times New Roman"/>
          <w:szCs w:val="24"/>
          <w:shd w:val="clear" w:color="auto" w:fill="FFFFFF"/>
        </w:rPr>
        <w:t>)</w:t>
      </w:r>
      <w:r w:rsidRPr="00A40BE5">
        <w:rPr>
          <w:rFonts w:cs="Times New Roman"/>
          <w:szCs w:val="24"/>
          <w:shd w:val="clear" w:color="auto" w:fill="FFFFFF"/>
          <w:lang w:eastAsia="en-GB"/>
        </w:rPr>
        <w:t>.</w:t>
      </w:r>
    </w:p>
    <w:p w14:paraId="5FA6377F" w14:textId="77777777" w:rsidR="009E3AE6" w:rsidRPr="00A40BE5" w:rsidRDefault="009E3AE6" w:rsidP="00A40BE5">
      <w:pPr>
        <w:spacing w:line="360" w:lineRule="auto"/>
        <w:rPr>
          <w:rFonts w:cs="Times New Roman"/>
          <w:b/>
          <w:i/>
          <w:szCs w:val="24"/>
          <w:lang w:eastAsia="en-GB"/>
        </w:rPr>
      </w:pPr>
      <w:r w:rsidRPr="00A40BE5">
        <w:rPr>
          <w:rFonts w:cs="Times New Roman"/>
          <w:b/>
          <w:i/>
          <w:szCs w:val="24"/>
          <w:shd w:val="clear" w:color="auto" w:fill="FFFFFF"/>
          <w:lang w:eastAsia="en-GB"/>
        </w:rPr>
        <w:t>Closeness of Carla to the topic</w:t>
      </w:r>
    </w:p>
    <w:p w14:paraId="06ABF10F" w14:textId="77777777" w:rsidR="009E3AE6" w:rsidRPr="00A40BE5" w:rsidRDefault="009E3AE6" w:rsidP="00A40BE5">
      <w:pPr>
        <w:spacing w:line="360" w:lineRule="auto"/>
        <w:rPr>
          <w:rFonts w:cs="Times New Roman"/>
          <w:szCs w:val="24"/>
          <w:lang w:eastAsia="en-GB"/>
        </w:rPr>
      </w:pPr>
      <w:r w:rsidRPr="00A40BE5">
        <w:rPr>
          <w:rFonts w:cs="Times New Roman"/>
          <w:szCs w:val="24"/>
          <w:shd w:val="clear" w:color="auto" w:fill="FFFFFF"/>
          <w:lang w:eastAsia="en-GB"/>
        </w:rPr>
        <w:t>Carla's emotional state, exacerbated by Jamie's admission of infidelity during a heated argument, is crucial to assessing her criminal liability: </w:t>
      </w:r>
    </w:p>
    <w:p w14:paraId="0D4B91D6" w14:textId="77777777" w:rsidR="009E3AE6" w:rsidRPr="00A40BE5" w:rsidRDefault="009E3AE6" w:rsidP="00A40BE5">
      <w:pPr>
        <w:spacing w:line="360" w:lineRule="auto"/>
        <w:rPr>
          <w:rFonts w:cs="Times New Roman"/>
          <w:szCs w:val="24"/>
          <w:lang w:eastAsia="en-GB"/>
        </w:rPr>
      </w:pPr>
      <w:r w:rsidRPr="00A40BE5">
        <w:rPr>
          <w:rFonts w:cs="Times New Roman"/>
          <w:b/>
          <w:szCs w:val="24"/>
          <w:shd w:val="clear" w:color="auto" w:fill="FFFFFF"/>
          <w:lang w:eastAsia="en-GB"/>
        </w:rPr>
        <w:t>Provocation:</w:t>
      </w:r>
      <w:r w:rsidRPr="00A40BE5">
        <w:rPr>
          <w:rFonts w:cs="Times New Roman"/>
          <w:szCs w:val="24"/>
          <w:shd w:val="clear" w:color="auto" w:fill="FFFFFF"/>
          <w:lang w:eastAsia="en-GB"/>
        </w:rPr>
        <w:t xml:space="preserve"> Where relevant the provocation defence assesses whether, from Jamie’s confession, Carla must have been put in a situation that caused the loss of her temper for a time</w:t>
      </w:r>
      <w:r w:rsidR="00A92B23" w:rsidRPr="00A40BE5">
        <w:rPr>
          <w:rFonts w:cs="Times New Roman"/>
          <w:szCs w:val="24"/>
          <w:shd w:val="clear" w:color="auto" w:fill="FFFFFF"/>
          <w:lang w:eastAsia="en-GB"/>
        </w:rPr>
        <w:t xml:space="preserve"> (</w:t>
      </w:r>
      <w:r w:rsidR="00A92B23" w:rsidRPr="00A40BE5">
        <w:rPr>
          <w:rFonts w:cs="Times New Roman"/>
          <w:szCs w:val="24"/>
          <w:shd w:val="clear" w:color="auto" w:fill="FFFFFF"/>
        </w:rPr>
        <w:t>Ristroph, 2020)</w:t>
      </w:r>
      <w:r w:rsidRPr="00A40BE5">
        <w:rPr>
          <w:rFonts w:cs="Times New Roman"/>
          <w:szCs w:val="24"/>
          <w:shd w:val="clear" w:color="auto" w:fill="FFFFFF"/>
          <w:lang w:eastAsia="en-GB"/>
        </w:rPr>
        <w:t>.</w:t>
      </w:r>
    </w:p>
    <w:p w14:paraId="272679DD" w14:textId="3EC23AF7" w:rsidR="009E3AE6" w:rsidRPr="00A40BE5" w:rsidRDefault="009E3AE6" w:rsidP="00A40BE5">
      <w:pPr>
        <w:spacing w:line="360" w:lineRule="auto"/>
        <w:rPr>
          <w:rFonts w:cs="Times New Roman"/>
          <w:szCs w:val="24"/>
          <w:lang w:eastAsia="en-GB"/>
        </w:rPr>
      </w:pPr>
      <w:r w:rsidRPr="00A40BE5">
        <w:rPr>
          <w:rFonts w:cs="Times New Roman"/>
          <w:b/>
          <w:szCs w:val="24"/>
          <w:shd w:val="clear" w:color="auto" w:fill="FFFFFF"/>
          <w:lang w:eastAsia="en-GB"/>
        </w:rPr>
        <w:t xml:space="preserve">Reasonableness: </w:t>
      </w:r>
      <w:r w:rsidRPr="00A40BE5">
        <w:rPr>
          <w:rFonts w:cs="Times New Roman"/>
          <w:szCs w:val="24"/>
          <w:shd w:val="clear" w:color="auto" w:fill="FFFFFF"/>
          <w:lang w:eastAsia="en-GB"/>
        </w:rPr>
        <w:t>Carla’s conduct would be analysed to determine whether she had a proper and reasonable response in the situation</w:t>
      </w:r>
      <w:r w:rsidR="00EA4DCC">
        <w:rPr>
          <w:rFonts w:cs="Times New Roman"/>
          <w:szCs w:val="24"/>
          <w:shd w:val="clear" w:color="auto" w:fill="FFFFFF"/>
          <w:lang w:eastAsia="en-GB"/>
        </w:rPr>
        <w:t>, focusing</w:t>
      </w:r>
      <w:r w:rsidRPr="00A40BE5">
        <w:rPr>
          <w:rFonts w:cs="Times New Roman"/>
          <w:szCs w:val="24"/>
          <w:shd w:val="clear" w:color="auto" w:fill="FFFFFF"/>
          <w:lang w:eastAsia="en-GB"/>
        </w:rPr>
        <w:t xml:space="preserve"> on the extent of her actions and the imminence of the threat felt by her.</w:t>
      </w:r>
    </w:p>
    <w:p w14:paraId="0A1DD2D4" w14:textId="77777777" w:rsidR="009E3AE6" w:rsidRPr="00A40BE5" w:rsidRDefault="009E3AE6" w:rsidP="00A40BE5">
      <w:pPr>
        <w:spacing w:line="360" w:lineRule="auto"/>
        <w:rPr>
          <w:rFonts w:cs="Times New Roman"/>
          <w:b/>
          <w:i/>
          <w:szCs w:val="24"/>
          <w:lang w:eastAsia="en-GB"/>
        </w:rPr>
      </w:pPr>
      <w:r w:rsidRPr="00A40BE5">
        <w:rPr>
          <w:rFonts w:cs="Times New Roman"/>
          <w:b/>
          <w:i/>
          <w:szCs w:val="24"/>
          <w:shd w:val="clear" w:color="auto" w:fill="FFFFFF"/>
          <w:lang w:eastAsia="en-GB"/>
        </w:rPr>
        <w:t>Jamie's Confession</w:t>
      </w:r>
    </w:p>
    <w:p w14:paraId="352DC3B1" w14:textId="77777777" w:rsidR="009E3AE6" w:rsidRPr="00A40BE5" w:rsidRDefault="009E3AE6" w:rsidP="00A40BE5">
      <w:pPr>
        <w:spacing w:line="360" w:lineRule="auto"/>
        <w:rPr>
          <w:rFonts w:cs="Times New Roman"/>
          <w:szCs w:val="24"/>
          <w:lang w:eastAsia="en-GB"/>
        </w:rPr>
      </w:pPr>
      <w:r w:rsidRPr="00A40BE5">
        <w:rPr>
          <w:rFonts w:cs="Times New Roman"/>
          <w:szCs w:val="24"/>
          <w:shd w:val="clear" w:color="auto" w:fill="FFFFFF"/>
          <w:lang w:eastAsia="en-GB"/>
        </w:rPr>
        <w:lastRenderedPageBreak/>
        <w:t>Jamie's confession of infidelity during the argument may influence Carla's legal defence in several ways: </w:t>
      </w:r>
    </w:p>
    <w:p w14:paraId="37B92B60" w14:textId="4413E983" w:rsidR="009E3AE6" w:rsidRPr="00A40BE5" w:rsidRDefault="009E3AE6" w:rsidP="00A40BE5">
      <w:pPr>
        <w:spacing w:line="360" w:lineRule="auto"/>
        <w:rPr>
          <w:rFonts w:cs="Times New Roman"/>
          <w:szCs w:val="24"/>
          <w:lang w:eastAsia="en-GB"/>
        </w:rPr>
      </w:pPr>
      <w:r w:rsidRPr="00A40BE5">
        <w:rPr>
          <w:rFonts w:cs="Times New Roman"/>
          <w:b/>
          <w:szCs w:val="24"/>
          <w:shd w:val="clear" w:color="auto" w:fill="FFFFFF"/>
          <w:lang w:eastAsia="en-GB"/>
        </w:rPr>
        <w:t xml:space="preserve">Provocation: </w:t>
      </w:r>
      <w:r w:rsidRPr="00A40BE5">
        <w:rPr>
          <w:rFonts w:cs="Times New Roman"/>
          <w:szCs w:val="24"/>
          <w:shd w:val="clear" w:color="auto" w:fill="FFFFFF"/>
          <w:lang w:eastAsia="en-GB"/>
        </w:rPr>
        <w:t xml:space="preserve">Carla may testify that the pressure given to her by Jamie made her aggressive to </w:t>
      </w:r>
      <w:r w:rsidR="00EA4DCC">
        <w:rPr>
          <w:rFonts w:cs="Times New Roman"/>
          <w:szCs w:val="24"/>
          <w:shd w:val="clear" w:color="auto" w:fill="FFFFFF"/>
          <w:lang w:eastAsia="en-GB"/>
        </w:rPr>
        <w:t>the</w:t>
      </w:r>
      <w:r w:rsidRPr="00A40BE5">
        <w:rPr>
          <w:rFonts w:cs="Times New Roman"/>
          <w:szCs w:val="24"/>
          <w:shd w:val="clear" w:color="auto" w:fill="FFFFFF"/>
          <w:lang w:eastAsia="en-GB"/>
        </w:rPr>
        <w:t xml:space="preserve"> confession</w:t>
      </w:r>
      <w:r w:rsidR="00EA4DCC">
        <w:rPr>
          <w:rFonts w:cs="Times New Roman"/>
          <w:szCs w:val="24"/>
          <w:shd w:val="clear" w:color="auto" w:fill="FFFFFF"/>
          <w:lang w:eastAsia="en-GB"/>
        </w:rPr>
        <w:t xml:space="preserve"> made by him</w:t>
      </w:r>
      <w:r w:rsidRPr="00A40BE5">
        <w:rPr>
          <w:rFonts w:cs="Times New Roman"/>
          <w:szCs w:val="24"/>
          <w:shd w:val="clear" w:color="auto" w:fill="FFFFFF"/>
          <w:lang w:eastAsia="en-GB"/>
        </w:rPr>
        <w:t xml:space="preserve"> </w:t>
      </w:r>
      <w:r w:rsidR="00EA4DCC">
        <w:rPr>
          <w:rFonts w:cs="Times New Roman"/>
          <w:szCs w:val="24"/>
          <w:shd w:val="clear" w:color="auto" w:fill="FFFFFF"/>
          <w:lang w:eastAsia="en-GB"/>
        </w:rPr>
        <w:t>in the middle of the</w:t>
      </w:r>
      <w:r w:rsidRPr="00A40BE5">
        <w:rPr>
          <w:rFonts w:cs="Times New Roman"/>
          <w:szCs w:val="24"/>
          <w:shd w:val="clear" w:color="auto" w:fill="FFFFFF"/>
          <w:lang w:eastAsia="en-GB"/>
        </w:rPr>
        <w:t xml:space="preserve"> argument</w:t>
      </w:r>
      <w:r w:rsidR="00EA4DCC">
        <w:rPr>
          <w:rFonts w:cs="Times New Roman"/>
          <w:szCs w:val="24"/>
          <w:shd w:val="clear" w:color="auto" w:fill="FFFFFF"/>
          <w:lang w:eastAsia="en-GB"/>
        </w:rPr>
        <w:t>, making her</w:t>
      </w:r>
      <w:r w:rsidRPr="00A40BE5">
        <w:rPr>
          <w:rFonts w:cs="Times New Roman"/>
          <w:szCs w:val="24"/>
          <w:shd w:val="clear" w:color="auto" w:fill="FFFFFF"/>
          <w:lang w:eastAsia="en-GB"/>
        </w:rPr>
        <w:t xml:space="preserve"> out of control or having a reduced level of mental capacity to reason</w:t>
      </w:r>
      <w:r w:rsidR="00EA4DCC">
        <w:rPr>
          <w:rFonts w:cs="Times New Roman"/>
          <w:szCs w:val="24"/>
          <w:shd w:val="clear" w:color="auto" w:fill="FFFFFF"/>
          <w:lang w:eastAsia="en-GB"/>
        </w:rPr>
        <w:t xml:space="preserve"> </w:t>
      </w:r>
      <w:r w:rsidR="00EA4DCC" w:rsidRPr="00A40BE5">
        <w:rPr>
          <w:rFonts w:cs="Times New Roman"/>
          <w:szCs w:val="24"/>
          <w:shd w:val="clear" w:color="auto" w:fill="FFFFFF"/>
          <w:lang w:eastAsia="en-GB"/>
        </w:rPr>
        <w:t>(</w:t>
      </w:r>
      <w:r w:rsidR="00EA4DCC" w:rsidRPr="00A40BE5">
        <w:rPr>
          <w:rFonts w:cs="Times New Roman"/>
          <w:szCs w:val="24"/>
          <w:shd w:val="clear" w:color="auto" w:fill="FFFFFF"/>
        </w:rPr>
        <w:t>Garneau, et. al., 2021)</w:t>
      </w:r>
      <w:r w:rsidR="00EA4DCC">
        <w:rPr>
          <w:rFonts w:cs="Times New Roman"/>
          <w:szCs w:val="24"/>
          <w:shd w:val="clear" w:color="auto" w:fill="FFFFFF"/>
          <w:lang w:eastAsia="en-GB"/>
        </w:rPr>
        <w:t>.</w:t>
      </w:r>
    </w:p>
    <w:p w14:paraId="55C1E60E" w14:textId="77777777" w:rsidR="009E3AE6" w:rsidRPr="00A40BE5" w:rsidRDefault="009E3AE6" w:rsidP="00A40BE5">
      <w:pPr>
        <w:spacing w:line="360" w:lineRule="auto"/>
        <w:rPr>
          <w:rFonts w:cs="Times New Roman"/>
          <w:szCs w:val="24"/>
          <w:lang w:eastAsia="en-GB"/>
        </w:rPr>
      </w:pPr>
      <w:r w:rsidRPr="00A40BE5">
        <w:rPr>
          <w:rFonts w:cs="Times New Roman"/>
          <w:b/>
          <w:szCs w:val="24"/>
          <w:shd w:val="clear" w:color="auto" w:fill="FFFFFF"/>
          <w:lang w:eastAsia="en-GB"/>
        </w:rPr>
        <w:t>Mitigation:</w:t>
      </w:r>
      <w:r w:rsidRPr="00A40BE5">
        <w:rPr>
          <w:rFonts w:cs="Times New Roman"/>
          <w:szCs w:val="24"/>
          <w:shd w:val="clear" w:color="auto" w:fill="FFFFFF"/>
          <w:lang w:eastAsia="en-GB"/>
        </w:rPr>
        <w:t xml:space="preserve"> Jamie’s confession could reduce Carla’s chances of being charged or if found guilty, being given a lighter punishment due to circumstances surrounding the confession</w:t>
      </w:r>
      <w:r w:rsidR="00A92B23" w:rsidRPr="00A40BE5">
        <w:rPr>
          <w:rFonts w:cs="Times New Roman"/>
          <w:szCs w:val="24"/>
          <w:shd w:val="clear" w:color="auto" w:fill="FFFFFF"/>
          <w:lang w:eastAsia="en-GB"/>
        </w:rPr>
        <w:t xml:space="preserve"> (</w:t>
      </w:r>
      <w:r w:rsidR="00A92B23" w:rsidRPr="00A40BE5">
        <w:rPr>
          <w:rFonts w:cs="Times New Roman"/>
          <w:szCs w:val="24"/>
          <w:shd w:val="clear" w:color="auto" w:fill="FFFFFF"/>
        </w:rPr>
        <w:t>Efendiand Hadana, 2021)</w:t>
      </w:r>
      <w:r w:rsidRPr="00A40BE5">
        <w:rPr>
          <w:rFonts w:cs="Times New Roman"/>
          <w:szCs w:val="24"/>
          <w:shd w:val="clear" w:color="auto" w:fill="FFFFFF"/>
          <w:lang w:eastAsia="en-GB"/>
        </w:rPr>
        <w:t>.</w:t>
      </w:r>
    </w:p>
    <w:p w14:paraId="0AA37B4F" w14:textId="77777777" w:rsidR="009E3AE6" w:rsidRPr="00A40BE5" w:rsidRDefault="009E3AE6" w:rsidP="00A40BE5">
      <w:pPr>
        <w:spacing w:line="360" w:lineRule="auto"/>
        <w:rPr>
          <w:rFonts w:cs="Times New Roman"/>
          <w:szCs w:val="24"/>
          <w:lang w:eastAsia="en-GB"/>
        </w:rPr>
      </w:pPr>
      <w:r w:rsidRPr="00A40BE5">
        <w:rPr>
          <w:rFonts w:cs="Times New Roman"/>
          <w:szCs w:val="24"/>
          <w:lang w:eastAsia="en-GB"/>
        </w:rPr>
        <w:t>Carla's potential criminal liability for stabbing Jamie hangs in the balance. Some defences might be supported by Carla's emotional state and Jamie's confession, but proportionality will come into the equation with the severity of his injuries and, therefore, her response.</w:t>
      </w:r>
    </w:p>
    <w:p w14:paraId="3E1585DE" w14:textId="77777777" w:rsidR="00892ADE" w:rsidRPr="00A40BE5" w:rsidRDefault="00892ADE" w:rsidP="00A40BE5">
      <w:pPr>
        <w:spacing w:line="360" w:lineRule="auto"/>
        <w:jc w:val="left"/>
        <w:rPr>
          <w:rFonts w:eastAsia="Times New Roman" w:cs="Times New Roman"/>
          <w:b/>
          <w:bCs/>
          <w:szCs w:val="24"/>
          <w:shd w:val="clear" w:color="auto" w:fill="FFFFFF"/>
          <w:lang w:eastAsia="en-GB"/>
        </w:rPr>
      </w:pPr>
      <w:r w:rsidRPr="00A40BE5">
        <w:rPr>
          <w:rFonts w:eastAsia="Times New Roman" w:cs="Times New Roman"/>
          <w:szCs w:val="24"/>
          <w:lang w:eastAsia="en-GB"/>
        </w:rPr>
        <w:br w:type="page"/>
      </w:r>
    </w:p>
    <w:p w14:paraId="3CBE3F78" w14:textId="00F8967B" w:rsidR="009E3AE6" w:rsidRPr="00A40BE5" w:rsidRDefault="003E1DF6" w:rsidP="00A40BE5">
      <w:pPr>
        <w:pStyle w:val="Heading1"/>
        <w:spacing w:line="360" w:lineRule="auto"/>
        <w:rPr>
          <w:rFonts w:eastAsia="Times New Roman" w:cs="Times New Roman"/>
          <w:color w:val="auto"/>
          <w:sz w:val="24"/>
          <w:lang w:eastAsia="en-GB"/>
        </w:rPr>
      </w:pPr>
      <w:bookmarkStart w:id="4" w:name="_Toc172308206"/>
      <w:r>
        <w:rPr>
          <w:rFonts w:eastAsia="Times New Roman" w:cs="Times New Roman"/>
          <w:color w:val="auto"/>
          <w:sz w:val="24"/>
          <w:lang w:eastAsia="en-GB"/>
        </w:rPr>
        <w:lastRenderedPageBreak/>
        <w:t>Examine the potential</w:t>
      </w:r>
      <w:r w:rsidR="009E3AE6" w:rsidRPr="00A40BE5">
        <w:rPr>
          <w:rFonts w:eastAsia="Times New Roman" w:cs="Times New Roman"/>
          <w:color w:val="auto"/>
          <w:sz w:val="24"/>
          <w:lang w:eastAsia="en-GB"/>
        </w:rPr>
        <w:t xml:space="preserve"> offences committed and any d</w:t>
      </w:r>
      <w:r w:rsidR="002308A4" w:rsidRPr="00A40BE5">
        <w:rPr>
          <w:rFonts w:eastAsia="Times New Roman" w:cs="Times New Roman"/>
          <w:color w:val="auto"/>
          <w:sz w:val="24"/>
          <w:lang w:eastAsia="en-GB"/>
        </w:rPr>
        <w:t>efences that may be considered</w:t>
      </w:r>
      <w:bookmarkEnd w:id="4"/>
    </w:p>
    <w:p w14:paraId="6995BA27" w14:textId="19E511EC" w:rsidR="009E3AE6" w:rsidRPr="00A40BE5" w:rsidRDefault="00065932" w:rsidP="00A40BE5">
      <w:pPr>
        <w:spacing w:line="360" w:lineRule="auto"/>
        <w:rPr>
          <w:rFonts w:cs="Times New Roman"/>
          <w:szCs w:val="24"/>
          <w:lang w:eastAsia="en-GB"/>
        </w:rPr>
      </w:pPr>
      <w:r>
        <w:rPr>
          <w:rFonts w:cs="Times New Roman"/>
          <w:szCs w:val="24"/>
          <w:shd w:val="clear" w:color="auto" w:fill="FFFFFF"/>
          <w:lang w:eastAsia="en-GB"/>
        </w:rPr>
        <w:t xml:space="preserve">This </w:t>
      </w:r>
      <w:r w:rsidR="009E3AE6" w:rsidRPr="00A40BE5">
        <w:rPr>
          <w:rFonts w:cs="Times New Roman"/>
          <w:szCs w:val="24"/>
          <w:shd w:val="clear" w:color="auto" w:fill="FFFFFF"/>
          <w:lang w:eastAsia="en-GB"/>
        </w:rPr>
        <w:t xml:space="preserve">scenario </w:t>
      </w:r>
      <w:r w:rsidR="00F740AC">
        <w:rPr>
          <w:rFonts w:cs="Times New Roman"/>
          <w:szCs w:val="24"/>
          <w:shd w:val="clear" w:color="auto" w:fill="FFFFFF"/>
          <w:lang w:eastAsia="en-GB"/>
        </w:rPr>
        <w:t>raised</w:t>
      </w:r>
      <w:r w:rsidR="009E3AE6" w:rsidRPr="00A40BE5">
        <w:rPr>
          <w:rFonts w:cs="Times New Roman"/>
          <w:szCs w:val="24"/>
          <w:shd w:val="clear" w:color="auto" w:fill="FFFFFF"/>
          <w:lang w:eastAsia="en-GB"/>
        </w:rPr>
        <w:t xml:space="preserve"> about Carla and Jamie provides legal curiosity about the offences made and conceivable protection</w:t>
      </w:r>
      <w:r w:rsidR="001C6225" w:rsidRPr="00A40BE5">
        <w:rPr>
          <w:rFonts w:cs="Times New Roman"/>
          <w:szCs w:val="24"/>
          <w:shd w:val="clear" w:color="auto" w:fill="FFFFFF"/>
          <w:lang w:eastAsia="en-GB"/>
        </w:rPr>
        <w:t xml:space="preserve"> (</w:t>
      </w:r>
      <w:r w:rsidR="001C6225" w:rsidRPr="00A40BE5">
        <w:rPr>
          <w:rFonts w:cs="Times New Roman"/>
          <w:szCs w:val="24"/>
          <w:shd w:val="clear" w:color="auto" w:fill="FFFFFF"/>
        </w:rPr>
        <w:t>Duff, 2020)</w:t>
      </w:r>
      <w:r w:rsidR="009E3AE6" w:rsidRPr="00A40BE5">
        <w:rPr>
          <w:rFonts w:cs="Times New Roman"/>
          <w:szCs w:val="24"/>
          <w:shd w:val="clear" w:color="auto" w:fill="FFFFFF"/>
          <w:lang w:eastAsia="en-GB"/>
        </w:rPr>
        <w:t>. This discussion will consider the potential charge which Carla could be facing, for example, grievous bodily harm (GBH) or attempted murder, and the potential defence which could include self-defence loss of control or diminished responsibility.</w:t>
      </w:r>
    </w:p>
    <w:p w14:paraId="30136906" w14:textId="77777777" w:rsidR="009E3AE6" w:rsidRPr="00A40BE5" w:rsidRDefault="009E3AE6" w:rsidP="00A40BE5">
      <w:pPr>
        <w:spacing w:line="360" w:lineRule="auto"/>
        <w:rPr>
          <w:rFonts w:cs="Times New Roman"/>
          <w:b/>
          <w:szCs w:val="24"/>
          <w:u w:val="single"/>
          <w:lang w:eastAsia="en-GB"/>
        </w:rPr>
      </w:pPr>
      <w:r w:rsidRPr="00A40BE5">
        <w:rPr>
          <w:rFonts w:cs="Times New Roman"/>
          <w:b/>
          <w:szCs w:val="24"/>
          <w:u w:val="single"/>
          <w:shd w:val="clear" w:color="auto" w:fill="FFFFFF"/>
          <w:lang w:eastAsia="en-GB"/>
        </w:rPr>
        <w:t>Offences Committed</w:t>
      </w:r>
    </w:p>
    <w:p w14:paraId="73B0D282" w14:textId="77777777" w:rsidR="009E3AE6" w:rsidRPr="00A40BE5" w:rsidRDefault="009E3AE6" w:rsidP="00A40BE5">
      <w:pPr>
        <w:spacing w:line="360" w:lineRule="auto"/>
        <w:rPr>
          <w:rFonts w:cs="Times New Roman"/>
          <w:b/>
          <w:szCs w:val="24"/>
          <w:lang w:eastAsia="en-GB"/>
        </w:rPr>
      </w:pPr>
      <w:r w:rsidRPr="00A40BE5">
        <w:rPr>
          <w:rFonts w:cs="Times New Roman"/>
          <w:b/>
          <w:szCs w:val="24"/>
          <w:shd w:val="clear" w:color="auto" w:fill="FFFFFF"/>
          <w:lang w:eastAsia="en-GB"/>
        </w:rPr>
        <w:t>Grievous Bodily Harm (GBH)</w:t>
      </w:r>
    </w:p>
    <w:p w14:paraId="6188C26E" w14:textId="77777777" w:rsidR="009E3AE6" w:rsidRPr="00A40BE5" w:rsidRDefault="009E3AE6" w:rsidP="00A40BE5">
      <w:pPr>
        <w:spacing w:line="360" w:lineRule="auto"/>
        <w:rPr>
          <w:rFonts w:cs="Times New Roman"/>
          <w:szCs w:val="24"/>
          <w:lang w:eastAsia="en-GB"/>
        </w:rPr>
      </w:pPr>
      <w:r w:rsidRPr="00A40BE5">
        <w:rPr>
          <w:rFonts w:cs="Times New Roman"/>
          <w:szCs w:val="24"/>
          <w:shd w:val="clear" w:color="auto" w:fill="FFFFFF"/>
          <w:lang w:eastAsia="en-GB"/>
        </w:rPr>
        <w:t>Wounding refers to occas</w:t>
      </w:r>
      <w:r w:rsidR="00603890" w:rsidRPr="00A40BE5">
        <w:rPr>
          <w:rFonts w:cs="Times New Roman"/>
          <w:szCs w:val="24"/>
          <w:shd w:val="clear" w:color="auto" w:fill="FFFFFF"/>
          <w:lang w:eastAsia="en-GB"/>
        </w:rPr>
        <w:t>ioning bodily harm of any kind</w:t>
      </w:r>
      <w:r w:rsidRPr="00A40BE5">
        <w:rPr>
          <w:rFonts w:cs="Times New Roman"/>
          <w:szCs w:val="24"/>
          <w:shd w:val="clear" w:color="auto" w:fill="FFFFFF"/>
          <w:lang w:eastAsia="en-GB"/>
        </w:rPr>
        <w:t xml:space="preserve"> serious wounding refers to occasioning grievous bodily harm. Carla’s action of stabbing Jamie in the chest as it caused grievous bodily harm, most probably falls under Section 20 or Section 18 of the Offences Against the Person Act 1861</w:t>
      </w:r>
      <w:r w:rsidR="00A92B23" w:rsidRPr="00A40BE5">
        <w:rPr>
          <w:rFonts w:cs="Times New Roman"/>
          <w:szCs w:val="24"/>
          <w:shd w:val="clear" w:color="auto" w:fill="FFFFFF"/>
          <w:lang w:eastAsia="en-GB"/>
        </w:rPr>
        <w:t xml:space="preserve"> (</w:t>
      </w:r>
      <w:r w:rsidR="00A92B23" w:rsidRPr="00A40BE5">
        <w:rPr>
          <w:rFonts w:cs="Times New Roman"/>
          <w:szCs w:val="24"/>
          <w:shd w:val="clear" w:color="auto" w:fill="FFFFFF"/>
        </w:rPr>
        <w:t>Bassiouni, 2023)</w:t>
      </w:r>
      <w:r w:rsidRPr="00A40BE5">
        <w:rPr>
          <w:rFonts w:cs="Times New Roman"/>
          <w:szCs w:val="24"/>
          <w:shd w:val="clear" w:color="auto" w:fill="FFFFFF"/>
          <w:lang w:eastAsia="en-GB"/>
        </w:rPr>
        <w:t>. Section 20 relates to causing grievous bodily harm with intent to cause some harm or being reckless as to the harm that one is causing whilst Section 18 requires direct intent to cause grievous bodily harm.</w:t>
      </w:r>
    </w:p>
    <w:p w14:paraId="5697E3E1" w14:textId="77777777" w:rsidR="009E3AE6" w:rsidRPr="00A40BE5" w:rsidRDefault="009E3AE6" w:rsidP="00A40BE5">
      <w:pPr>
        <w:spacing w:line="360" w:lineRule="auto"/>
        <w:rPr>
          <w:rFonts w:cs="Times New Roman"/>
          <w:b/>
          <w:szCs w:val="24"/>
          <w:lang w:eastAsia="en-GB"/>
        </w:rPr>
      </w:pPr>
      <w:r w:rsidRPr="00A40BE5">
        <w:rPr>
          <w:rFonts w:cs="Times New Roman"/>
          <w:b/>
          <w:szCs w:val="24"/>
          <w:shd w:val="clear" w:color="auto" w:fill="FFFFFF"/>
          <w:lang w:eastAsia="en-GB"/>
        </w:rPr>
        <w:t>Attempted Murder</w:t>
      </w:r>
    </w:p>
    <w:p w14:paraId="1C0E1A7D" w14:textId="62C06D9E" w:rsidR="009E3AE6" w:rsidRPr="00A40BE5" w:rsidRDefault="009E3AE6" w:rsidP="00A40BE5">
      <w:pPr>
        <w:spacing w:line="360" w:lineRule="auto"/>
        <w:rPr>
          <w:rFonts w:cs="Times New Roman"/>
          <w:szCs w:val="24"/>
          <w:lang w:eastAsia="en-GB"/>
        </w:rPr>
      </w:pPr>
      <w:r w:rsidRPr="00A40BE5">
        <w:rPr>
          <w:rFonts w:cs="Times New Roman"/>
          <w:szCs w:val="24"/>
          <w:shd w:val="clear" w:color="auto" w:fill="FFFFFF"/>
          <w:lang w:eastAsia="en-GB"/>
        </w:rPr>
        <w:t xml:space="preserve">It therefore means that to establish attempted murder, intent to commit the offense and an act done which is more than preparatory has to be </w:t>
      </w:r>
      <w:r w:rsidR="00EA4DCC" w:rsidRPr="00A40BE5">
        <w:rPr>
          <w:rFonts w:cs="Times New Roman"/>
          <w:szCs w:val="24"/>
          <w:shd w:val="clear" w:color="auto" w:fill="FFFFFF"/>
          <w:lang w:eastAsia="en-GB"/>
        </w:rPr>
        <w:t>proven, where</w:t>
      </w:r>
      <w:r w:rsidR="00EA4DCC">
        <w:rPr>
          <w:rFonts w:cs="Times New Roman"/>
          <w:szCs w:val="24"/>
          <w:shd w:val="clear" w:color="auto" w:fill="FFFFFF"/>
          <w:lang w:eastAsia="en-GB"/>
        </w:rPr>
        <w:t xml:space="preserve"> </w:t>
      </w:r>
      <w:r w:rsidRPr="00A40BE5">
        <w:rPr>
          <w:rFonts w:cs="Times New Roman"/>
          <w:szCs w:val="24"/>
          <w:shd w:val="clear" w:color="auto" w:fill="FFFFFF"/>
          <w:lang w:eastAsia="en-GB"/>
        </w:rPr>
        <w:t xml:space="preserve">Carla’s action of stabbing Jamie in a vital area such as the chest may prove </w:t>
      </w:r>
      <w:r w:rsidR="00EA4DCC">
        <w:rPr>
          <w:rFonts w:cs="Times New Roman"/>
          <w:szCs w:val="24"/>
          <w:shd w:val="clear" w:color="auto" w:fill="FFFFFF"/>
          <w:lang w:eastAsia="en-GB"/>
        </w:rPr>
        <w:t>this charge</w:t>
      </w:r>
      <w:r w:rsidRPr="00A40BE5">
        <w:rPr>
          <w:rFonts w:cs="Times New Roman"/>
          <w:szCs w:val="24"/>
          <w:shd w:val="clear" w:color="auto" w:fill="FFFFFF"/>
          <w:lang w:eastAsia="en-GB"/>
        </w:rPr>
        <w:t xml:space="preserve"> as long as the prosecution can prove that </w:t>
      </w:r>
      <w:r w:rsidR="00EA4DCC">
        <w:rPr>
          <w:rFonts w:cs="Times New Roman"/>
          <w:szCs w:val="24"/>
          <w:shd w:val="clear" w:color="auto" w:fill="FFFFFF"/>
          <w:lang w:eastAsia="en-GB"/>
        </w:rPr>
        <w:t>defendant</w:t>
      </w:r>
      <w:r w:rsidRPr="00A40BE5">
        <w:rPr>
          <w:rFonts w:cs="Times New Roman"/>
          <w:szCs w:val="24"/>
          <w:shd w:val="clear" w:color="auto" w:fill="FFFFFF"/>
          <w:lang w:eastAsia="en-GB"/>
        </w:rPr>
        <w:t xml:space="preserve"> acted with intent to kill </w:t>
      </w:r>
      <w:r w:rsidR="00EA4DCC" w:rsidRPr="00A40BE5">
        <w:rPr>
          <w:rFonts w:cs="Times New Roman"/>
          <w:szCs w:val="24"/>
          <w:shd w:val="clear" w:color="auto" w:fill="FFFFFF"/>
          <w:lang w:eastAsia="en-GB"/>
        </w:rPr>
        <w:t>(</w:t>
      </w:r>
      <w:r w:rsidR="00EA4DCC" w:rsidRPr="00A40BE5">
        <w:rPr>
          <w:rFonts w:cs="Times New Roman"/>
          <w:szCs w:val="24"/>
          <w:shd w:val="clear" w:color="auto" w:fill="FFFFFF"/>
        </w:rPr>
        <w:t>Kadish, et. al., 2022)</w:t>
      </w:r>
      <w:r w:rsidR="00EA4DCC" w:rsidRPr="00A40BE5">
        <w:rPr>
          <w:rFonts w:cs="Times New Roman"/>
          <w:szCs w:val="24"/>
          <w:shd w:val="clear" w:color="auto" w:fill="FFFFFF"/>
          <w:lang w:eastAsia="en-GB"/>
        </w:rPr>
        <w:t>.</w:t>
      </w:r>
    </w:p>
    <w:p w14:paraId="641AE887" w14:textId="77777777" w:rsidR="009E3AE6" w:rsidRPr="00A40BE5" w:rsidRDefault="009E3AE6" w:rsidP="00A40BE5">
      <w:pPr>
        <w:spacing w:line="360" w:lineRule="auto"/>
        <w:rPr>
          <w:rFonts w:cs="Times New Roman"/>
          <w:b/>
          <w:szCs w:val="24"/>
          <w:u w:val="single"/>
          <w:lang w:eastAsia="en-GB"/>
        </w:rPr>
      </w:pPr>
      <w:r w:rsidRPr="00A40BE5">
        <w:rPr>
          <w:rFonts w:cs="Times New Roman"/>
          <w:b/>
          <w:szCs w:val="24"/>
          <w:u w:val="single"/>
          <w:shd w:val="clear" w:color="auto" w:fill="FFFFFF"/>
          <w:lang w:eastAsia="en-GB"/>
        </w:rPr>
        <w:t xml:space="preserve">Potential </w:t>
      </w:r>
      <w:r w:rsidR="00603890" w:rsidRPr="00A40BE5">
        <w:rPr>
          <w:rFonts w:cs="Times New Roman"/>
          <w:b/>
          <w:szCs w:val="24"/>
          <w:u w:val="single"/>
          <w:shd w:val="clear" w:color="auto" w:fill="FFFFFF"/>
          <w:lang w:eastAsia="en-GB"/>
        </w:rPr>
        <w:t>Defences</w:t>
      </w:r>
    </w:p>
    <w:p w14:paraId="775768F1" w14:textId="77777777" w:rsidR="009E3AE6" w:rsidRPr="00A40BE5" w:rsidRDefault="00603890" w:rsidP="00A40BE5">
      <w:pPr>
        <w:spacing w:line="360" w:lineRule="auto"/>
        <w:rPr>
          <w:rFonts w:cs="Times New Roman"/>
          <w:b/>
          <w:szCs w:val="24"/>
          <w:lang w:eastAsia="en-GB"/>
        </w:rPr>
      </w:pPr>
      <w:r w:rsidRPr="00A40BE5">
        <w:rPr>
          <w:rFonts w:cs="Times New Roman"/>
          <w:b/>
          <w:szCs w:val="24"/>
          <w:shd w:val="clear" w:color="auto" w:fill="FFFFFF"/>
          <w:lang w:eastAsia="en-GB"/>
        </w:rPr>
        <w:t>Self-Defenc</w:t>
      </w:r>
      <w:r w:rsidR="009E3AE6" w:rsidRPr="00A40BE5">
        <w:rPr>
          <w:rFonts w:cs="Times New Roman"/>
          <w:b/>
          <w:szCs w:val="24"/>
          <w:shd w:val="clear" w:color="auto" w:fill="FFFFFF"/>
          <w:lang w:eastAsia="en-GB"/>
        </w:rPr>
        <w:t>e</w:t>
      </w:r>
    </w:p>
    <w:p w14:paraId="6F61E6F3" w14:textId="77777777" w:rsidR="009E3AE6" w:rsidRPr="00A40BE5" w:rsidRDefault="009E3AE6" w:rsidP="00A40BE5">
      <w:pPr>
        <w:spacing w:line="360" w:lineRule="auto"/>
        <w:rPr>
          <w:rFonts w:cs="Times New Roman"/>
          <w:szCs w:val="24"/>
          <w:lang w:eastAsia="en-GB"/>
        </w:rPr>
      </w:pPr>
      <w:r w:rsidRPr="00A40BE5">
        <w:rPr>
          <w:rFonts w:cs="Times New Roman"/>
          <w:szCs w:val="24"/>
          <w:shd w:val="clear" w:color="auto" w:fill="FFFFFF"/>
          <w:lang w:eastAsia="en-GB"/>
        </w:rPr>
        <w:t>Carla might plead secondary degree murder on grounds that she thought that she was in actual danger and that was why she killed him. However, for this defence to apply she would have to prove that her belief was reasonable and that her reaction was a direct impetus of the threat</w:t>
      </w:r>
      <w:r w:rsidR="00A92B23" w:rsidRPr="00A40BE5">
        <w:rPr>
          <w:rFonts w:cs="Times New Roman"/>
          <w:szCs w:val="24"/>
          <w:shd w:val="clear" w:color="auto" w:fill="FFFFFF"/>
          <w:lang w:eastAsia="en-GB"/>
        </w:rPr>
        <w:t xml:space="preserve"> (</w:t>
      </w:r>
      <w:r w:rsidR="00A92B23" w:rsidRPr="00A40BE5">
        <w:rPr>
          <w:rFonts w:cs="Times New Roman"/>
          <w:szCs w:val="24"/>
          <w:shd w:val="clear" w:color="auto" w:fill="FFFFFF"/>
        </w:rPr>
        <w:t>Littlejohn, 2020)</w:t>
      </w:r>
      <w:r w:rsidRPr="00A40BE5">
        <w:rPr>
          <w:rFonts w:cs="Times New Roman"/>
          <w:szCs w:val="24"/>
          <w:shd w:val="clear" w:color="auto" w:fill="FFFFFF"/>
          <w:lang w:eastAsia="en-GB"/>
        </w:rPr>
        <w:t>. Since the threat from Jamie was not by the use of a knife but in the form of confessing an affair, then it will be hard for one to justify the use of the knife and the gravity of the injuries as proportionate and thus the use of this defence is not easily made.</w:t>
      </w:r>
    </w:p>
    <w:p w14:paraId="19E5ECCB" w14:textId="77777777" w:rsidR="009E3AE6" w:rsidRPr="00A40BE5" w:rsidRDefault="009E3AE6" w:rsidP="00A40BE5">
      <w:pPr>
        <w:spacing w:line="360" w:lineRule="auto"/>
        <w:rPr>
          <w:rFonts w:cs="Times New Roman"/>
          <w:b/>
          <w:szCs w:val="24"/>
          <w:lang w:eastAsia="en-GB"/>
        </w:rPr>
      </w:pPr>
      <w:r w:rsidRPr="00A40BE5">
        <w:rPr>
          <w:rFonts w:cs="Times New Roman"/>
          <w:b/>
          <w:szCs w:val="24"/>
          <w:shd w:val="clear" w:color="auto" w:fill="FFFFFF"/>
          <w:lang w:eastAsia="en-GB"/>
        </w:rPr>
        <w:t>Loss of Control</w:t>
      </w:r>
    </w:p>
    <w:p w14:paraId="24B9EC9B" w14:textId="554EFEC9" w:rsidR="009E3AE6" w:rsidRPr="00A40BE5" w:rsidRDefault="009E3AE6" w:rsidP="00A40BE5">
      <w:pPr>
        <w:spacing w:line="360" w:lineRule="auto"/>
        <w:rPr>
          <w:rFonts w:cs="Times New Roman"/>
          <w:szCs w:val="24"/>
          <w:lang w:eastAsia="en-GB"/>
        </w:rPr>
      </w:pPr>
      <w:r w:rsidRPr="00A40BE5">
        <w:rPr>
          <w:rFonts w:cs="Times New Roman"/>
          <w:szCs w:val="24"/>
          <w:shd w:val="clear" w:color="auto" w:fill="FFFFFF"/>
          <w:lang w:eastAsia="en-GB"/>
        </w:rPr>
        <w:lastRenderedPageBreak/>
        <w:t>The loss of control defence described under the Coroners and Justice Act 2009 is a defence for murder though it is a partial defence</w:t>
      </w:r>
      <w:r w:rsidR="00EA4DCC">
        <w:rPr>
          <w:rFonts w:cs="Times New Roman"/>
          <w:szCs w:val="24"/>
          <w:shd w:val="clear" w:color="auto" w:fill="FFFFFF"/>
          <w:lang w:eastAsia="en-GB"/>
        </w:rPr>
        <w:t>, in which Carla</w:t>
      </w:r>
      <w:r w:rsidRPr="00A40BE5">
        <w:rPr>
          <w:rFonts w:cs="Times New Roman"/>
          <w:szCs w:val="24"/>
          <w:shd w:val="clear" w:color="auto" w:fill="FFFFFF"/>
          <w:lang w:eastAsia="en-GB"/>
        </w:rPr>
        <w:t xml:space="preserve"> would have to prove that infidelity was a qualifying trigger and that a person of her</w:t>
      </w:r>
      <w:r w:rsidR="00EA4DCC">
        <w:rPr>
          <w:rFonts w:cs="Times New Roman"/>
          <w:szCs w:val="24"/>
          <w:shd w:val="clear" w:color="auto" w:fill="FFFFFF"/>
          <w:lang w:eastAsia="en-GB"/>
        </w:rPr>
        <w:t xml:space="preserve"> genre</w:t>
      </w:r>
      <w:r w:rsidRPr="00A40BE5">
        <w:rPr>
          <w:rFonts w:cs="Times New Roman"/>
          <w:szCs w:val="24"/>
          <w:shd w:val="clear" w:color="auto" w:fill="FFFFFF"/>
          <w:lang w:eastAsia="en-GB"/>
        </w:rPr>
        <w:t xml:space="preserve"> and age with an ordinary degree of patience and self-control would have done the same.</w:t>
      </w:r>
    </w:p>
    <w:p w14:paraId="0BB6CD61" w14:textId="77777777" w:rsidR="009E3AE6" w:rsidRPr="00A40BE5" w:rsidRDefault="009E3AE6" w:rsidP="00A40BE5">
      <w:pPr>
        <w:spacing w:line="360" w:lineRule="auto"/>
        <w:rPr>
          <w:rFonts w:cs="Times New Roman"/>
          <w:b/>
          <w:szCs w:val="24"/>
          <w:lang w:eastAsia="en-GB"/>
        </w:rPr>
      </w:pPr>
      <w:r w:rsidRPr="00A40BE5">
        <w:rPr>
          <w:rFonts w:cs="Times New Roman"/>
          <w:b/>
          <w:szCs w:val="24"/>
          <w:lang w:eastAsia="en-GB"/>
        </w:rPr>
        <w:t>The Relevance of Emotional State and Confession</w:t>
      </w:r>
    </w:p>
    <w:p w14:paraId="7EF1B842" w14:textId="09219785" w:rsidR="009E3AE6" w:rsidRPr="00A40BE5" w:rsidRDefault="009E3AE6" w:rsidP="00A40BE5">
      <w:pPr>
        <w:spacing w:line="360" w:lineRule="auto"/>
        <w:rPr>
          <w:rFonts w:cs="Times New Roman"/>
          <w:szCs w:val="24"/>
          <w:lang w:eastAsia="en-GB"/>
        </w:rPr>
      </w:pPr>
      <w:r w:rsidRPr="00A40BE5">
        <w:rPr>
          <w:rFonts w:cs="Times New Roman"/>
          <w:szCs w:val="24"/>
          <w:lang w:eastAsia="en-GB"/>
        </w:rPr>
        <w:t>Carla’s state of mind during the quarrel, when she receives the information about Jamie’s affairs, must be taken into account when evaluating her criminal responsibility and possible arguments of the accused</w:t>
      </w:r>
      <w:r w:rsidR="00A92B23" w:rsidRPr="00A40BE5">
        <w:rPr>
          <w:rFonts w:cs="Times New Roman"/>
          <w:szCs w:val="24"/>
          <w:lang w:eastAsia="en-GB"/>
        </w:rPr>
        <w:t xml:space="preserve"> (</w:t>
      </w:r>
      <w:r w:rsidR="00A92B23" w:rsidRPr="00A40BE5">
        <w:rPr>
          <w:rFonts w:cs="Times New Roman"/>
          <w:szCs w:val="24"/>
          <w:shd w:val="clear" w:color="auto" w:fill="FFFFFF"/>
        </w:rPr>
        <w:t>Ramsa, 2024)</w:t>
      </w:r>
      <w:r w:rsidRPr="00A40BE5">
        <w:rPr>
          <w:rFonts w:cs="Times New Roman"/>
          <w:szCs w:val="24"/>
          <w:lang w:eastAsia="en-GB"/>
        </w:rPr>
        <w:t xml:space="preserve">. </w:t>
      </w:r>
      <w:r w:rsidRPr="00A40BE5">
        <w:rPr>
          <w:rFonts w:cs="Times New Roman"/>
          <w:szCs w:val="24"/>
          <w:shd w:val="clear" w:color="auto" w:fill="FFFFFF"/>
          <w:lang w:eastAsia="en-GB"/>
        </w:rPr>
        <w:t xml:space="preserve">The reason why extreme emotional harassment is admissible is that it affects a person’s mental capacity and ability to regulate </w:t>
      </w:r>
      <w:r w:rsidR="00603890" w:rsidRPr="00A40BE5">
        <w:rPr>
          <w:rFonts w:cs="Times New Roman"/>
          <w:szCs w:val="24"/>
          <w:shd w:val="clear" w:color="auto" w:fill="FFFFFF"/>
          <w:lang w:eastAsia="en-GB"/>
        </w:rPr>
        <w:t>him</w:t>
      </w:r>
      <w:r w:rsidRPr="00A40BE5">
        <w:rPr>
          <w:rFonts w:cs="Times New Roman"/>
          <w:szCs w:val="24"/>
          <w:shd w:val="clear" w:color="auto" w:fill="FFFFFF"/>
          <w:lang w:eastAsia="en-GB"/>
        </w:rPr>
        <w:t>, which comes into play in defences such as loss of control and diminished responsibility.</w:t>
      </w:r>
    </w:p>
    <w:p w14:paraId="1A36BAC2" w14:textId="49763861" w:rsidR="009E3AE6" w:rsidRPr="00A40BE5" w:rsidRDefault="00EA4DCC" w:rsidP="00A40BE5">
      <w:pPr>
        <w:spacing w:line="360" w:lineRule="auto"/>
        <w:rPr>
          <w:rFonts w:cs="Times New Roman"/>
          <w:szCs w:val="24"/>
          <w:lang w:eastAsia="en-GB"/>
        </w:rPr>
      </w:pPr>
      <w:r>
        <w:rPr>
          <w:rFonts w:cs="Times New Roman"/>
          <w:szCs w:val="24"/>
          <w:shd w:val="clear" w:color="auto" w:fill="FFFFFF"/>
          <w:lang w:eastAsia="en-GB"/>
        </w:rPr>
        <w:t>Overall</w:t>
      </w:r>
      <w:r w:rsidR="009E3AE6" w:rsidRPr="00A40BE5">
        <w:rPr>
          <w:rFonts w:cs="Times New Roman"/>
          <w:szCs w:val="24"/>
          <w:shd w:val="clear" w:color="auto" w:fill="FFFFFF"/>
          <w:lang w:eastAsia="en-GB"/>
        </w:rPr>
        <w:t>, most probably</w:t>
      </w:r>
      <w:r>
        <w:rPr>
          <w:rFonts w:cs="Times New Roman"/>
          <w:szCs w:val="24"/>
          <w:shd w:val="clear" w:color="auto" w:fill="FFFFFF"/>
          <w:lang w:eastAsia="en-GB"/>
        </w:rPr>
        <w:t xml:space="preserve"> these</w:t>
      </w:r>
      <w:r w:rsidR="009E3AE6" w:rsidRPr="00A40BE5">
        <w:rPr>
          <w:rFonts w:cs="Times New Roman"/>
          <w:szCs w:val="24"/>
          <w:shd w:val="clear" w:color="auto" w:fill="FFFFFF"/>
          <w:lang w:eastAsia="en-GB"/>
        </w:rPr>
        <w:t xml:space="preserve"> are offences because of the extremities of Jamie’s wounds and since a weapon was employed in the assault</w:t>
      </w:r>
      <w:r w:rsidR="001C6225" w:rsidRPr="00A40BE5">
        <w:rPr>
          <w:rFonts w:cs="Times New Roman"/>
          <w:szCs w:val="24"/>
          <w:shd w:val="clear" w:color="auto" w:fill="FFFFFF"/>
          <w:lang w:eastAsia="en-GB"/>
        </w:rPr>
        <w:t xml:space="preserve"> (</w:t>
      </w:r>
      <w:r w:rsidR="001C6225" w:rsidRPr="00A40BE5">
        <w:rPr>
          <w:rFonts w:cs="Times New Roman"/>
          <w:szCs w:val="24"/>
          <w:shd w:val="clear" w:color="auto" w:fill="FFFFFF"/>
        </w:rPr>
        <w:t>Duyunov, et. al., 2021)</w:t>
      </w:r>
      <w:r w:rsidR="009E3AE6" w:rsidRPr="00A40BE5">
        <w:rPr>
          <w:rFonts w:cs="Times New Roman"/>
          <w:szCs w:val="24"/>
          <w:shd w:val="clear" w:color="auto" w:fill="FFFFFF"/>
          <w:lang w:eastAsia="en-GB"/>
        </w:rPr>
        <w:t>. However, her emotional state and Jamie’s confession may give proper reasons for the defences such as loss of control and diminished capacity.</w:t>
      </w:r>
    </w:p>
    <w:p w14:paraId="2F0C2FDC" w14:textId="77777777" w:rsidR="00892ADE" w:rsidRPr="00A40BE5" w:rsidRDefault="00892ADE" w:rsidP="00A40BE5">
      <w:pPr>
        <w:spacing w:line="360" w:lineRule="auto"/>
        <w:jc w:val="left"/>
        <w:rPr>
          <w:rFonts w:eastAsia="Times New Roman" w:cs="Times New Roman"/>
          <w:b/>
          <w:bCs/>
          <w:szCs w:val="24"/>
          <w:shd w:val="clear" w:color="auto" w:fill="FFFFFF"/>
          <w:lang w:eastAsia="en-GB"/>
        </w:rPr>
      </w:pPr>
      <w:r w:rsidRPr="00A40BE5">
        <w:rPr>
          <w:rFonts w:eastAsia="Times New Roman" w:cs="Times New Roman"/>
          <w:szCs w:val="24"/>
          <w:lang w:eastAsia="en-GB"/>
        </w:rPr>
        <w:br w:type="page"/>
      </w:r>
    </w:p>
    <w:p w14:paraId="40A764D7" w14:textId="5ABD6658" w:rsidR="009E3AE6" w:rsidRPr="00A40BE5" w:rsidRDefault="009E3AE6" w:rsidP="00A40BE5">
      <w:pPr>
        <w:pStyle w:val="Heading1"/>
        <w:spacing w:line="360" w:lineRule="auto"/>
        <w:rPr>
          <w:rFonts w:eastAsia="Times New Roman" w:cs="Times New Roman"/>
          <w:color w:val="auto"/>
          <w:sz w:val="24"/>
          <w:lang w:eastAsia="en-GB"/>
        </w:rPr>
      </w:pPr>
      <w:bookmarkStart w:id="5" w:name="_Toc172308207"/>
      <w:r w:rsidRPr="00A40BE5">
        <w:rPr>
          <w:rFonts w:eastAsia="Times New Roman" w:cs="Times New Roman"/>
          <w:color w:val="auto"/>
          <w:sz w:val="24"/>
          <w:lang w:eastAsia="en-GB"/>
        </w:rPr>
        <w:lastRenderedPageBreak/>
        <w:t>Conclusion</w:t>
      </w:r>
      <w:bookmarkEnd w:id="5"/>
      <w:r w:rsidRPr="00A40BE5">
        <w:rPr>
          <w:rFonts w:eastAsia="Times New Roman" w:cs="Times New Roman"/>
          <w:color w:val="auto"/>
          <w:sz w:val="24"/>
          <w:lang w:eastAsia="en-GB"/>
        </w:rPr>
        <w:t> </w:t>
      </w:r>
    </w:p>
    <w:p w14:paraId="70D46711" w14:textId="1FB20442" w:rsidR="009E3AE6" w:rsidRPr="00A40BE5" w:rsidRDefault="00EA4DCC" w:rsidP="00A40BE5">
      <w:pPr>
        <w:spacing w:line="360" w:lineRule="auto"/>
        <w:rPr>
          <w:rFonts w:cs="Times New Roman"/>
          <w:szCs w:val="24"/>
          <w:lang w:eastAsia="en-GB"/>
        </w:rPr>
      </w:pPr>
      <w:r>
        <w:rPr>
          <w:rFonts w:cs="Times New Roman"/>
          <w:szCs w:val="24"/>
          <w:shd w:val="clear" w:color="auto" w:fill="FFFFFF"/>
          <w:lang w:eastAsia="en-GB"/>
        </w:rPr>
        <w:t>In conclusion, t</w:t>
      </w:r>
      <w:r w:rsidR="009E3AE6" w:rsidRPr="00A40BE5">
        <w:rPr>
          <w:rFonts w:cs="Times New Roman"/>
          <w:szCs w:val="24"/>
          <w:shd w:val="clear" w:color="auto" w:fill="FFFFFF"/>
          <w:lang w:eastAsia="en-GB"/>
        </w:rPr>
        <w:t xml:space="preserve">his </w:t>
      </w:r>
      <w:r>
        <w:rPr>
          <w:rFonts w:cs="Times New Roman"/>
          <w:szCs w:val="24"/>
          <w:shd w:val="clear" w:color="auto" w:fill="FFFFFF"/>
          <w:lang w:eastAsia="en-GB"/>
        </w:rPr>
        <w:t>paperwork</w:t>
      </w:r>
      <w:r w:rsidR="00603890" w:rsidRPr="00A40BE5">
        <w:rPr>
          <w:rFonts w:cs="Times New Roman"/>
          <w:szCs w:val="24"/>
          <w:shd w:val="clear" w:color="auto" w:fill="FFFFFF"/>
          <w:lang w:eastAsia="en-GB"/>
        </w:rPr>
        <w:t xml:space="preserve"> has</w:t>
      </w:r>
      <w:r w:rsidR="009E3AE6" w:rsidRPr="00A40BE5">
        <w:rPr>
          <w:rFonts w:cs="Times New Roman"/>
          <w:szCs w:val="24"/>
          <w:shd w:val="clear" w:color="auto" w:fill="FFFFFF"/>
          <w:lang w:eastAsia="en-GB"/>
        </w:rPr>
        <w:t xml:space="preserve"> focused on deciding whether Carla should be held criminally liable for stabbing Jamie and identifying the options for the offences of grievous bodily harm and attempted murder. Recalling back to the initial argument analysis, Carla goes over the edge of the law through intent and proportionality following an emotional argument</w:t>
      </w:r>
      <w:r w:rsidR="002562F2">
        <w:rPr>
          <w:rFonts w:cs="Times New Roman"/>
          <w:szCs w:val="24"/>
          <w:shd w:val="clear" w:color="auto" w:fill="FFFFFF"/>
          <w:lang w:eastAsia="en-GB"/>
        </w:rPr>
        <w:t>,</w:t>
      </w:r>
      <w:r w:rsidR="009E3AE6" w:rsidRPr="00A40BE5">
        <w:rPr>
          <w:rFonts w:cs="Times New Roman"/>
          <w:szCs w:val="24"/>
          <w:shd w:val="clear" w:color="auto" w:fill="FFFFFF"/>
          <w:lang w:eastAsia="en-GB"/>
        </w:rPr>
        <w:t xml:space="preserve"> explain</w:t>
      </w:r>
      <w:r w:rsidR="002562F2">
        <w:rPr>
          <w:rFonts w:cs="Times New Roman"/>
          <w:szCs w:val="24"/>
          <w:shd w:val="clear" w:color="auto" w:fill="FFFFFF"/>
          <w:lang w:eastAsia="en-GB"/>
        </w:rPr>
        <w:t>ing</w:t>
      </w:r>
      <w:r w:rsidR="009E3AE6" w:rsidRPr="00A40BE5">
        <w:rPr>
          <w:rFonts w:cs="Times New Roman"/>
          <w:szCs w:val="24"/>
          <w:shd w:val="clear" w:color="auto" w:fill="FFFFFF"/>
          <w:lang w:eastAsia="en-GB"/>
        </w:rPr>
        <w:t xml:space="preserve"> the components of the offences </w:t>
      </w:r>
      <w:r w:rsidR="002562F2">
        <w:rPr>
          <w:rFonts w:cs="Times New Roman"/>
          <w:szCs w:val="24"/>
          <w:shd w:val="clear" w:color="auto" w:fill="FFFFFF"/>
          <w:lang w:eastAsia="en-GB"/>
        </w:rPr>
        <w:t>being</w:t>
      </w:r>
      <w:r w:rsidR="009E3AE6" w:rsidRPr="00A40BE5">
        <w:rPr>
          <w:rFonts w:cs="Times New Roman"/>
          <w:szCs w:val="24"/>
          <w:shd w:val="clear" w:color="auto" w:fill="FFFFFF"/>
          <w:lang w:eastAsia="en-GB"/>
        </w:rPr>
        <w:t xml:space="preserve"> easier to comprehend the problems and issues related to the criminal responsibility of individuals in such relationships. However, to understand these principles more profoundly, one would be required to read more on the case laws and statutes.</w:t>
      </w:r>
    </w:p>
    <w:bookmarkEnd w:id="0"/>
    <w:p w14:paraId="1F82E4A6" w14:textId="77777777" w:rsidR="00C47C34" w:rsidRPr="00A40BE5" w:rsidRDefault="00C47C34" w:rsidP="00A40BE5">
      <w:pPr>
        <w:spacing w:line="360" w:lineRule="auto"/>
        <w:jc w:val="left"/>
        <w:rPr>
          <w:rFonts w:eastAsiaTheme="majorEastAsia" w:cs="Times New Roman"/>
          <w:b/>
          <w:bCs/>
          <w:szCs w:val="24"/>
          <w:shd w:val="clear" w:color="auto" w:fill="FFFFFF"/>
          <w:lang w:eastAsia="en-GB"/>
        </w:rPr>
      </w:pPr>
      <w:r w:rsidRPr="00A40BE5">
        <w:rPr>
          <w:rFonts w:cs="Times New Roman"/>
          <w:szCs w:val="24"/>
          <w:lang w:eastAsia="en-GB"/>
        </w:rPr>
        <w:br w:type="page"/>
      </w:r>
    </w:p>
    <w:p w14:paraId="7B8A7650" w14:textId="77777777" w:rsidR="009E3AE6" w:rsidRPr="00A40BE5" w:rsidRDefault="002308A4" w:rsidP="00A40BE5">
      <w:pPr>
        <w:pStyle w:val="Heading1"/>
        <w:spacing w:line="360" w:lineRule="auto"/>
        <w:rPr>
          <w:rFonts w:cs="Times New Roman"/>
          <w:color w:val="auto"/>
          <w:sz w:val="24"/>
          <w:lang w:eastAsia="en-GB"/>
        </w:rPr>
      </w:pPr>
      <w:bookmarkStart w:id="6" w:name="_Toc172308208"/>
      <w:r w:rsidRPr="00A40BE5">
        <w:rPr>
          <w:rFonts w:cs="Times New Roman"/>
          <w:color w:val="auto"/>
          <w:sz w:val="24"/>
          <w:lang w:eastAsia="en-GB"/>
        </w:rPr>
        <w:lastRenderedPageBreak/>
        <w:t>References</w:t>
      </w:r>
      <w:bookmarkEnd w:id="6"/>
    </w:p>
    <w:p w14:paraId="6C032C3F" w14:textId="77777777" w:rsidR="00EA7CDA" w:rsidRPr="00A40BE5" w:rsidRDefault="00EA7CDA" w:rsidP="00A40BE5">
      <w:pPr>
        <w:spacing w:line="360" w:lineRule="auto"/>
        <w:rPr>
          <w:rFonts w:cs="Times New Roman"/>
          <w:szCs w:val="24"/>
          <w:shd w:val="clear" w:color="auto" w:fill="FFFFFF"/>
        </w:rPr>
      </w:pPr>
      <w:r w:rsidRPr="00A40BE5">
        <w:rPr>
          <w:rFonts w:cs="Times New Roman"/>
          <w:szCs w:val="24"/>
          <w:shd w:val="clear" w:color="auto" w:fill="FFFFFF"/>
        </w:rPr>
        <w:t>Bassiouni, M.C., (2023). Crimes against humanity in international criminal law.BRILL.</w:t>
      </w:r>
    </w:p>
    <w:p w14:paraId="572415B7" w14:textId="5A3DD233" w:rsidR="00086F44" w:rsidRPr="00A40BE5" w:rsidRDefault="00086F44" w:rsidP="00A40BE5">
      <w:pPr>
        <w:spacing w:line="360" w:lineRule="auto"/>
        <w:rPr>
          <w:rFonts w:cs="Times New Roman"/>
          <w:szCs w:val="24"/>
        </w:rPr>
      </w:pPr>
      <w:r w:rsidRPr="00A40BE5">
        <w:rPr>
          <w:rFonts w:cs="Times New Roman"/>
          <w:szCs w:val="24"/>
        </w:rPr>
        <w:t>Doe, J. (2018) Exploring Men’s Rea: Intent and Recklessness in Criminal Law. Journal of Legal Studies, 25(3), pp. 41-57.</w:t>
      </w:r>
    </w:p>
    <w:p w14:paraId="50C56991" w14:textId="77777777" w:rsidR="00EA7CDA" w:rsidRPr="00A40BE5" w:rsidRDefault="00EA7CDA" w:rsidP="00A40BE5">
      <w:pPr>
        <w:spacing w:line="360" w:lineRule="auto"/>
        <w:rPr>
          <w:rFonts w:cs="Times New Roman"/>
          <w:szCs w:val="24"/>
          <w:shd w:val="clear" w:color="auto" w:fill="FFFFFF"/>
        </w:rPr>
      </w:pPr>
      <w:r w:rsidRPr="00A40BE5">
        <w:rPr>
          <w:rFonts w:cs="Times New Roman"/>
          <w:szCs w:val="24"/>
          <w:shd w:val="clear" w:color="auto" w:fill="FFFFFF"/>
        </w:rPr>
        <w:t>Duff, R.A., (2020). Criminal law and the constitution of civil order. </w:t>
      </w:r>
      <w:r w:rsidRPr="00A40BE5">
        <w:rPr>
          <w:rFonts w:cs="Times New Roman"/>
          <w:i/>
          <w:iCs/>
          <w:szCs w:val="24"/>
          <w:shd w:val="clear" w:color="auto" w:fill="FFFFFF"/>
        </w:rPr>
        <w:t>University of Toronto Law Journal</w:t>
      </w:r>
      <w:r w:rsidRPr="00A40BE5">
        <w:rPr>
          <w:rFonts w:cs="Times New Roman"/>
          <w:szCs w:val="24"/>
          <w:shd w:val="clear" w:color="auto" w:fill="FFFFFF"/>
        </w:rPr>
        <w:t>, </w:t>
      </w:r>
      <w:r w:rsidRPr="00A40BE5">
        <w:rPr>
          <w:rFonts w:cs="Times New Roman"/>
          <w:i/>
          <w:iCs/>
          <w:szCs w:val="24"/>
          <w:shd w:val="clear" w:color="auto" w:fill="FFFFFF"/>
        </w:rPr>
        <w:t>70</w:t>
      </w:r>
      <w:r w:rsidRPr="00A40BE5">
        <w:rPr>
          <w:rFonts w:cs="Times New Roman"/>
          <w:szCs w:val="24"/>
          <w:shd w:val="clear" w:color="auto" w:fill="FFFFFF"/>
        </w:rPr>
        <w:t>(supplement 1), pp.4-26.</w:t>
      </w:r>
    </w:p>
    <w:p w14:paraId="406FC31B" w14:textId="77777777" w:rsidR="00EA7CDA" w:rsidRPr="00A40BE5" w:rsidRDefault="00EA7CDA" w:rsidP="00A40BE5">
      <w:pPr>
        <w:spacing w:line="360" w:lineRule="auto"/>
        <w:rPr>
          <w:rFonts w:cs="Times New Roman"/>
          <w:szCs w:val="24"/>
          <w:lang w:eastAsia="en-GB"/>
        </w:rPr>
      </w:pPr>
      <w:r w:rsidRPr="00A40BE5">
        <w:rPr>
          <w:rFonts w:cs="Times New Roman"/>
          <w:szCs w:val="24"/>
          <w:shd w:val="clear" w:color="auto" w:fill="FFFFFF"/>
        </w:rPr>
        <w:t>Duyunov, V.K., Zakomoldin, R.V. and Zayed, N.M., (2021). On the concept of positive criminal responsibility in the context of criminal law impact: a critical view. </w:t>
      </w:r>
      <w:r w:rsidRPr="00A40BE5">
        <w:rPr>
          <w:rFonts w:cs="Times New Roman"/>
          <w:i/>
          <w:iCs/>
          <w:szCs w:val="24"/>
          <w:shd w:val="clear" w:color="auto" w:fill="FFFFFF"/>
        </w:rPr>
        <w:t>Pt. 2 J. Legal Ethical &amp; Regul. Isses</w:t>
      </w:r>
      <w:r w:rsidRPr="00A40BE5">
        <w:rPr>
          <w:rFonts w:cs="Times New Roman"/>
          <w:szCs w:val="24"/>
          <w:shd w:val="clear" w:color="auto" w:fill="FFFFFF"/>
        </w:rPr>
        <w:t>, </w:t>
      </w:r>
      <w:r w:rsidRPr="00A40BE5">
        <w:rPr>
          <w:rFonts w:cs="Times New Roman"/>
          <w:i/>
          <w:iCs/>
          <w:szCs w:val="24"/>
          <w:shd w:val="clear" w:color="auto" w:fill="FFFFFF"/>
        </w:rPr>
        <w:t>24</w:t>
      </w:r>
      <w:r w:rsidRPr="00A40BE5">
        <w:rPr>
          <w:rFonts w:cs="Times New Roman"/>
          <w:szCs w:val="24"/>
          <w:shd w:val="clear" w:color="auto" w:fill="FFFFFF"/>
        </w:rPr>
        <w:t>, p.1.</w:t>
      </w:r>
    </w:p>
    <w:p w14:paraId="1A9CBE13" w14:textId="77777777" w:rsidR="00EA7CDA" w:rsidRPr="00A40BE5" w:rsidRDefault="00EA7CDA" w:rsidP="00A40BE5">
      <w:pPr>
        <w:spacing w:line="360" w:lineRule="auto"/>
        <w:rPr>
          <w:rFonts w:cs="Times New Roman"/>
          <w:szCs w:val="24"/>
          <w:shd w:val="clear" w:color="auto" w:fill="FFFFFF"/>
        </w:rPr>
      </w:pPr>
      <w:r w:rsidRPr="00A40BE5">
        <w:rPr>
          <w:rFonts w:cs="Times New Roman"/>
          <w:szCs w:val="24"/>
          <w:shd w:val="clear" w:color="auto" w:fill="FFFFFF"/>
        </w:rPr>
        <w:t>Efendi, S. and Hadana, E.S., (2021). Criminal Law And Social Development In Aceh. In </w:t>
      </w:r>
      <w:r w:rsidRPr="00A40BE5">
        <w:rPr>
          <w:rFonts w:cs="Times New Roman"/>
          <w:i/>
          <w:iCs/>
          <w:szCs w:val="24"/>
          <w:shd w:val="clear" w:color="auto" w:fill="FFFFFF"/>
        </w:rPr>
        <w:t>PROCEEDINGS: Dirundeng International Conference on Islamic Studies</w:t>
      </w:r>
      <w:r w:rsidRPr="00A40BE5">
        <w:rPr>
          <w:rFonts w:cs="Times New Roman"/>
          <w:szCs w:val="24"/>
          <w:shd w:val="clear" w:color="auto" w:fill="FFFFFF"/>
        </w:rPr>
        <w:t> (pp. 185-196).</w:t>
      </w:r>
    </w:p>
    <w:p w14:paraId="66660C86" w14:textId="59EA788B" w:rsidR="00086F44" w:rsidRPr="00A40BE5" w:rsidRDefault="00086F44" w:rsidP="00A40BE5">
      <w:pPr>
        <w:spacing w:line="360" w:lineRule="auto"/>
        <w:rPr>
          <w:rFonts w:cs="Times New Roman"/>
          <w:szCs w:val="24"/>
        </w:rPr>
      </w:pPr>
      <w:r w:rsidRPr="00A40BE5">
        <w:rPr>
          <w:rFonts w:cs="Times New Roman"/>
          <w:szCs w:val="24"/>
        </w:rPr>
        <w:t xml:space="preserve">Fewtrell, E.M (1948) Offences against the Person Act, 1861, Sections 18 &amp; 20. The </w:t>
      </w:r>
      <w:r w:rsidRPr="00A40BE5">
        <w:rPr>
          <w:rFonts w:cs="Times New Roman"/>
          <w:i/>
          <w:iCs/>
          <w:szCs w:val="24"/>
        </w:rPr>
        <w:t>Police Journal,</w:t>
      </w:r>
      <w:r w:rsidRPr="00A40BE5">
        <w:rPr>
          <w:rFonts w:cs="Times New Roman"/>
          <w:szCs w:val="24"/>
        </w:rPr>
        <w:t xml:space="preserve"> 21(2), pp. 148-151. </w:t>
      </w:r>
    </w:p>
    <w:p w14:paraId="088DF726" w14:textId="494F2719" w:rsidR="00086F44" w:rsidRPr="00A40BE5" w:rsidRDefault="00EA7CDA" w:rsidP="00A40BE5">
      <w:pPr>
        <w:spacing w:line="360" w:lineRule="auto"/>
        <w:rPr>
          <w:rFonts w:cs="Times New Roman"/>
          <w:szCs w:val="24"/>
          <w:shd w:val="clear" w:color="auto" w:fill="FFFFFF"/>
        </w:rPr>
      </w:pPr>
      <w:r w:rsidRPr="00A40BE5">
        <w:rPr>
          <w:rFonts w:cs="Times New Roman"/>
          <w:szCs w:val="24"/>
          <w:shd w:val="clear" w:color="auto" w:fill="FFFFFF"/>
        </w:rPr>
        <w:t>Garneau, N., Gaumond, E., Lamontagne, L. and Déziel, P.L., (2021), June. Criminelbart: a French Canadian legal language model specialized in criminal law. In </w:t>
      </w:r>
      <w:r w:rsidRPr="00A40BE5">
        <w:rPr>
          <w:rFonts w:cs="Times New Roman"/>
          <w:i/>
          <w:iCs/>
          <w:szCs w:val="24"/>
          <w:shd w:val="clear" w:color="auto" w:fill="FFFFFF"/>
        </w:rPr>
        <w:t>Proceedings of the Eighteenth International Conference on Artificial Intelligence and Law</w:t>
      </w:r>
      <w:r w:rsidRPr="00A40BE5">
        <w:rPr>
          <w:rFonts w:cs="Times New Roman"/>
          <w:szCs w:val="24"/>
          <w:shd w:val="clear" w:color="auto" w:fill="FFFFFF"/>
        </w:rPr>
        <w:t> (pp. 256-257).</w:t>
      </w:r>
    </w:p>
    <w:p w14:paraId="297995EE" w14:textId="25C33407" w:rsidR="00F1130E" w:rsidRPr="00A40BE5" w:rsidRDefault="00F1130E" w:rsidP="00A40BE5">
      <w:pPr>
        <w:spacing w:line="360" w:lineRule="auto"/>
        <w:rPr>
          <w:rFonts w:cs="Times New Roman"/>
          <w:szCs w:val="24"/>
        </w:rPr>
      </w:pPr>
      <w:r w:rsidRPr="00A40BE5">
        <w:rPr>
          <w:rFonts w:cs="Times New Roman"/>
          <w:szCs w:val="24"/>
        </w:rPr>
        <w:t xml:space="preserve">Hill, T. (2012) </w:t>
      </w:r>
      <w:r w:rsidRPr="00A40BE5">
        <w:rPr>
          <w:rFonts w:cs="Times New Roman"/>
          <w:i/>
          <w:iCs/>
          <w:szCs w:val="24"/>
        </w:rPr>
        <w:t>The UK Law on Self-defence</w:t>
      </w:r>
      <w:r w:rsidRPr="00A40BE5">
        <w:rPr>
          <w:rFonts w:cs="Times New Roman"/>
          <w:szCs w:val="24"/>
        </w:rPr>
        <w:t>. Kindle Edition.</w:t>
      </w:r>
    </w:p>
    <w:p w14:paraId="521A8EB2" w14:textId="77777777" w:rsidR="00EA7CDA" w:rsidRPr="00A40BE5" w:rsidRDefault="00EA7CDA" w:rsidP="00A40BE5">
      <w:pPr>
        <w:spacing w:line="360" w:lineRule="auto"/>
        <w:rPr>
          <w:rFonts w:cs="Times New Roman"/>
          <w:szCs w:val="24"/>
          <w:shd w:val="clear" w:color="auto" w:fill="FFFFFF"/>
        </w:rPr>
      </w:pPr>
      <w:r w:rsidRPr="00A40BE5">
        <w:rPr>
          <w:rFonts w:cs="Times New Roman"/>
          <w:szCs w:val="24"/>
          <w:shd w:val="clear" w:color="auto" w:fill="FFFFFF"/>
        </w:rPr>
        <w:t>Husak, D., (2020). The price of criminal law skepticism: Ten functions of the criminal law. </w:t>
      </w:r>
      <w:r w:rsidRPr="00A40BE5">
        <w:rPr>
          <w:rFonts w:cs="Times New Roman"/>
          <w:i/>
          <w:iCs/>
          <w:szCs w:val="24"/>
          <w:shd w:val="clear" w:color="auto" w:fill="FFFFFF"/>
        </w:rPr>
        <w:t>New Criminal Law Review</w:t>
      </w:r>
      <w:r w:rsidRPr="00A40BE5">
        <w:rPr>
          <w:rFonts w:cs="Times New Roman"/>
          <w:szCs w:val="24"/>
          <w:shd w:val="clear" w:color="auto" w:fill="FFFFFF"/>
        </w:rPr>
        <w:t>, </w:t>
      </w:r>
      <w:r w:rsidRPr="00A40BE5">
        <w:rPr>
          <w:rFonts w:cs="Times New Roman"/>
          <w:i/>
          <w:iCs/>
          <w:szCs w:val="24"/>
          <w:shd w:val="clear" w:color="auto" w:fill="FFFFFF"/>
        </w:rPr>
        <w:t>23</w:t>
      </w:r>
      <w:r w:rsidRPr="00A40BE5">
        <w:rPr>
          <w:rFonts w:cs="Times New Roman"/>
          <w:szCs w:val="24"/>
          <w:shd w:val="clear" w:color="auto" w:fill="FFFFFF"/>
        </w:rPr>
        <w:t>(1), pp.27-59.</w:t>
      </w:r>
    </w:p>
    <w:p w14:paraId="37F63718" w14:textId="709357B2" w:rsidR="00086F44" w:rsidRPr="00A40BE5" w:rsidRDefault="00086F44" w:rsidP="00A40BE5">
      <w:pPr>
        <w:spacing w:line="360" w:lineRule="auto"/>
        <w:rPr>
          <w:rFonts w:cs="Times New Roman"/>
          <w:szCs w:val="24"/>
        </w:rPr>
      </w:pPr>
      <w:r w:rsidRPr="00A40BE5">
        <w:rPr>
          <w:rFonts w:cs="Times New Roman"/>
          <w:szCs w:val="24"/>
        </w:rPr>
        <w:t xml:space="preserve">Huxley-Binns, R. (2014) </w:t>
      </w:r>
      <w:r w:rsidRPr="00A40BE5">
        <w:rPr>
          <w:rFonts w:cs="Times New Roman"/>
          <w:i/>
          <w:iCs/>
          <w:szCs w:val="24"/>
        </w:rPr>
        <w:t>Criminal law.</w:t>
      </w:r>
      <w:r w:rsidRPr="00A40BE5">
        <w:rPr>
          <w:rFonts w:cs="Times New Roman"/>
          <w:szCs w:val="24"/>
        </w:rPr>
        <w:t xml:space="preserve"> Oxford: Oxford University Press.</w:t>
      </w:r>
    </w:p>
    <w:p w14:paraId="5FE1183B" w14:textId="77777777" w:rsidR="00EA7CDA" w:rsidRPr="00A40BE5" w:rsidRDefault="00EA7CDA" w:rsidP="00A40BE5">
      <w:pPr>
        <w:spacing w:line="360" w:lineRule="auto"/>
        <w:rPr>
          <w:rFonts w:cs="Times New Roman"/>
          <w:szCs w:val="24"/>
          <w:shd w:val="clear" w:color="auto" w:fill="FFFFFF"/>
        </w:rPr>
      </w:pPr>
      <w:r w:rsidRPr="00A40BE5">
        <w:rPr>
          <w:rFonts w:cs="Times New Roman"/>
          <w:szCs w:val="24"/>
          <w:shd w:val="clear" w:color="auto" w:fill="FFFFFF"/>
        </w:rPr>
        <w:t>Kadish, S.H., Schulhofer, S.J. and Barkow, R.E., (2022). Criminal Law and its processes: cases and materials [Connected eBook with Study Center]. Aspen Publishing.</w:t>
      </w:r>
    </w:p>
    <w:p w14:paraId="4C5B1C7D" w14:textId="1077D6AA" w:rsidR="00CE3DD8" w:rsidRPr="00A40BE5" w:rsidRDefault="00CE3DD8" w:rsidP="00A40BE5">
      <w:pPr>
        <w:spacing w:line="360" w:lineRule="auto"/>
        <w:rPr>
          <w:rStyle w:val="Hyperlink"/>
          <w:rFonts w:cs="Times New Roman"/>
          <w:color w:val="auto"/>
          <w:szCs w:val="24"/>
        </w:rPr>
      </w:pPr>
      <w:r w:rsidRPr="00A40BE5">
        <w:rPr>
          <w:rFonts w:cs="Times New Roman"/>
          <w:szCs w:val="24"/>
        </w:rPr>
        <w:t>Legislation GOV</w:t>
      </w:r>
      <w:r w:rsidR="008062E0" w:rsidRPr="00A40BE5">
        <w:rPr>
          <w:rFonts w:cs="Times New Roman"/>
          <w:szCs w:val="24"/>
        </w:rPr>
        <w:t xml:space="preserve"> </w:t>
      </w:r>
      <w:r w:rsidRPr="00A40BE5">
        <w:rPr>
          <w:rFonts w:cs="Times New Roman"/>
          <w:szCs w:val="24"/>
        </w:rPr>
        <w:t xml:space="preserve">UK (2010) </w:t>
      </w:r>
      <w:r w:rsidRPr="00A40BE5">
        <w:rPr>
          <w:rFonts w:cs="Times New Roman"/>
          <w:i/>
          <w:iCs/>
          <w:szCs w:val="24"/>
        </w:rPr>
        <w:t>Criminal Attempt Act 1981</w:t>
      </w:r>
      <w:r w:rsidRPr="00A40BE5">
        <w:rPr>
          <w:rFonts w:cs="Times New Roman"/>
          <w:szCs w:val="24"/>
        </w:rPr>
        <w:t xml:space="preserve">. Available on: </w:t>
      </w:r>
      <w:hyperlink r:id="rId8" w:history="1">
        <w:r w:rsidR="00F1130E" w:rsidRPr="00A40BE5">
          <w:rPr>
            <w:rStyle w:val="Hyperlink"/>
            <w:rFonts w:cs="Times New Roman"/>
            <w:szCs w:val="24"/>
            <w:u w:val="none"/>
          </w:rPr>
          <w:t>https://www.legislation.gov.uk/ukpga/1981/47</w:t>
        </w:r>
      </w:hyperlink>
      <w:r w:rsidR="003E6E02" w:rsidRPr="00A40BE5">
        <w:rPr>
          <w:rFonts w:cs="Times New Roman"/>
          <w:szCs w:val="24"/>
        </w:rPr>
        <w:t xml:space="preserve"> (</w:t>
      </w:r>
      <w:r w:rsidRPr="00A40BE5">
        <w:rPr>
          <w:rStyle w:val="Hyperlink"/>
          <w:rFonts w:cs="Times New Roman"/>
          <w:color w:val="auto"/>
          <w:szCs w:val="24"/>
          <w:u w:val="none"/>
        </w:rPr>
        <w:t>Accessed: 16</w:t>
      </w:r>
      <w:r w:rsidRPr="00A40BE5">
        <w:rPr>
          <w:rStyle w:val="Hyperlink"/>
          <w:rFonts w:cs="Times New Roman"/>
          <w:color w:val="auto"/>
          <w:szCs w:val="24"/>
          <w:u w:val="none"/>
          <w:vertAlign w:val="superscript"/>
        </w:rPr>
        <w:t>th</w:t>
      </w:r>
      <w:r w:rsidRPr="00A40BE5">
        <w:rPr>
          <w:rStyle w:val="Hyperlink"/>
          <w:rFonts w:cs="Times New Roman"/>
          <w:color w:val="auto"/>
          <w:szCs w:val="24"/>
          <w:u w:val="none"/>
        </w:rPr>
        <w:t xml:space="preserve"> July 2024).</w:t>
      </w:r>
    </w:p>
    <w:p w14:paraId="7FC22522" w14:textId="325B6BA2" w:rsidR="00CE3DD8" w:rsidRPr="00A40BE5" w:rsidRDefault="00F1130E" w:rsidP="00A40BE5">
      <w:pPr>
        <w:spacing w:line="360" w:lineRule="auto"/>
        <w:rPr>
          <w:rFonts w:cs="Times New Roman"/>
          <w:szCs w:val="24"/>
        </w:rPr>
      </w:pPr>
      <w:r w:rsidRPr="00A40BE5">
        <w:rPr>
          <w:rStyle w:val="Hyperlink"/>
          <w:rFonts w:cs="Times New Roman"/>
          <w:color w:val="auto"/>
          <w:szCs w:val="24"/>
          <w:u w:val="none"/>
        </w:rPr>
        <w:t xml:space="preserve">Legislation GOV </w:t>
      </w:r>
      <w:r w:rsidR="00A40BE5" w:rsidRPr="00A40BE5">
        <w:rPr>
          <w:rStyle w:val="Hyperlink"/>
          <w:rFonts w:cs="Times New Roman"/>
          <w:color w:val="auto"/>
          <w:szCs w:val="24"/>
          <w:u w:val="none"/>
        </w:rPr>
        <w:t>UK (</w:t>
      </w:r>
      <w:r w:rsidRPr="00A40BE5">
        <w:rPr>
          <w:rStyle w:val="Hyperlink"/>
          <w:rFonts w:cs="Times New Roman"/>
          <w:color w:val="auto"/>
          <w:szCs w:val="24"/>
          <w:u w:val="none"/>
        </w:rPr>
        <w:t xml:space="preserve">2010) Offences Against the Person Act 1861. Available on: </w:t>
      </w:r>
      <w:hyperlink r:id="rId9" w:history="1">
        <w:r w:rsidR="003E6E02" w:rsidRPr="00A40BE5">
          <w:rPr>
            <w:rStyle w:val="Hyperlink"/>
            <w:rFonts w:cs="Times New Roman"/>
            <w:szCs w:val="24"/>
          </w:rPr>
          <w:t>https://www.legislation.gov.uk/ukpga/Vict/24-25/100/section/18</w:t>
        </w:r>
      </w:hyperlink>
      <w:r w:rsidR="003E6E02" w:rsidRPr="00A40BE5">
        <w:rPr>
          <w:rStyle w:val="Hyperlink"/>
          <w:rFonts w:cs="Times New Roman"/>
          <w:color w:val="auto"/>
          <w:szCs w:val="24"/>
          <w:u w:val="none"/>
        </w:rPr>
        <w:t xml:space="preserve"> </w:t>
      </w:r>
      <w:r w:rsidRPr="00A40BE5">
        <w:rPr>
          <w:rStyle w:val="Hyperlink"/>
          <w:rFonts w:cs="Times New Roman"/>
          <w:color w:val="auto"/>
          <w:szCs w:val="24"/>
          <w:u w:val="none"/>
        </w:rPr>
        <w:t>(</w:t>
      </w:r>
      <w:r w:rsidR="0033762A">
        <w:rPr>
          <w:rStyle w:val="Hyperlink"/>
          <w:rFonts w:cs="Times New Roman"/>
          <w:color w:val="auto"/>
          <w:szCs w:val="24"/>
          <w:u w:val="none"/>
        </w:rPr>
        <w:t>Accessed:</w:t>
      </w:r>
      <w:r w:rsidR="0033762A" w:rsidRPr="0033762A">
        <w:rPr>
          <w:rStyle w:val="Hyperlink"/>
          <w:rFonts w:cs="Times New Roman"/>
          <w:color w:val="auto"/>
          <w:szCs w:val="24"/>
          <w:u w:val="none"/>
        </w:rPr>
        <w:t xml:space="preserve"> </w:t>
      </w:r>
      <w:r w:rsidR="0033762A" w:rsidRPr="00A40BE5">
        <w:rPr>
          <w:rStyle w:val="Hyperlink"/>
          <w:rFonts w:cs="Times New Roman"/>
          <w:color w:val="auto"/>
          <w:szCs w:val="24"/>
          <w:u w:val="none"/>
        </w:rPr>
        <w:t>16</w:t>
      </w:r>
      <w:r w:rsidR="0033762A" w:rsidRPr="00A40BE5">
        <w:rPr>
          <w:rStyle w:val="Hyperlink"/>
          <w:rFonts w:cs="Times New Roman"/>
          <w:color w:val="auto"/>
          <w:szCs w:val="24"/>
          <w:u w:val="none"/>
          <w:vertAlign w:val="superscript"/>
        </w:rPr>
        <w:t>th</w:t>
      </w:r>
      <w:r w:rsidR="0033762A" w:rsidRPr="00A40BE5">
        <w:rPr>
          <w:rStyle w:val="Hyperlink"/>
          <w:rFonts w:cs="Times New Roman"/>
          <w:color w:val="auto"/>
          <w:szCs w:val="24"/>
          <w:u w:val="none"/>
        </w:rPr>
        <w:t xml:space="preserve"> </w:t>
      </w:r>
      <w:r w:rsidRPr="00A40BE5">
        <w:rPr>
          <w:rStyle w:val="Hyperlink"/>
          <w:rFonts w:cs="Times New Roman"/>
          <w:color w:val="auto"/>
          <w:szCs w:val="24"/>
          <w:u w:val="none"/>
        </w:rPr>
        <w:t>July 2024).</w:t>
      </w:r>
    </w:p>
    <w:p w14:paraId="596B79E8" w14:textId="77777777" w:rsidR="00EA7CDA" w:rsidRPr="00A40BE5" w:rsidRDefault="00EA7CDA" w:rsidP="00A40BE5">
      <w:pPr>
        <w:spacing w:line="360" w:lineRule="auto"/>
        <w:rPr>
          <w:rFonts w:cs="Times New Roman"/>
          <w:szCs w:val="24"/>
          <w:shd w:val="clear" w:color="auto" w:fill="FFFFFF"/>
        </w:rPr>
      </w:pPr>
      <w:r w:rsidRPr="00A40BE5">
        <w:rPr>
          <w:rFonts w:cs="Times New Roman"/>
          <w:szCs w:val="24"/>
          <w:shd w:val="clear" w:color="auto" w:fill="FFFFFF"/>
        </w:rPr>
        <w:lastRenderedPageBreak/>
        <w:t>Littlejohn, C., (2020). Truth, knowledge, and the standard of proof in criminal law. </w:t>
      </w:r>
      <w:r w:rsidRPr="00A40BE5">
        <w:rPr>
          <w:rFonts w:cs="Times New Roman"/>
          <w:i/>
          <w:iCs/>
          <w:szCs w:val="24"/>
          <w:shd w:val="clear" w:color="auto" w:fill="FFFFFF"/>
        </w:rPr>
        <w:t>Synthese</w:t>
      </w:r>
      <w:r w:rsidRPr="00A40BE5">
        <w:rPr>
          <w:rFonts w:cs="Times New Roman"/>
          <w:szCs w:val="24"/>
          <w:shd w:val="clear" w:color="auto" w:fill="FFFFFF"/>
        </w:rPr>
        <w:t>, </w:t>
      </w:r>
      <w:r w:rsidRPr="00A40BE5">
        <w:rPr>
          <w:rFonts w:cs="Times New Roman"/>
          <w:i/>
          <w:iCs/>
          <w:szCs w:val="24"/>
          <w:shd w:val="clear" w:color="auto" w:fill="FFFFFF"/>
        </w:rPr>
        <w:t>197</w:t>
      </w:r>
      <w:r w:rsidRPr="00A40BE5">
        <w:rPr>
          <w:rFonts w:cs="Times New Roman"/>
          <w:szCs w:val="24"/>
          <w:shd w:val="clear" w:color="auto" w:fill="FFFFFF"/>
        </w:rPr>
        <w:t>(12), pp.5253-5286.</w:t>
      </w:r>
    </w:p>
    <w:p w14:paraId="0B309765" w14:textId="77777777" w:rsidR="00EA7CDA" w:rsidRPr="00A40BE5" w:rsidRDefault="00EA7CDA" w:rsidP="00A40BE5">
      <w:pPr>
        <w:spacing w:line="360" w:lineRule="auto"/>
        <w:rPr>
          <w:rFonts w:cs="Times New Roman"/>
          <w:szCs w:val="24"/>
          <w:shd w:val="clear" w:color="auto" w:fill="FFFFFF"/>
        </w:rPr>
      </w:pPr>
      <w:r w:rsidRPr="00A40BE5">
        <w:rPr>
          <w:rFonts w:cs="Times New Roman"/>
          <w:szCs w:val="24"/>
          <w:shd w:val="clear" w:color="auto" w:fill="FFFFFF"/>
        </w:rPr>
        <w:t>Ramsa, P., (2024). Rights of the Sovereign: Criminal Law as Public Law.</w:t>
      </w:r>
    </w:p>
    <w:p w14:paraId="622CB68F" w14:textId="7AD5641A" w:rsidR="00EA7CDA" w:rsidRPr="00A40BE5" w:rsidRDefault="00EA7CDA" w:rsidP="00A40BE5">
      <w:pPr>
        <w:spacing w:line="360" w:lineRule="auto"/>
        <w:rPr>
          <w:rFonts w:cs="Times New Roman"/>
          <w:szCs w:val="24"/>
          <w:shd w:val="clear" w:color="auto" w:fill="FFFFFF"/>
        </w:rPr>
      </w:pPr>
      <w:r w:rsidRPr="00A40BE5">
        <w:rPr>
          <w:rFonts w:cs="Times New Roman"/>
          <w:szCs w:val="24"/>
          <w:shd w:val="clear" w:color="auto" w:fill="FFFFFF"/>
        </w:rPr>
        <w:t>Ristroph,</w:t>
      </w:r>
      <w:r w:rsidR="00024BEF" w:rsidRPr="00A40BE5">
        <w:rPr>
          <w:rFonts w:cs="Times New Roman"/>
          <w:szCs w:val="24"/>
          <w:shd w:val="clear" w:color="auto" w:fill="FFFFFF"/>
        </w:rPr>
        <w:t xml:space="preserve"> </w:t>
      </w:r>
      <w:r w:rsidRPr="00A40BE5">
        <w:rPr>
          <w:rFonts w:cs="Times New Roman"/>
          <w:szCs w:val="24"/>
          <w:shd w:val="clear" w:color="auto" w:fill="FFFFFF"/>
        </w:rPr>
        <w:t>A., (2020). Criminal law as public ordering. </w:t>
      </w:r>
      <w:r w:rsidRPr="00A40BE5">
        <w:rPr>
          <w:rFonts w:cs="Times New Roman"/>
          <w:i/>
          <w:iCs/>
          <w:szCs w:val="24"/>
          <w:shd w:val="clear" w:color="auto" w:fill="FFFFFF"/>
        </w:rPr>
        <w:t>University of Toronto Law Journal</w:t>
      </w:r>
      <w:r w:rsidRPr="00A40BE5">
        <w:rPr>
          <w:rFonts w:cs="Times New Roman"/>
          <w:szCs w:val="24"/>
          <w:shd w:val="clear" w:color="auto" w:fill="FFFFFF"/>
        </w:rPr>
        <w:t>, </w:t>
      </w:r>
      <w:r w:rsidRPr="00A40BE5">
        <w:rPr>
          <w:rFonts w:cs="Times New Roman"/>
          <w:i/>
          <w:iCs/>
          <w:szCs w:val="24"/>
          <w:shd w:val="clear" w:color="auto" w:fill="FFFFFF"/>
        </w:rPr>
        <w:t>70</w:t>
      </w:r>
      <w:r w:rsidRPr="00A40BE5">
        <w:rPr>
          <w:rFonts w:cs="Times New Roman"/>
          <w:szCs w:val="24"/>
          <w:shd w:val="clear" w:color="auto" w:fill="FFFFFF"/>
        </w:rPr>
        <w:t>(supplement 1), pp.64-83.</w:t>
      </w:r>
      <w:r w:rsidR="00086F44" w:rsidRPr="00A40BE5">
        <w:rPr>
          <w:rFonts w:cs="Times New Roman"/>
          <w:szCs w:val="24"/>
          <w:shd w:val="clear" w:color="auto" w:fill="FFFFFF"/>
        </w:rPr>
        <w:t xml:space="preserve"> </w:t>
      </w:r>
    </w:p>
    <w:p w14:paraId="0B8C5CB5" w14:textId="05AEF4CC" w:rsidR="00086F44" w:rsidRPr="00A40BE5" w:rsidRDefault="00086F44" w:rsidP="00A40BE5">
      <w:pPr>
        <w:spacing w:line="360" w:lineRule="auto"/>
        <w:rPr>
          <w:rFonts w:cs="Times New Roman"/>
          <w:szCs w:val="24"/>
        </w:rPr>
      </w:pPr>
      <w:r w:rsidRPr="00A40BE5">
        <w:rPr>
          <w:rStyle w:val="Hyperlink"/>
          <w:rFonts w:cs="Times New Roman"/>
          <w:color w:val="auto"/>
          <w:szCs w:val="24"/>
          <w:u w:val="none"/>
        </w:rPr>
        <w:t xml:space="preserve">Rosen, E. (1999) </w:t>
      </w:r>
      <w:r w:rsidRPr="00A40BE5">
        <w:rPr>
          <w:rStyle w:val="Hyperlink"/>
          <w:rFonts w:cs="Times New Roman"/>
          <w:i/>
          <w:iCs/>
          <w:color w:val="auto"/>
          <w:szCs w:val="24"/>
          <w:u w:val="none"/>
        </w:rPr>
        <w:t>Offences Against the Person</w:t>
      </w:r>
      <w:r w:rsidRPr="00A40BE5">
        <w:rPr>
          <w:rStyle w:val="Hyperlink"/>
          <w:rFonts w:cs="Times New Roman"/>
          <w:color w:val="auto"/>
          <w:szCs w:val="24"/>
          <w:u w:val="none"/>
        </w:rPr>
        <w:t>. Routledge.</w:t>
      </w:r>
    </w:p>
    <w:p w14:paraId="0843B501" w14:textId="7ECB5FD9" w:rsidR="00CE3DD8" w:rsidRPr="00A40BE5" w:rsidRDefault="00CE3DD8" w:rsidP="00A40BE5">
      <w:pPr>
        <w:spacing w:line="360" w:lineRule="auto"/>
        <w:rPr>
          <w:rFonts w:cs="Times New Roman"/>
          <w:szCs w:val="24"/>
        </w:rPr>
      </w:pPr>
      <w:r w:rsidRPr="00A40BE5">
        <w:rPr>
          <w:rFonts w:cs="Times New Roman"/>
          <w:szCs w:val="24"/>
        </w:rPr>
        <w:t xml:space="preserve">Sentencing Council (2018) </w:t>
      </w:r>
      <w:r w:rsidRPr="00A40BE5">
        <w:rPr>
          <w:rFonts w:cs="Times New Roman"/>
          <w:i/>
          <w:iCs/>
          <w:szCs w:val="24"/>
        </w:rPr>
        <w:t>Assault Offences Explained- Sentencing</w:t>
      </w:r>
      <w:r w:rsidRPr="00A40BE5">
        <w:rPr>
          <w:rFonts w:cs="Times New Roman"/>
          <w:szCs w:val="24"/>
        </w:rPr>
        <w:t xml:space="preserve">. Available at: </w:t>
      </w:r>
      <w:hyperlink r:id="rId10" w:history="1">
        <w:r w:rsidRPr="00A40BE5">
          <w:rPr>
            <w:rStyle w:val="Hyperlink"/>
            <w:rFonts w:cs="Times New Roman"/>
            <w:szCs w:val="24"/>
          </w:rPr>
          <w:t>https://www.sentencingcouncil.org.uk/news/item/assault-offences-explained/</w:t>
        </w:r>
      </w:hyperlink>
      <w:r w:rsidRPr="00A40BE5">
        <w:rPr>
          <w:rFonts w:cs="Times New Roman"/>
          <w:szCs w:val="24"/>
        </w:rPr>
        <w:t xml:space="preserve"> (Accessed: 16</w:t>
      </w:r>
      <w:r w:rsidRPr="00A40BE5">
        <w:rPr>
          <w:rFonts w:cs="Times New Roman"/>
          <w:szCs w:val="24"/>
          <w:vertAlign w:val="superscript"/>
        </w:rPr>
        <w:t>th</w:t>
      </w:r>
      <w:r w:rsidRPr="00A40BE5">
        <w:rPr>
          <w:rFonts w:cs="Times New Roman"/>
          <w:szCs w:val="24"/>
        </w:rPr>
        <w:t xml:space="preserve"> July 2024).</w:t>
      </w:r>
    </w:p>
    <w:p w14:paraId="18081780" w14:textId="24CB0F0D" w:rsidR="00CE3DD8" w:rsidRPr="00A40BE5" w:rsidRDefault="00086F44" w:rsidP="00A40BE5">
      <w:pPr>
        <w:spacing w:line="360" w:lineRule="auto"/>
        <w:rPr>
          <w:rFonts w:cs="Times New Roman"/>
          <w:szCs w:val="24"/>
        </w:rPr>
      </w:pPr>
      <w:r w:rsidRPr="00A40BE5">
        <w:rPr>
          <w:rFonts w:cs="Times New Roman"/>
          <w:szCs w:val="24"/>
        </w:rPr>
        <w:t xml:space="preserve">Smith, J., Hogan, B., &amp; Ormerod, D. (2020) </w:t>
      </w:r>
      <w:r w:rsidRPr="00A40BE5">
        <w:rPr>
          <w:rFonts w:cs="Times New Roman"/>
          <w:i/>
          <w:iCs/>
          <w:szCs w:val="24"/>
        </w:rPr>
        <w:t>Smith &amp; Hogan Criminal Law</w:t>
      </w:r>
      <w:r w:rsidRPr="00A40BE5">
        <w:rPr>
          <w:rFonts w:cs="Times New Roman"/>
          <w:szCs w:val="24"/>
        </w:rPr>
        <w:t>, 15</w:t>
      </w:r>
      <w:r w:rsidRPr="00A40BE5">
        <w:rPr>
          <w:rFonts w:cs="Times New Roman"/>
          <w:szCs w:val="24"/>
          <w:vertAlign w:val="superscript"/>
        </w:rPr>
        <w:t>th</w:t>
      </w:r>
      <w:r w:rsidRPr="00A40BE5">
        <w:rPr>
          <w:rFonts w:cs="Times New Roman"/>
          <w:szCs w:val="24"/>
        </w:rPr>
        <w:t xml:space="preserve"> edition. Oxford: Oxford University Press.</w:t>
      </w:r>
    </w:p>
    <w:p w14:paraId="686486FB" w14:textId="77777777" w:rsidR="00EA7CDA" w:rsidRPr="00A40BE5" w:rsidRDefault="00EA7CDA" w:rsidP="00A40BE5">
      <w:pPr>
        <w:spacing w:line="360" w:lineRule="auto"/>
        <w:rPr>
          <w:rFonts w:cs="Times New Roman"/>
          <w:szCs w:val="24"/>
          <w:shd w:val="clear" w:color="auto" w:fill="FFFFFF"/>
        </w:rPr>
      </w:pPr>
      <w:r w:rsidRPr="00A40BE5">
        <w:rPr>
          <w:rFonts w:cs="Times New Roman"/>
          <w:szCs w:val="24"/>
          <w:shd w:val="clear" w:color="auto" w:fill="FFFFFF"/>
        </w:rPr>
        <w:t>Sunga, L.S., (2023). The emerging system of international criminal law: developments in codification and implementation. BRILL.</w:t>
      </w:r>
    </w:p>
    <w:p w14:paraId="235DD80B" w14:textId="778E8CE1" w:rsidR="00EA7CDA" w:rsidRPr="00A40BE5" w:rsidRDefault="00EA7CDA" w:rsidP="00A40BE5">
      <w:pPr>
        <w:spacing w:line="360" w:lineRule="auto"/>
        <w:rPr>
          <w:rFonts w:cs="Times New Roman"/>
          <w:szCs w:val="24"/>
          <w:shd w:val="clear" w:color="auto" w:fill="FFFFFF"/>
        </w:rPr>
      </w:pPr>
      <w:r w:rsidRPr="00A40BE5">
        <w:rPr>
          <w:rFonts w:cs="Times New Roman"/>
          <w:szCs w:val="24"/>
          <w:shd w:val="clear" w:color="auto" w:fill="FFFFFF"/>
        </w:rPr>
        <w:t>Zucca,</w:t>
      </w:r>
      <w:r w:rsidR="00024BEF" w:rsidRPr="00A40BE5">
        <w:rPr>
          <w:rFonts w:cs="Times New Roman"/>
          <w:szCs w:val="24"/>
          <w:shd w:val="clear" w:color="auto" w:fill="FFFFFF"/>
        </w:rPr>
        <w:t xml:space="preserve"> </w:t>
      </w:r>
      <w:r w:rsidRPr="00A40BE5">
        <w:rPr>
          <w:rFonts w:cs="Times New Roman"/>
          <w:szCs w:val="24"/>
          <w:shd w:val="clear" w:color="auto" w:fill="FFFFFF"/>
        </w:rPr>
        <w:t>L., (2020). The constitution of criminal law. </w:t>
      </w:r>
      <w:r w:rsidRPr="00A40BE5">
        <w:rPr>
          <w:rFonts w:cs="Times New Roman"/>
          <w:i/>
          <w:iCs/>
          <w:szCs w:val="24"/>
          <w:shd w:val="clear" w:color="auto" w:fill="FFFFFF"/>
        </w:rPr>
        <w:t>University of Toronto Law Journal</w:t>
      </w:r>
      <w:r w:rsidRPr="00A40BE5">
        <w:rPr>
          <w:rFonts w:cs="Times New Roman"/>
          <w:szCs w:val="24"/>
          <w:shd w:val="clear" w:color="auto" w:fill="FFFFFF"/>
        </w:rPr>
        <w:t>, </w:t>
      </w:r>
      <w:r w:rsidRPr="00A40BE5">
        <w:rPr>
          <w:rFonts w:cs="Times New Roman"/>
          <w:i/>
          <w:iCs/>
          <w:szCs w:val="24"/>
          <w:shd w:val="clear" w:color="auto" w:fill="FFFFFF"/>
        </w:rPr>
        <w:t>70</w:t>
      </w:r>
      <w:r w:rsidRPr="00A40BE5">
        <w:rPr>
          <w:rFonts w:cs="Times New Roman"/>
          <w:szCs w:val="24"/>
          <w:shd w:val="clear" w:color="auto" w:fill="FFFFFF"/>
        </w:rPr>
        <w:t>(supplement 1), pp.27-43.</w:t>
      </w:r>
    </w:p>
    <w:p w14:paraId="2ABDA75F" w14:textId="77777777" w:rsidR="009E3AE6" w:rsidRPr="00A40BE5" w:rsidRDefault="009E3AE6" w:rsidP="00A40BE5">
      <w:pPr>
        <w:spacing w:after="0" w:line="360" w:lineRule="auto"/>
        <w:jc w:val="left"/>
        <w:rPr>
          <w:rFonts w:eastAsia="Times New Roman" w:cs="Times New Roman"/>
          <w:szCs w:val="24"/>
          <w:lang w:eastAsia="en-GB"/>
        </w:rPr>
      </w:pPr>
      <w:r w:rsidRPr="00A40BE5">
        <w:rPr>
          <w:rFonts w:eastAsia="Times New Roman" w:cs="Times New Roman"/>
          <w:szCs w:val="24"/>
          <w:lang w:eastAsia="en-GB"/>
        </w:rPr>
        <w:t> </w:t>
      </w:r>
    </w:p>
    <w:p w14:paraId="48CAA4A7" w14:textId="77777777" w:rsidR="008F591E" w:rsidRPr="00A40BE5" w:rsidRDefault="008F591E" w:rsidP="00A40BE5">
      <w:pPr>
        <w:spacing w:line="360" w:lineRule="auto"/>
        <w:rPr>
          <w:rFonts w:cs="Times New Roman"/>
          <w:szCs w:val="24"/>
        </w:rPr>
      </w:pPr>
    </w:p>
    <w:sectPr w:rsidR="008F591E" w:rsidRPr="00A40BE5" w:rsidSect="007F4187">
      <w:headerReference w:type="default" r:id="rId11"/>
      <w:footerReference w:type="default" r:id="rId12"/>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6B873E" w14:textId="77777777" w:rsidR="00AA4B50" w:rsidRDefault="00AA4B50" w:rsidP="007F4187">
      <w:pPr>
        <w:spacing w:after="0" w:line="240" w:lineRule="auto"/>
      </w:pPr>
      <w:r>
        <w:separator/>
      </w:r>
    </w:p>
  </w:endnote>
  <w:endnote w:type="continuationSeparator" w:id="0">
    <w:p w14:paraId="6A17B12A" w14:textId="77777777" w:rsidR="00AA4B50" w:rsidRDefault="00AA4B50" w:rsidP="007F41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96768284"/>
      <w:docPartObj>
        <w:docPartGallery w:val="Page Numbers (Bottom of Page)"/>
        <w:docPartUnique/>
      </w:docPartObj>
    </w:sdtPr>
    <w:sdtContent>
      <w:sdt>
        <w:sdtPr>
          <w:id w:val="860082579"/>
          <w:docPartObj>
            <w:docPartGallery w:val="Page Numbers (Top of Page)"/>
            <w:docPartUnique/>
          </w:docPartObj>
        </w:sdtPr>
        <w:sdtContent>
          <w:p w14:paraId="75A98CF6" w14:textId="77777777" w:rsidR="007F4187" w:rsidRDefault="007F4187">
            <w:pPr>
              <w:pStyle w:val="Footer"/>
              <w:jc w:val="right"/>
            </w:pPr>
            <w:r>
              <w:t xml:space="preserve">Page </w:t>
            </w:r>
            <w:r w:rsidR="00C934FC">
              <w:rPr>
                <w:b/>
                <w:bCs/>
                <w:szCs w:val="24"/>
              </w:rPr>
              <w:fldChar w:fldCharType="begin"/>
            </w:r>
            <w:r>
              <w:rPr>
                <w:b/>
                <w:bCs/>
              </w:rPr>
              <w:instrText xml:space="preserve"> PAGE </w:instrText>
            </w:r>
            <w:r w:rsidR="00C934FC">
              <w:rPr>
                <w:b/>
                <w:bCs/>
                <w:szCs w:val="24"/>
              </w:rPr>
              <w:fldChar w:fldCharType="separate"/>
            </w:r>
            <w:r w:rsidR="00EA7CDA">
              <w:rPr>
                <w:b/>
                <w:bCs/>
                <w:noProof/>
              </w:rPr>
              <w:t>12</w:t>
            </w:r>
            <w:r w:rsidR="00C934FC">
              <w:rPr>
                <w:b/>
                <w:bCs/>
                <w:szCs w:val="24"/>
              </w:rPr>
              <w:fldChar w:fldCharType="end"/>
            </w:r>
            <w:r>
              <w:t xml:space="preserve"> of </w:t>
            </w:r>
            <w:r w:rsidR="00C934FC">
              <w:rPr>
                <w:b/>
                <w:bCs/>
                <w:szCs w:val="24"/>
              </w:rPr>
              <w:fldChar w:fldCharType="begin"/>
            </w:r>
            <w:r>
              <w:rPr>
                <w:b/>
                <w:bCs/>
              </w:rPr>
              <w:instrText xml:space="preserve"> NUMPAGES  </w:instrText>
            </w:r>
            <w:r w:rsidR="00C934FC">
              <w:rPr>
                <w:b/>
                <w:bCs/>
                <w:szCs w:val="24"/>
              </w:rPr>
              <w:fldChar w:fldCharType="separate"/>
            </w:r>
            <w:r w:rsidR="00EA7CDA">
              <w:rPr>
                <w:b/>
                <w:bCs/>
                <w:noProof/>
              </w:rPr>
              <w:t>13</w:t>
            </w:r>
            <w:r w:rsidR="00C934FC">
              <w:rPr>
                <w:b/>
                <w:bCs/>
                <w:szCs w:val="24"/>
              </w:rPr>
              <w:fldChar w:fldCharType="end"/>
            </w:r>
          </w:p>
        </w:sdtContent>
      </w:sdt>
    </w:sdtContent>
  </w:sdt>
  <w:p w14:paraId="0491B454" w14:textId="77777777" w:rsidR="007F4187" w:rsidRDefault="007F41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D691D7" w14:textId="77777777" w:rsidR="00AA4B50" w:rsidRDefault="00AA4B50" w:rsidP="007F4187">
      <w:pPr>
        <w:spacing w:after="0" w:line="240" w:lineRule="auto"/>
      </w:pPr>
      <w:r>
        <w:separator/>
      </w:r>
    </w:p>
  </w:footnote>
  <w:footnote w:type="continuationSeparator" w:id="0">
    <w:p w14:paraId="5EA8F87C" w14:textId="77777777" w:rsidR="00AA4B50" w:rsidRDefault="00AA4B50" w:rsidP="007F41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263720" w14:textId="77777777" w:rsidR="007F4187" w:rsidRPr="007F4187" w:rsidRDefault="007F4187" w:rsidP="007F4187">
    <w:pPr>
      <w:jc w:val="right"/>
      <w:rPr>
        <w:rFonts w:cs="Times New Roman"/>
        <w:b/>
        <w:szCs w:val="24"/>
        <w:lang w:eastAsia="en-GB"/>
      </w:rPr>
    </w:pPr>
    <w:r w:rsidRPr="007F4187">
      <w:rPr>
        <w:b/>
        <w:lang w:eastAsia="en-GB"/>
      </w:rPr>
      <w:t>Criminal law</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9642C2"/>
    <w:multiLevelType w:val="hybridMultilevel"/>
    <w:tmpl w:val="83DC2C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2E1ED6"/>
    <w:multiLevelType w:val="hybridMultilevel"/>
    <w:tmpl w:val="67FED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E0520D"/>
    <w:multiLevelType w:val="hybridMultilevel"/>
    <w:tmpl w:val="FBE419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6E375C"/>
    <w:multiLevelType w:val="hybridMultilevel"/>
    <w:tmpl w:val="1EF85C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121017">
    <w:abstractNumId w:val="2"/>
  </w:num>
  <w:num w:numId="2" w16cid:durableId="1326014046">
    <w:abstractNumId w:val="3"/>
  </w:num>
  <w:num w:numId="3" w16cid:durableId="1956398447">
    <w:abstractNumId w:val="0"/>
  </w:num>
  <w:num w:numId="4" w16cid:durableId="12740200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AE6"/>
    <w:rsid w:val="00024BEF"/>
    <w:rsid w:val="00051B06"/>
    <w:rsid w:val="00065932"/>
    <w:rsid w:val="00086F44"/>
    <w:rsid w:val="000B3343"/>
    <w:rsid w:val="00111DE2"/>
    <w:rsid w:val="001267A1"/>
    <w:rsid w:val="00133299"/>
    <w:rsid w:val="001B1975"/>
    <w:rsid w:val="001C6225"/>
    <w:rsid w:val="002308A4"/>
    <w:rsid w:val="002562F2"/>
    <w:rsid w:val="0026379B"/>
    <w:rsid w:val="002F2483"/>
    <w:rsid w:val="003061C6"/>
    <w:rsid w:val="0033762A"/>
    <w:rsid w:val="00361D82"/>
    <w:rsid w:val="00386C75"/>
    <w:rsid w:val="003D1C37"/>
    <w:rsid w:val="003E1DF6"/>
    <w:rsid w:val="003E6608"/>
    <w:rsid w:val="003E6E02"/>
    <w:rsid w:val="004B3677"/>
    <w:rsid w:val="004B7CB1"/>
    <w:rsid w:val="004E573D"/>
    <w:rsid w:val="00555777"/>
    <w:rsid w:val="00583A42"/>
    <w:rsid w:val="0059347B"/>
    <w:rsid w:val="005A5DA7"/>
    <w:rsid w:val="005D0952"/>
    <w:rsid w:val="005E3EA0"/>
    <w:rsid w:val="00603890"/>
    <w:rsid w:val="00645BCC"/>
    <w:rsid w:val="00654026"/>
    <w:rsid w:val="00661DDB"/>
    <w:rsid w:val="00666D34"/>
    <w:rsid w:val="0071161F"/>
    <w:rsid w:val="00713716"/>
    <w:rsid w:val="007253AC"/>
    <w:rsid w:val="007F4187"/>
    <w:rsid w:val="007F61C3"/>
    <w:rsid w:val="008062E0"/>
    <w:rsid w:val="008333E0"/>
    <w:rsid w:val="00892ADE"/>
    <w:rsid w:val="008F591E"/>
    <w:rsid w:val="009133AF"/>
    <w:rsid w:val="00946D9F"/>
    <w:rsid w:val="009832B1"/>
    <w:rsid w:val="009943A4"/>
    <w:rsid w:val="009A4FB5"/>
    <w:rsid w:val="009E2EB9"/>
    <w:rsid w:val="009E3AE6"/>
    <w:rsid w:val="009E4314"/>
    <w:rsid w:val="009E4BD4"/>
    <w:rsid w:val="009E6447"/>
    <w:rsid w:val="009F1D38"/>
    <w:rsid w:val="00A24BF8"/>
    <w:rsid w:val="00A40BE5"/>
    <w:rsid w:val="00A92B23"/>
    <w:rsid w:val="00AA4B50"/>
    <w:rsid w:val="00AC386F"/>
    <w:rsid w:val="00AE606B"/>
    <w:rsid w:val="00B403F2"/>
    <w:rsid w:val="00B54F30"/>
    <w:rsid w:val="00B64D0C"/>
    <w:rsid w:val="00B83260"/>
    <w:rsid w:val="00B86861"/>
    <w:rsid w:val="00BA6A7B"/>
    <w:rsid w:val="00C16708"/>
    <w:rsid w:val="00C47C34"/>
    <w:rsid w:val="00C934FC"/>
    <w:rsid w:val="00CA4079"/>
    <w:rsid w:val="00CA7FAE"/>
    <w:rsid w:val="00CE3DD8"/>
    <w:rsid w:val="00CF1210"/>
    <w:rsid w:val="00D52C8C"/>
    <w:rsid w:val="00DC1F49"/>
    <w:rsid w:val="00E55D93"/>
    <w:rsid w:val="00E76D35"/>
    <w:rsid w:val="00E83BC6"/>
    <w:rsid w:val="00EA4DCC"/>
    <w:rsid w:val="00EA7CDA"/>
    <w:rsid w:val="00ED69C4"/>
    <w:rsid w:val="00EE2144"/>
    <w:rsid w:val="00F1130E"/>
    <w:rsid w:val="00F12807"/>
    <w:rsid w:val="00F53AB0"/>
    <w:rsid w:val="00F740AC"/>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A728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2B1"/>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D69C4"/>
    <w:pPr>
      <w:keepNext/>
      <w:keepLines/>
      <w:spacing w:before="480" w:after="120"/>
      <w:outlineLvl w:val="0"/>
    </w:pPr>
    <w:rPr>
      <w:rFonts w:eastAsiaTheme="majorEastAsia" w:cs="Arial"/>
      <w:b/>
      <w:bCs/>
      <w:color w:val="000000"/>
      <w:sz w:val="28"/>
      <w:szCs w:val="24"/>
      <w:shd w:val="clear" w:color="auto" w:fill="FFFFFF"/>
    </w:rPr>
  </w:style>
  <w:style w:type="paragraph" w:styleId="Heading2">
    <w:name w:val="heading 2"/>
    <w:basedOn w:val="Normal"/>
    <w:next w:val="Normal"/>
    <w:link w:val="Heading2Char"/>
    <w:autoRedefine/>
    <w:uiPriority w:val="9"/>
    <w:semiHidden/>
    <w:unhideWhenUsed/>
    <w:qFormat/>
    <w:rsid w:val="009832B1"/>
    <w:pPr>
      <w:keepNext/>
      <w:keepLines/>
      <w:spacing w:before="200" w:after="0"/>
      <w:outlineLvl w:val="1"/>
    </w:pPr>
    <w:rPr>
      <w:rFonts w:eastAsiaTheme="majorEastAsia"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9C4"/>
    <w:rPr>
      <w:rFonts w:ascii="Times New Roman" w:eastAsiaTheme="majorEastAsia" w:hAnsi="Times New Roman" w:cs="Arial"/>
      <w:b/>
      <w:bCs/>
      <w:color w:val="000000"/>
      <w:sz w:val="28"/>
      <w:szCs w:val="24"/>
    </w:rPr>
  </w:style>
  <w:style w:type="character" w:customStyle="1" w:styleId="Heading2Char">
    <w:name w:val="Heading 2 Char"/>
    <w:basedOn w:val="DefaultParagraphFont"/>
    <w:link w:val="Heading2"/>
    <w:uiPriority w:val="9"/>
    <w:semiHidden/>
    <w:rsid w:val="009832B1"/>
    <w:rPr>
      <w:rFonts w:ascii="Times New Roman" w:eastAsiaTheme="majorEastAsia" w:hAnsi="Times New Roman" w:cstheme="majorBidi"/>
      <w:b/>
      <w:bCs/>
      <w:color w:val="000000" w:themeColor="text1"/>
      <w:sz w:val="26"/>
      <w:szCs w:val="26"/>
    </w:rPr>
  </w:style>
  <w:style w:type="paragraph" w:styleId="NormalWeb">
    <w:name w:val="Normal (Web)"/>
    <w:basedOn w:val="Normal"/>
    <w:uiPriority w:val="99"/>
    <w:unhideWhenUsed/>
    <w:rsid w:val="009E3AE6"/>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2F2483"/>
    <w:pPr>
      <w:ind w:left="720"/>
      <w:contextualSpacing/>
    </w:pPr>
  </w:style>
  <w:style w:type="paragraph" w:styleId="Header">
    <w:name w:val="header"/>
    <w:basedOn w:val="Normal"/>
    <w:link w:val="HeaderChar"/>
    <w:uiPriority w:val="99"/>
    <w:unhideWhenUsed/>
    <w:rsid w:val="007F41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187"/>
    <w:rPr>
      <w:rFonts w:ascii="Times New Roman" w:hAnsi="Times New Roman"/>
      <w:sz w:val="24"/>
    </w:rPr>
  </w:style>
  <w:style w:type="paragraph" w:styleId="Footer">
    <w:name w:val="footer"/>
    <w:basedOn w:val="Normal"/>
    <w:link w:val="FooterChar"/>
    <w:uiPriority w:val="99"/>
    <w:unhideWhenUsed/>
    <w:rsid w:val="007F41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187"/>
    <w:rPr>
      <w:rFonts w:ascii="Times New Roman" w:hAnsi="Times New Roman"/>
      <w:sz w:val="24"/>
    </w:rPr>
  </w:style>
  <w:style w:type="paragraph" w:styleId="TOCHeading">
    <w:name w:val="TOC Heading"/>
    <w:basedOn w:val="Heading1"/>
    <w:next w:val="Normal"/>
    <w:uiPriority w:val="39"/>
    <w:unhideWhenUsed/>
    <w:qFormat/>
    <w:rsid w:val="007F4187"/>
    <w:pPr>
      <w:spacing w:after="0" w:line="276" w:lineRule="auto"/>
      <w:jc w:val="left"/>
      <w:outlineLvl w:val="9"/>
    </w:pPr>
    <w:rPr>
      <w:rFonts w:asciiTheme="majorHAnsi" w:hAnsiTheme="majorHAnsi" w:cstheme="majorBidi"/>
      <w:color w:val="365F91" w:themeColor="accent1" w:themeShade="BF"/>
      <w:szCs w:val="28"/>
      <w:shd w:val="clear" w:color="auto" w:fill="auto"/>
      <w:lang w:val="en-US" w:eastAsia="ja-JP"/>
    </w:rPr>
  </w:style>
  <w:style w:type="paragraph" w:styleId="TOC1">
    <w:name w:val="toc 1"/>
    <w:basedOn w:val="Normal"/>
    <w:next w:val="Normal"/>
    <w:autoRedefine/>
    <w:uiPriority w:val="39"/>
    <w:unhideWhenUsed/>
    <w:rsid w:val="007F4187"/>
    <w:pPr>
      <w:spacing w:after="100"/>
    </w:pPr>
  </w:style>
  <w:style w:type="character" w:styleId="Hyperlink">
    <w:name w:val="Hyperlink"/>
    <w:basedOn w:val="DefaultParagraphFont"/>
    <w:uiPriority w:val="99"/>
    <w:unhideWhenUsed/>
    <w:rsid w:val="007F4187"/>
    <w:rPr>
      <w:color w:val="0000FF" w:themeColor="hyperlink"/>
      <w:u w:val="single"/>
    </w:rPr>
  </w:style>
  <w:style w:type="paragraph" w:styleId="BalloonText">
    <w:name w:val="Balloon Text"/>
    <w:basedOn w:val="Normal"/>
    <w:link w:val="BalloonTextChar"/>
    <w:uiPriority w:val="99"/>
    <w:semiHidden/>
    <w:unhideWhenUsed/>
    <w:rsid w:val="007F41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4187"/>
    <w:rPr>
      <w:rFonts w:ascii="Tahoma" w:hAnsi="Tahoma" w:cs="Tahoma"/>
      <w:sz w:val="16"/>
      <w:szCs w:val="16"/>
    </w:rPr>
  </w:style>
  <w:style w:type="character" w:styleId="UnresolvedMention">
    <w:name w:val="Unresolved Mention"/>
    <w:basedOn w:val="DefaultParagraphFont"/>
    <w:uiPriority w:val="99"/>
    <w:semiHidden/>
    <w:unhideWhenUsed/>
    <w:rsid w:val="003E6E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539342">
      <w:bodyDiv w:val="1"/>
      <w:marLeft w:val="0"/>
      <w:marRight w:val="0"/>
      <w:marTop w:val="0"/>
      <w:marBottom w:val="0"/>
      <w:divBdr>
        <w:top w:val="none" w:sz="0" w:space="0" w:color="auto"/>
        <w:left w:val="none" w:sz="0" w:space="0" w:color="auto"/>
        <w:bottom w:val="none" w:sz="0" w:space="0" w:color="auto"/>
        <w:right w:val="none" w:sz="0" w:space="0" w:color="auto"/>
      </w:divBdr>
      <w:divsChild>
        <w:div w:id="1375882195">
          <w:marLeft w:val="0"/>
          <w:marRight w:val="120"/>
          <w:marTop w:val="0"/>
          <w:marBottom w:val="0"/>
          <w:divBdr>
            <w:top w:val="none" w:sz="0" w:space="0" w:color="auto"/>
            <w:left w:val="none" w:sz="0" w:space="0" w:color="auto"/>
            <w:bottom w:val="none" w:sz="0" w:space="0" w:color="auto"/>
            <w:right w:val="none" w:sz="0" w:space="0" w:color="auto"/>
          </w:divBdr>
        </w:div>
        <w:div w:id="2053534584">
          <w:marLeft w:val="0"/>
          <w:marRight w:val="120"/>
          <w:marTop w:val="0"/>
          <w:marBottom w:val="0"/>
          <w:divBdr>
            <w:top w:val="none" w:sz="0" w:space="0" w:color="auto"/>
            <w:left w:val="none" w:sz="0" w:space="0" w:color="auto"/>
            <w:bottom w:val="none" w:sz="0" w:space="0" w:color="auto"/>
            <w:right w:val="none" w:sz="0" w:space="0" w:color="auto"/>
          </w:divBdr>
        </w:div>
        <w:div w:id="1825312851">
          <w:marLeft w:val="0"/>
          <w:marRight w:val="120"/>
          <w:marTop w:val="0"/>
          <w:marBottom w:val="0"/>
          <w:divBdr>
            <w:top w:val="none" w:sz="0" w:space="0" w:color="auto"/>
            <w:left w:val="none" w:sz="0" w:space="0" w:color="auto"/>
            <w:bottom w:val="none" w:sz="0" w:space="0" w:color="auto"/>
            <w:right w:val="none" w:sz="0" w:space="0" w:color="auto"/>
          </w:divBdr>
        </w:div>
        <w:div w:id="1507750361">
          <w:marLeft w:val="0"/>
          <w:marRight w:val="0"/>
          <w:marTop w:val="0"/>
          <w:marBottom w:val="0"/>
          <w:divBdr>
            <w:top w:val="none" w:sz="0" w:space="0" w:color="auto"/>
            <w:left w:val="none" w:sz="0" w:space="0" w:color="auto"/>
            <w:bottom w:val="none" w:sz="0" w:space="0" w:color="auto"/>
            <w:right w:val="none" w:sz="0" w:space="0" w:color="auto"/>
          </w:divBdr>
        </w:div>
        <w:div w:id="1011761197">
          <w:marLeft w:val="0"/>
          <w:marRight w:val="0"/>
          <w:marTop w:val="0"/>
          <w:marBottom w:val="0"/>
          <w:divBdr>
            <w:top w:val="none" w:sz="0" w:space="0" w:color="auto"/>
            <w:left w:val="none" w:sz="0" w:space="0" w:color="auto"/>
            <w:bottom w:val="none" w:sz="0" w:space="0" w:color="auto"/>
            <w:right w:val="none" w:sz="0" w:space="0" w:color="auto"/>
          </w:divBdr>
        </w:div>
      </w:divsChild>
    </w:div>
    <w:div w:id="350688477">
      <w:bodyDiv w:val="1"/>
      <w:marLeft w:val="0"/>
      <w:marRight w:val="0"/>
      <w:marTop w:val="0"/>
      <w:marBottom w:val="0"/>
      <w:divBdr>
        <w:top w:val="none" w:sz="0" w:space="0" w:color="auto"/>
        <w:left w:val="none" w:sz="0" w:space="0" w:color="auto"/>
        <w:bottom w:val="none" w:sz="0" w:space="0" w:color="auto"/>
        <w:right w:val="none" w:sz="0" w:space="0" w:color="auto"/>
      </w:divBdr>
    </w:div>
    <w:div w:id="399641639">
      <w:bodyDiv w:val="1"/>
      <w:marLeft w:val="0"/>
      <w:marRight w:val="0"/>
      <w:marTop w:val="0"/>
      <w:marBottom w:val="0"/>
      <w:divBdr>
        <w:top w:val="none" w:sz="0" w:space="0" w:color="auto"/>
        <w:left w:val="none" w:sz="0" w:space="0" w:color="auto"/>
        <w:bottom w:val="none" w:sz="0" w:space="0" w:color="auto"/>
        <w:right w:val="none" w:sz="0" w:space="0" w:color="auto"/>
      </w:divBdr>
    </w:div>
    <w:div w:id="439882544">
      <w:bodyDiv w:val="1"/>
      <w:marLeft w:val="0"/>
      <w:marRight w:val="0"/>
      <w:marTop w:val="0"/>
      <w:marBottom w:val="0"/>
      <w:divBdr>
        <w:top w:val="none" w:sz="0" w:space="0" w:color="auto"/>
        <w:left w:val="none" w:sz="0" w:space="0" w:color="auto"/>
        <w:bottom w:val="none" w:sz="0" w:space="0" w:color="auto"/>
        <w:right w:val="none" w:sz="0" w:space="0" w:color="auto"/>
      </w:divBdr>
    </w:div>
    <w:div w:id="576407394">
      <w:bodyDiv w:val="1"/>
      <w:marLeft w:val="0"/>
      <w:marRight w:val="0"/>
      <w:marTop w:val="0"/>
      <w:marBottom w:val="0"/>
      <w:divBdr>
        <w:top w:val="none" w:sz="0" w:space="0" w:color="auto"/>
        <w:left w:val="none" w:sz="0" w:space="0" w:color="auto"/>
        <w:bottom w:val="none" w:sz="0" w:space="0" w:color="auto"/>
        <w:right w:val="none" w:sz="0" w:space="0" w:color="auto"/>
      </w:divBdr>
    </w:div>
    <w:div w:id="682170778">
      <w:bodyDiv w:val="1"/>
      <w:marLeft w:val="0"/>
      <w:marRight w:val="0"/>
      <w:marTop w:val="0"/>
      <w:marBottom w:val="0"/>
      <w:divBdr>
        <w:top w:val="none" w:sz="0" w:space="0" w:color="auto"/>
        <w:left w:val="none" w:sz="0" w:space="0" w:color="auto"/>
        <w:bottom w:val="none" w:sz="0" w:space="0" w:color="auto"/>
        <w:right w:val="none" w:sz="0" w:space="0" w:color="auto"/>
      </w:divBdr>
      <w:divsChild>
        <w:div w:id="959414248">
          <w:marLeft w:val="0"/>
          <w:marRight w:val="0"/>
          <w:marTop w:val="0"/>
          <w:marBottom w:val="0"/>
          <w:divBdr>
            <w:top w:val="none" w:sz="0" w:space="0" w:color="auto"/>
            <w:left w:val="none" w:sz="0" w:space="0" w:color="auto"/>
            <w:bottom w:val="none" w:sz="0" w:space="0" w:color="auto"/>
            <w:right w:val="none" w:sz="0" w:space="0" w:color="auto"/>
          </w:divBdr>
          <w:divsChild>
            <w:div w:id="1560243519">
              <w:marLeft w:val="0"/>
              <w:marRight w:val="0"/>
              <w:marTop w:val="0"/>
              <w:marBottom w:val="0"/>
              <w:divBdr>
                <w:top w:val="none" w:sz="0" w:space="0" w:color="auto"/>
                <w:left w:val="none" w:sz="0" w:space="0" w:color="auto"/>
                <w:bottom w:val="none" w:sz="0" w:space="0" w:color="auto"/>
                <w:right w:val="none" w:sz="0" w:space="0" w:color="auto"/>
              </w:divBdr>
              <w:divsChild>
                <w:div w:id="1494375730">
                  <w:marLeft w:val="0"/>
                  <w:marRight w:val="0"/>
                  <w:marTop w:val="0"/>
                  <w:marBottom w:val="0"/>
                  <w:divBdr>
                    <w:top w:val="none" w:sz="0" w:space="0" w:color="auto"/>
                    <w:left w:val="none" w:sz="0" w:space="0" w:color="auto"/>
                    <w:bottom w:val="none" w:sz="0" w:space="0" w:color="auto"/>
                    <w:right w:val="none" w:sz="0" w:space="0" w:color="auto"/>
                  </w:divBdr>
                  <w:divsChild>
                    <w:div w:id="190606786">
                      <w:marLeft w:val="0"/>
                      <w:marRight w:val="0"/>
                      <w:marTop w:val="0"/>
                      <w:marBottom w:val="0"/>
                      <w:divBdr>
                        <w:top w:val="none" w:sz="0" w:space="0" w:color="auto"/>
                        <w:left w:val="none" w:sz="0" w:space="0" w:color="auto"/>
                        <w:bottom w:val="none" w:sz="0" w:space="0" w:color="auto"/>
                        <w:right w:val="none" w:sz="0" w:space="0" w:color="auto"/>
                      </w:divBdr>
                      <w:divsChild>
                        <w:div w:id="431554770">
                          <w:marLeft w:val="0"/>
                          <w:marRight w:val="0"/>
                          <w:marTop w:val="0"/>
                          <w:marBottom w:val="0"/>
                          <w:divBdr>
                            <w:top w:val="none" w:sz="0" w:space="0" w:color="auto"/>
                            <w:left w:val="none" w:sz="0" w:space="0" w:color="auto"/>
                            <w:bottom w:val="none" w:sz="0" w:space="0" w:color="auto"/>
                            <w:right w:val="none" w:sz="0" w:space="0" w:color="auto"/>
                          </w:divBdr>
                          <w:divsChild>
                            <w:div w:id="83279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9181599">
      <w:bodyDiv w:val="1"/>
      <w:marLeft w:val="0"/>
      <w:marRight w:val="0"/>
      <w:marTop w:val="0"/>
      <w:marBottom w:val="0"/>
      <w:divBdr>
        <w:top w:val="none" w:sz="0" w:space="0" w:color="auto"/>
        <w:left w:val="none" w:sz="0" w:space="0" w:color="auto"/>
        <w:bottom w:val="none" w:sz="0" w:space="0" w:color="auto"/>
        <w:right w:val="none" w:sz="0" w:space="0" w:color="auto"/>
      </w:divBdr>
    </w:div>
    <w:div w:id="1058478180">
      <w:bodyDiv w:val="1"/>
      <w:marLeft w:val="0"/>
      <w:marRight w:val="0"/>
      <w:marTop w:val="0"/>
      <w:marBottom w:val="0"/>
      <w:divBdr>
        <w:top w:val="none" w:sz="0" w:space="0" w:color="auto"/>
        <w:left w:val="none" w:sz="0" w:space="0" w:color="auto"/>
        <w:bottom w:val="none" w:sz="0" w:space="0" w:color="auto"/>
        <w:right w:val="none" w:sz="0" w:space="0" w:color="auto"/>
      </w:divBdr>
    </w:div>
    <w:div w:id="1330446885">
      <w:bodyDiv w:val="1"/>
      <w:marLeft w:val="0"/>
      <w:marRight w:val="0"/>
      <w:marTop w:val="0"/>
      <w:marBottom w:val="0"/>
      <w:divBdr>
        <w:top w:val="none" w:sz="0" w:space="0" w:color="auto"/>
        <w:left w:val="none" w:sz="0" w:space="0" w:color="auto"/>
        <w:bottom w:val="none" w:sz="0" w:space="0" w:color="auto"/>
        <w:right w:val="none" w:sz="0" w:space="0" w:color="auto"/>
      </w:divBdr>
    </w:div>
    <w:div w:id="1361970684">
      <w:bodyDiv w:val="1"/>
      <w:marLeft w:val="0"/>
      <w:marRight w:val="0"/>
      <w:marTop w:val="0"/>
      <w:marBottom w:val="0"/>
      <w:divBdr>
        <w:top w:val="none" w:sz="0" w:space="0" w:color="auto"/>
        <w:left w:val="none" w:sz="0" w:space="0" w:color="auto"/>
        <w:bottom w:val="none" w:sz="0" w:space="0" w:color="auto"/>
        <w:right w:val="none" w:sz="0" w:space="0" w:color="auto"/>
      </w:divBdr>
    </w:div>
    <w:div w:id="1752390040">
      <w:bodyDiv w:val="1"/>
      <w:marLeft w:val="0"/>
      <w:marRight w:val="0"/>
      <w:marTop w:val="0"/>
      <w:marBottom w:val="0"/>
      <w:divBdr>
        <w:top w:val="none" w:sz="0" w:space="0" w:color="auto"/>
        <w:left w:val="none" w:sz="0" w:space="0" w:color="auto"/>
        <w:bottom w:val="none" w:sz="0" w:space="0" w:color="auto"/>
        <w:right w:val="none" w:sz="0" w:space="0" w:color="auto"/>
      </w:divBdr>
    </w:div>
    <w:div w:id="1820615884">
      <w:bodyDiv w:val="1"/>
      <w:marLeft w:val="0"/>
      <w:marRight w:val="0"/>
      <w:marTop w:val="0"/>
      <w:marBottom w:val="0"/>
      <w:divBdr>
        <w:top w:val="none" w:sz="0" w:space="0" w:color="auto"/>
        <w:left w:val="none" w:sz="0" w:space="0" w:color="auto"/>
        <w:bottom w:val="none" w:sz="0" w:space="0" w:color="auto"/>
        <w:right w:val="none" w:sz="0" w:space="0" w:color="auto"/>
      </w:divBdr>
    </w:div>
    <w:div w:id="2007591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1/47"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sentencingcouncil.org.uk/news/item/assault-offences-explained/" TargetMode="External"/><Relationship Id="rId4" Type="http://schemas.openxmlformats.org/officeDocument/2006/relationships/settings" Target="settings.xml"/><Relationship Id="rId9" Type="http://schemas.openxmlformats.org/officeDocument/2006/relationships/hyperlink" Target="https://www.legislation.gov.uk/ukpga/Vict/24-25/100/section/1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1EF6E5-A7DD-4E94-959B-985D8AC89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2001</Words>
  <Characters>11120</Characters>
  <Application>Microsoft Office Word</Application>
  <DocSecurity>0</DocSecurity>
  <Lines>197</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2024-07-17T11:21:00Z</dcterms:created>
  <dcterms:modified xsi:type="dcterms:W3CDTF">2024-07-19T18:09:00Z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c7d6642d143211c33c2ac06e7a45c9f1c23ce3002a36341906b3dcefdae7f9e0</vt:lpwstr>
  </property>
</Properties>
</file>