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E74B6" w14:textId="32F3BC8A" w:rsidR="00041D2B" w:rsidRPr="00B95C5E" w:rsidRDefault="006374A2" w:rsidP="00B95C5E">
      <w:pPr>
        <w:spacing w:before="100" w:beforeAutospacing="1" w:after="100" w:afterAutospacing="1" w:line="360" w:lineRule="auto"/>
        <w:outlineLvl w:val="0"/>
        <w:rPr>
          <w:rFonts w:ascii="Arial" w:eastAsia="Times New Roman" w:hAnsi="Arial" w:cs="Arial"/>
          <w:b/>
          <w:bCs/>
          <w:kern w:val="36"/>
          <w:lang w:eastAsia="en-GB"/>
        </w:rPr>
      </w:pPr>
      <w:r w:rsidRPr="00B95C5E">
        <w:rPr>
          <w:rFonts w:ascii="Arial" w:eastAsia="Times New Roman" w:hAnsi="Arial" w:cs="Arial"/>
          <w:b/>
          <w:bCs/>
          <w:noProof/>
          <w:kern w:val="36"/>
          <w:lang w:eastAsia="en-GB"/>
        </w:rPr>
        <w:drawing>
          <wp:inline distT="0" distB="0" distL="0" distR="0" wp14:anchorId="4B94D4F2" wp14:editId="2B8830F5">
            <wp:extent cx="5715000" cy="3810000"/>
            <wp:effectExtent l="0" t="0" r="0" b="0"/>
            <wp:docPr id="353001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001542" name="Picture 353001542"/>
                    <pic:cNvPicPr/>
                  </pic:nvPicPr>
                  <pic:blipFill>
                    <a:blip r:embed="rId8">
                      <a:extLst>
                        <a:ext uri="{28A0092B-C50C-407E-A947-70E740481C1C}">
                          <a14:useLocalDpi xmlns:a14="http://schemas.microsoft.com/office/drawing/2010/main" val="0"/>
                        </a:ext>
                      </a:extLst>
                    </a:blip>
                    <a:stretch>
                      <a:fillRect/>
                    </a:stretch>
                  </pic:blipFill>
                  <pic:spPr>
                    <a:xfrm>
                      <a:off x="0" y="0"/>
                      <a:ext cx="5715000" cy="3810000"/>
                    </a:xfrm>
                    <a:prstGeom prst="rect">
                      <a:avLst/>
                    </a:prstGeom>
                  </pic:spPr>
                </pic:pic>
              </a:graphicData>
            </a:graphic>
          </wp:inline>
        </w:drawing>
      </w:r>
      <w:r w:rsidR="00041D2B" w:rsidRPr="00B95C5E">
        <w:rPr>
          <w:rFonts w:ascii="Arial" w:eastAsia="Times New Roman" w:hAnsi="Arial" w:cs="Arial"/>
          <w:b/>
          <w:bCs/>
          <w:kern w:val="36"/>
          <w:lang w:eastAsia="en-GB"/>
        </w:rPr>
        <w:t xml:space="preserve">Student Name: </w:t>
      </w:r>
      <w:r w:rsidR="00041D2B" w:rsidRPr="00B95C5E">
        <w:rPr>
          <w:rFonts w:ascii="Arial" w:eastAsia="Times New Roman" w:hAnsi="Arial" w:cs="Arial"/>
          <w:kern w:val="36"/>
          <w:lang w:eastAsia="en-GB"/>
        </w:rPr>
        <w:t>Brian O’Neal Salazar Chavez</w:t>
      </w:r>
    </w:p>
    <w:p w14:paraId="681C93DD" w14:textId="2C289126" w:rsidR="00041D2B" w:rsidRPr="00B95C5E" w:rsidRDefault="00041D2B" w:rsidP="00B95C5E">
      <w:pPr>
        <w:spacing w:before="100" w:beforeAutospacing="1" w:after="100" w:afterAutospacing="1" w:line="360" w:lineRule="auto"/>
        <w:outlineLvl w:val="0"/>
        <w:rPr>
          <w:rFonts w:ascii="Arial" w:eastAsia="Times New Roman" w:hAnsi="Arial" w:cs="Arial"/>
          <w:b/>
          <w:bCs/>
          <w:kern w:val="36"/>
          <w:lang w:eastAsia="en-GB"/>
        </w:rPr>
      </w:pPr>
      <w:r w:rsidRPr="00B95C5E">
        <w:rPr>
          <w:rFonts w:ascii="Arial" w:eastAsia="Times New Roman" w:hAnsi="Arial" w:cs="Arial"/>
          <w:b/>
          <w:bCs/>
          <w:kern w:val="36"/>
          <w:lang w:eastAsia="en-GB"/>
        </w:rPr>
        <w:t xml:space="preserve">Student ID Number: </w:t>
      </w:r>
      <w:r w:rsidRPr="00B95C5E">
        <w:rPr>
          <w:rFonts w:ascii="Arial" w:eastAsia="Times New Roman" w:hAnsi="Arial" w:cs="Arial"/>
          <w:kern w:val="36"/>
          <w:lang w:eastAsia="en-GB"/>
        </w:rPr>
        <w:t>2332410</w:t>
      </w:r>
    </w:p>
    <w:p w14:paraId="56D7E341" w14:textId="2B55337A" w:rsidR="00041D2B" w:rsidRPr="00B95C5E" w:rsidRDefault="00041D2B" w:rsidP="00B95C5E">
      <w:pPr>
        <w:spacing w:before="100" w:beforeAutospacing="1" w:after="100" w:afterAutospacing="1" w:line="360" w:lineRule="auto"/>
        <w:outlineLvl w:val="0"/>
        <w:rPr>
          <w:rFonts w:ascii="Arial" w:eastAsia="Times New Roman" w:hAnsi="Arial" w:cs="Arial"/>
          <w:b/>
          <w:bCs/>
          <w:kern w:val="36"/>
          <w:lang w:eastAsia="en-GB"/>
        </w:rPr>
      </w:pPr>
      <w:r w:rsidRPr="00B95C5E">
        <w:rPr>
          <w:rFonts w:ascii="Arial" w:eastAsia="Times New Roman" w:hAnsi="Arial" w:cs="Arial"/>
          <w:b/>
          <w:bCs/>
          <w:kern w:val="36"/>
          <w:lang w:eastAsia="en-GB"/>
        </w:rPr>
        <w:t xml:space="preserve">Programme: </w:t>
      </w:r>
      <w:r w:rsidRPr="00B95C5E">
        <w:rPr>
          <w:rFonts w:ascii="Arial" w:eastAsia="Times New Roman" w:hAnsi="Arial" w:cs="Arial"/>
          <w:kern w:val="36"/>
          <w:lang w:eastAsia="en-GB"/>
        </w:rPr>
        <w:t>Leadership and Management Skills for the Workplace</w:t>
      </w:r>
    </w:p>
    <w:p w14:paraId="3D78F6EE" w14:textId="7EA48C89" w:rsidR="00041D2B" w:rsidRPr="00B95C5E" w:rsidRDefault="00041D2B" w:rsidP="00B95C5E">
      <w:pPr>
        <w:spacing w:before="100" w:beforeAutospacing="1" w:after="100" w:afterAutospacing="1" w:line="360" w:lineRule="auto"/>
        <w:outlineLvl w:val="0"/>
        <w:rPr>
          <w:rFonts w:ascii="Arial" w:eastAsia="Times New Roman" w:hAnsi="Arial" w:cs="Arial"/>
          <w:b/>
          <w:bCs/>
          <w:kern w:val="36"/>
          <w:lang w:eastAsia="en-GB"/>
        </w:rPr>
      </w:pPr>
      <w:r w:rsidRPr="00B95C5E">
        <w:rPr>
          <w:rFonts w:ascii="Arial" w:eastAsia="Times New Roman" w:hAnsi="Arial" w:cs="Arial"/>
          <w:b/>
          <w:bCs/>
          <w:kern w:val="36"/>
          <w:lang w:eastAsia="en-GB"/>
        </w:rPr>
        <w:t xml:space="preserve">Module: </w:t>
      </w:r>
      <w:r w:rsidRPr="00B95C5E">
        <w:rPr>
          <w:rFonts w:ascii="Arial" w:eastAsia="Times New Roman" w:hAnsi="Arial" w:cs="Arial"/>
          <w:kern w:val="36"/>
          <w:lang w:eastAsia="en-GB"/>
        </w:rPr>
        <w:t>Organisational Culture</w:t>
      </w:r>
    </w:p>
    <w:p w14:paraId="4CA7E178" w14:textId="09B04CF9" w:rsidR="00041D2B" w:rsidRPr="00B95C5E" w:rsidRDefault="00041D2B" w:rsidP="00B95C5E">
      <w:pPr>
        <w:spacing w:before="100" w:beforeAutospacing="1" w:after="100" w:afterAutospacing="1" w:line="360" w:lineRule="auto"/>
        <w:outlineLvl w:val="0"/>
        <w:rPr>
          <w:rFonts w:ascii="Arial" w:eastAsia="Times New Roman" w:hAnsi="Arial" w:cs="Arial"/>
          <w:b/>
          <w:bCs/>
          <w:kern w:val="36"/>
          <w:lang w:eastAsia="en-GB"/>
        </w:rPr>
      </w:pPr>
      <w:r w:rsidRPr="00B95C5E">
        <w:rPr>
          <w:rFonts w:ascii="Arial" w:eastAsia="Times New Roman" w:hAnsi="Arial" w:cs="Arial"/>
          <w:b/>
          <w:bCs/>
          <w:kern w:val="36"/>
          <w:lang w:eastAsia="en-GB"/>
        </w:rPr>
        <w:t xml:space="preserve">Module Code: </w:t>
      </w:r>
      <w:r w:rsidRPr="00B95C5E">
        <w:rPr>
          <w:rFonts w:ascii="Arial" w:eastAsia="Times New Roman" w:hAnsi="Arial" w:cs="Arial"/>
          <w:kern w:val="36"/>
          <w:lang w:eastAsia="en-GB"/>
        </w:rPr>
        <w:t>LCLM5005</w:t>
      </w:r>
    </w:p>
    <w:p w14:paraId="0A2EAEBD" w14:textId="4B85A0D5" w:rsidR="00041D2B" w:rsidRPr="00B95C5E" w:rsidRDefault="00041D2B" w:rsidP="00B95C5E">
      <w:pPr>
        <w:spacing w:before="100" w:beforeAutospacing="1" w:after="100" w:afterAutospacing="1" w:line="360" w:lineRule="auto"/>
        <w:outlineLvl w:val="0"/>
        <w:rPr>
          <w:rFonts w:ascii="Arial" w:eastAsia="Times New Roman" w:hAnsi="Arial" w:cs="Arial"/>
          <w:kern w:val="36"/>
          <w:lang w:eastAsia="en-GB"/>
        </w:rPr>
      </w:pPr>
      <w:r w:rsidRPr="00B95C5E">
        <w:rPr>
          <w:rFonts w:ascii="Arial" w:eastAsia="Times New Roman" w:hAnsi="Arial" w:cs="Arial"/>
          <w:b/>
          <w:bCs/>
          <w:kern w:val="36"/>
          <w:lang w:eastAsia="en-GB"/>
        </w:rPr>
        <w:t xml:space="preserve">Assignment Title: </w:t>
      </w:r>
      <w:r w:rsidRPr="00B95C5E">
        <w:rPr>
          <w:rFonts w:ascii="Arial" w:eastAsia="Times New Roman" w:hAnsi="Arial" w:cs="Arial"/>
          <w:kern w:val="36"/>
          <w:lang w:eastAsia="en-GB"/>
        </w:rPr>
        <w:t>Component 1 – Organisational Culture: Individual Report</w:t>
      </w:r>
    </w:p>
    <w:p w14:paraId="368AC9DC" w14:textId="77777777" w:rsidR="00041D2B" w:rsidRPr="00B95C5E" w:rsidRDefault="00041D2B" w:rsidP="00B95C5E">
      <w:pPr>
        <w:spacing w:before="100" w:beforeAutospacing="1" w:after="100" w:afterAutospacing="1" w:line="360" w:lineRule="auto"/>
        <w:outlineLvl w:val="0"/>
        <w:rPr>
          <w:rFonts w:ascii="Arial" w:eastAsia="Times New Roman" w:hAnsi="Arial" w:cs="Arial"/>
          <w:b/>
          <w:bCs/>
          <w:kern w:val="36"/>
          <w:lang w:eastAsia="en-GB"/>
        </w:rPr>
      </w:pPr>
      <w:r w:rsidRPr="00B95C5E">
        <w:rPr>
          <w:rFonts w:ascii="Arial" w:eastAsia="Times New Roman" w:hAnsi="Arial" w:cs="Arial"/>
          <w:b/>
          <w:bCs/>
          <w:kern w:val="36"/>
          <w:lang w:eastAsia="en-GB"/>
        </w:rPr>
        <w:t xml:space="preserve">Module Leader:  </w:t>
      </w:r>
      <w:r w:rsidRPr="00B95C5E">
        <w:rPr>
          <w:rFonts w:ascii="Arial" w:eastAsia="Times New Roman" w:hAnsi="Arial" w:cs="Arial"/>
          <w:kern w:val="36"/>
          <w:lang w:eastAsia="en-GB"/>
        </w:rPr>
        <w:t xml:space="preserve">Amir </w:t>
      </w:r>
      <w:proofErr w:type="spellStart"/>
      <w:r w:rsidRPr="00B95C5E">
        <w:rPr>
          <w:rFonts w:ascii="Arial" w:eastAsia="Times New Roman" w:hAnsi="Arial" w:cs="Arial"/>
          <w:kern w:val="36"/>
          <w:lang w:eastAsia="en-GB"/>
        </w:rPr>
        <w:t>Homayounfard</w:t>
      </w:r>
      <w:proofErr w:type="spellEnd"/>
    </w:p>
    <w:p w14:paraId="72708936" w14:textId="77777777" w:rsidR="006374A2" w:rsidRPr="00B95C5E" w:rsidRDefault="006374A2" w:rsidP="00B95C5E">
      <w:pPr>
        <w:spacing w:before="100" w:beforeAutospacing="1" w:after="100" w:afterAutospacing="1" w:line="360" w:lineRule="auto"/>
        <w:outlineLvl w:val="0"/>
        <w:rPr>
          <w:rFonts w:ascii="Arial" w:eastAsia="Times New Roman" w:hAnsi="Arial" w:cs="Arial"/>
          <w:b/>
          <w:bCs/>
          <w:kern w:val="36"/>
          <w:lang w:eastAsia="en-GB"/>
        </w:rPr>
      </w:pPr>
    </w:p>
    <w:p w14:paraId="38AF223F" w14:textId="77777777" w:rsidR="006374A2" w:rsidRPr="00B95C5E" w:rsidRDefault="006374A2" w:rsidP="00B95C5E">
      <w:pPr>
        <w:spacing w:before="100" w:beforeAutospacing="1" w:after="100" w:afterAutospacing="1" w:line="360" w:lineRule="auto"/>
        <w:outlineLvl w:val="0"/>
        <w:rPr>
          <w:rFonts w:ascii="Arial" w:eastAsia="Times New Roman" w:hAnsi="Arial" w:cs="Arial"/>
          <w:b/>
          <w:bCs/>
          <w:kern w:val="36"/>
          <w:lang w:eastAsia="en-GB"/>
        </w:rPr>
      </w:pPr>
    </w:p>
    <w:p w14:paraId="6DF5D870" w14:textId="77777777" w:rsidR="006374A2" w:rsidRPr="00B95C5E" w:rsidRDefault="006374A2" w:rsidP="00B95C5E">
      <w:pPr>
        <w:spacing w:before="100" w:beforeAutospacing="1" w:after="100" w:afterAutospacing="1" w:line="360" w:lineRule="auto"/>
        <w:outlineLvl w:val="0"/>
        <w:rPr>
          <w:rFonts w:ascii="Arial" w:eastAsia="Times New Roman" w:hAnsi="Arial" w:cs="Arial"/>
          <w:b/>
          <w:bCs/>
          <w:kern w:val="36"/>
          <w:lang w:eastAsia="en-GB"/>
        </w:rPr>
      </w:pPr>
    </w:p>
    <w:p w14:paraId="5B77C74E" w14:textId="77777777" w:rsidR="006374A2" w:rsidRPr="00B95C5E" w:rsidRDefault="006374A2" w:rsidP="00B95C5E">
      <w:pPr>
        <w:spacing w:before="100" w:beforeAutospacing="1" w:after="100" w:afterAutospacing="1" w:line="360" w:lineRule="auto"/>
        <w:outlineLvl w:val="0"/>
        <w:rPr>
          <w:rFonts w:ascii="Arial" w:eastAsia="Times New Roman" w:hAnsi="Arial" w:cs="Arial"/>
          <w:b/>
          <w:bCs/>
          <w:kern w:val="36"/>
          <w:lang w:eastAsia="en-GB"/>
        </w:rPr>
      </w:pPr>
    </w:p>
    <w:p w14:paraId="7972A4A3" w14:textId="77777777" w:rsidR="002C3B16" w:rsidRPr="007E1A2B" w:rsidRDefault="002C3B16" w:rsidP="00D45738">
      <w:pPr>
        <w:pStyle w:val="Heading1"/>
        <w:spacing w:line="360" w:lineRule="auto"/>
        <w:rPr>
          <w:rFonts w:ascii="Arial" w:eastAsia="Times New Roman" w:hAnsi="Arial" w:cs="Arial"/>
          <w:b/>
          <w:bCs/>
          <w:color w:val="000000" w:themeColor="text1"/>
          <w:sz w:val="40"/>
          <w:szCs w:val="40"/>
          <w:lang w:eastAsia="en-GB"/>
        </w:rPr>
      </w:pPr>
      <w:r w:rsidRPr="007E1A2B">
        <w:rPr>
          <w:rFonts w:ascii="Arial" w:eastAsia="Times New Roman" w:hAnsi="Arial" w:cs="Arial"/>
          <w:b/>
          <w:bCs/>
          <w:color w:val="000000" w:themeColor="text1"/>
          <w:sz w:val="40"/>
          <w:szCs w:val="40"/>
          <w:lang w:eastAsia="en-GB"/>
        </w:rPr>
        <w:lastRenderedPageBreak/>
        <w:t>TABLE OF CONTENTS</w:t>
      </w:r>
    </w:p>
    <w:p w14:paraId="3E22EC5D" w14:textId="2B21C14C"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Introduction ..............................................................</w:t>
      </w:r>
      <w:r w:rsidR="00575FC4">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1</w:t>
      </w:r>
    </w:p>
    <w:p w14:paraId="5CD27C08" w14:textId="2ADE1113"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Literature Review ......................................................</w:t>
      </w:r>
      <w:r w:rsidR="00575FC4">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2</w:t>
      </w:r>
    </w:p>
    <w:p w14:paraId="11ED2D5B" w14:textId="4E5EE357"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Organisational Context of Tesco .............................</w:t>
      </w:r>
      <w:r w:rsidR="003152FE">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3</w:t>
      </w:r>
    </w:p>
    <w:p w14:paraId="52F1A57E" w14:textId="13C33549"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Organisational Culture and Structure ....................</w:t>
      </w:r>
      <w:r w:rsidR="003152FE">
        <w:rPr>
          <w:rFonts w:ascii="Arial" w:eastAsia="Times New Roman" w:hAnsi="Arial" w:cs="Arial"/>
          <w:b/>
          <w:bCs/>
          <w:color w:val="000000" w:themeColor="text1"/>
          <w:sz w:val="24"/>
          <w:szCs w:val="24"/>
          <w:lang w:eastAsia="en-GB"/>
        </w:rPr>
        <w:t>................................................</w:t>
      </w:r>
      <w:r w:rsidR="00D62BF1">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4</w:t>
      </w:r>
    </w:p>
    <w:p w14:paraId="1B66BDC6" w14:textId="239FEDF5"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Culture and Decision-Making Processes .............</w:t>
      </w:r>
      <w:r w:rsidR="003152FE">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5</w:t>
      </w:r>
    </w:p>
    <w:p w14:paraId="4F8B1717" w14:textId="2FB7B317"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Identifying Culture (Schein, Handy, Hofstede) ....</w:t>
      </w:r>
      <w:r w:rsidR="003152FE">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6</w:t>
      </w:r>
    </w:p>
    <w:p w14:paraId="2601B61B" w14:textId="7B773BB1"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Culture and External Environmental Adaptation ....</w:t>
      </w:r>
      <w:r w:rsidR="00D62BF1">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7</w:t>
      </w:r>
    </w:p>
    <w:p w14:paraId="2AB4011A" w14:textId="4D0D4CC8"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Organisational Culture as Enabler or Barrier ......</w:t>
      </w:r>
      <w:r w:rsidR="00D62BF1">
        <w:rPr>
          <w:rFonts w:ascii="Arial" w:eastAsia="Times New Roman" w:hAnsi="Arial" w:cs="Arial"/>
          <w:b/>
          <w:bCs/>
          <w:color w:val="000000" w:themeColor="text1"/>
          <w:sz w:val="24"/>
          <w:szCs w:val="24"/>
          <w:lang w:eastAsia="en-GB"/>
        </w:rPr>
        <w:t>..</w:t>
      </w:r>
      <w:r w:rsidR="009D0428">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8</w:t>
      </w:r>
    </w:p>
    <w:p w14:paraId="569B0D5F" w14:textId="37BE10A7"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Impact on Organisational Performance .............</w:t>
      </w:r>
      <w:r w:rsidR="009D0428">
        <w:rPr>
          <w:rFonts w:ascii="Arial" w:eastAsia="Times New Roman" w:hAnsi="Arial" w:cs="Arial"/>
          <w:b/>
          <w:bCs/>
          <w:color w:val="000000" w:themeColor="text1"/>
          <w:sz w:val="24"/>
          <w:szCs w:val="24"/>
          <w:lang w:eastAsia="en-GB"/>
        </w:rPr>
        <w:t>....................................................</w:t>
      </w:r>
      <w:r w:rsidR="00D45738" w:rsidRPr="00575FC4">
        <w:rPr>
          <w:rFonts w:ascii="Arial" w:eastAsia="Times New Roman" w:hAnsi="Arial" w:cs="Arial"/>
          <w:b/>
          <w:bCs/>
          <w:color w:val="000000" w:themeColor="text1"/>
          <w:sz w:val="24"/>
          <w:szCs w:val="24"/>
          <w:lang w:eastAsia="en-GB"/>
        </w:rPr>
        <w:t>9</w:t>
      </w:r>
    </w:p>
    <w:p w14:paraId="155CE7EE" w14:textId="24FD2379"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Recommendations ............................................</w:t>
      </w:r>
      <w:r w:rsidR="009D0428">
        <w:rPr>
          <w:rFonts w:ascii="Arial" w:eastAsia="Times New Roman" w:hAnsi="Arial" w:cs="Arial"/>
          <w:b/>
          <w:bCs/>
          <w:color w:val="000000" w:themeColor="text1"/>
          <w:sz w:val="24"/>
          <w:szCs w:val="24"/>
          <w:lang w:eastAsia="en-GB"/>
        </w:rPr>
        <w:t>......................................................1</w:t>
      </w:r>
      <w:r w:rsidR="00D45738" w:rsidRPr="00575FC4">
        <w:rPr>
          <w:rFonts w:ascii="Arial" w:eastAsia="Times New Roman" w:hAnsi="Arial" w:cs="Arial"/>
          <w:b/>
          <w:bCs/>
          <w:color w:val="000000" w:themeColor="text1"/>
          <w:sz w:val="24"/>
          <w:szCs w:val="24"/>
          <w:lang w:eastAsia="en-GB"/>
        </w:rPr>
        <w:t>0</w:t>
      </w:r>
    </w:p>
    <w:p w14:paraId="283A56F3" w14:textId="3D502C3B"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Conclusion .........................................................</w:t>
      </w:r>
      <w:r w:rsidR="009D0428">
        <w:rPr>
          <w:rFonts w:ascii="Arial" w:eastAsia="Times New Roman" w:hAnsi="Arial" w:cs="Arial"/>
          <w:b/>
          <w:bCs/>
          <w:color w:val="000000" w:themeColor="text1"/>
          <w:sz w:val="24"/>
          <w:szCs w:val="24"/>
          <w:lang w:eastAsia="en-GB"/>
        </w:rPr>
        <w:t>.....................................................</w:t>
      </w:r>
      <w:r w:rsidRPr="00575FC4">
        <w:rPr>
          <w:rFonts w:ascii="Arial" w:eastAsia="Times New Roman" w:hAnsi="Arial" w:cs="Arial"/>
          <w:b/>
          <w:bCs/>
          <w:color w:val="000000" w:themeColor="text1"/>
          <w:sz w:val="24"/>
          <w:szCs w:val="24"/>
          <w:lang w:eastAsia="en-GB"/>
        </w:rPr>
        <w:t>1</w:t>
      </w:r>
      <w:r w:rsidR="00D45738" w:rsidRPr="00575FC4">
        <w:rPr>
          <w:rFonts w:ascii="Arial" w:eastAsia="Times New Roman" w:hAnsi="Arial" w:cs="Arial"/>
          <w:b/>
          <w:bCs/>
          <w:color w:val="000000" w:themeColor="text1"/>
          <w:sz w:val="24"/>
          <w:szCs w:val="24"/>
          <w:lang w:eastAsia="en-GB"/>
        </w:rPr>
        <w:t>1</w:t>
      </w:r>
    </w:p>
    <w:p w14:paraId="612678AC" w14:textId="3BB368CB" w:rsidR="002C3B16" w:rsidRPr="00575FC4" w:rsidRDefault="002C3B16" w:rsidP="00D45738">
      <w:pPr>
        <w:pStyle w:val="Heading1"/>
        <w:spacing w:line="360" w:lineRule="auto"/>
        <w:rPr>
          <w:rFonts w:ascii="Arial" w:eastAsia="Times New Roman" w:hAnsi="Arial" w:cs="Arial"/>
          <w:b/>
          <w:bCs/>
          <w:color w:val="000000" w:themeColor="text1"/>
          <w:sz w:val="24"/>
          <w:szCs w:val="24"/>
          <w:lang w:eastAsia="en-GB"/>
        </w:rPr>
      </w:pPr>
      <w:r w:rsidRPr="00575FC4">
        <w:rPr>
          <w:rFonts w:ascii="Arial" w:eastAsia="Times New Roman" w:hAnsi="Arial" w:cs="Arial"/>
          <w:b/>
          <w:bCs/>
          <w:color w:val="000000" w:themeColor="text1"/>
          <w:sz w:val="24"/>
          <w:szCs w:val="24"/>
          <w:lang w:eastAsia="en-GB"/>
        </w:rPr>
        <w:t>References ..........................................................</w:t>
      </w:r>
      <w:r w:rsidR="009D0428">
        <w:rPr>
          <w:rFonts w:ascii="Arial" w:eastAsia="Times New Roman" w:hAnsi="Arial" w:cs="Arial"/>
          <w:b/>
          <w:bCs/>
          <w:color w:val="000000" w:themeColor="text1"/>
          <w:sz w:val="24"/>
          <w:szCs w:val="24"/>
          <w:lang w:eastAsia="en-GB"/>
        </w:rPr>
        <w:t>....................................................</w:t>
      </w:r>
      <w:r w:rsidRPr="00575FC4">
        <w:rPr>
          <w:rFonts w:ascii="Arial" w:eastAsia="Times New Roman" w:hAnsi="Arial" w:cs="Arial"/>
          <w:b/>
          <w:bCs/>
          <w:color w:val="000000" w:themeColor="text1"/>
          <w:sz w:val="24"/>
          <w:szCs w:val="24"/>
          <w:lang w:eastAsia="en-GB"/>
        </w:rPr>
        <w:t>1</w:t>
      </w:r>
      <w:r w:rsidR="00D45738" w:rsidRPr="00575FC4">
        <w:rPr>
          <w:rFonts w:ascii="Arial" w:eastAsia="Times New Roman" w:hAnsi="Arial" w:cs="Arial"/>
          <w:b/>
          <w:bCs/>
          <w:color w:val="000000" w:themeColor="text1"/>
          <w:sz w:val="24"/>
          <w:szCs w:val="24"/>
          <w:lang w:eastAsia="en-GB"/>
        </w:rPr>
        <w:t>2</w:t>
      </w:r>
    </w:p>
    <w:p w14:paraId="5291ECF0" w14:textId="77777777" w:rsidR="006374A2" w:rsidRPr="00D45738" w:rsidRDefault="006374A2" w:rsidP="00D45738">
      <w:pPr>
        <w:spacing w:before="100" w:beforeAutospacing="1" w:after="100" w:afterAutospacing="1" w:line="360" w:lineRule="auto"/>
        <w:outlineLvl w:val="0"/>
        <w:rPr>
          <w:rFonts w:ascii="Arial" w:eastAsia="Times New Roman" w:hAnsi="Arial" w:cs="Arial"/>
          <w:b/>
          <w:bCs/>
          <w:kern w:val="36"/>
          <w:sz w:val="24"/>
          <w:szCs w:val="24"/>
          <w:lang w:eastAsia="en-GB"/>
        </w:rPr>
      </w:pPr>
    </w:p>
    <w:p w14:paraId="5EB7F60D" w14:textId="77777777" w:rsidR="006374A2" w:rsidRPr="00D45738" w:rsidRDefault="006374A2" w:rsidP="00D45738">
      <w:pPr>
        <w:spacing w:before="100" w:beforeAutospacing="1" w:after="100" w:afterAutospacing="1" w:line="360" w:lineRule="auto"/>
        <w:outlineLvl w:val="0"/>
        <w:rPr>
          <w:rFonts w:ascii="Arial" w:eastAsia="Times New Roman" w:hAnsi="Arial" w:cs="Arial"/>
          <w:b/>
          <w:bCs/>
          <w:kern w:val="36"/>
          <w:sz w:val="24"/>
          <w:szCs w:val="24"/>
          <w:lang w:eastAsia="en-GB"/>
        </w:rPr>
      </w:pPr>
    </w:p>
    <w:p w14:paraId="5AF8468F" w14:textId="77777777" w:rsidR="006374A2" w:rsidRPr="00D45738" w:rsidRDefault="006374A2" w:rsidP="00D45738">
      <w:pPr>
        <w:spacing w:before="100" w:beforeAutospacing="1" w:after="100" w:afterAutospacing="1" w:line="360" w:lineRule="auto"/>
        <w:outlineLvl w:val="0"/>
        <w:rPr>
          <w:rFonts w:ascii="Arial" w:eastAsia="Times New Roman" w:hAnsi="Arial" w:cs="Arial"/>
          <w:b/>
          <w:bCs/>
          <w:kern w:val="36"/>
          <w:sz w:val="24"/>
          <w:szCs w:val="24"/>
          <w:lang w:eastAsia="en-GB"/>
        </w:rPr>
      </w:pPr>
    </w:p>
    <w:p w14:paraId="046902A6" w14:textId="77777777" w:rsidR="006374A2" w:rsidRPr="00D45738" w:rsidRDefault="006374A2" w:rsidP="00D45738">
      <w:pPr>
        <w:spacing w:before="100" w:beforeAutospacing="1" w:after="100" w:afterAutospacing="1" w:line="360" w:lineRule="auto"/>
        <w:outlineLvl w:val="0"/>
        <w:rPr>
          <w:rFonts w:ascii="Arial" w:eastAsia="Times New Roman" w:hAnsi="Arial" w:cs="Arial"/>
          <w:b/>
          <w:bCs/>
          <w:kern w:val="36"/>
          <w:sz w:val="24"/>
          <w:szCs w:val="24"/>
          <w:lang w:eastAsia="en-GB"/>
        </w:rPr>
      </w:pPr>
    </w:p>
    <w:p w14:paraId="11AD5037" w14:textId="77777777" w:rsidR="00BF31DB" w:rsidRPr="00D45738" w:rsidRDefault="00BF31DB" w:rsidP="00D45738">
      <w:pPr>
        <w:spacing w:before="100" w:beforeAutospacing="1" w:after="100" w:afterAutospacing="1" w:line="360" w:lineRule="auto"/>
        <w:outlineLvl w:val="0"/>
        <w:rPr>
          <w:rFonts w:ascii="Arial" w:eastAsia="Times New Roman" w:hAnsi="Arial" w:cs="Arial"/>
          <w:b/>
          <w:bCs/>
          <w:kern w:val="36"/>
          <w:sz w:val="24"/>
          <w:szCs w:val="24"/>
          <w:lang w:eastAsia="en-GB"/>
        </w:rPr>
        <w:sectPr w:rsidR="00BF31DB" w:rsidRPr="00D45738" w:rsidSect="00F46F38">
          <w:footerReference w:type="default" r:id="rId9"/>
          <w:footerReference w:type="first" r:id="rId10"/>
          <w:pgSz w:w="11906" w:h="16838"/>
          <w:pgMar w:top="1440" w:right="1440" w:bottom="1440" w:left="1440" w:header="708" w:footer="708" w:gutter="0"/>
          <w:cols w:space="708"/>
          <w:titlePg/>
          <w:docGrid w:linePitch="360"/>
        </w:sectPr>
      </w:pPr>
    </w:p>
    <w:p w14:paraId="349AA3E8" w14:textId="78659F26" w:rsidR="00041D2B" w:rsidRPr="00D45738" w:rsidRDefault="00041D2B" w:rsidP="00D219CA">
      <w:pPr>
        <w:spacing w:before="100" w:beforeAutospacing="1" w:after="100" w:afterAutospacing="1" w:line="360" w:lineRule="auto"/>
        <w:outlineLvl w:val="0"/>
        <w:rPr>
          <w:rFonts w:ascii="Arial" w:eastAsia="Times New Roman" w:hAnsi="Arial" w:cs="Arial"/>
          <w:b/>
          <w:bCs/>
          <w:kern w:val="36"/>
          <w:sz w:val="24"/>
          <w:szCs w:val="24"/>
          <w:lang w:eastAsia="en-GB"/>
        </w:rPr>
      </w:pPr>
      <w:r w:rsidRPr="00D45738">
        <w:rPr>
          <w:rFonts w:ascii="Arial" w:eastAsia="Times New Roman" w:hAnsi="Arial" w:cs="Arial"/>
          <w:b/>
          <w:bCs/>
          <w:kern w:val="36"/>
          <w:sz w:val="24"/>
          <w:szCs w:val="24"/>
          <w:lang w:eastAsia="en-GB"/>
        </w:rPr>
        <w:lastRenderedPageBreak/>
        <w:t>1. Introduction</w:t>
      </w:r>
    </w:p>
    <w:p w14:paraId="2B8EBE0B" w14:textId="77777777" w:rsidR="00041D2B" w:rsidRPr="00741E12" w:rsidRDefault="00041D2B" w:rsidP="00D219CA">
      <w:pPr>
        <w:spacing w:before="100" w:beforeAutospacing="1" w:after="100" w:afterAutospacing="1" w:line="360" w:lineRule="auto"/>
        <w:rPr>
          <w:rFonts w:ascii="Arial" w:eastAsia="Times New Roman" w:hAnsi="Arial" w:cs="Arial"/>
          <w:lang w:eastAsia="en-GB"/>
        </w:rPr>
      </w:pPr>
      <w:r w:rsidRPr="00741E12">
        <w:rPr>
          <w:rFonts w:ascii="Arial" w:eastAsia="Times New Roman" w:hAnsi="Arial" w:cs="Arial"/>
          <w:lang w:eastAsia="en-GB"/>
        </w:rPr>
        <w:t>Organisational culture is widely recognised as a fundamental determinant of how organisations operate, make decisions and achieve their strategic objectives. It refers to the shared values, beliefs, assumptions and behavioural norms that shape how individuals within an organisation think and act. According to Schein (2010), organisational culture develops as groups learn to cope with problems of external adaptation and internal integration, leading to the formation of deeply embedded assumptions that guide behaviour across all organisational levels.</w:t>
      </w:r>
    </w:p>
    <w:p w14:paraId="1E1D7FC5" w14:textId="77777777" w:rsidR="00041D2B" w:rsidRPr="00741E12" w:rsidRDefault="00041D2B" w:rsidP="00D219CA">
      <w:pPr>
        <w:spacing w:before="100" w:beforeAutospacing="1" w:after="100" w:afterAutospacing="1" w:line="360" w:lineRule="auto"/>
        <w:rPr>
          <w:rFonts w:ascii="Arial" w:eastAsia="Times New Roman" w:hAnsi="Arial" w:cs="Arial"/>
          <w:lang w:eastAsia="en-GB"/>
        </w:rPr>
      </w:pPr>
      <w:r w:rsidRPr="00741E12">
        <w:rPr>
          <w:rFonts w:ascii="Arial" w:eastAsia="Times New Roman" w:hAnsi="Arial" w:cs="Arial"/>
          <w:lang w:eastAsia="en-GB"/>
        </w:rPr>
        <w:t>In contemporary business environments, organisational culture plays a critical role in influencing organisational effectiveness and long-term performance. Mullins and Christy (2016) argue that culture significantly affects organisational processes such as leadership style, communication, decision-making and employee motivation. Therefore, organisations with well-managed cultures are more likely to achieve sustainable competitive advantage.</w:t>
      </w:r>
    </w:p>
    <w:p w14:paraId="6CBB5EE3" w14:textId="77777777" w:rsidR="00041D2B" w:rsidRPr="00741E12" w:rsidRDefault="00041D2B" w:rsidP="00D219CA">
      <w:pPr>
        <w:spacing w:before="100" w:beforeAutospacing="1" w:after="100" w:afterAutospacing="1" w:line="360" w:lineRule="auto"/>
        <w:rPr>
          <w:rFonts w:ascii="Arial" w:eastAsia="Times New Roman" w:hAnsi="Arial" w:cs="Arial"/>
          <w:lang w:eastAsia="en-GB"/>
        </w:rPr>
      </w:pPr>
      <w:r w:rsidRPr="00741E12">
        <w:rPr>
          <w:rFonts w:ascii="Arial" w:eastAsia="Times New Roman" w:hAnsi="Arial" w:cs="Arial"/>
          <w:lang w:eastAsia="en-GB"/>
        </w:rPr>
        <w:t>Tesco operates in the highly competitive UK retail sector, characterised by price sensitivity, technological disruption and rapidly changing consumer expectations. The organisation must continuously adapt to external pressures such as inflation, sustainability concerns and digital transformation. Within this context, organisational culture becomes a key factor in determining how effectively Tesco responds to these challenges.</w:t>
      </w:r>
    </w:p>
    <w:p w14:paraId="6B341EC0" w14:textId="77777777" w:rsidR="00041D2B" w:rsidRPr="00741E12" w:rsidRDefault="00041D2B" w:rsidP="00D219CA">
      <w:pPr>
        <w:spacing w:before="100" w:beforeAutospacing="1" w:after="100" w:afterAutospacing="1" w:line="360" w:lineRule="auto"/>
        <w:rPr>
          <w:rFonts w:ascii="Arial" w:eastAsia="Times New Roman" w:hAnsi="Arial" w:cs="Arial"/>
          <w:lang w:eastAsia="en-GB"/>
        </w:rPr>
      </w:pPr>
      <w:r w:rsidRPr="00741E12">
        <w:rPr>
          <w:rFonts w:ascii="Arial" w:eastAsia="Times New Roman" w:hAnsi="Arial" w:cs="Arial"/>
          <w:lang w:eastAsia="en-GB"/>
        </w:rPr>
        <w:t>The 2014 accounting scandal highlighted weaknesses in Tesco’s governance and ethical culture, demonstrating how cultural issues can directly impact organisational performance and reputation. Following this event, Tesco implemented significant structural and cultural changes aimed at improving transparency and accountability.</w:t>
      </w:r>
    </w:p>
    <w:p w14:paraId="1B10A45A" w14:textId="77777777" w:rsidR="00B56261" w:rsidRPr="00741E12" w:rsidRDefault="003E1327" w:rsidP="00D219CA">
      <w:pPr>
        <w:spacing w:before="100" w:beforeAutospacing="1" w:after="100" w:afterAutospacing="1" w:line="360" w:lineRule="auto"/>
        <w:rPr>
          <w:rFonts w:ascii="Arial" w:hAnsi="Arial" w:cs="Arial"/>
        </w:rPr>
      </w:pPr>
      <w:r w:rsidRPr="00741E12">
        <w:rPr>
          <w:rFonts w:ascii="Arial" w:hAnsi="Arial" w:cs="Arial"/>
        </w:rPr>
        <w:t>This report critically examines Tesco’s organisational culture and evaluates its influence on structure, decision-making and performance. It applies key theoretical frameworks, including Schein’s model, Handy’s cultural types and Hofstede’s cultural dimensions, to provide a comprehensive analysis. The report also assesses whether Tesco’s culture acts as an enabler or barrier and proposes recommendations to support long-term organisational success in a dynamic retail environment.</w:t>
      </w:r>
    </w:p>
    <w:p w14:paraId="74FAD6B8" w14:textId="77777777" w:rsidR="00436E37" w:rsidRDefault="00436E37" w:rsidP="00D219CA">
      <w:pPr>
        <w:spacing w:before="100" w:beforeAutospacing="1" w:after="100" w:afterAutospacing="1" w:line="360" w:lineRule="auto"/>
        <w:rPr>
          <w:rFonts w:ascii="Arial" w:eastAsia="Times New Roman" w:hAnsi="Arial" w:cs="Arial"/>
          <w:b/>
          <w:bCs/>
          <w:kern w:val="36"/>
          <w:sz w:val="24"/>
          <w:szCs w:val="24"/>
          <w:lang w:eastAsia="en-GB"/>
        </w:rPr>
      </w:pPr>
    </w:p>
    <w:p w14:paraId="3049476F" w14:textId="77777777" w:rsidR="00436E37" w:rsidRDefault="00436E37" w:rsidP="00D219CA">
      <w:pPr>
        <w:spacing w:before="100" w:beforeAutospacing="1" w:after="100" w:afterAutospacing="1" w:line="360" w:lineRule="auto"/>
        <w:rPr>
          <w:rFonts w:ascii="Arial" w:eastAsia="Times New Roman" w:hAnsi="Arial" w:cs="Arial"/>
          <w:b/>
          <w:bCs/>
          <w:kern w:val="36"/>
          <w:sz w:val="24"/>
          <w:szCs w:val="24"/>
          <w:lang w:eastAsia="en-GB"/>
        </w:rPr>
      </w:pPr>
    </w:p>
    <w:p w14:paraId="5215B892" w14:textId="560C4894" w:rsidR="00041D2B" w:rsidRPr="00D45738" w:rsidRDefault="00041D2B" w:rsidP="00D219CA">
      <w:pPr>
        <w:spacing w:before="100" w:beforeAutospacing="1" w:after="100" w:afterAutospacing="1" w:line="360" w:lineRule="auto"/>
        <w:rPr>
          <w:rFonts w:ascii="Arial" w:eastAsia="Times New Roman" w:hAnsi="Arial" w:cs="Arial"/>
          <w:sz w:val="24"/>
          <w:szCs w:val="24"/>
          <w:lang w:eastAsia="en-GB"/>
        </w:rPr>
      </w:pPr>
      <w:r w:rsidRPr="00D45738">
        <w:rPr>
          <w:rFonts w:ascii="Arial" w:eastAsia="Times New Roman" w:hAnsi="Arial" w:cs="Arial"/>
          <w:b/>
          <w:bCs/>
          <w:kern w:val="36"/>
          <w:sz w:val="24"/>
          <w:szCs w:val="24"/>
          <w:lang w:eastAsia="en-GB"/>
        </w:rPr>
        <w:lastRenderedPageBreak/>
        <w:t>2. Literature Review</w:t>
      </w:r>
    </w:p>
    <w:p w14:paraId="26569787" w14:textId="77777777" w:rsidR="00041D2B" w:rsidRPr="00436E37" w:rsidRDefault="00041D2B" w:rsidP="00D219CA">
      <w:pPr>
        <w:spacing w:before="100" w:beforeAutospacing="1" w:after="100" w:afterAutospacing="1" w:line="360" w:lineRule="auto"/>
        <w:rPr>
          <w:rFonts w:ascii="Arial" w:eastAsia="Times New Roman" w:hAnsi="Arial" w:cs="Arial"/>
          <w:lang w:eastAsia="en-GB"/>
        </w:rPr>
      </w:pPr>
      <w:r w:rsidRPr="00436E37">
        <w:rPr>
          <w:rFonts w:ascii="Arial" w:eastAsia="Times New Roman" w:hAnsi="Arial" w:cs="Arial"/>
          <w:lang w:eastAsia="en-GB"/>
        </w:rPr>
        <w:t>Organisational culture has been extensively examined within academic literature, with several theoretical models developed to explain its nature and impact. Schein’s (2010) three-level model is one of the most influential frameworks, identifying artefacts, espoused values and underlying assumptions as the key components of culture. Artefacts represent visible aspects such as language, dress and organisational structures, while espoused values reflect the organisation’s stated beliefs and strategies. Underlying assumptions are deeply embedded and often unconscious beliefs that guide behaviour.</w:t>
      </w:r>
    </w:p>
    <w:p w14:paraId="62FFCB64" w14:textId="77777777" w:rsidR="00041D2B" w:rsidRPr="00436E37" w:rsidRDefault="00041D2B" w:rsidP="00D219CA">
      <w:pPr>
        <w:spacing w:before="100" w:beforeAutospacing="1" w:after="100" w:afterAutospacing="1" w:line="360" w:lineRule="auto"/>
        <w:rPr>
          <w:rFonts w:ascii="Arial" w:eastAsia="Times New Roman" w:hAnsi="Arial" w:cs="Arial"/>
          <w:lang w:eastAsia="en-GB"/>
        </w:rPr>
      </w:pPr>
      <w:r w:rsidRPr="00436E37">
        <w:rPr>
          <w:rFonts w:ascii="Arial" w:eastAsia="Times New Roman" w:hAnsi="Arial" w:cs="Arial"/>
          <w:lang w:eastAsia="en-GB"/>
        </w:rPr>
        <w:t>Handy (1993) categorises organisational culture into four types: power culture, role culture, task culture and person culture. Role culture is commonly associated with large organisations and is characterised by formal structures, clearly defined roles and hierarchical control. While this type of culture promotes stability and efficiency, it may limit flexibility and innovation.</w:t>
      </w:r>
    </w:p>
    <w:p w14:paraId="0A2AA1C2" w14:textId="77777777" w:rsidR="00041D2B" w:rsidRPr="00436E37" w:rsidRDefault="00041D2B" w:rsidP="00D219CA">
      <w:pPr>
        <w:spacing w:before="100" w:beforeAutospacing="1" w:after="100" w:afterAutospacing="1" w:line="360" w:lineRule="auto"/>
        <w:rPr>
          <w:rFonts w:ascii="Arial" w:eastAsia="Times New Roman" w:hAnsi="Arial" w:cs="Arial"/>
          <w:lang w:eastAsia="en-GB"/>
        </w:rPr>
      </w:pPr>
      <w:r w:rsidRPr="00436E37">
        <w:rPr>
          <w:rFonts w:ascii="Arial" w:eastAsia="Times New Roman" w:hAnsi="Arial" w:cs="Arial"/>
          <w:lang w:eastAsia="en-GB"/>
        </w:rPr>
        <w:t>Hofstede (2011) introduces a cross-cultural perspective by identifying dimensions such as power distance, uncertainty avoidance and individualism. These dimensions help explain how cultural differences influence organisational behaviour and decision-making processes. For example, organisations with high uncertainty avoidance tend to rely on structured processes and formal rules.</w:t>
      </w:r>
    </w:p>
    <w:p w14:paraId="208C4E92" w14:textId="77777777" w:rsidR="00041D2B" w:rsidRPr="00436E37" w:rsidRDefault="00041D2B" w:rsidP="00D219CA">
      <w:pPr>
        <w:spacing w:before="100" w:beforeAutospacing="1" w:after="100" w:afterAutospacing="1" w:line="360" w:lineRule="auto"/>
        <w:rPr>
          <w:rFonts w:ascii="Arial" w:eastAsia="Times New Roman" w:hAnsi="Arial" w:cs="Arial"/>
          <w:lang w:eastAsia="en-GB"/>
        </w:rPr>
      </w:pPr>
      <w:r w:rsidRPr="00436E37">
        <w:rPr>
          <w:rFonts w:ascii="Arial" w:eastAsia="Times New Roman" w:hAnsi="Arial" w:cs="Arial"/>
          <w:lang w:eastAsia="en-GB"/>
        </w:rPr>
        <w:t>Denison (1990) highlights the relationship between organisational culture and performance, suggesting that strong cultures improve effectiveness by aligning employee behaviour with organisational goals. However, Alvesson (2013) argues that strong cultures can also create rigidity and resistance to change, particularly in dynamic environments.</w:t>
      </w:r>
    </w:p>
    <w:p w14:paraId="41AEE844" w14:textId="77777777" w:rsidR="00041D2B" w:rsidRPr="00436E37" w:rsidRDefault="00041D2B" w:rsidP="00D219CA">
      <w:pPr>
        <w:spacing w:before="100" w:beforeAutospacing="1" w:after="100" w:afterAutospacing="1" w:line="360" w:lineRule="auto"/>
        <w:rPr>
          <w:rFonts w:ascii="Arial" w:eastAsia="Times New Roman" w:hAnsi="Arial" w:cs="Arial"/>
          <w:lang w:eastAsia="en-GB"/>
        </w:rPr>
      </w:pPr>
      <w:r w:rsidRPr="00436E37">
        <w:rPr>
          <w:rFonts w:ascii="Arial" w:eastAsia="Times New Roman" w:hAnsi="Arial" w:cs="Arial"/>
          <w:lang w:eastAsia="en-GB"/>
        </w:rPr>
        <w:t>Overall, the literature suggests that organisational culture is a complex and multifaceted concept that can both enhance and constrain organisational performance depending on how it is managed.</w:t>
      </w:r>
    </w:p>
    <w:p w14:paraId="3E4804CA" w14:textId="69FC6748" w:rsidR="000F2271" w:rsidRPr="00436E37" w:rsidRDefault="000F2271" w:rsidP="00D219CA">
      <w:pPr>
        <w:spacing w:before="100" w:beforeAutospacing="1" w:after="100" w:afterAutospacing="1" w:line="360" w:lineRule="auto"/>
        <w:rPr>
          <w:rFonts w:ascii="Arial" w:eastAsia="Times New Roman" w:hAnsi="Arial" w:cs="Arial"/>
          <w:lang w:eastAsia="en-GB"/>
        </w:rPr>
      </w:pPr>
      <w:r w:rsidRPr="00436E37">
        <w:rPr>
          <w:rFonts w:ascii="Arial" w:hAnsi="Arial" w:cs="Arial"/>
        </w:rPr>
        <w:t>However, while these models provide valuable insights, they may oversimplify the complexity of organisational culture. In practice, organisations often develop hybrid cultures that evolve over time in response to internal and external pressures. This suggests that culture is dynamic rather than static.</w:t>
      </w:r>
    </w:p>
    <w:p w14:paraId="60D281EF" w14:textId="77777777" w:rsidR="00436E37" w:rsidRDefault="00436E37" w:rsidP="00D219CA">
      <w:pPr>
        <w:spacing w:before="100" w:beforeAutospacing="1" w:after="100" w:afterAutospacing="1" w:line="360" w:lineRule="auto"/>
        <w:outlineLvl w:val="0"/>
        <w:rPr>
          <w:rFonts w:ascii="Arial" w:eastAsia="Times New Roman" w:hAnsi="Arial" w:cs="Arial"/>
          <w:sz w:val="24"/>
          <w:szCs w:val="24"/>
          <w:lang w:eastAsia="en-GB"/>
        </w:rPr>
      </w:pPr>
    </w:p>
    <w:p w14:paraId="2B89B9CC" w14:textId="79A8EE7F" w:rsidR="00041D2B" w:rsidRPr="00D45738" w:rsidRDefault="00041D2B" w:rsidP="00D219CA">
      <w:pPr>
        <w:spacing w:before="100" w:beforeAutospacing="1" w:after="100" w:afterAutospacing="1" w:line="360" w:lineRule="auto"/>
        <w:outlineLvl w:val="0"/>
        <w:rPr>
          <w:rFonts w:ascii="Arial" w:eastAsia="Times New Roman" w:hAnsi="Arial" w:cs="Arial"/>
          <w:b/>
          <w:bCs/>
          <w:kern w:val="36"/>
          <w:sz w:val="24"/>
          <w:szCs w:val="24"/>
          <w:lang w:eastAsia="en-GB"/>
        </w:rPr>
      </w:pPr>
      <w:r w:rsidRPr="00D45738">
        <w:rPr>
          <w:rFonts w:ascii="Arial" w:eastAsia="Times New Roman" w:hAnsi="Arial" w:cs="Arial"/>
          <w:b/>
          <w:bCs/>
          <w:kern w:val="36"/>
          <w:sz w:val="24"/>
          <w:szCs w:val="24"/>
          <w:lang w:eastAsia="en-GB"/>
        </w:rPr>
        <w:lastRenderedPageBreak/>
        <w:t>3. Organisational Context of Tesco</w:t>
      </w:r>
    </w:p>
    <w:p w14:paraId="64D13F5F" w14:textId="77777777" w:rsidR="00161514" w:rsidRPr="00D219CA" w:rsidRDefault="00161514" w:rsidP="00D219CA">
      <w:pPr>
        <w:pStyle w:val="NormalWeb"/>
        <w:spacing w:line="360" w:lineRule="auto"/>
        <w:rPr>
          <w:rFonts w:ascii="Arial" w:hAnsi="Arial" w:cs="Arial"/>
        </w:rPr>
      </w:pPr>
      <w:r w:rsidRPr="00D219CA">
        <w:rPr>
          <w:rFonts w:ascii="Arial" w:hAnsi="Arial" w:cs="Arial"/>
        </w:rPr>
        <w:t>Tesco is one of the largest retail organisations in the United Kingdom, operating supermarkets, convenience stores and online platforms. The company serves millions of customers each week and has established a strong market position through its focus on affordability, efficiency and customer service. Its wide product range and strong brand recognition have enabled Tesco to maintain a leading position within the UK retail sector.</w:t>
      </w:r>
    </w:p>
    <w:p w14:paraId="4A790650" w14:textId="77777777" w:rsidR="00161514" w:rsidRPr="00D219CA" w:rsidRDefault="00161514" w:rsidP="00D219CA">
      <w:pPr>
        <w:pStyle w:val="NormalWeb"/>
        <w:spacing w:line="360" w:lineRule="auto"/>
        <w:rPr>
          <w:rFonts w:ascii="Arial" w:hAnsi="Arial" w:cs="Arial"/>
        </w:rPr>
      </w:pPr>
      <w:r w:rsidRPr="00D219CA">
        <w:rPr>
          <w:rFonts w:ascii="Arial" w:hAnsi="Arial" w:cs="Arial"/>
        </w:rPr>
        <w:t>The UK retail sector is characterised by intense competition, particularly from discount retailers such as Aldi and Lidl, which have significantly changed consumer expectations regarding pricing and value. This has forced Tesco to improve cost efficiency and adopt competitive pricing strategies in order to retain market share. At the same time, technological advancements have transformed the industry, requiring organisations to invest in digital platforms and data analytics to enhance operational efficiency and customer experience.</w:t>
      </w:r>
    </w:p>
    <w:p w14:paraId="1FF40CFF" w14:textId="77777777" w:rsidR="00161514" w:rsidRPr="00D219CA" w:rsidRDefault="00161514" w:rsidP="00D219CA">
      <w:pPr>
        <w:pStyle w:val="NormalWeb"/>
        <w:spacing w:line="360" w:lineRule="auto"/>
        <w:rPr>
          <w:rFonts w:ascii="Arial" w:hAnsi="Arial" w:cs="Arial"/>
        </w:rPr>
      </w:pPr>
      <w:r w:rsidRPr="00D219CA">
        <w:rPr>
          <w:rFonts w:ascii="Arial" w:hAnsi="Arial" w:cs="Arial"/>
        </w:rPr>
        <w:t>Tesco has responded to these challenges by investing in online shopping services, mobile applications and customer data systems such as Clubcard. These initiatives demonstrate the organisation’s ability to adapt to changing market conditions while maintaining its focus on efficiency and customer satisfaction. In addition, Tesco has expanded its delivery and click-and-collect services, reflecting changing consumer behaviour towards convenience and digital engagement.</w:t>
      </w:r>
    </w:p>
    <w:p w14:paraId="70A3559F" w14:textId="77777777" w:rsidR="00161514" w:rsidRPr="00D219CA" w:rsidRDefault="00161514" w:rsidP="00D219CA">
      <w:pPr>
        <w:pStyle w:val="NormalWeb"/>
        <w:spacing w:line="360" w:lineRule="auto"/>
        <w:rPr>
          <w:rFonts w:ascii="Arial" w:hAnsi="Arial" w:cs="Arial"/>
        </w:rPr>
      </w:pPr>
      <w:r w:rsidRPr="00D219CA">
        <w:rPr>
          <w:rFonts w:ascii="Arial" w:hAnsi="Arial" w:cs="Arial"/>
        </w:rPr>
        <w:t>The 2014 accounting scandal represented a significant turning point for Tesco, exposing weaknesses in governance, leadership and organisational culture. In response, the company implemented changes in leadership, structure and corporate values, placing greater emphasis on transparency, accountability and ethical behaviour. This illustrates how organisational culture can influence strategic decisions and highlights the importance of aligning values with organisational practices.</w:t>
      </w:r>
    </w:p>
    <w:p w14:paraId="39BBDD49" w14:textId="77777777" w:rsidR="00D45738" w:rsidRDefault="00161514" w:rsidP="00D219CA">
      <w:pPr>
        <w:pStyle w:val="NormalWeb"/>
        <w:spacing w:line="360" w:lineRule="auto"/>
        <w:rPr>
          <w:rFonts w:ascii="Arial" w:hAnsi="Arial" w:cs="Arial"/>
        </w:rPr>
      </w:pPr>
      <w:r w:rsidRPr="00D219CA">
        <w:rPr>
          <w:rFonts w:ascii="Arial" w:hAnsi="Arial" w:cs="Arial"/>
        </w:rPr>
        <w:t>Tesco’s organisational structure is hierarchical and divisional, with clear lines of authority from senior management to store-level employees. This structure supports consistency, control and coordination across a large organisation.</w:t>
      </w:r>
    </w:p>
    <w:p w14:paraId="1C724B5D" w14:textId="77777777" w:rsidR="00D219CA" w:rsidRDefault="00D219CA" w:rsidP="00D219CA">
      <w:pPr>
        <w:pStyle w:val="NormalWeb"/>
        <w:spacing w:line="360" w:lineRule="auto"/>
        <w:rPr>
          <w:rFonts w:ascii="Arial" w:hAnsi="Arial" w:cs="Arial"/>
        </w:rPr>
      </w:pPr>
    </w:p>
    <w:p w14:paraId="1556C767" w14:textId="77777777" w:rsidR="00D219CA" w:rsidRDefault="00D219CA" w:rsidP="00D219CA">
      <w:pPr>
        <w:pStyle w:val="NormalWeb"/>
        <w:spacing w:line="360" w:lineRule="auto"/>
        <w:rPr>
          <w:rFonts w:ascii="Arial" w:hAnsi="Arial" w:cs="Arial"/>
        </w:rPr>
      </w:pPr>
    </w:p>
    <w:p w14:paraId="6BA365D2" w14:textId="77777777" w:rsidR="00D219CA" w:rsidRPr="00D219CA" w:rsidRDefault="00D219CA" w:rsidP="00D219CA">
      <w:pPr>
        <w:pStyle w:val="NormalWeb"/>
        <w:spacing w:line="360" w:lineRule="auto"/>
        <w:rPr>
          <w:rFonts w:ascii="Arial" w:hAnsi="Arial" w:cs="Arial"/>
        </w:rPr>
      </w:pPr>
    </w:p>
    <w:p w14:paraId="3DC40106" w14:textId="01BFE4DF" w:rsidR="00041D2B" w:rsidRPr="00D45738" w:rsidRDefault="00041D2B" w:rsidP="00D219CA">
      <w:pPr>
        <w:pStyle w:val="NormalWeb"/>
        <w:spacing w:line="360" w:lineRule="auto"/>
        <w:rPr>
          <w:rFonts w:ascii="Arial" w:hAnsi="Arial" w:cs="Arial"/>
          <w:sz w:val="24"/>
          <w:szCs w:val="24"/>
        </w:rPr>
      </w:pPr>
      <w:r w:rsidRPr="00D45738">
        <w:rPr>
          <w:rFonts w:ascii="Arial" w:hAnsi="Arial" w:cs="Arial"/>
          <w:b/>
          <w:bCs/>
          <w:kern w:val="36"/>
          <w:sz w:val="24"/>
          <w:szCs w:val="24"/>
        </w:rPr>
        <w:lastRenderedPageBreak/>
        <w:t>4. Organisational Culture and Structure</w:t>
      </w:r>
    </w:p>
    <w:p w14:paraId="477BA52E" w14:textId="77777777" w:rsidR="006878B8" w:rsidRPr="0039517A" w:rsidRDefault="006878B8" w:rsidP="00D219CA">
      <w:pPr>
        <w:pStyle w:val="NormalWeb"/>
        <w:spacing w:line="360" w:lineRule="auto"/>
        <w:rPr>
          <w:rFonts w:ascii="Arial" w:hAnsi="Arial" w:cs="Arial"/>
        </w:rPr>
      </w:pPr>
      <w:r w:rsidRPr="0039517A">
        <w:rPr>
          <w:rFonts w:ascii="Arial" w:hAnsi="Arial" w:cs="Arial"/>
        </w:rPr>
        <w:t>Organisational culture and structure are closely interconnected, as culture influences how roles are defined, authority is distributed and coordination is achieved. Tesco’s structure reflects a strong role culture, characterised by formal procedures, clear hierarchies and defined responsibilities (Handy, 1993). This creates a predictable and controlled working environment where employees clearly understand their roles and expectations, supporting organisational stability.</w:t>
      </w:r>
    </w:p>
    <w:p w14:paraId="6D7CAFD9" w14:textId="77777777" w:rsidR="006878B8" w:rsidRPr="0039517A" w:rsidRDefault="006878B8" w:rsidP="00D219CA">
      <w:pPr>
        <w:pStyle w:val="NormalWeb"/>
        <w:spacing w:line="360" w:lineRule="auto"/>
        <w:rPr>
          <w:rFonts w:ascii="Arial" w:hAnsi="Arial" w:cs="Arial"/>
        </w:rPr>
      </w:pPr>
      <w:r w:rsidRPr="0039517A">
        <w:rPr>
          <w:rFonts w:ascii="Arial" w:hAnsi="Arial" w:cs="Arial"/>
        </w:rPr>
        <w:t>This structure supports operational efficiency and consistency across the organisation. For example, standardised processes ensure that customers receive a similar experience across Tesco stores, strengthening brand identity and reliability. Additionally, performance monitoring systems enable management to track productivity, efficiency and overall performance across different departments, supporting effective control and coordination.</w:t>
      </w:r>
    </w:p>
    <w:p w14:paraId="63730560" w14:textId="77777777" w:rsidR="006878B8" w:rsidRPr="0039517A" w:rsidRDefault="006878B8" w:rsidP="00D219CA">
      <w:pPr>
        <w:pStyle w:val="NormalWeb"/>
        <w:spacing w:line="360" w:lineRule="auto"/>
        <w:rPr>
          <w:rFonts w:ascii="Arial" w:hAnsi="Arial" w:cs="Arial"/>
        </w:rPr>
      </w:pPr>
      <w:r w:rsidRPr="0039517A">
        <w:rPr>
          <w:rFonts w:ascii="Arial" w:hAnsi="Arial" w:cs="Arial"/>
        </w:rPr>
        <w:t>However, this structured approach may also limit flexibility and innovation. Centralised decision-making reduces the autonomy of store managers, restricting their ability to respond to local customer needs and changing market conditions. As a result, opportunities for creativity and innovation may be reduced, particularly at lower organisational levels.</w:t>
      </w:r>
    </w:p>
    <w:p w14:paraId="4EA2234B" w14:textId="77777777" w:rsidR="006878B8" w:rsidRPr="0039517A" w:rsidRDefault="006878B8" w:rsidP="00D219CA">
      <w:pPr>
        <w:pStyle w:val="NormalWeb"/>
        <w:spacing w:line="360" w:lineRule="auto"/>
        <w:rPr>
          <w:rFonts w:ascii="Arial" w:hAnsi="Arial" w:cs="Arial"/>
        </w:rPr>
      </w:pPr>
      <w:r w:rsidRPr="0039517A">
        <w:rPr>
          <w:rFonts w:ascii="Arial" w:hAnsi="Arial" w:cs="Arial"/>
        </w:rPr>
        <w:t>According to Schein (2010), these structural characteristics are influenced by underlying assumptions about efficiency, control and performance. Tesco’s strong emphasis on performance measurement reinforces a results-driven culture, where success is defined by achieving targets. While this improves accountability and efficiency, it may also increase pressure on employees and limit creative thinking.</w:t>
      </w:r>
    </w:p>
    <w:p w14:paraId="4794FB34" w14:textId="77777777" w:rsidR="006878B8" w:rsidRDefault="006878B8" w:rsidP="00D219CA">
      <w:pPr>
        <w:pStyle w:val="NormalWeb"/>
        <w:spacing w:line="360" w:lineRule="auto"/>
        <w:rPr>
          <w:rFonts w:ascii="Arial" w:hAnsi="Arial" w:cs="Arial"/>
        </w:rPr>
      </w:pPr>
      <w:r w:rsidRPr="0039517A">
        <w:rPr>
          <w:rFonts w:ascii="Arial" w:hAnsi="Arial" w:cs="Arial"/>
        </w:rPr>
        <w:t>Furthermore, the reliance on formal procedures may reduce collaboration across departments, as employees focus on individual roles rather than shared organisational goals. This can affect communication and limit cross-functional cooperation. Overall, Tesco’s organisational structure reflects its cultural priorities, promoting stability, control and efficiency, while potentially limiting adaptability in a rapidly changing retail environment.</w:t>
      </w:r>
    </w:p>
    <w:p w14:paraId="338B799A" w14:textId="5F528A48" w:rsidR="00307D41" w:rsidRDefault="00307D41" w:rsidP="00D219CA">
      <w:pPr>
        <w:pStyle w:val="NormalWeb"/>
        <w:spacing w:line="360" w:lineRule="auto"/>
        <w:rPr>
          <w:rFonts w:ascii="Arial" w:hAnsi="Arial" w:cs="Arial"/>
        </w:rPr>
      </w:pPr>
      <w:r w:rsidRPr="00307D41">
        <w:rPr>
          <w:rFonts w:ascii="Arial" w:hAnsi="Arial" w:cs="Arial"/>
        </w:rPr>
        <w:t>However, while this structure promotes efficiency and control, it may reduce organisational flexibility in a rapidly changing retail environment. This suggests that Tesco may need to balance stability with adaptability to remain competitive.</w:t>
      </w:r>
    </w:p>
    <w:p w14:paraId="0CAEA01A" w14:textId="77777777" w:rsidR="00307D41" w:rsidRDefault="00307D41" w:rsidP="00D219CA">
      <w:pPr>
        <w:pStyle w:val="NormalWeb"/>
        <w:spacing w:line="360" w:lineRule="auto"/>
        <w:rPr>
          <w:rFonts w:ascii="Arial" w:hAnsi="Arial" w:cs="Arial"/>
        </w:rPr>
      </w:pPr>
    </w:p>
    <w:p w14:paraId="2739D076" w14:textId="77777777" w:rsidR="00307D41" w:rsidRPr="00307D41" w:rsidRDefault="00307D41" w:rsidP="00D219CA">
      <w:pPr>
        <w:pStyle w:val="NormalWeb"/>
        <w:spacing w:line="360" w:lineRule="auto"/>
        <w:rPr>
          <w:rFonts w:ascii="Arial" w:hAnsi="Arial" w:cs="Arial"/>
        </w:rPr>
      </w:pPr>
    </w:p>
    <w:p w14:paraId="41F594B3" w14:textId="1452CD27" w:rsidR="00041D2B" w:rsidRPr="00D45738" w:rsidRDefault="00041D2B" w:rsidP="00D219CA">
      <w:pPr>
        <w:pStyle w:val="NormalWeb"/>
        <w:spacing w:line="360" w:lineRule="auto"/>
        <w:rPr>
          <w:rFonts w:ascii="Arial" w:hAnsi="Arial" w:cs="Arial"/>
          <w:sz w:val="24"/>
          <w:szCs w:val="24"/>
        </w:rPr>
      </w:pPr>
      <w:r w:rsidRPr="00D45738">
        <w:rPr>
          <w:rFonts w:ascii="Arial" w:hAnsi="Arial" w:cs="Arial"/>
          <w:b/>
          <w:bCs/>
          <w:kern w:val="36"/>
          <w:sz w:val="24"/>
          <w:szCs w:val="24"/>
        </w:rPr>
        <w:lastRenderedPageBreak/>
        <w:t>5. Culture and Decision-Making Processes</w:t>
      </w:r>
    </w:p>
    <w:p w14:paraId="5BCFC471" w14:textId="77777777" w:rsidR="00497780" w:rsidRPr="005D2F6F" w:rsidRDefault="00497780" w:rsidP="00D219CA">
      <w:pPr>
        <w:pStyle w:val="NormalWeb"/>
        <w:spacing w:line="360" w:lineRule="auto"/>
        <w:rPr>
          <w:rFonts w:ascii="Arial" w:hAnsi="Arial" w:cs="Arial"/>
        </w:rPr>
      </w:pPr>
      <w:r w:rsidRPr="005D2F6F">
        <w:rPr>
          <w:rFonts w:ascii="Arial" w:hAnsi="Arial" w:cs="Arial"/>
        </w:rPr>
        <w:t>Tesco’s decision-making processes are strongly influenced by its organisational culture, particularly its emphasis on performance, accountability and data-driven analysis. The organisation adopts a largely centralised approach, where strategic decisions are made at senior management level and then implemented across different operational units. This reflects a culture that values consistency, control and alignment with corporate objectives (Mullins and Christy, 2016).</w:t>
      </w:r>
    </w:p>
    <w:p w14:paraId="4CB01504" w14:textId="77777777" w:rsidR="00497780" w:rsidRPr="005D2F6F" w:rsidRDefault="00497780" w:rsidP="00D219CA">
      <w:pPr>
        <w:pStyle w:val="NormalWeb"/>
        <w:spacing w:line="360" w:lineRule="auto"/>
        <w:rPr>
          <w:rFonts w:ascii="Arial" w:hAnsi="Arial" w:cs="Arial"/>
        </w:rPr>
      </w:pPr>
      <w:r w:rsidRPr="005D2F6F">
        <w:rPr>
          <w:rFonts w:ascii="Arial" w:hAnsi="Arial" w:cs="Arial"/>
        </w:rPr>
        <w:t>A key feature of Tesco’s decision-making is the use of data analytics. Tools such as Clubcard data enable the organisation to analyse customer behaviour, identify trends and make informed decisions regarding pricing, promotions and product offerings. This indicates a rational and evidence-based culture, where decisions are supported by measurable outcomes rather than intuition (Schein, 2010). As a result, Tesco is able to improve efficiency and respond to customer needs more effectively.</w:t>
      </w:r>
    </w:p>
    <w:p w14:paraId="1A231EDC" w14:textId="77777777" w:rsidR="00497780" w:rsidRPr="005D2F6F" w:rsidRDefault="00497780" w:rsidP="00D219CA">
      <w:pPr>
        <w:pStyle w:val="NormalWeb"/>
        <w:spacing w:line="360" w:lineRule="auto"/>
        <w:rPr>
          <w:rFonts w:ascii="Arial" w:hAnsi="Arial" w:cs="Arial"/>
        </w:rPr>
      </w:pPr>
      <w:r w:rsidRPr="005D2F6F">
        <w:rPr>
          <w:rFonts w:ascii="Arial" w:hAnsi="Arial" w:cs="Arial"/>
        </w:rPr>
        <w:t>However, this approach also presents certain limitations. The strong reliance on data and formal procedures may reduce creativity and discourage employees from proposing innovative ideas. Decision-making can become overly structured, particularly at lower organisational levels, where employees may feel restricted by performance targets and operational guidelines. This reflects the characteristics of role culture identified by Handy (1993), where authority and processes are clearly defined but flexibility may be limited.</w:t>
      </w:r>
    </w:p>
    <w:p w14:paraId="5063A0AF" w14:textId="77777777" w:rsidR="00497780" w:rsidRPr="005D2F6F" w:rsidRDefault="00497780" w:rsidP="00D219CA">
      <w:pPr>
        <w:pStyle w:val="NormalWeb"/>
        <w:spacing w:line="360" w:lineRule="auto"/>
        <w:rPr>
          <w:rFonts w:ascii="Arial" w:hAnsi="Arial" w:cs="Arial"/>
        </w:rPr>
      </w:pPr>
      <w:r w:rsidRPr="005D2F6F">
        <w:rPr>
          <w:rFonts w:ascii="Arial" w:hAnsi="Arial" w:cs="Arial"/>
        </w:rPr>
        <w:t>Furthermore, the legacy of the 2014 accounting scandal has contributed to a more cautious decision-making culture within Tesco. There is now a greater emphasis on compliance, risk management and ethical oversight. While this has strengthened governance and reduced the likelihood of misconduct, it may also slow down decision-making processes in a fast-changing retail environment.</w:t>
      </w:r>
    </w:p>
    <w:p w14:paraId="491C89BF" w14:textId="0DF9AA00" w:rsidR="00943DEF" w:rsidRPr="005D2F6F" w:rsidRDefault="00497780" w:rsidP="00D219CA">
      <w:pPr>
        <w:pStyle w:val="NormalWeb"/>
        <w:spacing w:line="360" w:lineRule="auto"/>
        <w:rPr>
          <w:rFonts w:ascii="Arial" w:hAnsi="Arial" w:cs="Arial"/>
        </w:rPr>
      </w:pPr>
      <w:r w:rsidRPr="005D2F6F">
        <w:rPr>
          <w:rFonts w:ascii="Arial" w:hAnsi="Arial" w:cs="Arial"/>
        </w:rPr>
        <w:t>Overall, Tesco’s organisational culture supports structured and data-driven decision-making, which enhances control and efficiency. However, to remain competitive, the organisation may need to balance this approach with greater flexibility and openness to innovation.</w:t>
      </w:r>
      <w:r w:rsidR="000D7537" w:rsidRPr="005D2F6F">
        <w:rPr>
          <w:rFonts w:ascii="Arial" w:hAnsi="Arial" w:cs="Arial"/>
        </w:rPr>
        <w:t xml:space="preserve"> Moreover, although data-driven decision-making improves accuracy, it may limit creativity and reduce the role of managerial intuition. In practice, organisations must balance structured processes with flexibility to respond effectively to change</w:t>
      </w:r>
      <w:r w:rsidR="00541C43">
        <w:rPr>
          <w:rFonts w:ascii="Arial" w:hAnsi="Arial" w:cs="Arial"/>
        </w:rPr>
        <w:t>.</w:t>
      </w:r>
    </w:p>
    <w:p w14:paraId="53A821FA" w14:textId="77777777" w:rsidR="005D2F6F" w:rsidRDefault="005D2F6F" w:rsidP="00D219CA">
      <w:pPr>
        <w:pStyle w:val="NormalWeb"/>
        <w:spacing w:line="360" w:lineRule="auto"/>
        <w:rPr>
          <w:rFonts w:ascii="Arial" w:hAnsi="Arial" w:cs="Arial"/>
          <w:b/>
          <w:bCs/>
          <w:kern w:val="36"/>
          <w:sz w:val="24"/>
          <w:szCs w:val="24"/>
        </w:rPr>
      </w:pPr>
    </w:p>
    <w:p w14:paraId="6A07F9B3" w14:textId="2BCF882E" w:rsidR="00FA08A1" w:rsidRPr="00D45738" w:rsidRDefault="00041D2B" w:rsidP="00D219CA">
      <w:pPr>
        <w:pStyle w:val="NormalWeb"/>
        <w:spacing w:line="360" w:lineRule="auto"/>
        <w:rPr>
          <w:rFonts w:ascii="Arial" w:hAnsi="Arial" w:cs="Arial"/>
          <w:sz w:val="24"/>
          <w:szCs w:val="24"/>
        </w:rPr>
      </w:pPr>
      <w:r w:rsidRPr="00D45738">
        <w:rPr>
          <w:rFonts w:ascii="Arial" w:hAnsi="Arial" w:cs="Arial"/>
          <w:b/>
          <w:bCs/>
          <w:kern w:val="36"/>
          <w:sz w:val="24"/>
          <w:szCs w:val="24"/>
        </w:rPr>
        <w:lastRenderedPageBreak/>
        <w:t>6. Identifying Culture (Schein, Handy, Hofstede)</w:t>
      </w:r>
    </w:p>
    <w:p w14:paraId="2EA3CCC9" w14:textId="77777777" w:rsidR="007064D7" w:rsidRPr="005D2F6F" w:rsidRDefault="007064D7" w:rsidP="00D219CA">
      <w:pPr>
        <w:pStyle w:val="NormalWeb"/>
        <w:spacing w:line="360" w:lineRule="auto"/>
        <w:rPr>
          <w:rFonts w:ascii="Arial" w:hAnsi="Arial" w:cs="Arial"/>
        </w:rPr>
      </w:pPr>
      <w:r w:rsidRPr="005D2F6F">
        <w:rPr>
          <w:rFonts w:ascii="Arial" w:hAnsi="Arial" w:cs="Arial"/>
        </w:rPr>
        <w:t>Using Schein’s (2010) model, Tesco’s organisational culture can be analysed at three levels. At the surface level, artefacts include visible elements such as store layouts, branding, employee uniforms and performance systems, which reflect a strong focus on efficiency and customer orientation. However, artefacts alone do not fully explain culture, as their meaning depends on deeper levels.</w:t>
      </w:r>
    </w:p>
    <w:p w14:paraId="5CF3F89C" w14:textId="77777777" w:rsidR="007064D7" w:rsidRPr="005D2F6F" w:rsidRDefault="007064D7" w:rsidP="00D219CA">
      <w:pPr>
        <w:pStyle w:val="NormalWeb"/>
        <w:spacing w:line="360" w:lineRule="auto"/>
        <w:rPr>
          <w:rFonts w:ascii="Arial" w:hAnsi="Arial" w:cs="Arial"/>
        </w:rPr>
      </w:pPr>
      <w:r w:rsidRPr="005D2F6F">
        <w:rPr>
          <w:rFonts w:ascii="Arial" w:hAnsi="Arial" w:cs="Arial"/>
        </w:rPr>
        <w:t>At the level of espoused values, Tesco promotes principles such as customer focus, accountability and sustainability, particularly following the 2014 accounting scandal, where rebuilding trust became a priority. Nevertheless, there may be some inconsistency between these values and the organisation’s strong emphasis on cost control and performance targets.</w:t>
      </w:r>
    </w:p>
    <w:p w14:paraId="16955E5A" w14:textId="77777777" w:rsidR="007064D7" w:rsidRPr="005D2F6F" w:rsidRDefault="007064D7" w:rsidP="00D219CA">
      <w:pPr>
        <w:pStyle w:val="NormalWeb"/>
        <w:spacing w:line="360" w:lineRule="auto"/>
        <w:rPr>
          <w:rFonts w:ascii="Arial" w:hAnsi="Arial" w:cs="Arial"/>
        </w:rPr>
      </w:pPr>
      <w:r w:rsidRPr="005D2F6F">
        <w:rPr>
          <w:rFonts w:ascii="Arial" w:hAnsi="Arial" w:cs="Arial"/>
        </w:rPr>
        <w:t>At the deepest level, underlying assumptions prioritise efficiency, competitiveness and financial performance. These assumptions shape decision-making and reinforce a results-driven culture (Schein, 2010). They also influence managerial behaviour, particularly in relation to performance monitoring and operational control.</w:t>
      </w:r>
    </w:p>
    <w:p w14:paraId="7B5168D3" w14:textId="77777777" w:rsidR="007064D7" w:rsidRPr="005D2F6F" w:rsidRDefault="007064D7" w:rsidP="00D219CA">
      <w:pPr>
        <w:pStyle w:val="NormalWeb"/>
        <w:spacing w:line="360" w:lineRule="auto"/>
        <w:rPr>
          <w:rFonts w:ascii="Arial" w:hAnsi="Arial" w:cs="Arial"/>
        </w:rPr>
      </w:pPr>
      <w:r w:rsidRPr="005D2F6F">
        <w:rPr>
          <w:rFonts w:ascii="Arial" w:hAnsi="Arial" w:cs="Arial"/>
        </w:rPr>
        <w:t>Handy’s (1993) framework identifies Tesco as predominantly a role culture organisation, characterised by formal structures, clearly defined roles and hierarchical control. This supports consistency and efficiency, although it may limit flexibility. However, elements of task culture are emerging, particularly in areas such as digital innovation and sustainability, indicating a gradual shift towards collaboration and problem-solving.</w:t>
      </w:r>
    </w:p>
    <w:p w14:paraId="7D2F6773" w14:textId="77777777" w:rsidR="007064D7" w:rsidRPr="005D2F6F" w:rsidRDefault="007064D7" w:rsidP="00D219CA">
      <w:pPr>
        <w:pStyle w:val="NormalWeb"/>
        <w:spacing w:line="360" w:lineRule="auto"/>
        <w:rPr>
          <w:rFonts w:ascii="Arial" w:hAnsi="Arial" w:cs="Arial"/>
        </w:rPr>
      </w:pPr>
      <w:r w:rsidRPr="005D2F6F">
        <w:rPr>
          <w:rFonts w:ascii="Arial" w:hAnsi="Arial" w:cs="Arial"/>
        </w:rPr>
        <w:t>Hofstede’s (2011) dimensions suggest moderate power distance and high uncertainty avoidance within Tesco, reflecting a structured and risk-focused organisational approach. This indicates that employees are likely to accept hierarchical authority while also preferring clear rules and procedures.</w:t>
      </w:r>
    </w:p>
    <w:p w14:paraId="7BBF45F9" w14:textId="77777777" w:rsidR="007064D7" w:rsidRPr="005D2F6F" w:rsidRDefault="007064D7" w:rsidP="00D219CA">
      <w:pPr>
        <w:pStyle w:val="NormalWeb"/>
        <w:spacing w:line="360" w:lineRule="auto"/>
        <w:rPr>
          <w:rFonts w:ascii="Arial" w:hAnsi="Arial" w:cs="Arial"/>
        </w:rPr>
      </w:pPr>
      <w:r w:rsidRPr="005D2F6F">
        <w:rPr>
          <w:rFonts w:ascii="Arial" w:hAnsi="Arial" w:cs="Arial"/>
        </w:rPr>
        <w:t>Overall, Tesco’s culture can be described as a hybrid of role and task culture, combining stability and control with emerging flexibility. However, the continued dominance of role culture suggests that structural control remains a key influence on organisational behaviour.</w:t>
      </w:r>
    </w:p>
    <w:p w14:paraId="317B421C" w14:textId="77777777" w:rsidR="005D2F6F" w:rsidRDefault="005D2F6F" w:rsidP="00D219CA">
      <w:pPr>
        <w:pStyle w:val="NormalWeb"/>
        <w:spacing w:line="360" w:lineRule="auto"/>
        <w:rPr>
          <w:rFonts w:ascii="Arial" w:hAnsi="Arial" w:cs="Arial"/>
          <w:b/>
          <w:bCs/>
          <w:kern w:val="36"/>
          <w:sz w:val="24"/>
          <w:szCs w:val="24"/>
        </w:rPr>
      </w:pPr>
    </w:p>
    <w:p w14:paraId="0BBBDE7A" w14:textId="77777777" w:rsidR="005D2F6F" w:rsidRDefault="005D2F6F" w:rsidP="00D219CA">
      <w:pPr>
        <w:pStyle w:val="NormalWeb"/>
        <w:spacing w:line="360" w:lineRule="auto"/>
        <w:rPr>
          <w:rFonts w:ascii="Arial" w:hAnsi="Arial" w:cs="Arial"/>
          <w:b/>
          <w:bCs/>
          <w:kern w:val="36"/>
          <w:sz w:val="24"/>
          <w:szCs w:val="24"/>
        </w:rPr>
      </w:pPr>
    </w:p>
    <w:p w14:paraId="1BCACD20" w14:textId="77777777" w:rsidR="005D2F6F" w:rsidRDefault="005D2F6F" w:rsidP="00D219CA">
      <w:pPr>
        <w:pStyle w:val="NormalWeb"/>
        <w:spacing w:line="360" w:lineRule="auto"/>
        <w:rPr>
          <w:rFonts w:ascii="Arial" w:hAnsi="Arial" w:cs="Arial"/>
          <w:b/>
          <w:bCs/>
          <w:kern w:val="36"/>
          <w:sz w:val="24"/>
          <w:szCs w:val="24"/>
        </w:rPr>
      </w:pPr>
    </w:p>
    <w:p w14:paraId="5A709FD4" w14:textId="4152AD2F" w:rsidR="00041D2B" w:rsidRPr="00D45738" w:rsidRDefault="00041D2B" w:rsidP="00D219CA">
      <w:pPr>
        <w:pStyle w:val="NormalWeb"/>
        <w:spacing w:line="360" w:lineRule="auto"/>
        <w:rPr>
          <w:rFonts w:ascii="Arial" w:hAnsi="Arial" w:cs="Arial"/>
          <w:sz w:val="24"/>
          <w:szCs w:val="24"/>
        </w:rPr>
      </w:pPr>
      <w:r w:rsidRPr="00D45738">
        <w:rPr>
          <w:rFonts w:ascii="Arial" w:hAnsi="Arial" w:cs="Arial"/>
          <w:b/>
          <w:bCs/>
          <w:kern w:val="36"/>
          <w:sz w:val="24"/>
          <w:szCs w:val="24"/>
        </w:rPr>
        <w:lastRenderedPageBreak/>
        <w:t>7. Culture and External Environmental Adaptation</w:t>
      </w:r>
    </w:p>
    <w:p w14:paraId="7ED4F437" w14:textId="77777777" w:rsidR="009C6E9B" w:rsidRPr="005D2F6F" w:rsidRDefault="009C6E9B" w:rsidP="00D219CA">
      <w:pPr>
        <w:pStyle w:val="NormalWeb"/>
        <w:spacing w:line="360" w:lineRule="auto"/>
        <w:rPr>
          <w:rFonts w:ascii="Arial" w:hAnsi="Arial" w:cs="Arial"/>
        </w:rPr>
      </w:pPr>
      <w:r w:rsidRPr="005D2F6F">
        <w:rPr>
          <w:rFonts w:ascii="Arial" w:hAnsi="Arial" w:cs="Arial"/>
        </w:rPr>
        <w:t>Tesco operates within a dynamic and complex external environment shaped by economic, technological, social and environmental factors. In this context, organisational culture plays a key role in determining how effectively the company adapts to external pressures. Mullins and Christy (2016) highlight that culture influences not only internal behaviour but also how organisations respond to environmental change.</w:t>
      </w:r>
    </w:p>
    <w:p w14:paraId="4AA9CB1B" w14:textId="77777777" w:rsidR="009C6E9B" w:rsidRPr="005D2F6F" w:rsidRDefault="009C6E9B" w:rsidP="00D219CA">
      <w:pPr>
        <w:pStyle w:val="NormalWeb"/>
        <w:spacing w:line="360" w:lineRule="auto"/>
        <w:rPr>
          <w:rFonts w:ascii="Arial" w:hAnsi="Arial" w:cs="Arial"/>
        </w:rPr>
      </w:pPr>
      <w:r w:rsidRPr="005D2F6F">
        <w:rPr>
          <w:rFonts w:ascii="Arial" w:hAnsi="Arial" w:cs="Arial"/>
        </w:rPr>
        <w:t>One of the most significant external drivers is digital transformation. The growth of e-commerce and changing consumer behaviour have required Tesco to invest in online platforms, mobile applications and data analytics. This reflects an emerging shift towards elements of task culture, where collaboration and innovation are important. However, adaptation is still implemented within structured processes, indicating that role culture remains dominant.</w:t>
      </w:r>
    </w:p>
    <w:p w14:paraId="6EE19EA7" w14:textId="77777777" w:rsidR="009C6E9B" w:rsidRPr="005D2F6F" w:rsidRDefault="009C6E9B" w:rsidP="00D219CA">
      <w:pPr>
        <w:pStyle w:val="NormalWeb"/>
        <w:spacing w:line="360" w:lineRule="auto"/>
        <w:rPr>
          <w:rFonts w:ascii="Arial" w:hAnsi="Arial" w:cs="Arial"/>
        </w:rPr>
      </w:pPr>
      <w:r w:rsidRPr="005D2F6F">
        <w:rPr>
          <w:rFonts w:ascii="Arial" w:hAnsi="Arial" w:cs="Arial"/>
        </w:rPr>
        <w:t>Sustainability is another key influence. Increasing regulatory requirements and consumer expectations have encouraged Tesco to adopt environmentally responsible practices, such as reducing plastic packaging and improving energy efficiency. While these initiatives show cultural development, they are often driven by external pressures, suggesting a reactive approach.</w:t>
      </w:r>
    </w:p>
    <w:p w14:paraId="60905052" w14:textId="77777777" w:rsidR="009C6E9B" w:rsidRPr="005D2F6F" w:rsidRDefault="009C6E9B" w:rsidP="00D219CA">
      <w:pPr>
        <w:pStyle w:val="NormalWeb"/>
        <w:spacing w:line="360" w:lineRule="auto"/>
        <w:rPr>
          <w:rFonts w:ascii="Arial" w:hAnsi="Arial" w:cs="Arial"/>
        </w:rPr>
      </w:pPr>
      <w:r w:rsidRPr="005D2F6F">
        <w:rPr>
          <w:rFonts w:ascii="Arial" w:hAnsi="Arial" w:cs="Arial"/>
        </w:rPr>
        <w:t>Economic conditions, including inflation and cost-of-living pressures, have reinforced Tesco’s focus on affordability and efficiency. This aligns with its cultural emphasis on cost control, although it may limit investment in innovation and long-term growth.</w:t>
      </w:r>
    </w:p>
    <w:p w14:paraId="1B664A1C" w14:textId="77777777" w:rsidR="009C6E9B" w:rsidRPr="005D2F6F" w:rsidRDefault="009C6E9B" w:rsidP="00D219CA">
      <w:pPr>
        <w:pStyle w:val="NormalWeb"/>
        <w:spacing w:line="360" w:lineRule="auto"/>
        <w:rPr>
          <w:rFonts w:ascii="Arial" w:hAnsi="Arial" w:cs="Arial"/>
        </w:rPr>
      </w:pPr>
      <w:r w:rsidRPr="005D2F6F">
        <w:rPr>
          <w:rFonts w:ascii="Arial" w:hAnsi="Arial" w:cs="Arial"/>
        </w:rPr>
        <w:t>Furthermore, increasing competition requires organisations to be flexible and responsive. Although Tesco has demonstrated the ability to adapt, its hierarchical structure may slow decision-making and reduce responsiveness compared to more flexible organisations.</w:t>
      </w:r>
    </w:p>
    <w:p w14:paraId="03A6023D" w14:textId="77777777" w:rsidR="009C6E9B" w:rsidRPr="005D2F6F" w:rsidRDefault="009C6E9B" w:rsidP="00D219CA">
      <w:pPr>
        <w:pStyle w:val="NormalWeb"/>
        <w:spacing w:line="360" w:lineRule="auto"/>
        <w:rPr>
          <w:rFonts w:ascii="Arial" w:hAnsi="Arial" w:cs="Arial"/>
        </w:rPr>
      </w:pPr>
      <w:r w:rsidRPr="005D2F6F">
        <w:rPr>
          <w:rFonts w:ascii="Arial" w:hAnsi="Arial" w:cs="Arial"/>
        </w:rPr>
        <w:t>Overall, Tesco’s culture supports adaptation, particularly in digital and sustainability areas. However, this adaptation is often gradual and controlled, reflecting a balance between stability and flexibility. Future success will depend on Tesco’s ability to further develop a more adaptable culture without losing its operational strengths.</w:t>
      </w:r>
    </w:p>
    <w:p w14:paraId="2F60BF9C" w14:textId="77777777" w:rsidR="005D2F6F" w:rsidRDefault="005D2F6F" w:rsidP="00D219CA">
      <w:pPr>
        <w:pStyle w:val="NormalWeb"/>
        <w:spacing w:line="360" w:lineRule="auto"/>
        <w:rPr>
          <w:rFonts w:ascii="Arial" w:hAnsi="Arial" w:cs="Arial"/>
          <w:b/>
          <w:bCs/>
          <w:kern w:val="36"/>
          <w:sz w:val="24"/>
          <w:szCs w:val="24"/>
        </w:rPr>
      </w:pPr>
    </w:p>
    <w:p w14:paraId="7488EE2E" w14:textId="77777777" w:rsidR="005D2F6F" w:rsidRDefault="005D2F6F" w:rsidP="00D219CA">
      <w:pPr>
        <w:pStyle w:val="NormalWeb"/>
        <w:spacing w:line="360" w:lineRule="auto"/>
        <w:rPr>
          <w:rFonts w:ascii="Arial" w:hAnsi="Arial" w:cs="Arial"/>
          <w:b/>
          <w:bCs/>
          <w:kern w:val="36"/>
          <w:sz w:val="24"/>
          <w:szCs w:val="24"/>
        </w:rPr>
      </w:pPr>
    </w:p>
    <w:p w14:paraId="2CFF256B" w14:textId="77777777" w:rsidR="005D2F6F" w:rsidRDefault="005D2F6F" w:rsidP="00D219CA">
      <w:pPr>
        <w:pStyle w:val="NormalWeb"/>
        <w:spacing w:line="360" w:lineRule="auto"/>
        <w:rPr>
          <w:rFonts w:ascii="Arial" w:hAnsi="Arial" w:cs="Arial"/>
          <w:b/>
          <w:bCs/>
          <w:kern w:val="36"/>
          <w:sz w:val="24"/>
          <w:szCs w:val="24"/>
        </w:rPr>
      </w:pPr>
    </w:p>
    <w:p w14:paraId="2890408D" w14:textId="40202A2F" w:rsidR="00041D2B" w:rsidRPr="00D45738" w:rsidRDefault="00041D2B" w:rsidP="00D219CA">
      <w:pPr>
        <w:pStyle w:val="NormalWeb"/>
        <w:spacing w:line="360" w:lineRule="auto"/>
        <w:rPr>
          <w:rFonts w:ascii="Arial" w:hAnsi="Arial" w:cs="Arial"/>
          <w:sz w:val="24"/>
          <w:szCs w:val="24"/>
        </w:rPr>
      </w:pPr>
      <w:r w:rsidRPr="00D45738">
        <w:rPr>
          <w:rFonts w:ascii="Arial" w:hAnsi="Arial" w:cs="Arial"/>
          <w:b/>
          <w:bCs/>
          <w:kern w:val="36"/>
          <w:sz w:val="24"/>
          <w:szCs w:val="24"/>
        </w:rPr>
        <w:lastRenderedPageBreak/>
        <w:t>8. Organisational Culture as Enabler or Barrier</w:t>
      </w:r>
    </w:p>
    <w:p w14:paraId="012D75B4" w14:textId="77777777" w:rsidR="00511B91" w:rsidRPr="00511B91" w:rsidRDefault="00511B91" w:rsidP="00511B91">
      <w:pPr>
        <w:spacing w:before="100" w:beforeAutospacing="1" w:after="100" w:afterAutospacing="1" w:line="360" w:lineRule="auto"/>
        <w:rPr>
          <w:rFonts w:ascii="Arial" w:eastAsia="Times New Roman" w:hAnsi="Arial" w:cs="Arial"/>
          <w:lang w:eastAsia="en-GB"/>
        </w:rPr>
      </w:pPr>
      <w:r w:rsidRPr="00511B91">
        <w:rPr>
          <w:rFonts w:ascii="Arial" w:eastAsia="Times New Roman" w:hAnsi="Arial" w:cs="Arial"/>
          <w:lang w:eastAsia="en-GB"/>
        </w:rPr>
        <w:t>A clear example of cultural challenges within Tesco is the 2014 accounting scandal, where internal pressures to meet performance targets contributed to unethical practices. This highlights the risks of an overly performance-driven culture and the importance of aligning organisational values with ethical behaviour.</w:t>
      </w:r>
    </w:p>
    <w:p w14:paraId="48092626" w14:textId="77777777" w:rsidR="00511B91" w:rsidRPr="00511B91" w:rsidRDefault="00511B91" w:rsidP="00511B91">
      <w:pPr>
        <w:spacing w:before="100" w:beforeAutospacing="1" w:after="100" w:afterAutospacing="1" w:line="360" w:lineRule="auto"/>
        <w:rPr>
          <w:rFonts w:ascii="Arial" w:eastAsia="Times New Roman" w:hAnsi="Arial" w:cs="Arial"/>
          <w:lang w:eastAsia="en-GB"/>
        </w:rPr>
      </w:pPr>
      <w:r w:rsidRPr="00511B91">
        <w:rPr>
          <w:rFonts w:ascii="Arial" w:eastAsia="Times New Roman" w:hAnsi="Arial" w:cs="Arial"/>
          <w:lang w:eastAsia="en-GB"/>
        </w:rPr>
        <w:t>Tesco’s organisational culture acts as both an enabler and a barrier. As an enabler, it supports efficiency, consistency and strong performance management. Employees clearly understand expectations and organisational goals, contributing to operational effectiveness and reliability across the organisation. This structured approach also facilitates control and accountability, which are essential in a large-scale retail business.</w:t>
      </w:r>
    </w:p>
    <w:p w14:paraId="22095CA5" w14:textId="77777777" w:rsidR="00511B91" w:rsidRPr="00511B91" w:rsidRDefault="00511B91" w:rsidP="00511B91">
      <w:pPr>
        <w:spacing w:before="100" w:beforeAutospacing="1" w:after="100" w:afterAutospacing="1" w:line="360" w:lineRule="auto"/>
        <w:rPr>
          <w:rFonts w:ascii="Arial" w:eastAsia="Times New Roman" w:hAnsi="Arial" w:cs="Arial"/>
          <w:lang w:eastAsia="en-GB"/>
        </w:rPr>
      </w:pPr>
      <w:r w:rsidRPr="00511B91">
        <w:rPr>
          <w:rFonts w:ascii="Arial" w:eastAsia="Times New Roman" w:hAnsi="Arial" w:cs="Arial"/>
          <w:lang w:eastAsia="en-GB"/>
        </w:rPr>
        <w:t>However, the dominance of role culture may also act as a barrier. It can limit employee empowerment, reduce innovation and create resistance to change, particularly in a fast-moving retail environment. Centralised decision-making may prevent employees from responding effectively to customer needs or local market conditions, which can negatively affect motivation and flexibility.</w:t>
      </w:r>
    </w:p>
    <w:p w14:paraId="5C33E6E7" w14:textId="77777777" w:rsidR="00511B91" w:rsidRPr="00511B91" w:rsidRDefault="00511B91" w:rsidP="00511B91">
      <w:pPr>
        <w:spacing w:before="100" w:beforeAutospacing="1" w:after="100" w:afterAutospacing="1" w:line="360" w:lineRule="auto"/>
        <w:rPr>
          <w:rFonts w:ascii="Arial" w:eastAsia="Times New Roman" w:hAnsi="Arial" w:cs="Arial"/>
          <w:lang w:eastAsia="en-GB"/>
        </w:rPr>
      </w:pPr>
      <w:r w:rsidRPr="00511B91">
        <w:rPr>
          <w:rFonts w:ascii="Arial" w:eastAsia="Times New Roman" w:hAnsi="Arial" w:cs="Arial"/>
          <w:lang w:eastAsia="en-GB"/>
        </w:rPr>
        <w:t>Furthermore, an overly controlled culture may reduce organisational learning, as employees focus on following procedures rather than suggesting improvements. This can limit continuous improvement and reduce the organisation’s ability to respond quickly to external changes. It may also discourage risk-taking, open communication and knowledge sharing, which are essential for innovation.</w:t>
      </w:r>
    </w:p>
    <w:p w14:paraId="4E2E1844" w14:textId="77777777" w:rsidR="00511B91" w:rsidRPr="00511B91" w:rsidRDefault="00511B91" w:rsidP="00511B91">
      <w:pPr>
        <w:spacing w:before="100" w:beforeAutospacing="1" w:after="100" w:afterAutospacing="1" w:line="360" w:lineRule="auto"/>
        <w:rPr>
          <w:rFonts w:ascii="Arial" w:eastAsia="Times New Roman" w:hAnsi="Arial" w:cs="Arial"/>
          <w:lang w:eastAsia="en-GB"/>
        </w:rPr>
      </w:pPr>
      <w:r w:rsidRPr="00511B91">
        <w:rPr>
          <w:rFonts w:ascii="Arial" w:eastAsia="Times New Roman" w:hAnsi="Arial" w:cs="Arial"/>
          <w:lang w:eastAsia="en-GB"/>
        </w:rPr>
        <w:t>Therefore, the effectiveness of Tesco’s culture depends on achieving a balance between control and flexibility. By maintaining operational efficiency while encouraging employee involvement, learning and adaptability, Tesco can enhance both short-term performance and long-term competitiveness. This suggests that a more participative approach could improve innovation and engagement.</w:t>
      </w:r>
    </w:p>
    <w:p w14:paraId="0EED8B13" w14:textId="77777777" w:rsidR="00511B91" w:rsidRDefault="00511B91" w:rsidP="00D219CA">
      <w:pPr>
        <w:pStyle w:val="NormalWeb"/>
        <w:spacing w:line="360" w:lineRule="auto"/>
        <w:rPr>
          <w:rFonts w:ascii="Arial" w:hAnsi="Arial" w:cs="Arial"/>
          <w:b/>
          <w:bCs/>
          <w:kern w:val="36"/>
          <w:sz w:val="24"/>
          <w:szCs w:val="24"/>
        </w:rPr>
      </w:pPr>
    </w:p>
    <w:p w14:paraId="0B627D26" w14:textId="77777777" w:rsidR="00511B91" w:rsidRDefault="00511B91" w:rsidP="00D219CA">
      <w:pPr>
        <w:pStyle w:val="NormalWeb"/>
        <w:spacing w:line="360" w:lineRule="auto"/>
        <w:rPr>
          <w:rFonts w:ascii="Arial" w:hAnsi="Arial" w:cs="Arial"/>
          <w:b/>
          <w:bCs/>
          <w:kern w:val="36"/>
          <w:sz w:val="24"/>
          <w:szCs w:val="24"/>
        </w:rPr>
      </w:pPr>
    </w:p>
    <w:p w14:paraId="1381676E" w14:textId="77777777" w:rsidR="00511B91" w:rsidRDefault="00511B91" w:rsidP="00D219CA">
      <w:pPr>
        <w:pStyle w:val="NormalWeb"/>
        <w:spacing w:line="360" w:lineRule="auto"/>
        <w:rPr>
          <w:rFonts w:ascii="Arial" w:hAnsi="Arial" w:cs="Arial"/>
          <w:b/>
          <w:bCs/>
          <w:kern w:val="36"/>
          <w:sz w:val="24"/>
          <w:szCs w:val="24"/>
        </w:rPr>
      </w:pPr>
    </w:p>
    <w:p w14:paraId="7BEC3124" w14:textId="77777777" w:rsidR="00511B91" w:rsidRDefault="00511B91" w:rsidP="00D219CA">
      <w:pPr>
        <w:pStyle w:val="NormalWeb"/>
        <w:spacing w:line="360" w:lineRule="auto"/>
        <w:rPr>
          <w:rFonts w:ascii="Arial" w:hAnsi="Arial" w:cs="Arial"/>
          <w:b/>
          <w:bCs/>
          <w:kern w:val="36"/>
          <w:sz w:val="24"/>
          <w:szCs w:val="24"/>
        </w:rPr>
      </w:pPr>
    </w:p>
    <w:p w14:paraId="3E88D8DD" w14:textId="666997AA" w:rsidR="00041D2B" w:rsidRPr="00D45738" w:rsidRDefault="00041D2B" w:rsidP="00D219CA">
      <w:pPr>
        <w:pStyle w:val="NormalWeb"/>
        <w:spacing w:line="360" w:lineRule="auto"/>
        <w:rPr>
          <w:rFonts w:ascii="Arial" w:hAnsi="Arial" w:cs="Arial"/>
          <w:sz w:val="24"/>
          <w:szCs w:val="24"/>
        </w:rPr>
      </w:pPr>
      <w:r w:rsidRPr="00D45738">
        <w:rPr>
          <w:rFonts w:ascii="Arial" w:hAnsi="Arial" w:cs="Arial"/>
          <w:b/>
          <w:bCs/>
          <w:kern w:val="36"/>
          <w:sz w:val="24"/>
          <w:szCs w:val="24"/>
        </w:rPr>
        <w:lastRenderedPageBreak/>
        <w:t>9. Impact on Organisational Performance</w:t>
      </w:r>
    </w:p>
    <w:p w14:paraId="3D129F09" w14:textId="77777777" w:rsidR="00A9431A" w:rsidRPr="005D2F6F" w:rsidRDefault="00A9431A" w:rsidP="00D219CA">
      <w:pPr>
        <w:pStyle w:val="NormalWeb"/>
        <w:spacing w:line="360" w:lineRule="auto"/>
        <w:rPr>
          <w:rFonts w:ascii="Arial" w:hAnsi="Arial" w:cs="Arial"/>
        </w:rPr>
      </w:pPr>
      <w:r w:rsidRPr="005D2F6F">
        <w:rPr>
          <w:rFonts w:ascii="Arial" w:hAnsi="Arial" w:cs="Arial"/>
        </w:rPr>
        <w:t>Organisational culture has a direct impact on Tesco’s performance. The strong focus on efficiency and cost control has contributed to improved profitability and operational effectiveness, particularly in a highly competitive retail market. Additionally, the emphasis on customer service supports brand loyalty, helping Tesco maintain its market position and attract repeat customers.</w:t>
      </w:r>
    </w:p>
    <w:p w14:paraId="0E6C01CD" w14:textId="77777777" w:rsidR="00A9431A" w:rsidRPr="005D2F6F" w:rsidRDefault="00A9431A" w:rsidP="00D219CA">
      <w:pPr>
        <w:pStyle w:val="NormalWeb"/>
        <w:spacing w:line="360" w:lineRule="auto"/>
        <w:rPr>
          <w:rFonts w:ascii="Arial" w:hAnsi="Arial" w:cs="Arial"/>
        </w:rPr>
      </w:pPr>
      <w:r w:rsidRPr="005D2F6F">
        <w:rPr>
          <w:rFonts w:ascii="Arial" w:hAnsi="Arial" w:cs="Arial"/>
        </w:rPr>
        <w:t>However, long-term performance requires not only efficiency but also innovation and adaptability. A rigid and highly controlled culture may negatively affect employee engagement, reduce motivation and limit creativity. This can restrict the organisation’s ability to generate new ideas and respond effectively to changing market conditions.</w:t>
      </w:r>
    </w:p>
    <w:p w14:paraId="608DCDAB" w14:textId="77777777" w:rsidR="00A9431A" w:rsidRPr="005D2F6F" w:rsidRDefault="00A9431A" w:rsidP="00D219CA">
      <w:pPr>
        <w:pStyle w:val="NormalWeb"/>
        <w:spacing w:line="360" w:lineRule="auto"/>
        <w:rPr>
          <w:rFonts w:ascii="Arial" w:hAnsi="Arial" w:cs="Arial"/>
        </w:rPr>
      </w:pPr>
      <w:r w:rsidRPr="005D2F6F">
        <w:rPr>
          <w:rFonts w:ascii="Arial" w:hAnsi="Arial" w:cs="Arial"/>
        </w:rPr>
        <w:t>Furthermore, as Denison (1990) suggests, organisational culture influences performance through employee alignment and involvement. If employees feel empowered and engaged, performance outcomes are more likely to improve. In Tesco’s case, increasing employee involvement could enhance both productivity and innovation.</w:t>
      </w:r>
    </w:p>
    <w:p w14:paraId="3B17FBCD" w14:textId="77777777" w:rsidR="00A9431A" w:rsidRPr="005D2F6F" w:rsidRDefault="00A9431A" w:rsidP="00D219CA">
      <w:pPr>
        <w:pStyle w:val="NormalWeb"/>
        <w:spacing w:line="360" w:lineRule="auto"/>
        <w:rPr>
          <w:rFonts w:ascii="Arial" w:hAnsi="Arial" w:cs="Arial"/>
        </w:rPr>
      </w:pPr>
      <w:r w:rsidRPr="005D2F6F">
        <w:rPr>
          <w:rFonts w:ascii="Arial" w:hAnsi="Arial" w:cs="Arial"/>
        </w:rPr>
        <w:t>In addition, a culture that encourages continuous improvement and learning can strengthen long-term organisational resilience. Without this, Tesco may struggle to keep pace with competitors that adopt more flexible and innovative approaches. This is particularly important in the retail sector, where consumer expectations and market trends change rapidly.</w:t>
      </w:r>
    </w:p>
    <w:p w14:paraId="2223C9C8" w14:textId="77777777" w:rsidR="00A9431A" w:rsidRPr="005D2F6F" w:rsidRDefault="00A9431A" w:rsidP="00D219CA">
      <w:pPr>
        <w:pStyle w:val="NormalWeb"/>
        <w:spacing w:line="360" w:lineRule="auto"/>
        <w:rPr>
          <w:rFonts w:ascii="Arial" w:hAnsi="Arial" w:cs="Arial"/>
        </w:rPr>
      </w:pPr>
      <w:r w:rsidRPr="005D2F6F">
        <w:rPr>
          <w:rFonts w:ascii="Arial" w:hAnsi="Arial" w:cs="Arial"/>
        </w:rPr>
        <w:t>Moreover, organisational culture can also influence customer satisfaction and brand perception. A positive internal culture is often reflected in better customer interactions, which can directly impact sales and overall business performance.</w:t>
      </w:r>
    </w:p>
    <w:p w14:paraId="5200BD1F" w14:textId="77777777" w:rsidR="00A9431A" w:rsidRPr="005D2F6F" w:rsidRDefault="00A9431A" w:rsidP="00D219CA">
      <w:pPr>
        <w:pStyle w:val="NormalWeb"/>
        <w:spacing w:line="360" w:lineRule="auto"/>
        <w:rPr>
          <w:rFonts w:ascii="Arial" w:hAnsi="Arial" w:cs="Arial"/>
        </w:rPr>
      </w:pPr>
      <w:r w:rsidRPr="005D2F6F">
        <w:rPr>
          <w:rFonts w:ascii="Arial" w:hAnsi="Arial" w:cs="Arial"/>
        </w:rPr>
        <w:t>Therefore, Tesco must continue evolving its culture to balance efficiency with flexibility. By encouraging innovation, employee engagement, customer focus and continuous learning while maintaining operational control, the organisation can strengthen both its short-term results and long-term competitiveness.</w:t>
      </w:r>
    </w:p>
    <w:p w14:paraId="38659892" w14:textId="53BA98DE" w:rsidR="00515D13" w:rsidRPr="005D2F6F" w:rsidRDefault="00515D13" w:rsidP="00D219CA">
      <w:pPr>
        <w:pStyle w:val="NormalWeb"/>
        <w:spacing w:line="360" w:lineRule="auto"/>
        <w:rPr>
          <w:rFonts w:ascii="Arial" w:hAnsi="Arial" w:cs="Arial"/>
        </w:rPr>
      </w:pPr>
      <w:r w:rsidRPr="005D2F6F">
        <w:rPr>
          <w:rFonts w:ascii="Arial" w:hAnsi="Arial" w:cs="Arial"/>
        </w:rPr>
        <w:t>This highlights that organisational culture not only affects internal performance but also shapes customer experience and long-term competitiveness. Organisations that fail to adapt culturally may struggle in dynamic and highly competitive markets.</w:t>
      </w:r>
    </w:p>
    <w:p w14:paraId="60B88B21" w14:textId="77777777" w:rsidR="00A9431A" w:rsidRPr="00D45738" w:rsidRDefault="00A9431A" w:rsidP="00D219CA">
      <w:pPr>
        <w:spacing w:before="100" w:beforeAutospacing="1" w:after="100" w:afterAutospacing="1" w:line="360" w:lineRule="auto"/>
        <w:outlineLvl w:val="0"/>
        <w:rPr>
          <w:rFonts w:ascii="Arial" w:eastAsia="Times New Roman" w:hAnsi="Arial" w:cs="Arial"/>
          <w:sz w:val="24"/>
          <w:szCs w:val="24"/>
          <w:lang w:eastAsia="en-GB"/>
        </w:rPr>
      </w:pPr>
    </w:p>
    <w:p w14:paraId="489D627E" w14:textId="71B2501E" w:rsidR="00041D2B" w:rsidRPr="00D45738" w:rsidRDefault="00041D2B" w:rsidP="00D219CA">
      <w:pPr>
        <w:spacing w:before="100" w:beforeAutospacing="1" w:after="100" w:afterAutospacing="1" w:line="360" w:lineRule="auto"/>
        <w:outlineLvl w:val="0"/>
        <w:rPr>
          <w:rFonts w:ascii="Arial" w:eastAsia="Times New Roman" w:hAnsi="Arial" w:cs="Arial"/>
          <w:b/>
          <w:bCs/>
          <w:kern w:val="36"/>
          <w:sz w:val="24"/>
          <w:szCs w:val="24"/>
          <w:lang w:eastAsia="en-GB"/>
        </w:rPr>
      </w:pPr>
      <w:r w:rsidRPr="00D45738">
        <w:rPr>
          <w:rFonts w:ascii="Arial" w:eastAsia="Times New Roman" w:hAnsi="Arial" w:cs="Arial"/>
          <w:b/>
          <w:bCs/>
          <w:kern w:val="36"/>
          <w:sz w:val="24"/>
          <w:szCs w:val="24"/>
          <w:lang w:eastAsia="en-GB"/>
        </w:rPr>
        <w:lastRenderedPageBreak/>
        <w:t>10. Recommendations</w:t>
      </w:r>
    </w:p>
    <w:p w14:paraId="3CC808A5" w14:textId="77777777" w:rsidR="005A755A" w:rsidRP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Firstly, Tesco should strengthen employee involvement in decision-making by empowering store-level managers and frontline staff. This would enable faster responses to local customer needs, improve engagement and enhance overall organisational effectiveness.</w:t>
      </w:r>
    </w:p>
    <w:p w14:paraId="61006CB8" w14:textId="77777777" w:rsidR="005A755A" w:rsidRP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Secondly, the organisation should develop cross-functional innovation teams to encourage collaboration across departments. These teams could focus on key areas such as digital transformation, sustainability and customer experience, supporting a shift towards a more flexible and adaptive organisational culture.</w:t>
      </w:r>
    </w:p>
    <w:p w14:paraId="6857B352" w14:textId="77777777" w:rsidR="005A755A" w:rsidRP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In addition, Tesco should adopt a more decentralised approach to decision-making where appropriate, allowing greater autonomy at operational levels while maintaining overall strategic control. This would improve responsiveness and enable quicker adaptation to market changes.</w:t>
      </w:r>
    </w:p>
    <w:p w14:paraId="078740E3" w14:textId="77777777" w:rsidR="005A755A" w:rsidRP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Furthermore, implementing regular employee feedback systems would allow Tesco to identify cultural challenges and improve organisational practices. This could include staff surveys, suggestion platforms and open communication channels, promoting a more inclusive and participative working environment.</w:t>
      </w:r>
    </w:p>
    <w:p w14:paraId="6AD0EDC0" w14:textId="77777777" w:rsidR="005A755A" w:rsidRP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Another important recommendation is to invest in continuous training and development programmes. By enhancing employee skills, particularly in areas such as digital capabilities and customer service, Tesco can support innovation and improve overall performance.</w:t>
      </w:r>
    </w:p>
    <w:p w14:paraId="6C3DBBCF" w14:textId="77777777" w:rsidR="005A755A" w:rsidRP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Tesco should also strengthen its organisational culture by reinforcing ethical behaviour and transparency across all levels. Learning from past challenges, such as the 2014 accounting scandal, ongoing monitoring and clear communication of values are essential to maintain trust and accountability.</w:t>
      </w:r>
    </w:p>
    <w:p w14:paraId="175AE51E" w14:textId="77777777" w:rsidR="005A755A" w:rsidRP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Finally, leadership development should focus on transformational leadership, enabling managers to motivate, support and inspire employees. This would help create a more positive organisational culture that encourages innovation, trust, collaboration and continuous improvement.</w:t>
      </w:r>
    </w:p>
    <w:p w14:paraId="29FFE3FE" w14:textId="77777777" w:rsidR="005A755A" w:rsidRDefault="005A755A" w:rsidP="005A755A">
      <w:pPr>
        <w:spacing w:before="100" w:beforeAutospacing="1" w:after="100" w:afterAutospacing="1" w:line="360" w:lineRule="auto"/>
        <w:rPr>
          <w:rFonts w:ascii="Arial" w:eastAsia="Times New Roman" w:hAnsi="Arial" w:cs="Arial"/>
          <w:lang w:eastAsia="en-GB"/>
        </w:rPr>
      </w:pPr>
      <w:r w:rsidRPr="005A755A">
        <w:rPr>
          <w:rFonts w:ascii="Arial" w:eastAsia="Times New Roman" w:hAnsi="Arial" w:cs="Arial"/>
          <w:lang w:eastAsia="en-GB"/>
        </w:rPr>
        <w:t>Overall, these recommendations aim to support a balanced organisational culture that combines efficiency with flexibility, ensuring that Tesco can sustain both short-term performance and long-term competitiveness in a dynamic retail environment.</w:t>
      </w:r>
    </w:p>
    <w:p w14:paraId="3D77DFFD" w14:textId="4340DA34" w:rsidR="00041D2B" w:rsidRPr="005A755A" w:rsidRDefault="00041D2B" w:rsidP="005A755A">
      <w:pPr>
        <w:spacing w:before="100" w:beforeAutospacing="1" w:after="100" w:afterAutospacing="1" w:line="360" w:lineRule="auto"/>
        <w:rPr>
          <w:rFonts w:ascii="Arial" w:eastAsia="Times New Roman" w:hAnsi="Arial" w:cs="Arial"/>
          <w:lang w:eastAsia="en-GB"/>
        </w:rPr>
      </w:pPr>
      <w:r w:rsidRPr="00D45738">
        <w:rPr>
          <w:rFonts w:ascii="Arial" w:hAnsi="Arial" w:cs="Arial"/>
          <w:b/>
          <w:bCs/>
          <w:kern w:val="36"/>
          <w:sz w:val="24"/>
          <w:szCs w:val="24"/>
        </w:rPr>
        <w:lastRenderedPageBreak/>
        <w:t>11. Conclusion</w:t>
      </w:r>
    </w:p>
    <w:p w14:paraId="655CAB3D" w14:textId="77777777" w:rsidR="00CF60CF" w:rsidRPr="00C64225" w:rsidRDefault="00CF60CF" w:rsidP="00D219CA">
      <w:pPr>
        <w:pStyle w:val="NormalWeb"/>
        <w:spacing w:line="360" w:lineRule="auto"/>
        <w:rPr>
          <w:rFonts w:ascii="Arial" w:hAnsi="Arial" w:cs="Arial"/>
        </w:rPr>
      </w:pPr>
      <w:r w:rsidRPr="00C64225">
        <w:rPr>
          <w:rFonts w:ascii="Arial" w:hAnsi="Arial" w:cs="Arial"/>
        </w:rPr>
        <w:t>In conclusion, organisational culture plays a fundamental role in shaping Tesco’s structure, decision-making processes and overall performance. The analysis shows that Tesco operates predominantly within a role culture, characterised by formal structures, clear hierarchies and a strong focus on efficiency and control. This cultural approach supports consistency, accountability and operational effectiveness across the organisation.</w:t>
      </w:r>
    </w:p>
    <w:p w14:paraId="2F2226AB" w14:textId="77777777" w:rsidR="00CF60CF" w:rsidRPr="00C64225" w:rsidRDefault="00CF60CF" w:rsidP="00D219CA">
      <w:pPr>
        <w:pStyle w:val="NormalWeb"/>
        <w:spacing w:line="360" w:lineRule="auto"/>
        <w:rPr>
          <w:rFonts w:ascii="Arial" w:hAnsi="Arial" w:cs="Arial"/>
        </w:rPr>
      </w:pPr>
      <w:r w:rsidRPr="00C64225">
        <w:rPr>
          <w:rFonts w:ascii="Arial" w:hAnsi="Arial" w:cs="Arial"/>
        </w:rPr>
        <w:t>However, the report also highlights that Tesco’s culture presents certain limitations. The emphasis on control and standardisation may restrict flexibility, innovation and employee empowerment, particularly in a rapidly changing retail environment. While the organisation has demonstrated the ability to adapt to external pressures such as digital transformation and sustainability, this adaptation is often implemented in a structured and incremental way rather than through more flexible and innovative approaches.</w:t>
      </w:r>
    </w:p>
    <w:p w14:paraId="4C3229FD" w14:textId="77777777" w:rsidR="00CF60CF" w:rsidRPr="00C64225" w:rsidRDefault="00CF60CF" w:rsidP="00D219CA">
      <w:pPr>
        <w:pStyle w:val="NormalWeb"/>
        <w:spacing w:line="360" w:lineRule="auto"/>
        <w:rPr>
          <w:rFonts w:ascii="Arial" w:hAnsi="Arial" w:cs="Arial"/>
        </w:rPr>
      </w:pPr>
      <w:r w:rsidRPr="00C64225">
        <w:rPr>
          <w:rFonts w:ascii="Arial" w:hAnsi="Arial" w:cs="Arial"/>
        </w:rPr>
        <w:t>Furthermore, the integration of theoretical frameworks such as Schein’s model, Handy’s cultural types and Hofstede’s dimensions suggests that Tesco’s culture is evolving into a hybrid model, combining elements of role and task culture. This indicates a gradual shift towards greater collaboration and adaptability, although traditional hierarchical characteristics remain dominant.</w:t>
      </w:r>
    </w:p>
    <w:p w14:paraId="3B81ADC5" w14:textId="77777777" w:rsidR="00CF60CF" w:rsidRPr="00C64225" w:rsidRDefault="00CF60CF" w:rsidP="00D219CA">
      <w:pPr>
        <w:pStyle w:val="NormalWeb"/>
        <w:spacing w:line="360" w:lineRule="auto"/>
        <w:rPr>
          <w:rFonts w:ascii="Arial" w:hAnsi="Arial" w:cs="Arial"/>
        </w:rPr>
      </w:pPr>
      <w:r w:rsidRPr="00C64225">
        <w:rPr>
          <w:rFonts w:ascii="Arial" w:hAnsi="Arial" w:cs="Arial"/>
        </w:rPr>
        <w:t>Overall, Tesco’s organisational culture acts as both a strength and a challenge. While it enables efficiency and stability, future success will depend on the organisation’s ability to balance control with flexibility. By encouraging innovation, empowering employees and fostering a more adaptable culture, Tesco can enhance its long-term performance and maintain its competitive position within the UK retail sector.</w:t>
      </w:r>
    </w:p>
    <w:p w14:paraId="45F7D608" w14:textId="0DA4C3C8" w:rsidR="000948AD" w:rsidRPr="00C64225" w:rsidRDefault="00AC29B1" w:rsidP="00D219CA">
      <w:pPr>
        <w:pStyle w:val="NormalWeb"/>
        <w:spacing w:line="360" w:lineRule="auto"/>
        <w:rPr>
          <w:rFonts w:ascii="Arial" w:hAnsi="Arial" w:cs="Arial"/>
        </w:rPr>
      </w:pPr>
      <w:r w:rsidRPr="00AC29B1">
        <w:rPr>
          <w:rFonts w:ascii="Arial" w:hAnsi="Arial" w:cs="Arial"/>
        </w:rPr>
        <w:t>In summary</w:t>
      </w:r>
      <w:r>
        <w:t>,</w:t>
      </w:r>
      <w:r w:rsidR="00A27FB3" w:rsidRPr="00C64225">
        <w:rPr>
          <w:rFonts w:ascii="Arial" w:hAnsi="Arial" w:cs="Arial"/>
        </w:rPr>
        <w:t xml:space="preserve"> this analysis demonstrates that organisational culture must continuously evolve in response to internal and external pressures. For Tesco, achieving a balance between efficiency and adaptability will be essential for long-term success in an increasingly competitive retail environment.</w:t>
      </w:r>
    </w:p>
    <w:p w14:paraId="103A0578" w14:textId="77777777" w:rsidR="00C64225" w:rsidRDefault="00C64225" w:rsidP="00D219CA">
      <w:pPr>
        <w:pStyle w:val="NormalWeb"/>
        <w:spacing w:line="360" w:lineRule="auto"/>
        <w:rPr>
          <w:rFonts w:ascii="Arial" w:hAnsi="Arial" w:cs="Arial"/>
          <w:b/>
          <w:bCs/>
          <w:kern w:val="36"/>
          <w:sz w:val="24"/>
          <w:szCs w:val="24"/>
        </w:rPr>
      </w:pPr>
    </w:p>
    <w:p w14:paraId="34BE7752" w14:textId="77777777" w:rsidR="00C64225" w:rsidRDefault="00C64225" w:rsidP="00D219CA">
      <w:pPr>
        <w:pStyle w:val="NormalWeb"/>
        <w:spacing w:line="360" w:lineRule="auto"/>
        <w:rPr>
          <w:rFonts w:ascii="Arial" w:hAnsi="Arial" w:cs="Arial"/>
          <w:b/>
          <w:bCs/>
          <w:kern w:val="36"/>
          <w:sz w:val="24"/>
          <w:szCs w:val="24"/>
        </w:rPr>
      </w:pPr>
    </w:p>
    <w:p w14:paraId="7EEA97A4" w14:textId="77777777" w:rsidR="00C64225" w:rsidRDefault="00C64225" w:rsidP="00D219CA">
      <w:pPr>
        <w:pStyle w:val="NormalWeb"/>
        <w:spacing w:line="360" w:lineRule="auto"/>
        <w:rPr>
          <w:rFonts w:ascii="Arial" w:hAnsi="Arial" w:cs="Arial"/>
          <w:b/>
          <w:bCs/>
          <w:kern w:val="36"/>
          <w:sz w:val="24"/>
          <w:szCs w:val="24"/>
        </w:rPr>
      </w:pPr>
    </w:p>
    <w:p w14:paraId="09C51DA2" w14:textId="77777777" w:rsidR="00C64225" w:rsidRDefault="00C64225" w:rsidP="00D219CA">
      <w:pPr>
        <w:pStyle w:val="NormalWeb"/>
        <w:spacing w:line="360" w:lineRule="auto"/>
        <w:rPr>
          <w:rFonts w:ascii="Arial" w:hAnsi="Arial" w:cs="Arial"/>
          <w:b/>
          <w:bCs/>
          <w:kern w:val="36"/>
          <w:sz w:val="24"/>
          <w:szCs w:val="24"/>
        </w:rPr>
      </w:pPr>
    </w:p>
    <w:p w14:paraId="188DE7A6" w14:textId="08C85DDA" w:rsidR="00041D2B" w:rsidRPr="00D45738" w:rsidRDefault="00041D2B" w:rsidP="00D219CA">
      <w:pPr>
        <w:pStyle w:val="NormalWeb"/>
        <w:spacing w:line="360" w:lineRule="auto"/>
        <w:rPr>
          <w:rFonts w:ascii="Arial" w:hAnsi="Arial" w:cs="Arial"/>
          <w:sz w:val="24"/>
          <w:szCs w:val="24"/>
        </w:rPr>
      </w:pPr>
      <w:r w:rsidRPr="00D45738">
        <w:rPr>
          <w:rFonts w:ascii="Arial" w:hAnsi="Arial" w:cs="Arial"/>
          <w:b/>
          <w:bCs/>
          <w:kern w:val="36"/>
          <w:sz w:val="24"/>
          <w:szCs w:val="24"/>
        </w:rPr>
        <w:lastRenderedPageBreak/>
        <w:t>12. References</w:t>
      </w:r>
    </w:p>
    <w:p w14:paraId="0A33C599"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Alvesson, M. (2013) </w:t>
      </w:r>
      <w:r w:rsidRPr="00C64225">
        <w:rPr>
          <w:rStyle w:val="Emphasis"/>
          <w:rFonts w:ascii="Arial" w:eastAsiaTheme="majorEastAsia" w:hAnsi="Arial" w:cs="Arial"/>
          <w:sz w:val="24"/>
          <w:szCs w:val="24"/>
        </w:rPr>
        <w:t>Understanding Organizational Culture</w:t>
      </w:r>
      <w:r w:rsidRPr="00C64225">
        <w:rPr>
          <w:rFonts w:ascii="Arial" w:hAnsi="Arial" w:cs="Arial"/>
          <w:sz w:val="24"/>
          <w:szCs w:val="24"/>
        </w:rPr>
        <w:t xml:space="preserve">. 2nd </w:t>
      </w:r>
      <w:proofErr w:type="spellStart"/>
      <w:r w:rsidRPr="00C64225">
        <w:rPr>
          <w:rFonts w:ascii="Arial" w:hAnsi="Arial" w:cs="Arial"/>
          <w:sz w:val="24"/>
          <w:szCs w:val="24"/>
        </w:rPr>
        <w:t>edn</w:t>
      </w:r>
      <w:proofErr w:type="spellEnd"/>
      <w:r w:rsidRPr="00C64225">
        <w:rPr>
          <w:rFonts w:ascii="Arial" w:hAnsi="Arial" w:cs="Arial"/>
          <w:sz w:val="24"/>
          <w:szCs w:val="24"/>
        </w:rPr>
        <w:t>. London: Sage.</w:t>
      </w:r>
    </w:p>
    <w:p w14:paraId="7F3029E3"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Denison, D. (1990) </w:t>
      </w:r>
      <w:r w:rsidRPr="00C64225">
        <w:rPr>
          <w:rStyle w:val="Emphasis"/>
          <w:rFonts w:ascii="Arial" w:eastAsiaTheme="majorEastAsia" w:hAnsi="Arial" w:cs="Arial"/>
          <w:sz w:val="24"/>
          <w:szCs w:val="24"/>
        </w:rPr>
        <w:t>Corporate Culture and Organizational Effectiveness</w:t>
      </w:r>
      <w:r w:rsidRPr="00C64225">
        <w:rPr>
          <w:rFonts w:ascii="Arial" w:hAnsi="Arial" w:cs="Arial"/>
          <w:sz w:val="24"/>
          <w:szCs w:val="24"/>
        </w:rPr>
        <w:t>. New York: Wiley.</w:t>
      </w:r>
    </w:p>
    <w:p w14:paraId="75C3E937"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Handy, C. (1993) </w:t>
      </w:r>
      <w:r w:rsidRPr="00C64225">
        <w:rPr>
          <w:rStyle w:val="Emphasis"/>
          <w:rFonts w:ascii="Arial" w:eastAsiaTheme="majorEastAsia" w:hAnsi="Arial" w:cs="Arial"/>
          <w:sz w:val="24"/>
          <w:szCs w:val="24"/>
        </w:rPr>
        <w:t>Understanding Organizations</w:t>
      </w:r>
      <w:r w:rsidRPr="00C64225">
        <w:rPr>
          <w:rFonts w:ascii="Arial" w:hAnsi="Arial" w:cs="Arial"/>
          <w:sz w:val="24"/>
          <w:szCs w:val="24"/>
        </w:rPr>
        <w:t xml:space="preserve">. 4th </w:t>
      </w:r>
      <w:proofErr w:type="spellStart"/>
      <w:r w:rsidRPr="00C64225">
        <w:rPr>
          <w:rFonts w:ascii="Arial" w:hAnsi="Arial" w:cs="Arial"/>
          <w:sz w:val="24"/>
          <w:szCs w:val="24"/>
        </w:rPr>
        <w:t>edn</w:t>
      </w:r>
      <w:proofErr w:type="spellEnd"/>
      <w:r w:rsidRPr="00C64225">
        <w:rPr>
          <w:rFonts w:ascii="Arial" w:hAnsi="Arial" w:cs="Arial"/>
          <w:sz w:val="24"/>
          <w:szCs w:val="24"/>
        </w:rPr>
        <w:t>. London: Penguin.</w:t>
      </w:r>
    </w:p>
    <w:p w14:paraId="77D6D7A4"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Hofstede, G. (2011) ‘</w:t>
      </w:r>
      <w:proofErr w:type="spellStart"/>
      <w:r w:rsidRPr="00C64225">
        <w:rPr>
          <w:rFonts w:ascii="Arial" w:hAnsi="Arial" w:cs="Arial"/>
          <w:sz w:val="24"/>
          <w:szCs w:val="24"/>
        </w:rPr>
        <w:t>Dimensionalizing</w:t>
      </w:r>
      <w:proofErr w:type="spellEnd"/>
      <w:r w:rsidRPr="00C64225">
        <w:rPr>
          <w:rFonts w:ascii="Arial" w:hAnsi="Arial" w:cs="Arial"/>
          <w:sz w:val="24"/>
          <w:szCs w:val="24"/>
        </w:rPr>
        <w:t xml:space="preserve"> cultures: The Hofstede model in context’, </w:t>
      </w:r>
      <w:r w:rsidRPr="00C64225">
        <w:rPr>
          <w:rStyle w:val="Emphasis"/>
          <w:rFonts w:ascii="Arial" w:eastAsiaTheme="majorEastAsia" w:hAnsi="Arial" w:cs="Arial"/>
          <w:sz w:val="24"/>
          <w:szCs w:val="24"/>
        </w:rPr>
        <w:t>Online Readings in Psychology and Culture</w:t>
      </w:r>
      <w:r w:rsidRPr="00C64225">
        <w:rPr>
          <w:rFonts w:ascii="Arial" w:hAnsi="Arial" w:cs="Arial"/>
          <w:sz w:val="24"/>
          <w:szCs w:val="24"/>
        </w:rPr>
        <w:t>, 2(1), pp. 1–26.</w:t>
      </w:r>
    </w:p>
    <w:p w14:paraId="081BA7BE"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Mullins, L.J. and Christy, G. (2016) </w:t>
      </w:r>
      <w:r w:rsidRPr="00C64225">
        <w:rPr>
          <w:rStyle w:val="Emphasis"/>
          <w:rFonts w:ascii="Arial" w:eastAsiaTheme="majorEastAsia" w:hAnsi="Arial" w:cs="Arial"/>
          <w:sz w:val="24"/>
          <w:szCs w:val="24"/>
        </w:rPr>
        <w:t>Management and Organisational Behaviour</w:t>
      </w:r>
      <w:r w:rsidRPr="00C64225">
        <w:rPr>
          <w:rFonts w:ascii="Arial" w:hAnsi="Arial" w:cs="Arial"/>
          <w:sz w:val="24"/>
          <w:szCs w:val="24"/>
        </w:rPr>
        <w:t xml:space="preserve">. 11th </w:t>
      </w:r>
      <w:proofErr w:type="spellStart"/>
      <w:r w:rsidRPr="00C64225">
        <w:rPr>
          <w:rFonts w:ascii="Arial" w:hAnsi="Arial" w:cs="Arial"/>
          <w:sz w:val="24"/>
          <w:szCs w:val="24"/>
        </w:rPr>
        <w:t>edn</w:t>
      </w:r>
      <w:proofErr w:type="spellEnd"/>
      <w:r w:rsidRPr="00C64225">
        <w:rPr>
          <w:rFonts w:ascii="Arial" w:hAnsi="Arial" w:cs="Arial"/>
          <w:sz w:val="24"/>
          <w:szCs w:val="24"/>
        </w:rPr>
        <w:t>. Harlow: Pearson.</w:t>
      </w:r>
    </w:p>
    <w:p w14:paraId="27FECC90"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Schein, E.H. (2010) </w:t>
      </w:r>
      <w:r w:rsidRPr="00C64225">
        <w:rPr>
          <w:rStyle w:val="Emphasis"/>
          <w:rFonts w:ascii="Arial" w:eastAsiaTheme="majorEastAsia" w:hAnsi="Arial" w:cs="Arial"/>
          <w:sz w:val="24"/>
          <w:szCs w:val="24"/>
        </w:rPr>
        <w:t>Organizational Culture and Leadership</w:t>
      </w:r>
      <w:r w:rsidRPr="00C64225">
        <w:rPr>
          <w:rFonts w:ascii="Arial" w:hAnsi="Arial" w:cs="Arial"/>
          <w:sz w:val="24"/>
          <w:szCs w:val="24"/>
        </w:rPr>
        <w:t xml:space="preserve">. 4th </w:t>
      </w:r>
      <w:proofErr w:type="spellStart"/>
      <w:r w:rsidRPr="00C64225">
        <w:rPr>
          <w:rFonts w:ascii="Arial" w:hAnsi="Arial" w:cs="Arial"/>
          <w:sz w:val="24"/>
          <w:szCs w:val="24"/>
        </w:rPr>
        <w:t>edn</w:t>
      </w:r>
      <w:proofErr w:type="spellEnd"/>
      <w:r w:rsidRPr="00C64225">
        <w:rPr>
          <w:rFonts w:ascii="Arial" w:hAnsi="Arial" w:cs="Arial"/>
          <w:sz w:val="24"/>
          <w:szCs w:val="24"/>
        </w:rPr>
        <w:t>. San Francisco: Jossey-Bass.</w:t>
      </w:r>
    </w:p>
    <w:p w14:paraId="74FA6E0D" w14:textId="73013A12"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Tesco plc (2023) </w:t>
      </w:r>
      <w:r w:rsidRPr="00C64225">
        <w:rPr>
          <w:rStyle w:val="Emphasis"/>
          <w:rFonts w:ascii="Arial" w:eastAsiaTheme="majorEastAsia" w:hAnsi="Arial" w:cs="Arial"/>
          <w:sz w:val="24"/>
          <w:szCs w:val="24"/>
        </w:rPr>
        <w:t>Annual Report and Financial Statements 2023</w:t>
      </w:r>
      <w:r w:rsidRPr="00C64225">
        <w:rPr>
          <w:rFonts w:ascii="Arial" w:hAnsi="Arial" w:cs="Arial"/>
          <w:sz w:val="24"/>
          <w:szCs w:val="24"/>
        </w:rPr>
        <w:t xml:space="preserve">. Available at: </w:t>
      </w:r>
      <w:hyperlink r:id="rId11" w:history="1">
        <w:r w:rsidR="00664192" w:rsidRPr="002C5098">
          <w:rPr>
            <w:rStyle w:val="Hyperlink"/>
            <w:rFonts w:ascii="Arial" w:hAnsi="Arial" w:cs="Arial"/>
            <w:sz w:val="24"/>
            <w:szCs w:val="24"/>
          </w:rPr>
          <w:t>https://www.tescoplc.com/investors</w:t>
        </w:r>
      </w:hyperlink>
      <w:r w:rsidR="00664192">
        <w:t xml:space="preserve"> </w:t>
      </w:r>
      <w:r w:rsidRPr="00C64225">
        <w:rPr>
          <w:rFonts w:ascii="Arial" w:hAnsi="Arial" w:cs="Arial"/>
          <w:sz w:val="24"/>
          <w:szCs w:val="24"/>
        </w:rPr>
        <w:t>(Accessed: 19 March 2026).</w:t>
      </w:r>
    </w:p>
    <w:p w14:paraId="465CDC56"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CIPD (2023) </w:t>
      </w:r>
      <w:r w:rsidRPr="00C64225">
        <w:rPr>
          <w:rStyle w:val="Emphasis"/>
          <w:rFonts w:ascii="Arial" w:eastAsiaTheme="majorEastAsia" w:hAnsi="Arial" w:cs="Arial"/>
          <w:sz w:val="24"/>
          <w:szCs w:val="24"/>
        </w:rPr>
        <w:t>Organisational Culture and Performance</w:t>
      </w:r>
      <w:r w:rsidRPr="00C64225">
        <w:rPr>
          <w:rFonts w:ascii="Arial" w:hAnsi="Arial" w:cs="Arial"/>
          <w:sz w:val="24"/>
          <w:szCs w:val="24"/>
        </w:rPr>
        <w:t xml:space="preserve">. Available at: </w:t>
      </w:r>
      <w:hyperlink r:id="rId12" w:tgtFrame="_new" w:history="1">
        <w:r w:rsidRPr="00C64225">
          <w:rPr>
            <w:rStyle w:val="Hyperlink"/>
            <w:rFonts w:ascii="Arial" w:eastAsiaTheme="majorEastAsia" w:hAnsi="Arial" w:cs="Arial"/>
            <w:sz w:val="24"/>
            <w:szCs w:val="24"/>
          </w:rPr>
          <w:t>https://www.cipd.co.uk</w:t>
        </w:r>
      </w:hyperlink>
      <w:r w:rsidRPr="00C64225">
        <w:rPr>
          <w:rFonts w:ascii="Arial" w:hAnsi="Arial" w:cs="Arial"/>
          <w:sz w:val="24"/>
          <w:szCs w:val="24"/>
        </w:rPr>
        <w:t xml:space="preserve"> (Accessed: 19 March 2026).</w:t>
      </w:r>
    </w:p>
    <w:p w14:paraId="737DB391"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Burnes, B. (2020) </w:t>
      </w:r>
      <w:r w:rsidRPr="00C64225">
        <w:rPr>
          <w:rStyle w:val="Emphasis"/>
          <w:rFonts w:ascii="Arial" w:eastAsiaTheme="majorEastAsia" w:hAnsi="Arial" w:cs="Arial"/>
          <w:sz w:val="24"/>
          <w:szCs w:val="24"/>
        </w:rPr>
        <w:t>Managing Change</w:t>
      </w:r>
      <w:r w:rsidRPr="00C64225">
        <w:rPr>
          <w:rFonts w:ascii="Arial" w:hAnsi="Arial" w:cs="Arial"/>
          <w:sz w:val="24"/>
          <w:szCs w:val="24"/>
        </w:rPr>
        <w:t xml:space="preserve">. 7th </w:t>
      </w:r>
      <w:proofErr w:type="spellStart"/>
      <w:r w:rsidRPr="00C64225">
        <w:rPr>
          <w:rFonts w:ascii="Arial" w:hAnsi="Arial" w:cs="Arial"/>
          <w:sz w:val="24"/>
          <w:szCs w:val="24"/>
        </w:rPr>
        <w:t>edn</w:t>
      </w:r>
      <w:proofErr w:type="spellEnd"/>
      <w:r w:rsidRPr="00C64225">
        <w:rPr>
          <w:rFonts w:ascii="Arial" w:hAnsi="Arial" w:cs="Arial"/>
          <w:sz w:val="24"/>
          <w:szCs w:val="24"/>
        </w:rPr>
        <w:t>. Harlow: Pearson.</w:t>
      </w:r>
    </w:p>
    <w:p w14:paraId="385ECA32"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Kotter, J.P. (2012) </w:t>
      </w:r>
      <w:r w:rsidRPr="00C64225">
        <w:rPr>
          <w:rStyle w:val="Emphasis"/>
          <w:rFonts w:ascii="Arial" w:eastAsiaTheme="majorEastAsia" w:hAnsi="Arial" w:cs="Arial"/>
          <w:sz w:val="24"/>
          <w:szCs w:val="24"/>
        </w:rPr>
        <w:t>Leading Change</w:t>
      </w:r>
      <w:r w:rsidRPr="00C64225">
        <w:rPr>
          <w:rFonts w:ascii="Arial" w:hAnsi="Arial" w:cs="Arial"/>
          <w:sz w:val="24"/>
          <w:szCs w:val="24"/>
        </w:rPr>
        <w:t>. Boston: Harvard Business Review Press.</w:t>
      </w:r>
    </w:p>
    <w:p w14:paraId="277FB835"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Johnson, G., Scholes, K. and Whittington, R. (2017) </w:t>
      </w:r>
      <w:r w:rsidRPr="00C64225">
        <w:rPr>
          <w:rStyle w:val="Emphasis"/>
          <w:rFonts w:ascii="Arial" w:eastAsiaTheme="majorEastAsia" w:hAnsi="Arial" w:cs="Arial"/>
          <w:sz w:val="24"/>
          <w:szCs w:val="24"/>
        </w:rPr>
        <w:t>Exploring Strategy</w:t>
      </w:r>
      <w:r w:rsidRPr="00C64225">
        <w:rPr>
          <w:rFonts w:ascii="Arial" w:hAnsi="Arial" w:cs="Arial"/>
          <w:sz w:val="24"/>
          <w:szCs w:val="24"/>
        </w:rPr>
        <w:t xml:space="preserve">. 11th </w:t>
      </w:r>
      <w:proofErr w:type="spellStart"/>
      <w:r w:rsidRPr="00C64225">
        <w:rPr>
          <w:rFonts w:ascii="Arial" w:hAnsi="Arial" w:cs="Arial"/>
          <w:sz w:val="24"/>
          <w:szCs w:val="24"/>
        </w:rPr>
        <w:t>edn</w:t>
      </w:r>
      <w:proofErr w:type="spellEnd"/>
      <w:r w:rsidRPr="00C64225">
        <w:rPr>
          <w:rFonts w:ascii="Arial" w:hAnsi="Arial" w:cs="Arial"/>
          <w:sz w:val="24"/>
          <w:szCs w:val="24"/>
        </w:rPr>
        <w:t>. Harlow: Pearson.</w:t>
      </w:r>
    </w:p>
    <w:p w14:paraId="69CA8D23"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McKinsey &amp; Company (2021) </w:t>
      </w:r>
      <w:r w:rsidRPr="00C64225">
        <w:rPr>
          <w:rStyle w:val="Emphasis"/>
          <w:rFonts w:ascii="Arial" w:eastAsiaTheme="majorEastAsia" w:hAnsi="Arial" w:cs="Arial"/>
          <w:sz w:val="24"/>
          <w:szCs w:val="24"/>
        </w:rPr>
        <w:t>The State of Organisations 2021</w:t>
      </w:r>
      <w:r w:rsidRPr="00C64225">
        <w:rPr>
          <w:rFonts w:ascii="Arial" w:hAnsi="Arial" w:cs="Arial"/>
          <w:sz w:val="24"/>
          <w:szCs w:val="24"/>
        </w:rPr>
        <w:t xml:space="preserve">. Available at: </w:t>
      </w:r>
      <w:hyperlink r:id="rId13" w:tgtFrame="_new" w:history="1">
        <w:r w:rsidRPr="00C64225">
          <w:rPr>
            <w:rStyle w:val="Hyperlink"/>
            <w:rFonts w:ascii="Arial" w:eastAsiaTheme="majorEastAsia" w:hAnsi="Arial" w:cs="Arial"/>
            <w:sz w:val="24"/>
            <w:szCs w:val="24"/>
          </w:rPr>
          <w:t>https://www.mckinsey.com</w:t>
        </w:r>
      </w:hyperlink>
      <w:r w:rsidRPr="00C64225">
        <w:rPr>
          <w:rFonts w:ascii="Arial" w:hAnsi="Arial" w:cs="Arial"/>
          <w:sz w:val="24"/>
          <w:szCs w:val="24"/>
        </w:rPr>
        <w:t xml:space="preserve"> (Accessed: 19 March 2026).</w:t>
      </w:r>
    </w:p>
    <w:p w14:paraId="1A956749" w14:textId="77777777" w:rsidR="000948AD" w:rsidRPr="00C64225" w:rsidRDefault="000948AD" w:rsidP="00D219CA">
      <w:pPr>
        <w:pStyle w:val="NormalWeb"/>
        <w:spacing w:line="360" w:lineRule="auto"/>
        <w:rPr>
          <w:rFonts w:ascii="Arial" w:hAnsi="Arial" w:cs="Arial"/>
          <w:sz w:val="24"/>
          <w:szCs w:val="24"/>
        </w:rPr>
      </w:pPr>
      <w:r w:rsidRPr="00C64225">
        <w:rPr>
          <w:rFonts w:ascii="Arial" w:hAnsi="Arial" w:cs="Arial"/>
          <w:sz w:val="24"/>
          <w:szCs w:val="24"/>
        </w:rPr>
        <w:t xml:space="preserve">Deloitte (2022) </w:t>
      </w:r>
      <w:r w:rsidRPr="00C64225">
        <w:rPr>
          <w:rStyle w:val="Emphasis"/>
          <w:rFonts w:ascii="Arial" w:eastAsiaTheme="majorEastAsia" w:hAnsi="Arial" w:cs="Arial"/>
          <w:sz w:val="24"/>
          <w:szCs w:val="24"/>
        </w:rPr>
        <w:t>Global Human Capital Trends</w:t>
      </w:r>
      <w:r w:rsidRPr="00C64225">
        <w:rPr>
          <w:rFonts w:ascii="Arial" w:hAnsi="Arial" w:cs="Arial"/>
          <w:sz w:val="24"/>
          <w:szCs w:val="24"/>
        </w:rPr>
        <w:t xml:space="preserve">. Available at: </w:t>
      </w:r>
      <w:hyperlink r:id="rId14" w:tgtFrame="_new" w:history="1">
        <w:r w:rsidRPr="00C64225">
          <w:rPr>
            <w:rStyle w:val="Hyperlink"/>
            <w:rFonts w:ascii="Arial" w:eastAsiaTheme="majorEastAsia" w:hAnsi="Arial" w:cs="Arial"/>
            <w:sz w:val="24"/>
            <w:szCs w:val="24"/>
          </w:rPr>
          <w:t>https://www.deloitte.com</w:t>
        </w:r>
      </w:hyperlink>
      <w:r w:rsidRPr="00C64225">
        <w:rPr>
          <w:rFonts w:ascii="Arial" w:hAnsi="Arial" w:cs="Arial"/>
          <w:sz w:val="24"/>
          <w:szCs w:val="24"/>
        </w:rPr>
        <w:t xml:space="preserve"> (Accessed: 19 March 2026).</w:t>
      </w:r>
    </w:p>
    <w:p w14:paraId="637BBE88" w14:textId="77777777" w:rsidR="00C8342B" w:rsidRPr="00041D2B" w:rsidRDefault="00C8342B" w:rsidP="00D219CA">
      <w:pPr>
        <w:spacing w:line="360" w:lineRule="auto"/>
        <w:rPr>
          <w:rFonts w:ascii="Arial" w:hAnsi="Arial" w:cs="Arial"/>
        </w:rPr>
      </w:pPr>
    </w:p>
    <w:sectPr w:rsidR="00C8342B" w:rsidRPr="00041D2B" w:rsidSect="00F46F38">
      <w:footerReference w:type="default" r:id="rId15"/>
      <w:pgSz w:w="11906" w:h="16838"/>
      <w:pgMar w:top="1440" w:right="1440" w:bottom="1440"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E17E8" w14:textId="77777777" w:rsidR="00853E49" w:rsidRDefault="00853E49" w:rsidP="00B73645">
      <w:pPr>
        <w:spacing w:after="0" w:line="240" w:lineRule="auto"/>
      </w:pPr>
      <w:r>
        <w:separator/>
      </w:r>
    </w:p>
  </w:endnote>
  <w:endnote w:type="continuationSeparator" w:id="0">
    <w:p w14:paraId="7741D859" w14:textId="77777777" w:rsidR="00853E49" w:rsidRDefault="00853E49" w:rsidP="00B73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56E85" w14:textId="7000921E" w:rsidR="00F46F38" w:rsidRDefault="00F46F38">
    <w:pPr>
      <w:pStyle w:val="Footer"/>
      <w:jc w:val="center"/>
    </w:pPr>
  </w:p>
  <w:p w14:paraId="0229D006" w14:textId="77777777" w:rsidR="0050512D" w:rsidRDefault="00505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3DDF5" w14:textId="71EE8C1F" w:rsidR="0050512D" w:rsidRDefault="0050512D">
    <w:pPr>
      <w:pStyle w:val="Footer"/>
      <w:pBdr>
        <w:top w:val="single" w:sz="4" w:space="1" w:color="D9D9D9" w:themeColor="background1" w:themeShade="D9"/>
      </w:pBdr>
      <w:rPr>
        <w:b/>
        <w:bCs/>
      </w:rPr>
    </w:pPr>
  </w:p>
  <w:p w14:paraId="32C4F410" w14:textId="77777777" w:rsidR="0050512D" w:rsidRDefault="005051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075523"/>
      <w:docPartObj>
        <w:docPartGallery w:val="Page Numbers (Bottom of Page)"/>
        <w:docPartUnique/>
      </w:docPartObj>
    </w:sdtPr>
    <w:sdtContent>
      <w:sdt>
        <w:sdtPr>
          <w:id w:val="1728636285"/>
          <w:docPartObj>
            <w:docPartGallery w:val="Page Numbers (Top of Page)"/>
            <w:docPartUnique/>
          </w:docPartObj>
        </w:sdtPr>
        <w:sdtContent>
          <w:p w14:paraId="17BA0AC6" w14:textId="3A6D0997" w:rsidR="00D744DB" w:rsidRDefault="00D744DB">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10FC8F0A" w14:textId="77777777" w:rsidR="00D744DB" w:rsidRDefault="00D74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2F716" w14:textId="77777777" w:rsidR="00853E49" w:rsidRDefault="00853E49" w:rsidP="00B73645">
      <w:pPr>
        <w:spacing w:after="0" w:line="240" w:lineRule="auto"/>
      </w:pPr>
      <w:r>
        <w:separator/>
      </w:r>
    </w:p>
  </w:footnote>
  <w:footnote w:type="continuationSeparator" w:id="0">
    <w:p w14:paraId="2640BB93" w14:textId="77777777" w:rsidR="00853E49" w:rsidRDefault="00853E49" w:rsidP="00B73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0A1B8C"/>
    <w:multiLevelType w:val="multilevel"/>
    <w:tmpl w:val="0EB82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6C135C8"/>
    <w:multiLevelType w:val="multilevel"/>
    <w:tmpl w:val="F240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591574">
    <w:abstractNumId w:val="1"/>
  </w:num>
  <w:num w:numId="2" w16cid:durableId="1349285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D2B"/>
    <w:rsid w:val="000349D1"/>
    <w:rsid w:val="00041D2B"/>
    <w:rsid w:val="00047DA8"/>
    <w:rsid w:val="000948AD"/>
    <w:rsid w:val="000950C7"/>
    <w:rsid w:val="000D7537"/>
    <w:rsid w:val="000F2271"/>
    <w:rsid w:val="00157DE5"/>
    <w:rsid w:val="00161514"/>
    <w:rsid w:val="001A3378"/>
    <w:rsid w:val="001B1879"/>
    <w:rsid w:val="001C73B9"/>
    <w:rsid w:val="001E0616"/>
    <w:rsid w:val="001E3F00"/>
    <w:rsid w:val="00225843"/>
    <w:rsid w:val="002A6986"/>
    <w:rsid w:val="002B0508"/>
    <w:rsid w:val="002C3B16"/>
    <w:rsid w:val="002C5E76"/>
    <w:rsid w:val="00307D41"/>
    <w:rsid w:val="003152FE"/>
    <w:rsid w:val="0039517A"/>
    <w:rsid w:val="003A238B"/>
    <w:rsid w:val="003A6F2A"/>
    <w:rsid w:val="003E1327"/>
    <w:rsid w:val="0042266F"/>
    <w:rsid w:val="00434E4C"/>
    <w:rsid w:val="00436E37"/>
    <w:rsid w:val="00473128"/>
    <w:rsid w:val="00497780"/>
    <w:rsid w:val="004E5B86"/>
    <w:rsid w:val="0050512D"/>
    <w:rsid w:val="00511B91"/>
    <w:rsid w:val="00515D13"/>
    <w:rsid w:val="00541C43"/>
    <w:rsid w:val="00575FC4"/>
    <w:rsid w:val="00592B3A"/>
    <w:rsid w:val="00594349"/>
    <w:rsid w:val="005A755A"/>
    <w:rsid w:val="005B6A24"/>
    <w:rsid w:val="005D2F6F"/>
    <w:rsid w:val="005E16E2"/>
    <w:rsid w:val="005E65D6"/>
    <w:rsid w:val="00607D98"/>
    <w:rsid w:val="00615520"/>
    <w:rsid w:val="006374A2"/>
    <w:rsid w:val="00664192"/>
    <w:rsid w:val="006878B8"/>
    <w:rsid w:val="006967C2"/>
    <w:rsid w:val="006B50B9"/>
    <w:rsid w:val="007064D7"/>
    <w:rsid w:val="00741E12"/>
    <w:rsid w:val="0075195F"/>
    <w:rsid w:val="00755D24"/>
    <w:rsid w:val="00792DF5"/>
    <w:rsid w:val="007E1A2B"/>
    <w:rsid w:val="007F0868"/>
    <w:rsid w:val="00853E49"/>
    <w:rsid w:val="0089234B"/>
    <w:rsid w:val="008A7DB8"/>
    <w:rsid w:val="008E6A7E"/>
    <w:rsid w:val="00920CD3"/>
    <w:rsid w:val="00943DEF"/>
    <w:rsid w:val="00976752"/>
    <w:rsid w:val="009C6E9B"/>
    <w:rsid w:val="009D0428"/>
    <w:rsid w:val="00A05291"/>
    <w:rsid w:val="00A27FB3"/>
    <w:rsid w:val="00A9431A"/>
    <w:rsid w:val="00AC1294"/>
    <w:rsid w:val="00AC29B1"/>
    <w:rsid w:val="00B05C2F"/>
    <w:rsid w:val="00B47697"/>
    <w:rsid w:val="00B53DED"/>
    <w:rsid w:val="00B56261"/>
    <w:rsid w:val="00B73645"/>
    <w:rsid w:val="00B8602C"/>
    <w:rsid w:val="00B95C5E"/>
    <w:rsid w:val="00B96A3B"/>
    <w:rsid w:val="00BA1593"/>
    <w:rsid w:val="00BE4370"/>
    <w:rsid w:val="00BE6F66"/>
    <w:rsid w:val="00BF31DB"/>
    <w:rsid w:val="00C11C19"/>
    <w:rsid w:val="00C322F8"/>
    <w:rsid w:val="00C64225"/>
    <w:rsid w:val="00C7761D"/>
    <w:rsid w:val="00C815D7"/>
    <w:rsid w:val="00C8342B"/>
    <w:rsid w:val="00CF60CF"/>
    <w:rsid w:val="00D168D9"/>
    <w:rsid w:val="00D20C78"/>
    <w:rsid w:val="00D219CA"/>
    <w:rsid w:val="00D45738"/>
    <w:rsid w:val="00D56132"/>
    <w:rsid w:val="00D600CE"/>
    <w:rsid w:val="00D62BF1"/>
    <w:rsid w:val="00D744DB"/>
    <w:rsid w:val="00DC68BE"/>
    <w:rsid w:val="00E75EED"/>
    <w:rsid w:val="00E95DC4"/>
    <w:rsid w:val="00EB188F"/>
    <w:rsid w:val="00F03488"/>
    <w:rsid w:val="00F43078"/>
    <w:rsid w:val="00F46F38"/>
    <w:rsid w:val="00F5024B"/>
    <w:rsid w:val="00F7109E"/>
    <w:rsid w:val="00F92CCE"/>
    <w:rsid w:val="00FA08A1"/>
    <w:rsid w:val="00FD34C5"/>
    <w:rsid w:val="00FD5572"/>
    <w:rsid w:val="00FE3A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458B9"/>
  <w15:chartTrackingRefBased/>
  <w15:docId w15:val="{634C8401-8242-48C1-A1A7-1A958C970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488"/>
  </w:style>
  <w:style w:type="paragraph" w:styleId="Heading1">
    <w:name w:val="heading 1"/>
    <w:basedOn w:val="Normal"/>
    <w:next w:val="Normal"/>
    <w:link w:val="Heading1Char"/>
    <w:uiPriority w:val="9"/>
    <w:qFormat/>
    <w:rsid w:val="00F03488"/>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semiHidden/>
    <w:unhideWhenUsed/>
    <w:qFormat/>
    <w:rsid w:val="00F03488"/>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3488"/>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3488"/>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F03488"/>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F03488"/>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F03488"/>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F03488"/>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F03488"/>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3488"/>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semiHidden/>
    <w:rsid w:val="00F034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3488"/>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3488"/>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F03488"/>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F03488"/>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F03488"/>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F03488"/>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F03488"/>
    <w:rPr>
      <w:rFonts w:asciiTheme="majorHAnsi" w:eastAsiaTheme="majorEastAsia" w:hAnsiTheme="majorHAnsi" w:cstheme="majorBidi"/>
      <w:i/>
      <w:iCs/>
      <w:color w:val="0A2F41" w:themeColor="accent1" w:themeShade="80"/>
    </w:rPr>
  </w:style>
  <w:style w:type="paragraph" w:styleId="Title">
    <w:name w:val="Title"/>
    <w:basedOn w:val="Normal"/>
    <w:next w:val="Normal"/>
    <w:link w:val="TitleChar"/>
    <w:uiPriority w:val="10"/>
    <w:qFormat/>
    <w:rsid w:val="00F03488"/>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itleChar">
    <w:name w:val="Title Char"/>
    <w:basedOn w:val="DefaultParagraphFont"/>
    <w:link w:val="Title"/>
    <w:uiPriority w:val="10"/>
    <w:rsid w:val="00F03488"/>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F03488"/>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F03488"/>
    <w:rPr>
      <w:rFonts w:asciiTheme="majorHAnsi" w:eastAsiaTheme="majorEastAsia" w:hAnsiTheme="majorHAnsi" w:cstheme="majorBidi"/>
      <w:color w:val="156082" w:themeColor="accent1"/>
      <w:sz w:val="28"/>
      <w:szCs w:val="28"/>
    </w:rPr>
  </w:style>
  <w:style w:type="paragraph" w:styleId="Quote">
    <w:name w:val="Quote"/>
    <w:basedOn w:val="Normal"/>
    <w:next w:val="Normal"/>
    <w:link w:val="QuoteChar"/>
    <w:uiPriority w:val="29"/>
    <w:qFormat/>
    <w:rsid w:val="00F03488"/>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F03488"/>
    <w:rPr>
      <w:color w:val="0E2841" w:themeColor="text2"/>
      <w:sz w:val="24"/>
      <w:szCs w:val="24"/>
    </w:rPr>
  </w:style>
  <w:style w:type="paragraph" w:styleId="ListParagraph">
    <w:name w:val="List Paragraph"/>
    <w:basedOn w:val="Normal"/>
    <w:uiPriority w:val="34"/>
    <w:qFormat/>
    <w:rsid w:val="00041D2B"/>
    <w:pPr>
      <w:ind w:left="720"/>
      <w:contextualSpacing/>
    </w:pPr>
  </w:style>
  <w:style w:type="character" w:styleId="IntenseEmphasis">
    <w:name w:val="Intense Emphasis"/>
    <w:basedOn w:val="DefaultParagraphFont"/>
    <w:uiPriority w:val="21"/>
    <w:qFormat/>
    <w:rsid w:val="00F03488"/>
    <w:rPr>
      <w:b/>
      <w:bCs/>
      <w:i/>
      <w:iCs/>
    </w:rPr>
  </w:style>
  <w:style w:type="paragraph" w:styleId="IntenseQuote">
    <w:name w:val="Intense Quote"/>
    <w:basedOn w:val="Normal"/>
    <w:next w:val="Normal"/>
    <w:link w:val="IntenseQuoteChar"/>
    <w:uiPriority w:val="30"/>
    <w:qFormat/>
    <w:rsid w:val="00F03488"/>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F03488"/>
    <w:rPr>
      <w:rFonts w:asciiTheme="majorHAnsi" w:eastAsiaTheme="majorEastAsia" w:hAnsiTheme="majorHAnsi" w:cstheme="majorBidi"/>
      <w:color w:val="0E2841" w:themeColor="text2"/>
      <w:spacing w:val="-6"/>
      <w:sz w:val="32"/>
      <w:szCs w:val="32"/>
    </w:rPr>
  </w:style>
  <w:style w:type="character" w:styleId="IntenseReference">
    <w:name w:val="Intense Reference"/>
    <w:basedOn w:val="DefaultParagraphFont"/>
    <w:uiPriority w:val="32"/>
    <w:qFormat/>
    <w:rsid w:val="00F03488"/>
    <w:rPr>
      <w:b/>
      <w:bCs/>
      <w:smallCaps/>
      <w:color w:val="0E2841" w:themeColor="text2"/>
      <w:u w:val="single"/>
    </w:rPr>
  </w:style>
  <w:style w:type="paragraph" w:styleId="Header">
    <w:name w:val="header"/>
    <w:basedOn w:val="Normal"/>
    <w:link w:val="HeaderChar"/>
    <w:uiPriority w:val="99"/>
    <w:unhideWhenUsed/>
    <w:rsid w:val="00B736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645"/>
  </w:style>
  <w:style w:type="paragraph" w:styleId="Footer">
    <w:name w:val="footer"/>
    <w:basedOn w:val="Normal"/>
    <w:link w:val="FooterChar"/>
    <w:uiPriority w:val="99"/>
    <w:unhideWhenUsed/>
    <w:rsid w:val="00B73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645"/>
  </w:style>
  <w:style w:type="character" w:styleId="LineNumber">
    <w:name w:val="line number"/>
    <w:basedOn w:val="DefaultParagraphFont"/>
    <w:uiPriority w:val="99"/>
    <w:semiHidden/>
    <w:unhideWhenUsed/>
    <w:rsid w:val="004E5B86"/>
  </w:style>
  <w:style w:type="paragraph" w:styleId="NormalWeb">
    <w:name w:val="Normal (Web)"/>
    <w:basedOn w:val="Normal"/>
    <w:uiPriority w:val="99"/>
    <w:unhideWhenUsed/>
    <w:rsid w:val="00FA08A1"/>
    <w:pPr>
      <w:spacing w:before="100" w:beforeAutospacing="1" w:after="100" w:afterAutospacing="1" w:line="240" w:lineRule="auto"/>
    </w:pPr>
    <w:rPr>
      <w:rFonts w:ascii="Times New Roman" w:eastAsia="Times New Roman" w:hAnsi="Times New Roman" w:cs="Times New Roman"/>
      <w:lang w:eastAsia="en-GB"/>
    </w:rPr>
  </w:style>
  <w:style w:type="character" w:styleId="Emphasis">
    <w:name w:val="Emphasis"/>
    <w:basedOn w:val="DefaultParagraphFont"/>
    <w:uiPriority w:val="20"/>
    <w:qFormat/>
    <w:rsid w:val="00F03488"/>
    <w:rPr>
      <w:i/>
      <w:iCs/>
    </w:rPr>
  </w:style>
  <w:style w:type="character" w:styleId="Hyperlink">
    <w:name w:val="Hyperlink"/>
    <w:basedOn w:val="DefaultParagraphFont"/>
    <w:uiPriority w:val="99"/>
    <w:unhideWhenUsed/>
    <w:rsid w:val="000948AD"/>
    <w:rPr>
      <w:color w:val="0000FF"/>
      <w:u w:val="single"/>
    </w:rPr>
  </w:style>
  <w:style w:type="paragraph" w:styleId="TOCHeading">
    <w:name w:val="TOC Heading"/>
    <w:basedOn w:val="Heading1"/>
    <w:next w:val="Normal"/>
    <w:uiPriority w:val="39"/>
    <w:unhideWhenUsed/>
    <w:qFormat/>
    <w:rsid w:val="00F03488"/>
    <w:pPr>
      <w:outlineLvl w:val="9"/>
    </w:pPr>
  </w:style>
  <w:style w:type="paragraph" w:styleId="TOC1">
    <w:name w:val="toc 1"/>
    <w:basedOn w:val="Normal"/>
    <w:next w:val="Normal"/>
    <w:autoRedefine/>
    <w:uiPriority w:val="39"/>
    <w:unhideWhenUsed/>
    <w:rsid w:val="00047DA8"/>
    <w:pPr>
      <w:spacing w:after="100"/>
    </w:pPr>
  </w:style>
  <w:style w:type="paragraph" w:styleId="Caption">
    <w:name w:val="caption"/>
    <w:basedOn w:val="Normal"/>
    <w:next w:val="Normal"/>
    <w:uiPriority w:val="35"/>
    <w:semiHidden/>
    <w:unhideWhenUsed/>
    <w:qFormat/>
    <w:rsid w:val="00F03488"/>
    <w:pPr>
      <w:spacing w:line="240" w:lineRule="auto"/>
    </w:pPr>
    <w:rPr>
      <w:b/>
      <w:bCs/>
      <w:smallCaps/>
      <w:color w:val="0E2841" w:themeColor="text2"/>
    </w:rPr>
  </w:style>
  <w:style w:type="character" w:styleId="Strong">
    <w:name w:val="Strong"/>
    <w:basedOn w:val="DefaultParagraphFont"/>
    <w:uiPriority w:val="22"/>
    <w:qFormat/>
    <w:rsid w:val="00F03488"/>
    <w:rPr>
      <w:b/>
      <w:bCs/>
    </w:rPr>
  </w:style>
  <w:style w:type="paragraph" w:styleId="NoSpacing">
    <w:name w:val="No Spacing"/>
    <w:uiPriority w:val="1"/>
    <w:qFormat/>
    <w:rsid w:val="00F03488"/>
    <w:pPr>
      <w:spacing w:after="0" w:line="240" w:lineRule="auto"/>
    </w:pPr>
  </w:style>
  <w:style w:type="character" w:styleId="SubtleEmphasis">
    <w:name w:val="Subtle Emphasis"/>
    <w:basedOn w:val="DefaultParagraphFont"/>
    <w:uiPriority w:val="19"/>
    <w:qFormat/>
    <w:rsid w:val="00F03488"/>
    <w:rPr>
      <w:i/>
      <w:iCs/>
      <w:color w:val="595959" w:themeColor="text1" w:themeTint="A6"/>
    </w:rPr>
  </w:style>
  <w:style w:type="character" w:styleId="SubtleReference">
    <w:name w:val="Subtle Reference"/>
    <w:basedOn w:val="DefaultParagraphFont"/>
    <w:uiPriority w:val="31"/>
    <w:qFormat/>
    <w:rsid w:val="00F03488"/>
    <w:rPr>
      <w:smallCaps/>
      <w:color w:val="595959" w:themeColor="text1" w:themeTint="A6"/>
      <w:u w:val="none" w:color="7F7F7F" w:themeColor="text1" w:themeTint="80"/>
      <w:bdr w:val="none" w:sz="0" w:space="0" w:color="auto"/>
    </w:rPr>
  </w:style>
  <w:style w:type="character" w:styleId="BookTitle">
    <w:name w:val="Book Title"/>
    <w:basedOn w:val="DefaultParagraphFont"/>
    <w:uiPriority w:val="33"/>
    <w:qFormat/>
    <w:rsid w:val="00F03488"/>
    <w:rPr>
      <w:b/>
      <w:bCs/>
      <w:smallCaps/>
      <w:spacing w:val="10"/>
    </w:rPr>
  </w:style>
  <w:style w:type="paragraph" w:styleId="TOC2">
    <w:name w:val="toc 2"/>
    <w:basedOn w:val="Normal"/>
    <w:next w:val="Normal"/>
    <w:autoRedefine/>
    <w:uiPriority w:val="39"/>
    <w:unhideWhenUsed/>
    <w:rsid w:val="001B1879"/>
    <w:pPr>
      <w:spacing w:after="100"/>
      <w:ind w:left="220"/>
    </w:pPr>
  </w:style>
  <w:style w:type="paragraph" w:styleId="TOC3">
    <w:name w:val="toc 3"/>
    <w:basedOn w:val="Normal"/>
    <w:next w:val="Normal"/>
    <w:autoRedefine/>
    <w:uiPriority w:val="39"/>
    <w:unhideWhenUsed/>
    <w:rsid w:val="001B1879"/>
    <w:pPr>
      <w:spacing w:after="100"/>
      <w:ind w:left="440"/>
    </w:pPr>
    <w:rPr>
      <w:rFonts w:cs="Times New Roman"/>
      <w:lang w:eastAsia="en-GB"/>
    </w:rPr>
  </w:style>
  <w:style w:type="character" w:styleId="UnresolvedMention">
    <w:name w:val="Unresolved Mention"/>
    <w:basedOn w:val="DefaultParagraphFont"/>
    <w:uiPriority w:val="99"/>
    <w:semiHidden/>
    <w:unhideWhenUsed/>
    <w:rsid w:val="00664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mckinsey.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investors"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deloit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16C6DF-AD73-4BC2-B3B0-E0EB58778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14</Pages>
  <Words>4104</Words>
  <Characters>23397</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salazar</dc:creator>
  <cp:keywords/>
  <dc:description/>
  <cp:lastModifiedBy>Brian salazar</cp:lastModifiedBy>
  <cp:revision>97</cp:revision>
  <dcterms:created xsi:type="dcterms:W3CDTF">2026-03-19T11:10:00Z</dcterms:created>
  <dcterms:modified xsi:type="dcterms:W3CDTF">2026-04-10T09:24:00Z</dcterms:modified>
</cp:coreProperties>
</file>