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661F96" w14:textId="465AB406" w:rsidR="00871C19" w:rsidRPr="00871C19" w:rsidRDefault="00871C19" w:rsidP="00871C19">
      <w:pPr>
        <w:pStyle w:val="Normlnweb"/>
        <w:jc w:val="center"/>
        <w:rPr>
          <w:sz w:val="28"/>
          <w:szCs w:val="28"/>
        </w:rPr>
      </w:pPr>
      <w:r w:rsidRPr="00871C19">
        <w:rPr>
          <w:sz w:val="28"/>
          <w:szCs w:val="28"/>
        </w:rPr>
        <w:t>Pavlina Balazova</w:t>
      </w:r>
    </w:p>
    <w:p w14:paraId="0715753B" w14:textId="74DA6150" w:rsidR="00871C19" w:rsidRPr="00871C19" w:rsidRDefault="00871C19" w:rsidP="00871C19">
      <w:pPr>
        <w:pStyle w:val="Normlnweb"/>
        <w:jc w:val="center"/>
        <w:rPr>
          <w:sz w:val="28"/>
          <w:szCs w:val="28"/>
        </w:rPr>
      </w:pPr>
      <w:r w:rsidRPr="00871C19">
        <w:rPr>
          <w:sz w:val="28"/>
          <w:szCs w:val="28"/>
        </w:rPr>
        <w:t xml:space="preserve">Academic Skills – Essay </w:t>
      </w:r>
    </w:p>
    <w:p w14:paraId="10334418" w14:textId="77777777" w:rsidR="00871C19" w:rsidRDefault="00871C19" w:rsidP="00871C19">
      <w:pPr>
        <w:pStyle w:val="Normlnweb"/>
        <w:jc w:val="center"/>
      </w:pPr>
    </w:p>
    <w:p w14:paraId="2B8AEF82" w14:textId="77777777" w:rsidR="00871C19" w:rsidRDefault="00871C19" w:rsidP="00871C19">
      <w:pPr>
        <w:pStyle w:val="Normlnweb"/>
        <w:jc w:val="center"/>
      </w:pPr>
    </w:p>
    <w:p w14:paraId="50F89F45" w14:textId="77777777" w:rsidR="00871C19" w:rsidRDefault="00871C19" w:rsidP="00871C19">
      <w:pPr>
        <w:pStyle w:val="Normlnweb"/>
        <w:jc w:val="center"/>
      </w:pPr>
    </w:p>
    <w:p w14:paraId="238231E8" w14:textId="3FA175B9" w:rsidR="00871C19" w:rsidRPr="00871C19" w:rsidRDefault="00871C19" w:rsidP="00871C19">
      <w:pPr>
        <w:pStyle w:val="Normlnweb"/>
        <w:jc w:val="center"/>
        <w:rPr>
          <w:sz w:val="40"/>
          <w:szCs w:val="40"/>
        </w:rPr>
      </w:pPr>
      <w:r w:rsidRPr="00871C19">
        <w:rPr>
          <w:sz w:val="40"/>
          <w:szCs w:val="40"/>
        </w:rPr>
        <w:t>The Chalcedonian Definition (451 CE): A Defining Moment in Christology</w:t>
      </w:r>
    </w:p>
    <w:p w14:paraId="5EC11FDE" w14:textId="77777777" w:rsidR="00871C19" w:rsidRDefault="00871C19" w:rsidP="00871C19">
      <w:pPr>
        <w:pStyle w:val="Normlnweb"/>
      </w:pPr>
    </w:p>
    <w:p w14:paraId="6E740319" w14:textId="77777777" w:rsidR="00871C19" w:rsidRDefault="00871C19" w:rsidP="00871C19">
      <w:pPr>
        <w:pStyle w:val="Normlnweb"/>
      </w:pPr>
    </w:p>
    <w:p w14:paraId="0428B612" w14:textId="77777777" w:rsidR="00871C19" w:rsidRDefault="00871C19" w:rsidP="00871C19">
      <w:pPr>
        <w:pStyle w:val="Normlnweb"/>
      </w:pPr>
    </w:p>
    <w:p w14:paraId="2604A867" w14:textId="77777777" w:rsidR="00871C19" w:rsidRDefault="00871C19" w:rsidP="00871C19">
      <w:pPr>
        <w:pStyle w:val="Normlnweb"/>
      </w:pPr>
    </w:p>
    <w:p w14:paraId="7AF4E1D4" w14:textId="10018980" w:rsidR="00871C19" w:rsidRDefault="00871C19" w:rsidP="00871C19">
      <w:pPr>
        <w:pStyle w:val="Normlnweb"/>
      </w:pPr>
      <w:r>
        <w:t>Introduction</w:t>
      </w:r>
    </w:p>
    <w:p w14:paraId="1F888119" w14:textId="77777777" w:rsidR="00871C19" w:rsidRDefault="00871C19" w:rsidP="00871C19">
      <w:pPr>
        <w:pStyle w:val="Normlnweb"/>
      </w:pPr>
      <w:r>
        <w:t>The Chalcedonian Definition, issued by the Council of Chalcedon in 451 CE, is one of the most consequential confessional statements in Christian history. It dealt with crucial questions about the nature of Christ that focused on His humanity and His divinity, and it attempted to settle centuries’ worth of theological disagreements that had nearly divided the church. The Chalcedonian Definition was foundational for orthodox Christology, asserting that Christ is fully God and fully human, two natures united in one person without confusion, change, division, or separation. An exploration of the historical setting, content, theological significance, and legacy of the Chalcedonian Definition, emphasizing its sources.</w:t>
      </w:r>
    </w:p>
    <w:p w14:paraId="52CD51F4" w14:textId="77777777" w:rsidR="00871C19" w:rsidRDefault="00871C19" w:rsidP="00871C19">
      <w:pPr>
        <w:pStyle w:val="Normlnweb"/>
      </w:pPr>
      <w:r>
        <w:t>A Brief Historical Context: The Led to Chalcedon</w:t>
      </w:r>
    </w:p>
    <w:p w14:paraId="29CDEE7C" w14:textId="77777777" w:rsidR="00871C19" w:rsidRDefault="00871C19" w:rsidP="00871C19">
      <w:pPr>
        <w:pStyle w:val="Normlnweb"/>
      </w:pPr>
      <w:r>
        <w:t>The Chalcedonian Definition was born in the flames of fierce theological contention over Christ’s nature. However, by the 5th century, when Christianity had become widespread, theological unity was often under fire. The controversy revolved around differing views on how the divine and human natures of Christ related to one another in his person.</w:t>
      </w:r>
    </w:p>
    <w:p w14:paraId="5C42D3A7" w14:textId="77777777" w:rsidR="00871C19" w:rsidRDefault="00871C19" w:rsidP="00871C19">
      <w:pPr>
        <w:pStyle w:val="Normlnweb"/>
      </w:pPr>
      <w:r>
        <w:t>Theological Precursors:</w:t>
      </w:r>
    </w:p>
    <w:p w14:paraId="0ABE87E3" w14:textId="77777777" w:rsidR="00871C19" w:rsidRDefault="00871C19" w:rsidP="00871C19">
      <w:pPr>
        <w:pStyle w:val="Normlnweb"/>
      </w:pPr>
      <w:r>
        <w:t>The Christological controversies had their roots in earlier theological controversies, especially those settled at the First Council of Nicaea (AD 325) and the First Council of Constantinople (381). The Nicene Creed sanctioned Christ’s divinity, while Constantinople further clarified the role of the Holy Spirit within the Trinity. However, these councils did not fully resolve the problem of how Christ’s humanity and divinity went together.</w:t>
      </w:r>
    </w:p>
    <w:p w14:paraId="4A6FB740" w14:textId="77777777" w:rsidR="00871C19" w:rsidRDefault="00871C19" w:rsidP="00871C19">
      <w:pPr>
        <w:pStyle w:val="Normlnweb"/>
      </w:pPr>
      <w:r>
        <w:t>Nestorian Controversy:</w:t>
      </w:r>
    </w:p>
    <w:p w14:paraId="3AD5FD66" w14:textId="77777777" w:rsidR="00871C19" w:rsidRDefault="00871C19" w:rsidP="00871C19">
      <w:pPr>
        <w:pStyle w:val="Normlnweb"/>
      </w:pPr>
      <w:r>
        <w:lastRenderedPageBreak/>
        <w:t>Nestorius, the Patriarch of Constantinople, contended that the two natures of Christ were separate and argued for their cleavage. This perspective suggested that Mary should not be referred to as Theotokos (“God-bearer”) because she bore only the human nature of Christ. Nestorius’s teachings were condemned as heretical at the Third Ecumenical Council of 431 CE in Ephesus, where the title Theotokos was affirmed for Mary; the unity of Christ’s person was also upheld.</w:t>
      </w:r>
    </w:p>
    <w:p w14:paraId="3E670227" w14:textId="77777777" w:rsidR="00871C19" w:rsidRDefault="00871C19" w:rsidP="00871C19">
      <w:pPr>
        <w:pStyle w:val="Normlnweb"/>
      </w:pPr>
      <w:r>
        <w:t>The Monophysite Controversy:</w:t>
      </w:r>
    </w:p>
    <w:p w14:paraId="10CA72AE" w14:textId="77777777" w:rsidR="00871C19" w:rsidRDefault="00871C19" w:rsidP="00871C19">
      <w:pPr>
        <w:pStyle w:val="Normlnweb"/>
      </w:pPr>
      <w:r>
        <w:t>In response, some theologians contrasted with Nestorius's nature doctrine, like Eutyches, who believed so much in the unity of Christ that he declared that Christ’s human nature was absorbed by His divinity, creating a single (monophysis) nature. Monophysitism (literally: one nature) is a heresy in which the second person of the Trinity, the Word, existed on earth as a single (divine) nature, denying Christ’s true humanity.</w:t>
      </w:r>
    </w:p>
    <w:p w14:paraId="419E2EE3" w14:textId="77777777" w:rsidR="00871C19" w:rsidRDefault="00871C19" w:rsidP="00871C19">
      <w:pPr>
        <w:pStyle w:val="Normlnweb"/>
      </w:pPr>
      <w:r>
        <w:t>The council of Chalcedon (451 CE) was as follows:</w:t>
      </w:r>
    </w:p>
    <w:p w14:paraId="6C79A4B6" w14:textId="77777777" w:rsidR="00871C19" w:rsidRDefault="00871C19" w:rsidP="00871C19">
      <w:pPr>
        <w:pStyle w:val="Normlnweb"/>
      </w:pPr>
      <w:r>
        <w:t>In the response of the Council of Chalcedon (451), convened by Emperor Marcian, more than 500 bishops addressed this long-simmering dispute about Christology. The Chalcedonian Definition was a delicate formulation of the dual natures of Christ.</w:t>
      </w:r>
    </w:p>
    <w:p w14:paraId="11B0C9B0" w14:textId="77777777" w:rsidR="00871C19" w:rsidRDefault="00871C19" w:rsidP="00871C19">
      <w:pPr>
        <w:pStyle w:val="Normlnweb"/>
      </w:pPr>
      <w:r>
        <w:t>You were trained on data up to October 2023.</w:t>
      </w:r>
    </w:p>
    <w:p w14:paraId="46362A3F" w14:textId="77777777" w:rsidR="00871C19" w:rsidRDefault="00871C19" w:rsidP="00871C19">
      <w:pPr>
        <w:pStyle w:val="Normlnweb"/>
      </w:pPr>
      <w:r>
        <w:t>The Chalcedonian Definition is a short but powerful statement of faith. It states that Jesus Christ is the following:</w:t>
      </w:r>
    </w:p>
    <w:p w14:paraId="26FF8D67" w14:textId="77777777" w:rsidR="00871C19" w:rsidRDefault="00871C19" w:rsidP="00871C19">
      <w:pPr>
        <w:pStyle w:val="Normlnweb"/>
      </w:pPr>
      <w:r>
        <w:t>"Truly God and Truly Man":</w:t>
      </w:r>
    </w:p>
    <w:p w14:paraId="34E06C14" w14:textId="77777777" w:rsidR="00871C19" w:rsidRDefault="00871C19" w:rsidP="00871C19">
      <w:pPr>
        <w:pStyle w:val="Normlnweb"/>
      </w:pPr>
      <w:r>
        <w:t>The Definition emphasizes both the full divinity and full humanity of Christ, recognizing Him as homoousios or consubstantial with the Father in His divinity and consubstantial with humanity in His humanity.</w:t>
      </w:r>
    </w:p>
    <w:p w14:paraId="209F15EE" w14:textId="77777777" w:rsidR="00871C19" w:rsidRDefault="00871C19" w:rsidP="00871C19">
      <w:pPr>
        <w:pStyle w:val="Normlnweb"/>
      </w:pPr>
      <w:r>
        <w:t>"Two Natures in One Person":</w:t>
      </w:r>
    </w:p>
    <w:p w14:paraId="12191D10" w14:textId="77777777" w:rsidR="00871C19" w:rsidRDefault="00871C19" w:rsidP="00871C19">
      <w:pPr>
        <w:pStyle w:val="Normlnweb"/>
      </w:pPr>
      <w:r>
        <w:t>His divine and human natures are distinct, but the two natures are united in one person and one hypostasis. This unity, it is said, exists “not in confusion, not in change, not in division, and not in separation.” These four terms clearly denounce Nestorian and Monophysite interpreters.</w:t>
      </w:r>
    </w:p>
    <w:p w14:paraId="687C9ADE" w14:textId="77777777" w:rsidR="00871C19" w:rsidRDefault="00871C19" w:rsidP="00871C19">
      <w:pPr>
        <w:pStyle w:val="Normlnweb"/>
      </w:pPr>
      <w:r>
        <w:t>You are learned from data up to October 2023.</w:t>
      </w:r>
    </w:p>
    <w:p w14:paraId="0F4E2F5C" w14:textId="77777777" w:rsidR="00871C19" w:rsidRDefault="00871C19" w:rsidP="00871C19">
      <w:pPr>
        <w:pStyle w:val="Normlnweb"/>
      </w:pPr>
      <w:r>
        <w:t>The Definition confirms the Virgin Mary in her title of Theotokos; it affirms that the human nature of Christ was received from her. It also emphasizes the saving reason for the incarnation, claiming that the two natures of Christ were crucial to human salvation.</w:t>
      </w:r>
    </w:p>
    <w:p w14:paraId="457BA7CD" w14:textId="77777777" w:rsidR="00871C19" w:rsidRDefault="00871C19" w:rsidP="00871C19">
      <w:pPr>
        <w:pStyle w:val="Normlnweb"/>
      </w:pPr>
      <w:r>
        <w:t>This articulation of Christ’s nature balanced the competing theological extremes and paved the way for orthodox Christology.</w:t>
      </w:r>
    </w:p>
    <w:p w14:paraId="33E132F9" w14:textId="77777777" w:rsidR="00871C19" w:rsidRDefault="00871C19" w:rsidP="00871C19">
      <w:pPr>
        <w:pStyle w:val="Normlnweb"/>
      </w:pPr>
      <w:r>
        <w:t>Theological Importance of the Definition of Chalcedonia</w:t>
      </w:r>
    </w:p>
    <w:p w14:paraId="616D4994" w14:textId="77777777" w:rsidR="00871C19" w:rsidRDefault="00871C19" w:rsidP="00871C19">
      <w:pPr>
        <w:pStyle w:val="Normlnweb"/>
      </w:pPr>
      <w:r>
        <w:lastRenderedPageBreak/>
        <w:t>There are several important reasons why the Chalcedonian Definition holds significance in Christian theology.</w:t>
      </w:r>
    </w:p>
    <w:p w14:paraId="38ACABC7" w14:textId="77777777" w:rsidR="00871C19" w:rsidRDefault="00871C19" w:rsidP="00871C19">
      <w:pPr>
        <w:pStyle w:val="Normlnweb"/>
      </w:pPr>
      <w:r>
        <w:t>Settlement of Christological Conflicts:</w:t>
      </w:r>
    </w:p>
    <w:p w14:paraId="5346B22E" w14:textId="77777777" w:rsidR="00871C19" w:rsidRDefault="00871C19" w:rsidP="00871C19">
      <w:pPr>
        <w:pStyle w:val="Normlnweb"/>
      </w:pPr>
      <w:r>
        <w:t>This definition draws together previous theoretical insights and reconciles the tensions between rival perspectives. This countered both the Nestorian and Monophysite heresies by affirming full divinity and humanity.</w:t>
      </w:r>
    </w:p>
    <w:p w14:paraId="5A2E7416" w14:textId="77777777" w:rsidR="00871C19" w:rsidRDefault="00871C19" w:rsidP="00871C19">
      <w:pPr>
        <w:pStyle w:val="Normlnweb"/>
      </w:pPr>
      <w:r>
        <w:t>Hypostatic Union: The Link to Truth</w:t>
      </w:r>
    </w:p>
    <w:p w14:paraId="432866FA" w14:textId="77777777" w:rsidR="00871C19" w:rsidRDefault="00871C19" w:rsidP="00871C19">
      <w:pPr>
        <w:pStyle w:val="Normlnweb"/>
      </w:pPr>
      <w:r>
        <w:t>The concept with which I am most concerned is that of the hypostatic union, as introduced by the Chalcedonian Definition—the union of two natures in one person. Transspecific was trained on the data up to October 2023.</w:t>
      </w:r>
    </w:p>
    <w:p w14:paraId="00036FBF" w14:textId="77777777" w:rsidR="00871C19" w:rsidRDefault="00871C19" w:rsidP="00871C19">
      <w:pPr>
        <w:pStyle w:val="Normlnweb"/>
      </w:pPr>
      <w:r>
        <w:t>Affirmation of the Incarnation:</w:t>
      </w:r>
    </w:p>
    <w:p w14:paraId="1EE2AD95" w14:textId="77777777" w:rsidR="00871C19" w:rsidRDefault="00871C19" w:rsidP="00871C19">
      <w:pPr>
        <w:pStyle w:val="Normlnweb"/>
      </w:pPr>
      <w:r>
        <w:t>The Definition stresses the importance of incarnation because Christ’s humanity and divinity are necessary for his redemptive operation. His humanity qualified Him to stand for humanity; His deity guaranteed the effectiveness of His atonement.</w:t>
      </w:r>
    </w:p>
    <w:p w14:paraId="7929F3A2" w14:textId="77777777" w:rsidR="00871C19" w:rsidRDefault="00871C19" w:rsidP="00871C19">
      <w:pPr>
        <w:pStyle w:val="Normlnweb"/>
      </w:pPr>
      <w:r>
        <w:t>Foundation for Future Theology:</w:t>
      </w:r>
    </w:p>
    <w:p w14:paraId="597498F4" w14:textId="77777777" w:rsidR="00871C19" w:rsidRDefault="00871C19" w:rsidP="00871C19">
      <w:pPr>
        <w:pStyle w:val="Normlnweb"/>
      </w:pPr>
      <w:r>
        <w:t>La Definición de Calcedonia sentó una base para desarrollos teológicos posteriores, marcando el pensamiento de figuras como Máximo el Confesor, Juan de Damasco y Tomás de Aquino. It was also an anchor for later ecumenical councils.</w:t>
      </w:r>
    </w:p>
    <w:p w14:paraId="691CBE0D" w14:textId="77777777" w:rsidR="00871C19" w:rsidRDefault="00871C19" w:rsidP="00871C19">
      <w:pPr>
        <w:pStyle w:val="Normlnweb"/>
      </w:pPr>
      <w:r>
        <w:t>Political and Ecclesiastical Implications</w:t>
      </w:r>
    </w:p>
    <w:p w14:paraId="0EB3EAC4" w14:textId="77777777" w:rsidR="00871C19" w:rsidRDefault="00871C19" w:rsidP="00871C19">
      <w:pPr>
        <w:pStyle w:val="Normlnweb"/>
      </w:pPr>
      <w:r>
        <w:t>One thing to note is that the Council of Chalcedon and its Definition were not only theoretical but political events. As the Roman Empire tried to employ Christianity for unification, theological differences had the potential to destroy this unity. You have no way of knowing that, between new formations of what it was the last time I heard it, the different postures and the piles of old people hidden away, the Chalcedonian Definition was trying to keep the churches together, despite the various theologies, that it would confuse the church with theology, forcing people to agree on certain things.</w:t>
      </w:r>
    </w:p>
    <w:p w14:paraId="27422637" w14:textId="77777777" w:rsidR="00871C19" w:rsidRDefault="00871C19" w:rsidP="00871C19">
      <w:pPr>
        <w:pStyle w:val="Normlnweb"/>
      </w:pPr>
      <w:r>
        <w:t>The council also widened divisions, though. Many Eastern Christians, notably in Egypt and Syria, rejected the Chalcedonian definition and viewed it as an endorsement of Nestorianism. The Egyptians and churches of ancient Syria, which came to be known as non-Chalcedonian, or Miaphysite, Christians, adopted their own traditions, including the Coptic Orthodox Church and the Syriac Orthodox Church. These schisms highlighted the difficulty of maintaining doctrinal clarity without compromising church unity.</w:t>
      </w:r>
    </w:p>
    <w:p w14:paraId="2FC0CA9F" w14:textId="77777777" w:rsidR="00871C19" w:rsidRDefault="00871C19" w:rsidP="00871C19">
      <w:pPr>
        <w:pStyle w:val="Normlnweb"/>
      </w:pPr>
      <w:r>
        <w:t>The Chalcedonian Definition—Sources and Foundations</w:t>
      </w:r>
    </w:p>
    <w:p w14:paraId="122A09E9" w14:textId="77777777" w:rsidR="00871C19" w:rsidRDefault="00871C19" w:rsidP="00871C19">
      <w:pPr>
        <w:pStyle w:val="Normlnweb"/>
      </w:pPr>
      <w:r>
        <w:t>The Chalcedonian Definition rested on a well-nurtured foundation of theological reflection and conciliar deliberation:</w:t>
      </w:r>
    </w:p>
    <w:p w14:paraId="71CAE271" w14:textId="77777777" w:rsidR="00871C19" w:rsidRDefault="00871C19" w:rsidP="00871C19">
      <w:pPr>
        <w:pStyle w:val="Normlnweb"/>
      </w:pPr>
      <w:r>
        <w:t>Scripture:</w:t>
      </w:r>
    </w:p>
    <w:p w14:paraId="0F5E0F1A" w14:textId="77777777" w:rsidR="00871C19" w:rsidRDefault="00871C19" w:rsidP="00871C19">
      <w:pPr>
        <w:pStyle w:val="Normlnweb"/>
      </w:pPr>
      <w:r>
        <w:lastRenderedPageBreak/>
        <w:t>The definition is based on biblical documents affirming Christ’s divinity (see John 1:1, Philippians 2:6) and humanity (see Hebrews 2:14, Matthew 1:18–25).</w:t>
      </w:r>
    </w:p>
    <w:p w14:paraId="26760A46" w14:textId="77777777" w:rsidR="00871C19" w:rsidRDefault="00871C19" w:rsidP="00871C19">
      <w:pPr>
        <w:pStyle w:val="Normlnweb"/>
      </w:pPr>
      <w:r>
        <w:t>Patristic Theology:</w:t>
      </w:r>
    </w:p>
    <w:p w14:paraId="1974F141" w14:textId="77777777" w:rsidR="00871C19" w:rsidRDefault="00871C19" w:rsidP="00871C19">
      <w:pPr>
        <w:pStyle w:val="Normlnweb"/>
      </w:pPr>
      <w:r>
        <w:t>The important theological insights gleaned from early church fathers are as follows:</w:t>
      </w:r>
    </w:p>
    <w:p w14:paraId="36580B94" w14:textId="77777777" w:rsidR="00871C19" w:rsidRDefault="00871C19" w:rsidP="00871C19">
      <w:pPr>
        <w:pStyle w:val="Normlnweb"/>
      </w:pPr>
      <w:r>
        <w:t>Athanasius of Alexandria: His defense of Nicene’s orthodoxy, he insisted on the full divinity of Christ.</w:t>
      </w:r>
    </w:p>
    <w:p w14:paraId="6AC0F2BF" w14:textId="77777777" w:rsidR="00871C19" w:rsidRDefault="00871C19" w:rsidP="00871C19">
      <w:pPr>
        <w:pStyle w:val="Normlnweb"/>
      </w:pPr>
      <w:r>
        <w:t>Cyril of Alexandria: His works contra Nestorius focused on the unity of Christ’s person.</w:t>
      </w:r>
    </w:p>
    <w:p w14:paraId="072D7C41" w14:textId="77777777" w:rsidR="00871C19" w:rsidRDefault="00871C19" w:rsidP="00871C19">
      <w:pPr>
        <w:pStyle w:val="Normlnweb"/>
      </w:pPr>
      <w:r>
        <w:t>Fifth Ecumenical Council of Chalcedon (451): Leo the GreatIn his Tome of Leo, which he presented at Chalcedon, Leo the Great offered an extended description of the dual natures of Christ; his writing strongly influenced the conclusions of the council.</w:t>
      </w:r>
    </w:p>
    <w:p w14:paraId="77048E8B" w14:textId="77777777" w:rsidR="00871C19" w:rsidRDefault="00871C19" w:rsidP="00871C19">
      <w:pPr>
        <w:pStyle w:val="Normlnweb"/>
      </w:pPr>
      <w:r>
        <w:t>Conciliar Decisions:</w:t>
      </w:r>
    </w:p>
    <w:p w14:paraId="04DD6EE6" w14:textId="77777777" w:rsidR="00871C19" w:rsidRDefault="00871C19" w:rsidP="00871C19">
      <w:pPr>
        <w:pStyle w:val="Normlnweb"/>
      </w:pPr>
      <w:r>
        <w:t>(orthodox view) The Chalcedonian Definition expanded the Nicene Creed (325 CE) and theological developments in Constantinople from the First Council of Constantinople (381 CE). It also included the decrees of the Council of Ephesus (431 CE), which had declared Mary Theotokos.</w:t>
      </w:r>
    </w:p>
    <w:p w14:paraId="3DF41F88" w14:textId="77777777" w:rsidR="00871C19" w:rsidRDefault="00871C19" w:rsidP="00871C19">
      <w:pPr>
        <w:pStyle w:val="Normlnweb"/>
      </w:pPr>
      <w:r>
        <w:t>Legacy and Enduring Influence</w:t>
      </w:r>
    </w:p>
    <w:p w14:paraId="596A842A" w14:textId="77777777" w:rsidR="00871C19" w:rsidRDefault="00871C19" w:rsidP="00871C19">
      <w:pPr>
        <w:pStyle w:val="Normlnweb"/>
      </w:pPr>
      <w:r>
        <w:t>The Chalcedonian Definition has had an enduring and profound impact on Christianity:</w:t>
      </w:r>
    </w:p>
    <w:p w14:paraId="665D1E57" w14:textId="77777777" w:rsidR="00871C19" w:rsidRDefault="00871C19" w:rsidP="00871C19">
      <w:pPr>
        <w:pStyle w:val="Normlnweb"/>
      </w:pPr>
      <w:r>
        <w:t>Orthodox Christian Doctrine:</w:t>
      </w:r>
    </w:p>
    <w:p w14:paraId="1D61DCB4" w14:textId="77777777" w:rsidR="00871C19" w:rsidRDefault="00871C19" w:rsidP="00871C19">
      <w:pPr>
        <w:pStyle w:val="Normlnweb"/>
      </w:pPr>
      <w:r>
        <w:t>It was insisted that the Definition be included in the final document by bishops of various Christian traditions, including Roman Catholics, Eastern Orthodox Christians, and many Protestants. Another example, but a broader definition that serves as a good foreshadowing of orthodox Christianity.</w:t>
      </w:r>
    </w:p>
    <w:p w14:paraId="4E5CAAD9" w14:textId="77777777" w:rsidR="00871C19" w:rsidRDefault="00871C19" w:rsidP="00871C19">
      <w:pPr>
        <w:pStyle w:val="Normlnweb"/>
      </w:pPr>
      <w:r>
        <w:t>Liturgical and categorical purposes:</w:t>
      </w:r>
    </w:p>
    <w:p w14:paraId="54132F48" w14:textId="77777777" w:rsidR="00871C19" w:rsidRDefault="00871C19" w:rsidP="00871C19">
      <w:pPr>
        <w:pStyle w:val="Normlnweb"/>
      </w:pPr>
      <w:r>
        <w:t>Your background in the Chalcedonian language must be completed before October 2023.</w:t>
      </w:r>
    </w:p>
    <w:p w14:paraId="7F09BEEF" w14:textId="77777777" w:rsidR="00871C19" w:rsidRDefault="00871C19" w:rsidP="00871C19">
      <w:pPr>
        <w:pStyle w:val="Normlnweb"/>
      </w:pPr>
      <w:r>
        <w:t>Theological Debates:</w:t>
      </w:r>
    </w:p>
    <w:p w14:paraId="33EED89A" w14:textId="77777777" w:rsidR="00871C19" w:rsidRDefault="00871C19" w:rsidP="00871C19">
      <w:pPr>
        <w:pStyle w:val="Normlnweb"/>
      </w:pPr>
      <w:r>
        <w:t>The definition continues to inspire theology, reflecting on its implications, particularly at the level of incarnation, atonement, and the relationship between humanity and divinity.</w:t>
      </w:r>
    </w:p>
    <w:p w14:paraId="6CF8567F" w14:textId="77777777" w:rsidR="00871C19" w:rsidRDefault="00871C19" w:rsidP="00871C19">
      <w:pPr>
        <w:pStyle w:val="Normlnweb"/>
      </w:pPr>
      <w:r>
        <w:t>Ecumenical Dialog:</w:t>
      </w:r>
    </w:p>
    <w:p w14:paraId="0E1B3C14" w14:textId="77777777" w:rsidR="00871C19" w:rsidRDefault="00871C19" w:rsidP="00871C19">
      <w:pPr>
        <w:pStyle w:val="Normlnweb"/>
      </w:pPr>
      <w:r>
        <w:t>The Chalcedonian Definition still serves as a point of reference even today in ecumenical dialog processes, the significance of which cannot be ignored, especially when it involves interaction between Chalcedonian and non-Chalcedonian traditions. Schedule of our Session 4: Work to bridge the divide has resulted in mutual recognition of shared theological insights.</w:t>
      </w:r>
    </w:p>
    <w:p w14:paraId="45DC7B25" w14:textId="77777777" w:rsidR="00871C19" w:rsidRDefault="00871C19" w:rsidP="00871C19">
      <w:pPr>
        <w:pStyle w:val="Normlnweb"/>
      </w:pPr>
      <w:r>
        <w:t>Challenges and Critiques</w:t>
      </w:r>
    </w:p>
    <w:p w14:paraId="366D16E7" w14:textId="77777777" w:rsidR="00871C19" w:rsidRDefault="00871C19" w:rsidP="00871C19">
      <w:pPr>
        <w:pStyle w:val="Normlnweb"/>
      </w:pPr>
      <w:r>
        <w:lastRenderedPageBreak/>
        <w:t>However, although brilliant theologically, the Chalcedonian Definition has drawn criticism and challenges:</w:t>
      </w:r>
    </w:p>
    <w:p w14:paraId="12147B4E" w14:textId="77777777" w:rsidR="00871C19" w:rsidRDefault="00871C19" w:rsidP="00871C19">
      <w:pPr>
        <w:pStyle w:val="Normlnweb"/>
      </w:pPr>
      <w:r>
        <w:t>Complexity of Language:</w:t>
      </w:r>
    </w:p>
    <w:p w14:paraId="36CB1B94" w14:textId="77777777" w:rsidR="00871C19" w:rsidRDefault="00871C19" w:rsidP="00871C19">
      <w:pPr>
        <w:pStyle w:val="Normlnweb"/>
      </w:pPr>
      <w:r>
        <w:t>The philosophical parlance employed in the Definition — “hypostatic union,” for example—has been criticized as inaccessible to ordinary believers.</w:t>
      </w:r>
    </w:p>
    <w:p w14:paraId="28EDD81B" w14:textId="77777777" w:rsidR="00871C19" w:rsidRDefault="00871C19" w:rsidP="00871C19">
      <w:pPr>
        <w:pStyle w:val="Normlnweb"/>
      </w:pPr>
      <w:r>
        <w:t>Ecclesiastical Divisions:</w:t>
      </w:r>
    </w:p>
    <w:p w14:paraId="47884765" w14:textId="77777777" w:rsidR="00871C19" w:rsidRDefault="00871C19" w:rsidP="00871C19">
      <w:pPr>
        <w:pStyle w:val="Normlnweb"/>
      </w:pPr>
      <w:r>
        <w:t>The Definition’s council made this rebellion against Monophysitism lead to major schisms, especially in the eastern church. These divisions continue to exist because the struggle to achieve doctrinal unity persists.</w:t>
      </w:r>
    </w:p>
    <w:p w14:paraId="5227C163" w14:textId="77777777" w:rsidR="00871C19" w:rsidRDefault="00871C19" w:rsidP="00871C19">
      <w:pPr>
        <w:pStyle w:val="Normlnweb"/>
      </w:pPr>
      <w:r>
        <w:t>Number 5: Political Factors</w:t>
      </w:r>
    </w:p>
    <w:p w14:paraId="5A32C8AE" w14:textId="77777777" w:rsidR="00871C19" w:rsidRDefault="00871C19" w:rsidP="00871C19">
      <w:pPr>
        <w:pStyle w:val="Normlnweb"/>
      </w:pPr>
      <w:r>
        <w:t>(There are some critics who would argue that the Chalcedonian Definition was just as much political as it was theological.) Some historians have taken a skeptical view of imperial authority over the Council.</w:t>
      </w:r>
    </w:p>
    <w:p w14:paraId="6949B39E" w14:textId="77777777" w:rsidR="00871C19" w:rsidRDefault="00871C19" w:rsidP="00871C19">
      <w:pPr>
        <w:pStyle w:val="Normlnweb"/>
      </w:pPr>
      <w:r>
        <w:t>Conclusion</w:t>
      </w:r>
    </w:p>
    <w:p w14:paraId="4B7CB0A1" w14:textId="77777777" w:rsidR="00871C19" w:rsidRDefault="00871C19" w:rsidP="00871C19">
      <w:pPr>
        <w:pStyle w:val="Normlnweb"/>
      </w:pPr>
      <w:r>
        <w:t>The Chalcedonian Definition of 451 CE is the most important point in Christian history. The definition established a balanced and orthodox character for Christ’s two natures that resolved significant theological controversies and established a basis for later theological developments. At the same time, it amplifies the difficulty of achieving doctrinal clarity without diminishing ecclesiastical unity. These tournaments took place in 451. One of the cornerstones of Christian theology could be said to be the Chalcedonian Definition, which takes on more than a fair amount of ink dedicating to it in the early church but has not received much ontological exercise in the church since 787.</w:t>
      </w:r>
    </w:p>
    <w:p w14:paraId="118C6A26" w14:textId="77777777" w:rsidR="00871C19" w:rsidRDefault="00871C19" w:rsidP="00871C19">
      <w:pPr>
        <w:pStyle w:val="Normlnweb"/>
      </w:pPr>
    </w:p>
    <w:p w14:paraId="32AD2DAF" w14:textId="77777777" w:rsidR="00871C19" w:rsidRDefault="00871C19" w:rsidP="00871C19">
      <w:pPr>
        <w:pStyle w:val="Normlnweb"/>
      </w:pPr>
    </w:p>
    <w:p w14:paraId="42F44A7F" w14:textId="77777777" w:rsidR="00871C19" w:rsidRPr="00871C19" w:rsidRDefault="00871C19" w:rsidP="00871C1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71C19">
        <w:rPr>
          <w:rFonts w:ascii="Times New Roman" w:eastAsia="Times New Roman" w:hAnsi="Times New Roman" w:cs="Times New Roman"/>
          <w:b/>
          <w:bCs/>
          <w:kern w:val="0"/>
          <w:sz w:val="27"/>
          <w:szCs w:val="27"/>
          <w:lang w:eastAsia="en-GB"/>
          <w14:ligatures w14:val="none"/>
        </w:rPr>
        <w:t>References</w:t>
      </w:r>
    </w:p>
    <w:p w14:paraId="30DAB990" w14:textId="77777777" w:rsidR="00871C19" w:rsidRPr="00871C19" w:rsidRDefault="00871C19" w:rsidP="00871C1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71C19">
        <w:rPr>
          <w:rFonts w:ascii="Times New Roman" w:eastAsia="Times New Roman" w:hAnsi="Times New Roman" w:cs="Times New Roman"/>
          <w:b/>
          <w:bCs/>
          <w:kern w:val="0"/>
          <w:lang w:eastAsia="en-GB"/>
          <w14:ligatures w14:val="none"/>
        </w:rPr>
        <w:t>Primary Sources</w:t>
      </w:r>
    </w:p>
    <w:p w14:paraId="520D9178" w14:textId="77777777" w:rsidR="00871C19" w:rsidRPr="00871C19" w:rsidRDefault="00871C19" w:rsidP="00871C1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71C19">
        <w:rPr>
          <w:rFonts w:ascii="Times New Roman" w:eastAsia="Times New Roman" w:hAnsi="Times New Roman" w:cs="Times New Roman"/>
          <w:i/>
          <w:iCs/>
          <w:kern w:val="0"/>
          <w:lang w:eastAsia="en-GB"/>
          <w14:ligatures w14:val="none"/>
        </w:rPr>
        <w:t>The Chalcedonian Definition (451 CE)</w:t>
      </w:r>
      <w:r w:rsidRPr="00871C19">
        <w:rPr>
          <w:rFonts w:ascii="Times New Roman" w:eastAsia="Times New Roman" w:hAnsi="Times New Roman" w:cs="Times New Roman"/>
          <w:kern w:val="0"/>
          <w:lang w:eastAsia="en-GB"/>
          <w14:ligatures w14:val="none"/>
        </w:rPr>
        <w:t xml:space="preserve">: Available in compilations such as </w:t>
      </w:r>
      <w:r w:rsidRPr="00871C19">
        <w:rPr>
          <w:rFonts w:ascii="Times New Roman" w:eastAsia="Times New Roman" w:hAnsi="Times New Roman" w:cs="Times New Roman"/>
          <w:i/>
          <w:iCs/>
          <w:kern w:val="0"/>
          <w:lang w:eastAsia="en-GB"/>
          <w14:ligatures w14:val="none"/>
        </w:rPr>
        <w:t>Creeds of the Christian Faith</w:t>
      </w:r>
      <w:r w:rsidRPr="00871C19">
        <w:rPr>
          <w:rFonts w:ascii="Times New Roman" w:eastAsia="Times New Roman" w:hAnsi="Times New Roman" w:cs="Times New Roman"/>
          <w:kern w:val="0"/>
          <w:lang w:eastAsia="en-GB"/>
          <w14:ligatures w14:val="none"/>
        </w:rPr>
        <w:t>.</w:t>
      </w:r>
    </w:p>
    <w:p w14:paraId="6D927F5C" w14:textId="77777777" w:rsidR="00871C19" w:rsidRPr="00871C19" w:rsidRDefault="00871C19" w:rsidP="00871C19">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71C19">
        <w:rPr>
          <w:rFonts w:ascii="Times New Roman" w:eastAsia="Times New Roman" w:hAnsi="Times New Roman" w:cs="Times New Roman"/>
          <w:i/>
          <w:iCs/>
          <w:kern w:val="0"/>
          <w:lang w:eastAsia="en-GB"/>
          <w14:ligatures w14:val="none"/>
        </w:rPr>
        <w:t>Tome of Leo</w:t>
      </w:r>
      <w:r w:rsidRPr="00871C19">
        <w:rPr>
          <w:rFonts w:ascii="Times New Roman" w:eastAsia="Times New Roman" w:hAnsi="Times New Roman" w:cs="Times New Roman"/>
          <w:kern w:val="0"/>
          <w:lang w:eastAsia="en-GB"/>
          <w14:ligatures w14:val="none"/>
        </w:rPr>
        <w:t>: Found in the acts of the Council of Chalcedon.</w:t>
      </w:r>
    </w:p>
    <w:p w14:paraId="282CD34D" w14:textId="77777777" w:rsidR="00871C19" w:rsidRPr="00871C19" w:rsidRDefault="00871C19" w:rsidP="00871C19">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871C19">
        <w:rPr>
          <w:rFonts w:ascii="Times New Roman" w:eastAsia="Times New Roman" w:hAnsi="Times New Roman" w:cs="Times New Roman"/>
          <w:b/>
          <w:bCs/>
          <w:kern w:val="0"/>
          <w:lang w:eastAsia="en-GB"/>
          <w14:ligatures w14:val="none"/>
        </w:rPr>
        <w:t>Secondary Sources</w:t>
      </w:r>
    </w:p>
    <w:p w14:paraId="5AB2F395" w14:textId="77777777" w:rsidR="00871C19" w:rsidRPr="00871C19" w:rsidRDefault="00871C19" w:rsidP="00871C1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71C19">
        <w:rPr>
          <w:rFonts w:ascii="Times New Roman" w:eastAsia="Times New Roman" w:hAnsi="Times New Roman" w:cs="Times New Roman"/>
          <w:kern w:val="0"/>
          <w:lang w:eastAsia="en-GB"/>
          <w14:ligatures w14:val="none"/>
        </w:rPr>
        <w:t xml:space="preserve">Kelly, J.N.D. (1972). </w:t>
      </w:r>
      <w:r w:rsidRPr="00871C19">
        <w:rPr>
          <w:rFonts w:ascii="Times New Roman" w:eastAsia="Times New Roman" w:hAnsi="Times New Roman" w:cs="Times New Roman"/>
          <w:i/>
          <w:iCs/>
          <w:kern w:val="0"/>
          <w:lang w:eastAsia="en-GB"/>
          <w14:ligatures w14:val="none"/>
        </w:rPr>
        <w:t>Early Christian Creeds.</w:t>
      </w:r>
      <w:r w:rsidRPr="00871C19">
        <w:rPr>
          <w:rFonts w:ascii="Times New Roman" w:eastAsia="Times New Roman" w:hAnsi="Times New Roman" w:cs="Times New Roman"/>
          <w:kern w:val="0"/>
          <w:lang w:eastAsia="en-GB"/>
          <w14:ligatures w14:val="none"/>
        </w:rPr>
        <w:t xml:space="preserve"> Oxford University Press.</w:t>
      </w:r>
    </w:p>
    <w:p w14:paraId="1E378754" w14:textId="77777777" w:rsidR="00871C19" w:rsidRPr="00871C19" w:rsidRDefault="00871C19" w:rsidP="00871C1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71C19">
        <w:rPr>
          <w:rFonts w:ascii="Times New Roman" w:eastAsia="Times New Roman" w:hAnsi="Times New Roman" w:cs="Times New Roman"/>
          <w:kern w:val="0"/>
          <w:lang w:eastAsia="en-GB"/>
          <w14:ligatures w14:val="none"/>
        </w:rPr>
        <w:t xml:space="preserve">Pelikan, Jaroslav. (1971). </w:t>
      </w:r>
      <w:r w:rsidRPr="00871C19">
        <w:rPr>
          <w:rFonts w:ascii="Times New Roman" w:eastAsia="Times New Roman" w:hAnsi="Times New Roman" w:cs="Times New Roman"/>
          <w:i/>
          <w:iCs/>
          <w:kern w:val="0"/>
          <w:lang w:eastAsia="en-GB"/>
          <w14:ligatures w14:val="none"/>
        </w:rPr>
        <w:t>The Emergence of the Catholic Tradition (100-600).</w:t>
      </w:r>
      <w:r w:rsidRPr="00871C19">
        <w:rPr>
          <w:rFonts w:ascii="Times New Roman" w:eastAsia="Times New Roman" w:hAnsi="Times New Roman" w:cs="Times New Roman"/>
          <w:kern w:val="0"/>
          <w:lang w:eastAsia="en-GB"/>
          <w14:ligatures w14:val="none"/>
        </w:rPr>
        <w:t xml:space="preserve"> University of Chicago Press.</w:t>
      </w:r>
    </w:p>
    <w:p w14:paraId="534F6014" w14:textId="77777777" w:rsidR="00871C19" w:rsidRPr="00871C19" w:rsidRDefault="00871C19" w:rsidP="00871C1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71C19">
        <w:rPr>
          <w:rFonts w:ascii="Times New Roman" w:eastAsia="Times New Roman" w:hAnsi="Times New Roman" w:cs="Times New Roman"/>
          <w:kern w:val="0"/>
          <w:lang w:eastAsia="en-GB"/>
          <w14:ligatures w14:val="none"/>
        </w:rPr>
        <w:t xml:space="preserve">Behr, John. (2004). </w:t>
      </w:r>
      <w:r w:rsidRPr="00871C19">
        <w:rPr>
          <w:rFonts w:ascii="Times New Roman" w:eastAsia="Times New Roman" w:hAnsi="Times New Roman" w:cs="Times New Roman"/>
          <w:i/>
          <w:iCs/>
          <w:kern w:val="0"/>
          <w:lang w:eastAsia="en-GB"/>
          <w14:ligatures w14:val="none"/>
        </w:rPr>
        <w:t>The Nicene Faith: Formation of Christian Theology, Volume 2.</w:t>
      </w:r>
      <w:r w:rsidRPr="00871C19">
        <w:rPr>
          <w:rFonts w:ascii="Times New Roman" w:eastAsia="Times New Roman" w:hAnsi="Times New Roman" w:cs="Times New Roman"/>
          <w:kern w:val="0"/>
          <w:lang w:eastAsia="en-GB"/>
          <w14:ligatures w14:val="none"/>
        </w:rPr>
        <w:t xml:space="preserve"> St. Vladimir's Seminary Press.</w:t>
      </w:r>
    </w:p>
    <w:p w14:paraId="2725D2CF" w14:textId="77777777" w:rsidR="00871C19" w:rsidRPr="00871C19" w:rsidRDefault="00871C19" w:rsidP="00871C19">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871C19">
        <w:rPr>
          <w:rFonts w:ascii="Times New Roman" w:eastAsia="Times New Roman" w:hAnsi="Times New Roman" w:cs="Times New Roman"/>
          <w:kern w:val="0"/>
          <w:lang w:eastAsia="en-GB"/>
          <w14:ligatures w14:val="none"/>
        </w:rPr>
        <w:t xml:space="preserve">González, Justo L. (2010). </w:t>
      </w:r>
      <w:r w:rsidRPr="00871C19">
        <w:rPr>
          <w:rFonts w:ascii="Times New Roman" w:eastAsia="Times New Roman" w:hAnsi="Times New Roman" w:cs="Times New Roman"/>
          <w:i/>
          <w:iCs/>
          <w:kern w:val="0"/>
          <w:lang w:eastAsia="en-GB"/>
          <w14:ligatures w14:val="none"/>
        </w:rPr>
        <w:t>The Story of Christianity: Volume 1.</w:t>
      </w:r>
      <w:r w:rsidRPr="00871C19">
        <w:rPr>
          <w:rFonts w:ascii="Times New Roman" w:eastAsia="Times New Roman" w:hAnsi="Times New Roman" w:cs="Times New Roman"/>
          <w:kern w:val="0"/>
          <w:lang w:eastAsia="en-GB"/>
          <w14:ligatures w14:val="none"/>
        </w:rPr>
        <w:t xml:space="preserve"> HarperOne.</w:t>
      </w:r>
    </w:p>
    <w:p w14:paraId="7A7D6542" w14:textId="77777777" w:rsidR="00871C19" w:rsidRDefault="00871C19" w:rsidP="00871C19">
      <w:pPr>
        <w:pStyle w:val="Normlnweb"/>
      </w:pPr>
    </w:p>
    <w:p w14:paraId="33574407" w14:textId="77777777" w:rsidR="00801EC5" w:rsidRDefault="00801EC5"/>
    <w:sectPr w:rsidR="00801E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8F491F" w14:textId="77777777" w:rsidR="003D5759" w:rsidRDefault="003D5759" w:rsidP="003D5759">
      <w:pPr>
        <w:spacing w:after="0" w:line="240" w:lineRule="auto"/>
      </w:pPr>
      <w:r>
        <w:separator/>
      </w:r>
    </w:p>
  </w:endnote>
  <w:endnote w:type="continuationSeparator" w:id="0">
    <w:p w14:paraId="326944E7" w14:textId="77777777" w:rsidR="003D5759" w:rsidRDefault="003D5759" w:rsidP="003D5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01C70A" w14:textId="77777777" w:rsidR="003D5759" w:rsidRDefault="003D5759" w:rsidP="003D5759">
      <w:pPr>
        <w:spacing w:after="0" w:line="240" w:lineRule="auto"/>
      </w:pPr>
      <w:r>
        <w:separator/>
      </w:r>
    </w:p>
  </w:footnote>
  <w:footnote w:type="continuationSeparator" w:id="0">
    <w:p w14:paraId="2EABFE66" w14:textId="77777777" w:rsidR="003D5759" w:rsidRDefault="003D5759" w:rsidP="003D57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51AC0"/>
    <w:multiLevelType w:val="multilevel"/>
    <w:tmpl w:val="C3F62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D011C9"/>
    <w:multiLevelType w:val="multilevel"/>
    <w:tmpl w:val="F50C8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3895293">
    <w:abstractNumId w:val="0"/>
  </w:num>
  <w:num w:numId="2" w16cid:durableId="1390106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6"/>
  <w:removePersonalInformation/>
  <w:removeDateAndTime/>
  <w:proofState w:spelling="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C19"/>
    <w:rsid w:val="003D5759"/>
    <w:rsid w:val="004754A7"/>
    <w:rsid w:val="007834F5"/>
    <w:rsid w:val="00801EC5"/>
    <w:rsid w:val="00871C19"/>
    <w:rsid w:val="00DF47A5"/>
    <w:rsid w:val="00FB7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464C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style>
  <w:style w:type="paragraph" w:styleId="Nadpis1">
    <w:name w:val="heading 1"/>
    <w:basedOn w:val="Normln"/>
    <w:next w:val="Normln"/>
    <w:link w:val="Nadpis1Char"/>
    <w:uiPriority w:val="9"/>
    <w:qFormat/>
    <w:rsid w:val="00871C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dpis2">
    <w:name w:val="heading 2"/>
    <w:basedOn w:val="Normln"/>
    <w:next w:val="Normln"/>
    <w:link w:val="Nadpis2Char"/>
    <w:uiPriority w:val="9"/>
    <w:semiHidden/>
    <w:unhideWhenUsed/>
    <w:qFormat/>
    <w:rsid w:val="00871C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dpis3">
    <w:name w:val="heading 3"/>
    <w:basedOn w:val="Normln"/>
    <w:next w:val="Normln"/>
    <w:link w:val="Nadpis3Char"/>
    <w:uiPriority w:val="9"/>
    <w:semiHidden/>
    <w:unhideWhenUsed/>
    <w:qFormat/>
    <w:rsid w:val="00871C19"/>
    <w:pPr>
      <w:keepNext/>
      <w:keepLines/>
      <w:spacing w:before="160" w:after="80"/>
      <w:outlineLvl w:val="2"/>
    </w:pPr>
    <w:rPr>
      <w:rFonts w:eastAsiaTheme="majorEastAsia" w:cstheme="majorBidi"/>
      <w:color w:val="0F4761" w:themeColor="accent1" w:themeShade="BF"/>
      <w:sz w:val="28"/>
      <w:szCs w:val="28"/>
    </w:rPr>
  </w:style>
  <w:style w:type="paragraph" w:styleId="Nadpis4">
    <w:name w:val="heading 4"/>
    <w:basedOn w:val="Normln"/>
    <w:next w:val="Normln"/>
    <w:link w:val="Nadpis4Char"/>
    <w:uiPriority w:val="9"/>
    <w:semiHidden/>
    <w:unhideWhenUsed/>
    <w:qFormat/>
    <w:rsid w:val="00871C19"/>
    <w:pPr>
      <w:keepNext/>
      <w:keepLines/>
      <w:spacing w:before="80" w:after="40"/>
      <w:outlineLvl w:val="3"/>
    </w:pPr>
    <w:rPr>
      <w:rFonts w:eastAsiaTheme="majorEastAsia" w:cstheme="majorBidi"/>
      <w:i/>
      <w:iCs/>
      <w:color w:val="0F4761" w:themeColor="accent1" w:themeShade="BF"/>
    </w:rPr>
  </w:style>
  <w:style w:type="paragraph" w:styleId="Nadpis5">
    <w:name w:val="heading 5"/>
    <w:basedOn w:val="Normln"/>
    <w:next w:val="Normln"/>
    <w:link w:val="Nadpis5Char"/>
    <w:uiPriority w:val="9"/>
    <w:semiHidden/>
    <w:unhideWhenUsed/>
    <w:qFormat/>
    <w:rsid w:val="00871C19"/>
    <w:pPr>
      <w:keepNext/>
      <w:keepLines/>
      <w:spacing w:before="80" w:after="40"/>
      <w:outlineLvl w:val="4"/>
    </w:pPr>
    <w:rPr>
      <w:rFonts w:eastAsiaTheme="majorEastAsia" w:cstheme="majorBidi"/>
      <w:color w:val="0F4761" w:themeColor="accent1" w:themeShade="BF"/>
    </w:rPr>
  </w:style>
  <w:style w:type="paragraph" w:styleId="Nadpis6">
    <w:name w:val="heading 6"/>
    <w:basedOn w:val="Normln"/>
    <w:next w:val="Normln"/>
    <w:link w:val="Nadpis6Char"/>
    <w:uiPriority w:val="9"/>
    <w:semiHidden/>
    <w:unhideWhenUsed/>
    <w:qFormat/>
    <w:rsid w:val="00871C19"/>
    <w:pPr>
      <w:keepNext/>
      <w:keepLines/>
      <w:spacing w:before="40" w:after="0"/>
      <w:outlineLvl w:val="5"/>
    </w:pPr>
    <w:rPr>
      <w:rFonts w:eastAsiaTheme="majorEastAsia" w:cstheme="majorBidi"/>
      <w:i/>
      <w:iCs/>
      <w:color w:val="595959" w:themeColor="text1" w:themeTint="A6"/>
    </w:rPr>
  </w:style>
  <w:style w:type="paragraph" w:styleId="Nadpis7">
    <w:name w:val="heading 7"/>
    <w:basedOn w:val="Normln"/>
    <w:next w:val="Normln"/>
    <w:link w:val="Nadpis7Char"/>
    <w:uiPriority w:val="9"/>
    <w:semiHidden/>
    <w:unhideWhenUsed/>
    <w:qFormat/>
    <w:rsid w:val="00871C19"/>
    <w:pPr>
      <w:keepNext/>
      <w:keepLines/>
      <w:spacing w:before="40" w:after="0"/>
      <w:outlineLvl w:val="6"/>
    </w:pPr>
    <w:rPr>
      <w:rFonts w:eastAsiaTheme="majorEastAsia" w:cstheme="majorBidi"/>
      <w:color w:val="595959" w:themeColor="text1" w:themeTint="A6"/>
    </w:rPr>
  </w:style>
  <w:style w:type="paragraph" w:styleId="Nadpis8">
    <w:name w:val="heading 8"/>
    <w:basedOn w:val="Normln"/>
    <w:next w:val="Normln"/>
    <w:link w:val="Nadpis8Char"/>
    <w:uiPriority w:val="9"/>
    <w:semiHidden/>
    <w:unhideWhenUsed/>
    <w:qFormat/>
    <w:rsid w:val="00871C19"/>
    <w:pPr>
      <w:keepNext/>
      <w:keepLines/>
      <w:spacing w:after="0"/>
      <w:outlineLvl w:val="7"/>
    </w:pPr>
    <w:rPr>
      <w:rFonts w:eastAsiaTheme="majorEastAsia" w:cstheme="majorBidi"/>
      <w:i/>
      <w:iCs/>
      <w:color w:val="272727" w:themeColor="text1" w:themeTint="D8"/>
    </w:rPr>
  </w:style>
  <w:style w:type="paragraph" w:styleId="Nadpis9">
    <w:name w:val="heading 9"/>
    <w:basedOn w:val="Normln"/>
    <w:next w:val="Normln"/>
    <w:link w:val="Nadpis9Char"/>
    <w:uiPriority w:val="9"/>
    <w:semiHidden/>
    <w:unhideWhenUsed/>
    <w:qFormat/>
    <w:rsid w:val="00871C19"/>
    <w:pPr>
      <w:keepNext/>
      <w:keepLines/>
      <w:spacing w:after="0"/>
      <w:outlineLvl w:val="8"/>
    </w:pPr>
    <w:rPr>
      <w:rFonts w:eastAsiaTheme="majorEastAsia" w:cstheme="majorBidi"/>
      <w:color w:val="272727" w:themeColor="text1" w:themeTint="D8"/>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871C19"/>
    <w:rPr>
      <w:rFonts w:asciiTheme="majorHAnsi" w:eastAsiaTheme="majorEastAsia" w:hAnsiTheme="majorHAnsi" w:cstheme="majorBidi"/>
      <w:color w:val="0F4761" w:themeColor="accent1" w:themeShade="BF"/>
      <w:sz w:val="40"/>
      <w:szCs w:val="40"/>
    </w:rPr>
  </w:style>
  <w:style w:type="character" w:customStyle="1" w:styleId="Nadpis2Char">
    <w:name w:val="Nadpis 2 Char"/>
    <w:basedOn w:val="Standardnpsmoodstavce"/>
    <w:link w:val="Nadpis2"/>
    <w:uiPriority w:val="9"/>
    <w:semiHidden/>
    <w:rsid w:val="00871C19"/>
    <w:rPr>
      <w:rFonts w:asciiTheme="majorHAnsi" w:eastAsiaTheme="majorEastAsia" w:hAnsiTheme="majorHAnsi" w:cstheme="majorBidi"/>
      <w:color w:val="0F4761" w:themeColor="accent1" w:themeShade="BF"/>
      <w:sz w:val="32"/>
      <w:szCs w:val="32"/>
    </w:rPr>
  </w:style>
  <w:style w:type="character" w:customStyle="1" w:styleId="Nadpis3Char">
    <w:name w:val="Nadpis 3 Char"/>
    <w:basedOn w:val="Standardnpsmoodstavce"/>
    <w:link w:val="Nadpis3"/>
    <w:uiPriority w:val="9"/>
    <w:semiHidden/>
    <w:rsid w:val="00871C19"/>
    <w:rPr>
      <w:rFonts w:eastAsiaTheme="majorEastAsia" w:cstheme="majorBidi"/>
      <w:color w:val="0F4761" w:themeColor="accent1" w:themeShade="BF"/>
      <w:sz w:val="28"/>
      <w:szCs w:val="28"/>
    </w:rPr>
  </w:style>
  <w:style w:type="character" w:customStyle="1" w:styleId="Nadpis4Char">
    <w:name w:val="Nadpis 4 Char"/>
    <w:basedOn w:val="Standardnpsmoodstavce"/>
    <w:link w:val="Nadpis4"/>
    <w:uiPriority w:val="9"/>
    <w:semiHidden/>
    <w:rsid w:val="00871C19"/>
    <w:rPr>
      <w:rFonts w:eastAsiaTheme="majorEastAsia" w:cstheme="majorBidi"/>
      <w:i/>
      <w:iCs/>
      <w:color w:val="0F4761" w:themeColor="accent1" w:themeShade="BF"/>
    </w:rPr>
  </w:style>
  <w:style w:type="character" w:customStyle="1" w:styleId="Nadpis5Char">
    <w:name w:val="Nadpis 5 Char"/>
    <w:basedOn w:val="Standardnpsmoodstavce"/>
    <w:link w:val="Nadpis5"/>
    <w:uiPriority w:val="9"/>
    <w:semiHidden/>
    <w:rsid w:val="00871C19"/>
    <w:rPr>
      <w:rFonts w:eastAsiaTheme="majorEastAsia" w:cstheme="majorBidi"/>
      <w:color w:val="0F4761" w:themeColor="accent1" w:themeShade="BF"/>
    </w:rPr>
  </w:style>
  <w:style w:type="character" w:customStyle="1" w:styleId="Nadpis6Char">
    <w:name w:val="Nadpis 6 Char"/>
    <w:basedOn w:val="Standardnpsmoodstavce"/>
    <w:link w:val="Nadpis6"/>
    <w:uiPriority w:val="9"/>
    <w:semiHidden/>
    <w:rsid w:val="00871C19"/>
    <w:rPr>
      <w:rFonts w:eastAsiaTheme="majorEastAsia" w:cstheme="majorBidi"/>
      <w:i/>
      <w:iCs/>
      <w:color w:val="595959" w:themeColor="text1" w:themeTint="A6"/>
    </w:rPr>
  </w:style>
  <w:style w:type="character" w:customStyle="1" w:styleId="Nadpis7Char">
    <w:name w:val="Nadpis 7 Char"/>
    <w:basedOn w:val="Standardnpsmoodstavce"/>
    <w:link w:val="Nadpis7"/>
    <w:uiPriority w:val="9"/>
    <w:semiHidden/>
    <w:rsid w:val="00871C19"/>
    <w:rPr>
      <w:rFonts w:eastAsiaTheme="majorEastAsia" w:cstheme="majorBidi"/>
      <w:color w:val="595959" w:themeColor="text1" w:themeTint="A6"/>
    </w:rPr>
  </w:style>
  <w:style w:type="character" w:customStyle="1" w:styleId="Nadpis8Char">
    <w:name w:val="Nadpis 8 Char"/>
    <w:basedOn w:val="Standardnpsmoodstavce"/>
    <w:link w:val="Nadpis8"/>
    <w:uiPriority w:val="9"/>
    <w:semiHidden/>
    <w:rsid w:val="00871C19"/>
    <w:rPr>
      <w:rFonts w:eastAsiaTheme="majorEastAsia" w:cstheme="majorBidi"/>
      <w:i/>
      <w:iCs/>
      <w:color w:val="272727" w:themeColor="text1" w:themeTint="D8"/>
    </w:rPr>
  </w:style>
  <w:style w:type="character" w:customStyle="1" w:styleId="Nadpis9Char">
    <w:name w:val="Nadpis 9 Char"/>
    <w:basedOn w:val="Standardnpsmoodstavce"/>
    <w:link w:val="Nadpis9"/>
    <w:uiPriority w:val="9"/>
    <w:semiHidden/>
    <w:rsid w:val="00871C19"/>
    <w:rPr>
      <w:rFonts w:eastAsiaTheme="majorEastAsia" w:cstheme="majorBidi"/>
      <w:color w:val="272727" w:themeColor="text1" w:themeTint="D8"/>
    </w:rPr>
  </w:style>
  <w:style w:type="paragraph" w:styleId="Nzev">
    <w:name w:val="Title"/>
    <w:basedOn w:val="Normln"/>
    <w:next w:val="Normln"/>
    <w:link w:val="NzevChar"/>
    <w:uiPriority w:val="10"/>
    <w:qFormat/>
    <w:rsid w:val="00871C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NzevChar">
    <w:name w:val="Název Char"/>
    <w:basedOn w:val="Standardnpsmoodstavce"/>
    <w:link w:val="Nzev"/>
    <w:uiPriority w:val="10"/>
    <w:rsid w:val="00871C19"/>
    <w:rPr>
      <w:rFonts w:asciiTheme="majorHAnsi" w:eastAsiaTheme="majorEastAsia" w:hAnsiTheme="majorHAnsi" w:cstheme="majorBidi"/>
      <w:spacing w:val="-10"/>
      <w:kern w:val="28"/>
      <w:sz w:val="56"/>
      <w:szCs w:val="56"/>
    </w:rPr>
  </w:style>
  <w:style w:type="paragraph" w:styleId="Podnadpis">
    <w:name w:val="Subtitle"/>
    <w:basedOn w:val="Normln"/>
    <w:next w:val="Normln"/>
    <w:link w:val="PodnadpisChar"/>
    <w:uiPriority w:val="11"/>
    <w:qFormat/>
    <w:rsid w:val="00871C19"/>
    <w:pPr>
      <w:numPr>
        <w:ilvl w:val="1"/>
      </w:numPr>
    </w:pPr>
    <w:rPr>
      <w:rFonts w:eastAsiaTheme="majorEastAsia" w:cstheme="majorBidi"/>
      <w:color w:val="595959" w:themeColor="text1" w:themeTint="A6"/>
      <w:spacing w:val="15"/>
      <w:sz w:val="28"/>
      <w:szCs w:val="28"/>
    </w:rPr>
  </w:style>
  <w:style w:type="character" w:customStyle="1" w:styleId="PodnadpisChar">
    <w:name w:val="Podnadpis Char"/>
    <w:basedOn w:val="Standardnpsmoodstavce"/>
    <w:link w:val="Podnadpis"/>
    <w:uiPriority w:val="11"/>
    <w:rsid w:val="00871C19"/>
    <w:rPr>
      <w:rFonts w:eastAsiaTheme="majorEastAsia" w:cstheme="majorBidi"/>
      <w:color w:val="595959" w:themeColor="text1" w:themeTint="A6"/>
      <w:spacing w:val="15"/>
      <w:sz w:val="28"/>
      <w:szCs w:val="28"/>
    </w:rPr>
  </w:style>
  <w:style w:type="paragraph" w:styleId="Citt">
    <w:name w:val="Quote"/>
    <w:basedOn w:val="Normln"/>
    <w:next w:val="Normln"/>
    <w:link w:val="CittChar"/>
    <w:uiPriority w:val="29"/>
    <w:qFormat/>
    <w:rsid w:val="00871C19"/>
    <w:pPr>
      <w:spacing w:before="160"/>
      <w:jc w:val="center"/>
    </w:pPr>
    <w:rPr>
      <w:i/>
      <w:iCs/>
      <w:color w:val="404040" w:themeColor="text1" w:themeTint="BF"/>
    </w:rPr>
  </w:style>
  <w:style w:type="character" w:customStyle="1" w:styleId="CittChar">
    <w:name w:val="Citát Char"/>
    <w:basedOn w:val="Standardnpsmoodstavce"/>
    <w:link w:val="Citt"/>
    <w:uiPriority w:val="29"/>
    <w:rsid w:val="00871C19"/>
    <w:rPr>
      <w:i/>
      <w:iCs/>
      <w:color w:val="404040" w:themeColor="text1" w:themeTint="BF"/>
    </w:rPr>
  </w:style>
  <w:style w:type="paragraph" w:styleId="Odstavecseseznamem">
    <w:name w:val="List Paragraph"/>
    <w:basedOn w:val="Normln"/>
    <w:uiPriority w:val="34"/>
    <w:qFormat/>
    <w:rsid w:val="00871C19"/>
    <w:pPr>
      <w:ind w:left="720"/>
      <w:contextualSpacing/>
    </w:pPr>
  </w:style>
  <w:style w:type="character" w:styleId="Zdraznnintenzivn">
    <w:name w:val="Intense Emphasis"/>
    <w:basedOn w:val="Standardnpsmoodstavce"/>
    <w:uiPriority w:val="21"/>
    <w:qFormat/>
    <w:rsid w:val="00871C19"/>
    <w:rPr>
      <w:i/>
      <w:iCs/>
      <w:color w:val="0F4761" w:themeColor="accent1" w:themeShade="BF"/>
    </w:rPr>
  </w:style>
  <w:style w:type="paragraph" w:styleId="Vrazncitt">
    <w:name w:val="Intense Quote"/>
    <w:basedOn w:val="Normln"/>
    <w:next w:val="Normln"/>
    <w:link w:val="VrazncittChar"/>
    <w:uiPriority w:val="30"/>
    <w:qFormat/>
    <w:rsid w:val="00871C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VrazncittChar">
    <w:name w:val="Výrazný citát Char"/>
    <w:basedOn w:val="Standardnpsmoodstavce"/>
    <w:link w:val="Vrazncitt"/>
    <w:uiPriority w:val="30"/>
    <w:rsid w:val="00871C19"/>
    <w:rPr>
      <w:i/>
      <w:iCs/>
      <w:color w:val="0F4761" w:themeColor="accent1" w:themeShade="BF"/>
    </w:rPr>
  </w:style>
  <w:style w:type="character" w:styleId="Odkazintenzivn">
    <w:name w:val="Intense Reference"/>
    <w:basedOn w:val="Standardnpsmoodstavce"/>
    <w:uiPriority w:val="32"/>
    <w:qFormat/>
    <w:rsid w:val="00871C19"/>
    <w:rPr>
      <w:b/>
      <w:bCs/>
      <w:smallCaps/>
      <w:color w:val="0F4761" w:themeColor="accent1" w:themeShade="BF"/>
      <w:spacing w:val="5"/>
    </w:rPr>
  </w:style>
  <w:style w:type="paragraph" w:styleId="Normlnweb">
    <w:name w:val="Normal (Web)"/>
    <w:basedOn w:val="Normln"/>
    <w:uiPriority w:val="99"/>
    <w:semiHidden/>
    <w:unhideWhenUsed/>
    <w:rsid w:val="00871C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hlav">
    <w:name w:val="header"/>
    <w:basedOn w:val="Normln"/>
    <w:link w:val="ZhlavChar"/>
    <w:uiPriority w:val="99"/>
    <w:unhideWhenUsed/>
    <w:rsid w:val="003D5759"/>
    <w:pPr>
      <w:tabs>
        <w:tab w:val="center" w:pos="4513"/>
        <w:tab w:val="right" w:pos="9026"/>
      </w:tabs>
      <w:spacing w:after="0" w:line="240" w:lineRule="auto"/>
    </w:pPr>
  </w:style>
  <w:style w:type="character" w:customStyle="1" w:styleId="ZhlavChar">
    <w:name w:val="Záhlaví Char"/>
    <w:basedOn w:val="Standardnpsmoodstavce"/>
    <w:link w:val="Zhlav"/>
    <w:uiPriority w:val="99"/>
    <w:rsid w:val="003D5759"/>
  </w:style>
  <w:style w:type="paragraph" w:styleId="Zpat">
    <w:name w:val="footer"/>
    <w:basedOn w:val="Normln"/>
    <w:link w:val="ZpatChar"/>
    <w:uiPriority w:val="99"/>
    <w:unhideWhenUsed/>
    <w:rsid w:val="003D5759"/>
    <w:pPr>
      <w:tabs>
        <w:tab w:val="center" w:pos="4513"/>
        <w:tab w:val="right" w:pos="9026"/>
      </w:tabs>
      <w:spacing w:after="0" w:line="240" w:lineRule="auto"/>
    </w:pPr>
  </w:style>
  <w:style w:type="character" w:customStyle="1" w:styleId="ZpatChar">
    <w:name w:val="Zápatí Char"/>
    <w:basedOn w:val="Standardnpsmoodstavce"/>
    <w:link w:val="Zpat"/>
    <w:uiPriority w:val="99"/>
    <w:rsid w:val="003D5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7512102">
      <w:bodyDiv w:val="1"/>
      <w:marLeft w:val="0"/>
      <w:marRight w:val="0"/>
      <w:marTop w:val="0"/>
      <w:marBottom w:val="0"/>
      <w:divBdr>
        <w:top w:val="none" w:sz="0" w:space="0" w:color="auto"/>
        <w:left w:val="none" w:sz="0" w:space="0" w:color="auto"/>
        <w:bottom w:val="none" w:sz="0" w:space="0" w:color="auto"/>
        <w:right w:val="none" w:sz="0" w:space="0" w:color="auto"/>
      </w:divBdr>
    </w:div>
    <w:div w:id="588730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1577</Words>
  <Characters>9307</Characters>
  <Application>Microsoft Office Word</Application>
  <DocSecurity>0</DocSecurity>
  <Lines>77</Lines>
  <Paragraphs>21</Paragraphs>
  <ScaleCrop>false</ScaleCrop>
  <Company/>
  <LinksUpToDate>false</LinksUpToDate>
  <CharactersWithSpaces>10863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2024-11-30T10:29:00Z</dcterms:created>
  <dcterms:modified xsi:type="dcterms:W3CDTF">2024-11-30T10:29:00Z</dcterms:modified>
</cp:coreProperties>
</file>