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17D6" w:rsidRPr="005217D6" w:rsidRDefault="005217D6" w:rsidP="005217D6">
      <w:pPr>
        <w:spacing w:after="0"/>
        <w:rPr>
          <w:b/>
          <w:i/>
        </w:rPr>
      </w:pPr>
      <w:r w:rsidRPr="005217D6">
        <w:rPr>
          <w:b/>
          <w:i/>
        </w:rPr>
        <w:t xml:space="preserve">Considering the recorded experiences of cures at Epidaurus, explain what would happen to </w:t>
      </w:r>
      <w:proofErr w:type="spellStart"/>
      <w:r w:rsidRPr="005217D6">
        <w:rPr>
          <w:b/>
          <w:i/>
        </w:rPr>
        <w:t>Athenodoros</w:t>
      </w:r>
      <w:proofErr w:type="spellEnd"/>
      <w:r w:rsidRPr="005217D6">
        <w:rPr>
          <w:b/>
          <w:i/>
        </w:rPr>
        <w:t xml:space="preserve"> at the sanctuary and it religious significance.</w:t>
      </w:r>
    </w:p>
    <w:p w:rsidR="005217D6" w:rsidRDefault="005217D6" w:rsidP="00037A4F">
      <w:pPr>
        <w:spacing w:after="0"/>
      </w:pPr>
    </w:p>
    <w:p w:rsidR="00070887" w:rsidRDefault="00A356B9" w:rsidP="00037A4F">
      <w:pPr>
        <w:spacing w:after="0"/>
      </w:pPr>
      <w:r>
        <w:t>W</w:t>
      </w:r>
      <w:r w:rsidR="00EB22E6">
        <w:t xml:space="preserve">ithin this essay I will be identifying the most likely scenarios in which </w:t>
      </w:r>
      <w:r>
        <w:t xml:space="preserve">the citizen </w:t>
      </w:r>
      <w:proofErr w:type="spellStart"/>
      <w:r>
        <w:t>Athenodors</w:t>
      </w:r>
      <w:proofErr w:type="spellEnd"/>
      <w:r>
        <w:t xml:space="preserve"> would have experienced at the </w:t>
      </w:r>
      <w:proofErr w:type="spellStart"/>
      <w:r>
        <w:t>Epidaurian</w:t>
      </w:r>
      <w:proofErr w:type="spellEnd"/>
      <w:r>
        <w:t xml:space="preserve"> </w:t>
      </w:r>
      <w:proofErr w:type="spellStart"/>
      <w:r>
        <w:t>Askelpieion</w:t>
      </w:r>
      <w:proofErr w:type="spellEnd"/>
      <w:r w:rsidR="007C3BB9">
        <w:t xml:space="preserve"> and its significance within </w:t>
      </w:r>
      <w:r w:rsidR="006376E7">
        <w:t>ancient</w:t>
      </w:r>
      <w:r w:rsidR="007C3BB9">
        <w:t xml:space="preserve"> Greek religion.</w:t>
      </w:r>
      <w:r w:rsidR="006376E7">
        <w:t xml:space="preserve"> To do this I will be using the </w:t>
      </w:r>
      <w:proofErr w:type="spellStart"/>
      <w:r w:rsidR="006376E7">
        <w:t>Iamata</w:t>
      </w:r>
      <w:proofErr w:type="spellEnd"/>
      <w:r w:rsidR="006376E7">
        <w:t>-inscriptions</w:t>
      </w:r>
      <w:r w:rsidR="00874CA6">
        <w:t xml:space="preserve"> </w:t>
      </w:r>
      <w:r w:rsidR="006376E7">
        <w:t xml:space="preserve">found </w:t>
      </w:r>
      <w:r w:rsidR="00874CA6">
        <w:t xml:space="preserve">within the Asklepieion </w:t>
      </w:r>
      <w:proofErr w:type="spellStart"/>
      <w:r w:rsidR="00874CA6">
        <w:t>Abaton</w:t>
      </w:r>
      <w:proofErr w:type="spellEnd"/>
      <w:r w:rsidR="00874CA6">
        <w:t>, which tell of some of the miracles performed by the god Asclepius.</w:t>
      </w:r>
    </w:p>
    <w:p w:rsidR="00070887" w:rsidRDefault="00070887" w:rsidP="00037A4F">
      <w:pPr>
        <w:spacing w:after="0"/>
      </w:pPr>
    </w:p>
    <w:p w:rsidR="007C3BB9" w:rsidRDefault="00155E5C" w:rsidP="00155E5C">
      <w:pPr>
        <w:spacing w:after="0"/>
      </w:pPr>
      <w:r>
        <w:t xml:space="preserve">In regards to </w:t>
      </w:r>
      <w:proofErr w:type="spellStart"/>
      <w:r>
        <w:t>Athenodoros</w:t>
      </w:r>
      <w:proofErr w:type="spellEnd"/>
      <w:r>
        <w:t xml:space="preserve">’ pilgrimage to the </w:t>
      </w:r>
      <w:proofErr w:type="spellStart"/>
      <w:r>
        <w:t>Epidaurian</w:t>
      </w:r>
      <w:proofErr w:type="spellEnd"/>
      <w:r>
        <w:t xml:space="preserve"> Asklepieion there were</w:t>
      </w:r>
      <w:r w:rsidR="00A93D19">
        <w:t xml:space="preserve"> certain rules that </w:t>
      </w:r>
      <w:r>
        <w:t>he would have to take particular care in</w:t>
      </w:r>
      <w:r w:rsidR="00A93D19">
        <w:t xml:space="preserve"> obey</w:t>
      </w:r>
      <w:r>
        <w:t>ing if he wished for Asclepius to heal him</w:t>
      </w:r>
      <w:r>
        <w:rPr>
          <w:rStyle w:val="FootnoteReference"/>
        </w:rPr>
        <w:footnoteReference w:id="1"/>
      </w:r>
      <w:r>
        <w:t>. To start with there was a waiting period</w:t>
      </w:r>
      <w:r>
        <w:rPr>
          <w:rStyle w:val="FootnoteReference"/>
        </w:rPr>
        <w:footnoteReference w:id="2"/>
      </w:r>
      <w:r>
        <w:t>, in which the suppliant was expected to spend three days purifying themselves</w:t>
      </w:r>
      <w:r>
        <w:rPr>
          <w:rStyle w:val="FootnoteReference"/>
        </w:rPr>
        <w:footnoteReference w:id="3"/>
      </w:r>
      <w:r w:rsidR="00436A4B">
        <w:t>.</w:t>
      </w:r>
      <w:r w:rsidR="007C3BB9">
        <w:t xml:space="preserve"> This was most likely both a physical and spiritual cleansing as Greek religion had strong be</w:t>
      </w:r>
      <w:r w:rsidR="006376E7">
        <w:t>liefs in regards to pollution of the mind and it was thought of as sacrilegious to attempt to bring that before the gods</w:t>
      </w:r>
      <w:r w:rsidR="006376E7">
        <w:rPr>
          <w:rStyle w:val="FootnoteReference"/>
        </w:rPr>
        <w:footnoteReference w:id="4"/>
      </w:r>
      <w:r w:rsidR="006376E7">
        <w:t>.</w:t>
      </w:r>
    </w:p>
    <w:p w:rsidR="00A93D19" w:rsidRDefault="006376E7" w:rsidP="00155E5C">
      <w:pPr>
        <w:spacing w:after="0"/>
      </w:pPr>
      <w:r>
        <w:t xml:space="preserve">The </w:t>
      </w:r>
      <w:proofErr w:type="spellStart"/>
      <w:r>
        <w:t>Iamata</w:t>
      </w:r>
      <w:proofErr w:type="spellEnd"/>
      <w:r>
        <w:t>-inscriptions also mentioned</w:t>
      </w:r>
      <w:r w:rsidR="00436A4B">
        <w:t xml:space="preserve"> that it was expected for the suppliant to make an “opening sacrifice”</w:t>
      </w:r>
      <w:r w:rsidR="00436A4B">
        <w:rPr>
          <w:rStyle w:val="FootnoteReference"/>
        </w:rPr>
        <w:footnoteReference w:id="5"/>
      </w:r>
      <w:r w:rsidR="00436A4B">
        <w:t xml:space="preserve"> and present Asclepius with the “required things</w:t>
      </w:r>
      <w:r w:rsidR="00436A4B">
        <w:rPr>
          <w:rStyle w:val="FootnoteReference"/>
        </w:rPr>
        <w:footnoteReference w:id="6"/>
      </w:r>
      <w:r w:rsidR="00436A4B">
        <w:t xml:space="preserve">”; unfortunately however there is no surviving </w:t>
      </w:r>
      <w:r>
        <w:t>information</w:t>
      </w:r>
      <w:r w:rsidR="00436A4B">
        <w:t xml:space="preserve"> as to what this would</w:t>
      </w:r>
      <w:r>
        <w:t xml:space="preserve"> specifically</w:t>
      </w:r>
      <w:r w:rsidR="00436A4B">
        <w:t xml:space="preserve"> entail. It is possible that some of the other inscriptions could have provided further insight into this ‘ceremony’ however since some are incomplete due to erosion</w:t>
      </w:r>
      <w:r>
        <w:t>,</w:t>
      </w:r>
      <w:r w:rsidR="00436A4B">
        <w:t xml:space="preserve"> we may never know.</w:t>
      </w:r>
    </w:p>
    <w:p w:rsidR="00A544E2" w:rsidRDefault="00436A4B" w:rsidP="001204BE">
      <w:pPr>
        <w:spacing w:after="0"/>
      </w:pPr>
      <w:r>
        <w:t xml:space="preserve">After the aforementioned </w:t>
      </w:r>
      <w:r w:rsidR="00784F96">
        <w:t xml:space="preserve">tasks were completed </w:t>
      </w:r>
      <w:proofErr w:type="spellStart"/>
      <w:r w:rsidR="00784F96">
        <w:t>Athenodoro</w:t>
      </w:r>
      <w:r w:rsidR="00A85827">
        <w:t>s</w:t>
      </w:r>
      <w:proofErr w:type="spellEnd"/>
      <w:r w:rsidR="00A85827">
        <w:t xml:space="preserve"> would be allowed</w:t>
      </w:r>
      <w:r w:rsidR="00784F96">
        <w:t xml:space="preserve"> to sleep</w:t>
      </w:r>
      <w:r w:rsidR="00A85827">
        <w:t xml:space="preserve"> within the </w:t>
      </w:r>
      <w:proofErr w:type="spellStart"/>
      <w:r w:rsidR="00A85827">
        <w:t>Abaton</w:t>
      </w:r>
      <w:proofErr w:type="spellEnd"/>
      <w:r w:rsidR="00784F96">
        <w:rPr>
          <w:rStyle w:val="FootnoteReference"/>
        </w:rPr>
        <w:footnoteReference w:id="7"/>
      </w:r>
      <w:r w:rsidR="00A85827">
        <w:t>, which is when suppliants often experienced dreams/</w:t>
      </w:r>
      <w:r w:rsidR="00784F96">
        <w:t xml:space="preserve"> visions in which Asclepius himself would assist them</w:t>
      </w:r>
      <w:r w:rsidR="00784F96">
        <w:rPr>
          <w:rStyle w:val="FootnoteReference"/>
        </w:rPr>
        <w:footnoteReference w:id="8"/>
      </w:r>
      <w:r w:rsidR="00784F96">
        <w:t xml:space="preserve"> or provide them with the information that would lead to their cure</w:t>
      </w:r>
      <w:r w:rsidR="00784F96">
        <w:rPr>
          <w:rStyle w:val="FootnoteReference"/>
        </w:rPr>
        <w:footnoteReference w:id="9"/>
      </w:r>
      <w:r w:rsidR="00784F96">
        <w:t xml:space="preserve">. There </w:t>
      </w:r>
      <w:proofErr w:type="gramStart"/>
      <w:r w:rsidR="00784F96">
        <w:t>are</w:t>
      </w:r>
      <w:proofErr w:type="gramEnd"/>
      <w:r w:rsidR="00784F96">
        <w:t xml:space="preserve"> however </w:t>
      </w:r>
      <w:r w:rsidR="00A85827">
        <w:t xml:space="preserve">mentions of </w:t>
      </w:r>
      <w:r w:rsidR="00681789">
        <w:t xml:space="preserve">instances </w:t>
      </w:r>
      <w:r w:rsidR="00A85827">
        <w:t xml:space="preserve">where no dreams were received and the individual </w:t>
      </w:r>
      <w:r w:rsidR="00681789">
        <w:t xml:space="preserve">would be cured outside of the </w:t>
      </w:r>
      <w:proofErr w:type="spellStart"/>
      <w:r w:rsidR="00681789">
        <w:t>Abaton</w:t>
      </w:r>
      <w:proofErr w:type="spellEnd"/>
      <w:r w:rsidR="00D05B4A">
        <w:rPr>
          <w:rStyle w:val="FootnoteReference"/>
        </w:rPr>
        <w:footnoteReference w:id="10"/>
      </w:r>
      <w:r w:rsidR="00A85827">
        <w:t>.  Furthermore, there is actually an inscription which tells of a man who came to the Asklepieion to be cured of this gout and whilst he received no vision of Asclepius when he left come morning he was cured, having been bitten by a goose outside</w:t>
      </w:r>
      <w:r w:rsidR="001204BE">
        <w:rPr>
          <w:rStyle w:val="FootnoteReference"/>
        </w:rPr>
        <w:footnoteReference w:id="11"/>
      </w:r>
      <w:r w:rsidR="00A85827">
        <w:t xml:space="preserve">. Due to the similarities in ailment between this man and </w:t>
      </w:r>
      <w:proofErr w:type="spellStart"/>
      <w:r w:rsidR="00A85827">
        <w:t>Athenodoros</w:t>
      </w:r>
      <w:proofErr w:type="spellEnd"/>
      <w:r w:rsidR="00A85827">
        <w:t xml:space="preserve">, it seems rational that he would experience a similar situation and find his cure outside of the sacred space. Moreover, although the man depicted in inscription B23.43 was healed by a goose, it could also be a dog or a snake that helps </w:t>
      </w:r>
      <w:proofErr w:type="spellStart"/>
      <w:r w:rsidR="00A85827">
        <w:t>Athenodoros</w:t>
      </w:r>
      <w:proofErr w:type="spellEnd"/>
      <w:r w:rsidR="00A85827">
        <w:t xml:space="preserve"> as both are said to have been animals sacred to Asclepius</w:t>
      </w:r>
      <w:r w:rsidR="001204BE">
        <w:rPr>
          <w:rStyle w:val="FootnoteReference"/>
        </w:rPr>
        <w:footnoteReference w:id="12"/>
      </w:r>
      <w:r w:rsidR="00A85827">
        <w:t xml:space="preserve"> and have appeared throughout several </w:t>
      </w:r>
      <w:r w:rsidR="001204BE">
        <w:t>of the inscriptions</w:t>
      </w:r>
      <w:r w:rsidR="001204BE">
        <w:rPr>
          <w:rStyle w:val="FootnoteReference"/>
        </w:rPr>
        <w:footnoteReference w:id="13"/>
      </w:r>
      <w:r w:rsidR="001204BE">
        <w:t>.</w:t>
      </w:r>
    </w:p>
    <w:p w:rsidR="00EB22E6" w:rsidRDefault="00EB22E6" w:rsidP="00037A4F">
      <w:pPr>
        <w:spacing w:after="0"/>
      </w:pPr>
    </w:p>
    <w:p w:rsidR="00EB22E6" w:rsidRDefault="00A85827" w:rsidP="00037A4F">
      <w:pPr>
        <w:spacing w:after="0"/>
      </w:pPr>
      <w:r>
        <w:lastRenderedPageBreak/>
        <w:t xml:space="preserve">Throughout this essay I have attempted to provide details of the more likely scenarios that </w:t>
      </w:r>
      <w:proofErr w:type="spellStart"/>
      <w:r>
        <w:t>Athenodoros</w:t>
      </w:r>
      <w:proofErr w:type="spellEnd"/>
      <w:r>
        <w:t xml:space="preserve"> would experience, however due to their being a lot of varying information within the depictions of the cures there are many alternate situations.</w:t>
      </w:r>
    </w:p>
    <w:p w:rsidR="00A85827" w:rsidRDefault="00A85827" w:rsidP="00037A4F">
      <w:pPr>
        <w:spacing w:after="0"/>
      </w:pPr>
    </w:p>
    <w:p w:rsidR="005217D6" w:rsidRPr="00037A4F" w:rsidRDefault="005217D6" w:rsidP="005217D6">
      <w:pPr>
        <w:spacing w:after="0"/>
        <w:jc w:val="center"/>
        <w:rPr>
          <w:b/>
          <w:u w:val="single"/>
        </w:rPr>
      </w:pPr>
      <w:r w:rsidRPr="00037A4F">
        <w:rPr>
          <w:b/>
          <w:u w:val="single"/>
        </w:rPr>
        <w:t>Bibliography</w:t>
      </w:r>
    </w:p>
    <w:p w:rsidR="005217D6" w:rsidRPr="00037A4F" w:rsidRDefault="005217D6" w:rsidP="005217D6">
      <w:pPr>
        <w:spacing w:after="0"/>
        <w:rPr>
          <w:b/>
        </w:rPr>
      </w:pPr>
      <w:r w:rsidRPr="00037A4F">
        <w:rPr>
          <w:b/>
        </w:rPr>
        <w:t>Modern Sources:</w:t>
      </w:r>
    </w:p>
    <w:p w:rsidR="005217D6" w:rsidRPr="002F26EB" w:rsidRDefault="005217D6" w:rsidP="005217D6">
      <w:pPr>
        <w:spacing w:after="0"/>
        <w:rPr>
          <w:rFonts w:cs="Helvetica"/>
          <w:shd w:val="clear" w:color="auto" w:fill="FFFFFF"/>
        </w:rPr>
      </w:pPr>
      <w:proofErr w:type="gramStart"/>
      <w:r w:rsidRPr="002F26EB">
        <w:rPr>
          <w:rFonts w:cs="Helvetica"/>
          <w:shd w:val="clear" w:color="auto" w:fill="FFFFFF"/>
        </w:rPr>
        <w:t>Compton, M. (1998).</w:t>
      </w:r>
      <w:proofErr w:type="gramEnd"/>
      <w:r w:rsidRPr="002F26EB">
        <w:rPr>
          <w:rFonts w:cs="Helvetica"/>
          <w:shd w:val="clear" w:color="auto" w:fill="FFFFFF"/>
        </w:rPr>
        <w:t xml:space="preserve"> </w:t>
      </w:r>
      <w:proofErr w:type="gramStart"/>
      <w:r w:rsidRPr="002F26EB">
        <w:rPr>
          <w:rFonts w:cs="Helvetica"/>
          <w:shd w:val="clear" w:color="auto" w:fill="FFFFFF"/>
        </w:rPr>
        <w:t xml:space="preserve">The Union of Religion and Health in Ancient </w:t>
      </w:r>
      <w:proofErr w:type="spellStart"/>
      <w:r w:rsidRPr="002F26EB">
        <w:rPr>
          <w:rFonts w:cs="Helvetica"/>
          <w:shd w:val="clear" w:color="auto" w:fill="FFFFFF"/>
        </w:rPr>
        <w:t>Asklepieia</w:t>
      </w:r>
      <w:proofErr w:type="spellEnd"/>
      <w:r w:rsidRPr="002F26EB">
        <w:rPr>
          <w:rFonts w:cs="Helvetica"/>
          <w:shd w:val="clear" w:color="auto" w:fill="FFFFFF"/>
        </w:rPr>
        <w:t>.</w:t>
      </w:r>
      <w:proofErr w:type="gramEnd"/>
      <w:r w:rsidRPr="002F26EB">
        <w:rPr>
          <w:rFonts w:cs="Helvetica"/>
          <w:shd w:val="clear" w:color="auto" w:fill="FFFFFF"/>
        </w:rPr>
        <w:t> </w:t>
      </w:r>
      <w:r w:rsidRPr="002F26EB">
        <w:rPr>
          <w:rFonts w:cs="Helvetica"/>
          <w:i/>
          <w:iCs/>
          <w:shd w:val="clear" w:color="auto" w:fill="FFFFFF"/>
        </w:rPr>
        <w:t>Journal of Religion and Health,</w:t>
      </w:r>
      <w:r w:rsidRPr="002F26EB">
        <w:rPr>
          <w:rFonts w:cs="Helvetica"/>
          <w:shd w:val="clear" w:color="auto" w:fill="FFFFFF"/>
        </w:rPr>
        <w:t> </w:t>
      </w:r>
      <w:r w:rsidRPr="002F26EB">
        <w:rPr>
          <w:rFonts w:cs="Helvetica"/>
          <w:i/>
          <w:iCs/>
          <w:shd w:val="clear" w:color="auto" w:fill="FFFFFF"/>
        </w:rPr>
        <w:t>37</w:t>
      </w:r>
      <w:r w:rsidRPr="002F26EB">
        <w:rPr>
          <w:rFonts w:cs="Helvetica"/>
          <w:shd w:val="clear" w:color="auto" w:fill="FFFFFF"/>
        </w:rPr>
        <w:t>(4), 301-312.</w:t>
      </w:r>
    </w:p>
    <w:p w:rsidR="005217D6" w:rsidRPr="00F929FC" w:rsidRDefault="005217D6" w:rsidP="005217D6">
      <w:pPr>
        <w:spacing w:after="0"/>
      </w:pPr>
      <w:proofErr w:type="spellStart"/>
      <w:proofErr w:type="gramStart"/>
      <w:r>
        <w:t>Petrovic</w:t>
      </w:r>
      <w:proofErr w:type="spellEnd"/>
      <w:r>
        <w:t xml:space="preserve">, A &amp; </w:t>
      </w:r>
      <w:proofErr w:type="spellStart"/>
      <w:r>
        <w:t>Petrovic</w:t>
      </w:r>
      <w:proofErr w:type="spellEnd"/>
      <w:r>
        <w:t>, I. (2016).</w:t>
      </w:r>
      <w:proofErr w:type="gramEnd"/>
      <w:r>
        <w:t xml:space="preserve"> </w:t>
      </w:r>
      <w:proofErr w:type="gramStart"/>
      <w:r>
        <w:rPr>
          <w:i/>
        </w:rPr>
        <w:t>Inner purity and pollution in Greek religion.</w:t>
      </w:r>
      <w:proofErr w:type="gramEnd"/>
      <w:r>
        <w:rPr>
          <w:i/>
        </w:rPr>
        <w:t xml:space="preserve"> </w:t>
      </w:r>
      <w:proofErr w:type="gramStart"/>
      <w:r>
        <w:rPr>
          <w:i/>
        </w:rPr>
        <w:t>Volume 1, Early Greek Religion.</w:t>
      </w:r>
      <w:proofErr w:type="gramEnd"/>
      <w:r>
        <w:t xml:space="preserve"> Oxford; Oxford University Press</w:t>
      </w:r>
    </w:p>
    <w:p w:rsidR="005217D6" w:rsidRDefault="005217D6" w:rsidP="005217D6">
      <w:pPr>
        <w:spacing w:after="0"/>
      </w:pPr>
    </w:p>
    <w:p w:rsidR="005217D6" w:rsidRPr="00037A4F" w:rsidRDefault="005217D6" w:rsidP="005217D6">
      <w:pPr>
        <w:spacing w:after="0"/>
        <w:rPr>
          <w:b/>
        </w:rPr>
      </w:pPr>
      <w:r w:rsidRPr="00037A4F">
        <w:rPr>
          <w:b/>
        </w:rPr>
        <w:t>Ancient Sources:</w:t>
      </w:r>
    </w:p>
    <w:p w:rsidR="005217D6" w:rsidRPr="00D96BB1" w:rsidRDefault="005217D6" w:rsidP="005217D6">
      <w:pPr>
        <w:spacing w:after="0"/>
      </w:pPr>
      <w:proofErr w:type="spellStart"/>
      <w:r>
        <w:t>LiDonnici</w:t>
      </w:r>
      <w:proofErr w:type="spellEnd"/>
      <w:r>
        <w:t xml:space="preserve">, L (1995). </w:t>
      </w:r>
      <w:proofErr w:type="gramStart"/>
      <w:r>
        <w:rPr>
          <w:i/>
        </w:rPr>
        <w:t xml:space="preserve">The </w:t>
      </w:r>
      <w:proofErr w:type="spellStart"/>
      <w:r>
        <w:rPr>
          <w:i/>
        </w:rPr>
        <w:t>Epidaurian</w:t>
      </w:r>
      <w:proofErr w:type="spellEnd"/>
      <w:r>
        <w:rPr>
          <w:i/>
        </w:rPr>
        <w:t xml:space="preserve"> Miracle Inscriptions </w:t>
      </w:r>
      <w:r>
        <w:t>(Texts and translations; no. 36).</w:t>
      </w:r>
      <w:proofErr w:type="gramEnd"/>
      <w:r>
        <w:t xml:space="preserve"> Atlanta, Ga.: Scholars Press.</w:t>
      </w:r>
    </w:p>
    <w:p w:rsidR="005217D6" w:rsidRPr="002F5E2F" w:rsidRDefault="005217D6" w:rsidP="005217D6">
      <w:pPr>
        <w:spacing w:after="0"/>
      </w:pPr>
      <w:proofErr w:type="gramStart"/>
      <w:r>
        <w:t xml:space="preserve">Van der </w:t>
      </w:r>
      <w:proofErr w:type="spellStart"/>
      <w:r>
        <w:t>Ploeg</w:t>
      </w:r>
      <w:proofErr w:type="spellEnd"/>
      <w:r>
        <w:t>, G. (2013) ‘</w:t>
      </w:r>
      <w:r w:rsidRPr="002F5E2F">
        <w:t>Sacred Laws in the Cult of</w:t>
      </w:r>
      <w:r>
        <w:rPr>
          <w:i/>
        </w:rPr>
        <w:t xml:space="preserve"> Asclepius’,</w:t>
      </w:r>
      <w:r>
        <w:t xml:space="preserve"> </w:t>
      </w:r>
      <w:r w:rsidRPr="002F5E2F">
        <w:rPr>
          <w:i/>
        </w:rPr>
        <w:t>Rosetta 14: 71-87</w:t>
      </w:r>
      <w:r>
        <w:t>.</w:t>
      </w:r>
      <w:proofErr w:type="gramEnd"/>
      <w:r>
        <w:t xml:space="preserve"> Rosetta. </w:t>
      </w:r>
      <w:hyperlink r:id="rId8" w:history="1">
        <w:r w:rsidRPr="008C6C56">
          <w:rPr>
            <w:rStyle w:val="Hyperlink"/>
          </w:rPr>
          <w:t>http://www.rosetta.bham.ac.uk/issue14/vanderploeg.pdf</w:t>
        </w:r>
      </w:hyperlink>
      <w:r>
        <w:t xml:space="preserve"> [Accessed 7th October 2018]</w:t>
      </w:r>
    </w:p>
    <w:p w:rsidR="00A544E2" w:rsidRDefault="00A544E2" w:rsidP="00037A4F">
      <w:pPr>
        <w:spacing w:after="0"/>
      </w:pPr>
    </w:p>
    <w:p w:rsidR="00037A4F" w:rsidRPr="00037A4F" w:rsidRDefault="00037A4F" w:rsidP="00037A4F">
      <w:pPr>
        <w:spacing w:after="0"/>
      </w:pPr>
    </w:p>
    <w:sectPr w:rsidR="00037A4F" w:rsidRPr="00037A4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3199" w:rsidRDefault="006C3199" w:rsidP="00A93D19">
      <w:pPr>
        <w:spacing w:after="0" w:line="240" w:lineRule="auto"/>
      </w:pPr>
      <w:r>
        <w:separator/>
      </w:r>
    </w:p>
  </w:endnote>
  <w:endnote w:type="continuationSeparator" w:id="0">
    <w:p w:rsidR="006C3199" w:rsidRDefault="006C3199" w:rsidP="00A93D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3199" w:rsidRDefault="006C3199" w:rsidP="00A93D19">
      <w:pPr>
        <w:spacing w:after="0" w:line="240" w:lineRule="auto"/>
      </w:pPr>
      <w:r>
        <w:separator/>
      </w:r>
    </w:p>
  </w:footnote>
  <w:footnote w:type="continuationSeparator" w:id="0">
    <w:p w:rsidR="006C3199" w:rsidRDefault="006C3199" w:rsidP="00A93D19">
      <w:pPr>
        <w:spacing w:after="0" w:line="240" w:lineRule="auto"/>
      </w:pPr>
      <w:r>
        <w:continuationSeparator/>
      </w:r>
    </w:p>
  </w:footnote>
  <w:footnote w:id="1">
    <w:p w:rsidR="00155E5C" w:rsidRDefault="00155E5C">
      <w:pPr>
        <w:pStyle w:val="FootnoteText"/>
      </w:pPr>
      <w:r>
        <w:rPr>
          <w:rStyle w:val="FootnoteReference"/>
        </w:rPr>
        <w:footnoteRef/>
      </w:r>
      <w:r>
        <w:t xml:space="preserve"> B2.22</w:t>
      </w:r>
    </w:p>
  </w:footnote>
  <w:footnote w:id="2">
    <w:p w:rsidR="00155E5C" w:rsidRDefault="00155E5C">
      <w:pPr>
        <w:pStyle w:val="FootnoteText"/>
      </w:pPr>
      <w:r>
        <w:rPr>
          <w:rStyle w:val="FootnoteReference"/>
        </w:rPr>
        <w:footnoteRef/>
      </w:r>
      <w:r>
        <w:t xml:space="preserve"> A4</w:t>
      </w:r>
    </w:p>
  </w:footnote>
  <w:footnote w:id="3">
    <w:p w:rsidR="00155E5C" w:rsidRDefault="00155E5C">
      <w:pPr>
        <w:pStyle w:val="FootnoteText"/>
      </w:pPr>
      <w:r>
        <w:rPr>
          <w:rStyle w:val="FootnoteReference"/>
        </w:rPr>
        <w:footnoteRef/>
      </w:r>
      <w:r>
        <w:t xml:space="preserve"> SEG 20.759</w:t>
      </w:r>
    </w:p>
  </w:footnote>
  <w:footnote w:id="4">
    <w:p w:rsidR="006376E7" w:rsidRDefault="006376E7">
      <w:pPr>
        <w:pStyle w:val="FootnoteText"/>
      </w:pPr>
      <w:r>
        <w:rPr>
          <w:rStyle w:val="FootnoteReference"/>
        </w:rPr>
        <w:footnoteRef/>
      </w:r>
      <w:r>
        <w:t xml:space="preserve"> </w:t>
      </w:r>
      <w:proofErr w:type="spellStart"/>
      <w:r>
        <w:t>Petrovic</w:t>
      </w:r>
      <w:proofErr w:type="spellEnd"/>
      <w:r>
        <w:t xml:space="preserve"> &amp; </w:t>
      </w:r>
      <w:proofErr w:type="spellStart"/>
      <w:r>
        <w:t>Petrovic</w:t>
      </w:r>
      <w:proofErr w:type="spellEnd"/>
      <w:r>
        <w:t xml:space="preserve"> 2016 p.1</w:t>
      </w:r>
    </w:p>
  </w:footnote>
  <w:footnote w:id="5">
    <w:p w:rsidR="00436A4B" w:rsidRDefault="00436A4B">
      <w:pPr>
        <w:pStyle w:val="FootnoteText"/>
      </w:pPr>
      <w:r>
        <w:rPr>
          <w:rStyle w:val="FootnoteReference"/>
        </w:rPr>
        <w:footnoteRef/>
      </w:r>
      <w:r>
        <w:t xml:space="preserve"> A5</w:t>
      </w:r>
    </w:p>
  </w:footnote>
  <w:footnote w:id="6">
    <w:p w:rsidR="00436A4B" w:rsidRDefault="00436A4B">
      <w:pPr>
        <w:pStyle w:val="FootnoteText"/>
      </w:pPr>
      <w:r>
        <w:rPr>
          <w:rStyle w:val="FootnoteReference"/>
        </w:rPr>
        <w:footnoteRef/>
      </w:r>
      <w:r>
        <w:t xml:space="preserve"> A5</w:t>
      </w:r>
    </w:p>
  </w:footnote>
  <w:footnote w:id="7">
    <w:p w:rsidR="00784F96" w:rsidRDefault="00784F96">
      <w:pPr>
        <w:pStyle w:val="FootnoteText"/>
      </w:pPr>
      <w:r>
        <w:rPr>
          <w:rStyle w:val="FootnoteReference"/>
        </w:rPr>
        <w:footnoteRef/>
      </w:r>
      <w:r>
        <w:t xml:space="preserve"> A1</w:t>
      </w:r>
    </w:p>
  </w:footnote>
  <w:footnote w:id="8">
    <w:p w:rsidR="00784F96" w:rsidRDefault="00784F96">
      <w:pPr>
        <w:pStyle w:val="FootnoteText"/>
      </w:pPr>
      <w:r>
        <w:rPr>
          <w:rStyle w:val="FootnoteReference"/>
        </w:rPr>
        <w:footnoteRef/>
      </w:r>
      <w:r>
        <w:t xml:space="preserve"> A3</w:t>
      </w:r>
    </w:p>
  </w:footnote>
  <w:footnote w:id="9">
    <w:p w:rsidR="00784F96" w:rsidRDefault="00784F96">
      <w:pPr>
        <w:pStyle w:val="FootnoteText"/>
      </w:pPr>
      <w:r>
        <w:rPr>
          <w:rStyle w:val="FootnoteReference"/>
        </w:rPr>
        <w:footnoteRef/>
      </w:r>
      <w:r>
        <w:t xml:space="preserve"> A6</w:t>
      </w:r>
    </w:p>
  </w:footnote>
  <w:footnote w:id="10">
    <w:p w:rsidR="00D05B4A" w:rsidRDefault="00D05B4A">
      <w:pPr>
        <w:pStyle w:val="FootnoteText"/>
      </w:pPr>
      <w:r>
        <w:rPr>
          <w:rStyle w:val="FootnoteReference"/>
        </w:rPr>
        <w:footnoteRef/>
      </w:r>
      <w:r>
        <w:t xml:space="preserve"> B13</w:t>
      </w:r>
    </w:p>
  </w:footnote>
  <w:footnote w:id="11">
    <w:p w:rsidR="001204BE" w:rsidRDefault="001204BE">
      <w:pPr>
        <w:pStyle w:val="FootnoteText"/>
      </w:pPr>
      <w:r>
        <w:rPr>
          <w:rStyle w:val="FootnoteReference"/>
        </w:rPr>
        <w:footnoteRef/>
      </w:r>
      <w:r>
        <w:t xml:space="preserve"> </w:t>
      </w:r>
      <w:r>
        <w:t>B23.43</w:t>
      </w:r>
    </w:p>
  </w:footnote>
  <w:footnote w:id="12">
    <w:p w:rsidR="001204BE" w:rsidRDefault="001204BE">
      <w:pPr>
        <w:pStyle w:val="FootnoteText"/>
      </w:pPr>
      <w:r>
        <w:rPr>
          <w:rStyle w:val="FootnoteReference"/>
        </w:rPr>
        <w:footnoteRef/>
      </w:r>
      <w:r>
        <w:t xml:space="preserve"> Compton </w:t>
      </w:r>
      <w:bookmarkStart w:id="0" w:name="_GoBack"/>
      <w:bookmarkEnd w:id="0"/>
      <w:r>
        <w:t>1998 P.302</w:t>
      </w:r>
    </w:p>
  </w:footnote>
  <w:footnote w:id="13">
    <w:p w:rsidR="001204BE" w:rsidRDefault="001204BE">
      <w:pPr>
        <w:pStyle w:val="FootnoteText"/>
      </w:pPr>
      <w:r>
        <w:rPr>
          <w:rStyle w:val="FootnoteReference"/>
        </w:rPr>
        <w:footnoteRef/>
      </w:r>
      <w:r>
        <w:t xml:space="preserve"> For example; B6.26, A20, A17 and B13.33</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7A4F"/>
    <w:rsid w:val="00037A4F"/>
    <w:rsid w:val="00070887"/>
    <w:rsid w:val="001204BE"/>
    <w:rsid w:val="0014105A"/>
    <w:rsid w:val="00155E5C"/>
    <w:rsid w:val="00392EB1"/>
    <w:rsid w:val="003C2E4D"/>
    <w:rsid w:val="00400A8E"/>
    <w:rsid w:val="00436A4B"/>
    <w:rsid w:val="005217D6"/>
    <w:rsid w:val="00580185"/>
    <w:rsid w:val="006376E7"/>
    <w:rsid w:val="00681789"/>
    <w:rsid w:val="006C3199"/>
    <w:rsid w:val="00711D3D"/>
    <w:rsid w:val="00784F96"/>
    <w:rsid w:val="007C3BB9"/>
    <w:rsid w:val="00867E99"/>
    <w:rsid w:val="00874CA6"/>
    <w:rsid w:val="008F0EF7"/>
    <w:rsid w:val="00A356B9"/>
    <w:rsid w:val="00A544E2"/>
    <w:rsid w:val="00A85827"/>
    <w:rsid w:val="00A93D19"/>
    <w:rsid w:val="00AD0664"/>
    <w:rsid w:val="00BD2C2A"/>
    <w:rsid w:val="00D05B4A"/>
    <w:rsid w:val="00D96BB1"/>
    <w:rsid w:val="00EB22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7A4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A93D1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93D19"/>
    <w:rPr>
      <w:sz w:val="20"/>
      <w:szCs w:val="20"/>
    </w:rPr>
  </w:style>
  <w:style w:type="character" w:styleId="FootnoteReference">
    <w:name w:val="footnote reference"/>
    <w:basedOn w:val="DefaultParagraphFont"/>
    <w:uiPriority w:val="99"/>
    <w:semiHidden/>
    <w:unhideWhenUsed/>
    <w:rsid w:val="00A93D19"/>
    <w:rPr>
      <w:vertAlign w:val="superscript"/>
    </w:rPr>
  </w:style>
  <w:style w:type="character" w:styleId="Hyperlink">
    <w:name w:val="Hyperlink"/>
    <w:basedOn w:val="DefaultParagraphFont"/>
    <w:uiPriority w:val="99"/>
    <w:unhideWhenUsed/>
    <w:rsid w:val="005217D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7A4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A93D1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93D19"/>
    <w:rPr>
      <w:sz w:val="20"/>
      <w:szCs w:val="20"/>
    </w:rPr>
  </w:style>
  <w:style w:type="character" w:styleId="FootnoteReference">
    <w:name w:val="footnote reference"/>
    <w:basedOn w:val="DefaultParagraphFont"/>
    <w:uiPriority w:val="99"/>
    <w:semiHidden/>
    <w:unhideWhenUsed/>
    <w:rsid w:val="00A93D19"/>
    <w:rPr>
      <w:vertAlign w:val="superscript"/>
    </w:rPr>
  </w:style>
  <w:style w:type="character" w:styleId="Hyperlink">
    <w:name w:val="Hyperlink"/>
    <w:basedOn w:val="DefaultParagraphFont"/>
    <w:uiPriority w:val="99"/>
    <w:unhideWhenUsed/>
    <w:rsid w:val="005217D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osetta.bham.ac.uk/issue14/vanderploeg.pdf"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7056DD-556B-4A75-9D2C-82ED2B28AC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742</TotalTime>
  <Pages>2</Pages>
  <Words>521</Words>
  <Characters>2974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Hadie</dc:creator>
  <cp:lastModifiedBy>Hadie</cp:lastModifiedBy>
  <cp:revision>7</cp:revision>
  <dcterms:created xsi:type="dcterms:W3CDTF">2018-10-05T13:32:00Z</dcterms:created>
  <dcterms:modified xsi:type="dcterms:W3CDTF">2018-10-07T21:11:00Z</dcterms:modified>
</cp:coreProperties>
</file>