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2181E" w14:textId="60B6D75C" w:rsidR="00267E15" w:rsidRDefault="00267E15" w:rsidP="00267E15">
      <w:pPr>
        <w:pStyle w:val="BodyText"/>
        <w:ind w:left="611"/>
        <w:rPr>
          <w:rFonts w:ascii="Arial"/>
          <w:sz w:val="20"/>
        </w:rPr>
      </w:pPr>
      <w:r>
        <w:rPr>
          <w:rFonts w:ascii="Arial"/>
          <w:noProof/>
          <w:sz w:val="20"/>
        </w:rPr>
        <mc:AlternateContent>
          <mc:Choice Requires="wps">
            <w:drawing>
              <wp:anchor distT="0" distB="0" distL="114300" distR="114300" simplePos="0" relativeHeight="251658240" behindDoc="0" locked="0" layoutInCell="1" allowOverlap="1" wp14:anchorId="4C8B870B" wp14:editId="560B838D">
                <wp:simplePos x="0" y="0"/>
                <wp:positionH relativeFrom="column">
                  <wp:posOffset>-199390</wp:posOffset>
                </wp:positionH>
                <wp:positionV relativeFrom="paragraph">
                  <wp:posOffset>0</wp:posOffset>
                </wp:positionV>
                <wp:extent cx="6321425" cy="299085"/>
                <wp:effectExtent l="0" t="0" r="22225" b="24765"/>
                <wp:wrapSquare wrapText="bothSides"/>
                <wp:docPr id="183688975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1425" cy="299085"/>
                        </a:xfrm>
                        <a:prstGeom prst="rect">
                          <a:avLst/>
                        </a:prstGeom>
                        <a:solidFill>
                          <a:srgbClr val="C0C0C0"/>
                        </a:solidFill>
                        <a:ln w="6096">
                          <a:solidFill>
                            <a:srgbClr val="000000"/>
                          </a:solidFill>
                          <a:prstDash val="solid"/>
                          <a:miter lim="800000"/>
                          <a:headEnd/>
                          <a:tailEnd/>
                        </a:ln>
                      </wps:spPr>
                      <wps:txbx>
                        <w:txbxContent>
                          <w:p w14:paraId="6AF90B9F" w14:textId="77777777" w:rsidR="00267E15" w:rsidRDefault="00267E15" w:rsidP="00267E15">
                            <w:pPr>
                              <w:spacing w:line="460" w:lineRule="exact"/>
                              <w:ind w:left="1126"/>
                              <w:rPr>
                                <w:b/>
                                <w:sz w:val="40"/>
                              </w:rPr>
                            </w:pPr>
                            <w:r>
                              <w:rPr>
                                <w:b/>
                                <w:sz w:val="40"/>
                              </w:rPr>
                              <w:t>LEVEL</w:t>
                            </w:r>
                            <w:r>
                              <w:rPr>
                                <w:b/>
                                <w:spacing w:val="-2"/>
                                <w:sz w:val="40"/>
                              </w:rPr>
                              <w:t xml:space="preserve"> </w:t>
                            </w:r>
                            <w:r>
                              <w:rPr>
                                <w:b/>
                                <w:sz w:val="40"/>
                              </w:rPr>
                              <w:t>5</w:t>
                            </w:r>
                            <w:r>
                              <w:rPr>
                                <w:b/>
                                <w:spacing w:val="1"/>
                                <w:sz w:val="40"/>
                              </w:rPr>
                              <w:t xml:space="preserve"> </w:t>
                            </w:r>
                            <w:r>
                              <w:rPr>
                                <w:b/>
                                <w:sz w:val="40"/>
                              </w:rPr>
                              <w:t>ASSESSMENT</w:t>
                            </w:r>
                            <w:r>
                              <w:rPr>
                                <w:b/>
                                <w:spacing w:val="-1"/>
                                <w:sz w:val="40"/>
                              </w:rPr>
                              <w:t xml:space="preserve"> </w:t>
                            </w:r>
                            <w:r>
                              <w:rPr>
                                <w:b/>
                                <w:sz w:val="40"/>
                              </w:rPr>
                              <w:t>SPECIFICATION</w:t>
                            </w:r>
                          </w:p>
                        </w:txbxContent>
                      </wps:txbx>
                      <wps:bodyPr rot="0" vert="horz" wrap="square" lIns="0" tIns="0" rIns="0" bIns="0" anchor="t" anchorCtr="0" upright="1">
                        <a:noAutofit/>
                      </wps:bodyPr>
                    </wps:wsp>
                  </a:graphicData>
                </a:graphic>
              </wp:anchor>
            </w:drawing>
          </mc:Choice>
          <mc:Fallback>
            <w:pict>
              <v:shapetype w14:anchorId="4C8B870B" id="_x0000_t202" coordsize="21600,21600" o:spt="202" path="m,l,21600r21600,l21600,xe">
                <v:stroke joinstyle="miter"/>
                <v:path gradientshapeok="t" o:connecttype="rect"/>
              </v:shapetype>
              <v:shape id="Text Box 1" o:spid="_x0000_s1026" type="#_x0000_t202" style="position:absolute;left:0;text-align:left;margin-left:-15.7pt;margin-top:0;width:497.75pt;height:23.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" fillcolor="silver" strokeweight=".48pt">
                <v:textbox inset="0,0,0,0">
                  <w:txbxContent>
                    <w:p w14:paraId="6AF90B9F" w14:textId="77777777" w:rsidR="00267E15" w:rsidRDefault="00267E15" w:rsidP="00267E15">
                      <w:pPr>
                        <w:spacing w:line="460" w:lineRule="exact"/>
                        <w:ind w:left="1126"/>
                        <w:rPr>
                          <w:b/>
                          <w:sz w:val="40"/>
                        </w:rPr>
                      </w:pPr>
                      <w:r>
                        <w:rPr>
                          <w:b/>
                          <w:sz w:val="40"/>
                        </w:rPr>
                        <w:t>LEVEL</w:t>
                      </w:r>
                      <w:r>
                        <w:rPr>
                          <w:b/>
                          <w:spacing w:val="-2"/>
                          <w:sz w:val="40"/>
                        </w:rPr>
                        <w:t xml:space="preserve"> </w:t>
                      </w:r>
                      <w:r>
                        <w:rPr>
                          <w:b/>
                          <w:sz w:val="40"/>
                        </w:rPr>
                        <w:t>5</w:t>
                      </w:r>
                      <w:r>
                        <w:rPr>
                          <w:b/>
                          <w:spacing w:val="1"/>
                          <w:sz w:val="40"/>
                        </w:rPr>
                        <w:t xml:space="preserve"> </w:t>
                      </w:r>
                      <w:r>
                        <w:rPr>
                          <w:b/>
                          <w:sz w:val="40"/>
                        </w:rPr>
                        <w:t>ASSESSMENT</w:t>
                      </w:r>
                      <w:r>
                        <w:rPr>
                          <w:b/>
                          <w:spacing w:val="-1"/>
                          <w:sz w:val="40"/>
                        </w:rPr>
                        <w:t xml:space="preserve"> </w:t>
                      </w:r>
                      <w:r>
                        <w:rPr>
                          <w:b/>
                          <w:sz w:val="40"/>
                        </w:rPr>
                        <w:t>SPECIFICATION</w:t>
                      </w:r>
                    </w:p>
                  </w:txbxContent>
                </v:textbox>
                <w10:wrap type="square"/>
              </v:shape>
            </w:pict>
          </mc:Fallback>
        </mc:AlternateContent>
      </w:r>
    </w:p>
    <w:tbl>
      <w:tblPr>
        <w:tblpPr w:leftFromText="180" w:rightFromText="180" w:vertAnchor="text" w:horzAnchor="margin" w:tblpXSpec="center" w:tblpY="412"/>
        <w:tblW w:w="99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8"/>
        <w:gridCol w:w="2269"/>
      </w:tblGrid>
      <w:tr w:rsidR="00267E15" w14:paraId="69F6E4B0" w14:textId="77777777" w:rsidTr="00267E15">
        <w:trPr>
          <w:trHeight w:val="532"/>
        </w:trPr>
        <w:tc>
          <w:tcPr>
            <w:tcW w:w="2096" w:type="dxa"/>
            <w:shd w:val="clear" w:color="auto" w:fill="D9D9D9"/>
          </w:tcPr>
          <w:p w14:paraId="75E417CA" w14:textId="77777777" w:rsidR="00267E15" w:rsidRDefault="00267E15" w:rsidP="00267E15">
            <w:pPr>
              <w:pStyle w:val="TableParagraph"/>
              <w:spacing w:before="120"/>
              <w:ind w:left="107"/>
              <w:rPr>
                <w:rFonts w:ascii="Arial"/>
                <w:b/>
              </w:rPr>
            </w:pPr>
            <w:r>
              <w:rPr>
                <w:rFonts w:ascii="Arial"/>
                <w:b/>
              </w:rPr>
              <w:t>Student</w:t>
            </w:r>
            <w:r>
              <w:rPr>
                <w:rFonts w:ascii="Arial"/>
                <w:b/>
                <w:spacing w:val="-1"/>
              </w:rPr>
              <w:t xml:space="preserve"> </w:t>
            </w:r>
            <w:r>
              <w:rPr>
                <w:rFonts w:ascii="Arial"/>
                <w:b/>
              </w:rPr>
              <w:t>name:</w:t>
            </w:r>
          </w:p>
        </w:tc>
        <w:tc>
          <w:tcPr>
            <w:tcW w:w="3294" w:type="dxa"/>
          </w:tcPr>
          <w:p w14:paraId="4A718FBA" w14:textId="77777777" w:rsidR="00267E15" w:rsidRDefault="00267E15" w:rsidP="00267E15">
            <w:pPr>
              <w:pStyle w:val="TableParagraph"/>
              <w:rPr>
                <w:rFonts w:ascii="Times New Roman"/>
              </w:rPr>
            </w:pPr>
          </w:p>
        </w:tc>
        <w:tc>
          <w:tcPr>
            <w:tcW w:w="2268" w:type="dxa"/>
            <w:shd w:val="clear" w:color="auto" w:fill="D9D9D9"/>
          </w:tcPr>
          <w:p w14:paraId="01A3A96B" w14:textId="77777777" w:rsidR="00267E15" w:rsidRDefault="00267E15" w:rsidP="00267E15">
            <w:pPr>
              <w:pStyle w:val="TableParagraph"/>
              <w:spacing w:before="120"/>
              <w:ind w:left="107"/>
              <w:rPr>
                <w:rFonts w:ascii="Arial"/>
                <w:b/>
              </w:rPr>
            </w:pPr>
            <w:r>
              <w:rPr>
                <w:rFonts w:ascii="Arial"/>
                <w:b/>
              </w:rPr>
              <w:t>Student</w:t>
            </w:r>
            <w:r>
              <w:rPr>
                <w:rFonts w:ascii="Arial"/>
                <w:b/>
                <w:spacing w:val="-3"/>
              </w:rPr>
              <w:t xml:space="preserve"> </w:t>
            </w:r>
            <w:r>
              <w:rPr>
                <w:rFonts w:ascii="Arial"/>
                <w:b/>
              </w:rPr>
              <w:t>ID</w:t>
            </w:r>
            <w:r>
              <w:rPr>
                <w:rFonts w:ascii="Arial"/>
                <w:b/>
                <w:spacing w:val="-1"/>
              </w:rPr>
              <w:t xml:space="preserve"> </w:t>
            </w:r>
            <w:r>
              <w:rPr>
                <w:rFonts w:ascii="Arial"/>
                <w:b/>
              </w:rPr>
              <w:t>number:</w:t>
            </w:r>
          </w:p>
        </w:tc>
        <w:tc>
          <w:tcPr>
            <w:tcW w:w="2269" w:type="dxa"/>
          </w:tcPr>
          <w:p w14:paraId="7EA70EFC" w14:textId="77777777" w:rsidR="00267E15" w:rsidRDefault="00267E15" w:rsidP="00267E15">
            <w:pPr>
              <w:pStyle w:val="TableParagraph"/>
              <w:rPr>
                <w:rFonts w:ascii="Times New Roman"/>
              </w:rPr>
            </w:pPr>
          </w:p>
        </w:tc>
      </w:tr>
      <w:tr w:rsidR="00267E15" w14:paraId="61855701" w14:textId="77777777" w:rsidTr="00267E15">
        <w:trPr>
          <w:trHeight w:val="530"/>
        </w:trPr>
        <w:tc>
          <w:tcPr>
            <w:tcW w:w="2096" w:type="dxa"/>
            <w:shd w:val="clear" w:color="auto" w:fill="D9D9D9"/>
          </w:tcPr>
          <w:p w14:paraId="3FB02528" w14:textId="77777777" w:rsidR="00267E15" w:rsidRDefault="00267E15" w:rsidP="00267E15">
            <w:pPr>
              <w:pStyle w:val="TableParagraph"/>
              <w:spacing w:before="120"/>
              <w:ind w:left="107"/>
              <w:rPr>
                <w:rFonts w:ascii="Arial"/>
                <w:b/>
              </w:rPr>
            </w:pPr>
            <w:proofErr w:type="spellStart"/>
            <w:r>
              <w:rPr>
                <w:rFonts w:ascii="Arial"/>
                <w:b/>
              </w:rPr>
              <w:t>Programme</w:t>
            </w:r>
            <w:proofErr w:type="spellEnd"/>
            <w:r>
              <w:rPr>
                <w:rFonts w:ascii="Arial"/>
                <w:b/>
              </w:rPr>
              <w:t>:</w:t>
            </w:r>
          </w:p>
        </w:tc>
        <w:tc>
          <w:tcPr>
            <w:tcW w:w="7831" w:type="dxa"/>
            <w:gridSpan w:val="3"/>
          </w:tcPr>
          <w:p w14:paraId="638E349D" w14:textId="77777777" w:rsidR="00267E15" w:rsidRDefault="00267E15" w:rsidP="00267E15">
            <w:pPr>
              <w:pStyle w:val="TableParagraph"/>
              <w:spacing w:before="120"/>
              <w:ind w:left="105"/>
              <w:rPr>
                <w:rFonts w:ascii="Arial"/>
                <w:b/>
              </w:rPr>
            </w:pPr>
            <w:r>
              <w:rPr>
                <w:rFonts w:ascii="Arial"/>
                <w:b/>
              </w:rPr>
              <w:t>BA</w:t>
            </w:r>
            <w:r>
              <w:rPr>
                <w:rFonts w:ascii="Arial"/>
                <w:b/>
                <w:spacing w:val="-3"/>
              </w:rPr>
              <w:t xml:space="preserve"> </w:t>
            </w:r>
            <w:r>
              <w:rPr>
                <w:rFonts w:ascii="Arial"/>
                <w:b/>
              </w:rPr>
              <w:t>(Hons)</w:t>
            </w:r>
            <w:r>
              <w:rPr>
                <w:rFonts w:ascii="Arial"/>
                <w:b/>
                <w:spacing w:val="-2"/>
              </w:rPr>
              <w:t xml:space="preserve"> </w:t>
            </w:r>
            <w:r>
              <w:rPr>
                <w:rFonts w:ascii="Arial"/>
                <w:b/>
              </w:rPr>
              <w:t>International Hotel</w:t>
            </w:r>
            <w:r>
              <w:rPr>
                <w:rFonts w:ascii="Arial"/>
                <w:b/>
                <w:spacing w:val="-3"/>
              </w:rPr>
              <w:t xml:space="preserve"> </w:t>
            </w:r>
            <w:r>
              <w:rPr>
                <w:rFonts w:ascii="Arial"/>
                <w:b/>
              </w:rPr>
              <w:t>Management</w:t>
            </w:r>
          </w:p>
        </w:tc>
      </w:tr>
      <w:tr w:rsidR="00267E15" w14:paraId="3E5A650C" w14:textId="77777777" w:rsidTr="00267E15">
        <w:trPr>
          <w:trHeight w:val="530"/>
        </w:trPr>
        <w:tc>
          <w:tcPr>
            <w:tcW w:w="2096" w:type="dxa"/>
            <w:shd w:val="clear" w:color="auto" w:fill="D9D9D9"/>
          </w:tcPr>
          <w:p w14:paraId="5367B7C0" w14:textId="77777777" w:rsidR="00267E15" w:rsidRDefault="00267E15" w:rsidP="00267E15">
            <w:pPr>
              <w:pStyle w:val="TableParagraph"/>
              <w:spacing w:before="120"/>
              <w:ind w:left="107"/>
              <w:rPr>
                <w:rFonts w:ascii="Arial"/>
                <w:b/>
              </w:rPr>
            </w:pPr>
            <w:r>
              <w:rPr>
                <w:rFonts w:ascii="Arial"/>
                <w:b/>
              </w:rPr>
              <w:t>Module:</w:t>
            </w:r>
          </w:p>
        </w:tc>
        <w:tc>
          <w:tcPr>
            <w:tcW w:w="7831" w:type="dxa"/>
            <w:gridSpan w:val="3"/>
          </w:tcPr>
          <w:p w14:paraId="4D011A4A" w14:textId="77777777" w:rsidR="00267E15" w:rsidRDefault="00267E15" w:rsidP="00267E15">
            <w:pPr>
              <w:pStyle w:val="TableParagraph"/>
              <w:spacing w:before="120"/>
              <w:ind w:left="105"/>
              <w:rPr>
                <w:rFonts w:ascii="Arial"/>
                <w:b/>
              </w:rPr>
            </w:pPr>
            <w:r>
              <w:rPr>
                <w:rFonts w:ascii="Arial"/>
                <w:b/>
              </w:rPr>
              <w:t>Sustainable</w:t>
            </w:r>
            <w:r>
              <w:rPr>
                <w:rFonts w:ascii="Arial"/>
                <w:b/>
                <w:spacing w:val="-3"/>
              </w:rPr>
              <w:t xml:space="preserve"> </w:t>
            </w:r>
            <w:r>
              <w:rPr>
                <w:rFonts w:ascii="Arial"/>
                <w:b/>
              </w:rPr>
              <w:t>Hospitality</w:t>
            </w:r>
            <w:r>
              <w:rPr>
                <w:rFonts w:ascii="Arial"/>
                <w:b/>
                <w:spacing w:val="-3"/>
              </w:rPr>
              <w:t xml:space="preserve"> </w:t>
            </w:r>
            <w:r>
              <w:rPr>
                <w:rFonts w:ascii="Arial"/>
                <w:b/>
              </w:rPr>
              <w:t>&amp;</w:t>
            </w:r>
            <w:r>
              <w:rPr>
                <w:rFonts w:ascii="Arial"/>
                <w:b/>
                <w:spacing w:val="-4"/>
              </w:rPr>
              <w:t xml:space="preserve"> </w:t>
            </w:r>
            <w:r>
              <w:rPr>
                <w:rFonts w:ascii="Arial"/>
                <w:b/>
              </w:rPr>
              <w:t>Tourism</w:t>
            </w:r>
            <w:r>
              <w:rPr>
                <w:rFonts w:ascii="Arial"/>
                <w:b/>
                <w:spacing w:val="-2"/>
              </w:rPr>
              <w:t xml:space="preserve"> </w:t>
            </w:r>
            <w:r>
              <w:rPr>
                <w:rFonts w:ascii="Arial"/>
                <w:b/>
              </w:rPr>
              <w:t>Management</w:t>
            </w:r>
          </w:p>
        </w:tc>
      </w:tr>
      <w:tr w:rsidR="00267E15" w14:paraId="507D4119" w14:textId="77777777" w:rsidTr="00267E15">
        <w:trPr>
          <w:trHeight w:val="1173"/>
        </w:trPr>
        <w:tc>
          <w:tcPr>
            <w:tcW w:w="2096" w:type="dxa"/>
            <w:shd w:val="clear" w:color="auto" w:fill="D9D9D9"/>
          </w:tcPr>
          <w:p w14:paraId="2CE340DF" w14:textId="77777777" w:rsidR="00267E15" w:rsidRDefault="00267E15" w:rsidP="00267E15">
            <w:pPr>
              <w:pStyle w:val="TableParagraph"/>
              <w:spacing w:before="122"/>
              <w:ind w:left="107"/>
              <w:rPr>
                <w:rFonts w:ascii="Arial"/>
                <w:b/>
              </w:rPr>
            </w:pPr>
            <w:r>
              <w:rPr>
                <w:rFonts w:ascii="Arial"/>
                <w:b/>
              </w:rPr>
              <w:t>Module</w:t>
            </w:r>
            <w:r>
              <w:rPr>
                <w:rFonts w:ascii="Arial"/>
                <w:b/>
                <w:spacing w:val="-2"/>
              </w:rPr>
              <w:t xml:space="preserve"> </w:t>
            </w:r>
            <w:r>
              <w:rPr>
                <w:rFonts w:ascii="Arial"/>
                <w:b/>
              </w:rPr>
              <w:t>code:</w:t>
            </w:r>
          </w:p>
        </w:tc>
        <w:tc>
          <w:tcPr>
            <w:tcW w:w="3294" w:type="dxa"/>
          </w:tcPr>
          <w:p w14:paraId="253C77BE" w14:textId="77777777" w:rsidR="00267E15" w:rsidRDefault="00267E15" w:rsidP="00267E15">
            <w:pPr>
              <w:pStyle w:val="TableParagraph"/>
              <w:spacing w:before="122"/>
              <w:ind w:left="105"/>
              <w:rPr>
                <w:rFonts w:ascii="Arial"/>
                <w:b/>
              </w:rPr>
            </w:pPr>
            <w:r>
              <w:rPr>
                <w:rFonts w:ascii="Arial"/>
                <w:b/>
              </w:rPr>
              <w:t>BMIH5006</w:t>
            </w:r>
          </w:p>
        </w:tc>
        <w:tc>
          <w:tcPr>
            <w:tcW w:w="2268" w:type="dxa"/>
            <w:shd w:val="clear" w:color="auto" w:fill="D9D9D9"/>
          </w:tcPr>
          <w:p w14:paraId="1BCA6780" w14:textId="77777777" w:rsidR="00267E15" w:rsidRDefault="00267E15" w:rsidP="00267E15">
            <w:pPr>
              <w:pStyle w:val="TableParagraph"/>
              <w:rPr>
                <w:rFonts w:ascii="Arial"/>
                <w:b/>
                <w:sz w:val="21"/>
              </w:rPr>
            </w:pPr>
          </w:p>
          <w:p w14:paraId="3EF16B2C" w14:textId="77777777" w:rsidR="00267E15" w:rsidRDefault="00267E15" w:rsidP="00267E15">
            <w:pPr>
              <w:pStyle w:val="TableParagraph"/>
              <w:spacing w:line="276" w:lineRule="auto"/>
              <w:ind w:left="107" w:right="371"/>
              <w:rPr>
                <w:rFonts w:ascii="Arial"/>
                <w:b/>
                <w:i/>
              </w:rPr>
            </w:pPr>
            <w:r>
              <w:rPr>
                <w:rFonts w:ascii="Arial"/>
                <w:b/>
                <w:i/>
              </w:rPr>
              <w:t>Contribution to</w:t>
            </w:r>
            <w:r>
              <w:rPr>
                <w:rFonts w:ascii="Arial"/>
                <w:b/>
                <w:i/>
                <w:spacing w:val="1"/>
              </w:rPr>
              <w:t xml:space="preserve"> </w:t>
            </w:r>
            <w:r>
              <w:rPr>
                <w:rFonts w:ascii="Arial"/>
                <w:b/>
                <w:i/>
              </w:rPr>
              <w:t>Overall Module</w:t>
            </w:r>
            <w:r>
              <w:rPr>
                <w:rFonts w:ascii="Arial"/>
                <w:b/>
                <w:i/>
                <w:spacing w:val="1"/>
              </w:rPr>
              <w:t xml:space="preserve"> </w:t>
            </w:r>
            <w:r>
              <w:rPr>
                <w:rFonts w:ascii="Arial"/>
                <w:b/>
                <w:i/>
              </w:rPr>
              <w:t>Assessment</w:t>
            </w:r>
            <w:r>
              <w:rPr>
                <w:rFonts w:ascii="Arial"/>
                <w:b/>
                <w:i/>
                <w:spacing w:val="-13"/>
              </w:rPr>
              <w:t xml:space="preserve"> </w:t>
            </w:r>
            <w:r>
              <w:rPr>
                <w:rFonts w:ascii="Arial"/>
                <w:b/>
                <w:i/>
              </w:rPr>
              <w:t>(%):</w:t>
            </w:r>
          </w:p>
        </w:tc>
        <w:tc>
          <w:tcPr>
            <w:tcW w:w="2269" w:type="dxa"/>
          </w:tcPr>
          <w:p w14:paraId="4EA95060" w14:textId="77777777" w:rsidR="00267E15" w:rsidRDefault="00267E15" w:rsidP="00267E15">
            <w:pPr>
              <w:pStyle w:val="TableParagraph"/>
              <w:spacing w:before="122"/>
              <w:ind w:left="107"/>
              <w:rPr>
                <w:rFonts w:ascii="Arial"/>
                <w:b/>
              </w:rPr>
            </w:pPr>
            <w:r>
              <w:rPr>
                <w:rFonts w:ascii="Arial"/>
                <w:b/>
              </w:rPr>
              <w:t>50%</w:t>
            </w:r>
          </w:p>
        </w:tc>
      </w:tr>
      <w:tr w:rsidR="00267E15" w14:paraId="067F7E96" w14:textId="77777777" w:rsidTr="00267E15">
        <w:trPr>
          <w:trHeight w:val="942"/>
        </w:trPr>
        <w:tc>
          <w:tcPr>
            <w:tcW w:w="2096" w:type="dxa"/>
            <w:shd w:val="clear" w:color="auto" w:fill="D9D9D9"/>
          </w:tcPr>
          <w:p w14:paraId="70374E32" w14:textId="77777777" w:rsidR="00267E15" w:rsidRDefault="00267E15" w:rsidP="00267E15">
            <w:pPr>
              <w:pStyle w:val="TableParagraph"/>
              <w:spacing w:before="120"/>
              <w:ind w:left="107"/>
              <w:rPr>
                <w:rFonts w:ascii="Arial"/>
                <w:b/>
              </w:rPr>
            </w:pPr>
            <w:r>
              <w:rPr>
                <w:rFonts w:ascii="Arial"/>
                <w:b/>
              </w:rPr>
              <w:t>Lecturer:</w:t>
            </w:r>
          </w:p>
        </w:tc>
        <w:tc>
          <w:tcPr>
            <w:tcW w:w="3294" w:type="dxa"/>
          </w:tcPr>
          <w:p w14:paraId="14BFC682" w14:textId="77777777" w:rsidR="00267E15" w:rsidRDefault="00267E15" w:rsidP="00267E15">
            <w:pPr>
              <w:pStyle w:val="TableParagraph"/>
              <w:spacing w:before="120"/>
              <w:ind w:left="105"/>
              <w:rPr>
                <w:rFonts w:ascii="Arial"/>
                <w:b/>
              </w:rPr>
            </w:pPr>
            <w:r>
              <w:rPr>
                <w:rFonts w:ascii="Arial"/>
                <w:b/>
              </w:rPr>
              <w:t>Kathryn</w:t>
            </w:r>
            <w:r>
              <w:rPr>
                <w:rFonts w:ascii="Arial"/>
                <w:b/>
                <w:spacing w:val="-1"/>
              </w:rPr>
              <w:t xml:space="preserve"> </w:t>
            </w:r>
            <w:r>
              <w:rPr>
                <w:rFonts w:ascii="Arial"/>
                <w:b/>
              </w:rPr>
              <w:t>Roberts</w:t>
            </w:r>
          </w:p>
          <w:p w14:paraId="1C2F23E6" w14:textId="77777777" w:rsidR="00267E15" w:rsidRDefault="00267E15" w:rsidP="00267E15">
            <w:pPr>
              <w:pStyle w:val="TableParagraph"/>
              <w:spacing w:before="159"/>
              <w:ind w:left="105"/>
              <w:rPr>
                <w:rFonts w:ascii="Arial"/>
                <w:b/>
              </w:rPr>
            </w:pPr>
            <w:r>
              <w:rPr>
                <w:rFonts w:ascii="Arial"/>
                <w:b/>
              </w:rPr>
              <w:t>Dr</w:t>
            </w:r>
            <w:r>
              <w:rPr>
                <w:rFonts w:ascii="Arial"/>
                <w:b/>
                <w:spacing w:val="1"/>
              </w:rPr>
              <w:t xml:space="preserve"> </w:t>
            </w:r>
            <w:r>
              <w:rPr>
                <w:rFonts w:ascii="Arial"/>
                <w:b/>
              </w:rPr>
              <w:t>Huw</w:t>
            </w:r>
            <w:r>
              <w:rPr>
                <w:rFonts w:ascii="Arial"/>
                <w:b/>
                <w:spacing w:val="-3"/>
              </w:rPr>
              <w:t xml:space="preserve"> </w:t>
            </w:r>
            <w:r>
              <w:rPr>
                <w:rFonts w:ascii="Arial"/>
                <w:b/>
              </w:rPr>
              <w:t>Thomas</w:t>
            </w:r>
          </w:p>
        </w:tc>
        <w:tc>
          <w:tcPr>
            <w:tcW w:w="2268" w:type="dxa"/>
            <w:shd w:val="clear" w:color="auto" w:fill="D9D9D9"/>
          </w:tcPr>
          <w:p w14:paraId="5780EAA5" w14:textId="77777777" w:rsidR="00267E15" w:rsidRDefault="00267E15" w:rsidP="00267E15">
            <w:pPr>
              <w:pStyle w:val="TableParagraph"/>
              <w:spacing w:before="120"/>
              <w:ind w:left="107"/>
              <w:rPr>
                <w:rFonts w:ascii="Arial"/>
                <w:b/>
              </w:rPr>
            </w:pPr>
            <w:r>
              <w:rPr>
                <w:rFonts w:ascii="Arial"/>
                <w:b/>
              </w:rPr>
              <w:t>Internal</w:t>
            </w:r>
            <w:r>
              <w:rPr>
                <w:rFonts w:ascii="Arial"/>
                <w:b/>
                <w:spacing w:val="-1"/>
              </w:rPr>
              <w:t xml:space="preserve"> </w:t>
            </w:r>
            <w:r>
              <w:rPr>
                <w:rFonts w:ascii="Arial"/>
                <w:b/>
              </w:rPr>
              <w:t>Verifier:</w:t>
            </w:r>
          </w:p>
        </w:tc>
        <w:tc>
          <w:tcPr>
            <w:tcW w:w="2269" w:type="dxa"/>
          </w:tcPr>
          <w:p w14:paraId="07B6AFB6" w14:textId="77777777" w:rsidR="00267E15" w:rsidRDefault="00267E15" w:rsidP="00267E15">
            <w:pPr>
              <w:pStyle w:val="TableParagraph"/>
              <w:spacing w:before="120"/>
              <w:ind w:left="107"/>
              <w:rPr>
                <w:rFonts w:ascii="Arial"/>
                <w:b/>
              </w:rPr>
            </w:pPr>
            <w:r>
              <w:rPr>
                <w:rFonts w:ascii="Arial"/>
                <w:b/>
              </w:rPr>
              <w:t>Daniel</w:t>
            </w:r>
            <w:r>
              <w:rPr>
                <w:rFonts w:ascii="Arial"/>
                <w:b/>
                <w:spacing w:val="2"/>
              </w:rPr>
              <w:t xml:space="preserve"> </w:t>
            </w:r>
            <w:r>
              <w:rPr>
                <w:rFonts w:ascii="Arial"/>
                <w:b/>
              </w:rPr>
              <w:t>Payne</w:t>
            </w:r>
          </w:p>
        </w:tc>
      </w:tr>
      <w:tr w:rsidR="00267E15" w14:paraId="514DDE38" w14:textId="77777777" w:rsidTr="00267E15">
        <w:trPr>
          <w:trHeight w:val="820"/>
        </w:trPr>
        <w:tc>
          <w:tcPr>
            <w:tcW w:w="2096" w:type="dxa"/>
            <w:shd w:val="clear" w:color="auto" w:fill="D9D9D9"/>
          </w:tcPr>
          <w:p w14:paraId="6427ED13" w14:textId="77777777" w:rsidR="00267E15" w:rsidRDefault="00267E15" w:rsidP="00267E15">
            <w:pPr>
              <w:pStyle w:val="TableParagraph"/>
              <w:spacing w:before="120"/>
              <w:ind w:left="107"/>
              <w:rPr>
                <w:rFonts w:ascii="Arial"/>
                <w:b/>
              </w:rPr>
            </w:pPr>
            <w:r>
              <w:rPr>
                <w:rFonts w:ascii="Arial"/>
                <w:b/>
              </w:rPr>
              <w:t>Assignment</w:t>
            </w:r>
            <w:r>
              <w:rPr>
                <w:rFonts w:ascii="Arial"/>
                <w:b/>
                <w:spacing w:val="-5"/>
              </w:rPr>
              <w:t xml:space="preserve"> </w:t>
            </w:r>
            <w:r>
              <w:rPr>
                <w:rFonts w:ascii="Arial"/>
                <w:b/>
              </w:rPr>
              <w:t>Title:</w:t>
            </w:r>
          </w:p>
        </w:tc>
        <w:tc>
          <w:tcPr>
            <w:tcW w:w="3294" w:type="dxa"/>
          </w:tcPr>
          <w:p w14:paraId="6ABECEA9" w14:textId="77777777" w:rsidR="00267E15" w:rsidRDefault="00267E15" w:rsidP="00267E15">
            <w:pPr>
              <w:pStyle w:val="TableParagraph"/>
              <w:ind w:left="105"/>
              <w:rPr>
                <w:rFonts w:ascii="Arial"/>
                <w:b/>
                <w:i/>
              </w:rPr>
            </w:pPr>
            <w:r>
              <w:rPr>
                <w:rFonts w:ascii="Arial"/>
                <w:b/>
                <w:i/>
              </w:rPr>
              <w:t>Essay</w:t>
            </w:r>
          </w:p>
        </w:tc>
        <w:tc>
          <w:tcPr>
            <w:tcW w:w="2268" w:type="dxa"/>
            <w:shd w:val="clear" w:color="auto" w:fill="D9D9D9"/>
          </w:tcPr>
          <w:p w14:paraId="350B24A7" w14:textId="77777777" w:rsidR="00267E15" w:rsidRDefault="00267E15" w:rsidP="00267E15">
            <w:pPr>
              <w:pStyle w:val="TableParagraph"/>
              <w:tabs>
                <w:tab w:val="left" w:pos="970"/>
                <w:tab w:val="left" w:pos="1865"/>
              </w:tabs>
              <w:spacing w:before="120" w:line="276" w:lineRule="auto"/>
              <w:ind w:left="107" w:right="95"/>
              <w:rPr>
                <w:rFonts w:ascii="Arial"/>
                <w:b/>
              </w:rPr>
            </w:pPr>
            <w:r>
              <w:rPr>
                <w:rFonts w:ascii="Arial"/>
                <w:b/>
              </w:rPr>
              <w:t>Word</w:t>
            </w:r>
            <w:r>
              <w:rPr>
                <w:rFonts w:ascii="Arial"/>
                <w:b/>
              </w:rPr>
              <w:tab/>
              <w:t>count</w:t>
            </w:r>
            <w:r>
              <w:rPr>
                <w:rFonts w:ascii="Arial"/>
                <w:b/>
              </w:rPr>
              <w:tab/>
            </w:r>
            <w:r>
              <w:rPr>
                <w:rFonts w:ascii="Arial"/>
                <w:b/>
                <w:spacing w:val="-1"/>
              </w:rPr>
              <w:t>(or</w:t>
            </w:r>
            <w:r>
              <w:rPr>
                <w:rFonts w:ascii="Arial"/>
                <w:b/>
                <w:spacing w:val="-59"/>
              </w:rPr>
              <w:t xml:space="preserve"> </w:t>
            </w:r>
            <w:r>
              <w:rPr>
                <w:rFonts w:ascii="Arial"/>
                <w:b/>
              </w:rPr>
              <w:t>equivalent):</w:t>
            </w:r>
          </w:p>
        </w:tc>
        <w:tc>
          <w:tcPr>
            <w:tcW w:w="2269" w:type="dxa"/>
          </w:tcPr>
          <w:p w14:paraId="0789ECCB" w14:textId="77777777" w:rsidR="00267E15" w:rsidRDefault="00267E15" w:rsidP="00267E15">
            <w:pPr>
              <w:pStyle w:val="TableParagraph"/>
              <w:spacing w:before="120"/>
              <w:ind w:left="107"/>
              <w:rPr>
                <w:rFonts w:ascii="Arial"/>
                <w:b/>
              </w:rPr>
            </w:pPr>
            <w:r>
              <w:rPr>
                <w:rFonts w:ascii="Arial"/>
                <w:b/>
              </w:rPr>
              <w:t>2000</w:t>
            </w:r>
            <w:r>
              <w:rPr>
                <w:rFonts w:ascii="Arial"/>
                <w:b/>
                <w:spacing w:val="-2"/>
              </w:rPr>
              <w:t xml:space="preserve"> </w:t>
            </w:r>
            <w:r>
              <w:rPr>
                <w:rFonts w:ascii="Arial"/>
                <w:b/>
              </w:rPr>
              <w:t>(+/-10%)</w:t>
            </w:r>
          </w:p>
        </w:tc>
      </w:tr>
      <w:tr w:rsidR="00267E15" w14:paraId="19263909" w14:textId="77777777" w:rsidTr="00267E15">
        <w:trPr>
          <w:trHeight w:val="1118"/>
        </w:trPr>
        <w:tc>
          <w:tcPr>
            <w:tcW w:w="2096" w:type="dxa"/>
            <w:shd w:val="clear" w:color="auto" w:fill="D9D9D9"/>
          </w:tcPr>
          <w:p w14:paraId="3352E635" w14:textId="77777777" w:rsidR="00267E15" w:rsidRDefault="00267E15" w:rsidP="00267E15">
            <w:pPr>
              <w:pStyle w:val="TableParagraph"/>
              <w:spacing w:before="122" w:line="276" w:lineRule="auto"/>
              <w:ind w:left="107" w:right="712"/>
              <w:rPr>
                <w:rFonts w:ascii="Arial"/>
                <w:b/>
              </w:rPr>
            </w:pPr>
            <w:r>
              <w:rPr>
                <w:rFonts w:ascii="Arial"/>
                <w:b/>
              </w:rPr>
              <w:t>Submission</w:t>
            </w:r>
            <w:r>
              <w:rPr>
                <w:rFonts w:ascii="Arial"/>
                <w:b/>
                <w:spacing w:val="-59"/>
              </w:rPr>
              <w:t xml:space="preserve"> </w:t>
            </w:r>
            <w:r>
              <w:rPr>
                <w:rFonts w:ascii="Arial"/>
                <w:b/>
              </w:rPr>
              <w:t>deadline:</w:t>
            </w:r>
          </w:p>
        </w:tc>
        <w:tc>
          <w:tcPr>
            <w:tcW w:w="3294" w:type="dxa"/>
          </w:tcPr>
          <w:p w14:paraId="0E564D42" w14:textId="77777777" w:rsidR="00267E15" w:rsidRDefault="00267E15" w:rsidP="00267E15">
            <w:pPr>
              <w:pStyle w:val="TableParagraph"/>
              <w:spacing w:before="2"/>
              <w:ind w:left="105" w:right="138"/>
              <w:rPr>
                <w:rFonts w:ascii="Arial"/>
                <w:b/>
              </w:rPr>
            </w:pPr>
            <w:r>
              <w:rPr>
                <w:rFonts w:ascii="Arial"/>
                <w:b/>
              </w:rPr>
              <w:t>11.55 pm Friday 2</w:t>
            </w:r>
            <w:r>
              <w:rPr>
                <w:rFonts w:ascii="Arial"/>
                <w:b/>
                <w:vertAlign w:val="superscript"/>
              </w:rPr>
              <w:t>nd</w:t>
            </w:r>
            <w:r>
              <w:rPr>
                <w:rFonts w:ascii="Arial"/>
                <w:b/>
              </w:rPr>
              <w:t xml:space="preserve"> February</w:t>
            </w:r>
            <w:r>
              <w:rPr>
                <w:rFonts w:ascii="Arial"/>
                <w:b/>
                <w:spacing w:val="-59"/>
              </w:rPr>
              <w:t xml:space="preserve"> </w:t>
            </w:r>
            <w:r>
              <w:rPr>
                <w:rFonts w:ascii="Arial"/>
                <w:b/>
              </w:rPr>
              <w:t>2024</w:t>
            </w:r>
          </w:p>
        </w:tc>
        <w:tc>
          <w:tcPr>
            <w:tcW w:w="2268" w:type="dxa"/>
            <w:shd w:val="clear" w:color="auto" w:fill="D9D9D9"/>
          </w:tcPr>
          <w:p w14:paraId="1FDE93D4" w14:textId="77777777" w:rsidR="00267E15" w:rsidRDefault="00267E15" w:rsidP="00267E15">
            <w:pPr>
              <w:pStyle w:val="TableParagraph"/>
              <w:spacing w:before="122" w:line="276" w:lineRule="auto"/>
              <w:ind w:left="107" w:right="94"/>
              <w:jc w:val="both"/>
              <w:rPr>
                <w:rFonts w:ascii="Arial"/>
                <w:b/>
              </w:rPr>
            </w:pPr>
            <w:r>
              <w:rPr>
                <w:rFonts w:ascii="Arial"/>
                <w:b/>
              </w:rPr>
              <w:t>Return</w:t>
            </w:r>
            <w:r>
              <w:rPr>
                <w:rFonts w:ascii="Arial"/>
                <w:b/>
                <w:spacing w:val="1"/>
              </w:rPr>
              <w:t xml:space="preserve"> </w:t>
            </w:r>
            <w:r>
              <w:rPr>
                <w:rFonts w:ascii="Arial"/>
                <w:b/>
              </w:rPr>
              <w:t>date</w:t>
            </w:r>
            <w:r>
              <w:rPr>
                <w:rFonts w:ascii="Arial"/>
                <w:b/>
                <w:spacing w:val="1"/>
              </w:rPr>
              <w:t xml:space="preserve"> </w:t>
            </w:r>
            <w:r>
              <w:rPr>
                <w:rFonts w:ascii="Arial"/>
                <w:b/>
              </w:rPr>
              <w:t>of</w:t>
            </w:r>
            <w:r>
              <w:rPr>
                <w:rFonts w:ascii="Arial"/>
                <w:b/>
                <w:spacing w:val="1"/>
              </w:rPr>
              <w:t xml:space="preserve"> </w:t>
            </w:r>
            <w:r>
              <w:rPr>
                <w:rFonts w:ascii="Arial"/>
                <w:b/>
              </w:rPr>
              <w:t>provisional</w:t>
            </w:r>
            <w:r>
              <w:rPr>
                <w:rFonts w:ascii="Arial"/>
                <w:b/>
                <w:spacing w:val="62"/>
              </w:rPr>
              <w:t xml:space="preserve"> </w:t>
            </w:r>
            <w:r>
              <w:rPr>
                <w:rFonts w:ascii="Arial"/>
                <w:b/>
              </w:rPr>
              <w:t>marks</w:t>
            </w:r>
            <w:r>
              <w:rPr>
                <w:rFonts w:ascii="Arial"/>
                <w:b/>
                <w:spacing w:val="-59"/>
              </w:rPr>
              <w:t xml:space="preserve"> </w:t>
            </w:r>
            <w:r>
              <w:rPr>
                <w:rFonts w:ascii="Arial"/>
                <w:b/>
              </w:rPr>
              <w:t>&amp;</w:t>
            </w:r>
            <w:r>
              <w:rPr>
                <w:rFonts w:ascii="Arial"/>
                <w:b/>
                <w:spacing w:val="-1"/>
              </w:rPr>
              <w:t xml:space="preserve"> </w:t>
            </w:r>
            <w:r>
              <w:rPr>
                <w:rFonts w:ascii="Arial"/>
                <w:b/>
              </w:rPr>
              <w:t>written</w:t>
            </w:r>
            <w:r>
              <w:rPr>
                <w:rFonts w:ascii="Arial"/>
                <w:b/>
                <w:spacing w:val="-2"/>
              </w:rPr>
              <w:t xml:space="preserve"> </w:t>
            </w:r>
            <w:r>
              <w:rPr>
                <w:rFonts w:ascii="Arial"/>
                <w:b/>
              </w:rPr>
              <w:t>feedback:</w:t>
            </w:r>
          </w:p>
        </w:tc>
        <w:tc>
          <w:tcPr>
            <w:tcW w:w="2269" w:type="dxa"/>
          </w:tcPr>
          <w:p w14:paraId="38D9DDFE" w14:textId="77777777" w:rsidR="00267E15" w:rsidRDefault="00267E15" w:rsidP="00267E15">
            <w:pPr>
              <w:pStyle w:val="TableParagraph"/>
              <w:spacing w:before="2"/>
              <w:ind w:left="107" w:right="454"/>
              <w:rPr>
                <w:rFonts w:ascii="Arial"/>
                <w:b/>
              </w:rPr>
            </w:pPr>
            <w:r>
              <w:rPr>
                <w:rFonts w:ascii="Arial"/>
                <w:b/>
              </w:rPr>
              <w:t>Provisionally 1</w:t>
            </w:r>
            <w:r>
              <w:rPr>
                <w:rFonts w:ascii="Arial"/>
                <w:b/>
                <w:vertAlign w:val="superscript"/>
              </w:rPr>
              <w:t>st</w:t>
            </w:r>
            <w:r>
              <w:rPr>
                <w:rFonts w:ascii="Arial"/>
                <w:b/>
                <w:spacing w:val="-59"/>
              </w:rPr>
              <w:t xml:space="preserve"> </w:t>
            </w:r>
            <w:r>
              <w:rPr>
                <w:rFonts w:ascii="Arial"/>
                <w:b/>
              </w:rPr>
              <w:t>March</w:t>
            </w:r>
            <w:r>
              <w:rPr>
                <w:rFonts w:ascii="Arial"/>
                <w:b/>
                <w:spacing w:val="-2"/>
              </w:rPr>
              <w:t xml:space="preserve"> </w:t>
            </w:r>
            <w:r>
              <w:rPr>
                <w:rFonts w:ascii="Arial"/>
                <w:b/>
              </w:rPr>
              <w:t>2024</w:t>
            </w:r>
          </w:p>
        </w:tc>
      </w:tr>
    </w:tbl>
    <w:p w14:paraId="5A843FA4" w14:textId="77777777" w:rsidR="00267E15" w:rsidRDefault="00267E15" w:rsidP="00267E15">
      <w:pPr>
        <w:pStyle w:val="BodyText"/>
        <w:rPr>
          <w:rFonts w:ascii="Arial"/>
          <w:b/>
          <w:sz w:val="20"/>
        </w:rPr>
      </w:pPr>
    </w:p>
    <w:p w14:paraId="1E8A6374" w14:textId="77777777" w:rsidR="00267E15" w:rsidRDefault="00267E15" w:rsidP="00267E15">
      <w:pPr>
        <w:pStyle w:val="BodyText"/>
        <w:rPr>
          <w:rFonts w:ascii="Arial"/>
          <w:b/>
          <w:sz w:val="20"/>
        </w:rPr>
      </w:pPr>
    </w:p>
    <w:p w14:paraId="3E1609B2" w14:textId="77777777" w:rsidR="00267E15" w:rsidRDefault="00267E15" w:rsidP="00267E15">
      <w:pPr>
        <w:pStyle w:val="BodyText"/>
        <w:spacing w:before="5"/>
        <w:rPr>
          <w:rFonts w:ascii="Arial"/>
          <w:b/>
          <w:sz w:val="10"/>
        </w:rPr>
      </w:pPr>
    </w:p>
    <w:p w14:paraId="14631BDC" w14:textId="2E16E2E8" w:rsidR="00103E4C" w:rsidRDefault="00103E4C" w:rsidP="00267E15">
      <w:pPr>
        <w:spacing w:after="160" w:line="259" w:lineRule="auto"/>
      </w:pPr>
      <w:r>
        <w:br w:type="page"/>
      </w:r>
    </w:p>
    <w:p w14:paraId="2F3ECA62" w14:textId="58519FA1" w:rsidR="00807397" w:rsidRPr="00807397" w:rsidRDefault="00807397" w:rsidP="00807397">
      <w:pPr>
        <w:jc w:val="center"/>
        <w:rPr>
          <w:b/>
          <w:bCs/>
          <w:sz w:val="28"/>
          <w:szCs w:val="28"/>
        </w:rPr>
      </w:pPr>
      <w:bookmarkStart w:id="0" w:name="_Toc101999040"/>
      <w:r w:rsidRPr="00807397">
        <w:rPr>
          <w:b/>
          <w:bCs/>
          <w:sz w:val="28"/>
          <w:szCs w:val="28"/>
        </w:rPr>
        <w:lastRenderedPageBreak/>
        <w:t>Implement circular economy within the Corporate Social Responsibility Policy of Marriott</w:t>
      </w:r>
    </w:p>
    <w:p w14:paraId="16C58AD9" w14:textId="5800BC25" w:rsidR="00103E4C" w:rsidRDefault="00103E4C" w:rsidP="00267E15">
      <w:pPr>
        <w:pStyle w:val="Heading1"/>
      </w:pPr>
      <w:r>
        <w:t>Introduction</w:t>
      </w:r>
      <w:bookmarkEnd w:id="0"/>
      <w:r>
        <w:t xml:space="preserve"> </w:t>
      </w:r>
    </w:p>
    <w:p w14:paraId="7E07021D" w14:textId="326C71B7" w:rsidR="00DD453D" w:rsidRDefault="008D7747" w:rsidP="00455940">
      <w:r>
        <w:t xml:space="preserve">Recently business organisations </w:t>
      </w:r>
      <w:r w:rsidR="00A2509F">
        <w:t>hav</w:t>
      </w:r>
      <w:r>
        <w:t>e focus</w:t>
      </w:r>
      <w:r w:rsidR="00A2509F">
        <w:t>ed</w:t>
      </w:r>
      <w:r>
        <w:t xml:space="preserve"> on environmental and societal wellbeing to ensure sustainable business practice. This concern is mostly seen in hospitality firms. Due to </w:t>
      </w:r>
      <w:r w:rsidR="00A2509F">
        <w:t xml:space="preserve">the </w:t>
      </w:r>
      <w:r>
        <w:t xml:space="preserve">different operational activities of hospitality firms, </w:t>
      </w:r>
      <w:r w:rsidR="00D671F1">
        <w:t>the environment is facing certain negative impacts. In this case, the hospitality firms are considering this factor and ensuring sustainable business practice</w:t>
      </w:r>
      <w:r w:rsidR="00A2509F">
        <w:t>s</w:t>
      </w:r>
      <w:r w:rsidR="00D671F1">
        <w:t xml:space="preserve">. Here, focusing on </w:t>
      </w:r>
      <w:r w:rsidR="00A2509F">
        <w:t xml:space="preserve">the </w:t>
      </w:r>
      <w:r w:rsidR="00D671F1">
        <w:t xml:space="preserve">circular economy by these firms can ensure the wellbeing of </w:t>
      </w:r>
      <w:r w:rsidR="00A2509F">
        <w:t xml:space="preserve">the </w:t>
      </w:r>
      <w:r w:rsidR="00D671F1">
        <w:t>environment and communities</w:t>
      </w:r>
      <w:r w:rsidR="0050070E" w:rsidRPr="0050070E">
        <w:t xml:space="preserve"> </w:t>
      </w:r>
      <w:r w:rsidR="0050070E">
        <w:t xml:space="preserve">(Ghosh &amp; </w:t>
      </w:r>
      <w:proofErr w:type="spellStart"/>
      <w:r w:rsidR="0050070E">
        <w:t>Eduljee</w:t>
      </w:r>
      <w:proofErr w:type="spellEnd"/>
      <w:r w:rsidR="0050070E">
        <w:t>, 2023)</w:t>
      </w:r>
      <w:r w:rsidR="00D671F1">
        <w:t xml:space="preserve">. This paper will work on the implementation of </w:t>
      </w:r>
      <w:r w:rsidR="00A2509F">
        <w:t xml:space="preserve">a </w:t>
      </w:r>
      <w:r w:rsidR="00D671F1">
        <w:t xml:space="preserve">circular economy within the CSR policy of Marriott. Here, Marriott is one of the largest hotel chains having </w:t>
      </w:r>
      <w:r w:rsidR="00A2509F">
        <w:t>a</w:t>
      </w:r>
      <w:r w:rsidR="00D671F1">
        <w:t xml:space="preserve"> presence in more than 135 nations and this organisation has a direct presence in CSR activities around the world.  </w:t>
      </w:r>
      <w:r>
        <w:t xml:space="preserve"> </w:t>
      </w:r>
    </w:p>
    <w:p w14:paraId="069C3067" w14:textId="77777777" w:rsidR="00ED1D55" w:rsidRDefault="00ED1D55" w:rsidP="00267E15">
      <w:pPr>
        <w:pStyle w:val="Heading2"/>
      </w:pPr>
      <w:r>
        <w:t>Explaining circular economy</w:t>
      </w:r>
    </w:p>
    <w:p w14:paraId="73CF927A" w14:textId="4C33B964" w:rsidR="00ED1D55" w:rsidRDefault="002701D9" w:rsidP="00455940">
      <w:r>
        <w:t xml:space="preserve">The circular economy is a concept that tries to ensure the reuse of materials and products. In this case, the organisations that practice circular economy, ensure that a particular product is used in different forms and different areas so that the best benefit can be achieved from that particular product or material. This concept aims at minimising product waste and ensuring the maximum benefit from a particular product. </w:t>
      </w:r>
      <w:r w:rsidR="00A2509F">
        <w:t>The c</w:t>
      </w:r>
      <w:r>
        <w:t xml:space="preserve">ircular economy also works </w:t>
      </w:r>
      <w:r w:rsidR="00A2509F">
        <w:t>to stop</w:t>
      </w:r>
      <w:r>
        <w:t xml:space="preserve"> </w:t>
      </w:r>
      <w:r w:rsidR="00A2509F">
        <w:t xml:space="preserve">the </w:t>
      </w:r>
      <w:r>
        <w:t>easy dispos</w:t>
      </w:r>
      <w:r w:rsidR="00A2509F">
        <w:t>al</w:t>
      </w:r>
      <w:r>
        <w:t xml:space="preserve"> of a particular product and maintain long usability</w:t>
      </w:r>
      <w:r w:rsidR="0050070E" w:rsidRPr="0050070E">
        <w:t xml:space="preserve"> </w:t>
      </w:r>
      <w:r w:rsidR="0050070E">
        <w:t xml:space="preserve">(Danish &amp; </w:t>
      </w:r>
      <w:proofErr w:type="spellStart"/>
      <w:r w:rsidR="0050070E">
        <w:t>Senjyu</w:t>
      </w:r>
      <w:proofErr w:type="spellEnd"/>
      <w:r w:rsidR="0050070E">
        <w:t>, 2023)</w:t>
      </w:r>
      <w:r>
        <w:t xml:space="preserve">. </w:t>
      </w:r>
      <w:r w:rsidR="00B269BB">
        <w:t>This concept is like a circle that use</w:t>
      </w:r>
      <w:r w:rsidR="00A2509F">
        <w:t>s</w:t>
      </w:r>
      <w:r w:rsidR="00B269BB">
        <w:t xml:space="preserve"> a particular material to make a usable good and then dispose</w:t>
      </w:r>
      <w:r w:rsidR="00A2509F">
        <w:t xml:space="preserve"> of</w:t>
      </w:r>
      <w:r w:rsidR="00B269BB">
        <w:t xml:space="preserve"> that good in a form similar to the primary material so that reuse can be ensured. </w:t>
      </w:r>
      <w:r w:rsidR="00717F27">
        <w:t xml:space="preserve">Certain factors are connected </w:t>
      </w:r>
      <w:r w:rsidR="00A2509F">
        <w:t xml:space="preserve">and </w:t>
      </w:r>
      <w:r w:rsidR="00717F27">
        <w:t xml:space="preserve">related </w:t>
      </w:r>
      <w:r w:rsidR="00A2509F">
        <w:t>to</w:t>
      </w:r>
      <w:r w:rsidR="00717F27">
        <w:t xml:space="preserve"> the concept of circular economy. One of the major factors is </w:t>
      </w:r>
      <w:r w:rsidR="00717F27" w:rsidRPr="00BF4A3C">
        <w:rPr>
          <w:b/>
          <w:bCs/>
        </w:rPr>
        <w:t>product design</w:t>
      </w:r>
      <w:r w:rsidR="00717F27">
        <w:t xml:space="preserve">. In this case, </w:t>
      </w:r>
      <w:r w:rsidR="00A2509F">
        <w:t xml:space="preserve">the </w:t>
      </w:r>
      <w:r w:rsidR="00717F27">
        <w:t xml:space="preserve">circular economy focuses on product design so that </w:t>
      </w:r>
      <w:r w:rsidR="00721016">
        <w:t xml:space="preserve">the final product can be used for </w:t>
      </w:r>
      <w:r w:rsidR="00A2509F">
        <w:t xml:space="preserve">an </w:t>
      </w:r>
      <w:r w:rsidR="00721016">
        <w:t>extended period. Moreover, it also avoid</w:t>
      </w:r>
      <w:r w:rsidR="00A2509F">
        <w:t>s</w:t>
      </w:r>
      <w:r w:rsidR="00721016">
        <w:t xml:space="preserve"> designs that are quickly discarded. </w:t>
      </w:r>
      <w:r w:rsidR="00BF4A3C">
        <w:t xml:space="preserve">Further, </w:t>
      </w:r>
      <w:r w:rsidR="00A2509F">
        <w:t xml:space="preserve">the </w:t>
      </w:r>
      <w:r w:rsidR="00BF4A3C">
        <w:t xml:space="preserve">circular economy also focuses on </w:t>
      </w:r>
      <w:r w:rsidR="00A2509F">
        <w:t xml:space="preserve">the </w:t>
      </w:r>
      <w:r w:rsidR="00BF4A3C" w:rsidRPr="00BF4A3C">
        <w:rPr>
          <w:b/>
          <w:bCs/>
        </w:rPr>
        <w:t>leasing</w:t>
      </w:r>
      <w:r w:rsidR="00BF4A3C">
        <w:t xml:space="preserve"> model</w:t>
      </w:r>
      <w:r w:rsidR="0050070E" w:rsidRPr="0050070E">
        <w:t xml:space="preserve"> </w:t>
      </w:r>
      <w:r w:rsidR="0050070E">
        <w:t>(</w:t>
      </w:r>
      <w:proofErr w:type="spellStart"/>
      <w:r w:rsidR="0050070E">
        <w:t>Karjanen</w:t>
      </w:r>
      <w:proofErr w:type="spellEnd"/>
      <w:r w:rsidR="0050070E">
        <w:t>, 2022)</w:t>
      </w:r>
      <w:r w:rsidR="00BF4A3C">
        <w:t xml:space="preserve">. According to this concept, an organisation does not have to own a particular asset to use it. Here, that organisation can take that asset as </w:t>
      </w:r>
      <w:r w:rsidR="00A2509F">
        <w:t xml:space="preserve">a </w:t>
      </w:r>
      <w:r w:rsidR="00BF4A3C">
        <w:t xml:space="preserve">lease and use </w:t>
      </w:r>
      <w:r w:rsidR="00A2509F">
        <w:t>it</w:t>
      </w:r>
      <w:r w:rsidR="00BF4A3C">
        <w:t xml:space="preserve"> for product delivery. </w:t>
      </w:r>
      <w:r w:rsidR="00BF4A3C" w:rsidRPr="008929E4">
        <w:rPr>
          <w:b/>
          <w:bCs/>
        </w:rPr>
        <w:t>Reuse</w:t>
      </w:r>
      <w:r w:rsidR="00BF4A3C">
        <w:t xml:space="preserve"> is a major concept of circular economy. Here, going for refurbishment can extend the lifespan of a particular product which ensures sustainability. </w:t>
      </w:r>
      <w:r w:rsidR="008929E4" w:rsidRPr="008929E4">
        <w:rPr>
          <w:b/>
          <w:bCs/>
        </w:rPr>
        <w:t>Recycling</w:t>
      </w:r>
      <w:r w:rsidR="008929E4">
        <w:t xml:space="preserve"> is also considered in </w:t>
      </w:r>
      <w:r w:rsidR="00A2509F">
        <w:t xml:space="preserve">the </w:t>
      </w:r>
      <w:r w:rsidR="008929E4">
        <w:t xml:space="preserve">circular </w:t>
      </w:r>
      <w:r w:rsidR="008929E4">
        <w:lastRenderedPageBreak/>
        <w:t xml:space="preserve">economy concept. After reaching the end of </w:t>
      </w:r>
      <w:r w:rsidR="00A2509F">
        <w:t xml:space="preserve">the </w:t>
      </w:r>
      <w:r w:rsidR="008929E4">
        <w:t xml:space="preserve">product life cycle, this concept tries to recover the leftover value and make it usable. </w:t>
      </w:r>
    </w:p>
    <w:p w14:paraId="3A3DC3C1" w14:textId="77777777" w:rsidR="0050070E" w:rsidRPr="0050070E" w:rsidRDefault="0050070E" w:rsidP="0050070E">
      <w:pPr>
        <w:keepNext/>
        <w:jc w:val="center"/>
        <w:rPr>
          <w:sz w:val="18"/>
          <w:szCs w:val="18"/>
        </w:rPr>
      </w:pPr>
      <w:r w:rsidRPr="0050070E">
        <w:rPr>
          <w:noProof/>
          <w:sz w:val="18"/>
          <w:szCs w:val="18"/>
        </w:rPr>
        <w:drawing>
          <wp:inline distT="0" distB="0" distL="0" distR="0" wp14:anchorId="3A393210" wp14:editId="3F73AEF9">
            <wp:extent cx="2808514" cy="2355131"/>
            <wp:effectExtent l="0" t="0" r="0" b="7620"/>
            <wp:docPr id="1239918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918284" name="Picture 1239918284"/>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20654" cy="2365311"/>
                    </a:xfrm>
                    <a:prstGeom prst="rect">
                      <a:avLst/>
                    </a:prstGeom>
                  </pic:spPr>
                </pic:pic>
              </a:graphicData>
            </a:graphic>
          </wp:inline>
        </w:drawing>
      </w:r>
    </w:p>
    <w:p w14:paraId="5E8ED5C5" w14:textId="76280AD2" w:rsidR="0050070E" w:rsidRPr="00267E15" w:rsidRDefault="0050070E" w:rsidP="00267E15">
      <w:pPr>
        <w:pStyle w:val="Caption"/>
        <w:spacing w:after="0"/>
      </w:pPr>
      <w:r w:rsidRPr="00267E15">
        <w:t xml:space="preserve">Figure </w:t>
      </w:r>
      <w:fldSimple w:instr=" SEQ Figure \* ARABIC ">
        <w:r w:rsidRPr="00267E15">
          <w:rPr>
            <w:noProof/>
          </w:rPr>
          <w:t>1</w:t>
        </w:r>
      </w:fldSimple>
      <w:r w:rsidRPr="00267E15">
        <w:t>: Concept of circular economy</w:t>
      </w:r>
    </w:p>
    <w:p w14:paraId="05A130CA" w14:textId="250DEE3E" w:rsidR="0050070E" w:rsidRPr="00267E15" w:rsidRDefault="0050070E" w:rsidP="00267E15">
      <w:pPr>
        <w:jc w:val="center"/>
        <w:rPr>
          <w:b/>
          <w:sz w:val="18"/>
          <w:szCs w:val="18"/>
          <w:lang w:val="en-US"/>
        </w:rPr>
      </w:pPr>
      <w:r w:rsidRPr="00267E15">
        <w:rPr>
          <w:b/>
          <w:sz w:val="18"/>
          <w:szCs w:val="18"/>
          <w:lang w:val="en-US"/>
        </w:rPr>
        <w:t xml:space="preserve">Source: </w:t>
      </w:r>
      <w:r w:rsidRPr="00267E15">
        <w:rPr>
          <w:b/>
          <w:sz w:val="18"/>
          <w:szCs w:val="18"/>
        </w:rPr>
        <w:t>(Boas, 2021)</w:t>
      </w:r>
    </w:p>
    <w:p w14:paraId="321A5846" w14:textId="23B45FC1" w:rsidR="00F92BA1" w:rsidRDefault="00F92BA1" w:rsidP="00455940">
      <w:r>
        <w:t xml:space="preserve">An organisation can obtain certain benefits by using the circular economy concept. In this case, </w:t>
      </w:r>
      <w:r w:rsidRPr="00787A59">
        <w:rPr>
          <w:b/>
          <w:bCs/>
        </w:rPr>
        <w:t>reducing environmental impact</w:t>
      </w:r>
      <w:r>
        <w:t xml:space="preserve"> is one of the major ones. In </w:t>
      </w:r>
      <w:r w:rsidR="00A2509F">
        <w:t xml:space="preserve">the </w:t>
      </w:r>
      <w:r>
        <w:t xml:space="preserve">hospitality business, hotels are impacting the environment negatively and the use of </w:t>
      </w:r>
      <w:r w:rsidR="00A2509F">
        <w:t xml:space="preserve">a </w:t>
      </w:r>
      <w:r>
        <w:t>circular economy can support the hotels to pro</w:t>
      </w:r>
      <w:r w:rsidR="00A2509F">
        <w:t>te</w:t>
      </w:r>
      <w:r>
        <w:t xml:space="preserve">ct </w:t>
      </w:r>
      <w:r w:rsidR="00A2509F">
        <w:t xml:space="preserve">the </w:t>
      </w:r>
      <w:r>
        <w:t xml:space="preserve">environment. Further, </w:t>
      </w:r>
      <w:r w:rsidRPr="00787A59">
        <w:rPr>
          <w:b/>
          <w:bCs/>
        </w:rPr>
        <w:t>economic growth</w:t>
      </w:r>
      <w:r>
        <w:t xml:space="preserve"> is also possible due to </w:t>
      </w:r>
      <w:r w:rsidR="00A2509F">
        <w:t xml:space="preserve">a </w:t>
      </w:r>
      <w:r>
        <w:t>circular economy. Reuse and refurbishment of products can support a business to reduce cost</w:t>
      </w:r>
      <w:r w:rsidR="00A2509F">
        <w:t>s</w:t>
      </w:r>
      <w:r>
        <w:t xml:space="preserve"> and improve profitability. Furthermore, </w:t>
      </w:r>
      <w:r w:rsidRPr="00787A59">
        <w:rPr>
          <w:b/>
          <w:bCs/>
        </w:rPr>
        <w:t>resource security</w:t>
      </w:r>
      <w:r>
        <w:t xml:space="preserve"> is also achieved due to </w:t>
      </w:r>
      <w:r w:rsidR="00A2509F">
        <w:t xml:space="preserve">the </w:t>
      </w:r>
      <w:r>
        <w:t xml:space="preserve">circular economy. Here, the use of </w:t>
      </w:r>
      <w:r w:rsidR="00A2509F">
        <w:t xml:space="preserve">a </w:t>
      </w:r>
      <w:r>
        <w:t xml:space="preserve">circular economy </w:t>
      </w:r>
      <w:r w:rsidR="00787A59">
        <w:t>reduces</w:t>
      </w:r>
      <w:r>
        <w:t xml:space="preserve"> the dependency on virgin resources</w:t>
      </w:r>
      <w:r w:rsidR="0050070E" w:rsidRPr="0050070E">
        <w:t xml:space="preserve"> </w:t>
      </w:r>
      <w:r w:rsidR="0050070E">
        <w:t>(</w:t>
      </w:r>
      <w:proofErr w:type="spellStart"/>
      <w:r w:rsidR="0050070E">
        <w:t>Karjanen</w:t>
      </w:r>
      <w:proofErr w:type="spellEnd"/>
      <w:r w:rsidR="0050070E">
        <w:t>, 2022)</w:t>
      </w:r>
      <w:r>
        <w:t>. The use of new resources will be lowered after using the circular economy. Business organisations can use different method</w:t>
      </w:r>
      <w:r w:rsidR="00A2509F">
        <w:t>s</w:t>
      </w:r>
      <w:r>
        <w:t xml:space="preserve"> to make a particular product reusable to ensure resource security. </w:t>
      </w:r>
    </w:p>
    <w:p w14:paraId="51C24BBA" w14:textId="072741DB" w:rsidR="00ED1D55" w:rsidRDefault="00ED1D55" w:rsidP="00267E15">
      <w:pPr>
        <w:pStyle w:val="Heading2"/>
      </w:pPr>
      <w:r>
        <w:t>The ways circular economy fit</w:t>
      </w:r>
      <w:r w:rsidR="00A2509F">
        <w:t>s</w:t>
      </w:r>
      <w:r>
        <w:t xml:space="preserve"> into CSR</w:t>
      </w:r>
    </w:p>
    <w:p w14:paraId="1EBC49A0" w14:textId="6F402C83" w:rsidR="00ED1D55" w:rsidRDefault="00787A59" w:rsidP="00455940">
      <w:r>
        <w:t>The circular economy is directly connected with CSR. The steps of circular economy can support an organisation in making it fit with CSR initiatives. In certain ways</w:t>
      </w:r>
      <w:r w:rsidR="00A2509F">
        <w:t>,</w:t>
      </w:r>
      <w:r>
        <w:t xml:space="preserve"> the circular economy can be fit with CSR initiatives. </w:t>
      </w:r>
      <w:r w:rsidR="00C52F46">
        <w:t xml:space="preserve">Here, </w:t>
      </w:r>
      <w:r w:rsidR="00A2509F">
        <w:t xml:space="preserve">a </w:t>
      </w:r>
      <w:r w:rsidR="00C52F46">
        <w:t xml:space="preserve">circular economy ensures </w:t>
      </w:r>
      <w:r w:rsidR="00C52F46" w:rsidRPr="00C52F46">
        <w:rPr>
          <w:b/>
          <w:bCs/>
        </w:rPr>
        <w:t>environmental responsibility</w:t>
      </w:r>
      <w:r w:rsidR="00C52F46">
        <w:t xml:space="preserve">. The use of </w:t>
      </w:r>
      <w:r w:rsidR="00A2509F">
        <w:t xml:space="preserve">a </w:t>
      </w:r>
      <w:r w:rsidR="00C52F46">
        <w:t>circular economy within the organisation can directly impact the reduction of environmental pollution</w:t>
      </w:r>
      <w:r w:rsidR="0050070E" w:rsidRPr="0050070E">
        <w:t xml:space="preserve"> </w:t>
      </w:r>
      <w:r w:rsidR="0050070E">
        <w:t>(</w:t>
      </w:r>
      <w:proofErr w:type="spellStart"/>
      <w:r w:rsidR="0050070E">
        <w:t>Blowfield</w:t>
      </w:r>
      <w:proofErr w:type="spellEnd"/>
      <w:r w:rsidR="0050070E">
        <w:t xml:space="preserve"> &amp; Murray, 2023)</w:t>
      </w:r>
      <w:r w:rsidR="00C52F46">
        <w:t xml:space="preserve">. This concept works on the reduction of waste generation and resource wastage. Moreover, it also works on mitigating climate change through environmental initiatives. </w:t>
      </w:r>
      <w:r w:rsidR="00C52F46">
        <w:lastRenderedPageBreak/>
        <w:t xml:space="preserve">The resource conservation concept of </w:t>
      </w:r>
      <w:r w:rsidR="00A2509F">
        <w:t xml:space="preserve">the </w:t>
      </w:r>
      <w:r w:rsidR="00C52F46">
        <w:t>circular economy also protects the environment which directly showcase</w:t>
      </w:r>
      <w:r w:rsidR="00A2509F">
        <w:t>s</w:t>
      </w:r>
      <w:r w:rsidR="00C52F46">
        <w:t xml:space="preserve"> the environmental responsibility. </w:t>
      </w:r>
      <w:r w:rsidR="00A2509F">
        <w:t>A c</w:t>
      </w:r>
      <w:r w:rsidR="00725366">
        <w:t xml:space="preserve">ircular economy can also create </w:t>
      </w:r>
      <w:r w:rsidR="00A2509F">
        <w:t xml:space="preserve">a </w:t>
      </w:r>
      <w:r w:rsidR="00725366" w:rsidRPr="00725366">
        <w:rPr>
          <w:b/>
          <w:bCs/>
        </w:rPr>
        <w:t>social impact</w:t>
      </w:r>
      <w:r w:rsidR="00725366">
        <w:t xml:space="preserve">. </w:t>
      </w:r>
      <w:r w:rsidR="00A2509F">
        <w:t>The c</w:t>
      </w:r>
      <w:r w:rsidR="00725366">
        <w:t>ircular economy can create new jobs for individuals. Here, reuse or recycling require</w:t>
      </w:r>
      <w:r w:rsidR="00A2509F">
        <w:t>s</w:t>
      </w:r>
      <w:r w:rsidR="00725366">
        <w:t xml:space="preserve"> manpower </w:t>
      </w:r>
      <w:r w:rsidR="00A2509F">
        <w:t>from</w:t>
      </w:r>
      <w:r w:rsidR="00725366">
        <w:t xml:space="preserve"> organisations that can directly impact social wellbeing</w:t>
      </w:r>
      <w:r w:rsidR="0050070E" w:rsidRPr="0050070E">
        <w:t xml:space="preserve"> </w:t>
      </w:r>
      <w:r w:rsidR="0050070E">
        <w:t>(Modak, 2021)</w:t>
      </w:r>
      <w:r w:rsidR="00725366">
        <w:t xml:space="preserve">. Moreover, </w:t>
      </w:r>
      <w:r w:rsidR="00A2509F">
        <w:t xml:space="preserve">the </w:t>
      </w:r>
      <w:r w:rsidR="00725366">
        <w:t xml:space="preserve">circular economy directly contributes to the economic welfare of organisations </w:t>
      </w:r>
      <w:r w:rsidR="00A2509F">
        <w:t xml:space="preserve">and </w:t>
      </w:r>
      <w:r w:rsidR="00725366">
        <w:t>also ensure</w:t>
      </w:r>
      <w:r w:rsidR="00A2509F">
        <w:t>s</w:t>
      </w:r>
      <w:r w:rsidR="00725366">
        <w:t xml:space="preserve"> social wellbeing. </w:t>
      </w:r>
    </w:p>
    <w:p w14:paraId="351174D5" w14:textId="77777777" w:rsidR="0050070E" w:rsidRPr="0050070E" w:rsidRDefault="0050070E" w:rsidP="0050070E">
      <w:pPr>
        <w:keepNext/>
        <w:jc w:val="center"/>
        <w:rPr>
          <w:sz w:val="18"/>
          <w:szCs w:val="18"/>
        </w:rPr>
      </w:pPr>
      <w:r w:rsidRPr="0050070E">
        <w:rPr>
          <w:noProof/>
          <w:sz w:val="18"/>
          <w:szCs w:val="18"/>
        </w:rPr>
        <w:drawing>
          <wp:inline distT="0" distB="0" distL="0" distR="0" wp14:anchorId="58FFC54E" wp14:editId="74CEEB91">
            <wp:extent cx="4898571" cy="2033221"/>
            <wp:effectExtent l="0" t="0" r="0" b="5715"/>
            <wp:docPr id="19101140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114056" name="Picture 1910114056"/>
                    <pic:cNvPicPr/>
                  </pic:nvPicPr>
                  <pic:blipFill>
                    <a:blip r:embed="rId9">
                      <a:extLst>
                        <a:ext uri="{28A0092B-C50C-407E-A947-70E740481C1C}">
                          <a14:useLocalDpi xmlns:a14="http://schemas.microsoft.com/office/drawing/2010/main" val="0"/>
                        </a:ext>
                      </a:extLst>
                    </a:blip>
                    <a:stretch>
                      <a:fillRect/>
                    </a:stretch>
                  </pic:blipFill>
                  <pic:spPr>
                    <a:xfrm>
                      <a:off x="0" y="0"/>
                      <a:ext cx="4920894" cy="2042487"/>
                    </a:xfrm>
                    <a:prstGeom prst="rect">
                      <a:avLst/>
                    </a:prstGeom>
                  </pic:spPr>
                </pic:pic>
              </a:graphicData>
            </a:graphic>
          </wp:inline>
        </w:drawing>
      </w:r>
    </w:p>
    <w:p w14:paraId="7AD74F10" w14:textId="5451A595" w:rsidR="0050070E" w:rsidRPr="00267E15" w:rsidRDefault="0050070E" w:rsidP="00267E15">
      <w:pPr>
        <w:pStyle w:val="Caption"/>
        <w:spacing w:after="0"/>
      </w:pPr>
      <w:r w:rsidRPr="00267E15">
        <w:t xml:space="preserve">Figure </w:t>
      </w:r>
      <w:fldSimple w:instr=" SEQ Figure \* ARABIC ">
        <w:r w:rsidRPr="00267E15">
          <w:rPr>
            <w:noProof/>
          </w:rPr>
          <w:t>2</w:t>
        </w:r>
      </w:fldSimple>
      <w:r w:rsidRPr="00267E15">
        <w:t>: Circular economy fitting to CSR by ensuring sustainability</w:t>
      </w:r>
    </w:p>
    <w:p w14:paraId="7E0E6EC9" w14:textId="5A0180EE" w:rsidR="0050070E" w:rsidRPr="00267E15" w:rsidRDefault="0050070E" w:rsidP="00267E15">
      <w:pPr>
        <w:jc w:val="center"/>
        <w:rPr>
          <w:b/>
          <w:sz w:val="18"/>
          <w:szCs w:val="18"/>
          <w:lang w:val="en-US"/>
        </w:rPr>
      </w:pPr>
      <w:r w:rsidRPr="00267E15">
        <w:rPr>
          <w:b/>
          <w:sz w:val="18"/>
          <w:szCs w:val="18"/>
          <w:lang w:val="en-US"/>
        </w:rPr>
        <w:t xml:space="preserve">Source: </w:t>
      </w:r>
      <w:r w:rsidRPr="00267E15">
        <w:rPr>
          <w:b/>
          <w:sz w:val="18"/>
          <w:szCs w:val="18"/>
        </w:rPr>
        <w:t>(Filho &amp; Frankenberger, 2022)</w:t>
      </w:r>
    </w:p>
    <w:p w14:paraId="4DE89C1A" w14:textId="5D59FA64" w:rsidR="00725366" w:rsidRDefault="00725366" w:rsidP="00455940">
      <w:r>
        <w:t xml:space="preserve">The use of circular economy concepts in business organisations can also ensure </w:t>
      </w:r>
      <w:r w:rsidRPr="0050070E">
        <w:rPr>
          <w:b/>
          <w:bCs/>
        </w:rPr>
        <w:t>s</w:t>
      </w:r>
      <w:r w:rsidRPr="00725366">
        <w:rPr>
          <w:b/>
          <w:bCs/>
        </w:rPr>
        <w:t>takeholder engagement</w:t>
      </w:r>
      <w:r>
        <w:t xml:space="preserve">. Here, </w:t>
      </w:r>
      <w:r w:rsidR="00A2509F">
        <w:t xml:space="preserve">a </w:t>
      </w:r>
      <w:r>
        <w:t>circular economy can ensure collaboration among different parties within the organisation. It can engage suppliers, communities, consumers and other individuals to ensure sustainable sourcing and sustainable distributi</w:t>
      </w:r>
      <w:r w:rsidR="00A2509F">
        <w:t>on</w:t>
      </w:r>
      <w:r>
        <w:t xml:space="preserve"> for the organisations. </w:t>
      </w:r>
      <w:r w:rsidR="00A2509F">
        <w:t>E</w:t>
      </w:r>
      <w:r>
        <w:t xml:space="preserve">ngagement with different parties of an organisation can contribute to the CSR initiatives for that organisation. </w:t>
      </w:r>
      <w:r w:rsidR="00A2509F">
        <w:t>S</w:t>
      </w:r>
      <w:r>
        <w:t xml:space="preserve">takeholder engagement can also ensure transparency and encourage trust among different individuals within the organisation that can contribute to CSR initiatives. </w:t>
      </w:r>
      <w:r w:rsidR="005530C3">
        <w:t xml:space="preserve">With the help of </w:t>
      </w:r>
      <w:r w:rsidR="00A2509F">
        <w:t xml:space="preserve">a </w:t>
      </w:r>
      <w:r w:rsidR="005530C3">
        <w:t xml:space="preserve">circular economy, an organisation can also ensure </w:t>
      </w:r>
      <w:r w:rsidR="005530C3" w:rsidRPr="00443502">
        <w:rPr>
          <w:b/>
          <w:bCs/>
        </w:rPr>
        <w:t>sustainable value creation</w:t>
      </w:r>
      <w:r w:rsidR="005530C3">
        <w:t xml:space="preserve">. Here, circular economy focuses on </w:t>
      </w:r>
      <w:r w:rsidR="00A2509F">
        <w:t xml:space="preserve">the </w:t>
      </w:r>
      <w:r w:rsidR="005530C3">
        <w:t>long-term use of a particular resource. For generating extra profit at a time, this concept does not encourage the damage of a particular resource. In this case, sustainable use of products is possible with the help of sustainable value creation</w:t>
      </w:r>
      <w:r w:rsidR="0050070E" w:rsidRPr="0050070E">
        <w:t xml:space="preserve"> </w:t>
      </w:r>
      <w:r w:rsidR="0050070E">
        <w:t>(</w:t>
      </w:r>
      <w:proofErr w:type="spellStart"/>
      <w:r w:rsidR="0050070E">
        <w:t>Ketenci</w:t>
      </w:r>
      <w:proofErr w:type="spellEnd"/>
      <w:r w:rsidR="0050070E">
        <w:t>, 2023)</w:t>
      </w:r>
      <w:r w:rsidR="005530C3">
        <w:t xml:space="preserve">. Further, this can also ensure proper resource management that can reduce wastage and ensure </w:t>
      </w:r>
      <w:r w:rsidR="00A2509F">
        <w:t xml:space="preserve">the </w:t>
      </w:r>
      <w:r w:rsidR="005530C3">
        <w:t xml:space="preserve">sustainability of a particular product. Here, the use of </w:t>
      </w:r>
      <w:r w:rsidR="00A2509F">
        <w:t xml:space="preserve">a </w:t>
      </w:r>
      <w:r w:rsidR="005530C3">
        <w:t xml:space="preserve">circular economy can support sustainable value creation which can impact the CSR initiatives for a particular </w:t>
      </w:r>
      <w:r w:rsidR="005530C3">
        <w:lastRenderedPageBreak/>
        <w:t xml:space="preserve">organisation. </w:t>
      </w:r>
      <w:r w:rsidR="00443502">
        <w:t xml:space="preserve">Therefore, the use of </w:t>
      </w:r>
      <w:r w:rsidR="00A2509F">
        <w:t xml:space="preserve">a </w:t>
      </w:r>
      <w:r w:rsidR="00443502">
        <w:t xml:space="preserve">circular economy can ensure </w:t>
      </w:r>
      <w:r w:rsidR="00A2509F">
        <w:t xml:space="preserve">the </w:t>
      </w:r>
      <w:r w:rsidR="00443502">
        <w:t xml:space="preserve">CSR of an organisation. </w:t>
      </w:r>
    </w:p>
    <w:p w14:paraId="6042AFD9" w14:textId="3B45C18D" w:rsidR="00ED1D55" w:rsidRDefault="00ED1D55" w:rsidP="00267E15">
      <w:pPr>
        <w:pStyle w:val="Heading2"/>
      </w:pPr>
      <w:r>
        <w:t>Reviewing and evaluating the CSR policy of Marriott</w:t>
      </w:r>
    </w:p>
    <w:p w14:paraId="1A997D54" w14:textId="66A521B8" w:rsidR="00ED1D55" w:rsidRDefault="005C023D" w:rsidP="00455940">
      <w:r>
        <w:t xml:space="preserve">Marriott is one of the largest hotel chains that are directly contributing </w:t>
      </w:r>
      <w:r w:rsidR="00A2509F">
        <w:t xml:space="preserve">to </w:t>
      </w:r>
      <w:r>
        <w:t>different CSR initiatives and therefore, this organisation has been focusing on CSR policies and making necessary development</w:t>
      </w:r>
      <w:r w:rsidR="00A2509F">
        <w:t>s</w:t>
      </w:r>
      <w:r>
        <w:t xml:space="preserve"> regularly. The CSR policy of this firm is </w:t>
      </w:r>
      <w:r w:rsidRPr="005C023D">
        <w:rPr>
          <w:b/>
          <w:bCs/>
        </w:rPr>
        <w:t>“Serve360: Doing Good in Every Direction.”</w:t>
      </w:r>
      <w:r>
        <w:t xml:space="preserve"> This policy has been working to improve the environmental and societal development within the hospitality industry. One of the major areas of this policy is </w:t>
      </w:r>
      <w:r w:rsidRPr="005C023D">
        <w:rPr>
          <w:b/>
          <w:bCs/>
        </w:rPr>
        <w:t>empowering people</w:t>
      </w:r>
      <w:r>
        <w:t xml:space="preserve">. </w:t>
      </w:r>
      <w:r w:rsidR="00A2509F">
        <w:t>In</w:t>
      </w:r>
      <w:r>
        <w:t xml:space="preserve"> this area, Marriott works on human resource development within the organisation. It ensures diversity and practice inclusion in major decisions</w:t>
      </w:r>
      <w:r w:rsidR="0050070E" w:rsidRPr="0050070E">
        <w:t xml:space="preserve"> </w:t>
      </w:r>
      <w:r w:rsidR="0050070E">
        <w:t>(Filho &amp; Frankenberger, 2022)</w:t>
      </w:r>
      <w:r>
        <w:t xml:space="preserve">. Further, it also focuses on community engagement </w:t>
      </w:r>
      <w:r w:rsidR="00A2509F">
        <w:t>which</w:t>
      </w:r>
      <w:r>
        <w:t xml:space="preserve"> is a major initiative taken by this firm. A huge amount is also invested by Marriott in preventing human trafficking. </w:t>
      </w:r>
      <w:r w:rsidRPr="005C023D">
        <w:rPr>
          <w:b/>
          <w:bCs/>
        </w:rPr>
        <w:t>Supporting the planet</w:t>
      </w:r>
      <w:r>
        <w:t xml:space="preserve"> is another major aim of th</w:t>
      </w:r>
      <w:r w:rsidR="00A2509F">
        <w:t>e</w:t>
      </w:r>
      <w:r>
        <w:t xml:space="preserve"> policy of Marriott. Here, this organisation has been working </w:t>
      </w:r>
      <w:r w:rsidR="00A2509F">
        <w:t>to improve</w:t>
      </w:r>
      <w:r>
        <w:t xml:space="preserve"> </w:t>
      </w:r>
      <w:r w:rsidR="00A2509F">
        <w:t xml:space="preserve">the </w:t>
      </w:r>
      <w:r>
        <w:t xml:space="preserve">environment by reducing waste and ensuring energy conservation within the hotel. Moreover, it is also focusing on sustainable sourcing which is a major initiative taken by this firm. </w:t>
      </w:r>
    </w:p>
    <w:p w14:paraId="0DE4292B" w14:textId="77777777" w:rsidR="0050070E" w:rsidRPr="0050070E" w:rsidRDefault="0050070E" w:rsidP="0050070E">
      <w:pPr>
        <w:keepNext/>
        <w:jc w:val="center"/>
        <w:rPr>
          <w:sz w:val="18"/>
          <w:szCs w:val="18"/>
        </w:rPr>
      </w:pPr>
      <w:r w:rsidRPr="0050070E">
        <w:rPr>
          <w:noProof/>
          <w:sz w:val="18"/>
          <w:szCs w:val="18"/>
        </w:rPr>
        <w:drawing>
          <wp:inline distT="0" distB="0" distL="0" distR="0" wp14:anchorId="354BB2A0" wp14:editId="5BDC504A">
            <wp:extent cx="3699164" cy="1504327"/>
            <wp:effectExtent l="0" t="0" r="0" b="635"/>
            <wp:docPr id="16054586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458697" name="Picture 1605458697"/>
                    <pic:cNvPicPr/>
                  </pic:nvPicPr>
                  <pic:blipFill>
                    <a:blip r:embed="rId10">
                      <a:extLst>
                        <a:ext uri="{28A0092B-C50C-407E-A947-70E740481C1C}">
                          <a14:useLocalDpi xmlns:a14="http://schemas.microsoft.com/office/drawing/2010/main" val="0"/>
                        </a:ext>
                      </a:extLst>
                    </a:blip>
                    <a:stretch>
                      <a:fillRect/>
                    </a:stretch>
                  </pic:blipFill>
                  <pic:spPr>
                    <a:xfrm>
                      <a:off x="0" y="0"/>
                      <a:ext cx="3711505" cy="1509346"/>
                    </a:xfrm>
                    <a:prstGeom prst="rect">
                      <a:avLst/>
                    </a:prstGeom>
                  </pic:spPr>
                </pic:pic>
              </a:graphicData>
            </a:graphic>
          </wp:inline>
        </w:drawing>
      </w:r>
    </w:p>
    <w:p w14:paraId="27FD0738" w14:textId="116B6C59" w:rsidR="0050070E" w:rsidRPr="00267E15" w:rsidRDefault="0050070E" w:rsidP="00267E15">
      <w:pPr>
        <w:pStyle w:val="Caption"/>
        <w:spacing w:after="0"/>
      </w:pPr>
      <w:r w:rsidRPr="00267E15">
        <w:t xml:space="preserve">Figure </w:t>
      </w:r>
      <w:fldSimple w:instr=" SEQ Figure \* ARABIC ">
        <w:r w:rsidRPr="00267E15">
          <w:rPr>
            <w:noProof/>
          </w:rPr>
          <w:t>3</w:t>
        </w:r>
      </w:fldSimple>
      <w:r w:rsidRPr="00267E15">
        <w:t>: Serve 360 policy by Marriott</w:t>
      </w:r>
    </w:p>
    <w:p w14:paraId="5F6CFA7E" w14:textId="06EB5339" w:rsidR="0050070E" w:rsidRPr="00267E15" w:rsidRDefault="0050070E" w:rsidP="00267E15">
      <w:pPr>
        <w:jc w:val="center"/>
        <w:rPr>
          <w:b/>
          <w:iCs/>
          <w:sz w:val="18"/>
          <w:szCs w:val="18"/>
          <w:lang w:val="en-US"/>
        </w:rPr>
      </w:pPr>
      <w:r w:rsidRPr="00267E15">
        <w:rPr>
          <w:b/>
          <w:iCs/>
          <w:sz w:val="18"/>
          <w:szCs w:val="18"/>
          <w:lang w:val="en-US"/>
        </w:rPr>
        <w:t xml:space="preserve">Source: </w:t>
      </w:r>
      <w:r w:rsidRPr="00267E15">
        <w:rPr>
          <w:b/>
          <w:iCs/>
          <w:sz w:val="18"/>
          <w:szCs w:val="18"/>
        </w:rPr>
        <w:t>(</w:t>
      </w:r>
      <w:proofErr w:type="spellStart"/>
      <w:r w:rsidRPr="00267E15">
        <w:rPr>
          <w:b/>
          <w:iCs/>
          <w:sz w:val="18"/>
          <w:szCs w:val="18"/>
        </w:rPr>
        <w:t>Nourick</w:t>
      </w:r>
      <w:proofErr w:type="spellEnd"/>
      <w:r w:rsidRPr="00267E15">
        <w:rPr>
          <w:b/>
          <w:iCs/>
          <w:sz w:val="18"/>
          <w:szCs w:val="18"/>
        </w:rPr>
        <w:t>, 2021)</w:t>
      </w:r>
    </w:p>
    <w:p w14:paraId="0FDFFCAB" w14:textId="4F99202C" w:rsidR="005C023D" w:rsidRDefault="005C023D" w:rsidP="00455940">
      <w:r w:rsidRPr="00AE0CDB">
        <w:rPr>
          <w:b/>
          <w:bCs/>
        </w:rPr>
        <w:t>Strengthening the community</w:t>
      </w:r>
      <w:r>
        <w:t xml:space="preserve"> is one of the major goals of this CSR policy of Marriott. This organisation has been contributing to education development by ensuring a major investment. Further, it is also focusing on disaster relief so that people can get a quick recovery after natural climatises. Focusing on responsible tourism efforts is also considered under community strengthening of the CSR policy of Marriott. </w:t>
      </w:r>
      <w:r w:rsidR="00AE0CDB" w:rsidRPr="000831E7">
        <w:rPr>
          <w:b/>
          <w:bCs/>
        </w:rPr>
        <w:t>Encouraging responsible tourism</w:t>
      </w:r>
      <w:r w:rsidR="00AE0CDB">
        <w:t xml:space="preserve"> is also practi</w:t>
      </w:r>
      <w:r w:rsidR="00A2509F">
        <w:t>s</w:t>
      </w:r>
      <w:r w:rsidR="00AE0CDB">
        <w:t>ed through the CSR initiative of Marriot</w:t>
      </w:r>
      <w:r w:rsidR="0050070E" w:rsidRPr="0050070E">
        <w:t xml:space="preserve"> </w:t>
      </w:r>
      <w:r w:rsidR="0050070E">
        <w:t xml:space="preserve">(Danish &amp; </w:t>
      </w:r>
      <w:proofErr w:type="spellStart"/>
      <w:r w:rsidR="0050070E">
        <w:t>Senjyu</w:t>
      </w:r>
      <w:proofErr w:type="spellEnd"/>
      <w:r w:rsidR="0050070E">
        <w:t>, 2023)</w:t>
      </w:r>
      <w:r w:rsidR="00AE0CDB">
        <w:t>. This organisation focuses on building a culture that encourage</w:t>
      </w:r>
      <w:r w:rsidR="00A2509F">
        <w:t>s</w:t>
      </w:r>
      <w:r w:rsidR="00AE0CDB">
        <w:t xml:space="preserve"> </w:t>
      </w:r>
      <w:r w:rsidR="00AE0CDB">
        <w:lastRenderedPageBreak/>
        <w:t>responsible travelling for an individual and improve</w:t>
      </w:r>
      <w:r w:rsidR="00A2509F">
        <w:t>s</w:t>
      </w:r>
      <w:r w:rsidR="00AE0CDB">
        <w:t xml:space="preserve"> understanding among guests. Here, this CSR policy of Marriott focuses on community development and environment</w:t>
      </w:r>
      <w:r w:rsidR="00A2509F">
        <w:t>al</w:t>
      </w:r>
      <w:r w:rsidR="00AE0CDB">
        <w:t xml:space="preserve"> protection. In this case, some measurable outcomes have been set by this organisation which is directly contributing to the wellbeing of the people and the environment of the firm. Therefore, the CSR initiatives of Marriot are properly justified. </w:t>
      </w:r>
    </w:p>
    <w:p w14:paraId="0BD00318" w14:textId="51C21D67" w:rsidR="00ED1D55" w:rsidRDefault="00ED1D55" w:rsidP="00ED1D55">
      <w:pPr>
        <w:pStyle w:val="Heading2"/>
      </w:pPr>
      <w:r>
        <w:t xml:space="preserve">The alignment of CSR policy of Marriott with </w:t>
      </w:r>
      <w:r w:rsidR="00A2509F">
        <w:t xml:space="preserve">the </w:t>
      </w:r>
      <w:r>
        <w:t>circular economy</w:t>
      </w:r>
    </w:p>
    <w:p w14:paraId="57C5EF96" w14:textId="12D121F0" w:rsidR="00ED1D55" w:rsidRDefault="000831E7" w:rsidP="00455940">
      <w:r>
        <w:t xml:space="preserve">The CSR initiatives of Marriot properly align with </w:t>
      </w:r>
      <w:r w:rsidR="00A2509F">
        <w:t xml:space="preserve">the </w:t>
      </w:r>
      <w:r>
        <w:t xml:space="preserve">circular economy. One of the major examples in this case is </w:t>
      </w:r>
      <w:r w:rsidRPr="000831E7">
        <w:rPr>
          <w:b/>
          <w:bCs/>
        </w:rPr>
        <w:t>reducing the waste by 50%.</w:t>
      </w:r>
      <w:r>
        <w:t xml:space="preserve"> Marriott has been considering that the hotel will reduce the waste generated by this hotel within 2025. In this case, the firm has been working to reduce the waste and proper training opportunities have been provided to the employees so that they can support in waste reduction of the firm</w:t>
      </w:r>
      <w:r w:rsidR="0050070E" w:rsidRPr="0050070E">
        <w:t xml:space="preserve"> </w:t>
      </w:r>
      <w:r w:rsidR="0050070E">
        <w:t>(</w:t>
      </w:r>
      <w:proofErr w:type="spellStart"/>
      <w:r w:rsidR="0050070E">
        <w:t>Blowfield</w:t>
      </w:r>
      <w:proofErr w:type="spellEnd"/>
      <w:r w:rsidR="0050070E">
        <w:t xml:space="preserve"> &amp; Murray, 2023)</w:t>
      </w:r>
      <w:r>
        <w:t xml:space="preserve">. This waste reduction policy of Marriot properly aligns with </w:t>
      </w:r>
      <w:r w:rsidR="00A2509F">
        <w:t xml:space="preserve">the </w:t>
      </w:r>
      <w:r>
        <w:t xml:space="preserve">circular economy as this concept also focuses on waste reduction. Again, the commitment of Marriot </w:t>
      </w:r>
      <w:r w:rsidR="00A2509F">
        <w:t>to</w:t>
      </w:r>
      <w:r>
        <w:t xml:space="preserve"> </w:t>
      </w:r>
      <w:r w:rsidRPr="000831E7">
        <w:rPr>
          <w:b/>
          <w:bCs/>
        </w:rPr>
        <w:t xml:space="preserve">increasing </w:t>
      </w:r>
      <w:r w:rsidR="00A2509F">
        <w:rPr>
          <w:b/>
          <w:bCs/>
        </w:rPr>
        <w:t xml:space="preserve">the </w:t>
      </w:r>
      <w:r w:rsidRPr="000831E7">
        <w:rPr>
          <w:b/>
          <w:bCs/>
        </w:rPr>
        <w:t>product life cycle</w:t>
      </w:r>
      <w:r>
        <w:t xml:space="preserve"> is another major example that ensures the alignment of the CSR initiatives of Marriott with </w:t>
      </w:r>
      <w:r w:rsidR="00A2509F">
        <w:t xml:space="preserve">the </w:t>
      </w:r>
      <w:r>
        <w:t>circular economy. Here, this organisation is committed to ensur</w:t>
      </w:r>
      <w:r w:rsidR="00A2509F">
        <w:t>ing</w:t>
      </w:r>
      <w:r>
        <w:t xml:space="preserve"> sustainable sourcing and product design that supports </w:t>
      </w:r>
      <w:r w:rsidR="00A2509F">
        <w:t xml:space="preserve">the </w:t>
      </w:r>
      <w:r>
        <w:t xml:space="preserve">longevity of the products. This makes sure that the organisation is focusing on </w:t>
      </w:r>
      <w:r w:rsidR="00A2509F">
        <w:t xml:space="preserve">a </w:t>
      </w:r>
      <w:r>
        <w:t xml:space="preserve">circular economy. </w:t>
      </w:r>
    </w:p>
    <w:p w14:paraId="19EEFBA5" w14:textId="765B0358" w:rsidR="000831E7" w:rsidRDefault="000831E7" w:rsidP="00455940">
      <w:r w:rsidRPr="00E341B9">
        <w:rPr>
          <w:b/>
          <w:bCs/>
        </w:rPr>
        <w:t xml:space="preserve">Encouraging </w:t>
      </w:r>
      <w:r w:rsidR="00A2509F">
        <w:rPr>
          <w:b/>
          <w:bCs/>
        </w:rPr>
        <w:t xml:space="preserve">the </w:t>
      </w:r>
      <w:r w:rsidRPr="00E341B9">
        <w:rPr>
          <w:b/>
          <w:bCs/>
        </w:rPr>
        <w:t>reuse</w:t>
      </w:r>
      <w:r>
        <w:t xml:space="preserve"> of products and materials within Marriott is another major CSR initiative that ensures the alignment of </w:t>
      </w:r>
      <w:r w:rsidR="00A2509F">
        <w:t xml:space="preserve">the </w:t>
      </w:r>
      <w:r>
        <w:t xml:space="preserve">circular economy. Here, Marriot </w:t>
      </w:r>
      <w:r w:rsidR="00E341B9">
        <w:t xml:space="preserve">took </w:t>
      </w:r>
      <w:r w:rsidR="00A2509F">
        <w:t>the</w:t>
      </w:r>
      <w:r w:rsidR="00E341B9">
        <w:t xml:space="preserve"> initiative that donate the food items that remain leftover to the local communities so that those food items are consumed by others and are not wasted. Further, this hotel also focuses on repurposing different amenities like furniture so that economic wellbeing can be ensured</w:t>
      </w:r>
      <w:r w:rsidR="0050070E" w:rsidRPr="0050070E">
        <w:t xml:space="preserve"> </w:t>
      </w:r>
      <w:r w:rsidR="0050070E">
        <w:t>(Villiers, 2023)</w:t>
      </w:r>
      <w:r w:rsidR="00E341B9">
        <w:t xml:space="preserve">. These initiatives taken by Marriott ensure a proper alignment of the CSR initiatives taken by this firm with </w:t>
      </w:r>
      <w:r w:rsidR="00A2509F">
        <w:t xml:space="preserve">the </w:t>
      </w:r>
      <w:r w:rsidR="00E341B9">
        <w:t xml:space="preserve">circular economy. </w:t>
      </w:r>
      <w:r w:rsidR="00E341B9" w:rsidRPr="00E341B9">
        <w:rPr>
          <w:b/>
          <w:bCs/>
        </w:rPr>
        <w:t>Fostering collaboration</w:t>
      </w:r>
      <w:r w:rsidR="00E341B9">
        <w:t xml:space="preserve"> can also ensure the alignment of </w:t>
      </w:r>
      <w:r w:rsidR="00A2509F">
        <w:t xml:space="preserve">the </w:t>
      </w:r>
      <w:r w:rsidR="00E341B9">
        <w:t xml:space="preserve">circular economy with the CSR initiatives of Marriott. In this case, the hotel aligns with different local communities so that sustainable sourcing can be ensured and the benefits for local communities can be achieved. These activities of Marriott properly align with </w:t>
      </w:r>
      <w:r w:rsidR="00A2509F">
        <w:t xml:space="preserve">the </w:t>
      </w:r>
      <w:r w:rsidR="00E341B9">
        <w:t xml:space="preserve">circular economy and ensure effective corporate social responsibility. </w:t>
      </w:r>
    </w:p>
    <w:p w14:paraId="60AB1CA7" w14:textId="7D05EDD8" w:rsidR="00ED1D55" w:rsidRDefault="00ED1D55" w:rsidP="00267E15">
      <w:pPr>
        <w:pStyle w:val="Heading2"/>
      </w:pPr>
      <w:r>
        <w:lastRenderedPageBreak/>
        <w:t>Industry examples of firms embodying the circular economy</w:t>
      </w:r>
    </w:p>
    <w:p w14:paraId="0B3B405B" w14:textId="2EE64EA5" w:rsidR="00ED1D55" w:rsidRDefault="00A068A6" w:rsidP="00455940">
      <w:r>
        <w:t xml:space="preserve">Different organisations within the hospitality sector are directly connecting with </w:t>
      </w:r>
      <w:r w:rsidR="00A2509F">
        <w:t xml:space="preserve">the </w:t>
      </w:r>
      <w:r>
        <w:t xml:space="preserve">circular economy with their CSR initiatives. In this case, the activities of </w:t>
      </w:r>
      <w:r w:rsidRPr="008D7747">
        <w:rPr>
          <w:b/>
          <w:bCs/>
        </w:rPr>
        <w:t>AccorHotels</w:t>
      </w:r>
      <w:r>
        <w:t xml:space="preserve"> </w:t>
      </w:r>
      <w:r w:rsidR="00A2509F">
        <w:t xml:space="preserve">are </w:t>
      </w:r>
      <w:r>
        <w:t xml:space="preserve">very common. This hotel chain has initiated </w:t>
      </w:r>
      <w:r w:rsidR="00A2509F">
        <w:t xml:space="preserve">the </w:t>
      </w:r>
      <w:r>
        <w:t>Planet 21 program which is dedicated to reduc</w:t>
      </w:r>
      <w:r w:rsidR="00A2509F">
        <w:t>ing</w:t>
      </w:r>
      <w:r>
        <w:t xml:space="preserve"> </w:t>
      </w:r>
      <w:r w:rsidR="00A2509F">
        <w:t xml:space="preserve">the </w:t>
      </w:r>
      <w:r>
        <w:t>environment</w:t>
      </w:r>
      <w:r w:rsidR="00A2509F">
        <w:t>al</w:t>
      </w:r>
      <w:r>
        <w:t xml:space="preserve"> impact of hospitality operation</w:t>
      </w:r>
      <w:r w:rsidR="00A2509F">
        <w:t>s</w:t>
      </w:r>
      <w:r>
        <w:t xml:space="preserve">. Further, this initiative is also focused </w:t>
      </w:r>
      <w:r w:rsidR="00A2509F">
        <w:t>o</w:t>
      </w:r>
      <w:r>
        <w:t>n reducing water a</w:t>
      </w:r>
      <w:r w:rsidR="008D7747">
        <w:t>nd energy consumption</w:t>
      </w:r>
      <w:r w:rsidR="0050070E" w:rsidRPr="0050070E">
        <w:t xml:space="preserve"> </w:t>
      </w:r>
      <w:r w:rsidR="0050070E">
        <w:t>(Boas, 2021)</w:t>
      </w:r>
      <w:r w:rsidR="008D7747">
        <w:t xml:space="preserve">. Again, </w:t>
      </w:r>
      <w:r w:rsidR="008D7747" w:rsidRPr="008D7747">
        <w:rPr>
          <w:b/>
          <w:bCs/>
        </w:rPr>
        <w:t>Scandic Hotels</w:t>
      </w:r>
      <w:r w:rsidR="008D7747">
        <w:t xml:space="preserve"> is another example of embodying the circular economy. This organisation has introduced </w:t>
      </w:r>
      <w:r w:rsidR="00A2509F">
        <w:t>an AI-</w:t>
      </w:r>
      <w:r w:rsidR="008D7747">
        <w:t xml:space="preserve">generated food management system that is very useful in reducing food waste. This hotel also focuses on circular amenities. In this case, different products are sourced from the local community so that sustainability is ensured within the hotel. </w:t>
      </w:r>
    </w:p>
    <w:p w14:paraId="19F9A1C4" w14:textId="5F44EFA2" w:rsidR="008D7747" w:rsidRDefault="008D7747" w:rsidP="00455940">
      <w:r w:rsidRPr="008D7747">
        <w:rPr>
          <w:b/>
          <w:bCs/>
        </w:rPr>
        <w:t>Minor Hotels</w:t>
      </w:r>
      <w:r>
        <w:t xml:space="preserve"> is also focusing on </w:t>
      </w:r>
      <w:r w:rsidR="00A2509F">
        <w:t xml:space="preserve">the </w:t>
      </w:r>
      <w:r>
        <w:t xml:space="preserve">circular economy through its different CSR activities. Here, this organisation is using waste to convert </w:t>
      </w:r>
      <w:r w:rsidR="00A2509F">
        <w:t>it</w:t>
      </w:r>
      <w:r>
        <w:t xml:space="preserve"> into wealth. With the use of leftover food items, this organisation is generating organic compost that is use</w:t>
      </w:r>
      <w:r w:rsidR="00A2509F">
        <w:t>d</w:t>
      </w:r>
      <w:r>
        <w:t xml:space="preserve"> for farming activities. Again, plastic reduction is also ensured by this hotel to improve environmental sustainability</w:t>
      </w:r>
      <w:r w:rsidR="0050070E" w:rsidRPr="0050070E">
        <w:t xml:space="preserve"> </w:t>
      </w:r>
      <w:r w:rsidR="0050070E">
        <w:t xml:space="preserve">(Tuladhar &amp; </w:t>
      </w:r>
      <w:proofErr w:type="spellStart"/>
      <w:r w:rsidR="0050070E">
        <w:t>Iatridis</w:t>
      </w:r>
      <w:proofErr w:type="spellEnd"/>
      <w:r w:rsidR="0050070E">
        <w:t>, 2022)</w:t>
      </w:r>
      <w:r>
        <w:t xml:space="preserve">. </w:t>
      </w:r>
      <w:r w:rsidRPr="008D7747">
        <w:rPr>
          <w:b/>
          <w:bCs/>
        </w:rPr>
        <w:t>Yotel</w:t>
      </w:r>
      <w:r>
        <w:t xml:space="preserve"> is also focusing on </w:t>
      </w:r>
      <w:r w:rsidR="00A2509F">
        <w:t xml:space="preserve">the </w:t>
      </w:r>
      <w:r>
        <w:t>circular economy through its different initiatives. Here, this hotel is focusing on preparing compact rooms so that a large number of hotel rooms can be prepared in small area</w:t>
      </w:r>
      <w:r w:rsidR="00A2509F">
        <w:t>s</w:t>
      </w:r>
      <w:r>
        <w:t xml:space="preserve"> in busy cities. This can ensure the best use of resources. </w:t>
      </w:r>
    </w:p>
    <w:p w14:paraId="23E13A7C" w14:textId="7827B429" w:rsidR="00CB455F" w:rsidRDefault="00DD453D" w:rsidP="00267E15">
      <w:pPr>
        <w:pStyle w:val="Heading1"/>
      </w:pPr>
      <w:bookmarkStart w:id="1" w:name="_Toc101999047"/>
      <w:r>
        <w:t>Conclusion</w:t>
      </w:r>
      <w:bookmarkEnd w:id="1"/>
      <w:r>
        <w:t xml:space="preserve"> </w:t>
      </w:r>
    </w:p>
    <w:p w14:paraId="2637752B" w14:textId="40DB3199" w:rsidR="00DD453D" w:rsidRDefault="006C3144" w:rsidP="00F15F08">
      <w:pPr>
        <w:rPr>
          <w:lang w:eastAsia="en-GB"/>
        </w:rPr>
      </w:pPr>
      <w:r>
        <w:rPr>
          <w:lang w:eastAsia="en-GB"/>
        </w:rPr>
        <w:t xml:space="preserve">Business organisations are accepting the concept of circular economy to ensure their CSR initiatives. Since </w:t>
      </w:r>
      <w:r w:rsidR="00A2509F">
        <w:rPr>
          <w:lang w:eastAsia="en-GB"/>
        </w:rPr>
        <w:t xml:space="preserve">a </w:t>
      </w:r>
      <w:r>
        <w:rPr>
          <w:lang w:eastAsia="en-GB"/>
        </w:rPr>
        <w:t xml:space="preserve">circular economy comes with different ideas that </w:t>
      </w:r>
      <w:r w:rsidR="00A2509F">
        <w:rPr>
          <w:lang w:eastAsia="en-GB"/>
        </w:rPr>
        <w:t>directly align with CSR activities, considering the factors of a circular economy also ensures the implementation of corporate social responsibility by the firms. In this case, hospitality firms need to focus on certain factors. Here, the firms should consider product design that can ensure the longevity of the products. Further, the products should also consider sustainable sourcing so that reuse can be ensured and the use of virgin resources can be reduced</w:t>
      </w:r>
      <w:r w:rsidR="0050070E" w:rsidRPr="0050070E">
        <w:t xml:space="preserve"> </w:t>
      </w:r>
      <w:r w:rsidR="0050070E">
        <w:t>(Stahel &amp; MacArthur, 2022)</w:t>
      </w:r>
      <w:r w:rsidR="00A2509F">
        <w:rPr>
          <w:lang w:eastAsia="en-GB"/>
        </w:rPr>
        <w:t xml:space="preserve">. The implementation of the circular economy should be from the core so that the circular economy can become the system of that hotel. In this case, the CSR practices of Marriott are properly aligned with the circular economy. </w:t>
      </w:r>
      <w:r w:rsidR="00DD453D">
        <w:rPr>
          <w:lang w:eastAsia="en-GB"/>
        </w:rPr>
        <w:br w:type="page"/>
      </w:r>
    </w:p>
    <w:p w14:paraId="09267F76" w14:textId="021F8799" w:rsidR="00DD453D" w:rsidRPr="00DD453D" w:rsidRDefault="00DD453D" w:rsidP="00267E15">
      <w:pPr>
        <w:pStyle w:val="Heading1"/>
      </w:pPr>
      <w:bookmarkStart w:id="2" w:name="_Toc101999048"/>
      <w:r>
        <w:lastRenderedPageBreak/>
        <w:t>References</w:t>
      </w:r>
      <w:bookmarkEnd w:id="2"/>
      <w:r>
        <w:t xml:space="preserve"> </w:t>
      </w:r>
    </w:p>
    <w:p w14:paraId="24CB0BBB" w14:textId="77777777" w:rsidR="00267E15" w:rsidRDefault="00267E15" w:rsidP="0050070E">
      <w:pPr>
        <w:rPr>
          <w:lang w:val="en-US"/>
        </w:rPr>
      </w:pPr>
      <w:proofErr w:type="spellStart"/>
      <w:r>
        <w:t>Blowfield</w:t>
      </w:r>
      <w:proofErr w:type="spellEnd"/>
      <w:r>
        <w:t xml:space="preserve">, M. and Murray, A. (2023) ‘Corporate Social Responsibility Reporting’, </w:t>
      </w:r>
      <w:r>
        <w:rPr>
          <w:i/>
          <w:iCs/>
        </w:rPr>
        <w:t>Corporate Social Responsibility</w:t>
      </w:r>
      <w:r>
        <w:t xml:space="preserve"> [Preprint]. doi:10.1093/</w:t>
      </w:r>
      <w:proofErr w:type="spellStart"/>
      <w:r>
        <w:t>hebz</w:t>
      </w:r>
      <w:proofErr w:type="spellEnd"/>
      <w:r>
        <w:t xml:space="preserve">/9780198797753.003.0010. </w:t>
      </w:r>
    </w:p>
    <w:p w14:paraId="1C8DDE2D" w14:textId="77777777" w:rsidR="00267E15" w:rsidRDefault="00267E15" w:rsidP="0050070E">
      <w:r>
        <w:t xml:space="preserve">Boas, S.H. (2021) </w:t>
      </w:r>
      <w:r>
        <w:rPr>
          <w:i/>
          <w:iCs/>
        </w:rPr>
        <w:t>Circular economy: Denmark as a circular economy solution hub</w:t>
      </w:r>
      <w:r>
        <w:t xml:space="preserve">. </w:t>
      </w:r>
      <w:proofErr w:type="spellStart"/>
      <w:r>
        <w:t>Kbh</w:t>
      </w:r>
      <w:proofErr w:type="spellEnd"/>
      <w:r>
        <w:t xml:space="preserve">.: State of Green. </w:t>
      </w:r>
    </w:p>
    <w:p w14:paraId="099124A4" w14:textId="77777777" w:rsidR="00267E15" w:rsidRDefault="00267E15" w:rsidP="0050070E">
      <w:r>
        <w:t xml:space="preserve">Danish, M.S. and </w:t>
      </w:r>
      <w:proofErr w:type="spellStart"/>
      <w:r>
        <w:t>Senjyu</w:t>
      </w:r>
      <w:proofErr w:type="spellEnd"/>
      <w:r>
        <w:t xml:space="preserve">, T. (2023) ‘Shaping the future of sustainable energy through AI-Enabled Circular Economy Policies’, </w:t>
      </w:r>
      <w:r>
        <w:rPr>
          <w:i/>
          <w:iCs/>
        </w:rPr>
        <w:t>Circular Economy</w:t>
      </w:r>
      <w:r>
        <w:t xml:space="preserve">, 2(2), p. 100040. </w:t>
      </w:r>
      <w:proofErr w:type="gramStart"/>
      <w:r>
        <w:t>doi:10.1016/j.cec</w:t>
      </w:r>
      <w:proofErr w:type="gramEnd"/>
      <w:r>
        <w:t xml:space="preserve">.2023.100040. </w:t>
      </w:r>
    </w:p>
    <w:p w14:paraId="20375536" w14:textId="77777777" w:rsidR="00267E15" w:rsidRDefault="00267E15" w:rsidP="0050070E">
      <w:r>
        <w:t xml:space="preserve">Filho, L.W. and Frankenberger, F. (2022) </w:t>
      </w:r>
      <w:r>
        <w:rPr>
          <w:i/>
          <w:iCs/>
        </w:rPr>
        <w:t>International Business, Trade and Institutional Sustainability</w:t>
      </w:r>
      <w:r>
        <w:t xml:space="preserve">. Cham, Switzerland: Springer. </w:t>
      </w:r>
    </w:p>
    <w:p w14:paraId="05CCC3D9" w14:textId="77777777" w:rsidR="00267E15" w:rsidRDefault="00267E15" w:rsidP="0050070E">
      <w:r>
        <w:t xml:space="preserve">Ghosh, S.K. and </w:t>
      </w:r>
      <w:proofErr w:type="spellStart"/>
      <w:r>
        <w:t>Eduljee</w:t>
      </w:r>
      <w:proofErr w:type="spellEnd"/>
      <w:r>
        <w:t xml:space="preserve">, G. (2023) </w:t>
      </w:r>
      <w:r>
        <w:rPr>
          <w:i/>
          <w:iCs/>
        </w:rPr>
        <w:t>The Circular Economy: Meeting Sustainable Development Goals</w:t>
      </w:r>
      <w:r>
        <w:t xml:space="preserve">. Cambridge: Royal Society of Chemistry. </w:t>
      </w:r>
    </w:p>
    <w:p w14:paraId="1B821D66" w14:textId="77777777" w:rsidR="00267E15" w:rsidRDefault="00267E15" w:rsidP="0050070E">
      <w:r>
        <w:t xml:space="preserve">Gond, J.-P. and Moon, J. (2021) </w:t>
      </w:r>
      <w:r>
        <w:rPr>
          <w:i/>
          <w:iCs/>
        </w:rPr>
        <w:t>Corporate Social Responsibility</w:t>
      </w:r>
      <w:r>
        <w:t xml:space="preserve">. London: Routledge. </w:t>
      </w:r>
    </w:p>
    <w:p w14:paraId="69AE830E" w14:textId="77777777" w:rsidR="00267E15" w:rsidRDefault="00267E15" w:rsidP="0050070E">
      <w:proofErr w:type="spellStart"/>
      <w:r>
        <w:t>Karjanen</w:t>
      </w:r>
      <w:proofErr w:type="spellEnd"/>
      <w:r>
        <w:t xml:space="preserve">, D.J. (2022) ‘Working in the hospitality industry’, </w:t>
      </w:r>
      <w:r>
        <w:rPr>
          <w:i/>
          <w:iCs/>
        </w:rPr>
        <w:t>The Servant Class City</w:t>
      </w:r>
      <w:r>
        <w:t xml:space="preserve"> [Preprint]. doi:10.5749/</w:t>
      </w:r>
      <w:proofErr w:type="spellStart"/>
      <w:r>
        <w:t>minnesota</w:t>
      </w:r>
      <w:proofErr w:type="spellEnd"/>
      <w:r>
        <w:t xml:space="preserve">/9780816694624.003.0004. </w:t>
      </w:r>
    </w:p>
    <w:p w14:paraId="66E6A858" w14:textId="77777777" w:rsidR="00267E15" w:rsidRDefault="00267E15" w:rsidP="0050070E">
      <w:proofErr w:type="spellStart"/>
      <w:r>
        <w:t>Ketenci</w:t>
      </w:r>
      <w:proofErr w:type="spellEnd"/>
      <w:r>
        <w:t xml:space="preserve">, N.S. (2023) </w:t>
      </w:r>
      <w:r>
        <w:rPr>
          <w:i/>
          <w:iCs/>
        </w:rPr>
        <w:t>Circular economy: Multidisciplinary approaches from Turkey</w:t>
      </w:r>
      <w:r>
        <w:t xml:space="preserve">. Lanham: Lexington Books. </w:t>
      </w:r>
    </w:p>
    <w:p w14:paraId="39D52644" w14:textId="77777777" w:rsidR="00267E15" w:rsidRDefault="00267E15" w:rsidP="0050070E">
      <w:r>
        <w:t xml:space="preserve">Modak, P. (2021) ‘Business models in a circular economy’, </w:t>
      </w:r>
      <w:r>
        <w:rPr>
          <w:i/>
          <w:iCs/>
        </w:rPr>
        <w:t>Practicing Circular Economy</w:t>
      </w:r>
      <w:r>
        <w:t xml:space="preserve">, pp. 209–238. doi:10.1201/9781003107248-8. </w:t>
      </w:r>
    </w:p>
    <w:p w14:paraId="4129C091" w14:textId="77777777" w:rsidR="00267E15" w:rsidRDefault="00267E15" w:rsidP="0050070E">
      <w:proofErr w:type="spellStart"/>
      <w:r>
        <w:t>Nourick</w:t>
      </w:r>
      <w:proofErr w:type="spellEnd"/>
      <w:r>
        <w:t xml:space="preserve">, S. (2021) </w:t>
      </w:r>
      <w:r>
        <w:rPr>
          <w:i/>
          <w:iCs/>
        </w:rPr>
        <w:t>Corporate Social Responsibility: Partners for Progress</w:t>
      </w:r>
      <w:r>
        <w:t xml:space="preserve">. Paris: Organisation for Economic Co-operation and Development. </w:t>
      </w:r>
    </w:p>
    <w:p w14:paraId="79CD478D" w14:textId="77777777" w:rsidR="00267E15" w:rsidRDefault="00267E15" w:rsidP="0050070E">
      <w:r>
        <w:t xml:space="preserve">Stahel, W.R. and MacArthur, E. (2022) </w:t>
      </w:r>
      <w:r>
        <w:rPr>
          <w:i/>
          <w:iCs/>
        </w:rPr>
        <w:t>The Circular Economy: A User’s Guide</w:t>
      </w:r>
      <w:r>
        <w:t xml:space="preserve">. London: Routledge. </w:t>
      </w:r>
    </w:p>
    <w:p w14:paraId="533ED3FF" w14:textId="77777777" w:rsidR="00267E15" w:rsidRDefault="00267E15" w:rsidP="0050070E">
      <w:r>
        <w:t xml:space="preserve">Tuladhar, A. and </w:t>
      </w:r>
      <w:proofErr w:type="spellStart"/>
      <w:r>
        <w:t>Iatridis</w:t>
      </w:r>
      <w:proofErr w:type="spellEnd"/>
      <w:r>
        <w:t xml:space="preserve">, K. (2022) ‘History and evolution of the circular economy and circular economy business models’, </w:t>
      </w:r>
      <w:r>
        <w:rPr>
          <w:i/>
          <w:iCs/>
        </w:rPr>
        <w:t>Circular Economy and Sustainability</w:t>
      </w:r>
      <w:r>
        <w:t xml:space="preserve">, pp. 87–106. doi:10.1016/b978-0-12-819817-9.00031-4. </w:t>
      </w:r>
    </w:p>
    <w:p w14:paraId="2C57CD82" w14:textId="77777777" w:rsidR="00267E15" w:rsidRDefault="00267E15" w:rsidP="0050070E">
      <w:r>
        <w:t xml:space="preserve">Villiers, C. (2023) ‘Corporate law, Corporate Power and Corporate Social Responsibility’, </w:t>
      </w:r>
      <w:r>
        <w:rPr>
          <w:i/>
          <w:iCs/>
        </w:rPr>
        <w:t>Perspectives on Corporate Social Responsibility</w:t>
      </w:r>
      <w:r>
        <w:t xml:space="preserve"> [Preprint]. doi:10.4337/9781848443792.00008. </w:t>
      </w:r>
    </w:p>
    <w:p w14:paraId="77E2C654" w14:textId="77777777" w:rsidR="00DD453D" w:rsidRPr="00CB455F" w:rsidRDefault="00DD453D" w:rsidP="00CB455F">
      <w:pPr>
        <w:rPr>
          <w:lang w:eastAsia="en-GB"/>
        </w:rPr>
      </w:pPr>
    </w:p>
    <w:sectPr w:rsidR="00DD453D" w:rsidRPr="00CB455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FAD19" w14:textId="77777777" w:rsidR="004B71DF" w:rsidRDefault="004B71DF" w:rsidP="000960DA">
      <w:pPr>
        <w:spacing w:line="240" w:lineRule="auto"/>
      </w:pPr>
      <w:r>
        <w:separator/>
      </w:r>
    </w:p>
  </w:endnote>
  <w:endnote w:type="continuationSeparator" w:id="0">
    <w:p w14:paraId="65EEEB89" w14:textId="77777777" w:rsidR="004B71DF" w:rsidRDefault="004B71DF" w:rsidP="000960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847988"/>
      <w:docPartObj>
        <w:docPartGallery w:val="Page Numbers (Bottom of Page)"/>
        <w:docPartUnique/>
      </w:docPartObj>
    </w:sdtPr>
    <w:sdtEndPr>
      <w:rPr>
        <w:noProof/>
      </w:rPr>
    </w:sdtEndPr>
    <w:sdtContent>
      <w:p w14:paraId="361671A8" w14:textId="732DB7DB" w:rsidR="000960DA" w:rsidRDefault="000960DA">
        <w:pPr>
          <w:pStyle w:val="Footer"/>
          <w:jc w:val="right"/>
        </w:pPr>
        <w:r>
          <w:fldChar w:fldCharType="begin"/>
        </w:r>
        <w:r>
          <w:instrText xml:space="preserve"> PAGE   \* MERGEFORMAT </w:instrText>
        </w:r>
        <w:r>
          <w:fldChar w:fldCharType="separate"/>
        </w:r>
        <w:r w:rsidR="006B32F0">
          <w:rPr>
            <w:noProof/>
          </w:rPr>
          <w:t>4</w:t>
        </w:r>
        <w:r>
          <w:rPr>
            <w:noProof/>
          </w:rPr>
          <w:fldChar w:fldCharType="end"/>
        </w:r>
      </w:p>
    </w:sdtContent>
  </w:sdt>
  <w:p w14:paraId="2C17ACEA" w14:textId="77777777" w:rsidR="000960DA" w:rsidRDefault="000960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1A76C" w14:textId="77777777" w:rsidR="004B71DF" w:rsidRDefault="004B71DF" w:rsidP="000960DA">
      <w:pPr>
        <w:spacing w:line="240" w:lineRule="auto"/>
      </w:pPr>
      <w:r>
        <w:separator/>
      </w:r>
    </w:p>
  </w:footnote>
  <w:footnote w:type="continuationSeparator" w:id="0">
    <w:p w14:paraId="7B7DD58E" w14:textId="77777777" w:rsidR="004B71DF" w:rsidRDefault="004B71DF" w:rsidP="000960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F6109"/>
    <w:multiLevelType w:val="hybridMultilevel"/>
    <w:tmpl w:val="BD82C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1053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mwqAUA3vEjmCwAAAA="/>
  </w:docVars>
  <w:rsids>
    <w:rsidRoot w:val="00A27A2D"/>
    <w:rsid w:val="00056E69"/>
    <w:rsid w:val="00070058"/>
    <w:rsid w:val="000831E7"/>
    <w:rsid w:val="000960DA"/>
    <w:rsid w:val="000A6B49"/>
    <w:rsid w:val="000E785E"/>
    <w:rsid w:val="000F591B"/>
    <w:rsid w:val="001015FC"/>
    <w:rsid w:val="00103E4C"/>
    <w:rsid w:val="00151BF9"/>
    <w:rsid w:val="001526D2"/>
    <w:rsid w:val="00185FBE"/>
    <w:rsid w:val="00197CB4"/>
    <w:rsid w:val="001B0B88"/>
    <w:rsid w:val="001D5DA1"/>
    <w:rsid w:val="00267E15"/>
    <w:rsid w:val="002701D9"/>
    <w:rsid w:val="002770C0"/>
    <w:rsid w:val="00293BA3"/>
    <w:rsid w:val="002B54DE"/>
    <w:rsid w:val="002B5911"/>
    <w:rsid w:val="002D1B40"/>
    <w:rsid w:val="002D20AF"/>
    <w:rsid w:val="003364EC"/>
    <w:rsid w:val="0038452C"/>
    <w:rsid w:val="00407041"/>
    <w:rsid w:val="00420DE2"/>
    <w:rsid w:val="00443502"/>
    <w:rsid w:val="00455940"/>
    <w:rsid w:val="00456AEB"/>
    <w:rsid w:val="004706A9"/>
    <w:rsid w:val="00474E04"/>
    <w:rsid w:val="004B0105"/>
    <w:rsid w:val="004B71DF"/>
    <w:rsid w:val="0050070E"/>
    <w:rsid w:val="00503D3E"/>
    <w:rsid w:val="00523957"/>
    <w:rsid w:val="005530C3"/>
    <w:rsid w:val="00567155"/>
    <w:rsid w:val="00573E63"/>
    <w:rsid w:val="00595298"/>
    <w:rsid w:val="005A11D8"/>
    <w:rsid w:val="005A20AB"/>
    <w:rsid w:val="005C023D"/>
    <w:rsid w:val="00612F30"/>
    <w:rsid w:val="00634C9D"/>
    <w:rsid w:val="006443C7"/>
    <w:rsid w:val="00656FEE"/>
    <w:rsid w:val="00661230"/>
    <w:rsid w:val="00664FFF"/>
    <w:rsid w:val="00676057"/>
    <w:rsid w:val="0069714C"/>
    <w:rsid w:val="006A5391"/>
    <w:rsid w:val="006B32F0"/>
    <w:rsid w:val="006C3144"/>
    <w:rsid w:val="006E0EC0"/>
    <w:rsid w:val="00716FE0"/>
    <w:rsid w:val="00717F27"/>
    <w:rsid w:val="00721016"/>
    <w:rsid w:val="00725366"/>
    <w:rsid w:val="00773AC1"/>
    <w:rsid w:val="00787A59"/>
    <w:rsid w:val="00791EAF"/>
    <w:rsid w:val="007B11E1"/>
    <w:rsid w:val="007E22AA"/>
    <w:rsid w:val="007F79C3"/>
    <w:rsid w:val="00807397"/>
    <w:rsid w:val="00815B5F"/>
    <w:rsid w:val="00836D3E"/>
    <w:rsid w:val="00853350"/>
    <w:rsid w:val="008929E4"/>
    <w:rsid w:val="008C00A7"/>
    <w:rsid w:val="008D1D7B"/>
    <w:rsid w:val="008D7747"/>
    <w:rsid w:val="008F425E"/>
    <w:rsid w:val="00955356"/>
    <w:rsid w:val="0097518C"/>
    <w:rsid w:val="00994F4E"/>
    <w:rsid w:val="009A1B47"/>
    <w:rsid w:val="00A068A6"/>
    <w:rsid w:val="00A15A3B"/>
    <w:rsid w:val="00A202AA"/>
    <w:rsid w:val="00A2509F"/>
    <w:rsid w:val="00A269EA"/>
    <w:rsid w:val="00A27A2D"/>
    <w:rsid w:val="00A367DA"/>
    <w:rsid w:val="00A432CA"/>
    <w:rsid w:val="00A53B9B"/>
    <w:rsid w:val="00A814E1"/>
    <w:rsid w:val="00AA3CF9"/>
    <w:rsid w:val="00AA5941"/>
    <w:rsid w:val="00AA6E7B"/>
    <w:rsid w:val="00AC090B"/>
    <w:rsid w:val="00AD6A3E"/>
    <w:rsid w:val="00AE0CDB"/>
    <w:rsid w:val="00B269BB"/>
    <w:rsid w:val="00B40435"/>
    <w:rsid w:val="00B5445F"/>
    <w:rsid w:val="00B77685"/>
    <w:rsid w:val="00BB3FBA"/>
    <w:rsid w:val="00BF4A3C"/>
    <w:rsid w:val="00BF6E89"/>
    <w:rsid w:val="00C27815"/>
    <w:rsid w:val="00C30E81"/>
    <w:rsid w:val="00C3229C"/>
    <w:rsid w:val="00C34BFE"/>
    <w:rsid w:val="00C52F46"/>
    <w:rsid w:val="00C5699D"/>
    <w:rsid w:val="00C6709A"/>
    <w:rsid w:val="00C73D09"/>
    <w:rsid w:val="00C80086"/>
    <w:rsid w:val="00CB2C21"/>
    <w:rsid w:val="00CB455F"/>
    <w:rsid w:val="00D35EB5"/>
    <w:rsid w:val="00D53857"/>
    <w:rsid w:val="00D53988"/>
    <w:rsid w:val="00D671F1"/>
    <w:rsid w:val="00D73DAE"/>
    <w:rsid w:val="00D74442"/>
    <w:rsid w:val="00DB6311"/>
    <w:rsid w:val="00DD453D"/>
    <w:rsid w:val="00DD54C7"/>
    <w:rsid w:val="00DF38B7"/>
    <w:rsid w:val="00E176D7"/>
    <w:rsid w:val="00E25218"/>
    <w:rsid w:val="00E341B9"/>
    <w:rsid w:val="00E47186"/>
    <w:rsid w:val="00E8239C"/>
    <w:rsid w:val="00E96588"/>
    <w:rsid w:val="00ED1D55"/>
    <w:rsid w:val="00ED25D1"/>
    <w:rsid w:val="00F0563F"/>
    <w:rsid w:val="00F15F08"/>
    <w:rsid w:val="00F21F49"/>
    <w:rsid w:val="00F64574"/>
    <w:rsid w:val="00F92BA1"/>
    <w:rsid w:val="00FC5CE0"/>
    <w:rsid w:val="00FC6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B2F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E15"/>
    <w:pPr>
      <w:spacing w:after="0" w:line="360" w:lineRule="auto"/>
      <w:jc w:val="both"/>
    </w:pPr>
    <w:rPr>
      <w:rFonts w:ascii="Arial" w:hAnsi="Arial" w:cs="Times New Roman"/>
      <w:sz w:val="24"/>
      <w:szCs w:val="20"/>
      <w:lang w:val="en-GB"/>
    </w:rPr>
  </w:style>
  <w:style w:type="paragraph" w:styleId="Heading1">
    <w:name w:val="heading 1"/>
    <w:basedOn w:val="Normal"/>
    <w:next w:val="Normal"/>
    <w:link w:val="Heading1Char"/>
    <w:autoRedefine/>
    <w:uiPriority w:val="9"/>
    <w:qFormat/>
    <w:rsid w:val="00267E15"/>
    <w:pPr>
      <w:keepNext/>
      <w:keepLines/>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20AF"/>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267E15"/>
    <w:rPr>
      <w:rFonts w:ascii="Arial" w:hAnsi="Arial" w:cs="Times New Roman"/>
      <w:b/>
      <w:sz w:val="28"/>
      <w:szCs w:val="32"/>
      <w:lang w:val="en-GB"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B11E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0960DA"/>
    <w:pPr>
      <w:tabs>
        <w:tab w:val="center" w:pos="4680"/>
        <w:tab w:val="right" w:pos="9360"/>
      </w:tabs>
      <w:spacing w:line="240" w:lineRule="auto"/>
    </w:pPr>
  </w:style>
  <w:style w:type="character" w:customStyle="1" w:styleId="HeaderChar">
    <w:name w:val="Header Char"/>
    <w:basedOn w:val="DefaultParagraphFont"/>
    <w:link w:val="Header"/>
    <w:uiPriority w:val="99"/>
    <w:rsid w:val="000960DA"/>
    <w:rPr>
      <w:rFonts w:ascii="Times New Roman" w:hAnsi="Times New Roman" w:cs="Times New Roman"/>
      <w:sz w:val="24"/>
      <w:szCs w:val="20"/>
      <w:lang w:val="en-GB"/>
    </w:rPr>
  </w:style>
  <w:style w:type="paragraph" w:styleId="Footer">
    <w:name w:val="footer"/>
    <w:basedOn w:val="Normal"/>
    <w:link w:val="FooterChar"/>
    <w:uiPriority w:val="99"/>
    <w:unhideWhenUsed/>
    <w:rsid w:val="000960DA"/>
    <w:pPr>
      <w:tabs>
        <w:tab w:val="center" w:pos="4680"/>
        <w:tab w:val="right" w:pos="9360"/>
      </w:tabs>
      <w:spacing w:line="240" w:lineRule="auto"/>
    </w:pPr>
  </w:style>
  <w:style w:type="character" w:customStyle="1" w:styleId="FooterChar">
    <w:name w:val="Footer Char"/>
    <w:basedOn w:val="DefaultParagraphFont"/>
    <w:link w:val="Footer"/>
    <w:uiPriority w:val="99"/>
    <w:rsid w:val="000960DA"/>
    <w:rPr>
      <w:rFonts w:ascii="Times New Roman" w:hAnsi="Times New Roman" w:cs="Times New Roman"/>
      <w:sz w:val="24"/>
      <w:szCs w:val="20"/>
      <w:lang w:val="en-GB"/>
    </w:rPr>
  </w:style>
  <w:style w:type="paragraph" w:styleId="TOCHeading">
    <w:name w:val="TOC Heading"/>
    <w:basedOn w:val="Heading1"/>
    <w:next w:val="Normal"/>
    <w:uiPriority w:val="39"/>
    <w:unhideWhenUsed/>
    <w:qFormat/>
    <w:rsid w:val="00C80086"/>
    <w:pPr>
      <w:spacing w:line="259" w:lineRule="auto"/>
      <w:jc w:val="left"/>
      <w:outlineLvl w:val="9"/>
    </w:pPr>
    <w:rPr>
      <w:rFonts w:asciiTheme="majorHAnsi" w:eastAsiaTheme="majorEastAsia" w:hAnsiTheme="majorHAnsi" w:cstheme="majorBidi"/>
      <w:b w:val="0"/>
      <w:color w:val="2F5496" w:themeColor="accent1" w:themeShade="BF"/>
      <w:sz w:val="32"/>
      <w:lang w:val="en-US" w:eastAsia="en-US"/>
    </w:rPr>
  </w:style>
  <w:style w:type="paragraph" w:styleId="TOC1">
    <w:name w:val="toc 1"/>
    <w:basedOn w:val="Normal"/>
    <w:next w:val="Normal"/>
    <w:autoRedefine/>
    <w:uiPriority w:val="39"/>
    <w:unhideWhenUsed/>
    <w:rsid w:val="00C80086"/>
    <w:pPr>
      <w:spacing w:after="100"/>
    </w:pPr>
  </w:style>
  <w:style w:type="character" w:styleId="Hyperlink">
    <w:name w:val="Hyperlink"/>
    <w:basedOn w:val="DefaultParagraphFont"/>
    <w:uiPriority w:val="99"/>
    <w:unhideWhenUsed/>
    <w:rsid w:val="00C80086"/>
    <w:rPr>
      <w:color w:val="0563C1" w:themeColor="hyperlink"/>
      <w:u w:val="single"/>
    </w:rPr>
  </w:style>
  <w:style w:type="paragraph" w:styleId="NormalWeb">
    <w:name w:val="Normal (Web)"/>
    <w:basedOn w:val="Normal"/>
    <w:uiPriority w:val="99"/>
    <w:semiHidden/>
    <w:unhideWhenUsed/>
    <w:rsid w:val="00661230"/>
    <w:pPr>
      <w:spacing w:before="100" w:beforeAutospacing="1" w:after="100" w:afterAutospacing="1" w:line="240" w:lineRule="auto"/>
      <w:jc w:val="left"/>
    </w:pPr>
    <w:rPr>
      <w:szCs w:val="24"/>
      <w:lang w:val="en-US"/>
    </w:rPr>
  </w:style>
  <w:style w:type="paragraph" w:styleId="BodyText">
    <w:name w:val="Body Text"/>
    <w:basedOn w:val="Normal"/>
    <w:link w:val="BodyTextChar"/>
    <w:uiPriority w:val="1"/>
    <w:qFormat/>
    <w:rsid w:val="00267E15"/>
    <w:pPr>
      <w:widowControl w:val="0"/>
      <w:autoSpaceDE w:val="0"/>
      <w:autoSpaceDN w:val="0"/>
      <w:spacing w:line="240" w:lineRule="auto"/>
      <w:jc w:val="left"/>
    </w:pPr>
    <w:rPr>
      <w:rFonts w:ascii="Arial MT" w:eastAsia="Arial MT" w:hAnsi="Arial MT" w:cs="Arial MT"/>
      <w:sz w:val="22"/>
      <w:szCs w:val="22"/>
      <w:lang w:val="en-US"/>
    </w:rPr>
  </w:style>
  <w:style w:type="character" w:customStyle="1" w:styleId="BodyTextChar">
    <w:name w:val="Body Text Char"/>
    <w:basedOn w:val="DefaultParagraphFont"/>
    <w:link w:val="BodyText"/>
    <w:uiPriority w:val="1"/>
    <w:rsid w:val="00267E15"/>
    <w:rPr>
      <w:rFonts w:ascii="Arial MT" w:eastAsia="Arial MT" w:hAnsi="Arial MT" w:cs="Arial MT"/>
    </w:rPr>
  </w:style>
  <w:style w:type="paragraph" w:customStyle="1" w:styleId="TableParagraph">
    <w:name w:val="Table Paragraph"/>
    <w:basedOn w:val="Normal"/>
    <w:uiPriority w:val="1"/>
    <w:qFormat/>
    <w:rsid w:val="00267E15"/>
    <w:pPr>
      <w:widowControl w:val="0"/>
      <w:autoSpaceDE w:val="0"/>
      <w:autoSpaceDN w:val="0"/>
      <w:spacing w:line="240" w:lineRule="auto"/>
      <w:jc w:val="left"/>
    </w:pPr>
    <w:rPr>
      <w:rFonts w:ascii="Arial MT" w:eastAsia="Arial MT" w:hAnsi="Arial MT" w:cs="Arial MT"/>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441613">
      <w:bodyDiv w:val="1"/>
      <w:marLeft w:val="0"/>
      <w:marRight w:val="0"/>
      <w:marTop w:val="0"/>
      <w:marBottom w:val="0"/>
      <w:divBdr>
        <w:top w:val="none" w:sz="0" w:space="0" w:color="auto"/>
        <w:left w:val="none" w:sz="0" w:space="0" w:color="auto"/>
        <w:bottom w:val="none" w:sz="0" w:space="0" w:color="auto"/>
        <w:right w:val="none" w:sz="0" w:space="0" w:color="auto"/>
      </w:divBdr>
    </w:div>
    <w:div w:id="1329212799">
      <w:bodyDiv w:val="1"/>
      <w:marLeft w:val="0"/>
      <w:marRight w:val="0"/>
      <w:marTop w:val="0"/>
      <w:marBottom w:val="0"/>
      <w:divBdr>
        <w:top w:val="none" w:sz="0" w:space="0" w:color="auto"/>
        <w:left w:val="none" w:sz="0" w:space="0" w:color="auto"/>
        <w:bottom w:val="none" w:sz="0" w:space="0" w:color="auto"/>
        <w:right w:val="none" w:sz="0" w:space="0" w:color="auto"/>
      </w:divBdr>
    </w:div>
    <w:div w:id="1641423811">
      <w:bodyDiv w:val="1"/>
      <w:marLeft w:val="0"/>
      <w:marRight w:val="0"/>
      <w:marTop w:val="0"/>
      <w:marBottom w:val="0"/>
      <w:divBdr>
        <w:top w:val="none" w:sz="0" w:space="0" w:color="auto"/>
        <w:left w:val="none" w:sz="0" w:space="0" w:color="auto"/>
        <w:bottom w:val="none" w:sz="0" w:space="0" w:color="auto"/>
        <w:right w:val="none" w:sz="0" w:space="0" w:color="auto"/>
      </w:divBdr>
    </w:div>
    <w:div w:id="193378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DCA52-62AE-43AE-BB73-726557D20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2280</Words>
  <Characters>13000</Characters>
  <Application>Microsoft Office Word</Application>
  <DocSecurity>0</DocSecurity>
  <Lines>108</Lines>
  <Paragraphs>30</Paragraphs>
  <ScaleCrop>false</ScaleCrop>
  <Company/>
  <LinksUpToDate>false</LinksUpToDate>
  <CharactersWithSpaces>15250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2024-01-31T16:38:00Z</dcterms:created>
  <dcterms:modified xsi:type="dcterms:W3CDTF">2024-01-31T16:38:00Z</dcterms:modified>
</cp:coreProperties>
</file>