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F204A" w14:textId="77777777" w:rsidR="00840F66" w:rsidRPr="008468A0" w:rsidRDefault="00840F66" w:rsidP="003D5589">
      <w:pPr>
        <w:jc w:val="center"/>
        <w:rPr>
          <w:rFonts w:eastAsia="Times New Roman" w:cs="Times New Roman"/>
          <w:b/>
          <w:sz w:val="28"/>
          <w:szCs w:val="24"/>
        </w:rPr>
      </w:pPr>
      <w:r w:rsidRPr="008468A0">
        <w:rPr>
          <w:noProof/>
          <w:lang w:val="en-US"/>
        </w:rPr>
        <w:drawing>
          <wp:inline distT="0" distB="0" distL="0" distR="0" wp14:anchorId="6B837F50" wp14:editId="2EB810D5">
            <wp:extent cx="3000375" cy="1066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00375" cy="1066800"/>
                    </a:xfrm>
                    <a:prstGeom prst="rect">
                      <a:avLst/>
                    </a:prstGeom>
                  </pic:spPr>
                </pic:pic>
              </a:graphicData>
            </a:graphic>
          </wp:inline>
        </w:drawing>
      </w:r>
    </w:p>
    <w:p w14:paraId="66F6A39A" w14:textId="77777777" w:rsidR="00840F66" w:rsidRPr="008468A0" w:rsidRDefault="00840F66" w:rsidP="003D5589">
      <w:pPr>
        <w:jc w:val="center"/>
        <w:rPr>
          <w:rFonts w:eastAsia="Times New Roman" w:cs="Times New Roman"/>
          <w:b/>
          <w:sz w:val="28"/>
          <w:szCs w:val="24"/>
        </w:rPr>
      </w:pPr>
      <w:r w:rsidRPr="008468A0">
        <w:rPr>
          <w:rFonts w:eastAsia="Times New Roman" w:cs="Times New Roman"/>
          <w:b/>
          <w:sz w:val="28"/>
          <w:szCs w:val="24"/>
        </w:rPr>
        <w:t>LCBB6000 Dissertation</w:t>
      </w:r>
    </w:p>
    <w:p w14:paraId="1EEF3A5E" w14:textId="77777777" w:rsidR="00840F66" w:rsidRPr="008468A0" w:rsidRDefault="00840F66" w:rsidP="003D5589">
      <w:pPr>
        <w:jc w:val="center"/>
        <w:rPr>
          <w:rFonts w:eastAsia="Times New Roman" w:cs="Times New Roman"/>
          <w:b/>
          <w:sz w:val="28"/>
          <w:szCs w:val="24"/>
        </w:rPr>
      </w:pPr>
      <w:r w:rsidRPr="008468A0">
        <w:rPr>
          <w:rFonts w:eastAsia="Times New Roman" w:cs="Times New Roman"/>
          <w:b/>
          <w:sz w:val="28"/>
          <w:szCs w:val="24"/>
        </w:rPr>
        <w:t>On</w:t>
      </w:r>
    </w:p>
    <w:p w14:paraId="5A9EDF72" w14:textId="77777777" w:rsidR="003D5589" w:rsidRPr="008468A0" w:rsidRDefault="003D5589" w:rsidP="003D5589">
      <w:pPr>
        <w:jc w:val="center"/>
        <w:rPr>
          <w:rFonts w:eastAsia="Times New Roman" w:cs="Times New Roman"/>
          <w:b/>
          <w:sz w:val="28"/>
          <w:szCs w:val="24"/>
        </w:rPr>
      </w:pPr>
      <w:r w:rsidRPr="008468A0">
        <w:rPr>
          <w:rFonts w:eastAsia="Times New Roman" w:cs="Times New Roman"/>
          <w:b/>
          <w:sz w:val="28"/>
          <w:szCs w:val="24"/>
        </w:rPr>
        <w:t>Foreign workers challenges and opportunities:</w:t>
      </w:r>
    </w:p>
    <w:p w14:paraId="1BEEF434" w14:textId="77777777" w:rsidR="003D5589" w:rsidRPr="008468A0" w:rsidRDefault="003D5589" w:rsidP="003D5589">
      <w:pPr>
        <w:jc w:val="center"/>
        <w:rPr>
          <w:rFonts w:eastAsia="Times New Roman" w:cs="Times New Roman"/>
          <w:b/>
          <w:sz w:val="28"/>
          <w:szCs w:val="24"/>
        </w:rPr>
      </w:pPr>
      <w:r w:rsidRPr="008468A0">
        <w:rPr>
          <w:rFonts w:eastAsia="Times New Roman" w:cs="Times New Roman"/>
          <w:b/>
          <w:sz w:val="28"/>
          <w:szCs w:val="24"/>
        </w:rPr>
        <w:t>An analysis of foreign workers in the UK health sector.</w:t>
      </w:r>
    </w:p>
    <w:p w14:paraId="391B35EC" w14:textId="77777777" w:rsidR="00840F66" w:rsidRPr="008468A0" w:rsidRDefault="00840F66" w:rsidP="003D5589">
      <w:pPr>
        <w:jc w:val="center"/>
        <w:rPr>
          <w:rFonts w:eastAsia="Times New Roman" w:cs="Times New Roman"/>
          <w:b/>
          <w:sz w:val="28"/>
          <w:szCs w:val="24"/>
        </w:rPr>
      </w:pPr>
    </w:p>
    <w:p w14:paraId="08FB5782" w14:textId="77777777" w:rsidR="009E6081" w:rsidRDefault="009E6081" w:rsidP="009E6081">
      <w:pPr>
        <w:rPr>
          <w:rFonts w:eastAsia="Times New Roman" w:cs="Times New Roman"/>
          <w:b/>
          <w:sz w:val="28"/>
          <w:szCs w:val="24"/>
        </w:rPr>
      </w:pPr>
    </w:p>
    <w:p w14:paraId="6C7B2E7A" w14:textId="77777777" w:rsidR="009E6081" w:rsidRPr="009E6081" w:rsidRDefault="009E6081" w:rsidP="009E6081">
      <w:pPr>
        <w:rPr>
          <w:rFonts w:eastAsia="Times New Roman" w:cs="Times New Roman"/>
          <w:b/>
          <w:sz w:val="28"/>
          <w:szCs w:val="24"/>
        </w:rPr>
      </w:pPr>
      <w:r>
        <w:rPr>
          <w:rFonts w:eastAsia="Times New Roman" w:cs="Times New Roman"/>
          <w:b/>
          <w:sz w:val="28"/>
          <w:szCs w:val="24"/>
        </w:rPr>
        <w:t xml:space="preserve">Student name: </w:t>
      </w:r>
      <w:r w:rsidRPr="009E6081">
        <w:rPr>
          <w:rFonts w:eastAsia="Times New Roman" w:cs="Times New Roman"/>
          <w:b/>
          <w:sz w:val="28"/>
          <w:szCs w:val="24"/>
        </w:rPr>
        <w:t>Andreea Gina TABACARU</w:t>
      </w:r>
    </w:p>
    <w:p w14:paraId="3D0A12A9" w14:textId="77777777" w:rsidR="009E6081" w:rsidRDefault="009E6081" w:rsidP="009E6081">
      <w:pPr>
        <w:rPr>
          <w:rFonts w:eastAsia="Times New Roman" w:cs="Times New Roman"/>
          <w:b/>
          <w:sz w:val="28"/>
          <w:szCs w:val="24"/>
        </w:rPr>
      </w:pPr>
      <w:r w:rsidRPr="009E6081">
        <w:rPr>
          <w:rFonts w:eastAsia="Times New Roman" w:cs="Times New Roman"/>
          <w:b/>
          <w:sz w:val="28"/>
          <w:szCs w:val="24"/>
        </w:rPr>
        <w:t>Student Id 1914595</w:t>
      </w:r>
    </w:p>
    <w:p w14:paraId="3ED61C5C" w14:textId="77777777" w:rsidR="002C21E3" w:rsidRPr="008468A0" w:rsidRDefault="002C21E3"/>
    <w:p w14:paraId="370AC2C0" w14:textId="77777777" w:rsidR="002C21E3" w:rsidRPr="008468A0" w:rsidRDefault="002C21E3"/>
    <w:p w14:paraId="32DE049C" w14:textId="77777777" w:rsidR="002C21E3" w:rsidRPr="008468A0" w:rsidRDefault="002C21E3"/>
    <w:p w14:paraId="0A63ABBE" w14:textId="77777777" w:rsidR="002C21E3" w:rsidRPr="008468A0" w:rsidRDefault="002C21E3">
      <w:r w:rsidRPr="008468A0">
        <w:br w:type="page"/>
      </w:r>
    </w:p>
    <w:p w14:paraId="2CC04E0C" w14:textId="77777777" w:rsidR="0050773D" w:rsidRPr="008468A0" w:rsidRDefault="0050773D" w:rsidP="0050773D">
      <w:pPr>
        <w:pStyle w:val="Heading1"/>
        <w:rPr>
          <w:color w:val="000000" w:themeColor="text1"/>
        </w:rPr>
      </w:pPr>
      <w:bookmarkStart w:id="0" w:name="_Toc138707952"/>
      <w:r w:rsidRPr="008468A0">
        <w:rPr>
          <w:color w:val="000000" w:themeColor="text1"/>
        </w:rPr>
        <w:lastRenderedPageBreak/>
        <w:t>Acknowledgement</w:t>
      </w:r>
      <w:bookmarkEnd w:id="0"/>
    </w:p>
    <w:p w14:paraId="687EFAC6" w14:textId="77777777" w:rsidR="0068090C" w:rsidRPr="008468A0" w:rsidRDefault="0068090C" w:rsidP="003E79CC">
      <w:r w:rsidRPr="008468A0">
        <w:t xml:space="preserve">In the beginning, I feel really happy for the creator of the earth for allowing me to conduct this paper properly. After that, I feel lucky to find a lovely and </w:t>
      </w:r>
      <w:r w:rsidR="003B5289" w:rsidRPr="008468A0">
        <w:t>honourable</w:t>
      </w:r>
      <w:r w:rsidRPr="008468A0">
        <w:t xml:space="preserve"> course instruction for assisting me to conduct this paper properly. I also feel thankful to my batch mates, and the providers of data for their essential assistance in preparing this piece of paper.</w:t>
      </w:r>
    </w:p>
    <w:p w14:paraId="6A6764A7" w14:textId="77777777" w:rsidR="0050773D" w:rsidRPr="008468A0" w:rsidRDefault="0050773D">
      <w:pPr>
        <w:spacing w:line="276" w:lineRule="auto"/>
        <w:jc w:val="left"/>
      </w:pPr>
    </w:p>
    <w:p w14:paraId="1B8D5BFF" w14:textId="77777777" w:rsidR="0050773D" w:rsidRPr="008468A0" w:rsidRDefault="0050773D">
      <w:pPr>
        <w:spacing w:line="276" w:lineRule="auto"/>
        <w:jc w:val="left"/>
      </w:pPr>
    </w:p>
    <w:p w14:paraId="190F0CBF" w14:textId="77777777" w:rsidR="0050773D" w:rsidRPr="008468A0" w:rsidRDefault="0050773D">
      <w:pPr>
        <w:spacing w:line="276" w:lineRule="auto"/>
        <w:jc w:val="left"/>
        <w:rPr>
          <w:rFonts w:asciiTheme="majorHAnsi" w:eastAsiaTheme="majorEastAsia" w:hAnsiTheme="majorHAnsi" w:cstheme="majorBidi"/>
          <w:b/>
          <w:bCs/>
          <w:sz w:val="28"/>
          <w:szCs w:val="28"/>
        </w:rPr>
      </w:pPr>
      <w:r w:rsidRPr="008468A0">
        <w:br w:type="page"/>
      </w:r>
    </w:p>
    <w:p w14:paraId="7168BD52" w14:textId="77777777" w:rsidR="0050773D" w:rsidRPr="008468A0" w:rsidRDefault="0001137D" w:rsidP="0050773D">
      <w:pPr>
        <w:pStyle w:val="Heading1"/>
        <w:rPr>
          <w:color w:val="000000" w:themeColor="text1"/>
        </w:rPr>
      </w:pPr>
      <w:bookmarkStart w:id="1" w:name="_Toc138707953"/>
      <w:r w:rsidRPr="008468A0">
        <w:rPr>
          <w:color w:val="000000" w:themeColor="text1"/>
        </w:rPr>
        <w:lastRenderedPageBreak/>
        <w:t>Abbreviations</w:t>
      </w:r>
      <w:bookmarkEnd w:id="1"/>
    </w:p>
    <w:p w14:paraId="5A33ECFF" w14:textId="77777777" w:rsidR="0050773D" w:rsidRPr="008468A0" w:rsidRDefault="0050773D" w:rsidP="0050773D">
      <w:pPr>
        <w:spacing w:line="276" w:lineRule="auto"/>
        <w:jc w:val="left"/>
      </w:pPr>
      <w:r w:rsidRPr="008468A0">
        <w:t>UK = United Kingdom</w:t>
      </w:r>
    </w:p>
    <w:p w14:paraId="1517D65F" w14:textId="77777777" w:rsidR="0050773D" w:rsidRPr="008468A0" w:rsidRDefault="0050773D" w:rsidP="0050773D">
      <w:pPr>
        <w:spacing w:line="276" w:lineRule="auto"/>
        <w:jc w:val="left"/>
      </w:pPr>
      <w:r w:rsidRPr="008468A0">
        <w:t>EU = European Union</w:t>
      </w:r>
    </w:p>
    <w:p w14:paraId="4E87A4EC" w14:textId="77777777" w:rsidR="0001137D" w:rsidRPr="008468A0" w:rsidRDefault="0001137D">
      <w:pPr>
        <w:spacing w:line="276" w:lineRule="auto"/>
        <w:jc w:val="left"/>
      </w:pPr>
    </w:p>
    <w:p w14:paraId="44CEC43B" w14:textId="77777777" w:rsidR="0001137D" w:rsidRPr="008468A0" w:rsidRDefault="0001137D">
      <w:pPr>
        <w:spacing w:line="276" w:lineRule="auto"/>
        <w:jc w:val="left"/>
      </w:pPr>
    </w:p>
    <w:p w14:paraId="4B4AE4BF" w14:textId="77777777" w:rsidR="0001137D" w:rsidRPr="008468A0" w:rsidRDefault="0001137D">
      <w:pPr>
        <w:spacing w:line="276" w:lineRule="auto"/>
        <w:jc w:val="left"/>
      </w:pPr>
      <w:r w:rsidRPr="008468A0">
        <w:br w:type="page"/>
      </w:r>
    </w:p>
    <w:p w14:paraId="13366103" w14:textId="77777777" w:rsidR="0001137D" w:rsidRPr="008468A0" w:rsidRDefault="0001137D" w:rsidP="0001137D">
      <w:pPr>
        <w:pStyle w:val="Heading1"/>
        <w:rPr>
          <w:color w:val="000000" w:themeColor="text1"/>
        </w:rPr>
      </w:pPr>
      <w:bookmarkStart w:id="2" w:name="_Toc138707954"/>
      <w:r w:rsidRPr="008468A0">
        <w:rPr>
          <w:color w:val="000000" w:themeColor="text1"/>
        </w:rPr>
        <w:lastRenderedPageBreak/>
        <w:t>List of Tables</w:t>
      </w:r>
      <w:bookmarkEnd w:id="2"/>
    </w:p>
    <w:tbl>
      <w:tblPr>
        <w:tblW w:w="5000" w:type="pct"/>
        <w:tblLook w:val="04A0" w:firstRow="1" w:lastRow="0" w:firstColumn="1" w:lastColumn="0" w:noHBand="0" w:noVBand="1"/>
      </w:tblPr>
      <w:tblGrid>
        <w:gridCol w:w="1817"/>
        <w:gridCol w:w="6031"/>
        <w:gridCol w:w="1728"/>
      </w:tblGrid>
      <w:tr w:rsidR="008468A0" w:rsidRPr="008468A0" w14:paraId="32D9CA77" w14:textId="77777777" w:rsidTr="003F09E1">
        <w:trPr>
          <w:trHeight w:val="315"/>
          <w:tblHeader/>
        </w:trPr>
        <w:tc>
          <w:tcPr>
            <w:tcW w:w="949" w:type="pct"/>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2834599A" w14:textId="77777777" w:rsidR="003F09E1" w:rsidRPr="008468A0" w:rsidRDefault="003F09E1" w:rsidP="003F09E1">
            <w:pPr>
              <w:spacing w:after="0"/>
              <w:jc w:val="center"/>
              <w:rPr>
                <w:rFonts w:eastAsia="Times New Roman" w:cs="Times New Roman"/>
                <w:b/>
                <w:bCs/>
                <w:szCs w:val="24"/>
              </w:rPr>
            </w:pPr>
            <w:r w:rsidRPr="008468A0">
              <w:rPr>
                <w:rFonts w:eastAsia="Times New Roman" w:cs="Times New Roman"/>
                <w:b/>
                <w:bCs/>
                <w:szCs w:val="24"/>
              </w:rPr>
              <w:t>Table Number</w:t>
            </w:r>
          </w:p>
        </w:tc>
        <w:tc>
          <w:tcPr>
            <w:tcW w:w="3148" w:type="pct"/>
            <w:tcBorders>
              <w:top w:val="single" w:sz="4" w:space="0" w:color="auto"/>
              <w:left w:val="nil"/>
              <w:bottom w:val="single" w:sz="4" w:space="0" w:color="auto"/>
              <w:right w:val="single" w:sz="4" w:space="0" w:color="auto"/>
            </w:tcBorders>
            <w:shd w:val="clear" w:color="000000" w:fill="FFFFFF"/>
            <w:vAlign w:val="bottom"/>
            <w:hideMark/>
          </w:tcPr>
          <w:p w14:paraId="7B5E348B" w14:textId="77777777" w:rsidR="003F09E1" w:rsidRPr="008468A0" w:rsidRDefault="003F09E1" w:rsidP="003F09E1">
            <w:pPr>
              <w:spacing w:after="0"/>
              <w:jc w:val="center"/>
              <w:rPr>
                <w:rFonts w:eastAsia="Times New Roman" w:cs="Times New Roman"/>
                <w:b/>
                <w:bCs/>
                <w:szCs w:val="24"/>
              </w:rPr>
            </w:pPr>
            <w:r w:rsidRPr="008468A0">
              <w:rPr>
                <w:rFonts w:eastAsia="Times New Roman" w:cs="Times New Roman"/>
                <w:b/>
                <w:bCs/>
                <w:szCs w:val="24"/>
              </w:rPr>
              <w:t>Name</w:t>
            </w:r>
          </w:p>
        </w:tc>
        <w:tc>
          <w:tcPr>
            <w:tcW w:w="902" w:type="pct"/>
            <w:tcBorders>
              <w:top w:val="single" w:sz="4" w:space="0" w:color="auto"/>
              <w:left w:val="nil"/>
              <w:bottom w:val="single" w:sz="4" w:space="0" w:color="auto"/>
              <w:right w:val="single" w:sz="4" w:space="0" w:color="auto"/>
            </w:tcBorders>
            <w:shd w:val="clear" w:color="000000" w:fill="FFFFFF"/>
            <w:noWrap/>
            <w:vAlign w:val="center"/>
            <w:hideMark/>
          </w:tcPr>
          <w:p w14:paraId="6812C343" w14:textId="77777777" w:rsidR="003F09E1" w:rsidRPr="008468A0" w:rsidRDefault="003F09E1" w:rsidP="003F09E1">
            <w:pPr>
              <w:spacing w:after="0"/>
              <w:jc w:val="center"/>
              <w:rPr>
                <w:rFonts w:eastAsia="Times New Roman" w:cs="Times New Roman"/>
                <w:b/>
                <w:bCs/>
                <w:szCs w:val="24"/>
              </w:rPr>
            </w:pPr>
            <w:r w:rsidRPr="008468A0">
              <w:rPr>
                <w:rFonts w:eastAsia="Times New Roman" w:cs="Times New Roman"/>
                <w:b/>
                <w:bCs/>
                <w:szCs w:val="24"/>
              </w:rPr>
              <w:t>Page Number</w:t>
            </w:r>
          </w:p>
        </w:tc>
      </w:tr>
      <w:tr w:rsidR="008468A0" w:rsidRPr="008468A0" w14:paraId="53514087" w14:textId="77777777" w:rsidTr="00110CB0">
        <w:trPr>
          <w:trHeight w:val="782"/>
        </w:trPr>
        <w:tc>
          <w:tcPr>
            <w:tcW w:w="949" w:type="pct"/>
            <w:tcBorders>
              <w:top w:val="nil"/>
              <w:left w:val="single" w:sz="4" w:space="0" w:color="auto"/>
              <w:bottom w:val="single" w:sz="4" w:space="0" w:color="auto"/>
              <w:right w:val="single" w:sz="4" w:space="0" w:color="auto"/>
            </w:tcBorders>
            <w:shd w:val="clear" w:color="000000" w:fill="FFFFFF"/>
            <w:noWrap/>
            <w:vAlign w:val="center"/>
            <w:hideMark/>
          </w:tcPr>
          <w:p w14:paraId="68390B00" w14:textId="77777777" w:rsidR="003F09E1" w:rsidRPr="008468A0" w:rsidRDefault="003F09E1" w:rsidP="003F09E1">
            <w:pPr>
              <w:spacing w:after="0"/>
              <w:jc w:val="center"/>
              <w:rPr>
                <w:rFonts w:eastAsia="Times New Roman" w:cs="Times New Roman"/>
                <w:szCs w:val="24"/>
              </w:rPr>
            </w:pPr>
            <w:r w:rsidRPr="008468A0">
              <w:rPr>
                <w:rFonts w:eastAsia="Times New Roman" w:cs="Times New Roman"/>
                <w:szCs w:val="24"/>
              </w:rPr>
              <w:t>1</w:t>
            </w:r>
          </w:p>
        </w:tc>
        <w:tc>
          <w:tcPr>
            <w:tcW w:w="3148" w:type="pct"/>
            <w:tcBorders>
              <w:top w:val="nil"/>
              <w:left w:val="nil"/>
              <w:bottom w:val="single" w:sz="4" w:space="0" w:color="auto"/>
              <w:right w:val="single" w:sz="4" w:space="0" w:color="auto"/>
            </w:tcBorders>
            <w:shd w:val="clear" w:color="000000" w:fill="FFFFFF"/>
            <w:vAlign w:val="bottom"/>
            <w:hideMark/>
          </w:tcPr>
          <w:p w14:paraId="6F67DBAF" w14:textId="77777777" w:rsidR="003F09E1" w:rsidRPr="008468A0" w:rsidRDefault="003F09E1" w:rsidP="003F09E1">
            <w:pPr>
              <w:spacing w:after="0"/>
              <w:rPr>
                <w:rFonts w:eastAsia="Times New Roman" w:cs="Times New Roman"/>
                <w:szCs w:val="24"/>
              </w:rPr>
            </w:pPr>
            <w:r w:rsidRPr="008468A0">
              <w:rPr>
                <w:rFonts w:eastAsia="Times New Roman" w:cs="Times New Roman"/>
                <w:szCs w:val="24"/>
              </w:rPr>
              <w:t>Statistical Analysis on the Amount of Expenditure in the Healthcare Sector in the United Kingdom</w:t>
            </w:r>
          </w:p>
        </w:tc>
        <w:tc>
          <w:tcPr>
            <w:tcW w:w="902" w:type="pct"/>
            <w:tcBorders>
              <w:top w:val="nil"/>
              <w:left w:val="nil"/>
              <w:bottom w:val="single" w:sz="4" w:space="0" w:color="auto"/>
              <w:right w:val="single" w:sz="4" w:space="0" w:color="auto"/>
            </w:tcBorders>
            <w:shd w:val="clear" w:color="000000" w:fill="FFFFFF"/>
            <w:noWrap/>
            <w:vAlign w:val="center"/>
            <w:hideMark/>
          </w:tcPr>
          <w:p w14:paraId="7E63BCDC" w14:textId="77777777" w:rsidR="003F09E1" w:rsidRPr="008468A0" w:rsidRDefault="003F09E1" w:rsidP="003F09E1">
            <w:pPr>
              <w:spacing w:after="0"/>
              <w:jc w:val="center"/>
              <w:rPr>
                <w:rFonts w:eastAsia="Times New Roman" w:cs="Times New Roman"/>
                <w:szCs w:val="24"/>
              </w:rPr>
            </w:pPr>
            <w:r w:rsidRPr="008468A0">
              <w:rPr>
                <w:rFonts w:eastAsia="Times New Roman" w:cs="Times New Roman"/>
                <w:szCs w:val="24"/>
              </w:rPr>
              <w:t>19-20</w:t>
            </w:r>
          </w:p>
        </w:tc>
      </w:tr>
      <w:tr w:rsidR="008468A0" w:rsidRPr="008468A0" w14:paraId="313F7B0E" w14:textId="77777777" w:rsidTr="003F09E1">
        <w:trPr>
          <w:trHeight w:val="675"/>
        </w:trPr>
        <w:tc>
          <w:tcPr>
            <w:tcW w:w="949" w:type="pct"/>
            <w:tcBorders>
              <w:top w:val="nil"/>
              <w:left w:val="single" w:sz="4" w:space="0" w:color="auto"/>
              <w:bottom w:val="single" w:sz="4" w:space="0" w:color="auto"/>
              <w:right w:val="single" w:sz="4" w:space="0" w:color="auto"/>
            </w:tcBorders>
            <w:shd w:val="clear" w:color="000000" w:fill="FFFFFF"/>
            <w:noWrap/>
            <w:vAlign w:val="center"/>
            <w:hideMark/>
          </w:tcPr>
          <w:p w14:paraId="6F255794" w14:textId="77777777" w:rsidR="003F09E1" w:rsidRPr="008468A0" w:rsidRDefault="003F09E1" w:rsidP="003F09E1">
            <w:pPr>
              <w:spacing w:after="0"/>
              <w:jc w:val="center"/>
              <w:rPr>
                <w:rFonts w:eastAsia="Times New Roman" w:cs="Times New Roman"/>
                <w:szCs w:val="24"/>
              </w:rPr>
            </w:pPr>
            <w:r w:rsidRPr="008468A0">
              <w:rPr>
                <w:rFonts w:eastAsia="Times New Roman" w:cs="Times New Roman"/>
                <w:szCs w:val="24"/>
              </w:rPr>
              <w:t>2</w:t>
            </w:r>
          </w:p>
        </w:tc>
        <w:tc>
          <w:tcPr>
            <w:tcW w:w="3148" w:type="pct"/>
            <w:tcBorders>
              <w:top w:val="nil"/>
              <w:left w:val="nil"/>
              <w:bottom w:val="single" w:sz="4" w:space="0" w:color="auto"/>
              <w:right w:val="single" w:sz="4" w:space="0" w:color="auto"/>
            </w:tcBorders>
            <w:shd w:val="clear" w:color="000000" w:fill="FFFFFF"/>
            <w:vAlign w:val="center"/>
            <w:hideMark/>
          </w:tcPr>
          <w:p w14:paraId="069DAF1F" w14:textId="77777777" w:rsidR="003F09E1" w:rsidRPr="008468A0" w:rsidRDefault="003F09E1" w:rsidP="003F09E1">
            <w:pPr>
              <w:spacing w:after="0"/>
              <w:rPr>
                <w:rFonts w:eastAsia="Times New Roman" w:cs="Times New Roman"/>
                <w:szCs w:val="24"/>
              </w:rPr>
            </w:pPr>
            <w:r w:rsidRPr="008468A0">
              <w:rPr>
                <w:rFonts w:eastAsia="Times New Roman" w:cs="Times New Roman"/>
                <w:szCs w:val="24"/>
              </w:rPr>
              <w:t>Statistical Analysis on the Number of Employees in the Healthcare Sector in the United Kingdom.</w:t>
            </w:r>
          </w:p>
        </w:tc>
        <w:tc>
          <w:tcPr>
            <w:tcW w:w="902" w:type="pct"/>
            <w:tcBorders>
              <w:top w:val="nil"/>
              <w:left w:val="nil"/>
              <w:bottom w:val="single" w:sz="4" w:space="0" w:color="auto"/>
              <w:right w:val="single" w:sz="4" w:space="0" w:color="auto"/>
            </w:tcBorders>
            <w:shd w:val="clear" w:color="000000" w:fill="FFFFFF"/>
            <w:noWrap/>
            <w:vAlign w:val="center"/>
            <w:hideMark/>
          </w:tcPr>
          <w:p w14:paraId="6A53F088" w14:textId="77777777" w:rsidR="003F09E1" w:rsidRPr="008468A0" w:rsidRDefault="003F09E1" w:rsidP="003F09E1">
            <w:pPr>
              <w:spacing w:after="0"/>
              <w:jc w:val="center"/>
              <w:rPr>
                <w:rFonts w:eastAsia="Times New Roman" w:cs="Times New Roman"/>
                <w:szCs w:val="24"/>
              </w:rPr>
            </w:pPr>
            <w:r w:rsidRPr="008468A0">
              <w:rPr>
                <w:rFonts w:eastAsia="Times New Roman" w:cs="Times New Roman"/>
                <w:szCs w:val="24"/>
              </w:rPr>
              <w:t>23-24</w:t>
            </w:r>
          </w:p>
        </w:tc>
      </w:tr>
      <w:tr w:rsidR="008468A0" w:rsidRPr="008468A0" w14:paraId="3F32B911" w14:textId="77777777" w:rsidTr="003F09E1">
        <w:trPr>
          <w:trHeight w:val="630"/>
        </w:trPr>
        <w:tc>
          <w:tcPr>
            <w:tcW w:w="949" w:type="pct"/>
            <w:tcBorders>
              <w:top w:val="nil"/>
              <w:left w:val="single" w:sz="4" w:space="0" w:color="auto"/>
              <w:bottom w:val="single" w:sz="4" w:space="0" w:color="auto"/>
              <w:right w:val="single" w:sz="4" w:space="0" w:color="auto"/>
            </w:tcBorders>
            <w:shd w:val="clear" w:color="000000" w:fill="FFFFFF"/>
            <w:noWrap/>
            <w:vAlign w:val="center"/>
            <w:hideMark/>
          </w:tcPr>
          <w:p w14:paraId="6B60A645" w14:textId="77777777" w:rsidR="003F09E1" w:rsidRPr="008468A0" w:rsidRDefault="003F09E1" w:rsidP="003F09E1">
            <w:pPr>
              <w:spacing w:after="0"/>
              <w:jc w:val="center"/>
              <w:rPr>
                <w:rFonts w:eastAsia="Times New Roman" w:cs="Times New Roman"/>
                <w:szCs w:val="24"/>
              </w:rPr>
            </w:pPr>
            <w:r w:rsidRPr="008468A0">
              <w:rPr>
                <w:rFonts w:eastAsia="Times New Roman" w:cs="Times New Roman"/>
                <w:szCs w:val="24"/>
              </w:rPr>
              <w:t>3</w:t>
            </w:r>
          </w:p>
        </w:tc>
        <w:tc>
          <w:tcPr>
            <w:tcW w:w="3148" w:type="pct"/>
            <w:tcBorders>
              <w:top w:val="nil"/>
              <w:left w:val="nil"/>
              <w:bottom w:val="single" w:sz="4" w:space="0" w:color="auto"/>
              <w:right w:val="single" w:sz="4" w:space="0" w:color="auto"/>
            </w:tcBorders>
            <w:shd w:val="clear" w:color="000000" w:fill="FFFFFF"/>
            <w:vAlign w:val="bottom"/>
            <w:hideMark/>
          </w:tcPr>
          <w:p w14:paraId="75D78B44" w14:textId="77777777" w:rsidR="003F09E1" w:rsidRPr="008468A0" w:rsidRDefault="003F09E1" w:rsidP="003F09E1">
            <w:pPr>
              <w:spacing w:after="0"/>
              <w:rPr>
                <w:rFonts w:eastAsia="Times New Roman" w:cs="Times New Roman"/>
                <w:szCs w:val="24"/>
              </w:rPr>
            </w:pPr>
            <w:r w:rsidRPr="008468A0">
              <w:rPr>
                <w:rFonts w:eastAsia="Times New Roman" w:cs="Times New Roman"/>
                <w:szCs w:val="24"/>
              </w:rPr>
              <w:t>Statistical Analysis on the Number of Firms in the Healthcare Sector in the United Kingdom</w:t>
            </w:r>
          </w:p>
        </w:tc>
        <w:tc>
          <w:tcPr>
            <w:tcW w:w="902" w:type="pct"/>
            <w:tcBorders>
              <w:top w:val="nil"/>
              <w:left w:val="nil"/>
              <w:bottom w:val="single" w:sz="4" w:space="0" w:color="auto"/>
              <w:right w:val="single" w:sz="4" w:space="0" w:color="auto"/>
            </w:tcBorders>
            <w:shd w:val="clear" w:color="000000" w:fill="FFFFFF"/>
            <w:noWrap/>
            <w:vAlign w:val="center"/>
            <w:hideMark/>
          </w:tcPr>
          <w:p w14:paraId="6906A69D" w14:textId="77777777" w:rsidR="003F09E1" w:rsidRPr="008468A0" w:rsidRDefault="003F09E1" w:rsidP="003F09E1">
            <w:pPr>
              <w:spacing w:after="0"/>
              <w:jc w:val="center"/>
              <w:rPr>
                <w:rFonts w:eastAsia="Times New Roman" w:cs="Times New Roman"/>
                <w:szCs w:val="24"/>
              </w:rPr>
            </w:pPr>
            <w:r w:rsidRPr="008468A0">
              <w:rPr>
                <w:rFonts w:eastAsia="Times New Roman" w:cs="Times New Roman"/>
                <w:szCs w:val="24"/>
              </w:rPr>
              <w:t>26-27</w:t>
            </w:r>
          </w:p>
        </w:tc>
      </w:tr>
    </w:tbl>
    <w:p w14:paraId="17F28776" w14:textId="77777777" w:rsidR="0001137D" w:rsidRPr="008468A0" w:rsidRDefault="0001137D" w:rsidP="0001137D">
      <w:pPr>
        <w:spacing w:line="276" w:lineRule="auto"/>
        <w:jc w:val="left"/>
      </w:pPr>
    </w:p>
    <w:p w14:paraId="4E437BE1" w14:textId="77777777" w:rsidR="0001137D" w:rsidRPr="008468A0" w:rsidRDefault="0001137D" w:rsidP="0001137D">
      <w:pPr>
        <w:spacing w:line="276" w:lineRule="auto"/>
        <w:jc w:val="left"/>
      </w:pPr>
    </w:p>
    <w:p w14:paraId="0DF4418E" w14:textId="77777777" w:rsidR="0001137D" w:rsidRPr="008468A0" w:rsidRDefault="0001137D" w:rsidP="0001137D">
      <w:pPr>
        <w:spacing w:line="276" w:lineRule="auto"/>
        <w:jc w:val="left"/>
      </w:pPr>
    </w:p>
    <w:p w14:paraId="6E839DC1" w14:textId="77777777" w:rsidR="0001137D" w:rsidRPr="008468A0" w:rsidRDefault="0001137D">
      <w:pPr>
        <w:spacing w:line="276" w:lineRule="auto"/>
        <w:jc w:val="left"/>
      </w:pPr>
      <w:r w:rsidRPr="008468A0">
        <w:br w:type="page"/>
      </w:r>
    </w:p>
    <w:p w14:paraId="4A47E5A8" w14:textId="77777777" w:rsidR="0001137D" w:rsidRPr="008468A0" w:rsidRDefault="0001137D" w:rsidP="0001137D">
      <w:pPr>
        <w:pStyle w:val="Heading1"/>
        <w:rPr>
          <w:color w:val="000000" w:themeColor="text1"/>
        </w:rPr>
      </w:pPr>
      <w:bookmarkStart w:id="3" w:name="_Toc138707955"/>
      <w:r w:rsidRPr="008468A0">
        <w:rPr>
          <w:color w:val="000000" w:themeColor="text1"/>
        </w:rPr>
        <w:lastRenderedPageBreak/>
        <w:t>List of Figures</w:t>
      </w:r>
      <w:bookmarkEnd w:id="3"/>
    </w:p>
    <w:tbl>
      <w:tblPr>
        <w:tblW w:w="5000" w:type="pct"/>
        <w:tblLook w:val="04A0" w:firstRow="1" w:lastRow="0" w:firstColumn="1" w:lastColumn="0" w:noHBand="0" w:noVBand="1"/>
      </w:tblPr>
      <w:tblGrid>
        <w:gridCol w:w="1974"/>
        <w:gridCol w:w="5784"/>
        <w:gridCol w:w="1818"/>
      </w:tblGrid>
      <w:tr w:rsidR="008468A0" w:rsidRPr="008468A0" w14:paraId="40AFF91D" w14:textId="77777777" w:rsidTr="00DD7814">
        <w:trPr>
          <w:trHeight w:val="315"/>
          <w:tblHeader/>
        </w:trPr>
        <w:tc>
          <w:tcPr>
            <w:tcW w:w="1031" w:type="pct"/>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43423147" w14:textId="77777777" w:rsidR="005123D7" w:rsidRPr="008468A0" w:rsidRDefault="005123D7" w:rsidP="005123D7">
            <w:pPr>
              <w:spacing w:after="0"/>
              <w:jc w:val="center"/>
              <w:rPr>
                <w:rFonts w:eastAsia="Times New Roman" w:cs="Times New Roman"/>
                <w:b/>
                <w:bCs/>
                <w:szCs w:val="24"/>
              </w:rPr>
            </w:pPr>
            <w:r w:rsidRPr="008468A0">
              <w:rPr>
                <w:rFonts w:eastAsia="Times New Roman" w:cs="Times New Roman"/>
                <w:b/>
                <w:bCs/>
                <w:szCs w:val="24"/>
              </w:rPr>
              <w:t>Figure Number</w:t>
            </w:r>
          </w:p>
        </w:tc>
        <w:tc>
          <w:tcPr>
            <w:tcW w:w="3020" w:type="pct"/>
            <w:tcBorders>
              <w:top w:val="single" w:sz="4" w:space="0" w:color="auto"/>
              <w:left w:val="nil"/>
              <w:bottom w:val="single" w:sz="4" w:space="0" w:color="auto"/>
              <w:right w:val="single" w:sz="4" w:space="0" w:color="auto"/>
            </w:tcBorders>
            <w:shd w:val="clear" w:color="000000" w:fill="FFFFFF"/>
            <w:vAlign w:val="bottom"/>
            <w:hideMark/>
          </w:tcPr>
          <w:p w14:paraId="5D694310" w14:textId="77777777" w:rsidR="005123D7" w:rsidRPr="008468A0" w:rsidRDefault="005123D7" w:rsidP="005123D7">
            <w:pPr>
              <w:spacing w:after="0"/>
              <w:jc w:val="center"/>
              <w:rPr>
                <w:rFonts w:eastAsia="Times New Roman" w:cs="Times New Roman"/>
                <w:b/>
                <w:bCs/>
                <w:szCs w:val="24"/>
              </w:rPr>
            </w:pPr>
            <w:r w:rsidRPr="008468A0">
              <w:rPr>
                <w:rFonts w:eastAsia="Times New Roman" w:cs="Times New Roman"/>
                <w:b/>
                <w:bCs/>
                <w:szCs w:val="24"/>
              </w:rPr>
              <w:t>Name</w:t>
            </w:r>
          </w:p>
        </w:tc>
        <w:tc>
          <w:tcPr>
            <w:tcW w:w="949" w:type="pct"/>
            <w:tcBorders>
              <w:top w:val="single" w:sz="4" w:space="0" w:color="auto"/>
              <w:left w:val="nil"/>
              <w:bottom w:val="single" w:sz="4" w:space="0" w:color="auto"/>
              <w:right w:val="single" w:sz="4" w:space="0" w:color="auto"/>
            </w:tcBorders>
            <w:shd w:val="clear" w:color="000000" w:fill="FFFFFF"/>
            <w:noWrap/>
            <w:vAlign w:val="center"/>
            <w:hideMark/>
          </w:tcPr>
          <w:p w14:paraId="2A3EA796" w14:textId="77777777" w:rsidR="005123D7" w:rsidRPr="008468A0" w:rsidRDefault="005123D7" w:rsidP="005123D7">
            <w:pPr>
              <w:spacing w:after="0"/>
              <w:jc w:val="center"/>
              <w:rPr>
                <w:rFonts w:eastAsia="Times New Roman" w:cs="Times New Roman"/>
                <w:b/>
                <w:bCs/>
                <w:szCs w:val="24"/>
              </w:rPr>
            </w:pPr>
            <w:r w:rsidRPr="008468A0">
              <w:rPr>
                <w:rFonts w:eastAsia="Times New Roman" w:cs="Times New Roman"/>
                <w:b/>
                <w:bCs/>
                <w:szCs w:val="24"/>
              </w:rPr>
              <w:t>Page Number</w:t>
            </w:r>
          </w:p>
        </w:tc>
      </w:tr>
      <w:tr w:rsidR="008468A0" w:rsidRPr="008468A0" w14:paraId="26B9228B" w14:textId="77777777" w:rsidTr="00DD7814">
        <w:trPr>
          <w:trHeight w:val="630"/>
        </w:trPr>
        <w:tc>
          <w:tcPr>
            <w:tcW w:w="1031" w:type="pct"/>
            <w:tcBorders>
              <w:top w:val="nil"/>
              <w:left w:val="single" w:sz="4" w:space="0" w:color="auto"/>
              <w:bottom w:val="single" w:sz="4" w:space="0" w:color="auto"/>
              <w:right w:val="single" w:sz="4" w:space="0" w:color="auto"/>
            </w:tcBorders>
            <w:shd w:val="clear" w:color="000000" w:fill="FFFFFF"/>
            <w:noWrap/>
            <w:vAlign w:val="center"/>
            <w:hideMark/>
          </w:tcPr>
          <w:p w14:paraId="39F49C49"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1</w:t>
            </w:r>
          </w:p>
        </w:tc>
        <w:tc>
          <w:tcPr>
            <w:tcW w:w="3020" w:type="pct"/>
            <w:tcBorders>
              <w:top w:val="nil"/>
              <w:left w:val="nil"/>
              <w:bottom w:val="nil"/>
              <w:right w:val="nil"/>
            </w:tcBorders>
            <w:shd w:val="clear" w:color="auto" w:fill="auto"/>
            <w:vAlign w:val="bottom"/>
            <w:hideMark/>
          </w:tcPr>
          <w:p w14:paraId="781C72AF" w14:textId="77777777" w:rsidR="005123D7" w:rsidRPr="008468A0" w:rsidRDefault="005123D7" w:rsidP="005123D7">
            <w:pPr>
              <w:spacing w:after="0"/>
              <w:rPr>
                <w:rFonts w:eastAsia="Times New Roman" w:cs="Times New Roman"/>
                <w:szCs w:val="24"/>
              </w:rPr>
            </w:pPr>
            <w:r w:rsidRPr="008468A0">
              <w:rPr>
                <w:rFonts w:eastAsia="Times New Roman" w:cs="Times New Roman"/>
                <w:szCs w:val="24"/>
              </w:rPr>
              <w:t>Expenditure in the Healthcare Sector in the United Kingdom</w:t>
            </w:r>
          </w:p>
        </w:tc>
        <w:tc>
          <w:tcPr>
            <w:tcW w:w="949" w:type="pct"/>
            <w:tcBorders>
              <w:top w:val="nil"/>
              <w:left w:val="single" w:sz="4" w:space="0" w:color="auto"/>
              <w:bottom w:val="single" w:sz="4" w:space="0" w:color="auto"/>
              <w:right w:val="single" w:sz="4" w:space="0" w:color="auto"/>
            </w:tcBorders>
            <w:shd w:val="clear" w:color="000000" w:fill="FFFFFF"/>
            <w:noWrap/>
            <w:vAlign w:val="center"/>
            <w:hideMark/>
          </w:tcPr>
          <w:p w14:paraId="76689F6D"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17</w:t>
            </w:r>
          </w:p>
        </w:tc>
      </w:tr>
      <w:tr w:rsidR="008468A0" w:rsidRPr="008468A0" w14:paraId="4F85B73C" w14:textId="77777777" w:rsidTr="00DD7814">
        <w:trPr>
          <w:trHeight w:val="630"/>
        </w:trPr>
        <w:tc>
          <w:tcPr>
            <w:tcW w:w="1031" w:type="pct"/>
            <w:tcBorders>
              <w:top w:val="nil"/>
              <w:left w:val="single" w:sz="4" w:space="0" w:color="auto"/>
              <w:bottom w:val="single" w:sz="4" w:space="0" w:color="auto"/>
              <w:right w:val="single" w:sz="4" w:space="0" w:color="auto"/>
            </w:tcBorders>
            <w:shd w:val="clear" w:color="000000" w:fill="FFFFFF"/>
            <w:noWrap/>
            <w:vAlign w:val="center"/>
            <w:hideMark/>
          </w:tcPr>
          <w:p w14:paraId="276EF169"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2</w:t>
            </w:r>
          </w:p>
        </w:tc>
        <w:tc>
          <w:tcPr>
            <w:tcW w:w="3020" w:type="pct"/>
            <w:tcBorders>
              <w:top w:val="single" w:sz="4" w:space="0" w:color="auto"/>
              <w:left w:val="nil"/>
              <w:bottom w:val="single" w:sz="4" w:space="0" w:color="auto"/>
              <w:right w:val="single" w:sz="4" w:space="0" w:color="auto"/>
            </w:tcBorders>
            <w:shd w:val="clear" w:color="000000" w:fill="FFFFFF"/>
            <w:vAlign w:val="bottom"/>
            <w:hideMark/>
          </w:tcPr>
          <w:p w14:paraId="6630047C" w14:textId="77777777" w:rsidR="005123D7" w:rsidRPr="008468A0" w:rsidRDefault="005123D7" w:rsidP="005123D7">
            <w:pPr>
              <w:spacing w:after="0"/>
              <w:rPr>
                <w:rFonts w:eastAsia="Times New Roman" w:cs="Times New Roman"/>
                <w:szCs w:val="24"/>
              </w:rPr>
            </w:pPr>
            <w:r w:rsidRPr="008468A0">
              <w:rPr>
                <w:rFonts w:eastAsia="Times New Roman" w:cs="Times New Roman"/>
                <w:szCs w:val="24"/>
              </w:rPr>
              <w:t>Yearly Growth Rate of Expenditure in the Healthcare Sector in the United Kingdom</w:t>
            </w:r>
          </w:p>
        </w:tc>
        <w:tc>
          <w:tcPr>
            <w:tcW w:w="949" w:type="pct"/>
            <w:tcBorders>
              <w:top w:val="nil"/>
              <w:left w:val="nil"/>
              <w:bottom w:val="single" w:sz="4" w:space="0" w:color="auto"/>
              <w:right w:val="single" w:sz="4" w:space="0" w:color="auto"/>
            </w:tcBorders>
            <w:shd w:val="clear" w:color="000000" w:fill="FFFFFF"/>
            <w:noWrap/>
            <w:vAlign w:val="center"/>
            <w:hideMark/>
          </w:tcPr>
          <w:p w14:paraId="5B2903DA"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18</w:t>
            </w:r>
          </w:p>
        </w:tc>
      </w:tr>
      <w:tr w:rsidR="008468A0" w:rsidRPr="008468A0" w14:paraId="11E1B3FE" w14:textId="77777777" w:rsidTr="00DD7814">
        <w:trPr>
          <w:trHeight w:val="630"/>
        </w:trPr>
        <w:tc>
          <w:tcPr>
            <w:tcW w:w="1031" w:type="pct"/>
            <w:tcBorders>
              <w:top w:val="nil"/>
              <w:left w:val="single" w:sz="4" w:space="0" w:color="auto"/>
              <w:bottom w:val="single" w:sz="4" w:space="0" w:color="auto"/>
              <w:right w:val="single" w:sz="4" w:space="0" w:color="auto"/>
            </w:tcBorders>
            <w:shd w:val="clear" w:color="000000" w:fill="FFFFFF"/>
            <w:noWrap/>
            <w:vAlign w:val="center"/>
            <w:hideMark/>
          </w:tcPr>
          <w:p w14:paraId="57D347FF"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3</w:t>
            </w:r>
          </w:p>
        </w:tc>
        <w:tc>
          <w:tcPr>
            <w:tcW w:w="3020" w:type="pct"/>
            <w:tcBorders>
              <w:top w:val="nil"/>
              <w:left w:val="nil"/>
              <w:bottom w:val="single" w:sz="4" w:space="0" w:color="auto"/>
              <w:right w:val="single" w:sz="4" w:space="0" w:color="auto"/>
            </w:tcBorders>
            <w:shd w:val="clear" w:color="000000" w:fill="FFFFFF"/>
            <w:vAlign w:val="bottom"/>
            <w:hideMark/>
          </w:tcPr>
          <w:p w14:paraId="5F7DDB40" w14:textId="77777777" w:rsidR="005123D7" w:rsidRPr="008468A0" w:rsidRDefault="005123D7" w:rsidP="005123D7">
            <w:pPr>
              <w:spacing w:after="0"/>
              <w:rPr>
                <w:rFonts w:eastAsia="Times New Roman" w:cs="Times New Roman"/>
                <w:szCs w:val="24"/>
              </w:rPr>
            </w:pPr>
            <w:r w:rsidRPr="008468A0">
              <w:rPr>
                <w:rFonts w:eastAsia="Times New Roman" w:cs="Times New Roman"/>
                <w:szCs w:val="24"/>
              </w:rPr>
              <w:t>Number of Employees in the Healthcare Sector in the United Kingdom</w:t>
            </w:r>
          </w:p>
        </w:tc>
        <w:tc>
          <w:tcPr>
            <w:tcW w:w="949" w:type="pct"/>
            <w:tcBorders>
              <w:top w:val="nil"/>
              <w:left w:val="nil"/>
              <w:bottom w:val="single" w:sz="4" w:space="0" w:color="auto"/>
              <w:right w:val="single" w:sz="4" w:space="0" w:color="auto"/>
            </w:tcBorders>
            <w:shd w:val="clear" w:color="000000" w:fill="FFFFFF"/>
            <w:noWrap/>
            <w:vAlign w:val="center"/>
            <w:hideMark/>
          </w:tcPr>
          <w:p w14:paraId="7A510960"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21</w:t>
            </w:r>
          </w:p>
        </w:tc>
      </w:tr>
      <w:tr w:rsidR="008468A0" w:rsidRPr="008468A0" w14:paraId="152CF71B" w14:textId="77777777" w:rsidTr="00DD7814">
        <w:trPr>
          <w:trHeight w:val="720"/>
        </w:trPr>
        <w:tc>
          <w:tcPr>
            <w:tcW w:w="1031" w:type="pct"/>
            <w:tcBorders>
              <w:top w:val="nil"/>
              <w:left w:val="single" w:sz="4" w:space="0" w:color="auto"/>
              <w:bottom w:val="single" w:sz="4" w:space="0" w:color="auto"/>
              <w:right w:val="single" w:sz="4" w:space="0" w:color="auto"/>
            </w:tcBorders>
            <w:shd w:val="clear" w:color="000000" w:fill="FFFFFF"/>
            <w:noWrap/>
            <w:vAlign w:val="center"/>
            <w:hideMark/>
          </w:tcPr>
          <w:p w14:paraId="1AC2E487"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4</w:t>
            </w:r>
          </w:p>
        </w:tc>
        <w:tc>
          <w:tcPr>
            <w:tcW w:w="3020" w:type="pct"/>
            <w:tcBorders>
              <w:top w:val="nil"/>
              <w:left w:val="nil"/>
              <w:bottom w:val="single" w:sz="4" w:space="0" w:color="auto"/>
              <w:right w:val="single" w:sz="4" w:space="0" w:color="auto"/>
            </w:tcBorders>
            <w:shd w:val="clear" w:color="000000" w:fill="FFFFFF"/>
            <w:vAlign w:val="center"/>
            <w:hideMark/>
          </w:tcPr>
          <w:p w14:paraId="41C5CCEF" w14:textId="77777777" w:rsidR="005123D7" w:rsidRPr="008468A0" w:rsidRDefault="005123D7" w:rsidP="005123D7">
            <w:pPr>
              <w:spacing w:after="0"/>
              <w:rPr>
                <w:rFonts w:eastAsia="Times New Roman" w:cs="Times New Roman"/>
                <w:szCs w:val="24"/>
              </w:rPr>
            </w:pPr>
            <w:r w:rsidRPr="008468A0">
              <w:rPr>
                <w:rFonts w:eastAsia="Times New Roman" w:cs="Times New Roman"/>
                <w:szCs w:val="24"/>
              </w:rPr>
              <w:t>Yearly Growth Rate in Number of Employees in the Healthcare Sector in the United Kingdom</w:t>
            </w:r>
          </w:p>
        </w:tc>
        <w:tc>
          <w:tcPr>
            <w:tcW w:w="949" w:type="pct"/>
            <w:tcBorders>
              <w:top w:val="nil"/>
              <w:left w:val="nil"/>
              <w:bottom w:val="single" w:sz="4" w:space="0" w:color="auto"/>
              <w:right w:val="single" w:sz="4" w:space="0" w:color="auto"/>
            </w:tcBorders>
            <w:shd w:val="clear" w:color="000000" w:fill="FFFFFF"/>
            <w:noWrap/>
            <w:vAlign w:val="center"/>
            <w:hideMark/>
          </w:tcPr>
          <w:p w14:paraId="5C53C803"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22</w:t>
            </w:r>
          </w:p>
        </w:tc>
      </w:tr>
      <w:tr w:rsidR="008468A0" w:rsidRPr="008468A0" w14:paraId="25922C72" w14:textId="77777777" w:rsidTr="00DD7814">
        <w:trPr>
          <w:trHeight w:val="630"/>
        </w:trPr>
        <w:tc>
          <w:tcPr>
            <w:tcW w:w="1031" w:type="pct"/>
            <w:tcBorders>
              <w:top w:val="nil"/>
              <w:left w:val="single" w:sz="4" w:space="0" w:color="auto"/>
              <w:bottom w:val="single" w:sz="4" w:space="0" w:color="auto"/>
              <w:right w:val="single" w:sz="4" w:space="0" w:color="auto"/>
            </w:tcBorders>
            <w:shd w:val="clear" w:color="000000" w:fill="FFFFFF"/>
            <w:noWrap/>
            <w:vAlign w:val="center"/>
            <w:hideMark/>
          </w:tcPr>
          <w:p w14:paraId="79107C61"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5</w:t>
            </w:r>
          </w:p>
        </w:tc>
        <w:tc>
          <w:tcPr>
            <w:tcW w:w="3020" w:type="pct"/>
            <w:tcBorders>
              <w:top w:val="nil"/>
              <w:left w:val="nil"/>
              <w:bottom w:val="single" w:sz="4" w:space="0" w:color="auto"/>
              <w:right w:val="single" w:sz="4" w:space="0" w:color="auto"/>
            </w:tcBorders>
            <w:shd w:val="clear" w:color="000000" w:fill="FFFFFF"/>
            <w:vAlign w:val="bottom"/>
            <w:hideMark/>
          </w:tcPr>
          <w:p w14:paraId="08809093" w14:textId="77777777" w:rsidR="005123D7" w:rsidRPr="008468A0" w:rsidRDefault="005123D7" w:rsidP="005123D7">
            <w:pPr>
              <w:spacing w:after="0"/>
              <w:rPr>
                <w:rFonts w:eastAsia="Times New Roman" w:cs="Times New Roman"/>
                <w:szCs w:val="24"/>
              </w:rPr>
            </w:pPr>
            <w:r w:rsidRPr="008468A0">
              <w:rPr>
                <w:rFonts w:eastAsia="Times New Roman" w:cs="Times New Roman"/>
                <w:szCs w:val="24"/>
              </w:rPr>
              <w:t>Number of Firms in the Healthcare Sector in the United Kingdom</w:t>
            </w:r>
          </w:p>
        </w:tc>
        <w:tc>
          <w:tcPr>
            <w:tcW w:w="949" w:type="pct"/>
            <w:tcBorders>
              <w:top w:val="nil"/>
              <w:left w:val="nil"/>
              <w:bottom w:val="single" w:sz="4" w:space="0" w:color="auto"/>
              <w:right w:val="single" w:sz="4" w:space="0" w:color="auto"/>
            </w:tcBorders>
            <w:shd w:val="clear" w:color="000000" w:fill="FFFFFF"/>
            <w:noWrap/>
            <w:vAlign w:val="center"/>
            <w:hideMark/>
          </w:tcPr>
          <w:p w14:paraId="47370A47"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25</w:t>
            </w:r>
          </w:p>
        </w:tc>
      </w:tr>
      <w:tr w:rsidR="008468A0" w:rsidRPr="008468A0" w14:paraId="7A0A2C0D" w14:textId="77777777" w:rsidTr="00DD7814">
        <w:trPr>
          <w:trHeight w:val="630"/>
        </w:trPr>
        <w:tc>
          <w:tcPr>
            <w:tcW w:w="1031" w:type="pct"/>
            <w:tcBorders>
              <w:top w:val="nil"/>
              <w:left w:val="single" w:sz="4" w:space="0" w:color="auto"/>
              <w:bottom w:val="single" w:sz="4" w:space="0" w:color="auto"/>
              <w:right w:val="single" w:sz="4" w:space="0" w:color="auto"/>
            </w:tcBorders>
            <w:shd w:val="clear" w:color="000000" w:fill="FFFFFF"/>
            <w:noWrap/>
            <w:vAlign w:val="center"/>
            <w:hideMark/>
          </w:tcPr>
          <w:p w14:paraId="73BFE568"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6</w:t>
            </w:r>
          </w:p>
        </w:tc>
        <w:tc>
          <w:tcPr>
            <w:tcW w:w="3020" w:type="pct"/>
            <w:tcBorders>
              <w:top w:val="nil"/>
              <w:left w:val="nil"/>
              <w:bottom w:val="single" w:sz="4" w:space="0" w:color="auto"/>
              <w:right w:val="single" w:sz="4" w:space="0" w:color="auto"/>
            </w:tcBorders>
            <w:shd w:val="clear" w:color="000000" w:fill="FFFFFF"/>
            <w:vAlign w:val="bottom"/>
            <w:hideMark/>
          </w:tcPr>
          <w:p w14:paraId="23D0B860" w14:textId="77777777" w:rsidR="005123D7" w:rsidRPr="008468A0" w:rsidRDefault="005123D7" w:rsidP="005123D7">
            <w:pPr>
              <w:spacing w:after="0"/>
              <w:rPr>
                <w:rFonts w:eastAsia="Times New Roman" w:cs="Times New Roman"/>
                <w:szCs w:val="24"/>
              </w:rPr>
            </w:pPr>
            <w:r w:rsidRPr="008468A0">
              <w:rPr>
                <w:rFonts w:eastAsia="Times New Roman" w:cs="Times New Roman"/>
                <w:szCs w:val="24"/>
              </w:rPr>
              <w:t>Yearly Growth Rate in Number of Firms in the Healthcare Sector in the United Kingdom</w:t>
            </w:r>
          </w:p>
        </w:tc>
        <w:tc>
          <w:tcPr>
            <w:tcW w:w="949" w:type="pct"/>
            <w:tcBorders>
              <w:top w:val="nil"/>
              <w:left w:val="nil"/>
              <w:bottom w:val="single" w:sz="4" w:space="0" w:color="auto"/>
              <w:right w:val="single" w:sz="4" w:space="0" w:color="auto"/>
            </w:tcBorders>
            <w:shd w:val="clear" w:color="000000" w:fill="FFFFFF"/>
            <w:noWrap/>
            <w:vAlign w:val="center"/>
            <w:hideMark/>
          </w:tcPr>
          <w:p w14:paraId="193DFC71" w14:textId="77777777" w:rsidR="005123D7" w:rsidRPr="008468A0" w:rsidRDefault="005123D7" w:rsidP="005123D7">
            <w:pPr>
              <w:spacing w:after="0"/>
              <w:jc w:val="center"/>
              <w:rPr>
                <w:rFonts w:eastAsia="Times New Roman" w:cs="Times New Roman"/>
                <w:szCs w:val="24"/>
              </w:rPr>
            </w:pPr>
            <w:r w:rsidRPr="008468A0">
              <w:rPr>
                <w:rFonts w:eastAsia="Times New Roman" w:cs="Times New Roman"/>
                <w:szCs w:val="24"/>
              </w:rPr>
              <w:t>26</w:t>
            </w:r>
          </w:p>
        </w:tc>
      </w:tr>
    </w:tbl>
    <w:p w14:paraId="7348E6FB" w14:textId="77777777" w:rsidR="0001137D" w:rsidRPr="008468A0" w:rsidRDefault="0001137D" w:rsidP="0001137D">
      <w:pPr>
        <w:spacing w:line="276" w:lineRule="auto"/>
        <w:jc w:val="left"/>
      </w:pPr>
    </w:p>
    <w:p w14:paraId="4ED2198D" w14:textId="77777777" w:rsidR="0001137D" w:rsidRPr="008468A0" w:rsidRDefault="0001137D" w:rsidP="0001137D">
      <w:pPr>
        <w:spacing w:line="276" w:lineRule="auto"/>
        <w:jc w:val="left"/>
      </w:pPr>
    </w:p>
    <w:p w14:paraId="6D2B257D" w14:textId="77777777" w:rsidR="0001137D" w:rsidRPr="008468A0" w:rsidRDefault="0001137D" w:rsidP="0001137D">
      <w:pPr>
        <w:spacing w:line="276" w:lineRule="auto"/>
        <w:jc w:val="left"/>
      </w:pPr>
    </w:p>
    <w:p w14:paraId="2B4A2280" w14:textId="77777777" w:rsidR="0001137D" w:rsidRPr="008468A0" w:rsidRDefault="0001137D" w:rsidP="0001137D">
      <w:pPr>
        <w:spacing w:line="276" w:lineRule="auto"/>
        <w:jc w:val="left"/>
      </w:pPr>
    </w:p>
    <w:p w14:paraId="561A462A" w14:textId="77777777" w:rsidR="0001137D" w:rsidRPr="008468A0" w:rsidRDefault="0001137D" w:rsidP="0001137D">
      <w:pPr>
        <w:spacing w:line="276" w:lineRule="auto"/>
        <w:jc w:val="left"/>
      </w:pPr>
    </w:p>
    <w:p w14:paraId="4902A5E7" w14:textId="77777777" w:rsidR="0001137D" w:rsidRPr="008468A0" w:rsidRDefault="0001137D" w:rsidP="0001137D">
      <w:pPr>
        <w:spacing w:line="276" w:lineRule="auto"/>
        <w:jc w:val="left"/>
      </w:pPr>
    </w:p>
    <w:p w14:paraId="05A3774C" w14:textId="77777777" w:rsidR="0001137D" w:rsidRPr="008468A0" w:rsidRDefault="0001137D" w:rsidP="0001137D">
      <w:pPr>
        <w:spacing w:line="276" w:lineRule="auto"/>
        <w:jc w:val="left"/>
      </w:pPr>
    </w:p>
    <w:p w14:paraId="6B24530F" w14:textId="77777777" w:rsidR="0001137D" w:rsidRPr="008468A0" w:rsidRDefault="0001137D" w:rsidP="0001137D">
      <w:pPr>
        <w:spacing w:line="276" w:lineRule="auto"/>
        <w:jc w:val="left"/>
      </w:pPr>
    </w:p>
    <w:p w14:paraId="6B9345FB" w14:textId="77777777" w:rsidR="0001137D" w:rsidRPr="008468A0" w:rsidRDefault="0001137D">
      <w:pPr>
        <w:spacing w:line="276" w:lineRule="auto"/>
        <w:jc w:val="left"/>
      </w:pPr>
    </w:p>
    <w:p w14:paraId="0BF09ECE" w14:textId="77777777" w:rsidR="0050773D" w:rsidRPr="008468A0" w:rsidRDefault="0050773D">
      <w:pPr>
        <w:spacing w:line="276" w:lineRule="auto"/>
        <w:jc w:val="left"/>
        <w:rPr>
          <w:rFonts w:asciiTheme="majorHAnsi" w:eastAsiaTheme="majorEastAsia" w:hAnsiTheme="majorHAnsi" w:cstheme="majorBidi"/>
          <w:b/>
          <w:bCs/>
          <w:sz w:val="28"/>
          <w:szCs w:val="28"/>
        </w:rPr>
      </w:pPr>
      <w:r w:rsidRPr="008468A0">
        <w:br w:type="page"/>
      </w:r>
    </w:p>
    <w:p w14:paraId="2908F89D" w14:textId="77777777" w:rsidR="002C21E3" w:rsidRPr="008468A0" w:rsidRDefault="00E27920" w:rsidP="00E27920">
      <w:pPr>
        <w:pStyle w:val="Heading1"/>
        <w:rPr>
          <w:color w:val="000000" w:themeColor="text1"/>
        </w:rPr>
      </w:pPr>
      <w:bookmarkStart w:id="4" w:name="_Toc138707956"/>
      <w:r w:rsidRPr="008468A0">
        <w:rPr>
          <w:color w:val="000000" w:themeColor="text1"/>
        </w:rPr>
        <w:lastRenderedPageBreak/>
        <w:t>Abstract</w:t>
      </w:r>
      <w:bookmarkEnd w:id="4"/>
    </w:p>
    <w:p w14:paraId="58366637" w14:textId="77777777" w:rsidR="007C0FF7" w:rsidRPr="008468A0" w:rsidRDefault="006D2899">
      <w:r w:rsidRPr="008468A0">
        <w:t xml:space="preserve">This work targets at indicating the effect on the performance of foreign workers in the health sector of the United Kingdom (UK) due to the existence of different types of challenges and opportunities in the healthcare sector of the United Kingdom. </w:t>
      </w:r>
      <w:r w:rsidR="00224AE4" w:rsidRPr="008468A0">
        <w:t xml:space="preserve">This piece of writing will contribute by finding out the effect of challenges, and obstacles on the performance of the health sector of the United Kingdom (UK), and ultimately, this will help to gain practical experience. </w:t>
      </w:r>
      <w:r w:rsidR="00782639" w:rsidRPr="008468A0">
        <w:t xml:space="preserve">To conduct the data analysis, statistical techniques, and time series analysis has been used here, </w:t>
      </w:r>
      <w:proofErr w:type="gramStart"/>
      <w:r w:rsidR="00782639" w:rsidRPr="008468A0">
        <w:t>Using</w:t>
      </w:r>
      <w:proofErr w:type="gramEnd"/>
      <w:r w:rsidR="00782639" w:rsidRPr="008468A0">
        <w:t xml:space="preserve"> descriptive statistics, and graphical presentation of information using line chart, bar chart, and column chart, the outcome will be extracted to provide the interpretation from the extracted output. </w:t>
      </w:r>
      <w:r w:rsidR="007C0FF7" w:rsidRPr="008468A0">
        <w:t>Both the possibility of Brexit and the existence of communication barriers for workers from European Union (EU) nations appear to be sources of worry for these personnel. These numbers show a rapid growth in the number of businesses in the UK's healthcare industry. However, the worry about workers losing job satisfaction has evolved from the possibility of job loss as a result of the Brexit issue. The methods include a greater increase in jobs in small and large healthcare firms across the UK compared to the increase in the bounce of the population rate in the years 2021 and 2022, as well as greater availability of healthcare jobs compared to the increase in population in the United Kingdom.</w:t>
      </w:r>
    </w:p>
    <w:p w14:paraId="39FC3B40" w14:textId="77777777" w:rsidR="00B5717F" w:rsidRPr="008468A0" w:rsidRDefault="00B5717F"/>
    <w:p w14:paraId="1C79D5FA" w14:textId="77777777" w:rsidR="002C21E3" w:rsidRPr="008468A0" w:rsidRDefault="002C21E3"/>
    <w:p w14:paraId="0912957D" w14:textId="77777777" w:rsidR="002C21E3" w:rsidRPr="008468A0" w:rsidRDefault="002C21E3"/>
    <w:p w14:paraId="28FDA2B2" w14:textId="77777777" w:rsidR="002C21E3" w:rsidRPr="008468A0" w:rsidRDefault="002C21E3"/>
    <w:p w14:paraId="255748AE" w14:textId="77777777" w:rsidR="002C21E3" w:rsidRPr="008468A0" w:rsidRDefault="002C21E3">
      <w:r w:rsidRPr="008468A0">
        <w:br w:type="page"/>
      </w:r>
    </w:p>
    <w:sdt>
      <w:sdtPr>
        <w:rPr>
          <w:rFonts w:ascii="Times New Roman" w:eastAsiaTheme="minorEastAsia" w:hAnsi="Times New Roman" w:cstheme="minorBidi"/>
          <w:b w:val="0"/>
          <w:bCs w:val="0"/>
          <w:color w:val="000000" w:themeColor="text1"/>
          <w:sz w:val="24"/>
          <w:szCs w:val="22"/>
        </w:rPr>
        <w:id w:val="7900750"/>
        <w:docPartObj>
          <w:docPartGallery w:val="Table of Contents"/>
          <w:docPartUnique/>
        </w:docPartObj>
      </w:sdtPr>
      <w:sdtContent>
        <w:p w14:paraId="208BEFAA" w14:textId="77777777" w:rsidR="00B33257" w:rsidRPr="008468A0" w:rsidRDefault="00B33257" w:rsidP="00B33257">
          <w:pPr>
            <w:pStyle w:val="TOCHeading"/>
            <w:spacing w:before="0" w:after="240"/>
            <w:rPr>
              <w:color w:val="000000" w:themeColor="text1"/>
            </w:rPr>
          </w:pPr>
          <w:r w:rsidRPr="008468A0">
            <w:rPr>
              <w:rFonts w:ascii="Times New Roman" w:hAnsi="Times New Roman" w:cs="Times New Roman"/>
              <w:color w:val="000000" w:themeColor="text1"/>
            </w:rPr>
            <w:t>Table of Contents</w:t>
          </w:r>
        </w:p>
        <w:p w14:paraId="337605EE" w14:textId="77777777" w:rsidR="00B33257" w:rsidRPr="008468A0" w:rsidRDefault="00FC6842">
          <w:pPr>
            <w:pStyle w:val="TOC1"/>
            <w:tabs>
              <w:tab w:val="right" w:leader="dot" w:pos="9350"/>
            </w:tabs>
            <w:rPr>
              <w:rFonts w:asciiTheme="minorHAnsi" w:hAnsiTheme="minorHAnsi"/>
              <w:noProof/>
              <w:sz w:val="22"/>
            </w:rPr>
          </w:pPr>
          <w:r w:rsidRPr="008468A0">
            <w:fldChar w:fldCharType="begin"/>
          </w:r>
          <w:r w:rsidR="00B33257" w:rsidRPr="008468A0">
            <w:instrText xml:space="preserve"> TOC \o "1-3" \h \z \u </w:instrText>
          </w:r>
          <w:r w:rsidRPr="008468A0">
            <w:fldChar w:fldCharType="separate"/>
          </w:r>
          <w:hyperlink w:anchor="_Toc138707952" w:history="1">
            <w:r w:rsidR="00B33257" w:rsidRPr="008468A0">
              <w:rPr>
                <w:rStyle w:val="Hyperlink"/>
                <w:noProof/>
                <w:color w:val="000000" w:themeColor="text1"/>
              </w:rPr>
              <w:t>Acknowledgement</w:t>
            </w:r>
            <w:r w:rsidR="00B33257" w:rsidRPr="008468A0">
              <w:rPr>
                <w:noProof/>
                <w:webHidden/>
              </w:rPr>
              <w:tab/>
            </w:r>
            <w:r w:rsidRPr="008468A0">
              <w:rPr>
                <w:noProof/>
                <w:webHidden/>
              </w:rPr>
              <w:fldChar w:fldCharType="begin"/>
            </w:r>
            <w:r w:rsidR="00B33257" w:rsidRPr="008468A0">
              <w:rPr>
                <w:noProof/>
                <w:webHidden/>
              </w:rPr>
              <w:instrText xml:space="preserve"> PAGEREF _Toc138707952 \h </w:instrText>
            </w:r>
            <w:r w:rsidRPr="008468A0">
              <w:rPr>
                <w:noProof/>
                <w:webHidden/>
              </w:rPr>
            </w:r>
            <w:r w:rsidRPr="008468A0">
              <w:rPr>
                <w:noProof/>
                <w:webHidden/>
              </w:rPr>
              <w:fldChar w:fldCharType="separate"/>
            </w:r>
            <w:r w:rsidR="00B33257" w:rsidRPr="008468A0">
              <w:rPr>
                <w:noProof/>
                <w:webHidden/>
              </w:rPr>
              <w:t>2</w:t>
            </w:r>
            <w:r w:rsidRPr="008468A0">
              <w:rPr>
                <w:noProof/>
                <w:webHidden/>
              </w:rPr>
              <w:fldChar w:fldCharType="end"/>
            </w:r>
          </w:hyperlink>
        </w:p>
        <w:p w14:paraId="51CE45A4" w14:textId="77777777" w:rsidR="00B33257" w:rsidRPr="008468A0" w:rsidRDefault="00000000">
          <w:pPr>
            <w:pStyle w:val="TOC1"/>
            <w:tabs>
              <w:tab w:val="right" w:leader="dot" w:pos="9350"/>
            </w:tabs>
            <w:rPr>
              <w:rFonts w:asciiTheme="minorHAnsi" w:hAnsiTheme="minorHAnsi"/>
              <w:noProof/>
              <w:sz w:val="22"/>
            </w:rPr>
          </w:pPr>
          <w:hyperlink w:anchor="_Toc138707953" w:history="1">
            <w:r w:rsidR="00B33257" w:rsidRPr="008468A0">
              <w:rPr>
                <w:rStyle w:val="Hyperlink"/>
                <w:noProof/>
                <w:color w:val="000000" w:themeColor="text1"/>
              </w:rPr>
              <w:t>Abbreviations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_Toc138707953 \h </w:instrText>
            </w:r>
            <w:r w:rsidR="00FC6842" w:rsidRPr="008468A0">
              <w:rPr>
                <w:noProof/>
                <w:webHidden/>
              </w:rPr>
            </w:r>
            <w:r w:rsidR="00FC6842" w:rsidRPr="008468A0">
              <w:rPr>
                <w:noProof/>
                <w:webHidden/>
              </w:rPr>
              <w:fldChar w:fldCharType="separate"/>
            </w:r>
            <w:r w:rsidR="00B33257" w:rsidRPr="008468A0">
              <w:rPr>
                <w:noProof/>
                <w:webHidden/>
              </w:rPr>
              <w:t>3</w:t>
            </w:r>
            <w:r w:rsidR="00FC6842" w:rsidRPr="008468A0">
              <w:rPr>
                <w:noProof/>
                <w:webHidden/>
              </w:rPr>
              <w:fldChar w:fldCharType="end"/>
            </w:r>
          </w:hyperlink>
        </w:p>
        <w:p w14:paraId="715277AC" w14:textId="77777777" w:rsidR="00B33257" w:rsidRPr="008468A0" w:rsidRDefault="00000000">
          <w:pPr>
            <w:pStyle w:val="TOC1"/>
            <w:tabs>
              <w:tab w:val="right" w:leader="dot" w:pos="9350"/>
            </w:tabs>
            <w:rPr>
              <w:rFonts w:asciiTheme="minorHAnsi" w:hAnsiTheme="minorHAnsi"/>
              <w:noProof/>
              <w:sz w:val="22"/>
            </w:rPr>
          </w:pPr>
          <w:hyperlink w:anchor="_Toc138707954" w:history="1">
            <w:r w:rsidR="00B33257" w:rsidRPr="008468A0">
              <w:rPr>
                <w:rStyle w:val="Hyperlink"/>
                <w:noProof/>
                <w:color w:val="000000" w:themeColor="text1"/>
              </w:rPr>
              <w:t>List of Tables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_Toc138707954 \h </w:instrText>
            </w:r>
            <w:r w:rsidR="00FC6842" w:rsidRPr="008468A0">
              <w:rPr>
                <w:noProof/>
                <w:webHidden/>
              </w:rPr>
            </w:r>
            <w:r w:rsidR="00FC6842" w:rsidRPr="008468A0">
              <w:rPr>
                <w:noProof/>
                <w:webHidden/>
              </w:rPr>
              <w:fldChar w:fldCharType="separate"/>
            </w:r>
            <w:r w:rsidR="00B33257" w:rsidRPr="008468A0">
              <w:rPr>
                <w:noProof/>
                <w:webHidden/>
              </w:rPr>
              <w:t>4</w:t>
            </w:r>
            <w:r w:rsidR="00FC6842" w:rsidRPr="008468A0">
              <w:rPr>
                <w:noProof/>
                <w:webHidden/>
              </w:rPr>
              <w:fldChar w:fldCharType="end"/>
            </w:r>
          </w:hyperlink>
        </w:p>
        <w:p w14:paraId="03C5EC30" w14:textId="77777777" w:rsidR="00B33257" w:rsidRPr="008468A0" w:rsidRDefault="00000000">
          <w:pPr>
            <w:pStyle w:val="TOC1"/>
            <w:tabs>
              <w:tab w:val="right" w:leader="dot" w:pos="9350"/>
            </w:tabs>
            <w:rPr>
              <w:rFonts w:asciiTheme="minorHAnsi" w:hAnsiTheme="minorHAnsi"/>
              <w:noProof/>
              <w:sz w:val="22"/>
            </w:rPr>
          </w:pPr>
          <w:hyperlink w:anchor="_Toc138707955" w:history="1">
            <w:r w:rsidR="00B33257" w:rsidRPr="008468A0">
              <w:rPr>
                <w:rStyle w:val="Hyperlink"/>
                <w:noProof/>
                <w:color w:val="000000" w:themeColor="text1"/>
              </w:rPr>
              <w:t>List of Figures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_Toc138707955 \h </w:instrText>
            </w:r>
            <w:r w:rsidR="00FC6842" w:rsidRPr="008468A0">
              <w:rPr>
                <w:noProof/>
                <w:webHidden/>
              </w:rPr>
            </w:r>
            <w:r w:rsidR="00FC6842" w:rsidRPr="008468A0">
              <w:rPr>
                <w:noProof/>
                <w:webHidden/>
              </w:rPr>
              <w:fldChar w:fldCharType="separate"/>
            </w:r>
            <w:r w:rsidR="00B33257" w:rsidRPr="008468A0">
              <w:rPr>
                <w:noProof/>
                <w:webHidden/>
              </w:rPr>
              <w:t>5</w:t>
            </w:r>
            <w:r w:rsidR="00FC6842" w:rsidRPr="008468A0">
              <w:rPr>
                <w:noProof/>
                <w:webHidden/>
              </w:rPr>
              <w:fldChar w:fldCharType="end"/>
            </w:r>
          </w:hyperlink>
        </w:p>
        <w:p w14:paraId="5B0293B9" w14:textId="77777777" w:rsidR="00B33257" w:rsidRPr="008468A0" w:rsidRDefault="00000000">
          <w:pPr>
            <w:pStyle w:val="TOC1"/>
            <w:tabs>
              <w:tab w:val="right" w:leader="dot" w:pos="9350"/>
            </w:tabs>
            <w:rPr>
              <w:rFonts w:asciiTheme="minorHAnsi" w:hAnsiTheme="minorHAnsi"/>
              <w:noProof/>
              <w:sz w:val="22"/>
            </w:rPr>
          </w:pPr>
          <w:hyperlink w:anchor="_Toc138707956" w:history="1">
            <w:r w:rsidR="00B33257" w:rsidRPr="008468A0">
              <w:rPr>
                <w:rStyle w:val="Hyperlink"/>
                <w:noProof/>
                <w:color w:val="000000" w:themeColor="text1"/>
              </w:rPr>
              <w:t>Abstract</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_Toc138707956 \h </w:instrText>
            </w:r>
            <w:r w:rsidR="00FC6842" w:rsidRPr="008468A0">
              <w:rPr>
                <w:noProof/>
                <w:webHidden/>
              </w:rPr>
            </w:r>
            <w:r w:rsidR="00FC6842" w:rsidRPr="008468A0">
              <w:rPr>
                <w:noProof/>
                <w:webHidden/>
              </w:rPr>
              <w:fldChar w:fldCharType="separate"/>
            </w:r>
            <w:r w:rsidR="00B33257" w:rsidRPr="008468A0">
              <w:rPr>
                <w:noProof/>
                <w:webHidden/>
              </w:rPr>
              <w:t>6</w:t>
            </w:r>
            <w:r w:rsidR="00FC6842" w:rsidRPr="008468A0">
              <w:rPr>
                <w:noProof/>
                <w:webHidden/>
              </w:rPr>
              <w:fldChar w:fldCharType="end"/>
            </w:r>
          </w:hyperlink>
        </w:p>
        <w:p w14:paraId="0CEA1972" w14:textId="77777777" w:rsidR="00B33257" w:rsidRPr="008468A0" w:rsidRDefault="00000000">
          <w:pPr>
            <w:pStyle w:val="TOC1"/>
            <w:tabs>
              <w:tab w:val="right" w:leader="dot" w:pos="9350"/>
            </w:tabs>
            <w:rPr>
              <w:rFonts w:asciiTheme="minorHAnsi" w:hAnsiTheme="minorHAnsi"/>
              <w:noProof/>
              <w:sz w:val="22"/>
            </w:rPr>
          </w:pPr>
          <w:hyperlink w:anchor="_Toc138707957" w:history="1">
            <w:r w:rsidR="00B33257" w:rsidRPr="008468A0">
              <w:rPr>
                <w:rStyle w:val="Hyperlink"/>
                <w:noProof/>
                <w:color w:val="000000" w:themeColor="text1"/>
              </w:rPr>
              <w:t>1 Introduction</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_Toc138707957 \h </w:instrText>
            </w:r>
            <w:r w:rsidR="00FC6842" w:rsidRPr="008468A0">
              <w:rPr>
                <w:noProof/>
                <w:webHidden/>
              </w:rPr>
            </w:r>
            <w:r w:rsidR="00FC6842" w:rsidRPr="008468A0">
              <w:rPr>
                <w:noProof/>
                <w:webHidden/>
              </w:rPr>
              <w:fldChar w:fldCharType="separate"/>
            </w:r>
            <w:r w:rsidR="00B33257" w:rsidRPr="008468A0">
              <w:rPr>
                <w:noProof/>
                <w:webHidden/>
              </w:rPr>
              <w:t>9</w:t>
            </w:r>
            <w:r w:rsidR="00FC6842" w:rsidRPr="008468A0">
              <w:rPr>
                <w:noProof/>
                <w:webHidden/>
              </w:rPr>
              <w:fldChar w:fldCharType="end"/>
            </w:r>
          </w:hyperlink>
        </w:p>
        <w:p w14:paraId="0BDED9D9" w14:textId="77777777" w:rsidR="00B33257" w:rsidRPr="008468A0" w:rsidRDefault="00000000">
          <w:pPr>
            <w:pStyle w:val="TOC2"/>
            <w:tabs>
              <w:tab w:val="right" w:leader="dot" w:pos="9350"/>
            </w:tabs>
            <w:rPr>
              <w:rFonts w:asciiTheme="minorHAnsi" w:hAnsiTheme="minorHAnsi"/>
              <w:noProof/>
              <w:sz w:val="22"/>
            </w:rPr>
          </w:pPr>
          <w:hyperlink w:anchor="_Toc138707958" w:history="1">
            <w:r w:rsidR="00B33257" w:rsidRPr="008468A0">
              <w:rPr>
                <w:rStyle w:val="Hyperlink"/>
                <w:noProof/>
                <w:color w:val="000000" w:themeColor="text1"/>
              </w:rPr>
              <w:t>1.1 Background, and Motivation behind Choosing the Study</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_Toc138707958 \h </w:instrText>
            </w:r>
            <w:r w:rsidR="00FC6842" w:rsidRPr="008468A0">
              <w:rPr>
                <w:noProof/>
                <w:webHidden/>
              </w:rPr>
            </w:r>
            <w:r w:rsidR="00FC6842" w:rsidRPr="008468A0">
              <w:rPr>
                <w:noProof/>
                <w:webHidden/>
              </w:rPr>
              <w:fldChar w:fldCharType="separate"/>
            </w:r>
            <w:r w:rsidR="00B33257" w:rsidRPr="008468A0">
              <w:rPr>
                <w:noProof/>
                <w:webHidden/>
              </w:rPr>
              <w:t>9</w:t>
            </w:r>
            <w:r w:rsidR="00FC6842" w:rsidRPr="008468A0">
              <w:rPr>
                <w:noProof/>
                <w:webHidden/>
              </w:rPr>
              <w:fldChar w:fldCharType="end"/>
            </w:r>
          </w:hyperlink>
        </w:p>
        <w:p w14:paraId="7F580C7B" w14:textId="77777777" w:rsidR="00B33257" w:rsidRPr="008468A0" w:rsidRDefault="00000000">
          <w:pPr>
            <w:pStyle w:val="TOC2"/>
            <w:tabs>
              <w:tab w:val="right" w:leader="dot" w:pos="9350"/>
            </w:tabs>
            <w:rPr>
              <w:rFonts w:asciiTheme="minorHAnsi" w:hAnsiTheme="minorHAnsi"/>
              <w:noProof/>
              <w:sz w:val="22"/>
            </w:rPr>
          </w:pPr>
          <w:hyperlink w:anchor="_Toc138707959" w:history="1">
            <w:r w:rsidR="00B33257" w:rsidRPr="008468A0">
              <w:rPr>
                <w:rStyle w:val="Hyperlink"/>
                <w:noProof/>
                <w:color w:val="000000" w:themeColor="text1"/>
              </w:rPr>
              <w:t>1.2 Problem Statement</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_Toc138707959 \h </w:instrText>
            </w:r>
            <w:r w:rsidR="00FC6842" w:rsidRPr="008468A0">
              <w:rPr>
                <w:noProof/>
                <w:webHidden/>
              </w:rPr>
            </w:r>
            <w:r w:rsidR="00FC6842" w:rsidRPr="008468A0">
              <w:rPr>
                <w:noProof/>
                <w:webHidden/>
              </w:rPr>
              <w:fldChar w:fldCharType="separate"/>
            </w:r>
            <w:r w:rsidR="00B33257" w:rsidRPr="008468A0">
              <w:rPr>
                <w:noProof/>
                <w:webHidden/>
              </w:rPr>
              <w:t>9</w:t>
            </w:r>
            <w:r w:rsidR="00FC6842" w:rsidRPr="008468A0">
              <w:rPr>
                <w:noProof/>
                <w:webHidden/>
              </w:rPr>
              <w:fldChar w:fldCharType="end"/>
            </w:r>
          </w:hyperlink>
        </w:p>
        <w:p w14:paraId="6FE3C2CB" w14:textId="77777777" w:rsidR="00B33257" w:rsidRPr="008468A0" w:rsidRDefault="00000000">
          <w:pPr>
            <w:pStyle w:val="TOC2"/>
            <w:tabs>
              <w:tab w:val="right" w:leader="dot" w:pos="9350"/>
            </w:tabs>
            <w:rPr>
              <w:rFonts w:asciiTheme="minorHAnsi" w:hAnsiTheme="minorHAnsi"/>
              <w:noProof/>
              <w:sz w:val="22"/>
            </w:rPr>
          </w:pPr>
          <w:hyperlink w:anchor="_Toc138707960" w:history="1">
            <w:r w:rsidR="00B33257" w:rsidRPr="008468A0">
              <w:rPr>
                <w:rStyle w:val="Hyperlink"/>
                <w:noProof/>
                <w:color w:val="000000" w:themeColor="text1"/>
              </w:rPr>
              <w:t>1.3 Research Aim, and Objectives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_Toc138707960 \h </w:instrText>
            </w:r>
            <w:r w:rsidR="00FC6842" w:rsidRPr="008468A0">
              <w:rPr>
                <w:noProof/>
                <w:webHidden/>
              </w:rPr>
            </w:r>
            <w:r w:rsidR="00FC6842" w:rsidRPr="008468A0">
              <w:rPr>
                <w:noProof/>
                <w:webHidden/>
              </w:rPr>
              <w:fldChar w:fldCharType="separate"/>
            </w:r>
            <w:r w:rsidR="00B33257" w:rsidRPr="008468A0">
              <w:rPr>
                <w:noProof/>
                <w:webHidden/>
              </w:rPr>
              <w:t>9</w:t>
            </w:r>
            <w:r w:rsidR="00FC6842" w:rsidRPr="008468A0">
              <w:rPr>
                <w:noProof/>
                <w:webHidden/>
              </w:rPr>
              <w:fldChar w:fldCharType="end"/>
            </w:r>
          </w:hyperlink>
        </w:p>
        <w:p w14:paraId="0FB4C62F" w14:textId="77777777" w:rsidR="00B33257" w:rsidRPr="008468A0" w:rsidRDefault="00000000">
          <w:pPr>
            <w:pStyle w:val="TOC3"/>
            <w:tabs>
              <w:tab w:val="right" w:leader="dot" w:pos="9350"/>
            </w:tabs>
            <w:rPr>
              <w:rFonts w:asciiTheme="minorHAnsi" w:hAnsiTheme="minorHAnsi"/>
              <w:noProof/>
              <w:sz w:val="22"/>
            </w:rPr>
          </w:pPr>
          <w:hyperlink w:anchor="_Toc138707961" w:history="1">
            <w:r w:rsidR="00B33257" w:rsidRPr="008468A0">
              <w:rPr>
                <w:rStyle w:val="Hyperlink"/>
                <w:noProof/>
                <w:color w:val="000000" w:themeColor="text1"/>
              </w:rPr>
              <w:t>1.3.1 Research Objectives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_Toc138707961 \h </w:instrText>
            </w:r>
            <w:r w:rsidR="00FC6842" w:rsidRPr="008468A0">
              <w:rPr>
                <w:noProof/>
                <w:webHidden/>
              </w:rPr>
            </w:r>
            <w:r w:rsidR="00FC6842" w:rsidRPr="008468A0">
              <w:rPr>
                <w:noProof/>
                <w:webHidden/>
              </w:rPr>
              <w:fldChar w:fldCharType="separate"/>
            </w:r>
            <w:r w:rsidR="00B33257" w:rsidRPr="008468A0">
              <w:rPr>
                <w:noProof/>
                <w:webHidden/>
              </w:rPr>
              <w:t>9</w:t>
            </w:r>
            <w:r w:rsidR="00FC6842" w:rsidRPr="008468A0">
              <w:rPr>
                <w:noProof/>
                <w:webHidden/>
              </w:rPr>
              <w:fldChar w:fldCharType="end"/>
            </w:r>
          </w:hyperlink>
        </w:p>
        <w:p w14:paraId="2523A3DC" w14:textId="77777777" w:rsidR="00B33257" w:rsidRPr="008468A0" w:rsidRDefault="00000000">
          <w:pPr>
            <w:pStyle w:val="TOC2"/>
            <w:tabs>
              <w:tab w:val="right" w:leader="dot" w:pos="9350"/>
            </w:tabs>
            <w:rPr>
              <w:rFonts w:asciiTheme="minorHAnsi" w:hAnsiTheme="minorHAnsi"/>
              <w:noProof/>
              <w:sz w:val="22"/>
            </w:rPr>
          </w:pPr>
          <w:hyperlink w:anchor="_Toc138707962" w:history="1">
            <w:r w:rsidR="00B33257" w:rsidRPr="008468A0">
              <w:rPr>
                <w:rStyle w:val="Hyperlink"/>
                <w:noProof/>
                <w:color w:val="000000" w:themeColor="text1"/>
              </w:rPr>
              <w:t>1.4 Research Rationale</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_Toc138707962 \h </w:instrText>
            </w:r>
            <w:r w:rsidR="00FC6842" w:rsidRPr="008468A0">
              <w:rPr>
                <w:noProof/>
                <w:webHidden/>
              </w:rPr>
            </w:r>
            <w:r w:rsidR="00FC6842" w:rsidRPr="008468A0">
              <w:rPr>
                <w:noProof/>
                <w:webHidden/>
              </w:rPr>
              <w:fldChar w:fldCharType="separate"/>
            </w:r>
            <w:r w:rsidR="00B33257" w:rsidRPr="008468A0">
              <w:rPr>
                <w:noProof/>
                <w:webHidden/>
              </w:rPr>
              <w:t>9</w:t>
            </w:r>
            <w:r w:rsidR="00FC6842" w:rsidRPr="008468A0">
              <w:rPr>
                <w:noProof/>
                <w:webHidden/>
              </w:rPr>
              <w:fldChar w:fldCharType="end"/>
            </w:r>
          </w:hyperlink>
        </w:p>
        <w:p w14:paraId="6351FDE5" w14:textId="77777777" w:rsidR="00B33257" w:rsidRPr="008468A0" w:rsidRDefault="00000000">
          <w:pPr>
            <w:pStyle w:val="TOC2"/>
            <w:tabs>
              <w:tab w:val="right" w:leader="dot" w:pos="9350"/>
            </w:tabs>
            <w:rPr>
              <w:rFonts w:asciiTheme="minorHAnsi" w:hAnsiTheme="minorHAnsi"/>
              <w:noProof/>
              <w:sz w:val="22"/>
            </w:rPr>
          </w:pPr>
          <w:hyperlink w:anchor="_Toc138707963" w:history="1">
            <w:r w:rsidR="00B33257" w:rsidRPr="008468A0">
              <w:rPr>
                <w:rStyle w:val="Hyperlink"/>
                <w:noProof/>
                <w:color w:val="000000" w:themeColor="text1"/>
              </w:rPr>
              <w:t>1.5 Research Questions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_Toc138707963 \h </w:instrText>
            </w:r>
            <w:r w:rsidR="00FC6842" w:rsidRPr="008468A0">
              <w:rPr>
                <w:noProof/>
                <w:webHidden/>
              </w:rPr>
            </w:r>
            <w:r w:rsidR="00FC6842" w:rsidRPr="008468A0">
              <w:rPr>
                <w:noProof/>
                <w:webHidden/>
              </w:rPr>
              <w:fldChar w:fldCharType="separate"/>
            </w:r>
            <w:r w:rsidR="00B33257" w:rsidRPr="008468A0">
              <w:rPr>
                <w:noProof/>
                <w:webHidden/>
              </w:rPr>
              <w:t>10</w:t>
            </w:r>
            <w:r w:rsidR="00FC6842" w:rsidRPr="008468A0">
              <w:rPr>
                <w:noProof/>
                <w:webHidden/>
              </w:rPr>
              <w:fldChar w:fldCharType="end"/>
            </w:r>
          </w:hyperlink>
        </w:p>
        <w:p w14:paraId="5B862543" w14:textId="77777777" w:rsidR="00B33257" w:rsidRPr="008468A0" w:rsidRDefault="00000000">
          <w:pPr>
            <w:pStyle w:val="TOC1"/>
            <w:tabs>
              <w:tab w:val="right" w:leader="dot" w:pos="9350"/>
            </w:tabs>
            <w:rPr>
              <w:rFonts w:asciiTheme="minorHAnsi" w:hAnsiTheme="minorHAnsi"/>
              <w:noProof/>
              <w:sz w:val="22"/>
            </w:rPr>
          </w:pPr>
          <w:hyperlink w:anchor="_Toc138707964" w:history="1">
            <w:r w:rsidR="00B33257" w:rsidRPr="008468A0">
              <w:rPr>
                <w:rStyle w:val="Hyperlink"/>
                <w:noProof/>
                <w:color w:val="000000" w:themeColor="text1"/>
              </w:rPr>
              <w:t>2 Literature Review</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_Toc138707964 \h </w:instrText>
            </w:r>
            <w:r w:rsidR="00FC6842" w:rsidRPr="008468A0">
              <w:rPr>
                <w:noProof/>
                <w:webHidden/>
              </w:rPr>
            </w:r>
            <w:r w:rsidR="00FC6842" w:rsidRPr="008468A0">
              <w:rPr>
                <w:noProof/>
                <w:webHidden/>
              </w:rPr>
              <w:fldChar w:fldCharType="separate"/>
            </w:r>
            <w:r w:rsidR="00B33257" w:rsidRPr="008468A0">
              <w:rPr>
                <w:noProof/>
                <w:webHidden/>
              </w:rPr>
              <w:t>11</w:t>
            </w:r>
            <w:r w:rsidR="00FC6842" w:rsidRPr="008468A0">
              <w:rPr>
                <w:noProof/>
                <w:webHidden/>
              </w:rPr>
              <w:fldChar w:fldCharType="end"/>
            </w:r>
          </w:hyperlink>
        </w:p>
        <w:p w14:paraId="44506AD5" w14:textId="77777777" w:rsidR="00B33257" w:rsidRPr="008468A0" w:rsidRDefault="00000000">
          <w:pPr>
            <w:pStyle w:val="TOC2"/>
            <w:tabs>
              <w:tab w:val="right" w:leader="dot" w:pos="9350"/>
            </w:tabs>
            <w:rPr>
              <w:rFonts w:asciiTheme="minorHAnsi" w:hAnsiTheme="minorHAnsi"/>
              <w:noProof/>
              <w:sz w:val="22"/>
            </w:rPr>
          </w:pPr>
          <w:hyperlink w:anchor="_Toc138707965" w:history="1">
            <w:r w:rsidR="00B33257" w:rsidRPr="008468A0">
              <w:rPr>
                <w:rStyle w:val="Hyperlink"/>
                <w:noProof/>
                <w:color w:val="000000" w:themeColor="text1"/>
              </w:rPr>
              <w:t>2.1 Past Analyses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_Toc138707965 \h </w:instrText>
            </w:r>
            <w:r w:rsidR="00FC6842" w:rsidRPr="008468A0">
              <w:rPr>
                <w:noProof/>
                <w:webHidden/>
              </w:rPr>
            </w:r>
            <w:r w:rsidR="00FC6842" w:rsidRPr="008468A0">
              <w:rPr>
                <w:noProof/>
                <w:webHidden/>
              </w:rPr>
              <w:fldChar w:fldCharType="separate"/>
            </w:r>
            <w:r w:rsidR="00B33257" w:rsidRPr="008468A0">
              <w:rPr>
                <w:noProof/>
                <w:webHidden/>
              </w:rPr>
              <w:t>11</w:t>
            </w:r>
            <w:r w:rsidR="00FC6842" w:rsidRPr="008468A0">
              <w:rPr>
                <w:noProof/>
                <w:webHidden/>
              </w:rPr>
              <w:fldChar w:fldCharType="end"/>
            </w:r>
          </w:hyperlink>
        </w:p>
        <w:p w14:paraId="5C1F5202" w14:textId="77777777" w:rsidR="00B33257" w:rsidRPr="008468A0" w:rsidRDefault="00000000">
          <w:pPr>
            <w:pStyle w:val="TOC2"/>
            <w:tabs>
              <w:tab w:val="right" w:leader="dot" w:pos="9350"/>
            </w:tabs>
            <w:rPr>
              <w:rFonts w:asciiTheme="minorHAnsi" w:hAnsiTheme="minorHAnsi"/>
              <w:noProof/>
              <w:sz w:val="22"/>
            </w:rPr>
          </w:pPr>
          <w:hyperlink w:anchor="_Toc138707966" w:history="1">
            <w:r w:rsidR="00B33257" w:rsidRPr="008468A0">
              <w:rPr>
                <w:rStyle w:val="Hyperlink"/>
                <w:noProof/>
                <w:color w:val="000000" w:themeColor="text1"/>
              </w:rPr>
              <w:t>2.2 About Theories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_Toc138707966 \h </w:instrText>
            </w:r>
            <w:r w:rsidR="00FC6842" w:rsidRPr="008468A0">
              <w:rPr>
                <w:noProof/>
                <w:webHidden/>
              </w:rPr>
            </w:r>
            <w:r w:rsidR="00FC6842" w:rsidRPr="008468A0">
              <w:rPr>
                <w:noProof/>
                <w:webHidden/>
              </w:rPr>
              <w:fldChar w:fldCharType="separate"/>
            </w:r>
            <w:r w:rsidR="00B33257" w:rsidRPr="008468A0">
              <w:rPr>
                <w:noProof/>
                <w:webHidden/>
              </w:rPr>
              <w:t>15</w:t>
            </w:r>
            <w:r w:rsidR="00FC6842" w:rsidRPr="008468A0">
              <w:rPr>
                <w:noProof/>
                <w:webHidden/>
              </w:rPr>
              <w:fldChar w:fldCharType="end"/>
            </w:r>
          </w:hyperlink>
        </w:p>
        <w:p w14:paraId="3899EE65" w14:textId="77777777" w:rsidR="00B33257" w:rsidRPr="008468A0" w:rsidRDefault="00000000">
          <w:pPr>
            <w:pStyle w:val="TOC1"/>
            <w:tabs>
              <w:tab w:val="right" w:leader="dot" w:pos="9350"/>
            </w:tabs>
            <w:rPr>
              <w:rFonts w:asciiTheme="minorHAnsi" w:hAnsiTheme="minorHAnsi"/>
              <w:noProof/>
              <w:sz w:val="22"/>
            </w:rPr>
          </w:pPr>
          <w:hyperlink w:anchor="_Toc138707967" w:history="1">
            <w:r w:rsidR="00B33257" w:rsidRPr="008468A0">
              <w:rPr>
                <w:rStyle w:val="Hyperlink"/>
                <w:noProof/>
                <w:color w:val="000000" w:themeColor="text1"/>
              </w:rPr>
              <w:t>3 Research Methodology, and Design</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_Toc138707967 \h </w:instrText>
            </w:r>
            <w:r w:rsidR="00FC6842" w:rsidRPr="008468A0">
              <w:rPr>
                <w:noProof/>
                <w:webHidden/>
              </w:rPr>
            </w:r>
            <w:r w:rsidR="00FC6842" w:rsidRPr="008468A0">
              <w:rPr>
                <w:noProof/>
                <w:webHidden/>
              </w:rPr>
              <w:fldChar w:fldCharType="separate"/>
            </w:r>
            <w:r w:rsidR="00B33257" w:rsidRPr="008468A0">
              <w:rPr>
                <w:noProof/>
                <w:webHidden/>
              </w:rPr>
              <w:t>16</w:t>
            </w:r>
            <w:r w:rsidR="00FC6842" w:rsidRPr="008468A0">
              <w:rPr>
                <w:noProof/>
                <w:webHidden/>
              </w:rPr>
              <w:fldChar w:fldCharType="end"/>
            </w:r>
          </w:hyperlink>
        </w:p>
        <w:p w14:paraId="045B601A" w14:textId="77777777" w:rsidR="00B33257" w:rsidRPr="008468A0" w:rsidRDefault="00000000">
          <w:pPr>
            <w:pStyle w:val="TOC2"/>
            <w:tabs>
              <w:tab w:val="right" w:leader="dot" w:pos="9350"/>
            </w:tabs>
            <w:rPr>
              <w:rFonts w:asciiTheme="minorHAnsi" w:hAnsiTheme="minorHAnsi"/>
              <w:noProof/>
              <w:sz w:val="22"/>
            </w:rPr>
          </w:pPr>
          <w:hyperlink w:anchor="_Toc138707968" w:history="1">
            <w:r w:rsidR="00B33257" w:rsidRPr="008468A0">
              <w:rPr>
                <w:rStyle w:val="Hyperlink"/>
                <w:noProof/>
                <w:color w:val="000000" w:themeColor="text1"/>
              </w:rPr>
              <w:t>3.1 Research Philosophy, Approach, and Methods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_Toc138707968 \h </w:instrText>
            </w:r>
            <w:r w:rsidR="00FC6842" w:rsidRPr="008468A0">
              <w:rPr>
                <w:noProof/>
                <w:webHidden/>
              </w:rPr>
            </w:r>
            <w:r w:rsidR="00FC6842" w:rsidRPr="008468A0">
              <w:rPr>
                <w:noProof/>
                <w:webHidden/>
              </w:rPr>
              <w:fldChar w:fldCharType="separate"/>
            </w:r>
            <w:r w:rsidR="00B33257" w:rsidRPr="008468A0">
              <w:rPr>
                <w:noProof/>
                <w:webHidden/>
              </w:rPr>
              <w:t>16</w:t>
            </w:r>
            <w:r w:rsidR="00FC6842" w:rsidRPr="008468A0">
              <w:rPr>
                <w:noProof/>
                <w:webHidden/>
              </w:rPr>
              <w:fldChar w:fldCharType="end"/>
            </w:r>
          </w:hyperlink>
        </w:p>
        <w:p w14:paraId="40827CE4" w14:textId="77777777" w:rsidR="00B33257" w:rsidRPr="008468A0" w:rsidRDefault="00000000">
          <w:pPr>
            <w:pStyle w:val="TOC2"/>
            <w:tabs>
              <w:tab w:val="right" w:leader="dot" w:pos="9350"/>
            </w:tabs>
            <w:rPr>
              <w:rFonts w:asciiTheme="minorHAnsi" w:hAnsiTheme="minorHAnsi"/>
              <w:noProof/>
              <w:sz w:val="22"/>
            </w:rPr>
          </w:pPr>
          <w:hyperlink w:anchor="_Toc138707969" w:history="1">
            <w:r w:rsidR="00B33257" w:rsidRPr="008468A0">
              <w:rPr>
                <w:rStyle w:val="Hyperlink"/>
                <w:noProof/>
                <w:color w:val="000000" w:themeColor="text1"/>
              </w:rPr>
              <w:t>3.2 Sampling Technique and Ethical Issues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_Toc138707969 \h </w:instrText>
            </w:r>
            <w:r w:rsidR="00FC6842" w:rsidRPr="008468A0">
              <w:rPr>
                <w:noProof/>
                <w:webHidden/>
              </w:rPr>
            </w:r>
            <w:r w:rsidR="00FC6842" w:rsidRPr="008468A0">
              <w:rPr>
                <w:noProof/>
                <w:webHidden/>
              </w:rPr>
              <w:fldChar w:fldCharType="separate"/>
            </w:r>
            <w:r w:rsidR="00B33257" w:rsidRPr="008468A0">
              <w:rPr>
                <w:noProof/>
                <w:webHidden/>
              </w:rPr>
              <w:t>16</w:t>
            </w:r>
            <w:r w:rsidR="00FC6842" w:rsidRPr="008468A0">
              <w:rPr>
                <w:noProof/>
                <w:webHidden/>
              </w:rPr>
              <w:fldChar w:fldCharType="end"/>
            </w:r>
          </w:hyperlink>
        </w:p>
        <w:p w14:paraId="68FE208D" w14:textId="77777777" w:rsidR="00B33257" w:rsidRPr="008468A0" w:rsidRDefault="00000000">
          <w:pPr>
            <w:pStyle w:val="TOC2"/>
            <w:tabs>
              <w:tab w:val="right" w:leader="dot" w:pos="9350"/>
            </w:tabs>
            <w:rPr>
              <w:rFonts w:asciiTheme="minorHAnsi" w:hAnsiTheme="minorHAnsi"/>
              <w:noProof/>
              <w:sz w:val="22"/>
            </w:rPr>
          </w:pPr>
          <w:hyperlink w:anchor="_Toc138707970" w:history="1">
            <w:r w:rsidR="00B33257" w:rsidRPr="008468A0">
              <w:rPr>
                <w:rStyle w:val="Hyperlink"/>
                <w:noProof/>
                <w:color w:val="000000" w:themeColor="text1"/>
              </w:rPr>
              <w:t>3.3 Data Analysis Techniques with Used Pieces of Software (Including Validity, Reliability, and Credibility)</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_Toc138707970 \h </w:instrText>
            </w:r>
            <w:r w:rsidR="00FC6842" w:rsidRPr="008468A0">
              <w:rPr>
                <w:noProof/>
                <w:webHidden/>
              </w:rPr>
            </w:r>
            <w:r w:rsidR="00FC6842" w:rsidRPr="008468A0">
              <w:rPr>
                <w:noProof/>
                <w:webHidden/>
              </w:rPr>
              <w:fldChar w:fldCharType="separate"/>
            </w:r>
            <w:r w:rsidR="00B33257" w:rsidRPr="008468A0">
              <w:rPr>
                <w:noProof/>
                <w:webHidden/>
              </w:rPr>
              <w:t>16</w:t>
            </w:r>
            <w:r w:rsidR="00FC6842" w:rsidRPr="008468A0">
              <w:rPr>
                <w:noProof/>
                <w:webHidden/>
              </w:rPr>
              <w:fldChar w:fldCharType="end"/>
            </w:r>
          </w:hyperlink>
        </w:p>
        <w:p w14:paraId="7833A65F" w14:textId="77777777" w:rsidR="00B33257" w:rsidRPr="008468A0" w:rsidRDefault="00000000">
          <w:pPr>
            <w:pStyle w:val="TOC1"/>
            <w:tabs>
              <w:tab w:val="right" w:leader="dot" w:pos="9350"/>
            </w:tabs>
            <w:rPr>
              <w:rFonts w:asciiTheme="minorHAnsi" w:hAnsiTheme="minorHAnsi"/>
              <w:noProof/>
              <w:sz w:val="22"/>
            </w:rPr>
          </w:pPr>
          <w:hyperlink w:anchor="_Toc138707971" w:history="1">
            <w:r w:rsidR="00B33257" w:rsidRPr="008468A0">
              <w:rPr>
                <w:rStyle w:val="Hyperlink"/>
                <w:noProof/>
                <w:color w:val="000000" w:themeColor="text1"/>
              </w:rPr>
              <w:t>4 Analysis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_Toc138707971 \h </w:instrText>
            </w:r>
            <w:r w:rsidR="00FC6842" w:rsidRPr="008468A0">
              <w:rPr>
                <w:noProof/>
                <w:webHidden/>
              </w:rPr>
            </w:r>
            <w:r w:rsidR="00FC6842" w:rsidRPr="008468A0">
              <w:rPr>
                <w:noProof/>
                <w:webHidden/>
              </w:rPr>
              <w:fldChar w:fldCharType="separate"/>
            </w:r>
            <w:r w:rsidR="00B33257" w:rsidRPr="008468A0">
              <w:rPr>
                <w:noProof/>
                <w:webHidden/>
              </w:rPr>
              <w:t>17</w:t>
            </w:r>
            <w:r w:rsidR="00FC6842" w:rsidRPr="008468A0">
              <w:rPr>
                <w:noProof/>
                <w:webHidden/>
              </w:rPr>
              <w:fldChar w:fldCharType="end"/>
            </w:r>
          </w:hyperlink>
        </w:p>
        <w:p w14:paraId="708292F4" w14:textId="77777777" w:rsidR="00B33257" w:rsidRPr="008468A0" w:rsidRDefault="00000000">
          <w:pPr>
            <w:pStyle w:val="TOC2"/>
            <w:tabs>
              <w:tab w:val="right" w:leader="dot" w:pos="9350"/>
            </w:tabs>
            <w:rPr>
              <w:rFonts w:asciiTheme="minorHAnsi" w:hAnsiTheme="minorHAnsi"/>
              <w:noProof/>
              <w:sz w:val="22"/>
            </w:rPr>
          </w:pPr>
          <w:hyperlink w:anchor="_Toc138707972" w:history="1">
            <w:r w:rsidR="00B33257" w:rsidRPr="008468A0">
              <w:rPr>
                <w:rStyle w:val="Hyperlink"/>
                <w:noProof/>
                <w:color w:val="000000" w:themeColor="text1"/>
              </w:rPr>
              <w:t>4.1 Amount of Expenditure in the Healthcare Industry</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_Toc138707972 \h </w:instrText>
            </w:r>
            <w:r w:rsidR="00FC6842" w:rsidRPr="008468A0">
              <w:rPr>
                <w:noProof/>
                <w:webHidden/>
              </w:rPr>
            </w:r>
            <w:r w:rsidR="00FC6842" w:rsidRPr="008468A0">
              <w:rPr>
                <w:noProof/>
                <w:webHidden/>
              </w:rPr>
              <w:fldChar w:fldCharType="separate"/>
            </w:r>
            <w:r w:rsidR="00B33257" w:rsidRPr="008468A0">
              <w:rPr>
                <w:noProof/>
                <w:webHidden/>
              </w:rPr>
              <w:t>17</w:t>
            </w:r>
            <w:r w:rsidR="00FC6842" w:rsidRPr="008468A0">
              <w:rPr>
                <w:noProof/>
                <w:webHidden/>
              </w:rPr>
              <w:fldChar w:fldCharType="end"/>
            </w:r>
          </w:hyperlink>
        </w:p>
        <w:p w14:paraId="5C4C9200" w14:textId="77777777" w:rsidR="00B33257" w:rsidRPr="008468A0" w:rsidRDefault="00000000">
          <w:pPr>
            <w:pStyle w:val="TOC2"/>
            <w:tabs>
              <w:tab w:val="right" w:leader="dot" w:pos="9350"/>
            </w:tabs>
            <w:rPr>
              <w:rFonts w:asciiTheme="minorHAnsi" w:hAnsiTheme="minorHAnsi"/>
              <w:noProof/>
              <w:sz w:val="22"/>
            </w:rPr>
          </w:pPr>
          <w:hyperlink w:anchor="_Toc138707973" w:history="1">
            <w:r w:rsidR="00B33257" w:rsidRPr="008468A0">
              <w:rPr>
                <w:rStyle w:val="Hyperlink"/>
                <w:noProof/>
                <w:color w:val="000000" w:themeColor="text1"/>
              </w:rPr>
              <w:t>4.2 Number of Employees in the Healthcare Industry</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_Toc138707973 \h </w:instrText>
            </w:r>
            <w:r w:rsidR="00FC6842" w:rsidRPr="008468A0">
              <w:rPr>
                <w:noProof/>
                <w:webHidden/>
              </w:rPr>
            </w:r>
            <w:r w:rsidR="00FC6842" w:rsidRPr="008468A0">
              <w:rPr>
                <w:noProof/>
                <w:webHidden/>
              </w:rPr>
              <w:fldChar w:fldCharType="separate"/>
            </w:r>
            <w:r w:rsidR="00B33257" w:rsidRPr="008468A0">
              <w:rPr>
                <w:noProof/>
                <w:webHidden/>
              </w:rPr>
              <w:t>20</w:t>
            </w:r>
            <w:r w:rsidR="00FC6842" w:rsidRPr="008468A0">
              <w:rPr>
                <w:noProof/>
                <w:webHidden/>
              </w:rPr>
              <w:fldChar w:fldCharType="end"/>
            </w:r>
          </w:hyperlink>
        </w:p>
        <w:p w14:paraId="0089F17B" w14:textId="77777777" w:rsidR="00B33257" w:rsidRPr="008468A0" w:rsidRDefault="00000000">
          <w:pPr>
            <w:pStyle w:val="TOC2"/>
            <w:tabs>
              <w:tab w:val="right" w:leader="dot" w:pos="9350"/>
            </w:tabs>
            <w:rPr>
              <w:rFonts w:asciiTheme="minorHAnsi" w:hAnsiTheme="minorHAnsi"/>
              <w:noProof/>
              <w:sz w:val="22"/>
            </w:rPr>
          </w:pPr>
          <w:hyperlink w:anchor="_Toc138707974" w:history="1">
            <w:r w:rsidR="00B33257" w:rsidRPr="008468A0">
              <w:rPr>
                <w:rStyle w:val="Hyperlink"/>
                <w:noProof/>
                <w:color w:val="000000" w:themeColor="text1"/>
              </w:rPr>
              <w:t>4.3 Number of Firms in the Healthcare Industry</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_Toc138707974 \h </w:instrText>
            </w:r>
            <w:r w:rsidR="00FC6842" w:rsidRPr="008468A0">
              <w:rPr>
                <w:noProof/>
                <w:webHidden/>
              </w:rPr>
            </w:r>
            <w:r w:rsidR="00FC6842" w:rsidRPr="008468A0">
              <w:rPr>
                <w:noProof/>
                <w:webHidden/>
              </w:rPr>
              <w:fldChar w:fldCharType="separate"/>
            </w:r>
            <w:r w:rsidR="00B33257" w:rsidRPr="008468A0">
              <w:rPr>
                <w:noProof/>
                <w:webHidden/>
              </w:rPr>
              <w:t>24</w:t>
            </w:r>
            <w:r w:rsidR="00FC6842" w:rsidRPr="008468A0">
              <w:rPr>
                <w:noProof/>
                <w:webHidden/>
              </w:rPr>
              <w:fldChar w:fldCharType="end"/>
            </w:r>
          </w:hyperlink>
        </w:p>
        <w:p w14:paraId="4701A93D" w14:textId="77777777" w:rsidR="00B33257" w:rsidRPr="008468A0" w:rsidRDefault="00000000">
          <w:pPr>
            <w:pStyle w:val="TOC1"/>
            <w:tabs>
              <w:tab w:val="right" w:leader="dot" w:pos="9350"/>
            </w:tabs>
            <w:rPr>
              <w:rFonts w:asciiTheme="minorHAnsi" w:hAnsiTheme="minorHAnsi"/>
              <w:noProof/>
              <w:sz w:val="22"/>
            </w:rPr>
          </w:pPr>
          <w:hyperlink w:anchor="_Toc138707975" w:history="1">
            <w:r w:rsidR="00B33257" w:rsidRPr="008468A0">
              <w:rPr>
                <w:rStyle w:val="Hyperlink"/>
                <w:noProof/>
                <w:color w:val="000000" w:themeColor="text1"/>
              </w:rPr>
              <w:t>5 Discussion</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_Toc138707975 \h </w:instrText>
            </w:r>
            <w:r w:rsidR="00FC6842" w:rsidRPr="008468A0">
              <w:rPr>
                <w:noProof/>
                <w:webHidden/>
              </w:rPr>
            </w:r>
            <w:r w:rsidR="00FC6842" w:rsidRPr="008468A0">
              <w:rPr>
                <w:noProof/>
                <w:webHidden/>
              </w:rPr>
              <w:fldChar w:fldCharType="separate"/>
            </w:r>
            <w:r w:rsidR="00B33257" w:rsidRPr="008468A0">
              <w:rPr>
                <w:noProof/>
                <w:webHidden/>
              </w:rPr>
              <w:t>27</w:t>
            </w:r>
            <w:r w:rsidR="00FC6842" w:rsidRPr="008468A0">
              <w:rPr>
                <w:noProof/>
                <w:webHidden/>
              </w:rPr>
              <w:fldChar w:fldCharType="end"/>
            </w:r>
          </w:hyperlink>
        </w:p>
        <w:p w14:paraId="25C673C9" w14:textId="77777777" w:rsidR="00B33257" w:rsidRPr="008468A0" w:rsidRDefault="00000000">
          <w:pPr>
            <w:pStyle w:val="TOC2"/>
            <w:tabs>
              <w:tab w:val="right" w:leader="dot" w:pos="9350"/>
            </w:tabs>
            <w:rPr>
              <w:rFonts w:asciiTheme="minorHAnsi" w:hAnsiTheme="minorHAnsi"/>
              <w:noProof/>
              <w:sz w:val="22"/>
            </w:rPr>
          </w:pPr>
          <w:hyperlink w:anchor="_Toc138707976" w:history="1">
            <w:r w:rsidR="00B33257" w:rsidRPr="008468A0">
              <w:rPr>
                <w:rStyle w:val="Hyperlink"/>
                <w:noProof/>
                <w:color w:val="000000" w:themeColor="text1"/>
              </w:rPr>
              <w:t>5.1 Research Question 01: What are the principal factors that impact foreign healthcare workers job satisfaction and career progression?</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_Toc138707976 \h </w:instrText>
            </w:r>
            <w:r w:rsidR="00FC6842" w:rsidRPr="008468A0">
              <w:rPr>
                <w:noProof/>
                <w:webHidden/>
              </w:rPr>
            </w:r>
            <w:r w:rsidR="00FC6842" w:rsidRPr="008468A0">
              <w:rPr>
                <w:noProof/>
                <w:webHidden/>
              </w:rPr>
              <w:fldChar w:fldCharType="separate"/>
            </w:r>
            <w:r w:rsidR="00B33257" w:rsidRPr="008468A0">
              <w:rPr>
                <w:noProof/>
                <w:webHidden/>
              </w:rPr>
              <w:t>27</w:t>
            </w:r>
            <w:r w:rsidR="00FC6842" w:rsidRPr="008468A0">
              <w:rPr>
                <w:noProof/>
                <w:webHidden/>
              </w:rPr>
              <w:fldChar w:fldCharType="end"/>
            </w:r>
          </w:hyperlink>
        </w:p>
        <w:p w14:paraId="4954B72B" w14:textId="77777777" w:rsidR="00B33257" w:rsidRPr="008468A0" w:rsidRDefault="00000000">
          <w:pPr>
            <w:pStyle w:val="TOC2"/>
            <w:tabs>
              <w:tab w:val="right" w:leader="dot" w:pos="9350"/>
            </w:tabs>
            <w:rPr>
              <w:rFonts w:asciiTheme="minorHAnsi" w:hAnsiTheme="minorHAnsi"/>
              <w:noProof/>
              <w:sz w:val="22"/>
            </w:rPr>
          </w:pPr>
          <w:hyperlink w:anchor="_Toc138707977" w:history="1">
            <w:r w:rsidR="00B33257" w:rsidRPr="008468A0">
              <w:rPr>
                <w:rStyle w:val="Hyperlink"/>
                <w:noProof/>
                <w:color w:val="000000" w:themeColor="text1"/>
              </w:rPr>
              <w:t>5.2 Research Question 02: What are the ways available to them for ensuring better healthcare compared to the past?</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_Toc138707977 \h </w:instrText>
            </w:r>
            <w:r w:rsidR="00FC6842" w:rsidRPr="008468A0">
              <w:rPr>
                <w:noProof/>
                <w:webHidden/>
              </w:rPr>
            </w:r>
            <w:r w:rsidR="00FC6842" w:rsidRPr="008468A0">
              <w:rPr>
                <w:noProof/>
                <w:webHidden/>
              </w:rPr>
              <w:fldChar w:fldCharType="separate"/>
            </w:r>
            <w:r w:rsidR="00B33257" w:rsidRPr="008468A0">
              <w:rPr>
                <w:noProof/>
                <w:webHidden/>
              </w:rPr>
              <w:t>28</w:t>
            </w:r>
            <w:r w:rsidR="00FC6842" w:rsidRPr="008468A0">
              <w:rPr>
                <w:noProof/>
                <w:webHidden/>
              </w:rPr>
              <w:fldChar w:fldCharType="end"/>
            </w:r>
          </w:hyperlink>
        </w:p>
        <w:p w14:paraId="5203BB98" w14:textId="77777777" w:rsidR="00B33257" w:rsidRPr="008468A0" w:rsidRDefault="00000000">
          <w:pPr>
            <w:pStyle w:val="TOC1"/>
            <w:tabs>
              <w:tab w:val="right" w:leader="dot" w:pos="9350"/>
            </w:tabs>
            <w:rPr>
              <w:rFonts w:asciiTheme="minorHAnsi" w:hAnsiTheme="minorHAnsi"/>
              <w:noProof/>
              <w:sz w:val="22"/>
            </w:rPr>
          </w:pPr>
          <w:hyperlink w:anchor="_Toc138707978" w:history="1">
            <w:r w:rsidR="00B33257" w:rsidRPr="008468A0">
              <w:rPr>
                <w:rStyle w:val="Hyperlink"/>
                <w:noProof/>
                <w:color w:val="000000" w:themeColor="text1"/>
              </w:rPr>
              <w:t>6 Conclusion</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_Toc138707978 \h </w:instrText>
            </w:r>
            <w:r w:rsidR="00FC6842" w:rsidRPr="008468A0">
              <w:rPr>
                <w:noProof/>
                <w:webHidden/>
              </w:rPr>
            </w:r>
            <w:r w:rsidR="00FC6842" w:rsidRPr="008468A0">
              <w:rPr>
                <w:noProof/>
                <w:webHidden/>
              </w:rPr>
              <w:fldChar w:fldCharType="separate"/>
            </w:r>
            <w:r w:rsidR="00B33257" w:rsidRPr="008468A0">
              <w:rPr>
                <w:noProof/>
                <w:webHidden/>
              </w:rPr>
              <w:t>29</w:t>
            </w:r>
            <w:r w:rsidR="00FC6842" w:rsidRPr="008468A0">
              <w:rPr>
                <w:noProof/>
                <w:webHidden/>
              </w:rPr>
              <w:fldChar w:fldCharType="end"/>
            </w:r>
          </w:hyperlink>
        </w:p>
        <w:p w14:paraId="7440A14A" w14:textId="77777777" w:rsidR="00B33257" w:rsidRPr="008468A0" w:rsidRDefault="00000000">
          <w:pPr>
            <w:pStyle w:val="TOC2"/>
            <w:tabs>
              <w:tab w:val="right" w:leader="dot" w:pos="9350"/>
            </w:tabs>
            <w:rPr>
              <w:rFonts w:asciiTheme="minorHAnsi" w:hAnsiTheme="minorHAnsi"/>
              <w:noProof/>
              <w:sz w:val="22"/>
            </w:rPr>
          </w:pPr>
          <w:hyperlink w:anchor="_Toc138707979" w:history="1">
            <w:r w:rsidR="00B33257" w:rsidRPr="008468A0">
              <w:rPr>
                <w:rStyle w:val="Hyperlink"/>
                <w:noProof/>
                <w:color w:val="000000" w:themeColor="text1"/>
              </w:rPr>
              <w:t>6.1 Recommendations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_Toc138707979 \h </w:instrText>
            </w:r>
            <w:r w:rsidR="00FC6842" w:rsidRPr="008468A0">
              <w:rPr>
                <w:noProof/>
                <w:webHidden/>
              </w:rPr>
            </w:r>
            <w:r w:rsidR="00FC6842" w:rsidRPr="008468A0">
              <w:rPr>
                <w:noProof/>
                <w:webHidden/>
              </w:rPr>
              <w:fldChar w:fldCharType="separate"/>
            </w:r>
            <w:r w:rsidR="00B33257" w:rsidRPr="008468A0">
              <w:rPr>
                <w:noProof/>
                <w:webHidden/>
              </w:rPr>
              <w:t>29</w:t>
            </w:r>
            <w:r w:rsidR="00FC6842" w:rsidRPr="008468A0">
              <w:rPr>
                <w:noProof/>
                <w:webHidden/>
              </w:rPr>
              <w:fldChar w:fldCharType="end"/>
            </w:r>
          </w:hyperlink>
        </w:p>
        <w:p w14:paraId="6E788360" w14:textId="77777777" w:rsidR="00B33257" w:rsidRPr="008468A0" w:rsidRDefault="00000000">
          <w:pPr>
            <w:pStyle w:val="TOC2"/>
            <w:tabs>
              <w:tab w:val="right" w:leader="dot" w:pos="9350"/>
            </w:tabs>
            <w:rPr>
              <w:rFonts w:asciiTheme="minorHAnsi" w:hAnsiTheme="minorHAnsi"/>
              <w:noProof/>
              <w:sz w:val="22"/>
            </w:rPr>
          </w:pPr>
          <w:hyperlink w:anchor="_Toc138707980" w:history="1">
            <w:r w:rsidR="00B33257" w:rsidRPr="008468A0">
              <w:rPr>
                <w:rStyle w:val="Hyperlink"/>
                <w:noProof/>
                <w:color w:val="000000" w:themeColor="text1"/>
              </w:rPr>
              <w:t>6.2 Limitations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_Toc138707980 \h </w:instrText>
            </w:r>
            <w:r w:rsidR="00FC6842" w:rsidRPr="008468A0">
              <w:rPr>
                <w:noProof/>
                <w:webHidden/>
              </w:rPr>
            </w:r>
            <w:r w:rsidR="00FC6842" w:rsidRPr="008468A0">
              <w:rPr>
                <w:noProof/>
                <w:webHidden/>
              </w:rPr>
              <w:fldChar w:fldCharType="separate"/>
            </w:r>
            <w:r w:rsidR="00B33257" w:rsidRPr="008468A0">
              <w:rPr>
                <w:noProof/>
                <w:webHidden/>
              </w:rPr>
              <w:t>29</w:t>
            </w:r>
            <w:r w:rsidR="00FC6842" w:rsidRPr="008468A0">
              <w:rPr>
                <w:noProof/>
                <w:webHidden/>
              </w:rPr>
              <w:fldChar w:fldCharType="end"/>
            </w:r>
          </w:hyperlink>
        </w:p>
        <w:p w14:paraId="2054DE82" w14:textId="77777777" w:rsidR="00B33257" w:rsidRPr="008468A0" w:rsidRDefault="00000000">
          <w:pPr>
            <w:pStyle w:val="TOC1"/>
            <w:tabs>
              <w:tab w:val="right" w:leader="dot" w:pos="9350"/>
            </w:tabs>
            <w:rPr>
              <w:rFonts w:asciiTheme="minorHAnsi" w:hAnsiTheme="minorHAnsi"/>
              <w:noProof/>
              <w:sz w:val="22"/>
            </w:rPr>
          </w:pPr>
          <w:hyperlink w:anchor="_Toc138707981" w:history="1">
            <w:r w:rsidR="00B33257" w:rsidRPr="008468A0">
              <w:rPr>
                <w:rStyle w:val="Hyperlink"/>
                <w:noProof/>
                <w:color w:val="000000" w:themeColor="text1"/>
              </w:rPr>
              <w:t>7 References</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_Toc138707981 \h </w:instrText>
            </w:r>
            <w:r w:rsidR="00FC6842" w:rsidRPr="008468A0">
              <w:rPr>
                <w:noProof/>
                <w:webHidden/>
              </w:rPr>
            </w:r>
            <w:r w:rsidR="00FC6842" w:rsidRPr="008468A0">
              <w:rPr>
                <w:noProof/>
                <w:webHidden/>
              </w:rPr>
              <w:fldChar w:fldCharType="separate"/>
            </w:r>
            <w:r w:rsidR="00B33257" w:rsidRPr="008468A0">
              <w:rPr>
                <w:noProof/>
                <w:webHidden/>
              </w:rPr>
              <w:t>30</w:t>
            </w:r>
            <w:r w:rsidR="00FC6842" w:rsidRPr="008468A0">
              <w:rPr>
                <w:noProof/>
                <w:webHidden/>
              </w:rPr>
              <w:fldChar w:fldCharType="end"/>
            </w:r>
          </w:hyperlink>
        </w:p>
        <w:p w14:paraId="72E8D29A" w14:textId="77777777" w:rsidR="00B33257" w:rsidRPr="008468A0" w:rsidRDefault="00000000">
          <w:pPr>
            <w:pStyle w:val="TOC1"/>
            <w:tabs>
              <w:tab w:val="right" w:leader="dot" w:pos="9350"/>
            </w:tabs>
            <w:rPr>
              <w:rFonts w:asciiTheme="minorHAnsi" w:hAnsiTheme="minorHAnsi"/>
              <w:noProof/>
              <w:sz w:val="22"/>
            </w:rPr>
          </w:pPr>
          <w:hyperlink w:anchor="_Toc138707982" w:history="1">
            <w:r w:rsidR="00B33257" w:rsidRPr="008468A0">
              <w:rPr>
                <w:rStyle w:val="Hyperlink"/>
                <w:noProof/>
                <w:color w:val="000000" w:themeColor="text1"/>
              </w:rPr>
              <w:t>8 Appendix</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_Toc138707982 \h </w:instrText>
            </w:r>
            <w:r w:rsidR="00FC6842" w:rsidRPr="008468A0">
              <w:rPr>
                <w:noProof/>
                <w:webHidden/>
              </w:rPr>
            </w:r>
            <w:r w:rsidR="00FC6842" w:rsidRPr="008468A0">
              <w:rPr>
                <w:noProof/>
                <w:webHidden/>
              </w:rPr>
              <w:fldChar w:fldCharType="separate"/>
            </w:r>
            <w:r w:rsidR="00B33257" w:rsidRPr="008468A0">
              <w:rPr>
                <w:noProof/>
                <w:webHidden/>
              </w:rPr>
              <w:t>33</w:t>
            </w:r>
            <w:r w:rsidR="00FC6842" w:rsidRPr="008468A0">
              <w:rPr>
                <w:noProof/>
                <w:webHidden/>
              </w:rPr>
              <w:fldChar w:fldCharType="end"/>
            </w:r>
          </w:hyperlink>
        </w:p>
        <w:p w14:paraId="68E452AE" w14:textId="77777777" w:rsidR="00B33257" w:rsidRPr="008468A0" w:rsidRDefault="00000000">
          <w:pPr>
            <w:pStyle w:val="TOC2"/>
            <w:tabs>
              <w:tab w:val="right" w:leader="dot" w:pos="9350"/>
            </w:tabs>
            <w:rPr>
              <w:rFonts w:asciiTheme="minorHAnsi" w:hAnsiTheme="minorHAnsi"/>
              <w:noProof/>
              <w:sz w:val="22"/>
            </w:rPr>
          </w:pPr>
          <w:hyperlink w:anchor="_Toc138707983" w:history="1">
            <w:r w:rsidR="00B33257" w:rsidRPr="008468A0">
              <w:rPr>
                <w:rStyle w:val="Hyperlink"/>
                <w:noProof/>
                <w:color w:val="000000" w:themeColor="text1"/>
              </w:rPr>
              <w:t>8.1 Raw Data of Expenditure in the Healthcare Industry</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_Toc138707983 \h </w:instrText>
            </w:r>
            <w:r w:rsidR="00FC6842" w:rsidRPr="008468A0">
              <w:rPr>
                <w:noProof/>
                <w:webHidden/>
              </w:rPr>
            </w:r>
            <w:r w:rsidR="00FC6842" w:rsidRPr="008468A0">
              <w:rPr>
                <w:noProof/>
                <w:webHidden/>
              </w:rPr>
              <w:fldChar w:fldCharType="separate"/>
            </w:r>
            <w:r w:rsidR="00B33257" w:rsidRPr="008468A0">
              <w:rPr>
                <w:noProof/>
                <w:webHidden/>
              </w:rPr>
              <w:t>33</w:t>
            </w:r>
            <w:r w:rsidR="00FC6842" w:rsidRPr="008468A0">
              <w:rPr>
                <w:noProof/>
                <w:webHidden/>
              </w:rPr>
              <w:fldChar w:fldCharType="end"/>
            </w:r>
          </w:hyperlink>
        </w:p>
        <w:p w14:paraId="1A44DD6A" w14:textId="77777777" w:rsidR="00B33257" w:rsidRPr="008468A0" w:rsidRDefault="00000000">
          <w:pPr>
            <w:pStyle w:val="TOC2"/>
            <w:tabs>
              <w:tab w:val="right" w:leader="dot" w:pos="9350"/>
            </w:tabs>
            <w:rPr>
              <w:rFonts w:asciiTheme="minorHAnsi" w:hAnsiTheme="minorHAnsi"/>
              <w:noProof/>
              <w:sz w:val="22"/>
            </w:rPr>
          </w:pPr>
          <w:hyperlink w:anchor="_Toc138707984" w:history="1">
            <w:r w:rsidR="00B33257" w:rsidRPr="008468A0">
              <w:rPr>
                <w:rStyle w:val="Hyperlink"/>
                <w:noProof/>
                <w:color w:val="000000" w:themeColor="text1"/>
              </w:rPr>
              <w:t>8.2 Raw Data of Number of Employees in the Healthcare Industry</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_Toc138707984 \h </w:instrText>
            </w:r>
            <w:r w:rsidR="00FC6842" w:rsidRPr="008468A0">
              <w:rPr>
                <w:noProof/>
                <w:webHidden/>
              </w:rPr>
            </w:r>
            <w:r w:rsidR="00FC6842" w:rsidRPr="008468A0">
              <w:rPr>
                <w:noProof/>
                <w:webHidden/>
              </w:rPr>
              <w:fldChar w:fldCharType="separate"/>
            </w:r>
            <w:r w:rsidR="00B33257" w:rsidRPr="008468A0">
              <w:rPr>
                <w:noProof/>
                <w:webHidden/>
              </w:rPr>
              <w:t>33</w:t>
            </w:r>
            <w:r w:rsidR="00FC6842" w:rsidRPr="008468A0">
              <w:rPr>
                <w:noProof/>
                <w:webHidden/>
              </w:rPr>
              <w:fldChar w:fldCharType="end"/>
            </w:r>
          </w:hyperlink>
        </w:p>
        <w:p w14:paraId="5EEEFD2E" w14:textId="77777777" w:rsidR="00B33257" w:rsidRPr="008468A0" w:rsidRDefault="00000000">
          <w:pPr>
            <w:pStyle w:val="TOC2"/>
            <w:tabs>
              <w:tab w:val="right" w:leader="dot" w:pos="9350"/>
            </w:tabs>
            <w:rPr>
              <w:rFonts w:asciiTheme="minorHAnsi" w:hAnsiTheme="minorHAnsi"/>
              <w:noProof/>
              <w:sz w:val="22"/>
            </w:rPr>
          </w:pPr>
          <w:hyperlink w:anchor="_Toc138707985" w:history="1">
            <w:r w:rsidR="00B33257" w:rsidRPr="008468A0">
              <w:rPr>
                <w:rStyle w:val="Hyperlink"/>
                <w:noProof/>
                <w:color w:val="000000" w:themeColor="text1"/>
              </w:rPr>
              <w:t>8.3 Raw Data of Number of Firms in the Healthcare Industry</w:t>
            </w:r>
            <w:r w:rsidR="00B33257" w:rsidRPr="008468A0">
              <w:rPr>
                <w:noProof/>
                <w:webHidden/>
              </w:rPr>
              <w:tab/>
            </w:r>
            <w:r w:rsidR="00FC6842" w:rsidRPr="008468A0">
              <w:rPr>
                <w:noProof/>
                <w:webHidden/>
              </w:rPr>
              <w:fldChar w:fldCharType="begin"/>
            </w:r>
            <w:r w:rsidR="00B33257" w:rsidRPr="008468A0">
              <w:rPr>
                <w:noProof/>
                <w:webHidden/>
              </w:rPr>
              <w:instrText xml:space="preserve"> PAGEREF _Toc138707985 \h </w:instrText>
            </w:r>
            <w:r w:rsidR="00FC6842" w:rsidRPr="008468A0">
              <w:rPr>
                <w:noProof/>
                <w:webHidden/>
              </w:rPr>
            </w:r>
            <w:r w:rsidR="00FC6842" w:rsidRPr="008468A0">
              <w:rPr>
                <w:noProof/>
                <w:webHidden/>
              </w:rPr>
              <w:fldChar w:fldCharType="separate"/>
            </w:r>
            <w:r w:rsidR="00B33257" w:rsidRPr="008468A0">
              <w:rPr>
                <w:noProof/>
                <w:webHidden/>
              </w:rPr>
              <w:t>34</w:t>
            </w:r>
            <w:r w:rsidR="00FC6842" w:rsidRPr="008468A0">
              <w:rPr>
                <w:noProof/>
                <w:webHidden/>
              </w:rPr>
              <w:fldChar w:fldCharType="end"/>
            </w:r>
          </w:hyperlink>
        </w:p>
        <w:p w14:paraId="1173A71B" w14:textId="77777777" w:rsidR="00B33257" w:rsidRPr="008468A0" w:rsidRDefault="00FC6842">
          <w:r w:rsidRPr="008468A0">
            <w:fldChar w:fldCharType="end"/>
          </w:r>
        </w:p>
      </w:sdtContent>
    </w:sdt>
    <w:p w14:paraId="1CDE5EAC" w14:textId="77777777" w:rsidR="002C21E3" w:rsidRPr="008468A0" w:rsidRDefault="002C21E3"/>
    <w:p w14:paraId="19E2B83D" w14:textId="77777777" w:rsidR="002C21E3" w:rsidRPr="008468A0" w:rsidRDefault="002C21E3"/>
    <w:p w14:paraId="29C2C824" w14:textId="77777777" w:rsidR="002C21E3" w:rsidRPr="008468A0" w:rsidRDefault="002C21E3"/>
    <w:p w14:paraId="3084C799" w14:textId="77777777" w:rsidR="002C21E3" w:rsidRPr="008468A0" w:rsidRDefault="002C21E3"/>
    <w:p w14:paraId="70EA0D19" w14:textId="77777777" w:rsidR="002C21E3" w:rsidRPr="008468A0" w:rsidRDefault="002C21E3"/>
    <w:p w14:paraId="5E057416" w14:textId="77777777" w:rsidR="002C21E3" w:rsidRPr="008468A0" w:rsidRDefault="002C21E3">
      <w:r w:rsidRPr="008468A0">
        <w:br w:type="page"/>
      </w:r>
    </w:p>
    <w:p w14:paraId="12436183" w14:textId="77777777" w:rsidR="002C21E3" w:rsidRPr="008468A0" w:rsidRDefault="002C21E3" w:rsidP="004347BA">
      <w:pPr>
        <w:pStyle w:val="Heading1"/>
        <w:rPr>
          <w:color w:val="000000" w:themeColor="text1"/>
        </w:rPr>
      </w:pPr>
      <w:bookmarkStart w:id="5" w:name="_Toc138707957"/>
      <w:r w:rsidRPr="008468A0">
        <w:rPr>
          <w:color w:val="000000" w:themeColor="text1"/>
        </w:rPr>
        <w:lastRenderedPageBreak/>
        <w:t>1 Introduction</w:t>
      </w:r>
      <w:bookmarkEnd w:id="5"/>
    </w:p>
    <w:p w14:paraId="3E00992F" w14:textId="77777777" w:rsidR="00671940" w:rsidRPr="008468A0" w:rsidRDefault="00671940">
      <w:r w:rsidRPr="008468A0">
        <w:t>The healthcare sector has been identified as a critical sector during the COVID-19 epidemic, and finding positions for foreign employees in this area has been challenging during this time. Because of the COVID-19 outbreak and the Brexit issue in the United Kingdom (UK), employment has become harder for international employees all over the world.</w:t>
      </w:r>
    </w:p>
    <w:p w14:paraId="38017B90" w14:textId="77777777" w:rsidR="008A55D6" w:rsidRPr="008468A0" w:rsidRDefault="008A55D6" w:rsidP="00492DC5">
      <w:pPr>
        <w:pStyle w:val="Heading2"/>
        <w:rPr>
          <w:color w:val="000000" w:themeColor="text1"/>
        </w:rPr>
      </w:pPr>
      <w:bookmarkStart w:id="6" w:name="_Toc138707958"/>
      <w:r w:rsidRPr="008468A0">
        <w:rPr>
          <w:color w:val="000000" w:themeColor="text1"/>
        </w:rPr>
        <w:t>1.1 Background, and Motivat</w:t>
      </w:r>
      <w:r w:rsidR="001B3F4B" w:rsidRPr="008468A0">
        <w:rPr>
          <w:color w:val="000000" w:themeColor="text1"/>
        </w:rPr>
        <w:t>ion b</w:t>
      </w:r>
      <w:r w:rsidR="00492DC5" w:rsidRPr="008468A0">
        <w:rPr>
          <w:color w:val="000000" w:themeColor="text1"/>
        </w:rPr>
        <w:t>ehind Choosing the Study</w:t>
      </w:r>
      <w:bookmarkEnd w:id="6"/>
    </w:p>
    <w:p w14:paraId="2BEE14D6" w14:textId="77777777" w:rsidR="00B100F3" w:rsidRPr="008468A0" w:rsidRDefault="00B100F3">
      <w:r w:rsidRPr="008468A0">
        <w:t>The healthcare sector is a very important sector that has been noticed during the COVID-19 pandemic, and in this period, getting jobs for foreign workers in this sector turns into a difficult task. It leads to the execution of this proposal. This industry is growing at a rate of more than 10 percent at present, and the number of employees is also increasing at a rate of almost two percent (Statista, 2023).</w:t>
      </w:r>
      <w:r w:rsidR="00C21504" w:rsidRPr="008468A0">
        <w:t xml:space="preserve"> In the year 2020, the size of the UK healthcare sector is around £257.6 billion</w:t>
      </w:r>
      <w:r w:rsidR="0036355B" w:rsidRPr="008468A0">
        <w:t xml:space="preserve">, and </w:t>
      </w:r>
      <w:r w:rsidR="00AF5BB3" w:rsidRPr="008468A0">
        <w:t>in the year 2022, the proportion of the number of foreign doctors among all doctors available in the UK was almost 32.60%</w:t>
      </w:r>
      <w:r w:rsidR="00F92A9B" w:rsidRPr="008468A0">
        <w:t xml:space="preserve"> from 31 countries who are mostly from Inia, Philippine, Nigeria, etc.</w:t>
      </w:r>
      <w:r w:rsidR="0092114C" w:rsidRPr="008468A0">
        <w:t xml:space="preserve"> (Health care system, 2023; Baker, 2019)</w:t>
      </w:r>
      <w:r w:rsidR="00AF5BB3" w:rsidRPr="008468A0">
        <w:t>.</w:t>
      </w:r>
    </w:p>
    <w:p w14:paraId="67A22131" w14:textId="77777777" w:rsidR="0005453D" w:rsidRPr="008468A0" w:rsidRDefault="0005453D" w:rsidP="0005453D">
      <w:pPr>
        <w:pStyle w:val="Heading2"/>
        <w:rPr>
          <w:color w:val="000000" w:themeColor="text1"/>
        </w:rPr>
      </w:pPr>
      <w:bookmarkStart w:id="7" w:name="_Toc138707959"/>
      <w:r w:rsidRPr="008468A0">
        <w:rPr>
          <w:color w:val="000000" w:themeColor="text1"/>
        </w:rPr>
        <w:t>1.2 Problem Statement</w:t>
      </w:r>
      <w:bookmarkEnd w:id="7"/>
    </w:p>
    <w:p w14:paraId="51E051A1" w14:textId="77777777" w:rsidR="000130F2" w:rsidRPr="008468A0" w:rsidRDefault="000130F2" w:rsidP="0005453D">
      <w:r w:rsidRPr="008468A0">
        <w:t>Employment turns into a difficult one for foreign employees all over the world for the existence of the COVID-19 epidemic, and the existence of the Brexit issue in the United Kingdom (UK). To find out the corrections of this problem, finding challenges, and opportunities are essential, and for this reason, this paper is prepared.</w:t>
      </w:r>
    </w:p>
    <w:p w14:paraId="25A87EDB" w14:textId="77777777" w:rsidR="0005453D" w:rsidRPr="008468A0" w:rsidRDefault="0005453D" w:rsidP="0005453D">
      <w:pPr>
        <w:pStyle w:val="Heading2"/>
        <w:rPr>
          <w:color w:val="000000" w:themeColor="text1"/>
        </w:rPr>
      </w:pPr>
      <w:bookmarkStart w:id="8" w:name="_Toc138707960"/>
      <w:r w:rsidRPr="008468A0">
        <w:rPr>
          <w:color w:val="000000" w:themeColor="text1"/>
        </w:rPr>
        <w:t>1.3 Research Aim, and Objectives</w:t>
      </w:r>
      <w:bookmarkEnd w:id="8"/>
    </w:p>
    <w:p w14:paraId="4C176A94" w14:textId="77777777" w:rsidR="0005453D" w:rsidRPr="008468A0" w:rsidRDefault="00EB7303" w:rsidP="0005453D">
      <w:r w:rsidRPr="008468A0">
        <w:t>This work targets at indicating</w:t>
      </w:r>
      <w:r w:rsidR="00C86B30" w:rsidRPr="008468A0">
        <w:t xml:space="preserve"> the effe</w:t>
      </w:r>
      <w:r w:rsidRPr="008468A0">
        <w:t xml:space="preserve">ct on the performance of foreign workers in the health sector </w:t>
      </w:r>
      <w:r w:rsidR="00C86B30" w:rsidRPr="008468A0">
        <w:t xml:space="preserve">of the United Kingdom (UK) </w:t>
      </w:r>
      <w:r w:rsidRPr="008468A0">
        <w:t xml:space="preserve">due to the existence of </w:t>
      </w:r>
      <w:r w:rsidR="00C86B30" w:rsidRPr="008468A0">
        <w:t xml:space="preserve">different types of </w:t>
      </w:r>
      <w:r w:rsidRPr="008468A0">
        <w:t xml:space="preserve">challenges and opportunities in the </w:t>
      </w:r>
      <w:r w:rsidR="00C86B30" w:rsidRPr="008468A0">
        <w:t xml:space="preserve">healthcare sector of the </w:t>
      </w:r>
      <w:r w:rsidRPr="008468A0">
        <w:t>U</w:t>
      </w:r>
      <w:r w:rsidR="00C86B30" w:rsidRPr="008468A0">
        <w:t xml:space="preserve">nited </w:t>
      </w:r>
      <w:r w:rsidRPr="008468A0">
        <w:t>K</w:t>
      </w:r>
      <w:r w:rsidR="00C86B30" w:rsidRPr="008468A0">
        <w:t>ingdom.</w:t>
      </w:r>
    </w:p>
    <w:p w14:paraId="3960937F" w14:textId="77777777" w:rsidR="000C5A45" w:rsidRPr="008468A0" w:rsidRDefault="000C5A45" w:rsidP="00240C67">
      <w:pPr>
        <w:pStyle w:val="Heading3"/>
        <w:rPr>
          <w:color w:val="000000" w:themeColor="text1"/>
        </w:rPr>
      </w:pPr>
      <w:bookmarkStart w:id="9" w:name="_Toc138707961"/>
      <w:r w:rsidRPr="008468A0">
        <w:rPr>
          <w:color w:val="000000" w:themeColor="text1"/>
        </w:rPr>
        <w:t>1.3.1 Research Objectives</w:t>
      </w:r>
      <w:bookmarkEnd w:id="9"/>
    </w:p>
    <w:p w14:paraId="49073FE9" w14:textId="77777777" w:rsidR="00240C67" w:rsidRPr="008468A0" w:rsidRDefault="00240C67" w:rsidP="00240C67">
      <w:pPr>
        <w:pStyle w:val="ListParagraph"/>
        <w:numPr>
          <w:ilvl w:val="0"/>
          <w:numId w:val="2"/>
        </w:numPr>
        <w:shd w:val="clear" w:color="auto" w:fill="FFFFFF"/>
        <w:spacing w:after="0"/>
        <w:rPr>
          <w:rFonts w:eastAsia="Times New Roman" w:cs="Times New Roman"/>
          <w:szCs w:val="24"/>
        </w:rPr>
      </w:pPr>
      <w:r w:rsidRPr="008468A0">
        <w:t>To determine the key obstacles international workers in the UK health sector experience </w:t>
      </w:r>
      <w:r w:rsidRPr="008468A0">
        <w:rPr>
          <w:rFonts w:eastAsia="Times New Roman" w:cs="Times New Roman"/>
          <w:szCs w:val="24"/>
        </w:rPr>
        <w:t>(Bell et al., 2022).</w:t>
      </w:r>
    </w:p>
    <w:p w14:paraId="362BA024" w14:textId="77777777" w:rsidR="00240C67" w:rsidRPr="008468A0" w:rsidRDefault="00240C67" w:rsidP="00240C67">
      <w:pPr>
        <w:pStyle w:val="ListParagraph"/>
        <w:numPr>
          <w:ilvl w:val="0"/>
          <w:numId w:val="2"/>
        </w:numPr>
      </w:pPr>
      <w:r w:rsidRPr="008468A0">
        <w:t>T</w:t>
      </w:r>
      <w:r w:rsidR="00257AB4" w:rsidRPr="008468A0">
        <w:t>o examine the principal opportunities</w:t>
      </w:r>
      <w:r w:rsidRPr="008468A0">
        <w:t xml:space="preserve"> available to them</w:t>
      </w:r>
      <w:r w:rsidR="00F15B85" w:rsidRPr="008468A0">
        <w:t xml:space="preserve"> </w:t>
      </w:r>
      <w:r w:rsidR="00257AB4" w:rsidRPr="008468A0">
        <w:t xml:space="preserve">to </w:t>
      </w:r>
      <w:r w:rsidR="00F15B85" w:rsidRPr="008468A0">
        <w:t>get healthcare job in the UK</w:t>
      </w:r>
      <w:r w:rsidRPr="008468A0">
        <w:t xml:space="preserve">. </w:t>
      </w:r>
    </w:p>
    <w:p w14:paraId="42AB5E65" w14:textId="77777777" w:rsidR="00240C67" w:rsidRPr="008468A0" w:rsidRDefault="00240C67" w:rsidP="0005453D">
      <w:pPr>
        <w:pStyle w:val="ListParagraph"/>
        <w:numPr>
          <w:ilvl w:val="0"/>
          <w:numId w:val="2"/>
        </w:numPr>
      </w:pPr>
      <w:r w:rsidRPr="008468A0">
        <w:t>To comprehend what motivates</w:t>
      </w:r>
      <w:r w:rsidR="00C55F68" w:rsidRPr="008468A0">
        <w:t>, and distracts</w:t>
      </w:r>
      <w:r w:rsidRPr="008468A0">
        <w:t xml:space="preserve"> foreign employees </w:t>
      </w:r>
      <w:r w:rsidR="00F15B85" w:rsidRPr="008468A0">
        <w:t>to get healthcare job in the UK</w:t>
      </w:r>
      <w:r w:rsidR="00C55F68" w:rsidRPr="008468A0">
        <w:t>.</w:t>
      </w:r>
    </w:p>
    <w:p w14:paraId="43510FF3" w14:textId="77777777" w:rsidR="0005453D" w:rsidRPr="008468A0" w:rsidRDefault="0005453D" w:rsidP="0005453D">
      <w:pPr>
        <w:pStyle w:val="Heading2"/>
        <w:rPr>
          <w:color w:val="000000" w:themeColor="text1"/>
        </w:rPr>
      </w:pPr>
      <w:bookmarkStart w:id="10" w:name="_Toc138707962"/>
      <w:r w:rsidRPr="008468A0">
        <w:rPr>
          <w:color w:val="000000" w:themeColor="text1"/>
        </w:rPr>
        <w:lastRenderedPageBreak/>
        <w:t xml:space="preserve">1.4 </w:t>
      </w:r>
      <w:r w:rsidR="000E384E" w:rsidRPr="008468A0">
        <w:rPr>
          <w:color w:val="000000" w:themeColor="text1"/>
        </w:rPr>
        <w:t>Research Rationale</w:t>
      </w:r>
      <w:bookmarkEnd w:id="10"/>
    </w:p>
    <w:p w14:paraId="17DDAD27" w14:textId="77777777" w:rsidR="00145CAF" w:rsidRPr="008468A0" w:rsidRDefault="00145CAF" w:rsidP="0005453D">
      <w:r w:rsidRPr="008468A0">
        <w:t>For developing efficiency among foreign employees, this piece of writing is important to prepare. This piece of writing will contribute by finding out the effect of challenges, and obstacles on th</w:t>
      </w:r>
      <w:r w:rsidR="006D2899" w:rsidRPr="008468A0">
        <w:t>e performance of the health sector</w:t>
      </w:r>
      <w:r w:rsidRPr="008468A0">
        <w:t xml:space="preserve"> of the United Kingdom (UK), and ultimately, this will help to gain practical experience.</w:t>
      </w:r>
    </w:p>
    <w:p w14:paraId="2E487CC6" w14:textId="77777777" w:rsidR="000E384E" w:rsidRPr="008468A0" w:rsidRDefault="000E384E" w:rsidP="000E384E">
      <w:pPr>
        <w:pStyle w:val="Heading2"/>
        <w:rPr>
          <w:color w:val="000000" w:themeColor="text1"/>
        </w:rPr>
      </w:pPr>
      <w:bookmarkStart w:id="11" w:name="_Toc138707963"/>
      <w:r w:rsidRPr="008468A0">
        <w:rPr>
          <w:color w:val="000000" w:themeColor="text1"/>
        </w:rPr>
        <w:t>1.5 Research Questions</w:t>
      </w:r>
      <w:bookmarkEnd w:id="11"/>
    </w:p>
    <w:p w14:paraId="2DE775F9" w14:textId="77777777" w:rsidR="0041765D" w:rsidRPr="008468A0" w:rsidRDefault="00240C67" w:rsidP="0005453D">
      <w:pPr>
        <w:pStyle w:val="ListParagraph"/>
        <w:numPr>
          <w:ilvl w:val="0"/>
          <w:numId w:val="1"/>
        </w:numPr>
        <w:shd w:val="clear" w:color="auto" w:fill="FFFFFF"/>
        <w:spacing w:after="0"/>
        <w:rPr>
          <w:rFonts w:eastAsia="Times New Roman" w:cs="Times New Roman"/>
          <w:szCs w:val="24"/>
        </w:rPr>
      </w:pPr>
      <w:r w:rsidRPr="008468A0">
        <w:t>What are the principal factors that impact foreign healthcare workers job satisfaction and career progression?</w:t>
      </w:r>
    </w:p>
    <w:p w14:paraId="23A59438" w14:textId="77777777" w:rsidR="000E384E" w:rsidRPr="008468A0" w:rsidRDefault="00241D63" w:rsidP="0005453D">
      <w:pPr>
        <w:pStyle w:val="ListParagraph"/>
        <w:numPr>
          <w:ilvl w:val="0"/>
          <w:numId w:val="1"/>
        </w:numPr>
        <w:shd w:val="clear" w:color="auto" w:fill="FFFFFF"/>
        <w:spacing w:after="0"/>
        <w:rPr>
          <w:rFonts w:eastAsia="Times New Roman" w:cs="Times New Roman"/>
          <w:szCs w:val="24"/>
        </w:rPr>
      </w:pPr>
      <w:r w:rsidRPr="008468A0">
        <w:t xml:space="preserve">Can the existing number of healthcare </w:t>
      </w:r>
      <w:r w:rsidR="0041765D" w:rsidRPr="008468A0">
        <w:t>workers</w:t>
      </w:r>
      <w:r w:rsidRPr="008468A0">
        <w:t xml:space="preserve"> and firms in the UK assist in ensuring better healthcare compared to the past?</w:t>
      </w:r>
    </w:p>
    <w:p w14:paraId="2233FC1E" w14:textId="77777777" w:rsidR="00492DC5" w:rsidRPr="008468A0" w:rsidRDefault="00492DC5"/>
    <w:p w14:paraId="3F5BC139" w14:textId="77777777" w:rsidR="004347BA" w:rsidRPr="008468A0" w:rsidRDefault="004347BA"/>
    <w:p w14:paraId="3E1075A2" w14:textId="77777777" w:rsidR="004347BA" w:rsidRPr="008468A0" w:rsidRDefault="004347BA">
      <w:pPr>
        <w:spacing w:line="276" w:lineRule="auto"/>
        <w:jc w:val="left"/>
      </w:pPr>
      <w:r w:rsidRPr="008468A0">
        <w:br w:type="page"/>
      </w:r>
    </w:p>
    <w:p w14:paraId="187D9E19" w14:textId="77777777" w:rsidR="004347BA" w:rsidRPr="008468A0" w:rsidRDefault="004347BA" w:rsidP="004347BA">
      <w:pPr>
        <w:pStyle w:val="Heading1"/>
        <w:rPr>
          <w:color w:val="000000" w:themeColor="text1"/>
        </w:rPr>
      </w:pPr>
      <w:bookmarkStart w:id="12" w:name="_Toc138707964"/>
      <w:r w:rsidRPr="008468A0">
        <w:rPr>
          <w:color w:val="000000" w:themeColor="text1"/>
        </w:rPr>
        <w:lastRenderedPageBreak/>
        <w:t>2 Literature Review</w:t>
      </w:r>
      <w:bookmarkEnd w:id="12"/>
    </w:p>
    <w:p w14:paraId="2626DB2F" w14:textId="77777777" w:rsidR="006B6939" w:rsidRPr="008468A0" w:rsidRDefault="006B6939" w:rsidP="004347BA">
      <w:r w:rsidRPr="008468A0">
        <w:t>Following the traditional system has been found to be a huge problem in this paper for the six countries under OCED, and the proper execution of the caring model has been turned into a proper solution to solve this problem which has also been expected to lead to the development of the healthcare sector. Managing the personal life, with the professional life has been found as an important challenge to sustain in the long run, and here, working from home has turned into a modern system but doing this in the healthcare sector has not mostly possible, and it has been expected to be conducted with proper management of time.</w:t>
      </w:r>
    </w:p>
    <w:p w14:paraId="3BB35318" w14:textId="77777777" w:rsidR="004347BA" w:rsidRPr="008468A0" w:rsidRDefault="004347BA" w:rsidP="00257A2B">
      <w:pPr>
        <w:pStyle w:val="Heading2"/>
        <w:rPr>
          <w:color w:val="000000" w:themeColor="text1"/>
        </w:rPr>
      </w:pPr>
      <w:bookmarkStart w:id="13" w:name="_Toc138707965"/>
      <w:r w:rsidRPr="008468A0">
        <w:rPr>
          <w:color w:val="000000" w:themeColor="text1"/>
        </w:rPr>
        <w:t xml:space="preserve">2.1 </w:t>
      </w:r>
      <w:r w:rsidR="00257A2B" w:rsidRPr="008468A0">
        <w:rPr>
          <w:color w:val="000000" w:themeColor="text1"/>
        </w:rPr>
        <w:t>Past Analyses</w:t>
      </w:r>
      <w:bookmarkEnd w:id="13"/>
    </w:p>
    <w:p w14:paraId="6987A252" w14:textId="77777777" w:rsidR="001B78DA" w:rsidRPr="008468A0" w:rsidRDefault="001B78DA" w:rsidP="004347BA">
      <w:r w:rsidRPr="008468A0">
        <w:t>In the year 2015, a paper was developed to know the responsibilities, level of education, and the allowed remuneration of nurses, etc. which are evaluated to know the current condition of the health sector of sic countries who are included under OCED, and these countries are Canada, the United States, England, Australia, Netherlands, and Germany. Here, emphasis is mostly given to the management of cooperation, and the management of conflict (Freund et al., 2015). Following the traditional system has been found to be a huge problem in this paper for these countries, and the proper execution of the caring model has been turned into a proper solution to solve this problem which has also been expected to lead to the development of the healthcare sectors in these countries. Also, mixing required skills, and gaining knowledge from learning have been noticed to be effective.</w:t>
      </w:r>
    </w:p>
    <w:p w14:paraId="136B257E" w14:textId="77777777" w:rsidR="00CC5013" w:rsidRPr="008468A0" w:rsidRDefault="00AE5D41" w:rsidP="004347BA">
      <w:r w:rsidRPr="008468A0">
        <w:t xml:space="preserve">In this paper, finding the impact of </w:t>
      </w:r>
      <w:r w:rsidR="003B5289" w:rsidRPr="008468A0">
        <w:t>behaviour</w:t>
      </w:r>
      <w:r w:rsidRPr="008468A0">
        <w:t xml:space="preserve"> and attitudes of the employees of the medical sector on the development of the health of migrant people is the main concern which has ultimately assisted in knowing the level of development of healthcare which was conducted on 17th September 2015 (</w:t>
      </w:r>
      <w:proofErr w:type="spellStart"/>
      <w:r w:rsidRPr="008468A0">
        <w:t>Suphanchaimat</w:t>
      </w:r>
      <w:proofErr w:type="spellEnd"/>
      <w:r w:rsidRPr="008468A0">
        <w:t xml:space="preserve"> et al., 2015). Here, information has been collected from three different databases, and these databases are Embase, Scopus, and Medline. Three different things are also considered here which have included interaction with individual patients, the impact of the factors of the workplaces on the quality of healthcare, and the impact of the external environment on the </w:t>
      </w:r>
      <w:r w:rsidR="003B5289" w:rsidRPr="008468A0">
        <w:t>behaviour</w:t>
      </w:r>
      <w:r w:rsidRPr="008468A0">
        <w:t xml:space="preserve"> of healthcare employees. Professional norms have been found to be vital in ensuring the development of the healthcare sector. After the evaluation of 37 different types of good articles, the healthcare service has been noticed to be restricted to all illegal patients undoubtedly.</w:t>
      </w:r>
    </w:p>
    <w:p w14:paraId="108A165D" w14:textId="77777777" w:rsidR="00C868A1" w:rsidRPr="008468A0" w:rsidRDefault="008B107B" w:rsidP="004347BA">
      <w:r w:rsidRPr="008468A0">
        <w:lastRenderedPageBreak/>
        <w:t>In the year 2016, a piece of writing was noticed which has been published by the World Health Organisation (WHO), which targets at ensuring development all over the world for implementing sustainable progress in the healthcare sector, and to implement this the Vision 2030 has been developed by this firm. Both secondary information and primary information are used to find out the result of this paper</w:t>
      </w:r>
      <w:r w:rsidR="00924526" w:rsidRPr="008468A0">
        <w:t xml:space="preserve"> (WHO, 2016)</w:t>
      </w:r>
      <w:r w:rsidRPr="008468A0">
        <w:t>. The application of existing laws appropriately has been turned into the main concern according to this piece of writing. Providing necessary responsibilities and relevant authorities are also recommended to be granted for the existing employees of the healthcare sector in ensuring sustainable progress in the healthcare sector. These all are instructed to be implemented under different types of relevant policies, and numerous types of objectives to ensure flow of development in the healthcare sector in the long run.</w:t>
      </w:r>
    </w:p>
    <w:p w14:paraId="1C889B1F" w14:textId="77777777" w:rsidR="00CA3946" w:rsidRPr="008468A0" w:rsidRDefault="00295FFE" w:rsidP="004347BA">
      <w:r w:rsidRPr="008468A0">
        <w:t>A paper has bee</w:t>
      </w:r>
      <w:r w:rsidR="00F67BFE" w:rsidRPr="008468A0">
        <w:t>n written in the year 2016 on the c</w:t>
      </w:r>
      <w:r w:rsidRPr="008468A0">
        <w:t>haracteristics of shift work and their impact on employee performance and wellbeing</w:t>
      </w:r>
      <w:r w:rsidR="00F67BFE" w:rsidRPr="008468A0">
        <w:t xml:space="preserve">, </w:t>
      </w:r>
      <w:r w:rsidRPr="008468A0">
        <w:t>and it targets the evaluation of the impact of the technique of shifting the employees of the firms including the healthcare sector on the performance of the respective firms including the healthcare sector, and the shifting has been declared to be conducted based on productivity of employees, the job performance of employees, delivered quality by employees, errors of employees, the safety of healthcare system, customer satisfaction ensured by the employees, and the existence of adverse events (</w:t>
      </w:r>
      <w:proofErr w:type="spellStart"/>
      <w:r w:rsidRPr="008468A0">
        <w:t>Dall’Ora</w:t>
      </w:r>
      <w:proofErr w:type="spellEnd"/>
      <w:r w:rsidRPr="008468A0">
        <w:t xml:space="preserve"> et al., 2016). Different types of electronic databases which include Medline, </w:t>
      </w:r>
      <w:proofErr w:type="spellStart"/>
      <w:r w:rsidRPr="008468A0">
        <w:t>Cinahi</w:t>
      </w:r>
      <w:proofErr w:type="spellEnd"/>
      <w:r w:rsidRPr="008468A0">
        <w:t xml:space="preserve">, Scopus, and </w:t>
      </w:r>
      <w:proofErr w:type="spellStart"/>
      <w:r w:rsidRPr="008468A0">
        <w:t>Psyhinfo</w:t>
      </w:r>
      <w:proofErr w:type="spellEnd"/>
      <w:r w:rsidRPr="008468A0">
        <w:t xml:space="preserve"> are used to ensure proper collection of information to conduct the analysis, and 35 different types of studies are used here to conduct this analysis where 25 studies are related to the healthcare sector. Shifting work is noticed to be significantly positively related to the impact of the performance of the healthcare sector according to this paper. Allowing timely breaks for employees is noticed to be suggested to increase the interest among employees to conduct the business activities properly, and to ensure the sustainability of the respective healthcare firm.</w:t>
      </w:r>
    </w:p>
    <w:p w14:paraId="3FB3A39E" w14:textId="77777777" w:rsidR="006051CF" w:rsidRPr="008468A0" w:rsidRDefault="00E919ED" w:rsidP="004347BA">
      <w:r w:rsidRPr="008468A0">
        <w:t>To ensure evaluation of the impact of the gap in the medical sector to ensure the development of little-sized healthcare firms, very-little-sized healthcare firms, little-sized countries, and regions, and very-little-sized countries and regions in the year 2017 with addressing different types of existing challenges (</w:t>
      </w:r>
      <w:proofErr w:type="spellStart"/>
      <w:r w:rsidRPr="008468A0">
        <w:t>Wainberg</w:t>
      </w:r>
      <w:proofErr w:type="spellEnd"/>
      <w:r w:rsidRPr="008468A0">
        <w:t xml:space="preserve"> et al., 2017). In this piece of writing, minimising the impact of the gap in the medical sector to ensure the development of little-sized healthcare firms, very-little-</w:t>
      </w:r>
      <w:r w:rsidRPr="008468A0">
        <w:lastRenderedPageBreak/>
        <w:t xml:space="preserve">sized healthcare firms, little-sized countries, and regions, and very-little-sized countries and regions with minimising the challenges </w:t>
      </w:r>
      <w:r w:rsidR="003E1F47" w:rsidRPr="008468A0">
        <w:t>turn</w:t>
      </w:r>
      <w:r w:rsidRPr="008468A0">
        <w:t xml:space="preserve"> into the key finding to ensure the development of the medical sector. To find out the outcome, different types of theories under the management of human resources have been considered here. Ensuring more research capacity, reducing mental problems like mental disorders, the development of a sustainable public healthcare system, etc. have also been recommended here to ensure the development of the medical sector all over the world.</w:t>
      </w:r>
    </w:p>
    <w:p w14:paraId="6998B671" w14:textId="77777777" w:rsidR="00BE1E93" w:rsidRPr="008468A0" w:rsidRDefault="009B59D7" w:rsidP="004347BA">
      <w:r w:rsidRPr="008468A0">
        <w:t>In the year 2017, a paper was written on the impact of the availability of resources on the performance of the healthcare sector all over the world, and to do this, manpower was also considered as a part of resources, and it was one of the most important resources to continue the business operations in the firms which also includes the healthcare sector all over the world (Garrett, 2017). Here, ensuring healthcare for poor people and sick people is noticed to be an important matter in this paper to find out the prosperity, and the availability of the healthcare sector in the future without any confusion. For ensuring the expansion of the healthcare sector all over the world, the expansion of financing turns into important, and it is also recommended in this piece of writing.</w:t>
      </w:r>
    </w:p>
    <w:p w14:paraId="229C0949" w14:textId="77777777" w:rsidR="00CA6B1C" w:rsidRPr="008468A0" w:rsidRDefault="00135809" w:rsidP="00CA6B1C">
      <w:r w:rsidRPr="008468A0">
        <w:t xml:space="preserve">The impact of the burnout of staffs of </w:t>
      </w:r>
      <w:r w:rsidR="0079187C" w:rsidRPr="008468A0">
        <w:t xml:space="preserve">the </w:t>
      </w:r>
      <w:r w:rsidRPr="008468A0">
        <w:t>medical sector, and the well-being of staff</w:t>
      </w:r>
      <w:r w:rsidR="0079187C" w:rsidRPr="008468A0">
        <w:t xml:space="preserve">s of the healthcare sector on the performance of </w:t>
      </w:r>
      <w:r w:rsidR="00F43527" w:rsidRPr="008468A0">
        <w:t xml:space="preserve">the </w:t>
      </w:r>
      <w:r w:rsidR="0079187C" w:rsidRPr="008468A0">
        <w:t xml:space="preserve">healthcare firms </w:t>
      </w:r>
      <w:r w:rsidR="00F43527" w:rsidRPr="008468A0">
        <w:t xml:space="preserve">are noticed to be </w:t>
      </w:r>
      <w:r w:rsidR="00F67BFE" w:rsidRPr="008468A0">
        <w:t>targeted in this</w:t>
      </w:r>
      <w:r w:rsidR="00712389" w:rsidRPr="008468A0">
        <w:t xml:space="preserve"> pa</w:t>
      </w:r>
      <w:r w:rsidR="00F77301" w:rsidRPr="008468A0">
        <w:t>p</w:t>
      </w:r>
      <w:r w:rsidR="00712389" w:rsidRPr="008468A0">
        <w:t>er</w:t>
      </w:r>
      <w:r w:rsidR="00931C5E" w:rsidRPr="008468A0">
        <w:t xml:space="preserve"> (Johnson et al., 2018).</w:t>
      </w:r>
      <w:r w:rsidR="00F67BFE" w:rsidRPr="008468A0">
        <w:t xml:space="preserve"> </w:t>
      </w:r>
      <w:r w:rsidR="00917F5A" w:rsidRPr="008468A0">
        <w:t xml:space="preserve">Improving care for patients through training, and staffs </w:t>
      </w:r>
      <w:r w:rsidR="00787546" w:rsidRPr="008468A0">
        <w:t xml:space="preserve">has been turned into a </w:t>
      </w:r>
      <w:r w:rsidR="00DF5E69" w:rsidRPr="008468A0">
        <w:t xml:space="preserve">suggested solution to solve the problem of burnout of staffs of the medical sector, and ensure more improvement in the well-being of staffs of the healthcare sector which has the ability to lead to </w:t>
      </w:r>
      <w:r w:rsidR="00A82DD0" w:rsidRPr="008468A0">
        <w:t>the development in the performance of the healthcare firms</w:t>
      </w:r>
      <w:r w:rsidR="0019536B" w:rsidRPr="008468A0">
        <w:t xml:space="preserve"> all over the world without any confusion.</w:t>
      </w:r>
    </w:p>
    <w:p w14:paraId="571CEF23" w14:textId="77777777" w:rsidR="0094486A" w:rsidRPr="008468A0" w:rsidRDefault="001F7FFA" w:rsidP="004347BA">
      <w:r w:rsidRPr="008468A0">
        <w:t>On 12th May 2020</w:t>
      </w:r>
      <w:r w:rsidR="0094486A" w:rsidRPr="008468A0">
        <w:t xml:space="preserve">, to find out the impact of different types of ways to fight against the deadly pandemic named COVID-19 for employees which are also effective in ensuring the development of the healthcare sector all over the world, and recent challenges for employees to fight against the deadly pandemic named COVID-19 are also evaluated to find out the ways to solve </w:t>
      </w:r>
      <w:r w:rsidR="006051CF" w:rsidRPr="008468A0">
        <w:t>these problems (Liu et al., 2020</w:t>
      </w:r>
      <w:r w:rsidR="0094486A" w:rsidRPr="008468A0">
        <w:t xml:space="preserve">). For conducting this analysis, the samples from the respondents (the health employees) of three countries are considered, and these countries are Singapore, South Korea, and China. The management of collaboration and the management of contribution of </w:t>
      </w:r>
      <w:r w:rsidR="0094486A" w:rsidRPr="008468A0">
        <w:lastRenderedPageBreak/>
        <w:t>science (exists social science also), governments, and industry have been turned into the matter of putting the most emphasis to solve the selected problem according to this piece of writing.</w:t>
      </w:r>
    </w:p>
    <w:p w14:paraId="0C0F05B5" w14:textId="77777777" w:rsidR="002C21E3" w:rsidRPr="008468A0" w:rsidRDefault="00F26D40" w:rsidP="00F26D40">
      <w:r w:rsidRPr="008468A0">
        <w:t xml:space="preserve">In the first paper, it has been observed that combining essential abilities and obtaining knowledge through learning are effective. In the second paper. In the second paper, professional standards have been discovered to be critical in ensuring the growth of the healthcare sector. Following the study of 37 various forms of good articles, the healthcare service was discovered to be unquestionably restricted to all illegal patients. In the third paper, the proper application of current legislation has become the primary problem. It is also proposed that required responsibilities and suitable authorities be granted to existing healthcare sector employees to ensure long-term success in the healthcare industry. These are all directed to be implemented under many forms of applicable policies and multiple types of objectives to assure the long-term development of the healthcare industry. In the fourth paper, shifting employment has been found to be significantly </w:t>
      </w:r>
      <w:r w:rsidR="003E1F47" w:rsidRPr="008468A0">
        <w:t>favourably</w:t>
      </w:r>
      <w:r w:rsidRPr="008468A0">
        <w:t xml:space="preserve"> associated with the influence of the healthcare sector's performance. Allowing timely breaks for employees has been seen to be encouraged in order to boost employee enthusiasm in conducting company activities effectively and to ensure the sustainability of the relevant healthcare firm. In the fifth paper, more research capacity, reduction of mental difficulties such as mental diseases, development of a sustainable public healthcare system, and other measures have been advocated to secure the global development of the medical industry. In the sixth paper, providing healthcare for the poor and sick is identified as an essential issue in this study in order to determine the future prosperity and availability of the healthcare industry. The expansion of financing has become critical for assuring the global expansion of the healthcare sector. In the seventh paper, improving patient care through training and staffing has been proposed as a solution to the problem of medical staff burnout and to ensure more improvement in the well-being of healthcare staff, which has the potential to lead to the development of the performance of healthcare firms all over the world without any confusion. In the last paper, the management of collaboration and the management of contribution of science (including social science), governments, and industry </w:t>
      </w:r>
      <w:r w:rsidR="000C1F9A" w:rsidRPr="008468A0">
        <w:t>have</w:t>
      </w:r>
      <w:r w:rsidRPr="008468A0">
        <w:t xml:space="preserve"> been transformed into a question of putting the most emphasis on solving the chosen problem. Here, all of these are noticed to be focusing on a specific obstacle, or a specific opportunity that creates a huge gap, and to solve this problem, almost all of the factors are considered here in the context of the United Kingdom (UK).</w:t>
      </w:r>
    </w:p>
    <w:p w14:paraId="375AAB20" w14:textId="77777777" w:rsidR="00724900" w:rsidRPr="008468A0" w:rsidRDefault="00724900" w:rsidP="00724900">
      <w:pPr>
        <w:pStyle w:val="Heading2"/>
        <w:rPr>
          <w:color w:val="000000" w:themeColor="text1"/>
        </w:rPr>
      </w:pPr>
      <w:bookmarkStart w:id="14" w:name="_Toc138707966"/>
      <w:r w:rsidRPr="008468A0">
        <w:rPr>
          <w:color w:val="000000" w:themeColor="text1"/>
        </w:rPr>
        <w:lastRenderedPageBreak/>
        <w:t>2.2 About Theories</w:t>
      </w:r>
      <w:bookmarkEnd w:id="14"/>
    </w:p>
    <w:p w14:paraId="2C63B135" w14:textId="77777777" w:rsidR="00EC39CD" w:rsidRPr="008468A0" w:rsidRDefault="002F35F5" w:rsidP="00724900">
      <w:r w:rsidRPr="008468A0">
        <w:t>Three theories will be used to conduct the analysis here, and these theories include the goal-setting theory, collaboration, and managing the personal life, with the professional life. </w:t>
      </w:r>
      <w:r w:rsidRPr="008468A0">
        <w:rPr>
          <w:rStyle w:val="Strong"/>
        </w:rPr>
        <w:t>Goal setting theory</w:t>
      </w:r>
      <w:r w:rsidRPr="008468A0">
        <w:t> is a popular technique of providing motivation where a specified goal is set to reach the ultimate outcome within the specified time where the goal should be SMART and congruence of goals must be ensured strictly (Griffin, 2019). Here, SMART is specific, measurable, attainable, realistic, and time-bound. Here, the goal-setting theory is highly used in most firms in the modern world, and for the healthcare firms of the United Kingdom (UK), following this is a mandatory ask without any doubt (</w:t>
      </w:r>
      <w:proofErr w:type="spellStart"/>
      <w:r w:rsidRPr="008468A0">
        <w:t>Hellriegel</w:t>
      </w:r>
      <w:proofErr w:type="spellEnd"/>
      <w:r w:rsidRPr="008468A0">
        <w:t>, 2017). Here, congruence of goal means following this type of goal which assist in reaching the main goal of the respective firm (</w:t>
      </w:r>
      <w:proofErr w:type="spellStart"/>
      <w:r w:rsidRPr="008468A0">
        <w:t>Mallin</w:t>
      </w:r>
      <w:proofErr w:type="spellEnd"/>
      <w:r w:rsidRPr="008468A0">
        <w:t>, 2019). </w:t>
      </w:r>
      <w:r w:rsidRPr="008468A0">
        <w:rPr>
          <w:rStyle w:val="Strong"/>
        </w:rPr>
        <w:t>Collaboration</w:t>
      </w:r>
      <w:r w:rsidRPr="008468A0">
        <w:t> is the method of compelling subordinates to perform tasks using the full efforts of these respective employees, and in the healthcare sector, this is a vital thing to follow without any obstacle (Mullins, 2019). Here, teamwork is controlled properly with the application of this in a diversified business environment like the healthcare sector of the United Kingdom (UK). Collaboration can be done properly with the application of suitable leadership which is an unavoidable part of management with the assistance of knowledge from different types of motivation techniques (Hunsaker and Hunsaker, 2015). A combination of all of these can assist in ensuring the effectiveness of foreign healthcare employees in the UK in serving patients. </w:t>
      </w:r>
      <w:r w:rsidRPr="008468A0">
        <w:rPr>
          <w:rStyle w:val="Strong"/>
        </w:rPr>
        <w:t>Managing the personal life, with the professional life</w:t>
      </w:r>
      <w:r w:rsidRPr="008468A0">
        <w:t> is an important challenge to sustain in the long run, and here, working from home turns into a modern system but doing this in the healthcare sector is not mostly possible, and it must be conducted with proper management of time</w:t>
      </w:r>
      <w:r w:rsidR="00E9299D" w:rsidRPr="008468A0">
        <w:t xml:space="preserve"> (Lynch, 2018)</w:t>
      </w:r>
      <w:r w:rsidRPr="008468A0">
        <w:t>. Here, the foreign employees of the UK s facing heavily for the emergence of the issue of Brexit, and it inspires a lot of foreign employees to leave their jobs in the United Kingdom (UK).</w:t>
      </w:r>
      <w:r w:rsidR="00960BFE" w:rsidRPr="008468A0">
        <w:t xml:space="preserve"> The goal-setting theory and the balancing of work and home life are used to explain the development of the principal factors that impact foreign healthcare workers job satisfaction and career progression.</w:t>
      </w:r>
      <w:r w:rsidR="00CC1FF6" w:rsidRPr="008468A0">
        <w:t xml:space="preserve"> </w:t>
      </w:r>
      <w:r w:rsidR="00955C77" w:rsidRPr="008468A0">
        <w:t>To ensure better healthcare in appendix 02, collaboration in the available ways is used.</w:t>
      </w:r>
    </w:p>
    <w:p w14:paraId="07921C25" w14:textId="77777777" w:rsidR="0076152D" w:rsidRPr="008468A0" w:rsidRDefault="0076152D">
      <w:pPr>
        <w:spacing w:line="276" w:lineRule="auto"/>
        <w:jc w:val="left"/>
        <w:rPr>
          <w:rFonts w:asciiTheme="majorHAnsi" w:eastAsiaTheme="majorEastAsia" w:hAnsiTheme="majorHAnsi" w:cstheme="majorBidi"/>
          <w:b/>
          <w:bCs/>
          <w:sz w:val="28"/>
          <w:szCs w:val="28"/>
        </w:rPr>
      </w:pPr>
      <w:r w:rsidRPr="008468A0">
        <w:br w:type="page"/>
      </w:r>
    </w:p>
    <w:p w14:paraId="0B4E5B69" w14:textId="77777777" w:rsidR="00285004" w:rsidRPr="008468A0" w:rsidRDefault="00285004" w:rsidP="00285004">
      <w:pPr>
        <w:pStyle w:val="Heading1"/>
        <w:rPr>
          <w:color w:val="000000" w:themeColor="text1"/>
        </w:rPr>
      </w:pPr>
      <w:bookmarkStart w:id="15" w:name="_Toc138707967"/>
      <w:r w:rsidRPr="008468A0">
        <w:rPr>
          <w:color w:val="000000" w:themeColor="text1"/>
        </w:rPr>
        <w:lastRenderedPageBreak/>
        <w:t>3 Research Methodology, and Design</w:t>
      </w:r>
      <w:bookmarkEnd w:id="15"/>
    </w:p>
    <w:p w14:paraId="581585D0" w14:textId="77777777" w:rsidR="00285004" w:rsidRPr="008468A0" w:rsidRDefault="00285004" w:rsidP="00FE59B7">
      <w:pPr>
        <w:pStyle w:val="Heading2"/>
        <w:rPr>
          <w:color w:val="000000" w:themeColor="text1"/>
        </w:rPr>
      </w:pPr>
      <w:bookmarkStart w:id="16" w:name="_Toc138707968"/>
      <w:r w:rsidRPr="008468A0">
        <w:rPr>
          <w:color w:val="000000" w:themeColor="text1"/>
        </w:rPr>
        <w:t>3.1 Research Philosophy, Approach, and Methods</w:t>
      </w:r>
      <w:bookmarkEnd w:id="16"/>
    </w:p>
    <w:p w14:paraId="4CBB5F05" w14:textId="77777777" w:rsidR="00CC1AA5" w:rsidRPr="008468A0" w:rsidRDefault="00CC1AA5" w:rsidP="00607399">
      <w:r w:rsidRPr="008468A0">
        <w:t>The researc</w:t>
      </w:r>
      <w:r w:rsidR="007706F9" w:rsidRPr="008468A0">
        <w:t>h philosophy for this paper has</w:t>
      </w:r>
      <w:r w:rsidRPr="008468A0">
        <w:t xml:space="preserve"> be</w:t>
      </w:r>
      <w:r w:rsidR="007706F9" w:rsidRPr="008468A0">
        <w:t>en</w:t>
      </w:r>
      <w:r w:rsidRPr="008468A0">
        <w:t xml:space="preserve"> the method of interpretivi</w:t>
      </w:r>
      <w:r w:rsidR="007706F9" w:rsidRPr="008468A0">
        <w:t>sm where the interpretation has</w:t>
      </w:r>
      <w:r w:rsidRPr="008468A0">
        <w:t xml:space="preserve"> be</w:t>
      </w:r>
      <w:r w:rsidR="007706F9" w:rsidRPr="008468A0">
        <w:t>en</w:t>
      </w:r>
      <w:r w:rsidRPr="008468A0">
        <w:t xml:space="preserve"> developed as the outcome based on the available pieces of evidence</w:t>
      </w:r>
      <w:r w:rsidR="00301E4C" w:rsidRPr="008468A0">
        <w:t xml:space="preserve"> (</w:t>
      </w:r>
      <w:r w:rsidR="00301E4C" w:rsidRPr="008468A0">
        <w:rPr>
          <w:shd w:val="clear" w:color="auto" w:fill="FFFFFF"/>
        </w:rPr>
        <w:t xml:space="preserve">Eriksson, and </w:t>
      </w:r>
      <w:proofErr w:type="spellStart"/>
      <w:r w:rsidR="00301E4C" w:rsidRPr="008468A0">
        <w:rPr>
          <w:shd w:val="clear" w:color="auto" w:fill="FFFFFF"/>
        </w:rPr>
        <w:t>Kovalainen</w:t>
      </w:r>
      <w:proofErr w:type="spellEnd"/>
      <w:r w:rsidR="00301E4C" w:rsidRPr="008468A0">
        <w:rPr>
          <w:shd w:val="clear" w:color="auto" w:fill="FFFFFF"/>
        </w:rPr>
        <w:t>, 2015)</w:t>
      </w:r>
      <w:r w:rsidRPr="008468A0">
        <w:t>. The</w:t>
      </w:r>
      <w:r w:rsidR="007706F9" w:rsidRPr="008468A0">
        <w:t xml:space="preserve"> inductive reasoning method has</w:t>
      </w:r>
      <w:r w:rsidRPr="008468A0">
        <w:t xml:space="preserve"> also be</w:t>
      </w:r>
      <w:r w:rsidR="007706F9" w:rsidRPr="008468A0">
        <w:t>en</w:t>
      </w:r>
      <w:r w:rsidRPr="008468A0">
        <w:t xml:space="preserve"> used here to conduct the analysis. Also, not only the qualitative analysis but als</w:t>
      </w:r>
      <w:r w:rsidR="007706F9" w:rsidRPr="008468A0">
        <w:t>o the quantitative analysis has</w:t>
      </w:r>
      <w:r w:rsidRPr="008468A0">
        <w:t xml:space="preserve"> be</w:t>
      </w:r>
      <w:r w:rsidR="007706F9" w:rsidRPr="008468A0">
        <w:t>en</w:t>
      </w:r>
      <w:r w:rsidRPr="008468A0">
        <w:t xml:space="preserve"> used for conducting the analysis</w:t>
      </w:r>
      <w:r w:rsidR="00E014E2" w:rsidRPr="008468A0">
        <w:t xml:space="preserve"> (</w:t>
      </w:r>
      <w:proofErr w:type="spellStart"/>
      <w:r w:rsidR="00E014E2" w:rsidRPr="008468A0">
        <w:rPr>
          <w:shd w:val="clear" w:color="auto" w:fill="FFFFFF"/>
        </w:rPr>
        <w:t>Ghauri</w:t>
      </w:r>
      <w:proofErr w:type="spellEnd"/>
      <w:r w:rsidR="00E014E2" w:rsidRPr="008468A0">
        <w:rPr>
          <w:shd w:val="clear" w:color="auto" w:fill="FFFFFF"/>
        </w:rPr>
        <w:t xml:space="preserve">, </w:t>
      </w:r>
      <w:proofErr w:type="spellStart"/>
      <w:r w:rsidR="00E014E2" w:rsidRPr="008468A0">
        <w:rPr>
          <w:shd w:val="clear" w:color="auto" w:fill="FFFFFF"/>
        </w:rPr>
        <w:t>Grønhaug</w:t>
      </w:r>
      <w:proofErr w:type="spellEnd"/>
      <w:r w:rsidR="00E014E2" w:rsidRPr="008468A0">
        <w:rPr>
          <w:shd w:val="clear" w:color="auto" w:fill="FFFFFF"/>
        </w:rPr>
        <w:t>, and Strange, 2020)</w:t>
      </w:r>
      <w:r w:rsidRPr="008468A0">
        <w:t>.</w:t>
      </w:r>
    </w:p>
    <w:p w14:paraId="4B391038" w14:textId="77777777" w:rsidR="00E8149D" w:rsidRPr="008468A0" w:rsidRDefault="00285004" w:rsidP="00FE59B7">
      <w:pPr>
        <w:pStyle w:val="Heading2"/>
        <w:rPr>
          <w:color w:val="000000" w:themeColor="text1"/>
        </w:rPr>
      </w:pPr>
      <w:bookmarkStart w:id="17" w:name="_Toc138707969"/>
      <w:r w:rsidRPr="008468A0">
        <w:rPr>
          <w:color w:val="000000" w:themeColor="text1"/>
        </w:rPr>
        <w:t xml:space="preserve">3.2 </w:t>
      </w:r>
      <w:r w:rsidR="00E8149D" w:rsidRPr="008468A0">
        <w:rPr>
          <w:color w:val="000000" w:themeColor="text1"/>
        </w:rPr>
        <w:t>Sampling Technique and Ethical Issues</w:t>
      </w:r>
      <w:bookmarkEnd w:id="17"/>
    </w:p>
    <w:p w14:paraId="6730002B" w14:textId="77777777" w:rsidR="00FF2CF6" w:rsidRPr="008468A0" w:rsidRDefault="00990F64" w:rsidP="007706F9">
      <w:r w:rsidRPr="008468A0">
        <w:t>To conduct the qualitative analysis</w:t>
      </w:r>
      <w:r w:rsidR="005954A7" w:rsidRPr="008468A0">
        <w:t xml:space="preserve"> (in extracting output form numerical data</w:t>
      </w:r>
      <w:r w:rsidR="005F32BF" w:rsidRPr="008468A0">
        <w:t xml:space="preserve"> who are expenditure, number of employees, and number of firms in the healthcare sector of the UK</w:t>
      </w:r>
      <w:r w:rsidR="00077807" w:rsidRPr="008468A0">
        <w:t>)</w:t>
      </w:r>
      <w:r w:rsidRPr="008468A0">
        <w:t xml:space="preserve"> not only the time series data but also the panel data have been used, and the sampling has been conducted using the simple random sampling here</w:t>
      </w:r>
      <w:r w:rsidR="0068250B" w:rsidRPr="008468A0">
        <w:t xml:space="preserve"> (Schindler, 2022</w:t>
      </w:r>
      <w:r w:rsidR="005C199F" w:rsidRPr="008468A0">
        <w:t>; Kumar, 2018</w:t>
      </w:r>
      <w:r w:rsidR="0068250B" w:rsidRPr="008468A0">
        <w:t>)</w:t>
      </w:r>
      <w:r w:rsidRPr="008468A0">
        <w:t>. This piece of paper has been prepared by following all existing rules, and regulations of the healthcare sector of the UK, and the preparation of this research paper</w:t>
      </w:r>
      <w:r w:rsidR="007C7530" w:rsidRPr="008468A0">
        <w:t xml:space="preserve"> (Yermack, 2017)</w:t>
      </w:r>
      <w:r w:rsidRPr="008468A0">
        <w:t>.</w:t>
      </w:r>
    </w:p>
    <w:p w14:paraId="37836AEE" w14:textId="77777777" w:rsidR="00E8149D" w:rsidRPr="008468A0" w:rsidRDefault="00E8149D" w:rsidP="00FE59B7">
      <w:pPr>
        <w:pStyle w:val="Heading2"/>
        <w:rPr>
          <w:color w:val="000000" w:themeColor="text1"/>
        </w:rPr>
      </w:pPr>
      <w:bookmarkStart w:id="18" w:name="_Toc138707970"/>
      <w:r w:rsidRPr="008468A0">
        <w:rPr>
          <w:color w:val="000000" w:themeColor="text1"/>
        </w:rPr>
        <w:t>3.3 Data Analysis Techniques with Used Pieces of S</w:t>
      </w:r>
      <w:r w:rsidR="00FE59B7" w:rsidRPr="008468A0">
        <w:rPr>
          <w:color w:val="000000" w:themeColor="text1"/>
        </w:rPr>
        <w:t>oftware (Including Validity,</w:t>
      </w:r>
      <w:r w:rsidRPr="008468A0">
        <w:rPr>
          <w:color w:val="000000" w:themeColor="text1"/>
        </w:rPr>
        <w:t xml:space="preserve"> Reliability</w:t>
      </w:r>
      <w:r w:rsidR="00FE59B7" w:rsidRPr="008468A0">
        <w:rPr>
          <w:color w:val="000000" w:themeColor="text1"/>
        </w:rPr>
        <w:t>, and Credibility</w:t>
      </w:r>
      <w:r w:rsidRPr="008468A0">
        <w:rPr>
          <w:color w:val="000000" w:themeColor="text1"/>
        </w:rPr>
        <w:t>)</w:t>
      </w:r>
      <w:bookmarkEnd w:id="18"/>
    </w:p>
    <w:p w14:paraId="47AA0939" w14:textId="77777777" w:rsidR="00430657" w:rsidRPr="008468A0" w:rsidRDefault="000620C0" w:rsidP="000620C0">
      <w:r w:rsidRPr="008468A0">
        <w:t>To conduct the data analysis, statistical techniques, and time series analysis has been used here,</w:t>
      </w:r>
      <w:r w:rsidR="00101411" w:rsidRPr="008468A0">
        <w:t xml:space="preserve"> </w:t>
      </w:r>
      <w:proofErr w:type="gramStart"/>
      <w:r w:rsidR="00101411" w:rsidRPr="008468A0">
        <w:t>Using</w:t>
      </w:r>
      <w:proofErr w:type="gramEnd"/>
      <w:r w:rsidR="00101411" w:rsidRPr="008468A0">
        <w:t xml:space="preserve"> descriptive statistics, and graphical presentation of information using line chart, bar chart, and column chart, the outcome will be extracted to provide the interpretation</w:t>
      </w:r>
      <w:r w:rsidR="00C74AA2" w:rsidRPr="008468A0">
        <w:t xml:space="preserve"> from the extracted output,</w:t>
      </w:r>
      <w:r w:rsidRPr="008468A0">
        <w:t xml:space="preserve"> and to do this, </w:t>
      </w:r>
      <w:r w:rsidR="007375E4" w:rsidRPr="008468A0">
        <w:t xml:space="preserve">the piece of software named Microsoft Excel Worksheet 2007 in Windows 2007 has been used. </w:t>
      </w:r>
      <w:r w:rsidR="005D627C" w:rsidRPr="008468A0">
        <w:t>The inf</w:t>
      </w:r>
      <w:r w:rsidR="0036116F" w:rsidRPr="008468A0">
        <w:t>ormation has</w:t>
      </w:r>
      <w:r w:rsidR="005D627C" w:rsidRPr="008468A0">
        <w:t xml:space="preserve"> be</w:t>
      </w:r>
      <w:r w:rsidR="0036116F" w:rsidRPr="008468A0">
        <w:t>en</w:t>
      </w:r>
      <w:r w:rsidR="005D627C" w:rsidRPr="008468A0">
        <w:t xml:space="preserve"> collected </w:t>
      </w:r>
      <w:r w:rsidR="003E0140" w:rsidRPr="008468A0">
        <w:t xml:space="preserve">from </w:t>
      </w:r>
      <w:r w:rsidR="00957D15" w:rsidRPr="008468A0">
        <w:t>STATISTA mainly which is a valid, reliable, and credible source</w:t>
      </w:r>
      <w:r w:rsidR="00046467" w:rsidRPr="008468A0">
        <w:t xml:space="preserve"> (Pandey, and Pandey, 2021)</w:t>
      </w:r>
      <w:r w:rsidR="00957D15" w:rsidRPr="008468A0">
        <w:t>.</w:t>
      </w:r>
    </w:p>
    <w:p w14:paraId="6130A499" w14:textId="77777777" w:rsidR="00285004" w:rsidRPr="008468A0" w:rsidRDefault="00285004" w:rsidP="000620C0">
      <w:pPr>
        <w:rPr>
          <w:rFonts w:asciiTheme="majorHAnsi" w:eastAsiaTheme="majorEastAsia" w:hAnsiTheme="majorHAnsi" w:cstheme="majorBidi"/>
          <w:b/>
          <w:bCs/>
          <w:sz w:val="28"/>
          <w:szCs w:val="28"/>
        </w:rPr>
      </w:pPr>
      <w:r w:rsidRPr="008468A0">
        <w:br w:type="page"/>
      </w:r>
    </w:p>
    <w:p w14:paraId="22277A12" w14:textId="77777777" w:rsidR="00C55FE9" w:rsidRPr="008468A0" w:rsidRDefault="00C55FE9" w:rsidP="00C55FE9">
      <w:pPr>
        <w:pStyle w:val="Heading1"/>
        <w:rPr>
          <w:color w:val="000000" w:themeColor="text1"/>
        </w:rPr>
      </w:pPr>
      <w:bookmarkStart w:id="19" w:name="_Toc138707971"/>
      <w:r w:rsidRPr="008468A0">
        <w:rPr>
          <w:color w:val="000000" w:themeColor="text1"/>
        </w:rPr>
        <w:lastRenderedPageBreak/>
        <w:t>4 Analysis</w:t>
      </w:r>
      <w:bookmarkEnd w:id="19"/>
    </w:p>
    <w:p w14:paraId="5F82BB03" w14:textId="77777777" w:rsidR="009B415C" w:rsidRPr="008468A0" w:rsidRDefault="002148E3" w:rsidP="00C55FE9">
      <w:r w:rsidRPr="008468A0">
        <w:t xml:space="preserve">The data is given in the appendix which is used for the analysis here. </w:t>
      </w:r>
      <w:r w:rsidR="009B415C" w:rsidRPr="008468A0">
        <w:t>The existence of Brexit has seemed to be a matter of concern for these employees as the existence of barriers to communication for the employees of the countries under the European Union (EU). In this analysis, the number of firms in the healthcare sector of the United Kingdom has been found to be bounced up rapidly, and this has expected to find the appointment of a lot of foreign employees but the number of firms with the size of fewer than 49,999 pounds has noticed to be closed down mostly for the existence of failure in facing the challenge of arranging resources during the COVID-19 pandemic.</w:t>
      </w:r>
    </w:p>
    <w:p w14:paraId="354D3DF4" w14:textId="77777777" w:rsidR="00C55FE9" w:rsidRPr="008468A0" w:rsidRDefault="00C55FE9" w:rsidP="00C55FE9">
      <w:pPr>
        <w:pStyle w:val="Heading2"/>
        <w:rPr>
          <w:color w:val="000000" w:themeColor="text1"/>
        </w:rPr>
      </w:pPr>
      <w:bookmarkStart w:id="20" w:name="_Toc138707972"/>
      <w:r w:rsidRPr="008468A0">
        <w:rPr>
          <w:color w:val="000000" w:themeColor="text1"/>
        </w:rPr>
        <w:t xml:space="preserve">4.1 </w:t>
      </w:r>
      <w:r w:rsidR="003C43D6" w:rsidRPr="008468A0">
        <w:rPr>
          <w:color w:val="000000" w:themeColor="text1"/>
        </w:rPr>
        <w:t>Amount of Expenditure in the Healthcare Industry</w:t>
      </w:r>
      <w:bookmarkEnd w:id="20"/>
    </w:p>
    <w:p w14:paraId="6F4E87A3" w14:textId="77777777" w:rsidR="00510BFA" w:rsidRPr="008468A0" w:rsidRDefault="00097EBA" w:rsidP="00CF1F9A">
      <w:r w:rsidRPr="008468A0">
        <w:t>In Figure 01, the expenditure in the healthcare sector is noticed to be increasing from one year to another, and this is happening consistently. In the year 2010, the expenditure in the healthcare sector was around 126.60 billion pounds, and after eleven years, the expenditure in the healthcare sector was around 276.60 billion pounds which indicate an increase in the healthcare expenditure by almost 150.00 billion pounds which are more than total expenditure in the healthcare sector in the year 2010. In the last two years, the bounce in total expenditure in the healthcare sector is very high for the existence of the COVID-19 epidemic.</w:t>
      </w:r>
    </w:p>
    <w:p w14:paraId="32B67BCA" w14:textId="77777777" w:rsidR="00CF1F9A" w:rsidRPr="008468A0" w:rsidRDefault="00CF1F9A" w:rsidP="00CF1F9A">
      <w:r w:rsidRPr="008468A0">
        <w:rPr>
          <w:noProof/>
          <w:lang w:val="en-US"/>
        </w:rPr>
        <w:drawing>
          <wp:inline distT="0" distB="0" distL="0" distR="0" wp14:anchorId="666A7D17" wp14:editId="1E4DC0A9">
            <wp:extent cx="5915025" cy="2581275"/>
            <wp:effectExtent l="19050" t="0" r="9525" b="0"/>
            <wp:docPr id="11"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DB7CCBA" w14:textId="77777777" w:rsidR="00694B3B" w:rsidRPr="008468A0" w:rsidRDefault="00694B3B" w:rsidP="00202434">
      <w:pPr>
        <w:jc w:val="center"/>
      </w:pPr>
      <w:r w:rsidRPr="008468A0">
        <w:t>Figure 01: Expenditure in the Healthcare Sector in the United Kingdom</w:t>
      </w:r>
    </w:p>
    <w:p w14:paraId="2F35B4F7" w14:textId="77777777" w:rsidR="00694B3B" w:rsidRPr="008468A0" w:rsidRDefault="00694B3B" w:rsidP="00202434">
      <w:pPr>
        <w:jc w:val="center"/>
      </w:pPr>
      <w:r w:rsidRPr="008468A0">
        <w:t xml:space="preserve">Source: </w:t>
      </w:r>
      <w:r w:rsidR="00D83D51" w:rsidRPr="008468A0">
        <w:t>(Yang, 2021)</w:t>
      </w:r>
    </w:p>
    <w:p w14:paraId="3A6C46D1" w14:textId="77777777" w:rsidR="00CF1F9A" w:rsidRPr="008468A0" w:rsidRDefault="00C828CE" w:rsidP="00CF1F9A">
      <w:r w:rsidRPr="008468A0">
        <w:lastRenderedPageBreak/>
        <w:t>In Figure 02, the growth in percent in the amount of expenditure in the healthcare sector is noticed to be increasing from one year to another with some opposite bounces, and this is happening consistently. In the year 2010, the growth in percent in the amount of expenditure in the healthcare sector was around 13.82, and after ten years, the growth in percent in the amount of expenditure in the healthcare sector was around 15.63 which indicates an increase in the growth in percent in the number of employees in the healthcare sector by almost 1.81 which are not very high compared to the growth in percent in the total amount of expenditure in the healthcare sector in the year 2010. In the last two years, the bounce in the growth in percent in the total amount of expenditure in the healthcare sector is very high for the existence of the COVID-19 epidemic. It also falls in the middle of the existence of the Brexit issue.</w:t>
      </w:r>
      <w:r w:rsidR="00CF1F9A" w:rsidRPr="008468A0">
        <w:rPr>
          <w:noProof/>
          <w:lang w:val="en-US"/>
        </w:rPr>
        <w:drawing>
          <wp:inline distT="0" distB="0" distL="0" distR="0" wp14:anchorId="27E4DD0D" wp14:editId="12010468">
            <wp:extent cx="5915025" cy="3514725"/>
            <wp:effectExtent l="19050" t="0" r="9525" b="0"/>
            <wp:docPr id="1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6E586A8" w14:textId="77777777" w:rsidR="00AE2648" w:rsidRPr="008468A0" w:rsidRDefault="00AE2648" w:rsidP="00202434">
      <w:pPr>
        <w:jc w:val="center"/>
      </w:pPr>
      <w:r w:rsidRPr="008468A0">
        <w:t>Figure 02: Yearly Growth Rate of Expenditure in the Healthcare Sector in the United Kingdom</w:t>
      </w:r>
    </w:p>
    <w:p w14:paraId="0E6BC6DB" w14:textId="77777777" w:rsidR="00AE2648" w:rsidRPr="008468A0" w:rsidRDefault="00AE2648" w:rsidP="00202434">
      <w:pPr>
        <w:jc w:val="center"/>
      </w:pPr>
      <w:r w:rsidRPr="008468A0">
        <w:t xml:space="preserve">Source: </w:t>
      </w:r>
      <w:r w:rsidR="00D83D51" w:rsidRPr="008468A0">
        <w:t xml:space="preserve">Self-generated from (Yang, 2021), and raw data is available in </w:t>
      </w:r>
      <w:r w:rsidR="00366BAE" w:rsidRPr="008468A0">
        <w:t>8.1</w:t>
      </w:r>
    </w:p>
    <w:p w14:paraId="57B881A5" w14:textId="77777777" w:rsidR="00F224D5" w:rsidRPr="008468A0" w:rsidRDefault="00F224D5" w:rsidP="00CF1F9A">
      <w:r w:rsidRPr="008468A0">
        <w:t>In Table 01, the statistical analysis presents a clear picture of the condition of the amount of expenditure, and here, mean values are found to be very close which indicates normally distributed information, and the mean values of growth rate indicate a growth rate of almost seven percent here</w:t>
      </w:r>
      <w:r w:rsidR="003E6A03" w:rsidRPr="008468A0">
        <w:t xml:space="preserve"> (David, 2017</w:t>
      </w:r>
      <w:r w:rsidR="00AD69D9" w:rsidRPr="008468A0">
        <w:t>; Siegel, 2016</w:t>
      </w:r>
      <w:r w:rsidR="003E6A03" w:rsidRPr="008468A0">
        <w:t>)</w:t>
      </w:r>
      <w:r w:rsidRPr="008468A0">
        <w:t xml:space="preserve">. The standard deviation and variance are noticed </w:t>
      </w:r>
      <w:r w:rsidRPr="008468A0">
        <w:lastRenderedPageBreak/>
        <w:t>to be very low which indicates a stable growth in the amount of expenditure. But when, these are compared with the information after the year 2019, mean values, and risks are noticed to be bounced sharply which are also high with low risk in the period from 2015 to 2019, and before that period, these are low compared to all of this information. So, the amount of expenditure is bouncing well here.</w:t>
      </w:r>
    </w:p>
    <w:tbl>
      <w:tblPr>
        <w:tblW w:w="5000" w:type="pct"/>
        <w:tblLook w:val="04A0" w:firstRow="1" w:lastRow="0" w:firstColumn="1" w:lastColumn="0" w:noHBand="0" w:noVBand="1"/>
      </w:tblPr>
      <w:tblGrid>
        <w:gridCol w:w="1615"/>
        <w:gridCol w:w="2689"/>
        <w:gridCol w:w="221"/>
        <w:gridCol w:w="1615"/>
        <w:gridCol w:w="3436"/>
      </w:tblGrid>
      <w:tr w:rsidR="008468A0" w:rsidRPr="008468A0" w14:paraId="4AC8F23E" w14:textId="77777777" w:rsidTr="00FE3C2F">
        <w:trPr>
          <w:trHeight w:val="315"/>
          <w:tblHeader/>
        </w:trPr>
        <w:tc>
          <w:tcPr>
            <w:tcW w:w="843" w:type="pct"/>
            <w:tcBorders>
              <w:top w:val="single" w:sz="8" w:space="0" w:color="auto"/>
              <w:left w:val="single" w:sz="8" w:space="0" w:color="auto"/>
              <w:bottom w:val="single" w:sz="4" w:space="0" w:color="auto"/>
              <w:right w:val="single" w:sz="4" w:space="0" w:color="auto"/>
            </w:tcBorders>
            <w:shd w:val="clear" w:color="000000" w:fill="FFFFFF"/>
            <w:noWrap/>
            <w:vAlign w:val="center"/>
            <w:hideMark/>
          </w:tcPr>
          <w:p w14:paraId="5C5278B9" w14:textId="77777777" w:rsidR="00CF1F9A" w:rsidRPr="008468A0" w:rsidRDefault="00CF1F9A" w:rsidP="00CF1F9A">
            <w:pPr>
              <w:spacing w:after="0"/>
              <w:jc w:val="center"/>
              <w:rPr>
                <w:rFonts w:eastAsia="Times New Roman" w:cs="Times New Roman"/>
                <w:b/>
                <w:bCs/>
                <w:szCs w:val="24"/>
              </w:rPr>
            </w:pPr>
            <w:r w:rsidRPr="008468A0">
              <w:rPr>
                <w:rFonts w:eastAsia="Times New Roman" w:cs="Times New Roman"/>
                <w:b/>
                <w:bCs/>
                <w:szCs w:val="24"/>
              </w:rPr>
              <w:t>Particulars</w:t>
            </w:r>
          </w:p>
        </w:tc>
        <w:tc>
          <w:tcPr>
            <w:tcW w:w="1404" w:type="pct"/>
            <w:tcBorders>
              <w:top w:val="single" w:sz="8" w:space="0" w:color="auto"/>
              <w:left w:val="nil"/>
              <w:bottom w:val="single" w:sz="4" w:space="0" w:color="auto"/>
              <w:right w:val="single" w:sz="4" w:space="0" w:color="auto"/>
            </w:tcBorders>
            <w:shd w:val="clear" w:color="000000" w:fill="FFFFFF"/>
            <w:noWrap/>
            <w:vAlign w:val="center"/>
            <w:hideMark/>
          </w:tcPr>
          <w:p w14:paraId="62EE2C9E" w14:textId="77777777" w:rsidR="00CF1F9A" w:rsidRPr="008468A0" w:rsidRDefault="00CF1F9A" w:rsidP="00CF1F9A">
            <w:pPr>
              <w:spacing w:after="0"/>
              <w:jc w:val="center"/>
              <w:rPr>
                <w:rFonts w:eastAsia="Times New Roman" w:cs="Times New Roman"/>
                <w:b/>
                <w:bCs/>
                <w:szCs w:val="24"/>
              </w:rPr>
            </w:pPr>
            <w:r w:rsidRPr="008468A0">
              <w:rPr>
                <w:rFonts w:eastAsia="Times New Roman" w:cs="Times New Roman"/>
                <w:b/>
                <w:bCs/>
                <w:szCs w:val="24"/>
              </w:rPr>
              <w:t>Expenditure (In Billion Pounds)</w:t>
            </w:r>
          </w:p>
        </w:tc>
        <w:tc>
          <w:tcPr>
            <w:tcW w:w="115" w:type="pct"/>
            <w:tcBorders>
              <w:top w:val="single" w:sz="4" w:space="0" w:color="auto"/>
              <w:left w:val="nil"/>
              <w:bottom w:val="single" w:sz="4" w:space="0" w:color="auto"/>
              <w:right w:val="nil"/>
            </w:tcBorders>
            <w:shd w:val="clear" w:color="000000" w:fill="FFFFFF"/>
            <w:noWrap/>
            <w:vAlign w:val="center"/>
            <w:hideMark/>
          </w:tcPr>
          <w:p w14:paraId="66329A50" w14:textId="77777777" w:rsidR="00CF1F9A" w:rsidRPr="008468A0" w:rsidRDefault="00CF1F9A" w:rsidP="00CF1F9A">
            <w:pPr>
              <w:spacing w:after="0"/>
              <w:jc w:val="center"/>
              <w:rPr>
                <w:rFonts w:eastAsia="Times New Roman" w:cs="Times New Roman"/>
                <w:szCs w:val="24"/>
              </w:rPr>
            </w:pPr>
          </w:p>
        </w:tc>
        <w:tc>
          <w:tcPr>
            <w:tcW w:w="843" w:type="pct"/>
            <w:tcBorders>
              <w:top w:val="single" w:sz="8" w:space="0" w:color="auto"/>
              <w:left w:val="single" w:sz="4" w:space="0" w:color="auto"/>
              <w:bottom w:val="single" w:sz="4" w:space="0" w:color="auto"/>
              <w:right w:val="single" w:sz="4" w:space="0" w:color="auto"/>
            </w:tcBorders>
            <w:shd w:val="clear" w:color="000000" w:fill="FFFFFF"/>
            <w:noWrap/>
            <w:vAlign w:val="center"/>
            <w:hideMark/>
          </w:tcPr>
          <w:p w14:paraId="3E56E500" w14:textId="77777777" w:rsidR="00CF1F9A" w:rsidRPr="008468A0" w:rsidRDefault="00CF1F9A" w:rsidP="00CF1F9A">
            <w:pPr>
              <w:spacing w:after="0"/>
              <w:jc w:val="center"/>
              <w:rPr>
                <w:rFonts w:eastAsia="Times New Roman" w:cs="Times New Roman"/>
                <w:b/>
                <w:bCs/>
                <w:szCs w:val="24"/>
              </w:rPr>
            </w:pPr>
            <w:r w:rsidRPr="008468A0">
              <w:rPr>
                <w:rFonts w:eastAsia="Times New Roman" w:cs="Times New Roman"/>
                <w:b/>
                <w:bCs/>
                <w:szCs w:val="24"/>
              </w:rPr>
              <w:t>Particulars</w:t>
            </w:r>
          </w:p>
        </w:tc>
        <w:tc>
          <w:tcPr>
            <w:tcW w:w="1794" w:type="pct"/>
            <w:tcBorders>
              <w:top w:val="single" w:sz="8" w:space="0" w:color="auto"/>
              <w:left w:val="nil"/>
              <w:bottom w:val="single" w:sz="4" w:space="0" w:color="auto"/>
              <w:right w:val="single" w:sz="8" w:space="0" w:color="auto"/>
            </w:tcBorders>
            <w:shd w:val="clear" w:color="000000" w:fill="FFFFFF"/>
            <w:noWrap/>
            <w:vAlign w:val="center"/>
            <w:hideMark/>
          </w:tcPr>
          <w:p w14:paraId="269C0718" w14:textId="77777777" w:rsidR="00CF1F9A" w:rsidRPr="008468A0" w:rsidRDefault="00CF1F9A" w:rsidP="00CF1F9A">
            <w:pPr>
              <w:spacing w:after="0"/>
              <w:jc w:val="center"/>
              <w:rPr>
                <w:rFonts w:eastAsia="Times New Roman" w:cs="Times New Roman"/>
                <w:b/>
                <w:bCs/>
                <w:szCs w:val="24"/>
              </w:rPr>
            </w:pPr>
            <w:r w:rsidRPr="008468A0">
              <w:rPr>
                <w:rFonts w:eastAsia="Times New Roman" w:cs="Times New Roman"/>
                <w:b/>
                <w:bCs/>
                <w:szCs w:val="24"/>
              </w:rPr>
              <w:t>Growth in Amount of Expenditure (in %)</w:t>
            </w:r>
          </w:p>
        </w:tc>
      </w:tr>
      <w:tr w:rsidR="008468A0" w:rsidRPr="008468A0" w14:paraId="08A3E75B"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1A021C27"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Arithmetic mean</w:t>
            </w:r>
          </w:p>
        </w:tc>
        <w:tc>
          <w:tcPr>
            <w:tcW w:w="1404" w:type="pct"/>
            <w:tcBorders>
              <w:top w:val="nil"/>
              <w:left w:val="nil"/>
              <w:bottom w:val="single" w:sz="4" w:space="0" w:color="auto"/>
              <w:right w:val="single" w:sz="4" w:space="0" w:color="auto"/>
            </w:tcBorders>
            <w:shd w:val="clear" w:color="000000" w:fill="FFFFFF"/>
            <w:noWrap/>
            <w:vAlign w:val="center"/>
            <w:hideMark/>
          </w:tcPr>
          <w:p w14:paraId="5DFEBFA9"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191.88</w:t>
            </w:r>
          </w:p>
        </w:tc>
        <w:tc>
          <w:tcPr>
            <w:tcW w:w="115" w:type="pct"/>
            <w:vMerge w:val="restart"/>
            <w:tcBorders>
              <w:top w:val="single" w:sz="4" w:space="0" w:color="auto"/>
              <w:left w:val="nil"/>
              <w:right w:val="nil"/>
            </w:tcBorders>
            <w:shd w:val="clear" w:color="000000" w:fill="FFFFFF"/>
            <w:noWrap/>
            <w:vAlign w:val="center"/>
            <w:hideMark/>
          </w:tcPr>
          <w:p w14:paraId="110B98C7" w14:textId="77777777" w:rsidR="00CF1F9A" w:rsidRPr="008468A0" w:rsidRDefault="00CF1F9A" w:rsidP="00CF1F9A">
            <w:pPr>
              <w:spacing w:after="0"/>
              <w:jc w:val="center"/>
              <w:rPr>
                <w:rFonts w:eastAsia="Times New Roman" w:cs="Times New Roman"/>
                <w:szCs w:val="24"/>
              </w:rPr>
            </w:pPr>
          </w:p>
          <w:p w14:paraId="04F0D0BB" w14:textId="77777777" w:rsidR="00CF1F9A" w:rsidRPr="008468A0" w:rsidRDefault="00CF1F9A" w:rsidP="00CF1F9A">
            <w:pPr>
              <w:spacing w:after="0"/>
              <w:jc w:val="center"/>
              <w:rPr>
                <w:rFonts w:eastAsia="Times New Roman" w:cs="Times New Roman"/>
                <w:szCs w:val="24"/>
              </w:rPr>
            </w:pPr>
          </w:p>
          <w:p w14:paraId="25843F85" w14:textId="77777777" w:rsidR="00CF1F9A" w:rsidRPr="008468A0" w:rsidRDefault="00CF1F9A" w:rsidP="00CF1F9A">
            <w:pPr>
              <w:spacing w:after="0"/>
              <w:jc w:val="center"/>
              <w:rPr>
                <w:rFonts w:eastAsia="Times New Roman" w:cs="Times New Roman"/>
                <w:szCs w:val="24"/>
              </w:rPr>
            </w:pPr>
          </w:p>
          <w:p w14:paraId="5D85A3E3" w14:textId="77777777" w:rsidR="00CF1F9A" w:rsidRPr="008468A0" w:rsidRDefault="00CF1F9A" w:rsidP="00CF1F9A">
            <w:pPr>
              <w:spacing w:after="0"/>
              <w:jc w:val="center"/>
              <w:rPr>
                <w:rFonts w:eastAsia="Times New Roman" w:cs="Times New Roman"/>
                <w:szCs w:val="24"/>
              </w:rPr>
            </w:pPr>
          </w:p>
          <w:p w14:paraId="6AED1BBF" w14:textId="77777777" w:rsidR="00CF1F9A" w:rsidRPr="008468A0" w:rsidRDefault="00CF1F9A" w:rsidP="00CF1F9A">
            <w:pPr>
              <w:spacing w:after="0"/>
              <w:jc w:val="center"/>
              <w:rPr>
                <w:rFonts w:eastAsia="Times New Roman" w:cs="Times New Roman"/>
                <w:szCs w:val="24"/>
              </w:rPr>
            </w:pPr>
          </w:p>
          <w:p w14:paraId="254E57E3" w14:textId="77777777" w:rsidR="00CF1F9A" w:rsidRPr="008468A0" w:rsidRDefault="00CF1F9A" w:rsidP="00CF1F9A">
            <w:pPr>
              <w:spacing w:after="0"/>
              <w:jc w:val="center"/>
              <w:rPr>
                <w:rFonts w:eastAsia="Times New Roman" w:cs="Times New Roman"/>
                <w:szCs w:val="24"/>
              </w:rPr>
            </w:pPr>
          </w:p>
          <w:p w14:paraId="498E6FB6" w14:textId="77777777" w:rsidR="00CF1F9A" w:rsidRPr="008468A0" w:rsidRDefault="00CF1F9A" w:rsidP="00CF1F9A">
            <w:pPr>
              <w:spacing w:after="0"/>
              <w:jc w:val="center"/>
              <w:rPr>
                <w:rFonts w:eastAsia="Times New Roman" w:cs="Times New Roman"/>
                <w:szCs w:val="24"/>
              </w:rPr>
            </w:pPr>
          </w:p>
          <w:p w14:paraId="7860878F" w14:textId="77777777" w:rsidR="00CF1F9A" w:rsidRPr="008468A0" w:rsidRDefault="00CF1F9A" w:rsidP="00CF1F9A">
            <w:pPr>
              <w:spacing w:after="0"/>
              <w:jc w:val="center"/>
              <w:rPr>
                <w:rFonts w:eastAsia="Times New Roman" w:cs="Times New Roman"/>
                <w:szCs w:val="24"/>
              </w:rPr>
            </w:pPr>
          </w:p>
          <w:p w14:paraId="2A3D6F1D" w14:textId="77777777" w:rsidR="00CF1F9A" w:rsidRPr="008468A0" w:rsidRDefault="00CF1F9A" w:rsidP="00CF1F9A">
            <w:pPr>
              <w:spacing w:after="0"/>
              <w:jc w:val="center"/>
              <w:rPr>
                <w:rFonts w:eastAsia="Times New Roman" w:cs="Times New Roman"/>
                <w:szCs w:val="24"/>
              </w:rPr>
            </w:pPr>
          </w:p>
          <w:p w14:paraId="11DC703F" w14:textId="77777777" w:rsidR="00CF1F9A" w:rsidRPr="008468A0" w:rsidRDefault="00CF1F9A" w:rsidP="00CF1F9A">
            <w:pPr>
              <w:spacing w:after="0"/>
              <w:jc w:val="center"/>
              <w:rPr>
                <w:rFonts w:eastAsia="Times New Roman" w:cs="Times New Roman"/>
                <w:szCs w:val="24"/>
              </w:rPr>
            </w:pPr>
          </w:p>
          <w:p w14:paraId="50CAEA04" w14:textId="77777777" w:rsidR="00CF1F9A" w:rsidRPr="008468A0" w:rsidRDefault="00CF1F9A" w:rsidP="00CF1F9A">
            <w:pPr>
              <w:spacing w:after="0"/>
              <w:jc w:val="center"/>
              <w:rPr>
                <w:rFonts w:eastAsia="Times New Roman" w:cs="Times New Roman"/>
                <w:szCs w:val="24"/>
              </w:rPr>
            </w:pPr>
          </w:p>
          <w:p w14:paraId="13808016" w14:textId="77777777" w:rsidR="00CF1F9A" w:rsidRPr="008468A0" w:rsidRDefault="00CF1F9A" w:rsidP="00CF1F9A">
            <w:pPr>
              <w:spacing w:after="0"/>
              <w:jc w:val="center"/>
              <w:rPr>
                <w:rFonts w:eastAsia="Times New Roman" w:cs="Times New Roman"/>
                <w:szCs w:val="24"/>
              </w:rPr>
            </w:pPr>
          </w:p>
          <w:p w14:paraId="43BE7D4C" w14:textId="77777777" w:rsidR="00CF1F9A" w:rsidRPr="008468A0" w:rsidRDefault="00CF1F9A" w:rsidP="00CF1F9A">
            <w:pPr>
              <w:spacing w:after="0"/>
              <w:jc w:val="center"/>
              <w:rPr>
                <w:rFonts w:eastAsia="Times New Roman" w:cs="Times New Roman"/>
                <w:szCs w:val="24"/>
              </w:rPr>
            </w:pPr>
          </w:p>
          <w:p w14:paraId="7DD99403" w14:textId="77777777" w:rsidR="00CF1F9A" w:rsidRPr="008468A0" w:rsidRDefault="00CF1F9A" w:rsidP="00CF1F9A">
            <w:pPr>
              <w:spacing w:after="0"/>
              <w:jc w:val="center"/>
              <w:rPr>
                <w:rFonts w:eastAsia="Times New Roman" w:cs="Times New Roman"/>
                <w:szCs w:val="24"/>
              </w:rPr>
            </w:pPr>
          </w:p>
          <w:p w14:paraId="1F103B44" w14:textId="77777777" w:rsidR="00CF1F9A" w:rsidRPr="008468A0" w:rsidRDefault="00CF1F9A" w:rsidP="00CF1F9A">
            <w:pPr>
              <w:spacing w:after="0"/>
              <w:jc w:val="center"/>
              <w:rPr>
                <w:rFonts w:eastAsia="Times New Roman" w:cs="Times New Roman"/>
                <w:szCs w:val="24"/>
              </w:rPr>
            </w:pPr>
          </w:p>
          <w:p w14:paraId="4CBE6310" w14:textId="77777777" w:rsidR="00CF1F9A" w:rsidRPr="008468A0" w:rsidRDefault="00CF1F9A" w:rsidP="00CF1F9A">
            <w:pPr>
              <w:spacing w:after="0"/>
              <w:jc w:val="center"/>
              <w:rPr>
                <w:rFonts w:eastAsia="Times New Roman" w:cs="Times New Roman"/>
                <w:szCs w:val="24"/>
              </w:rPr>
            </w:pPr>
          </w:p>
          <w:p w14:paraId="3EEB41F7" w14:textId="77777777" w:rsidR="00CF1F9A" w:rsidRPr="008468A0" w:rsidRDefault="00CF1F9A" w:rsidP="00CF1F9A">
            <w:pPr>
              <w:spacing w:after="0"/>
              <w:jc w:val="center"/>
              <w:rPr>
                <w:rFonts w:eastAsia="Times New Roman" w:cs="Times New Roman"/>
                <w:szCs w:val="24"/>
              </w:rPr>
            </w:pPr>
          </w:p>
          <w:p w14:paraId="624E82CF" w14:textId="77777777" w:rsidR="00CF1F9A" w:rsidRPr="008468A0" w:rsidRDefault="00CF1F9A" w:rsidP="00CF1F9A">
            <w:pPr>
              <w:spacing w:after="0"/>
              <w:jc w:val="center"/>
              <w:rPr>
                <w:rFonts w:eastAsia="Times New Roman" w:cs="Times New Roman"/>
                <w:szCs w:val="24"/>
              </w:rPr>
            </w:pPr>
          </w:p>
          <w:p w14:paraId="78FD367B" w14:textId="77777777" w:rsidR="00CF1F9A" w:rsidRPr="008468A0" w:rsidRDefault="00CF1F9A" w:rsidP="00CF1F9A">
            <w:pPr>
              <w:spacing w:after="0"/>
              <w:jc w:val="center"/>
              <w:rPr>
                <w:rFonts w:eastAsia="Times New Roman" w:cs="Times New Roman"/>
                <w:szCs w:val="24"/>
              </w:rPr>
            </w:pPr>
          </w:p>
          <w:p w14:paraId="2520137B" w14:textId="77777777" w:rsidR="00CF1F9A" w:rsidRPr="008468A0" w:rsidRDefault="00CF1F9A" w:rsidP="00CF1F9A">
            <w:pPr>
              <w:spacing w:after="0"/>
              <w:jc w:val="center"/>
              <w:rPr>
                <w:rFonts w:eastAsia="Times New Roman" w:cs="Times New Roman"/>
                <w:szCs w:val="24"/>
              </w:rPr>
            </w:pPr>
          </w:p>
          <w:p w14:paraId="5A9826D4" w14:textId="77777777" w:rsidR="00CF1F9A" w:rsidRPr="008468A0" w:rsidRDefault="00CF1F9A" w:rsidP="00CF1F9A">
            <w:pPr>
              <w:spacing w:after="0"/>
              <w:jc w:val="center"/>
              <w:rPr>
                <w:rFonts w:eastAsia="Times New Roman" w:cs="Times New Roman"/>
                <w:szCs w:val="24"/>
              </w:rPr>
            </w:pPr>
          </w:p>
          <w:p w14:paraId="1A16885B" w14:textId="77777777" w:rsidR="00CF1F9A" w:rsidRPr="008468A0" w:rsidRDefault="00CF1F9A" w:rsidP="00CF1F9A">
            <w:pPr>
              <w:spacing w:after="0"/>
              <w:jc w:val="center"/>
              <w:rPr>
                <w:rFonts w:eastAsia="Times New Roman" w:cs="Times New Roman"/>
                <w:szCs w:val="24"/>
              </w:rPr>
            </w:pPr>
          </w:p>
          <w:p w14:paraId="6D79CFC4" w14:textId="77777777" w:rsidR="00CF1F9A" w:rsidRPr="008468A0" w:rsidRDefault="00CF1F9A" w:rsidP="00CF1F9A">
            <w:pPr>
              <w:spacing w:after="0"/>
              <w:jc w:val="center"/>
              <w:rPr>
                <w:rFonts w:eastAsia="Times New Roman" w:cs="Times New Roman"/>
                <w:szCs w:val="24"/>
              </w:rPr>
            </w:pPr>
          </w:p>
          <w:p w14:paraId="752481B2" w14:textId="77777777" w:rsidR="00CF1F9A" w:rsidRPr="008468A0" w:rsidRDefault="00CF1F9A" w:rsidP="00CF1F9A">
            <w:pPr>
              <w:spacing w:after="0"/>
              <w:jc w:val="center"/>
              <w:rPr>
                <w:rFonts w:eastAsia="Times New Roman" w:cs="Times New Roman"/>
                <w:szCs w:val="24"/>
              </w:rPr>
            </w:pPr>
          </w:p>
          <w:p w14:paraId="14906E4C" w14:textId="77777777" w:rsidR="00CF1F9A" w:rsidRPr="008468A0" w:rsidRDefault="00CF1F9A" w:rsidP="00CF1F9A">
            <w:pPr>
              <w:spacing w:after="0"/>
              <w:jc w:val="center"/>
              <w:rPr>
                <w:rFonts w:eastAsia="Times New Roman" w:cs="Times New Roman"/>
                <w:szCs w:val="24"/>
              </w:rPr>
            </w:pPr>
          </w:p>
          <w:p w14:paraId="03E40AFE"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5E865A49"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lastRenderedPageBreak/>
              <w:t>Arithmetic mean</w:t>
            </w:r>
          </w:p>
        </w:tc>
        <w:tc>
          <w:tcPr>
            <w:tcW w:w="1794" w:type="pct"/>
            <w:tcBorders>
              <w:top w:val="nil"/>
              <w:left w:val="nil"/>
              <w:bottom w:val="single" w:sz="4" w:space="0" w:color="auto"/>
              <w:right w:val="single" w:sz="8" w:space="0" w:color="auto"/>
            </w:tcBorders>
            <w:shd w:val="clear" w:color="000000" w:fill="FFFFFF"/>
            <w:noWrap/>
            <w:vAlign w:val="center"/>
            <w:hideMark/>
          </w:tcPr>
          <w:p w14:paraId="63427C35"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7.43%</w:t>
            </w:r>
          </w:p>
        </w:tc>
      </w:tr>
      <w:tr w:rsidR="008468A0" w:rsidRPr="008468A0" w14:paraId="585D3752"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12EF4954"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Geometric mean</w:t>
            </w:r>
          </w:p>
        </w:tc>
        <w:tc>
          <w:tcPr>
            <w:tcW w:w="1404" w:type="pct"/>
            <w:tcBorders>
              <w:top w:val="nil"/>
              <w:left w:val="nil"/>
              <w:bottom w:val="single" w:sz="4" w:space="0" w:color="auto"/>
              <w:right w:val="single" w:sz="4" w:space="0" w:color="auto"/>
            </w:tcBorders>
            <w:shd w:val="clear" w:color="000000" w:fill="FFFFFF"/>
            <w:noWrap/>
            <w:vAlign w:val="center"/>
            <w:hideMark/>
          </w:tcPr>
          <w:p w14:paraId="00DCE8FF"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187.15</w:t>
            </w:r>
          </w:p>
        </w:tc>
        <w:tc>
          <w:tcPr>
            <w:tcW w:w="115" w:type="pct"/>
            <w:vMerge/>
            <w:tcBorders>
              <w:left w:val="nil"/>
              <w:right w:val="nil"/>
            </w:tcBorders>
            <w:shd w:val="clear" w:color="000000" w:fill="FFFFFF"/>
            <w:noWrap/>
            <w:vAlign w:val="center"/>
            <w:hideMark/>
          </w:tcPr>
          <w:p w14:paraId="35E32B12"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66F8205D"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Geometric mean</w:t>
            </w:r>
          </w:p>
        </w:tc>
        <w:tc>
          <w:tcPr>
            <w:tcW w:w="1794" w:type="pct"/>
            <w:tcBorders>
              <w:top w:val="nil"/>
              <w:left w:val="nil"/>
              <w:bottom w:val="single" w:sz="4" w:space="0" w:color="auto"/>
              <w:right w:val="single" w:sz="8" w:space="0" w:color="auto"/>
            </w:tcBorders>
            <w:shd w:val="clear" w:color="000000" w:fill="FFFFFF"/>
            <w:noWrap/>
            <w:vAlign w:val="center"/>
            <w:hideMark/>
          </w:tcPr>
          <w:p w14:paraId="57FE7862"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6.66%</w:t>
            </w:r>
          </w:p>
        </w:tc>
      </w:tr>
      <w:tr w:rsidR="008468A0" w:rsidRPr="008468A0" w14:paraId="477A2941"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0B2017F7"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Median</w:t>
            </w:r>
          </w:p>
        </w:tc>
        <w:tc>
          <w:tcPr>
            <w:tcW w:w="1404" w:type="pct"/>
            <w:tcBorders>
              <w:top w:val="nil"/>
              <w:left w:val="nil"/>
              <w:bottom w:val="single" w:sz="4" w:space="0" w:color="auto"/>
              <w:right w:val="single" w:sz="4" w:space="0" w:color="auto"/>
            </w:tcBorders>
            <w:shd w:val="clear" w:color="000000" w:fill="FFFFFF"/>
            <w:noWrap/>
            <w:vAlign w:val="center"/>
            <w:hideMark/>
          </w:tcPr>
          <w:p w14:paraId="694403AB"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189.90</w:t>
            </w:r>
          </w:p>
        </w:tc>
        <w:tc>
          <w:tcPr>
            <w:tcW w:w="115" w:type="pct"/>
            <w:vMerge/>
            <w:tcBorders>
              <w:left w:val="nil"/>
              <w:right w:val="nil"/>
            </w:tcBorders>
            <w:shd w:val="clear" w:color="000000" w:fill="FFFFFF"/>
            <w:noWrap/>
            <w:vAlign w:val="center"/>
            <w:hideMark/>
          </w:tcPr>
          <w:p w14:paraId="714DA603"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4AE6BAB3"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Median</w:t>
            </w:r>
          </w:p>
        </w:tc>
        <w:tc>
          <w:tcPr>
            <w:tcW w:w="1794" w:type="pct"/>
            <w:tcBorders>
              <w:top w:val="nil"/>
              <w:left w:val="nil"/>
              <w:bottom w:val="single" w:sz="4" w:space="0" w:color="auto"/>
              <w:right w:val="single" w:sz="8" w:space="0" w:color="auto"/>
            </w:tcBorders>
            <w:shd w:val="clear" w:color="000000" w:fill="FFFFFF"/>
            <w:noWrap/>
            <w:vAlign w:val="center"/>
            <w:hideMark/>
          </w:tcPr>
          <w:p w14:paraId="10953760"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6.18%</w:t>
            </w:r>
          </w:p>
        </w:tc>
      </w:tr>
      <w:tr w:rsidR="008468A0" w:rsidRPr="008468A0" w14:paraId="6F754B4E"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348D721D"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Standard Deviation</w:t>
            </w:r>
          </w:p>
        </w:tc>
        <w:tc>
          <w:tcPr>
            <w:tcW w:w="1404" w:type="pct"/>
            <w:tcBorders>
              <w:top w:val="nil"/>
              <w:left w:val="nil"/>
              <w:bottom w:val="single" w:sz="4" w:space="0" w:color="auto"/>
              <w:right w:val="single" w:sz="4" w:space="0" w:color="auto"/>
            </w:tcBorders>
            <w:shd w:val="clear" w:color="000000" w:fill="FFFFFF"/>
            <w:noWrap/>
            <w:vAlign w:val="center"/>
            <w:hideMark/>
          </w:tcPr>
          <w:p w14:paraId="315F91A9"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45.13</w:t>
            </w:r>
          </w:p>
        </w:tc>
        <w:tc>
          <w:tcPr>
            <w:tcW w:w="115" w:type="pct"/>
            <w:vMerge/>
            <w:tcBorders>
              <w:left w:val="nil"/>
              <w:right w:val="nil"/>
            </w:tcBorders>
            <w:shd w:val="clear" w:color="000000" w:fill="FFFFFF"/>
            <w:noWrap/>
            <w:vAlign w:val="center"/>
            <w:hideMark/>
          </w:tcPr>
          <w:p w14:paraId="3A63D30B"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22A40DE3"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Standard Deviation</w:t>
            </w:r>
          </w:p>
        </w:tc>
        <w:tc>
          <w:tcPr>
            <w:tcW w:w="1794" w:type="pct"/>
            <w:tcBorders>
              <w:top w:val="nil"/>
              <w:left w:val="nil"/>
              <w:bottom w:val="single" w:sz="4" w:space="0" w:color="auto"/>
              <w:right w:val="single" w:sz="8" w:space="0" w:color="auto"/>
            </w:tcBorders>
            <w:shd w:val="clear" w:color="000000" w:fill="FFFFFF"/>
            <w:noWrap/>
            <w:vAlign w:val="center"/>
            <w:hideMark/>
          </w:tcPr>
          <w:p w14:paraId="0AB57C7C"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3.89%</w:t>
            </w:r>
          </w:p>
        </w:tc>
      </w:tr>
      <w:tr w:rsidR="008468A0" w:rsidRPr="008468A0" w14:paraId="36ACAA36"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01D6DA43"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Variance</w:t>
            </w:r>
          </w:p>
        </w:tc>
        <w:tc>
          <w:tcPr>
            <w:tcW w:w="1404" w:type="pct"/>
            <w:tcBorders>
              <w:top w:val="nil"/>
              <w:left w:val="nil"/>
              <w:bottom w:val="single" w:sz="4" w:space="0" w:color="auto"/>
              <w:right w:val="single" w:sz="4" w:space="0" w:color="auto"/>
            </w:tcBorders>
            <w:shd w:val="clear" w:color="000000" w:fill="FFFFFF"/>
            <w:noWrap/>
            <w:vAlign w:val="center"/>
            <w:hideMark/>
          </w:tcPr>
          <w:p w14:paraId="2A7FF79C"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2,036.60</w:t>
            </w:r>
          </w:p>
        </w:tc>
        <w:tc>
          <w:tcPr>
            <w:tcW w:w="115" w:type="pct"/>
            <w:vMerge/>
            <w:tcBorders>
              <w:left w:val="nil"/>
              <w:right w:val="nil"/>
            </w:tcBorders>
            <w:shd w:val="clear" w:color="000000" w:fill="FFFFFF"/>
            <w:noWrap/>
            <w:vAlign w:val="center"/>
            <w:hideMark/>
          </w:tcPr>
          <w:p w14:paraId="0A4AE927"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76DF409A"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Variance</w:t>
            </w:r>
          </w:p>
        </w:tc>
        <w:tc>
          <w:tcPr>
            <w:tcW w:w="1794" w:type="pct"/>
            <w:tcBorders>
              <w:top w:val="nil"/>
              <w:left w:val="nil"/>
              <w:bottom w:val="single" w:sz="4" w:space="0" w:color="auto"/>
              <w:right w:val="single" w:sz="8" w:space="0" w:color="auto"/>
            </w:tcBorders>
            <w:shd w:val="clear" w:color="000000" w:fill="FFFFFF"/>
            <w:noWrap/>
            <w:vAlign w:val="center"/>
            <w:hideMark/>
          </w:tcPr>
          <w:p w14:paraId="6DBE4010"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0.15%</w:t>
            </w:r>
          </w:p>
        </w:tc>
      </w:tr>
      <w:tr w:rsidR="008468A0" w:rsidRPr="008468A0" w14:paraId="6E96CA31"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190AB1F6" w14:textId="77777777" w:rsidR="00CF1F9A" w:rsidRPr="008468A0" w:rsidRDefault="00CF1F9A" w:rsidP="00CF1F9A">
            <w:pPr>
              <w:spacing w:after="0"/>
              <w:jc w:val="center"/>
              <w:rPr>
                <w:rFonts w:eastAsia="Times New Roman" w:cs="Times New Roman"/>
                <w:szCs w:val="24"/>
              </w:rPr>
            </w:pPr>
          </w:p>
        </w:tc>
        <w:tc>
          <w:tcPr>
            <w:tcW w:w="1404" w:type="pct"/>
            <w:tcBorders>
              <w:top w:val="nil"/>
              <w:left w:val="nil"/>
              <w:bottom w:val="single" w:sz="4" w:space="0" w:color="auto"/>
              <w:right w:val="single" w:sz="4" w:space="0" w:color="auto"/>
            </w:tcBorders>
            <w:shd w:val="clear" w:color="000000" w:fill="FFFFFF"/>
            <w:noWrap/>
            <w:vAlign w:val="center"/>
            <w:hideMark/>
          </w:tcPr>
          <w:p w14:paraId="4A59E3C3" w14:textId="77777777" w:rsidR="00CF1F9A" w:rsidRPr="008468A0" w:rsidRDefault="00CF1F9A" w:rsidP="00CF1F9A">
            <w:pPr>
              <w:spacing w:after="0"/>
              <w:jc w:val="center"/>
              <w:rPr>
                <w:rFonts w:eastAsia="Times New Roman" w:cs="Times New Roman"/>
                <w:szCs w:val="24"/>
              </w:rPr>
            </w:pPr>
          </w:p>
        </w:tc>
        <w:tc>
          <w:tcPr>
            <w:tcW w:w="115" w:type="pct"/>
            <w:vMerge/>
            <w:tcBorders>
              <w:left w:val="nil"/>
              <w:right w:val="nil"/>
            </w:tcBorders>
            <w:shd w:val="clear" w:color="000000" w:fill="FFFFFF"/>
            <w:noWrap/>
            <w:vAlign w:val="center"/>
            <w:hideMark/>
          </w:tcPr>
          <w:p w14:paraId="75838EEC"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530EE0D4" w14:textId="77777777" w:rsidR="00CF1F9A" w:rsidRPr="008468A0" w:rsidRDefault="00CF1F9A" w:rsidP="00CF1F9A">
            <w:pPr>
              <w:spacing w:after="0"/>
              <w:jc w:val="center"/>
              <w:rPr>
                <w:rFonts w:eastAsia="Times New Roman" w:cs="Times New Roman"/>
                <w:szCs w:val="24"/>
              </w:rPr>
            </w:pPr>
          </w:p>
        </w:tc>
        <w:tc>
          <w:tcPr>
            <w:tcW w:w="1794" w:type="pct"/>
            <w:tcBorders>
              <w:top w:val="nil"/>
              <w:left w:val="nil"/>
              <w:bottom w:val="single" w:sz="4" w:space="0" w:color="auto"/>
              <w:right w:val="single" w:sz="8" w:space="0" w:color="auto"/>
            </w:tcBorders>
            <w:shd w:val="clear" w:color="000000" w:fill="FFFFFF"/>
            <w:noWrap/>
            <w:vAlign w:val="center"/>
            <w:hideMark/>
          </w:tcPr>
          <w:p w14:paraId="7CD410D6" w14:textId="77777777" w:rsidR="00CF1F9A" w:rsidRPr="008468A0" w:rsidRDefault="00CF1F9A" w:rsidP="00CF1F9A">
            <w:pPr>
              <w:spacing w:after="0"/>
              <w:jc w:val="center"/>
              <w:rPr>
                <w:rFonts w:eastAsia="Times New Roman" w:cs="Times New Roman"/>
                <w:szCs w:val="24"/>
              </w:rPr>
            </w:pPr>
          </w:p>
        </w:tc>
      </w:tr>
      <w:tr w:rsidR="008468A0" w:rsidRPr="008468A0" w14:paraId="79992518"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29D79BBC" w14:textId="77777777" w:rsidR="00CF1F9A" w:rsidRPr="008468A0" w:rsidRDefault="00CF1F9A" w:rsidP="00CF1F9A">
            <w:pPr>
              <w:spacing w:after="0"/>
              <w:jc w:val="center"/>
              <w:rPr>
                <w:rFonts w:eastAsia="Times New Roman" w:cs="Times New Roman"/>
                <w:b/>
                <w:bCs/>
                <w:szCs w:val="24"/>
              </w:rPr>
            </w:pPr>
            <w:r w:rsidRPr="008468A0">
              <w:rPr>
                <w:rFonts w:eastAsia="Times New Roman" w:cs="Times New Roman"/>
                <w:b/>
                <w:bCs/>
                <w:szCs w:val="24"/>
              </w:rPr>
              <w:t>After 2019:</w:t>
            </w:r>
          </w:p>
        </w:tc>
        <w:tc>
          <w:tcPr>
            <w:tcW w:w="1404" w:type="pct"/>
            <w:tcBorders>
              <w:top w:val="nil"/>
              <w:left w:val="nil"/>
              <w:bottom w:val="single" w:sz="4" w:space="0" w:color="auto"/>
              <w:right w:val="single" w:sz="4" w:space="0" w:color="auto"/>
            </w:tcBorders>
            <w:shd w:val="clear" w:color="000000" w:fill="FFFFFF"/>
            <w:noWrap/>
            <w:vAlign w:val="center"/>
            <w:hideMark/>
          </w:tcPr>
          <w:p w14:paraId="4F7E3E5B" w14:textId="77777777" w:rsidR="00CF1F9A" w:rsidRPr="008468A0" w:rsidRDefault="00CF1F9A" w:rsidP="00CF1F9A">
            <w:pPr>
              <w:spacing w:after="0"/>
              <w:jc w:val="center"/>
              <w:rPr>
                <w:rFonts w:eastAsia="Times New Roman" w:cs="Times New Roman"/>
                <w:szCs w:val="24"/>
              </w:rPr>
            </w:pPr>
          </w:p>
        </w:tc>
        <w:tc>
          <w:tcPr>
            <w:tcW w:w="115" w:type="pct"/>
            <w:vMerge/>
            <w:tcBorders>
              <w:left w:val="nil"/>
              <w:right w:val="nil"/>
            </w:tcBorders>
            <w:shd w:val="clear" w:color="000000" w:fill="FFFFFF"/>
            <w:noWrap/>
            <w:vAlign w:val="center"/>
            <w:hideMark/>
          </w:tcPr>
          <w:p w14:paraId="392B18B4"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455F7D98" w14:textId="77777777" w:rsidR="00CF1F9A" w:rsidRPr="008468A0" w:rsidRDefault="00CF1F9A" w:rsidP="00CF1F9A">
            <w:pPr>
              <w:spacing w:after="0"/>
              <w:jc w:val="center"/>
              <w:rPr>
                <w:rFonts w:eastAsia="Times New Roman" w:cs="Times New Roman"/>
                <w:b/>
                <w:bCs/>
                <w:szCs w:val="24"/>
              </w:rPr>
            </w:pPr>
            <w:r w:rsidRPr="008468A0">
              <w:rPr>
                <w:rFonts w:eastAsia="Times New Roman" w:cs="Times New Roman"/>
                <w:b/>
                <w:bCs/>
                <w:szCs w:val="24"/>
              </w:rPr>
              <w:t>After 2019:</w:t>
            </w:r>
          </w:p>
        </w:tc>
        <w:tc>
          <w:tcPr>
            <w:tcW w:w="1794" w:type="pct"/>
            <w:tcBorders>
              <w:top w:val="nil"/>
              <w:left w:val="nil"/>
              <w:bottom w:val="single" w:sz="4" w:space="0" w:color="auto"/>
              <w:right w:val="single" w:sz="8" w:space="0" w:color="auto"/>
            </w:tcBorders>
            <w:shd w:val="clear" w:color="000000" w:fill="FFFFFF"/>
            <w:noWrap/>
            <w:vAlign w:val="center"/>
            <w:hideMark/>
          </w:tcPr>
          <w:p w14:paraId="7B61FFA4" w14:textId="77777777" w:rsidR="00CF1F9A" w:rsidRPr="008468A0" w:rsidRDefault="00CF1F9A" w:rsidP="00CF1F9A">
            <w:pPr>
              <w:spacing w:after="0"/>
              <w:jc w:val="center"/>
              <w:rPr>
                <w:rFonts w:eastAsia="Times New Roman" w:cs="Times New Roman"/>
                <w:szCs w:val="24"/>
              </w:rPr>
            </w:pPr>
          </w:p>
        </w:tc>
      </w:tr>
      <w:tr w:rsidR="008468A0" w:rsidRPr="008468A0" w14:paraId="66C0F2D8"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033106EE"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Arithmetic mean</w:t>
            </w:r>
          </w:p>
        </w:tc>
        <w:tc>
          <w:tcPr>
            <w:tcW w:w="1404" w:type="pct"/>
            <w:tcBorders>
              <w:top w:val="nil"/>
              <w:left w:val="nil"/>
              <w:bottom w:val="single" w:sz="4" w:space="0" w:color="auto"/>
              <w:right w:val="single" w:sz="4" w:space="0" w:color="auto"/>
            </w:tcBorders>
            <w:shd w:val="clear" w:color="000000" w:fill="FFFFFF"/>
            <w:noWrap/>
            <w:vAlign w:val="center"/>
            <w:hideMark/>
          </w:tcPr>
          <w:p w14:paraId="0AE379A8"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267.05</w:t>
            </w:r>
          </w:p>
        </w:tc>
        <w:tc>
          <w:tcPr>
            <w:tcW w:w="115" w:type="pct"/>
            <w:vMerge/>
            <w:tcBorders>
              <w:left w:val="nil"/>
              <w:right w:val="nil"/>
            </w:tcBorders>
            <w:shd w:val="clear" w:color="000000" w:fill="FFFFFF"/>
            <w:noWrap/>
            <w:vAlign w:val="center"/>
            <w:hideMark/>
          </w:tcPr>
          <w:p w14:paraId="53BEE76B"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5DC0C5FB"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Arithmetic mean</w:t>
            </w:r>
          </w:p>
        </w:tc>
        <w:tc>
          <w:tcPr>
            <w:tcW w:w="1794" w:type="pct"/>
            <w:tcBorders>
              <w:top w:val="nil"/>
              <w:left w:val="nil"/>
              <w:bottom w:val="single" w:sz="4" w:space="0" w:color="auto"/>
              <w:right w:val="single" w:sz="8" w:space="0" w:color="auto"/>
            </w:tcBorders>
            <w:shd w:val="clear" w:color="000000" w:fill="FFFFFF"/>
            <w:noWrap/>
            <w:vAlign w:val="center"/>
            <w:hideMark/>
          </w:tcPr>
          <w:p w14:paraId="47782219"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11.52%</w:t>
            </w:r>
          </w:p>
        </w:tc>
      </w:tr>
      <w:tr w:rsidR="008468A0" w:rsidRPr="008468A0" w14:paraId="4391C123"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1331398A"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Geometric mean</w:t>
            </w:r>
          </w:p>
        </w:tc>
        <w:tc>
          <w:tcPr>
            <w:tcW w:w="1404" w:type="pct"/>
            <w:tcBorders>
              <w:top w:val="nil"/>
              <w:left w:val="nil"/>
              <w:bottom w:val="single" w:sz="4" w:space="0" w:color="auto"/>
              <w:right w:val="single" w:sz="4" w:space="0" w:color="auto"/>
            </w:tcBorders>
            <w:shd w:val="clear" w:color="000000" w:fill="FFFFFF"/>
            <w:noWrap/>
            <w:vAlign w:val="center"/>
            <w:hideMark/>
          </w:tcPr>
          <w:p w14:paraId="62791A47"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266.88</w:t>
            </w:r>
          </w:p>
        </w:tc>
        <w:tc>
          <w:tcPr>
            <w:tcW w:w="115" w:type="pct"/>
            <w:vMerge/>
            <w:tcBorders>
              <w:left w:val="nil"/>
              <w:right w:val="nil"/>
            </w:tcBorders>
            <w:shd w:val="clear" w:color="000000" w:fill="FFFFFF"/>
            <w:noWrap/>
            <w:vAlign w:val="center"/>
            <w:hideMark/>
          </w:tcPr>
          <w:p w14:paraId="5AF20A01"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1276BE01"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Geometric mean</w:t>
            </w:r>
          </w:p>
        </w:tc>
        <w:tc>
          <w:tcPr>
            <w:tcW w:w="1794" w:type="pct"/>
            <w:tcBorders>
              <w:top w:val="nil"/>
              <w:left w:val="nil"/>
              <w:bottom w:val="single" w:sz="4" w:space="0" w:color="auto"/>
              <w:right w:val="single" w:sz="8" w:space="0" w:color="auto"/>
            </w:tcBorders>
            <w:shd w:val="clear" w:color="000000" w:fill="FFFFFF"/>
            <w:noWrap/>
            <w:vAlign w:val="center"/>
            <w:hideMark/>
          </w:tcPr>
          <w:p w14:paraId="7063E694"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10.77%</w:t>
            </w:r>
          </w:p>
        </w:tc>
      </w:tr>
      <w:tr w:rsidR="008468A0" w:rsidRPr="008468A0" w14:paraId="2237AE33"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49AB41D8"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Median</w:t>
            </w:r>
          </w:p>
        </w:tc>
        <w:tc>
          <w:tcPr>
            <w:tcW w:w="1404" w:type="pct"/>
            <w:tcBorders>
              <w:top w:val="nil"/>
              <w:left w:val="nil"/>
              <w:bottom w:val="single" w:sz="4" w:space="0" w:color="auto"/>
              <w:right w:val="single" w:sz="4" w:space="0" w:color="auto"/>
            </w:tcBorders>
            <w:shd w:val="clear" w:color="000000" w:fill="FFFFFF"/>
            <w:noWrap/>
            <w:vAlign w:val="center"/>
            <w:hideMark/>
          </w:tcPr>
          <w:p w14:paraId="4A09C50C"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267.05</w:t>
            </w:r>
          </w:p>
        </w:tc>
        <w:tc>
          <w:tcPr>
            <w:tcW w:w="115" w:type="pct"/>
            <w:vMerge/>
            <w:tcBorders>
              <w:left w:val="nil"/>
              <w:right w:val="nil"/>
            </w:tcBorders>
            <w:shd w:val="clear" w:color="000000" w:fill="FFFFFF"/>
            <w:noWrap/>
            <w:vAlign w:val="center"/>
            <w:hideMark/>
          </w:tcPr>
          <w:p w14:paraId="73D9456F"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714998A0"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Median</w:t>
            </w:r>
          </w:p>
        </w:tc>
        <w:tc>
          <w:tcPr>
            <w:tcW w:w="1794" w:type="pct"/>
            <w:tcBorders>
              <w:top w:val="nil"/>
              <w:left w:val="nil"/>
              <w:bottom w:val="single" w:sz="4" w:space="0" w:color="auto"/>
              <w:right w:val="single" w:sz="8" w:space="0" w:color="auto"/>
            </w:tcBorders>
            <w:shd w:val="clear" w:color="000000" w:fill="FFFFFF"/>
            <w:noWrap/>
            <w:vAlign w:val="center"/>
            <w:hideMark/>
          </w:tcPr>
          <w:p w14:paraId="2F712225"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11.52%</w:t>
            </w:r>
          </w:p>
        </w:tc>
      </w:tr>
      <w:tr w:rsidR="008468A0" w:rsidRPr="008468A0" w14:paraId="709C130F"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4D229C50"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Standard Deviation</w:t>
            </w:r>
          </w:p>
        </w:tc>
        <w:tc>
          <w:tcPr>
            <w:tcW w:w="1404" w:type="pct"/>
            <w:tcBorders>
              <w:top w:val="nil"/>
              <w:left w:val="nil"/>
              <w:bottom w:val="single" w:sz="4" w:space="0" w:color="auto"/>
              <w:right w:val="single" w:sz="4" w:space="0" w:color="auto"/>
            </w:tcBorders>
            <w:shd w:val="clear" w:color="000000" w:fill="FFFFFF"/>
            <w:noWrap/>
            <w:vAlign w:val="center"/>
            <w:hideMark/>
          </w:tcPr>
          <w:p w14:paraId="43D39555"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13.51</w:t>
            </w:r>
          </w:p>
        </w:tc>
        <w:tc>
          <w:tcPr>
            <w:tcW w:w="115" w:type="pct"/>
            <w:vMerge/>
            <w:tcBorders>
              <w:left w:val="nil"/>
              <w:right w:val="nil"/>
            </w:tcBorders>
            <w:shd w:val="clear" w:color="000000" w:fill="FFFFFF"/>
            <w:noWrap/>
            <w:vAlign w:val="center"/>
            <w:hideMark/>
          </w:tcPr>
          <w:p w14:paraId="2714C9C7"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638DA059"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Standard Deviation</w:t>
            </w:r>
          </w:p>
        </w:tc>
        <w:tc>
          <w:tcPr>
            <w:tcW w:w="1794" w:type="pct"/>
            <w:tcBorders>
              <w:top w:val="nil"/>
              <w:left w:val="nil"/>
              <w:bottom w:val="single" w:sz="4" w:space="0" w:color="auto"/>
              <w:right w:val="single" w:sz="8" w:space="0" w:color="auto"/>
            </w:tcBorders>
            <w:shd w:val="clear" w:color="000000" w:fill="FFFFFF"/>
            <w:noWrap/>
            <w:vAlign w:val="center"/>
            <w:hideMark/>
          </w:tcPr>
          <w:p w14:paraId="4B4D53FE"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5.80%</w:t>
            </w:r>
          </w:p>
        </w:tc>
      </w:tr>
      <w:tr w:rsidR="008468A0" w:rsidRPr="008468A0" w14:paraId="7C974076"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2E9413D9"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Variance</w:t>
            </w:r>
          </w:p>
        </w:tc>
        <w:tc>
          <w:tcPr>
            <w:tcW w:w="1404" w:type="pct"/>
            <w:tcBorders>
              <w:top w:val="nil"/>
              <w:left w:val="nil"/>
              <w:bottom w:val="single" w:sz="4" w:space="0" w:color="auto"/>
              <w:right w:val="single" w:sz="4" w:space="0" w:color="auto"/>
            </w:tcBorders>
            <w:shd w:val="clear" w:color="000000" w:fill="FFFFFF"/>
            <w:noWrap/>
            <w:vAlign w:val="center"/>
            <w:hideMark/>
          </w:tcPr>
          <w:p w14:paraId="01CA26CE"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182.40</w:t>
            </w:r>
          </w:p>
        </w:tc>
        <w:tc>
          <w:tcPr>
            <w:tcW w:w="115" w:type="pct"/>
            <w:vMerge/>
            <w:tcBorders>
              <w:left w:val="nil"/>
              <w:right w:val="nil"/>
            </w:tcBorders>
            <w:shd w:val="clear" w:color="000000" w:fill="FFFFFF"/>
            <w:noWrap/>
            <w:vAlign w:val="center"/>
            <w:hideMark/>
          </w:tcPr>
          <w:p w14:paraId="433F5E70"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7116D1F8"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Variance</w:t>
            </w:r>
          </w:p>
        </w:tc>
        <w:tc>
          <w:tcPr>
            <w:tcW w:w="1794" w:type="pct"/>
            <w:tcBorders>
              <w:top w:val="nil"/>
              <w:left w:val="nil"/>
              <w:bottom w:val="single" w:sz="4" w:space="0" w:color="auto"/>
              <w:right w:val="single" w:sz="8" w:space="0" w:color="auto"/>
            </w:tcBorders>
            <w:shd w:val="clear" w:color="000000" w:fill="FFFFFF"/>
            <w:noWrap/>
            <w:vAlign w:val="center"/>
            <w:hideMark/>
          </w:tcPr>
          <w:p w14:paraId="1381FB6D"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0.34%</w:t>
            </w:r>
          </w:p>
        </w:tc>
      </w:tr>
      <w:tr w:rsidR="008468A0" w:rsidRPr="008468A0" w14:paraId="605E9202"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5190F417" w14:textId="77777777" w:rsidR="00CF1F9A" w:rsidRPr="008468A0" w:rsidRDefault="00CF1F9A" w:rsidP="00CF1F9A">
            <w:pPr>
              <w:spacing w:after="0"/>
              <w:jc w:val="center"/>
              <w:rPr>
                <w:rFonts w:eastAsia="Times New Roman" w:cs="Times New Roman"/>
                <w:szCs w:val="24"/>
              </w:rPr>
            </w:pPr>
          </w:p>
        </w:tc>
        <w:tc>
          <w:tcPr>
            <w:tcW w:w="1404" w:type="pct"/>
            <w:tcBorders>
              <w:top w:val="nil"/>
              <w:left w:val="nil"/>
              <w:bottom w:val="single" w:sz="4" w:space="0" w:color="auto"/>
              <w:right w:val="single" w:sz="4" w:space="0" w:color="auto"/>
            </w:tcBorders>
            <w:shd w:val="clear" w:color="000000" w:fill="FFFFFF"/>
            <w:noWrap/>
            <w:vAlign w:val="center"/>
            <w:hideMark/>
          </w:tcPr>
          <w:p w14:paraId="40F0EEB2" w14:textId="77777777" w:rsidR="00CF1F9A" w:rsidRPr="008468A0" w:rsidRDefault="00CF1F9A" w:rsidP="00CF1F9A">
            <w:pPr>
              <w:spacing w:after="0"/>
              <w:jc w:val="center"/>
              <w:rPr>
                <w:rFonts w:eastAsia="Times New Roman" w:cs="Times New Roman"/>
                <w:szCs w:val="24"/>
              </w:rPr>
            </w:pPr>
          </w:p>
        </w:tc>
        <w:tc>
          <w:tcPr>
            <w:tcW w:w="115" w:type="pct"/>
            <w:vMerge/>
            <w:tcBorders>
              <w:left w:val="nil"/>
              <w:right w:val="nil"/>
            </w:tcBorders>
            <w:shd w:val="clear" w:color="000000" w:fill="FFFFFF"/>
            <w:noWrap/>
            <w:vAlign w:val="center"/>
            <w:hideMark/>
          </w:tcPr>
          <w:p w14:paraId="7602026B"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4623C851" w14:textId="77777777" w:rsidR="00CF1F9A" w:rsidRPr="008468A0" w:rsidRDefault="00CF1F9A" w:rsidP="00CF1F9A">
            <w:pPr>
              <w:spacing w:after="0"/>
              <w:jc w:val="center"/>
              <w:rPr>
                <w:rFonts w:eastAsia="Times New Roman" w:cs="Times New Roman"/>
                <w:szCs w:val="24"/>
              </w:rPr>
            </w:pPr>
          </w:p>
        </w:tc>
        <w:tc>
          <w:tcPr>
            <w:tcW w:w="1794" w:type="pct"/>
            <w:tcBorders>
              <w:top w:val="nil"/>
              <w:left w:val="nil"/>
              <w:bottom w:val="single" w:sz="4" w:space="0" w:color="auto"/>
              <w:right w:val="single" w:sz="8" w:space="0" w:color="auto"/>
            </w:tcBorders>
            <w:shd w:val="clear" w:color="000000" w:fill="FFFFFF"/>
            <w:noWrap/>
            <w:vAlign w:val="center"/>
            <w:hideMark/>
          </w:tcPr>
          <w:p w14:paraId="65C8B898" w14:textId="77777777" w:rsidR="00CF1F9A" w:rsidRPr="008468A0" w:rsidRDefault="00CF1F9A" w:rsidP="00CF1F9A">
            <w:pPr>
              <w:spacing w:after="0"/>
              <w:jc w:val="center"/>
              <w:rPr>
                <w:rFonts w:eastAsia="Times New Roman" w:cs="Times New Roman"/>
                <w:szCs w:val="24"/>
              </w:rPr>
            </w:pPr>
          </w:p>
        </w:tc>
      </w:tr>
      <w:tr w:rsidR="008468A0" w:rsidRPr="008468A0" w14:paraId="4A31FE25"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27143B0F" w14:textId="77777777" w:rsidR="00CF1F9A" w:rsidRPr="008468A0" w:rsidRDefault="00CF1F9A" w:rsidP="00CF1F9A">
            <w:pPr>
              <w:spacing w:after="0"/>
              <w:jc w:val="center"/>
              <w:rPr>
                <w:rFonts w:eastAsia="Times New Roman" w:cs="Times New Roman"/>
                <w:b/>
                <w:bCs/>
                <w:szCs w:val="24"/>
              </w:rPr>
            </w:pPr>
            <w:r w:rsidRPr="008468A0">
              <w:rPr>
                <w:rFonts w:eastAsia="Times New Roman" w:cs="Times New Roman"/>
                <w:b/>
                <w:bCs/>
                <w:szCs w:val="24"/>
              </w:rPr>
              <w:t>2015-2019:</w:t>
            </w:r>
          </w:p>
        </w:tc>
        <w:tc>
          <w:tcPr>
            <w:tcW w:w="1404" w:type="pct"/>
            <w:tcBorders>
              <w:top w:val="nil"/>
              <w:left w:val="nil"/>
              <w:bottom w:val="single" w:sz="4" w:space="0" w:color="auto"/>
              <w:right w:val="single" w:sz="4" w:space="0" w:color="auto"/>
            </w:tcBorders>
            <w:shd w:val="clear" w:color="000000" w:fill="FFFFFF"/>
            <w:noWrap/>
            <w:vAlign w:val="center"/>
            <w:hideMark/>
          </w:tcPr>
          <w:p w14:paraId="4E2A6A3E" w14:textId="77777777" w:rsidR="00CF1F9A" w:rsidRPr="008468A0" w:rsidRDefault="00CF1F9A" w:rsidP="00CF1F9A">
            <w:pPr>
              <w:spacing w:after="0"/>
              <w:jc w:val="center"/>
              <w:rPr>
                <w:rFonts w:eastAsia="Times New Roman" w:cs="Times New Roman"/>
                <w:szCs w:val="24"/>
              </w:rPr>
            </w:pPr>
          </w:p>
        </w:tc>
        <w:tc>
          <w:tcPr>
            <w:tcW w:w="115" w:type="pct"/>
            <w:vMerge/>
            <w:tcBorders>
              <w:left w:val="nil"/>
              <w:right w:val="nil"/>
            </w:tcBorders>
            <w:shd w:val="clear" w:color="000000" w:fill="FFFFFF"/>
            <w:noWrap/>
            <w:vAlign w:val="center"/>
            <w:hideMark/>
          </w:tcPr>
          <w:p w14:paraId="4C3AA46A"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00C252D3" w14:textId="77777777" w:rsidR="00CF1F9A" w:rsidRPr="008468A0" w:rsidRDefault="00CF1F9A" w:rsidP="00CF1F9A">
            <w:pPr>
              <w:spacing w:after="0"/>
              <w:jc w:val="center"/>
              <w:rPr>
                <w:rFonts w:eastAsia="Times New Roman" w:cs="Times New Roman"/>
                <w:b/>
                <w:bCs/>
                <w:szCs w:val="24"/>
              </w:rPr>
            </w:pPr>
            <w:r w:rsidRPr="008468A0">
              <w:rPr>
                <w:rFonts w:eastAsia="Times New Roman" w:cs="Times New Roman"/>
                <w:b/>
                <w:bCs/>
                <w:szCs w:val="24"/>
              </w:rPr>
              <w:t>2015-2019:</w:t>
            </w:r>
          </w:p>
        </w:tc>
        <w:tc>
          <w:tcPr>
            <w:tcW w:w="1794" w:type="pct"/>
            <w:tcBorders>
              <w:top w:val="nil"/>
              <w:left w:val="nil"/>
              <w:bottom w:val="single" w:sz="4" w:space="0" w:color="auto"/>
              <w:right w:val="single" w:sz="8" w:space="0" w:color="auto"/>
            </w:tcBorders>
            <w:shd w:val="clear" w:color="000000" w:fill="FFFFFF"/>
            <w:noWrap/>
            <w:vAlign w:val="center"/>
            <w:hideMark/>
          </w:tcPr>
          <w:p w14:paraId="39F013BD" w14:textId="77777777" w:rsidR="00CF1F9A" w:rsidRPr="008468A0" w:rsidRDefault="00CF1F9A" w:rsidP="00CF1F9A">
            <w:pPr>
              <w:spacing w:after="0"/>
              <w:jc w:val="center"/>
              <w:rPr>
                <w:rFonts w:eastAsia="Times New Roman" w:cs="Times New Roman"/>
                <w:szCs w:val="24"/>
              </w:rPr>
            </w:pPr>
          </w:p>
        </w:tc>
      </w:tr>
      <w:tr w:rsidR="008468A0" w:rsidRPr="008468A0" w14:paraId="7E5F509C"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7AEFB77E"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Arithmetic mean</w:t>
            </w:r>
          </w:p>
        </w:tc>
        <w:tc>
          <w:tcPr>
            <w:tcW w:w="1404" w:type="pct"/>
            <w:tcBorders>
              <w:top w:val="nil"/>
              <w:left w:val="nil"/>
              <w:bottom w:val="single" w:sz="4" w:space="0" w:color="auto"/>
              <w:right w:val="single" w:sz="4" w:space="0" w:color="auto"/>
            </w:tcBorders>
            <w:shd w:val="clear" w:color="000000" w:fill="FFFFFF"/>
            <w:noWrap/>
            <w:vAlign w:val="center"/>
            <w:hideMark/>
          </w:tcPr>
          <w:p w14:paraId="595F45BF"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202.70</w:t>
            </w:r>
          </w:p>
        </w:tc>
        <w:tc>
          <w:tcPr>
            <w:tcW w:w="115" w:type="pct"/>
            <w:vMerge/>
            <w:tcBorders>
              <w:left w:val="nil"/>
              <w:right w:val="nil"/>
            </w:tcBorders>
            <w:shd w:val="clear" w:color="000000" w:fill="FFFFFF"/>
            <w:noWrap/>
            <w:vAlign w:val="center"/>
            <w:hideMark/>
          </w:tcPr>
          <w:p w14:paraId="37039CA9"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209DC4EE"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Arithmetic mean</w:t>
            </w:r>
          </w:p>
        </w:tc>
        <w:tc>
          <w:tcPr>
            <w:tcW w:w="1794" w:type="pct"/>
            <w:tcBorders>
              <w:top w:val="nil"/>
              <w:left w:val="nil"/>
              <w:bottom w:val="single" w:sz="4" w:space="0" w:color="auto"/>
              <w:right w:val="single" w:sz="8" w:space="0" w:color="auto"/>
            </w:tcBorders>
            <w:shd w:val="clear" w:color="000000" w:fill="FFFFFF"/>
            <w:noWrap/>
            <w:vAlign w:val="center"/>
            <w:hideMark/>
          </w:tcPr>
          <w:p w14:paraId="5F98A784"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5.45%</w:t>
            </w:r>
          </w:p>
        </w:tc>
      </w:tr>
      <w:tr w:rsidR="008468A0" w:rsidRPr="008468A0" w14:paraId="26C09778"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29A472D3"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 xml:space="preserve">Geometric </w:t>
            </w:r>
            <w:r w:rsidRPr="008468A0">
              <w:rPr>
                <w:rFonts w:eastAsia="Times New Roman" w:cs="Times New Roman"/>
                <w:szCs w:val="24"/>
              </w:rPr>
              <w:lastRenderedPageBreak/>
              <w:t>mean</w:t>
            </w:r>
          </w:p>
        </w:tc>
        <w:tc>
          <w:tcPr>
            <w:tcW w:w="1404" w:type="pct"/>
            <w:tcBorders>
              <w:top w:val="nil"/>
              <w:left w:val="nil"/>
              <w:bottom w:val="single" w:sz="4" w:space="0" w:color="auto"/>
              <w:right w:val="single" w:sz="4" w:space="0" w:color="auto"/>
            </w:tcBorders>
            <w:shd w:val="clear" w:color="000000" w:fill="FFFFFF"/>
            <w:noWrap/>
            <w:vAlign w:val="center"/>
            <w:hideMark/>
          </w:tcPr>
          <w:p w14:paraId="24D5CFC3"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lastRenderedPageBreak/>
              <w:t>202.28</w:t>
            </w:r>
          </w:p>
        </w:tc>
        <w:tc>
          <w:tcPr>
            <w:tcW w:w="115" w:type="pct"/>
            <w:vMerge/>
            <w:tcBorders>
              <w:left w:val="nil"/>
              <w:right w:val="nil"/>
            </w:tcBorders>
            <w:shd w:val="clear" w:color="000000" w:fill="FFFFFF"/>
            <w:noWrap/>
            <w:vAlign w:val="center"/>
            <w:hideMark/>
          </w:tcPr>
          <w:p w14:paraId="39902DC7"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6B38FF23"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 xml:space="preserve">Geometric </w:t>
            </w:r>
            <w:r w:rsidRPr="008468A0">
              <w:rPr>
                <w:rFonts w:eastAsia="Times New Roman" w:cs="Times New Roman"/>
                <w:szCs w:val="24"/>
              </w:rPr>
              <w:lastRenderedPageBreak/>
              <w:t>mean</w:t>
            </w:r>
          </w:p>
        </w:tc>
        <w:tc>
          <w:tcPr>
            <w:tcW w:w="1794" w:type="pct"/>
            <w:tcBorders>
              <w:top w:val="nil"/>
              <w:left w:val="nil"/>
              <w:bottom w:val="single" w:sz="4" w:space="0" w:color="auto"/>
              <w:right w:val="single" w:sz="8" w:space="0" w:color="auto"/>
            </w:tcBorders>
            <w:shd w:val="clear" w:color="000000" w:fill="FFFFFF"/>
            <w:noWrap/>
            <w:vAlign w:val="center"/>
            <w:hideMark/>
          </w:tcPr>
          <w:p w14:paraId="04A0C560"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lastRenderedPageBreak/>
              <w:t>5.15%</w:t>
            </w:r>
          </w:p>
        </w:tc>
      </w:tr>
      <w:tr w:rsidR="008468A0" w:rsidRPr="008468A0" w14:paraId="392F5F4A"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457F94C9"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Median</w:t>
            </w:r>
          </w:p>
        </w:tc>
        <w:tc>
          <w:tcPr>
            <w:tcW w:w="1404" w:type="pct"/>
            <w:tcBorders>
              <w:top w:val="nil"/>
              <w:left w:val="nil"/>
              <w:bottom w:val="single" w:sz="4" w:space="0" w:color="auto"/>
              <w:right w:val="single" w:sz="4" w:space="0" w:color="auto"/>
            </w:tcBorders>
            <w:shd w:val="clear" w:color="000000" w:fill="FFFFFF"/>
            <w:noWrap/>
            <w:vAlign w:val="center"/>
            <w:hideMark/>
          </w:tcPr>
          <w:p w14:paraId="4A7BB3B8"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201.00</w:t>
            </w:r>
          </w:p>
        </w:tc>
        <w:tc>
          <w:tcPr>
            <w:tcW w:w="115" w:type="pct"/>
            <w:vMerge/>
            <w:tcBorders>
              <w:left w:val="nil"/>
              <w:right w:val="nil"/>
            </w:tcBorders>
            <w:shd w:val="clear" w:color="000000" w:fill="FFFFFF"/>
            <w:noWrap/>
            <w:vAlign w:val="center"/>
            <w:hideMark/>
          </w:tcPr>
          <w:p w14:paraId="06AA6560"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51FFCAF2"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Median</w:t>
            </w:r>
          </w:p>
        </w:tc>
        <w:tc>
          <w:tcPr>
            <w:tcW w:w="1794" w:type="pct"/>
            <w:tcBorders>
              <w:top w:val="nil"/>
              <w:left w:val="nil"/>
              <w:bottom w:val="single" w:sz="4" w:space="0" w:color="auto"/>
              <w:right w:val="single" w:sz="8" w:space="0" w:color="auto"/>
            </w:tcBorders>
            <w:shd w:val="clear" w:color="000000" w:fill="FFFFFF"/>
            <w:noWrap/>
            <w:vAlign w:val="center"/>
            <w:hideMark/>
          </w:tcPr>
          <w:p w14:paraId="5D199328"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6.05%</w:t>
            </w:r>
          </w:p>
        </w:tc>
      </w:tr>
      <w:tr w:rsidR="008468A0" w:rsidRPr="008468A0" w14:paraId="15D02A53"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69677A17"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Standard Deviation</w:t>
            </w:r>
          </w:p>
        </w:tc>
        <w:tc>
          <w:tcPr>
            <w:tcW w:w="1404" w:type="pct"/>
            <w:tcBorders>
              <w:top w:val="nil"/>
              <w:left w:val="nil"/>
              <w:bottom w:val="single" w:sz="4" w:space="0" w:color="auto"/>
              <w:right w:val="single" w:sz="4" w:space="0" w:color="auto"/>
            </w:tcBorders>
            <w:shd w:val="clear" w:color="000000" w:fill="FFFFFF"/>
            <w:noWrap/>
            <w:vAlign w:val="center"/>
            <w:hideMark/>
          </w:tcPr>
          <w:p w14:paraId="41C3A6E3"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14.55</w:t>
            </w:r>
          </w:p>
        </w:tc>
        <w:tc>
          <w:tcPr>
            <w:tcW w:w="115" w:type="pct"/>
            <w:vMerge/>
            <w:tcBorders>
              <w:left w:val="nil"/>
              <w:right w:val="nil"/>
            </w:tcBorders>
            <w:shd w:val="clear" w:color="000000" w:fill="FFFFFF"/>
            <w:noWrap/>
            <w:vAlign w:val="center"/>
            <w:hideMark/>
          </w:tcPr>
          <w:p w14:paraId="09E626D6"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5D6CA772"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Standard Deviation</w:t>
            </w:r>
          </w:p>
        </w:tc>
        <w:tc>
          <w:tcPr>
            <w:tcW w:w="1794" w:type="pct"/>
            <w:tcBorders>
              <w:top w:val="nil"/>
              <w:left w:val="nil"/>
              <w:bottom w:val="single" w:sz="4" w:space="0" w:color="auto"/>
              <w:right w:val="single" w:sz="8" w:space="0" w:color="auto"/>
            </w:tcBorders>
            <w:shd w:val="clear" w:color="000000" w:fill="FFFFFF"/>
            <w:noWrap/>
            <w:vAlign w:val="center"/>
            <w:hideMark/>
          </w:tcPr>
          <w:p w14:paraId="2C60BA19"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1.90%</w:t>
            </w:r>
          </w:p>
        </w:tc>
      </w:tr>
      <w:tr w:rsidR="008468A0" w:rsidRPr="008468A0" w14:paraId="77494855"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6DF47270"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Variance</w:t>
            </w:r>
          </w:p>
        </w:tc>
        <w:tc>
          <w:tcPr>
            <w:tcW w:w="1404" w:type="pct"/>
            <w:tcBorders>
              <w:top w:val="nil"/>
              <w:left w:val="nil"/>
              <w:bottom w:val="single" w:sz="4" w:space="0" w:color="auto"/>
              <w:right w:val="single" w:sz="4" w:space="0" w:color="auto"/>
            </w:tcBorders>
            <w:shd w:val="clear" w:color="000000" w:fill="FFFFFF"/>
            <w:noWrap/>
            <w:vAlign w:val="center"/>
            <w:hideMark/>
          </w:tcPr>
          <w:p w14:paraId="55D72D0B"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211.64</w:t>
            </w:r>
          </w:p>
        </w:tc>
        <w:tc>
          <w:tcPr>
            <w:tcW w:w="115" w:type="pct"/>
            <w:vMerge/>
            <w:tcBorders>
              <w:left w:val="nil"/>
              <w:right w:val="nil"/>
            </w:tcBorders>
            <w:shd w:val="clear" w:color="000000" w:fill="FFFFFF"/>
            <w:noWrap/>
            <w:vAlign w:val="center"/>
            <w:hideMark/>
          </w:tcPr>
          <w:p w14:paraId="3AE7F0AA"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6F087249"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Variance</w:t>
            </w:r>
          </w:p>
        </w:tc>
        <w:tc>
          <w:tcPr>
            <w:tcW w:w="1794" w:type="pct"/>
            <w:tcBorders>
              <w:top w:val="nil"/>
              <w:left w:val="nil"/>
              <w:bottom w:val="single" w:sz="4" w:space="0" w:color="auto"/>
              <w:right w:val="single" w:sz="8" w:space="0" w:color="auto"/>
            </w:tcBorders>
            <w:shd w:val="clear" w:color="000000" w:fill="FFFFFF"/>
            <w:noWrap/>
            <w:vAlign w:val="center"/>
            <w:hideMark/>
          </w:tcPr>
          <w:p w14:paraId="32155421"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0.04%</w:t>
            </w:r>
          </w:p>
        </w:tc>
      </w:tr>
      <w:tr w:rsidR="008468A0" w:rsidRPr="008468A0" w14:paraId="4522B33E"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5168D69F" w14:textId="77777777" w:rsidR="00CF1F9A" w:rsidRPr="008468A0" w:rsidRDefault="00CF1F9A" w:rsidP="00CF1F9A">
            <w:pPr>
              <w:spacing w:after="0"/>
              <w:jc w:val="center"/>
              <w:rPr>
                <w:rFonts w:eastAsia="Times New Roman" w:cs="Times New Roman"/>
                <w:szCs w:val="24"/>
              </w:rPr>
            </w:pPr>
          </w:p>
        </w:tc>
        <w:tc>
          <w:tcPr>
            <w:tcW w:w="1404" w:type="pct"/>
            <w:tcBorders>
              <w:top w:val="nil"/>
              <w:left w:val="nil"/>
              <w:bottom w:val="single" w:sz="4" w:space="0" w:color="auto"/>
              <w:right w:val="single" w:sz="4" w:space="0" w:color="auto"/>
            </w:tcBorders>
            <w:shd w:val="clear" w:color="000000" w:fill="FFFFFF"/>
            <w:noWrap/>
            <w:vAlign w:val="center"/>
            <w:hideMark/>
          </w:tcPr>
          <w:p w14:paraId="3DFE6169" w14:textId="77777777" w:rsidR="00CF1F9A" w:rsidRPr="008468A0" w:rsidRDefault="00CF1F9A" w:rsidP="00CF1F9A">
            <w:pPr>
              <w:spacing w:after="0"/>
              <w:jc w:val="center"/>
              <w:rPr>
                <w:rFonts w:eastAsia="Times New Roman" w:cs="Times New Roman"/>
                <w:szCs w:val="24"/>
              </w:rPr>
            </w:pPr>
          </w:p>
        </w:tc>
        <w:tc>
          <w:tcPr>
            <w:tcW w:w="115" w:type="pct"/>
            <w:vMerge/>
            <w:tcBorders>
              <w:left w:val="nil"/>
              <w:right w:val="nil"/>
            </w:tcBorders>
            <w:shd w:val="clear" w:color="000000" w:fill="FFFFFF"/>
            <w:noWrap/>
            <w:vAlign w:val="center"/>
            <w:hideMark/>
          </w:tcPr>
          <w:p w14:paraId="62EBD634"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0C8579A9" w14:textId="77777777" w:rsidR="00CF1F9A" w:rsidRPr="008468A0" w:rsidRDefault="00CF1F9A" w:rsidP="00CF1F9A">
            <w:pPr>
              <w:spacing w:after="0"/>
              <w:jc w:val="center"/>
              <w:rPr>
                <w:rFonts w:eastAsia="Times New Roman" w:cs="Times New Roman"/>
                <w:szCs w:val="24"/>
              </w:rPr>
            </w:pPr>
          </w:p>
        </w:tc>
        <w:tc>
          <w:tcPr>
            <w:tcW w:w="1794" w:type="pct"/>
            <w:tcBorders>
              <w:top w:val="nil"/>
              <w:left w:val="nil"/>
              <w:bottom w:val="single" w:sz="4" w:space="0" w:color="auto"/>
              <w:right w:val="single" w:sz="8" w:space="0" w:color="auto"/>
            </w:tcBorders>
            <w:shd w:val="clear" w:color="000000" w:fill="FFFFFF"/>
            <w:noWrap/>
            <w:vAlign w:val="center"/>
            <w:hideMark/>
          </w:tcPr>
          <w:p w14:paraId="77990A07" w14:textId="77777777" w:rsidR="00CF1F9A" w:rsidRPr="008468A0" w:rsidRDefault="00CF1F9A" w:rsidP="00CF1F9A">
            <w:pPr>
              <w:spacing w:after="0"/>
              <w:jc w:val="center"/>
              <w:rPr>
                <w:rFonts w:eastAsia="Times New Roman" w:cs="Times New Roman"/>
                <w:szCs w:val="24"/>
              </w:rPr>
            </w:pPr>
          </w:p>
        </w:tc>
      </w:tr>
      <w:tr w:rsidR="008468A0" w:rsidRPr="008468A0" w14:paraId="38AF9513"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5F431F5F" w14:textId="77777777" w:rsidR="00CF1F9A" w:rsidRPr="008468A0" w:rsidRDefault="00CF1F9A" w:rsidP="00CF1F9A">
            <w:pPr>
              <w:spacing w:after="0"/>
              <w:jc w:val="center"/>
              <w:rPr>
                <w:rFonts w:eastAsia="Times New Roman" w:cs="Times New Roman"/>
                <w:b/>
                <w:bCs/>
                <w:szCs w:val="24"/>
              </w:rPr>
            </w:pPr>
            <w:r w:rsidRPr="008468A0">
              <w:rPr>
                <w:rFonts w:eastAsia="Times New Roman" w:cs="Times New Roman"/>
                <w:b/>
                <w:bCs/>
                <w:szCs w:val="24"/>
              </w:rPr>
              <w:t>2010-2014:</w:t>
            </w:r>
          </w:p>
        </w:tc>
        <w:tc>
          <w:tcPr>
            <w:tcW w:w="1404" w:type="pct"/>
            <w:tcBorders>
              <w:top w:val="nil"/>
              <w:left w:val="nil"/>
              <w:bottom w:val="single" w:sz="4" w:space="0" w:color="auto"/>
              <w:right w:val="single" w:sz="4" w:space="0" w:color="auto"/>
            </w:tcBorders>
            <w:shd w:val="clear" w:color="000000" w:fill="FFFFFF"/>
            <w:noWrap/>
            <w:vAlign w:val="center"/>
            <w:hideMark/>
          </w:tcPr>
          <w:p w14:paraId="2D177527" w14:textId="77777777" w:rsidR="00CF1F9A" w:rsidRPr="008468A0" w:rsidRDefault="00CF1F9A" w:rsidP="00CF1F9A">
            <w:pPr>
              <w:spacing w:after="0"/>
              <w:jc w:val="center"/>
              <w:rPr>
                <w:rFonts w:eastAsia="Times New Roman" w:cs="Times New Roman"/>
                <w:szCs w:val="24"/>
              </w:rPr>
            </w:pPr>
          </w:p>
        </w:tc>
        <w:tc>
          <w:tcPr>
            <w:tcW w:w="115" w:type="pct"/>
            <w:vMerge/>
            <w:tcBorders>
              <w:left w:val="nil"/>
              <w:right w:val="nil"/>
            </w:tcBorders>
            <w:shd w:val="clear" w:color="000000" w:fill="FFFFFF"/>
            <w:noWrap/>
            <w:vAlign w:val="center"/>
            <w:hideMark/>
          </w:tcPr>
          <w:p w14:paraId="77F61362"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36529BFA" w14:textId="77777777" w:rsidR="00CF1F9A" w:rsidRPr="008468A0" w:rsidRDefault="00CF1F9A" w:rsidP="00CF1F9A">
            <w:pPr>
              <w:spacing w:after="0"/>
              <w:jc w:val="center"/>
              <w:rPr>
                <w:rFonts w:eastAsia="Times New Roman" w:cs="Times New Roman"/>
                <w:b/>
                <w:bCs/>
                <w:szCs w:val="24"/>
              </w:rPr>
            </w:pPr>
            <w:r w:rsidRPr="008468A0">
              <w:rPr>
                <w:rFonts w:eastAsia="Times New Roman" w:cs="Times New Roman"/>
                <w:b/>
                <w:bCs/>
                <w:szCs w:val="24"/>
              </w:rPr>
              <w:t>2011-2014:</w:t>
            </w:r>
          </w:p>
        </w:tc>
        <w:tc>
          <w:tcPr>
            <w:tcW w:w="1794" w:type="pct"/>
            <w:tcBorders>
              <w:top w:val="nil"/>
              <w:left w:val="nil"/>
              <w:bottom w:val="single" w:sz="4" w:space="0" w:color="auto"/>
              <w:right w:val="single" w:sz="8" w:space="0" w:color="auto"/>
            </w:tcBorders>
            <w:shd w:val="clear" w:color="000000" w:fill="FFFFFF"/>
            <w:noWrap/>
            <w:vAlign w:val="center"/>
            <w:hideMark/>
          </w:tcPr>
          <w:p w14:paraId="1A368596" w14:textId="77777777" w:rsidR="00CF1F9A" w:rsidRPr="008468A0" w:rsidRDefault="00CF1F9A" w:rsidP="00CF1F9A">
            <w:pPr>
              <w:spacing w:after="0"/>
              <w:jc w:val="center"/>
              <w:rPr>
                <w:rFonts w:eastAsia="Times New Roman" w:cs="Times New Roman"/>
                <w:szCs w:val="24"/>
              </w:rPr>
            </w:pPr>
          </w:p>
        </w:tc>
      </w:tr>
      <w:tr w:rsidR="008468A0" w:rsidRPr="008468A0" w14:paraId="37E15C08"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42F6BB9D"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Arithmetic mean</w:t>
            </w:r>
          </w:p>
        </w:tc>
        <w:tc>
          <w:tcPr>
            <w:tcW w:w="1404" w:type="pct"/>
            <w:tcBorders>
              <w:top w:val="nil"/>
              <w:left w:val="nil"/>
              <w:bottom w:val="single" w:sz="4" w:space="0" w:color="auto"/>
              <w:right w:val="single" w:sz="4" w:space="0" w:color="auto"/>
            </w:tcBorders>
            <w:shd w:val="clear" w:color="000000" w:fill="FFFFFF"/>
            <w:noWrap/>
            <w:vAlign w:val="center"/>
            <w:hideMark/>
          </w:tcPr>
          <w:p w14:paraId="0E885B57"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151.00</w:t>
            </w:r>
          </w:p>
        </w:tc>
        <w:tc>
          <w:tcPr>
            <w:tcW w:w="115" w:type="pct"/>
            <w:vMerge/>
            <w:tcBorders>
              <w:left w:val="nil"/>
              <w:right w:val="nil"/>
            </w:tcBorders>
            <w:shd w:val="clear" w:color="000000" w:fill="FFFFFF"/>
            <w:noWrap/>
            <w:vAlign w:val="center"/>
            <w:hideMark/>
          </w:tcPr>
          <w:p w14:paraId="2024E243"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4208ED05"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Arithmetic mean</w:t>
            </w:r>
          </w:p>
        </w:tc>
        <w:tc>
          <w:tcPr>
            <w:tcW w:w="1794" w:type="pct"/>
            <w:tcBorders>
              <w:top w:val="nil"/>
              <w:left w:val="nil"/>
              <w:bottom w:val="single" w:sz="4" w:space="0" w:color="auto"/>
              <w:right w:val="single" w:sz="8" w:space="0" w:color="auto"/>
            </w:tcBorders>
            <w:shd w:val="clear" w:color="000000" w:fill="FFFFFF"/>
            <w:noWrap/>
            <w:vAlign w:val="center"/>
            <w:hideMark/>
          </w:tcPr>
          <w:p w14:paraId="6B79B9FF"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7.85%</w:t>
            </w:r>
          </w:p>
        </w:tc>
      </w:tr>
      <w:tr w:rsidR="008468A0" w:rsidRPr="008468A0" w14:paraId="310DDFA7"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5B946410"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Geometric mean</w:t>
            </w:r>
          </w:p>
        </w:tc>
        <w:tc>
          <w:tcPr>
            <w:tcW w:w="1404" w:type="pct"/>
            <w:tcBorders>
              <w:top w:val="nil"/>
              <w:left w:val="nil"/>
              <w:bottom w:val="single" w:sz="4" w:space="0" w:color="auto"/>
              <w:right w:val="single" w:sz="4" w:space="0" w:color="auto"/>
            </w:tcBorders>
            <w:shd w:val="clear" w:color="000000" w:fill="FFFFFF"/>
            <w:noWrap/>
            <w:vAlign w:val="center"/>
            <w:hideMark/>
          </w:tcPr>
          <w:p w14:paraId="66CFACC0"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150.23</w:t>
            </w:r>
          </w:p>
        </w:tc>
        <w:tc>
          <w:tcPr>
            <w:tcW w:w="115" w:type="pct"/>
            <w:vMerge/>
            <w:tcBorders>
              <w:left w:val="nil"/>
              <w:right w:val="nil"/>
            </w:tcBorders>
            <w:shd w:val="clear" w:color="000000" w:fill="FFFFFF"/>
            <w:noWrap/>
            <w:vAlign w:val="center"/>
            <w:hideMark/>
          </w:tcPr>
          <w:p w14:paraId="48233404"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098F575F"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Geometric mean</w:t>
            </w:r>
          </w:p>
        </w:tc>
        <w:tc>
          <w:tcPr>
            <w:tcW w:w="1794" w:type="pct"/>
            <w:tcBorders>
              <w:top w:val="nil"/>
              <w:left w:val="nil"/>
              <w:bottom w:val="single" w:sz="4" w:space="0" w:color="auto"/>
              <w:right w:val="single" w:sz="8" w:space="0" w:color="auto"/>
            </w:tcBorders>
            <w:shd w:val="clear" w:color="000000" w:fill="FFFFFF"/>
            <w:noWrap/>
            <w:vAlign w:val="center"/>
            <w:hideMark/>
          </w:tcPr>
          <w:p w14:paraId="5B1789CA"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7.21%</w:t>
            </w:r>
          </w:p>
        </w:tc>
      </w:tr>
      <w:tr w:rsidR="008468A0" w:rsidRPr="008468A0" w14:paraId="6947D863"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7C49D844"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Median</w:t>
            </w:r>
          </w:p>
        </w:tc>
        <w:tc>
          <w:tcPr>
            <w:tcW w:w="1404" w:type="pct"/>
            <w:tcBorders>
              <w:top w:val="nil"/>
              <w:left w:val="nil"/>
              <w:bottom w:val="single" w:sz="4" w:space="0" w:color="auto"/>
              <w:right w:val="single" w:sz="4" w:space="0" w:color="auto"/>
            </w:tcBorders>
            <w:shd w:val="clear" w:color="000000" w:fill="FFFFFF"/>
            <w:noWrap/>
            <w:vAlign w:val="center"/>
            <w:hideMark/>
          </w:tcPr>
          <w:p w14:paraId="37FA974C"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153.00</w:t>
            </w:r>
          </w:p>
        </w:tc>
        <w:tc>
          <w:tcPr>
            <w:tcW w:w="115" w:type="pct"/>
            <w:vMerge/>
            <w:tcBorders>
              <w:left w:val="nil"/>
              <w:right w:val="nil"/>
            </w:tcBorders>
            <w:shd w:val="clear" w:color="000000" w:fill="FFFFFF"/>
            <w:noWrap/>
            <w:vAlign w:val="center"/>
            <w:hideMark/>
          </w:tcPr>
          <w:p w14:paraId="238B1C59"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2ACB3EBA"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Median</w:t>
            </w:r>
          </w:p>
        </w:tc>
        <w:tc>
          <w:tcPr>
            <w:tcW w:w="1794" w:type="pct"/>
            <w:tcBorders>
              <w:top w:val="nil"/>
              <w:left w:val="nil"/>
              <w:bottom w:val="single" w:sz="4" w:space="0" w:color="auto"/>
              <w:right w:val="single" w:sz="8" w:space="0" w:color="auto"/>
            </w:tcBorders>
            <w:shd w:val="clear" w:color="000000" w:fill="FFFFFF"/>
            <w:noWrap/>
            <w:vAlign w:val="center"/>
            <w:hideMark/>
          </w:tcPr>
          <w:p w14:paraId="5232287B"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6.36%</w:t>
            </w:r>
          </w:p>
        </w:tc>
      </w:tr>
      <w:tr w:rsidR="008468A0" w:rsidRPr="008468A0" w14:paraId="54AA8DCF" w14:textId="77777777" w:rsidTr="00FE3C2F">
        <w:trPr>
          <w:trHeight w:val="315"/>
        </w:trPr>
        <w:tc>
          <w:tcPr>
            <w:tcW w:w="843" w:type="pct"/>
            <w:tcBorders>
              <w:top w:val="nil"/>
              <w:left w:val="single" w:sz="8" w:space="0" w:color="auto"/>
              <w:bottom w:val="single" w:sz="4" w:space="0" w:color="auto"/>
              <w:right w:val="single" w:sz="4" w:space="0" w:color="auto"/>
            </w:tcBorders>
            <w:shd w:val="clear" w:color="000000" w:fill="FFFFFF"/>
            <w:noWrap/>
            <w:vAlign w:val="center"/>
            <w:hideMark/>
          </w:tcPr>
          <w:p w14:paraId="044548C7"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Standard Deviation</w:t>
            </w:r>
          </w:p>
        </w:tc>
        <w:tc>
          <w:tcPr>
            <w:tcW w:w="1404" w:type="pct"/>
            <w:tcBorders>
              <w:top w:val="nil"/>
              <w:left w:val="nil"/>
              <w:bottom w:val="single" w:sz="4" w:space="0" w:color="auto"/>
              <w:right w:val="single" w:sz="4" w:space="0" w:color="auto"/>
            </w:tcBorders>
            <w:shd w:val="clear" w:color="000000" w:fill="FFFFFF"/>
            <w:noWrap/>
            <w:vAlign w:val="center"/>
            <w:hideMark/>
          </w:tcPr>
          <w:p w14:paraId="7105A29A"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16.82</w:t>
            </w:r>
          </w:p>
        </w:tc>
        <w:tc>
          <w:tcPr>
            <w:tcW w:w="115" w:type="pct"/>
            <w:vMerge/>
            <w:tcBorders>
              <w:left w:val="nil"/>
              <w:right w:val="nil"/>
            </w:tcBorders>
            <w:shd w:val="clear" w:color="000000" w:fill="FFFFFF"/>
            <w:noWrap/>
            <w:vAlign w:val="center"/>
            <w:hideMark/>
          </w:tcPr>
          <w:p w14:paraId="003BE383"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4" w:space="0" w:color="auto"/>
              <w:right w:val="single" w:sz="4" w:space="0" w:color="auto"/>
            </w:tcBorders>
            <w:shd w:val="clear" w:color="000000" w:fill="FFFFFF"/>
            <w:noWrap/>
            <w:vAlign w:val="center"/>
            <w:hideMark/>
          </w:tcPr>
          <w:p w14:paraId="1493CBEB"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Standard Deviation</w:t>
            </w:r>
          </w:p>
        </w:tc>
        <w:tc>
          <w:tcPr>
            <w:tcW w:w="1794" w:type="pct"/>
            <w:tcBorders>
              <w:top w:val="nil"/>
              <w:left w:val="nil"/>
              <w:bottom w:val="single" w:sz="4" w:space="0" w:color="auto"/>
              <w:right w:val="single" w:sz="8" w:space="0" w:color="auto"/>
            </w:tcBorders>
            <w:shd w:val="clear" w:color="000000" w:fill="FFFFFF"/>
            <w:noWrap/>
            <w:vAlign w:val="center"/>
            <w:hideMark/>
          </w:tcPr>
          <w:p w14:paraId="0502BA1D"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4.05%</w:t>
            </w:r>
          </w:p>
        </w:tc>
      </w:tr>
      <w:tr w:rsidR="008468A0" w:rsidRPr="008468A0" w14:paraId="55CECAFA" w14:textId="77777777" w:rsidTr="00FE3C2F">
        <w:trPr>
          <w:trHeight w:val="330"/>
        </w:trPr>
        <w:tc>
          <w:tcPr>
            <w:tcW w:w="843" w:type="pct"/>
            <w:tcBorders>
              <w:top w:val="nil"/>
              <w:left w:val="single" w:sz="8" w:space="0" w:color="auto"/>
              <w:bottom w:val="single" w:sz="8" w:space="0" w:color="auto"/>
              <w:right w:val="single" w:sz="4" w:space="0" w:color="auto"/>
            </w:tcBorders>
            <w:shd w:val="clear" w:color="000000" w:fill="FFFFFF"/>
            <w:noWrap/>
            <w:vAlign w:val="center"/>
            <w:hideMark/>
          </w:tcPr>
          <w:p w14:paraId="2E0F0EBB"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Variance</w:t>
            </w:r>
          </w:p>
        </w:tc>
        <w:tc>
          <w:tcPr>
            <w:tcW w:w="1404" w:type="pct"/>
            <w:tcBorders>
              <w:top w:val="nil"/>
              <w:left w:val="nil"/>
              <w:bottom w:val="single" w:sz="8" w:space="0" w:color="auto"/>
              <w:right w:val="single" w:sz="4" w:space="0" w:color="auto"/>
            </w:tcBorders>
            <w:shd w:val="clear" w:color="000000" w:fill="FFFFFF"/>
            <w:noWrap/>
            <w:vAlign w:val="center"/>
            <w:hideMark/>
          </w:tcPr>
          <w:p w14:paraId="12B4E165"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282.83</w:t>
            </w:r>
          </w:p>
        </w:tc>
        <w:tc>
          <w:tcPr>
            <w:tcW w:w="115" w:type="pct"/>
            <w:vMerge/>
            <w:tcBorders>
              <w:left w:val="nil"/>
              <w:bottom w:val="single" w:sz="8" w:space="0" w:color="auto"/>
              <w:right w:val="nil"/>
            </w:tcBorders>
            <w:shd w:val="clear" w:color="000000" w:fill="FFFFFF"/>
            <w:noWrap/>
            <w:vAlign w:val="center"/>
            <w:hideMark/>
          </w:tcPr>
          <w:p w14:paraId="4037A1C7" w14:textId="77777777" w:rsidR="00CF1F9A" w:rsidRPr="008468A0" w:rsidRDefault="00CF1F9A" w:rsidP="00CF1F9A">
            <w:pPr>
              <w:spacing w:after="0"/>
              <w:jc w:val="center"/>
              <w:rPr>
                <w:rFonts w:eastAsia="Times New Roman" w:cs="Times New Roman"/>
                <w:szCs w:val="24"/>
              </w:rPr>
            </w:pPr>
          </w:p>
        </w:tc>
        <w:tc>
          <w:tcPr>
            <w:tcW w:w="843" w:type="pct"/>
            <w:tcBorders>
              <w:top w:val="nil"/>
              <w:left w:val="single" w:sz="4" w:space="0" w:color="auto"/>
              <w:bottom w:val="single" w:sz="8" w:space="0" w:color="auto"/>
              <w:right w:val="single" w:sz="4" w:space="0" w:color="auto"/>
            </w:tcBorders>
            <w:shd w:val="clear" w:color="000000" w:fill="FFFFFF"/>
            <w:noWrap/>
            <w:vAlign w:val="center"/>
            <w:hideMark/>
          </w:tcPr>
          <w:p w14:paraId="31463113"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Variance</w:t>
            </w:r>
          </w:p>
        </w:tc>
        <w:tc>
          <w:tcPr>
            <w:tcW w:w="1794" w:type="pct"/>
            <w:tcBorders>
              <w:top w:val="nil"/>
              <w:left w:val="nil"/>
              <w:bottom w:val="single" w:sz="8" w:space="0" w:color="auto"/>
              <w:right w:val="single" w:sz="8" w:space="0" w:color="auto"/>
            </w:tcBorders>
            <w:shd w:val="clear" w:color="000000" w:fill="FFFFFF"/>
            <w:noWrap/>
            <w:vAlign w:val="center"/>
            <w:hideMark/>
          </w:tcPr>
          <w:p w14:paraId="6CD58150" w14:textId="77777777" w:rsidR="00CF1F9A" w:rsidRPr="008468A0" w:rsidRDefault="00CF1F9A" w:rsidP="00CF1F9A">
            <w:pPr>
              <w:spacing w:after="0"/>
              <w:jc w:val="center"/>
              <w:rPr>
                <w:rFonts w:eastAsia="Times New Roman" w:cs="Times New Roman"/>
                <w:szCs w:val="24"/>
              </w:rPr>
            </w:pPr>
            <w:r w:rsidRPr="008468A0">
              <w:rPr>
                <w:rFonts w:eastAsia="Times New Roman" w:cs="Times New Roman"/>
                <w:szCs w:val="24"/>
              </w:rPr>
              <w:t>0.16%</w:t>
            </w:r>
          </w:p>
        </w:tc>
      </w:tr>
    </w:tbl>
    <w:p w14:paraId="794DCED4" w14:textId="77777777" w:rsidR="00FE3C2F" w:rsidRPr="008468A0" w:rsidRDefault="005D7DEF" w:rsidP="00135340">
      <w:pPr>
        <w:jc w:val="center"/>
      </w:pPr>
      <w:r w:rsidRPr="008468A0">
        <w:t>Table 01</w:t>
      </w:r>
      <w:r w:rsidR="00FE3C2F" w:rsidRPr="008468A0">
        <w:t>: Statistical Analysis on the Amount of Expenditure in the Healthcare Sector in the United Kingdom</w:t>
      </w:r>
    </w:p>
    <w:p w14:paraId="39049E71" w14:textId="77777777" w:rsidR="00FE3C2F" w:rsidRPr="008468A0" w:rsidRDefault="00FE3C2F" w:rsidP="00135340">
      <w:pPr>
        <w:jc w:val="center"/>
      </w:pPr>
      <w:r w:rsidRPr="008468A0">
        <w:t>Source:</w:t>
      </w:r>
      <w:r w:rsidR="00D83D51" w:rsidRPr="008468A0">
        <w:t xml:space="preserve"> Self-generated from (Yang, 2021), and raw data is available in</w:t>
      </w:r>
      <w:r w:rsidR="00366BAE" w:rsidRPr="008468A0">
        <w:t xml:space="preserve"> 8.1</w:t>
      </w:r>
    </w:p>
    <w:p w14:paraId="013F1F9C" w14:textId="77777777" w:rsidR="00792C64" w:rsidRPr="008468A0" w:rsidRDefault="00716AA4" w:rsidP="00CF1F9A">
      <w:r w:rsidRPr="008468A0">
        <w:t>With the increase in population by less than almost 2 percent in the last 10 years in the United Kingdom, the increase in expenditure indicates a heavy bounce in the number of foreign employees in the healthcare sector in the UK. Also, the existence of Brexit seems to be a matter of concern for these employees as the existence of barriers to communication for the employees of the countries under the European Union (EU)</w:t>
      </w:r>
      <w:r w:rsidR="00A61441" w:rsidRPr="008468A0">
        <w:t xml:space="preserve"> (Fahy et al., 2017)</w:t>
      </w:r>
      <w:r w:rsidRPr="008468A0">
        <w:t>.</w:t>
      </w:r>
    </w:p>
    <w:p w14:paraId="6DAC4CE1" w14:textId="77777777" w:rsidR="00BA65F2" w:rsidRPr="008468A0" w:rsidRDefault="00BA65F2" w:rsidP="00BA65F2">
      <w:pPr>
        <w:pStyle w:val="Heading2"/>
        <w:rPr>
          <w:color w:val="000000" w:themeColor="text1"/>
        </w:rPr>
      </w:pPr>
      <w:bookmarkStart w:id="21" w:name="_Toc138707973"/>
      <w:r w:rsidRPr="008468A0">
        <w:rPr>
          <w:color w:val="000000" w:themeColor="text1"/>
        </w:rPr>
        <w:t>4.2 Number of Employees in the Healthcare Industry</w:t>
      </w:r>
      <w:bookmarkEnd w:id="21"/>
    </w:p>
    <w:p w14:paraId="060E5033" w14:textId="77777777" w:rsidR="00BA65F2" w:rsidRPr="008468A0" w:rsidRDefault="003E4FE1" w:rsidP="00BA65F2">
      <w:r w:rsidRPr="008468A0">
        <w:t xml:space="preserve">In Figure 03, the number of employees in the healthcare sector is noticed to be decreasing in the beginning from one year to another and after that, this sector is noticed to be increasing from one year to another, and this is happening consistently. In the year 2010, the number of employees in </w:t>
      </w:r>
      <w:r w:rsidRPr="008468A0">
        <w:lastRenderedPageBreak/>
        <w:t>the healthcare sector was around 1,441.00 thousand, and after eleven years, the number of employees in the healthcare sector was around 1,661.00 thousand which indicates an increase in the number of employees in the healthcare sector by almost 220.00 thousand which are very low compared to the total number of employees in the healthcare sector in the year 2010. In the last two years, the bounce in the total number of employees in the healthcare sector is very high for the existence of the COVID-19 epidemic.</w:t>
      </w:r>
    </w:p>
    <w:p w14:paraId="6E27684D" w14:textId="77777777" w:rsidR="00BA65F2" w:rsidRPr="008468A0" w:rsidRDefault="00A7549C" w:rsidP="00BA65F2">
      <w:r w:rsidRPr="008468A0">
        <w:rPr>
          <w:noProof/>
          <w:lang w:val="en-US"/>
        </w:rPr>
        <w:drawing>
          <wp:inline distT="0" distB="0" distL="0" distR="0" wp14:anchorId="4C12C499" wp14:editId="070D11FA">
            <wp:extent cx="5915025" cy="3505200"/>
            <wp:effectExtent l="1905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8D93F84" w14:textId="77777777" w:rsidR="00AE2648" w:rsidRPr="008468A0" w:rsidRDefault="00B730A5" w:rsidP="00135340">
      <w:pPr>
        <w:jc w:val="center"/>
      </w:pPr>
      <w:r w:rsidRPr="008468A0">
        <w:t>Figure 03</w:t>
      </w:r>
      <w:r w:rsidR="00AE2648" w:rsidRPr="008468A0">
        <w:t xml:space="preserve">: </w:t>
      </w:r>
      <w:r w:rsidRPr="008468A0">
        <w:t>Number of Employees</w:t>
      </w:r>
      <w:r w:rsidR="00AE2648" w:rsidRPr="008468A0">
        <w:t xml:space="preserve"> in the Healthcare Sector in the United Kingdom</w:t>
      </w:r>
    </w:p>
    <w:p w14:paraId="41669A5F" w14:textId="77777777" w:rsidR="00AE2648" w:rsidRPr="008468A0" w:rsidRDefault="00AE2648" w:rsidP="00135340">
      <w:pPr>
        <w:jc w:val="center"/>
      </w:pPr>
      <w:r w:rsidRPr="008468A0">
        <w:t xml:space="preserve">Source: </w:t>
      </w:r>
      <w:r w:rsidR="002C62FC" w:rsidRPr="008468A0">
        <w:t>(Statista, 2023)</w:t>
      </w:r>
    </w:p>
    <w:p w14:paraId="183D0C40" w14:textId="77777777" w:rsidR="00BA65F2" w:rsidRPr="008468A0" w:rsidRDefault="00C11547" w:rsidP="00BA65F2">
      <w:r w:rsidRPr="008468A0">
        <w:t xml:space="preserve">In Figure 04, the growth in percent in the number of employees in the healthcare sector is noticed to be increasing from one year to another with some opposite bounces, and this is happening consistently. In the year 2010, the growth in percent in the number of employees in the healthcare sector was around -2.49, and after eleven years, the growth in percent in the number of employees in the healthcare sector was around 5.36 which indicates an increase in the growth in percent in the number of employees in the healthcare sector by almost 7.85 which are very high compared to the growth in percent in the total number of employees in the healthcare sector in the year 2010. In the last two years, the bounce in the growth in percent in the total number of </w:t>
      </w:r>
      <w:r w:rsidRPr="008468A0">
        <w:lastRenderedPageBreak/>
        <w:t>employees in the healthcare sector is very high for the existence of the COVID-19 epidemic. It slightly falls in the middle for the existence of the Brexit issue.</w:t>
      </w:r>
    </w:p>
    <w:p w14:paraId="790BAFA4" w14:textId="77777777" w:rsidR="00A7549C" w:rsidRPr="008468A0" w:rsidRDefault="00A7549C" w:rsidP="00A7549C">
      <w:r w:rsidRPr="008468A0">
        <w:rPr>
          <w:noProof/>
          <w:lang w:val="en-US"/>
        </w:rPr>
        <w:drawing>
          <wp:inline distT="0" distB="0" distL="0" distR="0" wp14:anchorId="1B7768FB" wp14:editId="4F0331C2">
            <wp:extent cx="5915025" cy="3467100"/>
            <wp:effectExtent l="1905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05E0FDA" w14:textId="77777777" w:rsidR="00B730A5" w:rsidRPr="008468A0" w:rsidRDefault="00B730A5" w:rsidP="00135340">
      <w:pPr>
        <w:jc w:val="center"/>
      </w:pPr>
      <w:r w:rsidRPr="008468A0">
        <w:t>Figure 04: Yearly Growth Rate in Number of Employees in the Healthcare Sector in the United Kingdom</w:t>
      </w:r>
    </w:p>
    <w:p w14:paraId="4392FFFA" w14:textId="77777777" w:rsidR="00B730A5" w:rsidRPr="008468A0" w:rsidRDefault="00B730A5" w:rsidP="00135340">
      <w:pPr>
        <w:jc w:val="center"/>
      </w:pPr>
      <w:r w:rsidRPr="008468A0">
        <w:t xml:space="preserve">Source: </w:t>
      </w:r>
      <w:r w:rsidR="00734E29" w:rsidRPr="008468A0">
        <w:t>Self-generated from (Statista, 2023), and raw data is available in</w:t>
      </w:r>
      <w:r w:rsidR="00366BAE" w:rsidRPr="008468A0">
        <w:t xml:space="preserve"> 8.2</w:t>
      </w:r>
    </w:p>
    <w:p w14:paraId="7972F53B" w14:textId="77777777" w:rsidR="00A7549C" w:rsidRPr="008468A0" w:rsidRDefault="00A72D0C" w:rsidP="00BA65F2">
      <w:r w:rsidRPr="008468A0">
        <w:t>In Table 02, the statistical analysis presents a precise picture of the condition of the number of employees, and here, mean values are found to be very close excluding arithmetic mean in growth rate in percent which indicates almost normally distributed information, and the mean values of growth rate indicate a growth rate of almost two percent here. The standard deviation and variance are noticed to be very low which indicates a stable growth in the number of employees. But when these are compared with the information after the year 2019, mean values are noticed to be bounced sharply with the reduction in risks which are also almost the same with low risk in the period from 2015 to 2019, and before that period, these are low compared to all of this information. So, the number of employees is bouncing well here.</w:t>
      </w:r>
    </w:p>
    <w:tbl>
      <w:tblPr>
        <w:tblW w:w="4953" w:type="pct"/>
        <w:tblLook w:val="04A0" w:firstRow="1" w:lastRow="0" w:firstColumn="1" w:lastColumn="0" w:noHBand="0" w:noVBand="1"/>
      </w:tblPr>
      <w:tblGrid>
        <w:gridCol w:w="2077"/>
        <w:gridCol w:w="2324"/>
        <w:gridCol w:w="264"/>
        <w:gridCol w:w="2313"/>
        <w:gridCol w:w="2508"/>
      </w:tblGrid>
      <w:tr w:rsidR="008468A0" w:rsidRPr="008468A0" w14:paraId="5027BE5D" w14:textId="77777777" w:rsidTr="005C6DEA">
        <w:trPr>
          <w:trHeight w:val="1447"/>
          <w:tblHeader/>
        </w:trPr>
        <w:tc>
          <w:tcPr>
            <w:tcW w:w="1094" w:type="pct"/>
            <w:tcBorders>
              <w:top w:val="single" w:sz="8" w:space="0" w:color="auto"/>
              <w:left w:val="single" w:sz="8" w:space="0" w:color="auto"/>
              <w:bottom w:val="single" w:sz="4" w:space="0" w:color="auto"/>
              <w:right w:val="single" w:sz="4" w:space="0" w:color="auto"/>
            </w:tcBorders>
            <w:shd w:val="clear" w:color="000000" w:fill="FFFFFF"/>
            <w:noWrap/>
            <w:vAlign w:val="center"/>
            <w:hideMark/>
          </w:tcPr>
          <w:p w14:paraId="4A36C95A" w14:textId="77777777" w:rsidR="008152F8" w:rsidRPr="008468A0" w:rsidRDefault="008152F8" w:rsidP="008152F8">
            <w:pPr>
              <w:spacing w:after="0"/>
              <w:jc w:val="center"/>
              <w:rPr>
                <w:rFonts w:eastAsia="Times New Roman" w:cs="Times New Roman"/>
                <w:b/>
                <w:bCs/>
                <w:szCs w:val="24"/>
              </w:rPr>
            </w:pPr>
            <w:r w:rsidRPr="008468A0">
              <w:rPr>
                <w:rFonts w:eastAsia="Times New Roman" w:cs="Times New Roman"/>
                <w:b/>
                <w:bCs/>
                <w:szCs w:val="24"/>
              </w:rPr>
              <w:lastRenderedPageBreak/>
              <w:t>Particulars</w:t>
            </w:r>
          </w:p>
        </w:tc>
        <w:tc>
          <w:tcPr>
            <w:tcW w:w="1225" w:type="pct"/>
            <w:tcBorders>
              <w:top w:val="single" w:sz="8" w:space="0" w:color="auto"/>
              <w:left w:val="nil"/>
              <w:bottom w:val="single" w:sz="4" w:space="0" w:color="auto"/>
              <w:right w:val="single" w:sz="4" w:space="0" w:color="auto"/>
            </w:tcBorders>
            <w:shd w:val="clear" w:color="000000" w:fill="FFFFFF"/>
            <w:vAlign w:val="center"/>
            <w:hideMark/>
          </w:tcPr>
          <w:p w14:paraId="32D75158" w14:textId="77777777" w:rsidR="008152F8" w:rsidRPr="008468A0" w:rsidRDefault="008152F8" w:rsidP="008152F8">
            <w:pPr>
              <w:spacing w:after="0"/>
              <w:jc w:val="center"/>
              <w:rPr>
                <w:rFonts w:eastAsia="Times New Roman" w:cs="Times New Roman"/>
                <w:b/>
                <w:bCs/>
                <w:szCs w:val="24"/>
              </w:rPr>
            </w:pPr>
            <w:r w:rsidRPr="008468A0">
              <w:rPr>
                <w:rFonts w:eastAsia="Times New Roman" w:cs="Times New Roman"/>
                <w:b/>
                <w:bCs/>
                <w:szCs w:val="24"/>
              </w:rPr>
              <w:t>Number of Employees</w:t>
            </w:r>
          </w:p>
        </w:tc>
        <w:tc>
          <w:tcPr>
            <w:tcW w:w="139" w:type="pct"/>
            <w:tcBorders>
              <w:top w:val="single" w:sz="8" w:space="0" w:color="auto"/>
              <w:left w:val="nil"/>
              <w:bottom w:val="single" w:sz="4" w:space="0" w:color="auto"/>
              <w:right w:val="single" w:sz="4" w:space="0" w:color="auto"/>
            </w:tcBorders>
            <w:shd w:val="clear" w:color="000000" w:fill="FFFFFF"/>
            <w:noWrap/>
            <w:vAlign w:val="center"/>
            <w:hideMark/>
          </w:tcPr>
          <w:p w14:paraId="09587A09" w14:textId="77777777" w:rsidR="008152F8" w:rsidRPr="008468A0" w:rsidRDefault="008152F8" w:rsidP="008152F8">
            <w:pPr>
              <w:spacing w:after="0"/>
              <w:jc w:val="center"/>
              <w:rPr>
                <w:rFonts w:eastAsia="Times New Roman" w:cs="Times New Roman"/>
                <w:szCs w:val="24"/>
              </w:rPr>
            </w:pPr>
          </w:p>
        </w:tc>
        <w:tc>
          <w:tcPr>
            <w:tcW w:w="1219" w:type="pct"/>
            <w:tcBorders>
              <w:top w:val="single" w:sz="8" w:space="0" w:color="auto"/>
              <w:left w:val="nil"/>
              <w:bottom w:val="single" w:sz="4" w:space="0" w:color="auto"/>
              <w:right w:val="single" w:sz="4" w:space="0" w:color="auto"/>
            </w:tcBorders>
            <w:shd w:val="clear" w:color="000000" w:fill="FFFFFF"/>
            <w:noWrap/>
            <w:vAlign w:val="center"/>
            <w:hideMark/>
          </w:tcPr>
          <w:p w14:paraId="224E4F50" w14:textId="77777777" w:rsidR="008152F8" w:rsidRPr="008468A0" w:rsidRDefault="008152F8" w:rsidP="008152F8">
            <w:pPr>
              <w:spacing w:after="0"/>
              <w:jc w:val="center"/>
              <w:rPr>
                <w:rFonts w:eastAsia="Times New Roman" w:cs="Times New Roman"/>
                <w:b/>
                <w:bCs/>
                <w:szCs w:val="24"/>
              </w:rPr>
            </w:pPr>
            <w:r w:rsidRPr="008468A0">
              <w:rPr>
                <w:rFonts w:eastAsia="Times New Roman" w:cs="Times New Roman"/>
                <w:b/>
                <w:bCs/>
                <w:szCs w:val="24"/>
              </w:rPr>
              <w:t>Particulars</w:t>
            </w:r>
          </w:p>
        </w:tc>
        <w:tc>
          <w:tcPr>
            <w:tcW w:w="1322" w:type="pct"/>
            <w:tcBorders>
              <w:top w:val="single" w:sz="8" w:space="0" w:color="auto"/>
              <w:left w:val="nil"/>
              <w:bottom w:val="single" w:sz="4" w:space="0" w:color="auto"/>
              <w:right w:val="single" w:sz="8" w:space="0" w:color="auto"/>
            </w:tcBorders>
            <w:shd w:val="clear" w:color="000000" w:fill="FFFFFF"/>
            <w:vAlign w:val="center"/>
            <w:hideMark/>
          </w:tcPr>
          <w:p w14:paraId="314571B3" w14:textId="77777777" w:rsidR="008152F8" w:rsidRPr="008468A0" w:rsidRDefault="008152F8" w:rsidP="008152F8">
            <w:pPr>
              <w:spacing w:after="0"/>
              <w:jc w:val="center"/>
              <w:rPr>
                <w:rFonts w:eastAsia="Times New Roman" w:cs="Times New Roman"/>
                <w:b/>
                <w:bCs/>
                <w:szCs w:val="24"/>
              </w:rPr>
            </w:pPr>
            <w:r w:rsidRPr="008468A0">
              <w:rPr>
                <w:rFonts w:eastAsia="Times New Roman" w:cs="Times New Roman"/>
                <w:b/>
                <w:bCs/>
                <w:szCs w:val="24"/>
              </w:rPr>
              <w:t>Growth in Number of Employees (in %)</w:t>
            </w:r>
          </w:p>
        </w:tc>
      </w:tr>
      <w:tr w:rsidR="008468A0" w:rsidRPr="008468A0" w14:paraId="17EB9832"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1FBEC390"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Arithmetic mean</w:t>
            </w:r>
          </w:p>
        </w:tc>
        <w:tc>
          <w:tcPr>
            <w:tcW w:w="1225" w:type="pct"/>
            <w:tcBorders>
              <w:top w:val="nil"/>
              <w:left w:val="nil"/>
              <w:bottom w:val="single" w:sz="4" w:space="0" w:color="auto"/>
              <w:right w:val="single" w:sz="4" w:space="0" w:color="auto"/>
            </w:tcBorders>
            <w:shd w:val="clear" w:color="000000" w:fill="FFFFFF"/>
            <w:noWrap/>
            <w:vAlign w:val="center"/>
            <w:hideMark/>
          </w:tcPr>
          <w:p w14:paraId="7461339E"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1,465,323</w:t>
            </w:r>
          </w:p>
        </w:tc>
        <w:tc>
          <w:tcPr>
            <w:tcW w:w="139" w:type="pct"/>
            <w:vMerge w:val="restart"/>
            <w:tcBorders>
              <w:top w:val="nil"/>
              <w:left w:val="nil"/>
              <w:right w:val="nil"/>
            </w:tcBorders>
            <w:shd w:val="clear" w:color="000000" w:fill="FFFFFF"/>
            <w:noWrap/>
            <w:vAlign w:val="center"/>
            <w:hideMark/>
          </w:tcPr>
          <w:p w14:paraId="5006191A"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14FDD915"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Arithmetic mean</w:t>
            </w:r>
          </w:p>
        </w:tc>
        <w:tc>
          <w:tcPr>
            <w:tcW w:w="1322" w:type="pct"/>
            <w:tcBorders>
              <w:top w:val="nil"/>
              <w:left w:val="nil"/>
              <w:bottom w:val="single" w:sz="4" w:space="0" w:color="auto"/>
              <w:right w:val="single" w:sz="8" w:space="0" w:color="auto"/>
            </w:tcBorders>
            <w:shd w:val="clear" w:color="000000" w:fill="FFFFFF"/>
            <w:noWrap/>
            <w:vAlign w:val="center"/>
            <w:hideMark/>
          </w:tcPr>
          <w:p w14:paraId="697DBDEA"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1.33%</w:t>
            </w:r>
          </w:p>
        </w:tc>
      </w:tr>
      <w:tr w:rsidR="008468A0" w:rsidRPr="008468A0" w14:paraId="08655166"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443A7601"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Geometric mean</w:t>
            </w:r>
          </w:p>
        </w:tc>
        <w:tc>
          <w:tcPr>
            <w:tcW w:w="1225" w:type="pct"/>
            <w:tcBorders>
              <w:top w:val="nil"/>
              <w:left w:val="nil"/>
              <w:bottom w:val="single" w:sz="4" w:space="0" w:color="auto"/>
              <w:right w:val="single" w:sz="4" w:space="0" w:color="auto"/>
            </w:tcBorders>
            <w:shd w:val="clear" w:color="000000" w:fill="FFFFFF"/>
            <w:noWrap/>
            <w:vAlign w:val="center"/>
            <w:hideMark/>
          </w:tcPr>
          <w:p w14:paraId="11CDD4EA"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1,462,931</w:t>
            </w:r>
          </w:p>
        </w:tc>
        <w:tc>
          <w:tcPr>
            <w:tcW w:w="139" w:type="pct"/>
            <w:vMerge/>
            <w:tcBorders>
              <w:left w:val="nil"/>
              <w:right w:val="nil"/>
            </w:tcBorders>
            <w:shd w:val="clear" w:color="000000" w:fill="FFFFFF"/>
            <w:noWrap/>
            <w:vAlign w:val="center"/>
            <w:hideMark/>
          </w:tcPr>
          <w:p w14:paraId="206DD29A"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30351D43"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Geometric mean</w:t>
            </w:r>
          </w:p>
        </w:tc>
        <w:tc>
          <w:tcPr>
            <w:tcW w:w="1322" w:type="pct"/>
            <w:tcBorders>
              <w:top w:val="nil"/>
              <w:left w:val="nil"/>
              <w:bottom w:val="single" w:sz="4" w:space="0" w:color="auto"/>
              <w:right w:val="single" w:sz="8" w:space="0" w:color="auto"/>
            </w:tcBorders>
            <w:shd w:val="clear" w:color="000000" w:fill="FFFFFF"/>
            <w:noWrap/>
            <w:vAlign w:val="center"/>
            <w:hideMark/>
          </w:tcPr>
          <w:p w14:paraId="00B0597A"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1.98%</w:t>
            </w:r>
          </w:p>
        </w:tc>
      </w:tr>
      <w:tr w:rsidR="008468A0" w:rsidRPr="008468A0" w14:paraId="6296E55C"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31F072C0"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Median</w:t>
            </w:r>
          </w:p>
        </w:tc>
        <w:tc>
          <w:tcPr>
            <w:tcW w:w="1225" w:type="pct"/>
            <w:tcBorders>
              <w:top w:val="nil"/>
              <w:left w:val="nil"/>
              <w:bottom w:val="single" w:sz="4" w:space="0" w:color="auto"/>
              <w:right w:val="single" w:sz="4" w:space="0" w:color="auto"/>
            </w:tcBorders>
            <w:shd w:val="clear" w:color="000000" w:fill="FFFFFF"/>
            <w:noWrap/>
            <w:vAlign w:val="center"/>
            <w:hideMark/>
          </w:tcPr>
          <w:p w14:paraId="706EF3AB"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1,447,200</w:t>
            </w:r>
          </w:p>
        </w:tc>
        <w:tc>
          <w:tcPr>
            <w:tcW w:w="139" w:type="pct"/>
            <w:vMerge/>
            <w:tcBorders>
              <w:left w:val="nil"/>
              <w:right w:val="nil"/>
            </w:tcBorders>
            <w:shd w:val="clear" w:color="000000" w:fill="FFFFFF"/>
            <w:noWrap/>
            <w:vAlign w:val="center"/>
            <w:hideMark/>
          </w:tcPr>
          <w:p w14:paraId="6B86ED5A"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324C9274"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Median</w:t>
            </w:r>
          </w:p>
        </w:tc>
        <w:tc>
          <w:tcPr>
            <w:tcW w:w="1322" w:type="pct"/>
            <w:tcBorders>
              <w:top w:val="nil"/>
              <w:left w:val="nil"/>
              <w:bottom w:val="single" w:sz="4" w:space="0" w:color="auto"/>
              <w:right w:val="single" w:sz="8" w:space="0" w:color="auto"/>
            </w:tcBorders>
            <w:shd w:val="clear" w:color="000000" w:fill="FFFFFF"/>
            <w:noWrap/>
            <w:vAlign w:val="center"/>
            <w:hideMark/>
          </w:tcPr>
          <w:p w14:paraId="3E9B3040"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1.91%</w:t>
            </w:r>
          </w:p>
        </w:tc>
      </w:tr>
      <w:tr w:rsidR="008468A0" w:rsidRPr="008468A0" w14:paraId="10037C4D"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51E9D9A8"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Standard Deviation</w:t>
            </w:r>
          </w:p>
        </w:tc>
        <w:tc>
          <w:tcPr>
            <w:tcW w:w="1225" w:type="pct"/>
            <w:tcBorders>
              <w:top w:val="nil"/>
              <w:left w:val="nil"/>
              <w:bottom w:val="single" w:sz="4" w:space="0" w:color="auto"/>
              <w:right w:val="single" w:sz="4" w:space="0" w:color="auto"/>
            </w:tcBorders>
            <w:shd w:val="clear" w:color="000000" w:fill="FFFFFF"/>
            <w:noWrap/>
            <w:vAlign w:val="center"/>
            <w:hideMark/>
          </w:tcPr>
          <w:p w14:paraId="134FD6B4"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88,872</w:t>
            </w:r>
          </w:p>
        </w:tc>
        <w:tc>
          <w:tcPr>
            <w:tcW w:w="139" w:type="pct"/>
            <w:vMerge/>
            <w:tcBorders>
              <w:left w:val="nil"/>
              <w:right w:val="nil"/>
            </w:tcBorders>
            <w:shd w:val="clear" w:color="000000" w:fill="FFFFFF"/>
            <w:noWrap/>
            <w:vAlign w:val="center"/>
            <w:hideMark/>
          </w:tcPr>
          <w:p w14:paraId="78EC749B"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22424783"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Standard Deviation</w:t>
            </w:r>
          </w:p>
        </w:tc>
        <w:tc>
          <w:tcPr>
            <w:tcW w:w="1322" w:type="pct"/>
            <w:tcBorders>
              <w:top w:val="nil"/>
              <w:left w:val="nil"/>
              <w:bottom w:val="single" w:sz="4" w:space="0" w:color="auto"/>
              <w:right w:val="single" w:sz="8" w:space="0" w:color="auto"/>
            </w:tcBorders>
            <w:shd w:val="clear" w:color="000000" w:fill="FFFFFF"/>
            <w:noWrap/>
            <w:vAlign w:val="center"/>
            <w:hideMark/>
          </w:tcPr>
          <w:p w14:paraId="63BE20F6"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2.41%</w:t>
            </w:r>
          </w:p>
        </w:tc>
      </w:tr>
      <w:tr w:rsidR="008468A0" w:rsidRPr="008468A0" w14:paraId="7AAFE89E"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70C43DE8"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Variance</w:t>
            </w:r>
          </w:p>
        </w:tc>
        <w:tc>
          <w:tcPr>
            <w:tcW w:w="1225" w:type="pct"/>
            <w:tcBorders>
              <w:top w:val="nil"/>
              <w:left w:val="nil"/>
              <w:bottom w:val="single" w:sz="4" w:space="0" w:color="auto"/>
              <w:right w:val="single" w:sz="4" w:space="0" w:color="auto"/>
            </w:tcBorders>
            <w:shd w:val="clear" w:color="000000" w:fill="FFFFFF"/>
            <w:noWrap/>
            <w:vAlign w:val="center"/>
            <w:hideMark/>
          </w:tcPr>
          <w:p w14:paraId="3387E65E"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7,898,313,235</w:t>
            </w:r>
          </w:p>
        </w:tc>
        <w:tc>
          <w:tcPr>
            <w:tcW w:w="139" w:type="pct"/>
            <w:vMerge/>
            <w:tcBorders>
              <w:left w:val="nil"/>
              <w:right w:val="nil"/>
            </w:tcBorders>
            <w:shd w:val="clear" w:color="000000" w:fill="FFFFFF"/>
            <w:noWrap/>
            <w:vAlign w:val="center"/>
            <w:hideMark/>
          </w:tcPr>
          <w:p w14:paraId="7F9D6C00"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5545439F"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Variance</w:t>
            </w:r>
          </w:p>
        </w:tc>
        <w:tc>
          <w:tcPr>
            <w:tcW w:w="1322" w:type="pct"/>
            <w:tcBorders>
              <w:top w:val="nil"/>
              <w:left w:val="nil"/>
              <w:bottom w:val="single" w:sz="4" w:space="0" w:color="auto"/>
              <w:right w:val="single" w:sz="8" w:space="0" w:color="auto"/>
            </w:tcBorders>
            <w:shd w:val="clear" w:color="000000" w:fill="FFFFFF"/>
            <w:noWrap/>
            <w:vAlign w:val="center"/>
            <w:hideMark/>
          </w:tcPr>
          <w:p w14:paraId="5D3FFBE8"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0.06%</w:t>
            </w:r>
          </w:p>
        </w:tc>
      </w:tr>
      <w:tr w:rsidR="008468A0" w:rsidRPr="008468A0" w14:paraId="3C229054"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497BE079" w14:textId="77777777" w:rsidR="008152F8" w:rsidRPr="008468A0" w:rsidRDefault="008152F8" w:rsidP="008152F8">
            <w:pPr>
              <w:spacing w:after="0"/>
              <w:jc w:val="center"/>
              <w:rPr>
                <w:rFonts w:eastAsia="Times New Roman" w:cs="Times New Roman"/>
                <w:szCs w:val="24"/>
              </w:rPr>
            </w:pPr>
          </w:p>
        </w:tc>
        <w:tc>
          <w:tcPr>
            <w:tcW w:w="1225" w:type="pct"/>
            <w:tcBorders>
              <w:top w:val="nil"/>
              <w:left w:val="nil"/>
              <w:bottom w:val="single" w:sz="4" w:space="0" w:color="auto"/>
              <w:right w:val="single" w:sz="4" w:space="0" w:color="auto"/>
            </w:tcBorders>
            <w:shd w:val="clear" w:color="000000" w:fill="FFFFFF"/>
            <w:noWrap/>
            <w:vAlign w:val="center"/>
            <w:hideMark/>
          </w:tcPr>
          <w:p w14:paraId="305F4B2A" w14:textId="77777777" w:rsidR="008152F8" w:rsidRPr="008468A0" w:rsidRDefault="008152F8" w:rsidP="008152F8">
            <w:pPr>
              <w:spacing w:after="0"/>
              <w:jc w:val="center"/>
              <w:rPr>
                <w:rFonts w:eastAsia="Times New Roman" w:cs="Times New Roman"/>
                <w:szCs w:val="24"/>
              </w:rPr>
            </w:pPr>
          </w:p>
        </w:tc>
        <w:tc>
          <w:tcPr>
            <w:tcW w:w="139" w:type="pct"/>
            <w:vMerge/>
            <w:tcBorders>
              <w:left w:val="nil"/>
              <w:right w:val="nil"/>
            </w:tcBorders>
            <w:shd w:val="clear" w:color="000000" w:fill="FFFFFF"/>
            <w:noWrap/>
            <w:vAlign w:val="center"/>
            <w:hideMark/>
          </w:tcPr>
          <w:p w14:paraId="52D34F7E"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0F9D6852" w14:textId="77777777" w:rsidR="008152F8" w:rsidRPr="008468A0" w:rsidRDefault="008152F8" w:rsidP="008152F8">
            <w:pPr>
              <w:spacing w:after="0"/>
              <w:jc w:val="center"/>
              <w:rPr>
                <w:rFonts w:eastAsia="Times New Roman" w:cs="Times New Roman"/>
                <w:szCs w:val="24"/>
              </w:rPr>
            </w:pPr>
          </w:p>
        </w:tc>
        <w:tc>
          <w:tcPr>
            <w:tcW w:w="1322" w:type="pct"/>
            <w:tcBorders>
              <w:top w:val="nil"/>
              <w:left w:val="nil"/>
              <w:bottom w:val="single" w:sz="4" w:space="0" w:color="auto"/>
              <w:right w:val="single" w:sz="8" w:space="0" w:color="auto"/>
            </w:tcBorders>
            <w:shd w:val="clear" w:color="000000" w:fill="FFFFFF"/>
            <w:noWrap/>
            <w:vAlign w:val="center"/>
            <w:hideMark/>
          </w:tcPr>
          <w:p w14:paraId="24B7D993" w14:textId="77777777" w:rsidR="008152F8" w:rsidRPr="008468A0" w:rsidRDefault="008152F8" w:rsidP="008152F8">
            <w:pPr>
              <w:spacing w:after="0"/>
              <w:jc w:val="center"/>
              <w:rPr>
                <w:rFonts w:eastAsia="Times New Roman" w:cs="Times New Roman"/>
                <w:szCs w:val="24"/>
              </w:rPr>
            </w:pPr>
          </w:p>
        </w:tc>
      </w:tr>
      <w:tr w:rsidR="008468A0" w:rsidRPr="008468A0" w14:paraId="0E7B6626"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1507BBA3" w14:textId="77777777" w:rsidR="008152F8" w:rsidRPr="008468A0" w:rsidRDefault="008152F8" w:rsidP="008152F8">
            <w:pPr>
              <w:spacing w:after="0"/>
              <w:jc w:val="center"/>
              <w:rPr>
                <w:rFonts w:eastAsia="Times New Roman" w:cs="Times New Roman"/>
                <w:b/>
                <w:bCs/>
                <w:szCs w:val="24"/>
              </w:rPr>
            </w:pPr>
            <w:r w:rsidRPr="008468A0">
              <w:rPr>
                <w:rFonts w:eastAsia="Times New Roman" w:cs="Times New Roman"/>
                <w:b/>
                <w:bCs/>
                <w:szCs w:val="24"/>
              </w:rPr>
              <w:t>After 2019:</w:t>
            </w:r>
          </w:p>
        </w:tc>
        <w:tc>
          <w:tcPr>
            <w:tcW w:w="1225" w:type="pct"/>
            <w:tcBorders>
              <w:top w:val="nil"/>
              <w:left w:val="nil"/>
              <w:bottom w:val="single" w:sz="4" w:space="0" w:color="auto"/>
              <w:right w:val="single" w:sz="4" w:space="0" w:color="auto"/>
            </w:tcBorders>
            <w:shd w:val="clear" w:color="000000" w:fill="FFFFFF"/>
            <w:noWrap/>
            <w:vAlign w:val="center"/>
            <w:hideMark/>
          </w:tcPr>
          <w:p w14:paraId="64B61CE0" w14:textId="77777777" w:rsidR="008152F8" w:rsidRPr="008468A0" w:rsidRDefault="008152F8" w:rsidP="008152F8">
            <w:pPr>
              <w:spacing w:after="0"/>
              <w:jc w:val="center"/>
              <w:rPr>
                <w:rFonts w:eastAsia="Times New Roman" w:cs="Times New Roman"/>
                <w:szCs w:val="24"/>
              </w:rPr>
            </w:pPr>
          </w:p>
        </w:tc>
        <w:tc>
          <w:tcPr>
            <w:tcW w:w="139" w:type="pct"/>
            <w:vMerge/>
            <w:tcBorders>
              <w:left w:val="nil"/>
              <w:right w:val="nil"/>
            </w:tcBorders>
            <w:shd w:val="clear" w:color="000000" w:fill="FFFFFF"/>
            <w:noWrap/>
            <w:vAlign w:val="center"/>
            <w:hideMark/>
          </w:tcPr>
          <w:p w14:paraId="397EB436"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4CD4589A" w14:textId="77777777" w:rsidR="008152F8" w:rsidRPr="008468A0" w:rsidRDefault="008152F8" w:rsidP="008152F8">
            <w:pPr>
              <w:spacing w:after="0"/>
              <w:jc w:val="center"/>
              <w:rPr>
                <w:rFonts w:eastAsia="Times New Roman" w:cs="Times New Roman"/>
                <w:b/>
                <w:bCs/>
                <w:szCs w:val="24"/>
              </w:rPr>
            </w:pPr>
            <w:r w:rsidRPr="008468A0">
              <w:rPr>
                <w:rFonts w:eastAsia="Times New Roman" w:cs="Times New Roman"/>
                <w:b/>
                <w:bCs/>
                <w:szCs w:val="24"/>
              </w:rPr>
              <w:t>After 2019:</w:t>
            </w:r>
          </w:p>
        </w:tc>
        <w:tc>
          <w:tcPr>
            <w:tcW w:w="1322" w:type="pct"/>
            <w:tcBorders>
              <w:top w:val="nil"/>
              <w:left w:val="nil"/>
              <w:bottom w:val="single" w:sz="4" w:space="0" w:color="auto"/>
              <w:right w:val="single" w:sz="8" w:space="0" w:color="auto"/>
            </w:tcBorders>
            <w:shd w:val="clear" w:color="000000" w:fill="FFFFFF"/>
            <w:noWrap/>
            <w:vAlign w:val="center"/>
            <w:hideMark/>
          </w:tcPr>
          <w:p w14:paraId="0957F5BF" w14:textId="77777777" w:rsidR="008152F8" w:rsidRPr="008468A0" w:rsidRDefault="008152F8" w:rsidP="008152F8">
            <w:pPr>
              <w:spacing w:after="0"/>
              <w:jc w:val="center"/>
              <w:rPr>
                <w:rFonts w:eastAsia="Times New Roman" w:cs="Times New Roman"/>
                <w:szCs w:val="24"/>
              </w:rPr>
            </w:pPr>
          </w:p>
        </w:tc>
      </w:tr>
      <w:tr w:rsidR="008468A0" w:rsidRPr="008468A0" w14:paraId="4799EE84"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2F0A7767"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Arithmetic mean</w:t>
            </w:r>
          </w:p>
        </w:tc>
        <w:tc>
          <w:tcPr>
            <w:tcW w:w="1225" w:type="pct"/>
            <w:tcBorders>
              <w:top w:val="nil"/>
              <w:left w:val="nil"/>
              <w:bottom w:val="single" w:sz="4" w:space="0" w:color="auto"/>
              <w:right w:val="single" w:sz="4" w:space="0" w:color="auto"/>
            </w:tcBorders>
            <w:shd w:val="clear" w:color="000000" w:fill="FFFFFF"/>
            <w:noWrap/>
            <w:vAlign w:val="center"/>
            <w:hideMark/>
          </w:tcPr>
          <w:p w14:paraId="3F937BB7"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1,618,657</w:t>
            </w:r>
          </w:p>
        </w:tc>
        <w:tc>
          <w:tcPr>
            <w:tcW w:w="139" w:type="pct"/>
            <w:vMerge/>
            <w:tcBorders>
              <w:left w:val="nil"/>
              <w:right w:val="nil"/>
            </w:tcBorders>
            <w:shd w:val="clear" w:color="000000" w:fill="FFFFFF"/>
            <w:noWrap/>
            <w:vAlign w:val="center"/>
            <w:hideMark/>
          </w:tcPr>
          <w:p w14:paraId="17FDF865"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052EF72A"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Arithmetic mean</w:t>
            </w:r>
          </w:p>
        </w:tc>
        <w:tc>
          <w:tcPr>
            <w:tcW w:w="1322" w:type="pct"/>
            <w:tcBorders>
              <w:top w:val="nil"/>
              <w:left w:val="nil"/>
              <w:bottom w:val="single" w:sz="4" w:space="0" w:color="auto"/>
              <w:right w:val="single" w:sz="8" w:space="0" w:color="auto"/>
            </w:tcBorders>
            <w:shd w:val="clear" w:color="000000" w:fill="FFFFFF"/>
            <w:noWrap/>
            <w:vAlign w:val="center"/>
            <w:hideMark/>
          </w:tcPr>
          <w:p w14:paraId="75CCA9C5"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3.85%</w:t>
            </w:r>
          </w:p>
        </w:tc>
      </w:tr>
      <w:tr w:rsidR="008468A0" w:rsidRPr="008468A0" w14:paraId="7F67D01C"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776012D8"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Geometric mean</w:t>
            </w:r>
          </w:p>
        </w:tc>
        <w:tc>
          <w:tcPr>
            <w:tcW w:w="1225" w:type="pct"/>
            <w:tcBorders>
              <w:top w:val="nil"/>
              <w:left w:val="nil"/>
              <w:bottom w:val="single" w:sz="4" w:space="0" w:color="auto"/>
              <w:right w:val="single" w:sz="4" w:space="0" w:color="auto"/>
            </w:tcBorders>
            <w:shd w:val="clear" w:color="000000" w:fill="FFFFFF"/>
            <w:noWrap/>
            <w:vAlign w:val="center"/>
            <w:hideMark/>
          </w:tcPr>
          <w:p w14:paraId="3BBFE0F4"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1,618,106</w:t>
            </w:r>
          </w:p>
        </w:tc>
        <w:tc>
          <w:tcPr>
            <w:tcW w:w="139" w:type="pct"/>
            <w:vMerge/>
            <w:tcBorders>
              <w:left w:val="nil"/>
              <w:right w:val="nil"/>
            </w:tcBorders>
            <w:shd w:val="clear" w:color="000000" w:fill="FFFFFF"/>
            <w:noWrap/>
            <w:vAlign w:val="center"/>
            <w:hideMark/>
          </w:tcPr>
          <w:p w14:paraId="4B25CD7A"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04489D30"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Geometric mean</w:t>
            </w:r>
          </w:p>
        </w:tc>
        <w:tc>
          <w:tcPr>
            <w:tcW w:w="1322" w:type="pct"/>
            <w:tcBorders>
              <w:top w:val="nil"/>
              <w:left w:val="nil"/>
              <w:bottom w:val="single" w:sz="4" w:space="0" w:color="auto"/>
              <w:right w:val="single" w:sz="8" w:space="0" w:color="auto"/>
            </w:tcBorders>
            <w:shd w:val="clear" w:color="000000" w:fill="FFFFFF"/>
            <w:noWrap/>
            <w:vAlign w:val="center"/>
            <w:hideMark/>
          </w:tcPr>
          <w:p w14:paraId="70C2E212"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3.54%</w:t>
            </w:r>
          </w:p>
        </w:tc>
      </w:tr>
      <w:tr w:rsidR="008468A0" w:rsidRPr="008468A0" w14:paraId="634D051E"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4CA7C0E0"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Median</w:t>
            </w:r>
          </w:p>
        </w:tc>
        <w:tc>
          <w:tcPr>
            <w:tcW w:w="1225" w:type="pct"/>
            <w:tcBorders>
              <w:top w:val="nil"/>
              <w:left w:val="nil"/>
              <w:bottom w:val="single" w:sz="4" w:space="0" w:color="auto"/>
              <w:right w:val="single" w:sz="4" w:space="0" w:color="auto"/>
            </w:tcBorders>
            <w:shd w:val="clear" w:color="000000" w:fill="FFFFFF"/>
            <w:noWrap/>
            <w:vAlign w:val="center"/>
            <w:hideMark/>
          </w:tcPr>
          <w:p w14:paraId="5A9F3135"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1,618,657</w:t>
            </w:r>
          </w:p>
        </w:tc>
        <w:tc>
          <w:tcPr>
            <w:tcW w:w="139" w:type="pct"/>
            <w:vMerge/>
            <w:tcBorders>
              <w:left w:val="nil"/>
              <w:right w:val="nil"/>
            </w:tcBorders>
            <w:shd w:val="clear" w:color="000000" w:fill="FFFFFF"/>
            <w:noWrap/>
            <w:vAlign w:val="center"/>
            <w:hideMark/>
          </w:tcPr>
          <w:p w14:paraId="282FA44F"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46BF2D4F"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Median</w:t>
            </w:r>
          </w:p>
        </w:tc>
        <w:tc>
          <w:tcPr>
            <w:tcW w:w="1322" w:type="pct"/>
            <w:tcBorders>
              <w:top w:val="nil"/>
              <w:left w:val="nil"/>
              <w:bottom w:val="single" w:sz="4" w:space="0" w:color="auto"/>
              <w:right w:val="single" w:sz="8" w:space="0" w:color="auto"/>
            </w:tcBorders>
            <w:shd w:val="clear" w:color="000000" w:fill="FFFFFF"/>
            <w:noWrap/>
            <w:vAlign w:val="center"/>
            <w:hideMark/>
          </w:tcPr>
          <w:p w14:paraId="2F3A1BE6"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3.85%</w:t>
            </w:r>
          </w:p>
        </w:tc>
      </w:tr>
      <w:tr w:rsidR="008468A0" w:rsidRPr="008468A0" w14:paraId="57A509E3"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1CCA4371"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Standard Deviation</w:t>
            </w:r>
          </w:p>
        </w:tc>
        <w:tc>
          <w:tcPr>
            <w:tcW w:w="1225" w:type="pct"/>
            <w:tcBorders>
              <w:top w:val="nil"/>
              <w:left w:val="nil"/>
              <w:bottom w:val="single" w:sz="4" w:space="0" w:color="auto"/>
              <w:right w:val="single" w:sz="4" w:space="0" w:color="auto"/>
            </w:tcBorders>
            <w:shd w:val="clear" w:color="000000" w:fill="FFFFFF"/>
            <w:noWrap/>
            <w:vAlign w:val="center"/>
            <w:hideMark/>
          </w:tcPr>
          <w:p w14:paraId="1689FCFA"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59,717</w:t>
            </w:r>
          </w:p>
        </w:tc>
        <w:tc>
          <w:tcPr>
            <w:tcW w:w="139" w:type="pct"/>
            <w:vMerge/>
            <w:tcBorders>
              <w:left w:val="nil"/>
              <w:right w:val="nil"/>
            </w:tcBorders>
            <w:shd w:val="clear" w:color="000000" w:fill="FFFFFF"/>
            <w:noWrap/>
            <w:vAlign w:val="center"/>
            <w:hideMark/>
          </w:tcPr>
          <w:p w14:paraId="46BABBC4"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04C229D8"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Standard Deviation</w:t>
            </w:r>
          </w:p>
        </w:tc>
        <w:tc>
          <w:tcPr>
            <w:tcW w:w="1322" w:type="pct"/>
            <w:tcBorders>
              <w:top w:val="nil"/>
              <w:left w:val="nil"/>
              <w:bottom w:val="single" w:sz="4" w:space="0" w:color="auto"/>
              <w:right w:val="single" w:sz="8" w:space="0" w:color="auto"/>
            </w:tcBorders>
            <w:shd w:val="clear" w:color="000000" w:fill="FFFFFF"/>
            <w:noWrap/>
            <w:vAlign w:val="center"/>
            <w:hideMark/>
          </w:tcPr>
          <w:p w14:paraId="27CBFC91"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2.13%</w:t>
            </w:r>
          </w:p>
        </w:tc>
      </w:tr>
      <w:tr w:rsidR="008468A0" w:rsidRPr="008468A0" w14:paraId="4AC416C4"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717920AE"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Variance</w:t>
            </w:r>
          </w:p>
        </w:tc>
        <w:tc>
          <w:tcPr>
            <w:tcW w:w="1225" w:type="pct"/>
            <w:tcBorders>
              <w:top w:val="nil"/>
              <w:left w:val="nil"/>
              <w:bottom w:val="single" w:sz="4" w:space="0" w:color="auto"/>
              <w:right w:val="single" w:sz="4" w:space="0" w:color="auto"/>
            </w:tcBorders>
            <w:shd w:val="clear" w:color="000000" w:fill="FFFFFF"/>
            <w:noWrap/>
            <w:vAlign w:val="center"/>
            <w:hideMark/>
          </w:tcPr>
          <w:p w14:paraId="4EE79D89"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3,566,154,605</w:t>
            </w:r>
          </w:p>
        </w:tc>
        <w:tc>
          <w:tcPr>
            <w:tcW w:w="139" w:type="pct"/>
            <w:vMerge/>
            <w:tcBorders>
              <w:left w:val="nil"/>
              <w:right w:val="nil"/>
            </w:tcBorders>
            <w:shd w:val="clear" w:color="000000" w:fill="FFFFFF"/>
            <w:noWrap/>
            <w:vAlign w:val="center"/>
            <w:hideMark/>
          </w:tcPr>
          <w:p w14:paraId="26936105"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7EFDC4E5"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Variance</w:t>
            </w:r>
          </w:p>
        </w:tc>
        <w:tc>
          <w:tcPr>
            <w:tcW w:w="1322" w:type="pct"/>
            <w:tcBorders>
              <w:top w:val="nil"/>
              <w:left w:val="nil"/>
              <w:bottom w:val="single" w:sz="4" w:space="0" w:color="auto"/>
              <w:right w:val="single" w:sz="8" w:space="0" w:color="auto"/>
            </w:tcBorders>
            <w:shd w:val="clear" w:color="000000" w:fill="FFFFFF"/>
            <w:noWrap/>
            <w:vAlign w:val="center"/>
            <w:hideMark/>
          </w:tcPr>
          <w:p w14:paraId="68777B5A"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0.05%</w:t>
            </w:r>
          </w:p>
        </w:tc>
      </w:tr>
      <w:tr w:rsidR="008468A0" w:rsidRPr="008468A0" w14:paraId="5E488626"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5FAA4CB2" w14:textId="77777777" w:rsidR="008152F8" w:rsidRPr="008468A0" w:rsidRDefault="008152F8" w:rsidP="008152F8">
            <w:pPr>
              <w:spacing w:after="0"/>
              <w:jc w:val="center"/>
              <w:rPr>
                <w:rFonts w:eastAsia="Times New Roman" w:cs="Times New Roman"/>
                <w:szCs w:val="24"/>
              </w:rPr>
            </w:pPr>
          </w:p>
        </w:tc>
        <w:tc>
          <w:tcPr>
            <w:tcW w:w="1225" w:type="pct"/>
            <w:tcBorders>
              <w:top w:val="nil"/>
              <w:left w:val="nil"/>
              <w:bottom w:val="single" w:sz="4" w:space="0" w:color="auto"/>
              <w:right w:val="single" w:sz="4" w:space="0" w:color="auto"/>
            </w:tcBorders>
            <w:shd w:val="clear" w:color="000000" w:fill="FFFFFF"/>
            <w:noWrap/>
            <w:vAlign w:val="center"/>
            <w:hideMark/>
          </w:tcPr>
          <w:p w14:paraId="234D2D4B" w14:textId="77777777" w:rsidR="008152F8" w:rsidRPr="008468A0" w:rsidRDefault="008152F8" w:rsidP="008152F8">
            <w:pPr>
              <w:spacing w:after="0"/>
              <w:jc w:val="center"/>
              <w:rPr>
                <w:rFonts w:eastAsia="Times New Roman" w:cs="Times New Roman"/>
                <w:szCs w:val="24"/>
              </w:rPr>
            </w:pPr>
          </w:p>
        </w:tc>
        <w:tc>
          <w:tcPr>
            <w:tcW w:w="139" w:type="pct"/>
            <w:vMerge/>
            <w:tcBorders>
              <w:left w:val="nil"/>
              <w:right w:val="nil"/>
            </w:tcBorders>
            <w:shd w:val="clear" w:color="000000" w:fill="FFFFFF"/>
            <w:noWrap/>
            <w:vAlign w:val="center"/>
            <w:hideMark/>
          </w:tcPr>
          <w:p w14:paraId="62CF6DE9"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4AB8716A" w14:textId="77777777" w:rsidR="008152F8" w:rsidRPr="008468A0" w:rsidRDefault="008152F8" w:rsidP="008152F8">
            <w:pPr>
              <w:spacing w:after="0"/>
              <w:jc w:val="center"/>
              <w:rPr>
                <w:rFonts w:eastAsia="Times New Roman" w:cs="Times New Roman"/>
                <w:szCs w:val="24"/>
              </w:rPr>
            </w:pPr>
          </w:p>
        </w:tc>
        <w:tc>
          <w:tcPr>
            <w:tcW w:w="1322" w:type="pct"/>
            <w:tcBorders>
              <w:top w:val="nil"/>
              <w:left w:val="nil"/>
              <w:bottom w:val="single" w:sz="4" w:space="0" w:color="auto"/>
              <w:right w:val="single" w:sz="8" w:space="0" w:color="auto"/>
            </w:tcBorders>
            <w:shd w:val="clear" w:color="000000" w:fill="FFFFFF"/>
            <w:noWrap/>
            <w:vAlign w:val="center"/>
            <w:hideMark/>
          </w:tcPr>
          <w:p w14:paraId="20E3CD52" w14:textId="77777777" w:rsidR="008152F8" w:rsidRPr="008468A0" w:rsidRDefault="008152F8" w:rsidP="008152F8">
            <w:pPr>
              <w:spacing w:after="0"/>
              <w:jc w:val="center"/>
              <w:rPr>
                <w:rFonts w:eastAsia="Times New Roman" w:cs="Times New Roman"/>
                <w:szCs w:val="24"/>
              </w:rPr>
            </w:pPr>
          </w:p>
        </w:tc>
      </w:tr>
      <w:tr w:rsidR="008468A0" w:rsidRPr="008468A0" w14:paraId="4F80F5A1"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1F4F44F6" w14:textId="77777777" w:rsidR="008152F8" w:rsidRPr="008468A0" w:rsidRDefault="008152F8" w:rsidP="008152F8">
            <w:pPr>
              <w:spacing w:after="0"/>
              <w:jc w:val="center"/>
              <w:rPr>
                <w:rFonts w:eastAsia="Times New Roman" w:cs="Times New Roman"/>
                <w:b/>
                <w:bCs/>
                <w:szCs w:val="24"/>
              </w:rPr>
            </w:pPr>
            <w:r w:rsidRPr="008468A0">
              <w:rPr>
                <w:rFonts w:eastAsia="Times New Roman" w:cs="Times New Roman"/>
                <w:b/>
                <w:bCs/>
                <w:szCs w:val="24"/>
              </w:rPr>
              <w:t>2015-2019:</w:t>
            </w:r>
          </w:p>
        </w:tc>
        <w:tc>
          <w:tcPr>
            <w:tcW w:w="1225" w:type="pct"/>
            <w:tcBorders>
              <w:top w:val="nil"/>
              <w:left w:val="nil"/>
              <w:bottom w:val="single" w:sz="4" w:space="0" w:color="auto"/>
              <w:right w:val="single" w:sz="4" w:space="0" w:color="auto"/>
            </w:tcBorders>
            <w:shd w:val="clear" w:color="000000" w:fill="FFFFFF"/>
            <w:noWrap/>
            <w:vAlign w:val="center"/>
            <w:hideMark/>
          </w:tcPr>
          <w:p w14:paraId="3F154D16" w14:textId="77777777" w:rsidR="008152F8" w:rsidRPr="008468A0" w:rsidRDefault="008152F8" w:rsidP="008152F8">
            <w:pPr>
              <w:spacing w:after="0"/>
              <w:jc w:val="center"/>
              <w:rPr>
                <w:rFonts w:eastAsia="Times New Roman" w:cs="Times New Roman"/>
                <w:szCs w:val="24"/>
              </w:rPr>
            </w:pPr>
          </w:p>
        </w:tc>
        <w:tc>
          <w:tcPr>
            <w:tcW w:w="139" w:type="pct"/>
            <w:vMerge/>
            <w:tcBorders>
              <w:left w:val="nil"/>
              <w:right w:val="nil"/>
            </w:tcBorders>
            <w:shd w:val="clear" w:color="000000" w:fill="FFFFFF"/>
            <w:noWrap/>
            <w:vAlign w:val="center"/>
            <w:hideMark/>
          </w:tcPr>
          <w:p w14:paraId="2F3B15EB"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08C49272" w14:textId="77777777" w:rsidR="008152F8" w:rsidRPr="008468A0" w:rsidRDefault="008152F8" w:rsidP="008152F8">
            <w:pPr>
              <w:spacing w:after="0"/>
              <w:jc w:val="center"/>
              <w:rPr>
                <w:rFonts w:eastAsia="Times New Roman" w:cs="Times New Roman"/>
                <w:b/>
                <w:bCs/>
                <w:szCs w:val="24"/>
              </w:rPr>
            </w:pPr>
            <w:r w:rsidRPr="008468A0">
              <w:rPr>
                <w:rFonts w:eastAsia="Times New Roman" w:cs="Times New Roman"/>
                <w:b/>
                <w:bCs/>
                <w:szCs w:val="24"/>
              </w:rPr>
              <w:t>2015-2019:</w:t>
            </w:r>
          </w:p>
        </w:tc>
        <w:tc>
          <w:tcPr>
            <w:tcW w:w="1322" w:type="pct"/>
            <w:tcBorders>
              <w:top w:val="nil"/>
              <w:left w:val="nil"/>
              <w:bottom w:val="single" w:sz="4" w:space="0" w:color="auto"/>
              <w:right w:val="single" w:sz="8" w:space="0" w:color="auto"/>
            </w:tcBorders>
            <w:shd w:val="clear" w:color="000000" w:fill="FFFFFF"/>
            <w:noWrap/>
            <w:vAlign w:val="center"/>
            <w:hideMark/>
          </w:tcPr>
          <w:p w14:paraId="7832CA1F" w14:textId="77777777" w:rsidR="008152F8" w:rsidRPr="008468A0" w:rsidRDefault="008152F8" w:rsidP="008152F8">
            <w:pPr>
              <w:spacing w:after="0"/>
              <w:jc w:val="center"/>
              <w:rPr>
                <w:rFonts w:eastAsia="Times New Roman" w:cs="Times New Roman"/>
                <w:szCs w:val="24"/>
              </w:rPr>
            </w:pPr>
          </w:p>
        </w:tc>
      </w:tr>
      <w:tr w:rsidR="008468A0" w:rsidRPr="008468A0" w14:paraId="556C1103"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215C10C2"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Arithmetic mean</w:t>
            </w:r>
          </w:p>
        </w:tc>
        <w:tc>
          <w:tcPr>
            <w:tcW w:w="1225" w:type="pct"/>
            <w:tcBorders>
              <w:top w:val="nil"/>
              <w:left w:val="nil"/>
              <w:bottom w:val="single" w:sz="4" w:space="0" w:color="auto"/>
              <w:right w:val="single" w:sz="4" w:space="0" w:color="auto"/>
            </w:tcBorders>
            <w:shd w:val="clear" w:color="000000" w:fill="FFFFFF"/>
            <w:noWrap/>
            <w:vAlign w:val="center"/>
            <w:hideMark/>
          </w:tcPr>
          <w:p w14:paraId="63FBB233"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1,473,710</w:t>
            </w:r>
          </w:p>
        </w:tc>
        <w:tc>
          <w:tcPr>
            <w:tcW w:w="139" w:type="pct"/>
            <w:vMerge/>
            <w:tcBorders>
              <w:left w:val="nil"/>
              <w:right w:val="nil"/>
            </w:tcBorders>
            <w:shd w:val="clear" w:color="000000" w:fill="FFFFFF"/>
            <w:noWrap/>
            <w:vAlign w:val="center"/>
            <w:hideMark/>
          </w:tcPr>
          <w:p w14:paraId="49F0328E"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1ED05E3C"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Arithmetic mean</w:t>
            </w:r>
          </w:p>
        </w:tc>
        <w:tc>
          <w:tcPr>
            <w:tcW w:w="1322" w:type="pct"/>
            <w:tcBorders>
              <w:top w:val="nil"/>
              <w:left w:val="nil"/>
              <w:bottom w:val="single" w:sz="4" w:space="0" w:color="auto"/>
              <w:right w:val="single" w:sz="8" w:space="0" w:color="auto"/>
            </w:tcBorders>
            <w:shd w:val="clear" w:color="000000" w:fill="FFFFFF"/>
            <w:noWrap/>
            <w:vAlign w:val="center"/>
            <w:hideMark/>
          </w:tcPr>
          <w:p w14:paraId="3ABBE5CF"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1.98%</w:t>
            </w:r>
          </w:p>
        </w:tc>
      </w:tr>
      <w:tr w:rsidR="008468A0" w:rsidRPr="008468A0" w14:paraId="4BEEE51F"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2DD57FA0"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Geometric mean</w:t>
            </w:r>
          </w:p>
        </w:tc>
        <w:tc>
          <w:tcPr>
            <w:tcW w:w="1225" w:type="pct"/>
            <w:tcBorders>
              <w:top w:val="nil"/>
              <w:left w:val="nil"/>
              <w:bottom w:val="single" w:sz="4" w:space="0" w:color="auto"/>
              <w:right w:val="single" w:sz="4" w:space="0" w:color="auto"/>
            </w:tcBorders>
            <w:shd w:val="clear" w:color="000000" w:fill="FFFFFF"/>
            <w:noWrap/>
            <w:vAlign w:val="center"/>
            <w:hideMark/>
          </w:tcPr>
          <w:p w14:paraId="728DE74D"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1,473,183</w:t>
            </w:r>
          </w:p>
        </w:tc>
        <w:tc>
          <w:tcPr>
            <w:tcW w:w="139" w:type="pct"/>
            <w:vMerge/>
            <w:tcBorders>
              <w:left w:val="nil"/>
              <w:right w:val="nil"/>
            </w:tcBorders>
            <w:shd w:val="clear" w:color="000000" w:fill="FFFFFF"/>
            <w:noWrap/>
            <w:vAlign w:val="center"/>
            <w:hideMark/>
          </w:tcPr>
          <w:p w14:paraId="48EF6E6E"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246C5CBC"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Geometric mean</w:t>
            </w:r>
          </w:p>
        </w:tc>
        <w:tc>
          <w:tcPr>
            <w:tcW w:w="1322" w:type="pct"/>
            <w:tcBorders>
              <w:top w:val="nil"/>
              <w:left w:val="nil"/>
              <w:bottom w:val="single" w:sz="4" w:space="0" w:color="auto"/>
              <w:right w:val="single" w:sz="8" w:space="0" w:color="auto"/>
            </w:tcBorders>
            <w:shd w:val="clear" w:color="000000" w:fill="FFFFFF"/>
            <w:noWrap/>
            <w:vAlign w:val="center"/>
            <w:hideMark/>
          </w:tcPr>
          <w:p w14:paraId="6C2E6BEA"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1.68%</w:t>
            </w:r>
          </w:p>
        </w:tc>
      </w:tr>
      <w:tr w:rsidR="008468A0" w:rsidRPr="008468A0" w14:paraId="2DC98991"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26D8AC82"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Median</w:t>
            </w:r>
          </w:p>
        </w:tc>
        <w:tc>
          <w:tcPr>
            <w:tcW w:w="1225" w:type="pct"/>
            <w:tcBorders>
              <w:top w:val="nil"/>
              <w:left w:val="nil"/>
              <w:bottom w:val="single" w:sz="4" w:space="0" w:color="auto"/>
              <w:right w:val="single" w:sz="4" w:space="0" w:color="auto"/>
            </w:tcBorders>
            <w:shd w:val="clear" w:color="000000" w:fill="FFFFFF"/>
            <w:noWrap/>
            <w:vAlign w:val="center"/>
            <w:hideMark/>
          </w:tcPr>
          <w:p w14:paraId="615EAD53"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1,460,332</w:t>
            </w:r>
          </w:p>
        </w:tc>
        <w:tc>
          <w:tcPr>
            <w:tcW w:w="139" w:type="pct"/>
            <w:vMerge/>
            <w:tcBorders>
              <w:left w:val="nil"/>
              <w:right w:val="nil"/>
            </w:tcBorders>
            <w:shd w:val="clear" w:color="000000" w:fill="FFFFFF"/>
            <w:noWrap/>
            <w:vAlign w:val="center"/>
            <w:hideMark/>
          </w:tcPr>
          <w:p w14:paraId="082C288A"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211BF261"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Median</w:t>
            </w:r>
          </w:p>
        </w:tc>
        <w:tc>
          <w:tcPr>
            <w:tcW w:w="1322" w:type="pct"/>
            <w:tcBorders>
              <w:top w:val="nil"/>
              <w:left w:val="nil"/>
              <w:bottom w:val="single" w:sz="4" w:space="0" w:color="auto"/>
              <w:right w:val="single" w:sz="8" w:space="0" w:color="auto"/>
            </w:tcBorders>
            <w:shd w:val="clear" w:color="000000" w:fill="FFFFFF"/>
            <w:noWrap/>
            <w:vAlign w:val="center"/>
            <w:hideMark/>
          </w:tcPr>
          <w:p w14:paraId="482E2836"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2.09%</w:t>
            </w:r>
          </w:p>
        </w:tc>
      </w:tr>
      <w:tr w:rsidR="008468A0" w:rsidRPr="008468A0" w14:paraId="0B6B15A0"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27AF535F"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Standard Deviation</w:t>
            </w:r>
          </w:p>
        </w:tc>
        <w:tc>
          <w:tcPr>
            <w:tcW w:w="1225" w:type="pct"/>
            <w:tcBorders>
              <w:top w:val="nil"/>
              <w:left w:val="nil"/>
              <w:bottom w:val="single" w:sz="4" w:space="0" w:color="auto"/>
              <w:right w:val="single" w:sz="4" w:space="0" w:color="auto"/>
            </w:tcBorders>
            <w:shd w:val="clear" w:color="000000" w:fill="FFFFFF"/>
            <w:noWrap/>
            <w:vAlign w:val="center"/>
            <w:hideMark/>
          </w:tcPr>
          <w:p w14:paraId="0C1E393C"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44,242</w:t>
            </w:r>
          </w:p>
        </w:tc>
        <w:tc>
          <w:tcPr>
            <w:tcW w:w="139" w:type="pct"/>
            <w:vMerge/>
            <w:tcBorders>
              <w:left w:val="nil"/>
              <w:right w:val="nil"/>
            </w:tcBorders>
            <w:shd w:val="clear" w:color="000000" w:fill="FFFFFF"/>
            <w:noWrap/>
            <w:vAlign w:val="center"/>
            <w:hideMark/>
          </w:tcPr>
          <w:p w14:paraId="7E865E7A"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03E36A8E"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Standard Deviation</w:t>
            </w:r>
          </w:p>
        </w:tc>
        <w:tc>
          <w:tcPr>
            <w:tcW w:w="1322" w:type="pct"/>
            <w:tcBorders>
              <w:top w:val="nil"/>
              <w:left w:val="nil"/>
              <w:bottom w:val="single" w:sz="4" w:space="0" w:color="auto"/>
              <w:right w:val="single" w:sz="8" w:space="0" w:color="auto"/>
            </w:tcBorders>
            <w:shd w:val="clear" w:color="000000" w:fill="FFFFFF"/>
            <w:noWrap/>
            <w:vAlign w:val="center"/>
            <w:hideMark/>
          </w:tcPr>
          <w:p w14:paraId="467B835B"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1.01%</w:t>
            </w:r>
          </w:p>
        </w:tc>
      </w:tr>
      <w:tr w:rsidR="008468A0" w:rsidRPr="008468A0" w14:paraId="76CE1D42"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26294D41"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Variance</w:t>
            </w:r>
          </w:p>
        </w:tc>
        <w:tc>
          <w:tcPr>
            <w:tcW w:w="1225" w:type="pct"/>
            <w:tcBorders>
              <w:top w:val="nil"/>
              <w:left w:val="nil"/>
              <w:bottom w:val="single" w:sz="4" w:space="0" w:color="auto"/>
              <w:right w:val="single" w:sz="4" w:space="0" w:color="auto"/>
            </w:tcBorders>
            <w:shd w:val="clear" w:color="000000" w:fill="FFFFFF"/>
            <w:noWrap/>
            <w:vAlign w:val="center"/>
            <w:hideMark/>
          </w:tcPr>
          <w:p w14:paraId="19857DF3"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1,957,347,272</w:t>
            </w:r>
          </w:p>
        </w:tc>
        <w:tc>
          <w:tcPr>
            <w:tcW w:w="139" w:type="pct"/>
            <w:vMerge/>
            <w:tcBorders>
              <w:left w:val="nil"/>
              <w:right w:val="nil"/>
            </w:tcBorders>
            <w:shd w:val="clear" w:color="000000" w:fill="FFFFFF"/>
            <w:noWrap/>
            <w:vAlign w:val="center"/>
            <w:hideMark/>
          </w:tcPr>
          <w:p w14:paraId="313D83C2"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1FF470F6"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Variance</w:t>
            </w:r>
          </w:p>
        </w:tc>
        <w:tc>
          <w:tcPr>
            <w:tcW w:w="1322" w:type="pct"/>
            <w:tcBorders>
              <w:top w:val="nil"/>
              <w:left w:val="nil"/>
              <w:bottom w:val="single" w:sz="4" w:space="0" w:color="auto"/>
              <w:right w:val="single" w:sz="8" w:space="0" w:color="auto"/>
            </w:tcBorders>
            <w:shd w:val="clear" w:color="000000" w:fill="FFFFFF"/>
            <w:noWrap/>
            <w:vAlign w:val="center"/>
            <w:hideMark/>
          </w:tcPr>
          <w:p w14:paraId="7F9E4BC7"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0.01%</w:t>
            </w:r>
          </w:p>
        </w:tc>
      </w:tr>
      <w:tr w:rsidR="008468A0" w:rsidRPr="008468A0" w14:paraId="017F9D45"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5C455281" w14:textId="77777777" w:rsidR="008152F8" w:rsidRPr="008468A0" w:rsidRDefault="008152F8" w:rsidP="008152F8">
            <w:pPr>
              <w:spacing w:after="0"/>
              <w:jc w:val="center"/>
              <w:rPr>
                <w:rFonts w:eastAsia="Times New Roman" w:cs="Times New Roman"/>
                <w:szCs w:val="24"/>
              </w:rPr>
            </w:pPr>
          </w:p>
        </w:tc>
        <w:tc>
          <w:tcPr>
            <w:tcW w:w="1225" w:type="pct"/>
            <w:tcBorders>
              <w:top w:val="nil"/>
              <w:left w:val="nil"/>
              <w:bottom w:val="single" w:sz="4" w:space="0" w:color="auto"/>
              <w:right w:val="single" w:sz="4" w:space="0" w:color="auto"/>
            </w:tcBorders>
            <w:shd w:val="clear" w:color="000000" w:fill="FFFFFF"/>
            <w:noWrap/>
            <w:vAlign w:val="center"/>
            <w:hideMark/>
          </w:tcPr>
          <w:p w14:paraId="6A7AFD7F" w14:textId="77777777" w:rsidR="008152F8" w:rsidRPr="008468A0" w:rsidRDefault="008152F8" w:rsidP="008152F8">
            <w:pPr>
              <w:spacing w:after="0"/>
              <w:jc w:val="center"/>
              <w:rPr>
                <w:rFonts w:eastAsia="Times New Roman" w:cs="Times New Roman"/>
                <w:szCs w:val="24"/>
              </w:rPr>
            </w:pPr>
          </w:p>
        </w:tc>
        <w:tc>
          <w:tcPr>
            <w:tcW w:w="139" w:type="pct"/>
            <w:vMerge/>
            <w:tcBorders>
              <w:left w:val="nil"/>
              <w:right w:val="nil"/>
            </w:tcBorders>
            <w:shd w:val="clear" w:color="000000" w:fill="FFFFFF"/>
            <w:noWrap/>
            <w:vAlign w:val="center"/>
            <w:hideMark/>
          </w:tcPr>
          <w:p w14:paraId="0B5BDACA"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5DE52F34" w14:textId="77777777" w:rsidR="008152F8" w:rsidRPr="008468A0" w:rsidRDefault="008152F8" w:rsidP="008152F8">
            <w:pPr>
              <w:spacing w:after="0"/>
              <w:jc w:val="center"/>
              <w:rPr>
                <w:rFonts w:eastAsia="Times New Roman" w:cs="Times New Roman"/>
                <w:szCs w:val="24"/>
              </w:rPr>
            </w:pPr>
          </w:p>
        </w:tc>
        <w:tc>
          <w:tcPr>
            <w:tcW w:w="1322" w:type="pct"/>
            <w:tcBorders>
              <w:top w:val="nil"/>
              <w:left w:val="nil"/>
              <w:bottom w:val="single" w:sz="4" w:space="0" w:color="auto"/>
              <w:right w:val="single" w:sz="8" w:space="0" w:color="auto"/>
            </w:tcBorders>
            <w:shd w:val="clear" w:color="000000" w:fill="FFFFFF"/>
            <w:noWrap/>
            <w:vAlign w:val="center"/>
            <w:hideMark/>
          </w:tcPr>
          <w:p w14:paraId="3C50C418" w14:textId="77777777" w:rsidR="008152F8" w:rsidRPr="008468A0" w:rsidRDefault="008152F8" w:rsidP="008152F8">
            <w:pPr>
              <w:spacing w:after="0"/>
              <w:jc w:val="center"/>
              <w:rPr>
                <w:rFonts w:eastAsia="Times New Roman" w:cs="Times New Roman"/>
                <w:szCs w:val="24"/>
              </w:rPr>
            </w:pPr>
          </w:p>
        </w:tc>
      </w:tr>
      <w:tr w:rsidR="008468A0" w:rsidRPr="008468A0" w14:paraId="6A010AFA"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17C11DA9" w14:textId="77777777" w:rsidR="008152F8" w:rsidRPr="008468A0" w:rsidRDefault="008152F8" w:rsidP="008152F8">
            <w:pPr>
              <w:spacing w:after="0"/>
              <w:jc w:val="center"/>
              <w:rPr>
                <w:rFonts w:eastAsia="Times New Roman" w:cs="Times New Roman"/>
                <w:b/>
                <w:bCs/>
                <w:szCs w:val="24"/>
              </w:rPr>
            </w:pPr>
            <w:r w:rsidRPr="008468A0">
              <w:rPr>
                <w:rFonts w:eastAsia="Times New Roman" w:cs="Times New Roman"/>
                <w:b/>
                <w:bCs/>
                <w:szCs w:val="24"/>
              </w:rPr>
              <w:t>2010-2014:</w:t>
            </w:r>
          </w:p>
        </w:tc>
        <w:tc>
          <w:tcPr>
            <w:tcW w:w="1225" w:type="pct"/>
            <w:tcBorders>
              <w:top w:val="nil"/>
              <w:left w:val="nil"/>
              <w:bottom w:val="single" w:sz="4" w:space="0" w:color="auto"/>
              <w:right w:val="single" w:sz="4" w:space="0" w:color="auto"/>
            </w:tcBorders>
            <w:shd w:val="clear" w:color="000000" w:fill="FFFFFF"/>
            <w:noWrap/>
            <w:vAlign w:val="center"/>
            <w:hideMark/>
          </w:tcPr>
          <w:p w14:paraId="669B9BB5" w14:textId="77777777" w:rsidR="008152F8" w:rsidRPr="008468A0" w:rsidRDefault="008152F8" w:rsidP="008152F8">
            <w:pPr>
              <w:spacing w:after="0"/>
              <w:jc w:val="center"/>
              <w:rPr>
                <w:rFonts w:eastAsia="Times New Roman" w:cs="Times New Roman"/>
                <w:szCs w:val="24"/>
              </w:rPr>
            </w:pPr>
          </w:p>
        </w:tc>
        <w:tc>
          <w:tcPr>
            <w:tcW w:w="139" w:type="pct"/>
            <w:vMerge/>
            <w:tcBorders>
              <w:left w:val="nil"/>
              <w:right w:val="nil"/>
            </w:tcBorders>
            <w:shd w:val="clear" w:color="000000" w:fill="FFFFFF"/>
            <w:noWrap/>
            <w:vAlign w:val="center"/>
            <w:hideMark/>
          </w:tcPr>
          <w:p w14:paraId="7AB166C0"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02BFBCCE" w14:textId="77777777" w:rsidR="008152F8" w:rsidRPr="008468A0" w:rsidRDefault="008152F8" w:rsidP="008152F8">
            <w:pPr>
              <w:spacing w:after="0"/>
              <w:jc w:val="center"/>
              <w:rPr>
                <w:rFonts w:eastAsia="Times New Roman" w:cs="Times New Roman"/>
                <w:b/>
                <w:bCs/>
                <w:szCs w:val="24"/>
              </w:rPr>
            </w:pPr>
            <w:r w:rsidRPr="008468A0">
              <w:rPr>
                <w:rFonts w:eastAsia="Times New Roman" w:cs="Times New Roman"/>
                <w:b/>
                <w:bCs/>
                <w:szCs w:val="24"/>
              </w:rPr>
              <w:t>2011-2014:</w:t>
            </w:r>
          </w:p>
        </w:tc>
        <w:tc>
          <w:tcPr>
            <w:tcW w:w="1322" w:type="pct"/>
            <w:tcBorders>
              <w:top w:val="nil"/>
              <w:left w:val="nil"/>
              <w:bottom w:val="single" w:sz="4" w:space="0" w:color="auto"/>
              <w:right w:val="single" w:sz="8" w:space="0" w:color="auto"/>
            </w:tcBorders>
            <w:shd w:val="clear" w:color="000000" w:fill="FFFFFF"/>
            <w:noWrap/>
            <w:vAlign w:val="center"/>
            <w:hideMark/>
          </w:tcPr>
          <w:p w14:paraId="10BAD16D" w14:textId="77777777" w:rsidR="008152F8" w:rsidRPr="008468A0" w:rsidRDefault="008152F8" w:rsidP="008152F8">
            <w:pPr>
              <w:spacing w:after="0"/>
              <w:jc w:val="center"/>
              <w:rPr>
                <w:rFonts w:eastAsia="Times New Roman" w:cs="Times New Roman"/>
                <w:szCs w:val="24"/>
              </w:rPr>
            </w:pPr>
          </w:p>
        </w:tc>
      </w:tr>
      <w:tr w:rsidR="008468A0" w:rsidRPr="008468A0" w14:paraId="1C85FB41"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450F1B7F"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Arithmetic mean</w:t>
            </w:r>
          </w:p>
        </w:tc>
        <w:tc>
          <w:tcPr>
            <w:tcW w:w="1225" w:type="pct"/>
            <w:tcBorders>
              <w:top w:val="nil"/>
              <w:left w:val="nil"/>
              <w:bottom w:val="single" w:sz="4" w:space="0" w:color="auto"/>
              <w:right w:val="single" w:sz="4" w:space="0" w:color="auto"/>
            </w:tcBorders>
            <w:shd w:val="clear" w:color="000000" w:fill="FFFFFF"/>
            <w:noWrap/>
            <w:vAlign w:val="center"/>
            <w:hideMark/>
          </w:tcPr>
          <w:p w14:paraId="6F9EA895"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1,395,603</w:t>
            </w:r>
          </w:p>
        </w:tc>
        <w:tc>
          <w:tcPr>
            <w:tcW w:w="139" w:type="pct"/>
            <w:vMerge/>
            <w:tcBorders>
              <w:left w:val="nil"/>
              <w:right w:val="nil"/>
            </w:tcBorders>
            <w:shd w:val="clear" w:color="000000" w:fill="FFFFFF"/>
            <w:noWrap/>
            <w:vAlign w:val="center"/>
            <w:hideMark/>
          </w:tcPr>
          <w:p w14:paraId="34B646FA"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4FCDBF8F"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Arithmetic mean</w:t>
            </w:r>
          </w:p>
        </w:tc>
        <w:tc>
          <w:tcPr>
            <w:tcW w:w="1322" w:type="pct"/>
            <w:tcBorders>
              <w:top w:val="nil"/>
              <w:left w:val="nil"/>
              <w:bottom w:val="single" w:sz="4" w:space="0" w:color="auto"/>
              <w:right w:val="single" w:sz="8" w:space="0" w:color="auto"/>
            </w:tcBorders>
            <w:shd w:val="clear" w:color="000000" w:fill="FFFFFF"/>
            <w:noWrap/>
            <w:vAlign w:val="center"/>
            <w:hideMark/>
          </w:tcPr>
          <w:p w14:paraId="233AA984"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-0.75%</w:t>
            </w:r>
          </w:p>
        </w:tc>
      </w:tr>
      <w:tr w:rsidR="008468A0" w:rsidRPr="008468A0" w14:paraId="1B6A0A49"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5B04BF55"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Geometric mean</w:t>
            </w:r>
          </w:p>
        </w:tc>
        <w:tc>
          <w:tcPr>
            <w:tcW w:w="1225" w:type="pct"/>
            <w:tcBorders>
              <w:top w:val="nil"/>
              <w:left w:val="nil"/>
              <w:bottom w:val="single" w:sz="4" w:space="0" w:color="auto"/>
              <w:right w:val="single" w:sz="4" w:space="0" w:color="auto"/>
            </w:tcBorders>
            <w:shd w:val="clear" w:color="000000" w:fill="FFFFFF"/>
            <w:noWrap/>
            <w:vAlign w:val="center"/>
            <w:hideMark/>
          </w:tcPr>
          <w:p w14:paraId="602D0E19"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1,395,331</w:t>
            </w:r>
          </w:p>
        </w:tc>
        <w:tc>
          <w:tcPr>
            <w:tcW w:w="139" w:type="pct"/>
            <w:vMerge/>
            <w:tcBorders>
              <w:left w:val="nil"/>
              <w:right w:val="nil"/>
            </w:tcBorders>
            <w:shd w:val="clear" w:color="000000" w:fill="FFFFFF"/>
            <w:noWrap/>
            <w:vAlign w:val="center"/>
            <w:hideMark/>
          </w:tcPr>
          <w:p w14:paraId="3B82B657"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2099F89B"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Geometric mean</w:t>
            </w:r>
          </w:p>
        </w:tc>
        <w:tc>
          <w:tcPr>
            <w:tcW w:w="1322" w:type="pct"/>
            <w:tcBorders>
              <w:top w:val="nil"/>
              <w:left w:val="nil"/>
              <w:bottom w:val="single" w:sz="4" w:space="0" w:color="auto"/>
              <w:right w:val="single" w:sz="8" w:space="0" w:color="auto"/>
            </w:tcBorders>
            <w:shd w:val="clear" w:color="000000" w:fill="FFFFFF"/>
            <w:noWrap/>
            <w:vAlign w:val="center"/>
            <w:hideMark/>
          </w:tcPr>
          <w:p w14:paraId="4DE31359"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1.83%</w:t>
            </w:r>
          </w:p>
        </w:tc>
      </w:tr>
      <w:tr w:rsidR="008468A0" w:rsidRPr="008468A0" w14:paraId="73EDF0F9"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4E195AE6"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lastRenderedPageBreak/>
              <w:t>Median</w:t>
            </w:r>
          </w:p>
        </w:tc>
        <w:tc>
          <w:tcPr>
            <w:tcW w:w="1225" w:type="pct"/>
            <w:tcBorders>
              <w:top w:val="nil"/>
              <w:left w:val="nil"/>
              <w:bottom w:val="single" w:sz="4" w:space="0" w:color="auto"/>
              <w:right w:val="single" w:sz="4" w:space="0" w:color="auto"/>
            </w:tcBorders>
            <w:shd w:val="clear" w:color="000000" w:fill="FFFFFF"/>
            <w:noWrap/>
            <w:vAlign w:val="center"/>
            <w:hideMark/>
          </w:tcPr>
          <w:p w14:paraId="3DC1153A"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1,396,968</w:t>
            </w:r>
          </w:p>
        </w:tc>
        <w:tc>
          <w:tcPr>
            <w:tcW w:w="139" w:type="pct"/>
            <w:vMerge/>
            <w:tcBorders>
              <w:left w:val="nil"/>
              <w:right w:val="nil"/>
            </w:tcBorders>
            <w:shd w:val="clear" w:color="000000" w:fill="FFFFFF"/>
            <w:noWrap/>
            <w:vAlign w:val="center"/>
            <w:hideMark/>
          </w:tcPr>
          <w:p w14:paraId="33582C96"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58B33A27"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Median</w:t>
            </w:r>
          </w:p>
        </w:tc>
        <w:tc>
          <w:tcPr>
            <w:tcW w:w="1322" w:type="pct"/>
            <w:tcBorders>
              <w:top w:val="nil"/>
              <w:left w:val="nil"/>
              <w:bottom w:val="single" w:sz="4" w:space="0" w:color="auto"/>
              <w:right w:val="single" w:sz="8" w:space="0" w:color="auto"/>
            </w:tcBorders>
            <w:shd w:val="clear" w:color="000000" w:fill="FFFFFF"/>
            <w:noWrap/>
            <w:vAlign w:val="center"/>
            <w:hideMark/>
          </w:tcPr>
          <w:p w14:paraId="6ECAC4D4"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-0.82%</w:t>
            </w:r>
          </w:p>
        </w:tc>
      </w:tr>
      <w:tr w:rsidR="008468A0" w:rsidRPr="008468A0" w14:paraId="5EC267FF" w14:textId="77777777" w:rsidTr="005C6DEA">
        <w:trPr>
          <w:trHeight w:val="483"/>
        </w:trPr>
        <w:tc>
          <w:tcPr>
            <w:tcW w:w="1094" w:type="pct"/>
            <w:tcBorders>
              <w:top w:val="nil"/>
              <w:left w:val="single" w:sz="8" w:space="0" w:color="auto"/>
              <w:bottom w:val="single" w:sz="4" w:space="0" w:color="auto"/>
              <w:right w:val="single" w:sz="4" w:space="0" w:color="auto"/>
            </w:tcBorders>
            <w:shd w:val="clear" w:color="000000" w:fill="FFFFFF"/>
            <w:noWrap/>
            <w:vAlign w:val="center"/>
            <w:hideMark/>
          </w:tcPr>
          <w:p w14:paraId="0A427952"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Standard Deviation</w:t>
            </w:r>
          </w:p>
        </w:tc>
        <w:tc>
          <w:tcPr>
            <w:tcW w:w="1225" w:type="pct"/>
            <w:tcBorders>
              <w:top w:val="nil"/>
              <w:left w:val="nil"/>
              <w:bottom w:val="single" w:sz="4" w:space="0" w:color="auto"/>
              <w:right w:val="single" w:sz="4" w:space="0" w:color="auto"/>
            </w:tcBorders>
            <w:shd w:val="clear" w:color="000000" w:fill="FFFFFF"/>
            <w:noWrap/>
            <w:vAlign w:val="center"/>
            <w:hideMark/>
          </w:tcPr>
          <w:p w14:paraId="3334F1D1"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30,852</w:t>
            </w:r>
          </w:p>
        </w:tc>
        <w:tc>
          <w:tcPr>
            <w:tcW w:w="139" w:type="pct"/>
            <w:vMerge/>
            <w:tcBorders>
              <w:left w:val="nil"/>
              <w:right w:val="nil"/>
            </w:tcBorders>
            <w:shd w:val="clear" w:color="000000" w:fill="FFFFFF"/>
            <w:noWrap/>
            <w:vAlign w:val="center"/>
            <w:hideMark/>
          </w:tcPr>
          <w:p w14:paraId="112DAD27"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4" w:space="0" w:color="auto"/>
              <w:right w:val="single" w:sz="4" w:space="0" w:color="auto"/>
            </w:tcBorders>
            <w:shd w:val="clear" w:color="000000" w:fill="FFFFFF"/>
            <w:noWrap/>
            <w:vAlign w:val="center"/>
            <w:hideMark/>
          </w:tcPr>
          <w:p w14:paraId="20587CEC"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Standard Deviation</w:t>
            </w:r>
          </w:p>
        </w:tc>
        <w:tc>
          <w:tcPr>
            <w:tcW w:w="1322" w:type="pct"/>
            <w:tcBorders>
              <w:top w:val="nil"/>
              <w:left w:val="nil"/>
              <w:bottom w:val="single" w:sz="4" w:space="0" w:color="auto"/>
              <w:right w:val="single" w:sz="8" w:space="0" w:color="auto"/>
            </w:tcBorders>
            <w:shd w:val="clear" w:color="000000" w:fill="FFFFFF"/>
            <w:noWrap/>
            <w:vAlign w:val="center"/>
            <w:hideMark/>
          </w:tcPr>
          <w:p w14:paraId="7DBD35B5"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2.40%</w:t>
            </w:r>
          </w:p>
        </w:tc>
      </w:tr>
      <w:tr w:rsidR="008468A0" w:rsidRPr="008468A0" w14:paraId="70E36198" w14:textId="77777777" w:rsidTr="005C6DEA">
        <w:trPr>
          <w:trHeight w:val="507"/>
        </w:trPr>
        <w:tc>
          <w:tcPr>
            <w:tcW w:w="1094" w:type="pct"/>
            <w:tcBorders>
              <w:top w:val="nil"/>
              <w:left w:val="single" w:sz="8" w:space="0" w:color="auto"/>
              <w:bottom w:val="single" w:sz="8" w:space="0" w:color="auto"/>
              <w:right w:val="single" w:sz="4" w:space="0" w:color="auto"/>
            </w:tcBorders>
            <w:shd w:val="clear" w:color="000000" w:fill="FFFFFF"/>
            <w:noWrap/>
            <w:vAlign w:val="center"/>
            <w:hideMark/>
          </w:tcPr>
          <w:p w14:paraId="631C9C98"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Variance</w:t>
            </w:r>
          </w:p>
        </w:tc>
        <w:tc>
          <w:tcPr>
            <w:tcW w:w="1225" w:type="pct"/>
            <w:tcBorders>
              <w:top w:val="nil"/>
              <w:left w:val="nil"/>
              <w:bottom w:val="single" w:sz="8" w:space="0" w:color="auto"/>
              <w:right w:val="single" w:sz="4" w:space="0" w:color="auto"/>
            </w:tcBorders>
            <w:shd w:val="clear" w:color="000000" w:fill="FFFFFF"/>
            <w:noWrap/>
            <w:vAlign w:val="center"/>
            <w:hideMark/>
          </w:tcPr>
          <w:p w14:paraId="5BB04FD4"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951,816,164</w:t>
            </w:r>
          </w:p>
        </w:tc>
        <w:tc>
          <w:tcPr>
            <w:tcW w:w="139" w:type="pct"/>
            <w:vMerge/>
            <w:tcBorders>
              <w:left w:val="nil"/>
              <w:bottom w:val="single" w:sz="8" w:space="0" w:color="auto"/>
              <w:right w:val="nil"/>
            </w:tcBorders>
            <w:shd w:val="clear" w:color="000000" w:fill="FFFFFF"/>
            <w:noWrap/>
            <w:vAlign w:val="center"/>
            <w:hideMark/>
          </w:tcPr>
          <w:p w14:paraId="15F36557" w14:textId="77777777" w:rsidR="008152F8" w:rsidRPr="008468A0" w:rsidRDefault="008152F8" w:rsidP="008152F8">
            <w:pPr>
              <w:spacing w:after="0"/>
              <w:jc w:val="center"/>
              <w:rPr>
                <w:rFonts w:eastAsia="Times New Roman" w:cs="Times New Roman"/>
                <w:szCs w:val="24"/>
              </w:rPr>
            </w:pPr>
          </w:p>
        </w:tc>
        <w:tc>
          <w:tcPr>
            <w:tcW w:w="1219" w:type="pct"/>
            <w:tcBorders>
              <w:top w:val="nil"/>
              <w:left w:val="single" w:sz="4" w:space="0" w:color="auto"/>
              <w:bottom w:val="single" w:sz="8" w:space="0" w:color="auto"/>
              <w:right w:val="single" w:sz="4" w:space="0" w:color="auto"/>
            </w:tcBorders>
            <w:shd w:val="clear" w:color="000000" w:fill="FFFFFF"/>
            <w:noWrap/>
            <w:vAlign w:val="center"/>
            <w:hideMark/>
          </w:tcPr>
          <w:p w14:paraId="35836E9B"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Variance</w:t>
            </w:r>
          </w:p>
        </w:tc>
        <w:tc>
          <w:tcPr>
            <w:tcW w:w="1322" w:type="pct"/>
            <w:tcBorders>
              <w:top w:val="nil"/>
              <w:left w:val="nil"/>
              <w:bottom w:val="single" w:sz="8" w:space="0" w:color="auto"/>
              <w:right w:val="single" w:sz="8" w:space="0" w:color="auto"/>
            </w:tcBorders>
            <w:shd w:val="clear" w:color="000000" w:fill="FFFFFF"/>
            <w:noWrap/>
            <w:vAlign w:val="center"/>
            <w:hideMark/>
          </w:tcPr>
          <w:p w14:paraId="0E370C66" w14:textId="77777777" w:rsidR="008152F8" w:rsidRPr="008468A0" w:rsidRDefault="008152F8" w:rsidP="008152F8">
            <w:pPr>
              <w:spacing w:after="0"/>
              <w:jc w:val="center"/>
              <w:rPr>
                <w:rFonts w:eastAsia="Times New Roman" w:cs="Times New Roman"/>
                <w:szCs w:val="24"/>
              </w:rPr>
            </w:pPr>
            <w:r w:rsidRPr="008468A0">
              <w:rPr>
                <w:rFonts w:eastAsia="Times New Roman" w:cs="Times New Roman"/>
                <w:szCs w:val="24"/>
              </w:rPr>
              <w:t>0.06%</w:t>
            </w:r>
          </w:p>
        </w:tc>
      </w:tr>
    </w:tbl>
    <w:p w14:paraId="5E23FB6E" w14:textId="77777777" w:rsidR="00A2047B" w:rsidRPr="008468A0" w:rsidRDefault="00A2047B" w:rsidP="00135340">
      <w:pPr>
        <w:jc w:val="center"/>
      </w:pPr>
      <w:r w:rsidRPr="008468A0">
        <w:t>Table 02</w:t>
      </w:r>
      <w:r w:rsidR="00D55F5A" w:rsidRPr="008468A0">
        <w:t>: S</w:t>
      </w:r>
      <w:r w:rsidR="00F06EA4" w:rsidRPr="008468A0">
        <w:t>tatistical A</w:t>
      </w:r>
      <w:r w:rsidRPr="008468A0">
        <w:t xml:space="preserve">nalysis on the Number of </w:t>
      </w:r>
      <w:r w:rsidR="00D55F5A" w:rsidRPr="008468A0">
        <w:t>Employee</w:t>
      </w:r>
      <w:r w:rsidRPr="008468A0">
        <w:t>s in the Healthcare Sector in the United Kingdom</w:t>
      </w:r>
      <w:r w:rsidR="00F461D2" w:rsidRPr="008468A0">
        <w:t>.</w:t>
      </w:r>
    </w:p>
    <w:p w14:paraId="25718481" w14:textId="77777777" w:rsidR="00CE7990" w:rsidRPr="008468A0" w:rsidRDefault="00A2047B" w:rsidP="00135340">
      <w:pPr>
        <w:jc w:val="center"/>
      </w:pPr>
      <w:r w:rsidRPr="008468A0">
        <w:t>Source:</w:t>
      </w:r>
      <w:r w:rsidR="00734E29" w:rsidRPr="008468A0">
        <w:t xml:space="preserve"> Self-generated from (Statista, 2023), and raw data is available </w:t>
      </w:r>
      <w:r w:rsidR="00366BAE" w:rsidRPr="008468A0">
        <w:t>in 8.2</w:t>
      </w:r>
    </w:p>
    <w:p w14:paraId="0EF4FEAA" w14:textId="77777777" w:rsidR="00B94793" w:rsidRPr="008468A0" w:rsidRDefault="00B94793" w:rsidP="00BA65F2">
      <w:r w:rsidRPr="008468A0">
        <w:t>Here the increase in the number of employees has been noticed to be bounced higher than the population of the United Kingdom which is equivalent to almost two percent in the past 10 years, and this creates the opportunity for different types of foreign employees under the healthcare sector of the United Kingdom.</w:t>
      </w:r>
      <w:r w:rsidR="00E463F6" w:rsidRPr="008468A0">
        <w:t xml:space="preserve"> Developing collaboration can help to do this more properly.</w:t>
      </w:r>
    </w:p>
    <w:p w14:paraId="67DA8344" w14:textId="77777777" w:rsidR="00BA65F2" w:rsidRPr="008468A0" w:rsidRDefault="00BA65F2" w:rsidP="00BA65F2">
      <w:pPr>
        <w:pStyle w:val="Heading2"/>
        <w:rPr>
          <w:color w:val="000000" w:themeColor="text1"/>
        </w:rPr>
      </w:pPr>
      <w:bookmarkStart w:id="22" w:name="_Toc138707974"/>
      <w:r w:rsidRPr="008468A0">
        <w:rPr>
          <w:color w:val="000000" w:themeColor="text1"/>
        </w:rPr>
        <w:t>4.3 Number of Firms in the Healthcare Industry</w:t>
      </w:r>
      <w:bookmarkEnd w:id="22"/>
    </w:p>
    <w:p w14:paraId="44EABACB" w14:textId="77777777" w:rsidR="00CF1F9A" w:rsidRPr="008468A0" w:rsidRDefault="00CF1F9A" w:rsidP="00CF1F9A">
      <w:r w:rsidRPr="008468A0">
        <w:t>In</w:t>
      </w:r>
      <w:r w:rsidR="00246078" w:rsidRPr="008468A0">
        <w:t xml:space="preserve"> Figure 05, the numbers of healthcare firms are given based on the range of the size (turnover) of these firms in pounds. Here, the number of small firms is noticed to be bouncing from the year 2021 to the year 2022, and it ranges from 50,000 pounds to 249,999 pounds. Here, the number of new firms is 410. The medium firms are noticed to be reduced in number which ranges from 500,000 pounds to 1,999,999. Here, the number of closed firms is 15 which has happened for the emergence of a dangerous, and deadly pandemic all over the United Kingdom. The bigger firms are noticed to be bounced in number which ranges from 2,000,000 pounds to as high as possible. Here, the number of new firms is 20.</w:t>
      </w:r>
    </w:p>
    <w:p w14:paraId="7C0CD795" w14:textId="77777777" w:rsidR="00CF1F9A" w:rsidRPr="008468A0" w:rsidRDefault="00CF1F9A" w:rsidP="00CF1F9A">
      <w:r w:rsidRPr="008468A0">
        <w:rPr>
          <w:noProof/>
          <w:lang w:val="en-US"/>
        </w:rPr>
        <w:lastRenderedPageBreak/>
        <w:drawing>
          <wp:inline distT="0" distB="0" distL="0" distR="0" wp14:anchorId="4898D1BE" wp14:editId="29B33FF0">
            <wp:extent cx="5915025" cy="3190875"/>
            <wp:effectExtent l="19050" t="0" r="9525" b="0"/>
            <wp:docPr id="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3B7672B" w14:textId="77777777" w:rsidR="00B730A5" w:rsidRPr="008468A0" w:rsidRDefault="00B730A5" w:rsidP="00135340">
      <w:pPr>
        <w:jc w:val="center"/>
      </w:pPr>
      <w:r w:rsidRPr="008468A0">
        <w:t xml:space="preserve">Figure 05: Number of </w:t>
      </w:r>
      <w:r w:rsidR="00EE0806" w:rsidRPr="008468A0">
        <w:t>Firm</w:t>
      </w:r>
      <w:r w:rsidRPr="008468A0">
        <w:t>s in the Healthcare Sector in the United Kingdom</w:t>
      </w:r>
    </w:p>
    <w:p w14:paraId="7DFD8FCB" w14:textId="77777777" w:rsidR="00B730A5" w:rsidRPr="008468A0" w:rsidRDefault="00B730A5" w:rsidP="00135340">
      <w:pPr>
        <w:jc w:val="center"/>
      </w:pPr>
      <w:r w:rsidRPr="008468A0">
        <w:t xml:space="preserve">Source: </w:t>
      </w:r>
      <w:r w:rsidR="00866EAE" w:rsidRPr="008468A0">
        <w:t>(STATISTA, 2023)</w:t>
      </w:r>
    </w:p>
    <w:p w14:paraId="03826146" w14:textId="77777777" w:rsidR="00246078" w:rsidRPr="008468A0" w:rsidRDefault="00A67FD5" w:rsidP="00CF1F9A">
      <w:r w:rsidRPr="008468A0">
        <w:t>In Figure 06, the growth rate in percent of the numbers of healthcare firms is given based on the range of the size (turnover) of these firms in pounds. Here, the growth rate in percent of the number of small firms is noticed to be bouncing by more than 25 percent from the year 2021 to the year 2022, and it ranges from 50,000 pounds to 249,999 pounds.  The medium firms are noticed to be reduced by around six percent in number which ranges from 500,000 pounds to 1,999,999 which has happened for the emergence of a dangerous, and deadly pandemic all over the United Kingdom. The bigger firms are noticed to be bounced by almost seven percent in number which ranges from 2,000,000 pounds to as high as possible.</w:t>
      </w:r>
    </w:p>
    <w:p w14:paraId="3BDA7E17" w14:textId="77777777" w:rsidR="00CF1F9A" w:rsidRPr="008468A0" w:rsidRDefault="00CF1F9A" w:rsidP="00CF1F9A">
      <w:r w:rsidRPr="008468A0">
        <w:rPr>
          <w:noProof/>
          <w:lang w:val="en-US"/>
        </w:rPr>
        <w:lastRenderedPageBreak/>
        <w:drawing>
          <wp:inline distT="0" distB="0" distL="0" distR="0" wp14:anchorId="5CA8B2D4" wp14:editId="4EE14449">
            <wp:extent cx="5915025" cy="3543300"/>
            <wp:effectExtent l="19050" t="0" r="9525" b="0"/>
            <wp:docPr id="1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8241305" w14:textId="77777777" w:rsidR="00EE0806" w:rsidRPr="008468A0" w:rsidRDefault="000E7B03" w:rsidP="00135340">
      <w:pPr>
        <w:jc w:val="center"/>
      </w:pPr>
      <w:r w:rsidRPr="008468A0">
        <w:t>Figure 06</w:t>
      </w:r>
      <w:r w:rsidR="00EE0806" w:rsidRPr="008468A0">
        <w:t>: Yearly Growth Rate in Number of Firms in the Healthcare Sector in the United Kingdom</w:t>
      </w:r>
    </w:p>
    <w:p w14:paraId="2AFA786A" w14:textId="77777777" w:rsidR="00EE0806" w:rsidRPr="008468A0" w:rsidRDefault="00EE0806" w:rsidP="00135340">
      <w:pPr>
        <w:jc w:val="center"/>
      </w:pPr>
      <w:r w:rsidRPr="008468A0">
        <w:t xml:space="preserve">Source: </w:t>
      </w:r>
      <w:r w:rsidR="00866EAE" w:rsidRPr="008468A0">
        <w:t xml:space="preserve">Self-generated from (STATISTA, 2023), and raw data is available in </w:t>
      </w:r>
      <w:r w:rsidR="00D4101D" w:rsidRPr="008468A0">
        <w:t>8.3</w:t>
      </w:r>
    </w:p>
    <w:p w14:paraId="65EA4CED" w14:textId="77777777" w:rsidR="003050EE" w:rsidRPr="008468A0" w:rsidRDefault="00CF1F9A" w:rsidP="00CF1F9A">
      <w:r w:rsidRPr="008468A0">
        <w:t>In</w:t>
      </w:r>
      <w:r w:rsidR="00DD193C" w:rsidRPr="008468A0">
        <w:t xml:space="preserve"> Table 03, the number of firms is noticed to be bouncing clearly which is a nice chance for foreign employees to get jobs in these healthcare firms. The arithmetic mean also pr</w:t>
      </w:r>
      <w:r w:rsidR="00427867" w:rsidRPr="008468A0">
        <w:t xml:space="preserve">edicts the same situation here. Here, the arithmetic mean, and median are highly different which indicates the existence of a </w:t>
      </w:r>
      <w:r w:rsidR="00D61C36" w:rsidRPr="008468A0">
        <w:t xml:space="preserve">positively skewed distribution. Here, the growth rate in percent of these firms indicates a negatively skewed distribution. It indicates a chance of getting </w:t>
      </w:r>
      <w:proofErr w:type="spellStart"/>
      <w:r w:rsidR="003050EE" w:rsidRPr="008468A0">
        <w:t>opportunities</w:t>
      </w:r>
      <w:r w:rsidR="00D61C36" w:rsidRPr="008468A0">
        <w:t>f</w:t>
      </w:r>
      <w:r w:rsidR="002613AC" w:rsidRPr="008468A0">
        <w:t>or</w:t>
      </w:r>
      <w:proofErr w:type="spellEnd"/>
      <w:r w:rsidR="00D61C36" w:rsidRPr="008468A0">
        <w:t xml:space="preserve"> jobs for foreign workers in small firms undoubtedly.</w:t>
      </w:r>
    </w:p>
    <w:tbl>
      <w:tblPr>
        <w:tblW w:w="5000" w:type="pct"/>
        <w:tblLook w:val="04A0" w:firstRow="1" w:lastRow="0" w:firstColumn="1" w:lastColumn="0" w:noHBand="0" w:noVBand="1"/>
      </w:tblPr>
      <w:tblGrid>
        <w:gridCol w:w="3363"/>
        <w:gridCol w:w="3643"/>
        <w:gridCol w:w="2570"/>
      </w:tblGrid>
      <w:tr w:rsidR="008468A0" w:rsidRPr="008468A0" w14:paraId="507E6544" w14:textId="77777777" w:rsidTr="005D3EDF">
        <w:trPr>
          <w:trHeight w:val="315"/>
        </w:trPr>
        <w:tc>
          <w:tcPr>
            <w:tcW w:w="1756" w:type="pct"/>
            <w:vMerge w:val="restart"/>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89618CE" w14:textId="77777777" w:rsidR="005D3EDF" w:rsidRPr="008468A0" w:rsidRDefault="005D3EDF" w:rsidP="00A2047B">
            <w:pPr>
              <w:spacing w:after="0"/>
              <w:jc w:val="center"/>
              <w:rPr>
                <w:rFonts w:eastAsia="Times New Roman" w:cs="Times New Roman"/>
                <w:b/>
                <w:bCs/>
                <w:szCs w:val="24"/>
              </w:rPr>
            </w:pPr>
            <w:r w:rsidRPr="008468A0">
              <w:rPr>
                <w:rFonts w:eastAsia="Times New Roman" w:cs="Times New Roman"/>
                <w:b/>
                <w:bCs/>
                <w:szCs w:val="24"/>
              </w:rPr>
              <w:t>Particulars</w:t>
            </w:r>
          </w:p>
        </w:tc>
        <w:tc>
          <w:tcPr>
            <w:tcW w:w="3244" w:type="pct"/>
            <w:gridSpan w:val="2"/>
            <w:tcBorders>
              <w:top w:val="single" w:sz="4" w:space="0" w:color="auto"/>
              <w:left w:val="nil"/>
              <w:bottom w:val="single" w:sz="4" w:space="0" w:color="auto"/>
              <w:right w:val="single" w:sz="4" w:space="0" w:color="auto"/>
            </w:tcBorders>
            <w:shd w:val="clear" w:color="000000" w:fill="FFFFFF"/>
            <w:noWrap/>
            <w:vAlign w:val="bottom"/>
            <w:hideMark/>
          </w:tcPr>
          <w:p w14:paraId="61428893" w14:textId="77777777" w:rsidR="005D3EDF" w:rsidRPr="008468A0" w:rsidRDefault="005D3EDF" w:rsidP="005D3EDF">
            <w:pPr>
              <w:spacing w:after="0"/>
              <w:jc w:val="center"/>
              <w:rPr>
                <w:rFonts w:eastAsia="Times New Roman" w:cs="Times New Roman"/>
                <w:b/>
                <w:bCs/>
                <w:szCs w:val="24"/>
              </w:rPr>
            </w:pPr>
            <w:r w:rsidRPr="008468A0">
              <w:rPr>
                <w:rFonts w:eastAsia="Times New Roman" w:cs="Times New Roman"/>
                <w:b/>
                <w:bCs/>
                <w:szCs w:val="24"/>
              </w:rPr>
              <w:t>Yearly Number of Medical Firms</w:t>
            </w:r>
          </w:p>
        </w:tc>
      </w:tr>
      <w:tr w:rsidR="008468A0" w:rsidRPr="008468A0" w14:paraId="6CA0B051" w14:textId="77777777" w:rsidTr="005D3EDF">
        <w:trPr>
          <w:trHeight w:val="315"/>
        </w:trPr>
        <w:tc>
          <w:tcPr>
            <w:tcW w:w="1756" w:type="pct"/>
            <w:vMerge/>
            <w:tcBorders>
              <w:top w:val="single" w:sz="4" w:space="0" w:color="auto"/>
              <w:left w:val="single" w:sz="4" w:space="0" w:color="auto"/>
              <w:bottom w:val="single" w:sz="4" w:space="0" w:color="auto"/>
              <w:right w:val="single" w:sz="4" w:space="0" w:color="auto"/>
            </w:tcBorders>
            <w:vAlign w:val="center"/>
            <w:hideMark/>
          </w:tcPr>
          <w:p w14:paraId="1BFFB0D4" w14:textId="77777777" w:rsidR="00CF1F9A" w:rsidRPr="008468A0" w:rsidRDefault="00CF1F9A" w:rsidP="00A2047B">
            <w:pPr>
              <w:spacing w:after="0"/>
              <w:jc w:val="left"/>
              <w:rPr>
                <w:rFonts w:eastAsia="Times New Roman" w:cs="Times New Roman"/>
                <w:b/>
                <w:bCs/>
                <w:szCs w:val="24"/>
              </w:rPr>
            </w:pPr>
          </w:p>
        </w:tc>
        <w:tc>
          <w:tcPr>
            <w:tcW w:w="1902" w:type="pct"/>
            <w:tcBorders>
              <w:top w:val="nil"/>
              <w:left w:val="nil"/>
              <w:bottom w:val="single" w:sz="4" w:space="0" w:color="auto"/>
              <w:right w:val="single" w:sz="4" w:space="0" w:color="auto"/>
            </w:tcBorders>
            <w:shd w:val="clear" w:color="000000" w:fill="FFFFFF"/>
            <w:noWrap/>
            <w:vAlign w:val="bottom"/>
            <w:hideMark/>
          </w:tcPr>
          <w:p w14:paraId="3B2F87AA" w14:textId="77777777" w:rsidR="00CF1F9A" w:rsidRPr="008468A0" w:rsidRDefault="00CF1F9A" w:rsidP="00A2047B">
            <w:pPr>
              <w:spacing w:after="0"/>
              <w:jc w:val="right"/>
              <w:rPr>
                <w:rFonts w:eastAsia="Times New Roman" w:cs="Times New Roman"/>
                <w:b/>
                <w:bCs/>
                <w:szCs w:val="24"/>
              </w:rPr>
            </w:pPr>
            <w:r w:rsidRPr="008468A0">
              <w:rPr>
                <w:rFonts w:eastAsia="Times New Roman" w:cs="Times New Roman"/>
                <w:b/>
                <w:bCs/>
                <w:szCs w:val="24"/>
              </w:rPr>
              <w:t>2021</w:t>
            </w:r>
          </w:p>
        </w:tc>
        <w:tc>
          <w:tcPr>
            <w:tcW w:w="1342" w:type="pct"/>
            <w:tcBorders>
              <w:top w:val="nil"/>
              <w:left w:val="nil"/>
              <w:bottom w:val="single" w:sz="4" w:space="0" w:color="auto"/>
              <w:right w:val="single" w:sz="4" w:space="0" w:color="auto"/>
            </w:tcBorders>
            <w:shd w:val="clear" w:color="000000" w:fill="FFFFFF"/>
            <w:noWrap/>
            <w:vAlign w:val="bottom"/>
            <w:hideMark/>
          </w:tcPr>
          <w:p w14:paraId="297445A6" w14:textId="77777777" w:rsidR="00CF1F9A" w:rsidRPr="008468A0" w:rsidRDefault="00CF1F9A" w:rsidP="00A2047B">
            <w:pPr>
              <w:spacing w:after="0"/>
              <w:jc w:val="right"/>
              <w:rPr>
                <w:rFonts w:eastAsia="Times New Roman" w:cs="Times New Roman"/>
                <w:b/>
                <w:bCs/>
                <w:szCs w:val="24"/>
              </w:rPr>
            </w:pPr>
            <w:r w:rsidRPr="008468A0">
              <w:rPr>
                <w:rFonts w:eastAsia="Times New Roman" w:cs="Times New Roman"/>
                <w:b/>
                <w:bCs/>
                <w:szCs w:val="24"/>
              </w:rPr>
              <w:t>2022</w:t>
            </w:r>
          </w:p>
        </w:tc>
      </w:tr>
      <w:tr w:rsidR="008468A0" w:rsidRPr="008468A0" w14:paraId="2B8BBCAD" w14:textId="77777777" w:rsidTr="005D3EDF">
        <w:trPr>
          <w:trHeight w:val="315"/>
        </w:trPr>
        <w:tc>
          <w:tcPr>
            <w:tcW w:w="1756" w:type="pct"/>
            <w:tcBorders>
              <w:top w:val="nil"/>
              <w:left w:val="single" w:sz="4" w:space="0" w:color="auto"/>
              <w:bottom w:val="single" w:sz="4" w:space="0" w:color="auto"/>
              <w:right w:val="single" w:sz="4" w:space="0" w:color="auto"/>
            </w:tcBorders>
            <w:shd w:val="clear" w:color="000000" w:fill="FFFFFF"/>
            <w:noWrap/>
            <w:vAlign w:val="bottom"/>
            <w:hideMark/>
          </w:tcPr>
          <w:p w14:paraId="6B990A69" w14:textId="77777777" w:rsidR="00CF1F9A" w:rsidRPr="008468A0" w:rsidRDefault="00CF1F9A" w:rsidP="00A2047B">
            <w:pPr>
              <w:spacing w:after="0"/>
              <w:jc w:val="left"/>
              <w:rPr>
                <w:rFonts w:eastAsia="Times New Roman" w:cs="Times New Roman"/>
                <w:szCs w:val="24"/>
              </w:rPr>
            </w:pPr>
            <w:r w:rsidRPr="008468A0">
              <w:rPr>
                <w:rFonts w:eastAsia="Times New Roman" w:cs="Times New Roman"/>
                <w:szCs w:val="24"/>
              </w:rPr>
              <w:t>Total</w:t>
            </w:r>
          </w:p>
        </w:tc>
        <w:tc>
          <w:tcPr>
            <w:tcW w:w="1902" w:type="pct"/>
            <w:tcBorders>
              <w:top w:val="nil"/>
              <w:left w:val="nil"/>
              <w:bottom w:val="single" w:sz="4" w:space="0" w:color="auto"/>
              <w:right w:val="single" w:sz="4" w:space="0" w:color="auto"/>
            </w:tcBorders>
            <w:shd w:val="clear" w:color="000000" w:fill="FFFFFF"/>
            <w:noWrap/>
            <w:vAlign w:val="bottom"/>
            <w:hideMark/>
          </w:tcPr>
          <w:p w14:paraId="69314911" w14:textId="77777777" w:rsidR="00CF1F9A" w:rsidRPr="008468A0" w:rsidRDefault="00CF1F9A" w:rsidP="00A2047B">
            <w:pPr>
              <w:spacing w:after="0"/>
              <w:jc w:val="right"/>
              <w:rPr>
                <w:rFonts w:eastAsia="Times New Roman" w:cs="Times New Roman"/>
                <w:szCs w:val="24"/>
              </w:rPr>
            </w:pPr>
            <w:r w:rsidRPr="008468A0">
              <w:rPr>
                <w:rFonts w:eastAsia="Times New Roman" w:cs="Times New Roman"/>
                <w:szCs w:val="24"/>
              </w:rPr>
              <w:t>2780</w:t>
            </w:r>
          </w:p>
        </w:tc>
        <w:tc>
          <w:tcPr>
            <w:tcW w:w="1342" w:type="pct"/>
            <w:tcBorders>
              <w:top w:val="nil"/>
              <w:left w:val="nil"/>
              <w:bottom w:val="single" w:sz="4" w:space="0" w:color="auto"/>
              <w:right w:val="single" w:sz="4" w:space="0" w:color="auto"/>
            </w:tcBorders>
            <w:shd w:val="clear" w:color="000000" w:fill="FFFFFF"/>
            <w:noWrap/>
            <w:vAlign w:val="bottom"/>
            <w:hideMark/>
          </w:tcPr>
          <w:p w14:paraId="22CCF2CF" w14:textId="77777777" w:rsidR="00CF1F9A" w:rsidRPr="008468A0" w:rsidRDefault="00CF1F9A" w:rsidP="00A2047B">
            <w:pPr>
              <w:spacing w:after="0"/>
              <w:jc w:val="right"/>
              <w:rPr>
                <w:rFonts w:eastAsia="Times New Roman" w:cs="Times New Roman"/>
                <w:szCs w:val="24"/>
              </w:rPr>
            </w:pPr>
            <w:r w:rsidRPr="008468A0">
              <w:rPr>
                <w:rFonts w:eastAsia="Times New Roman" w:cs="Times New Roman"/>
                <w:szCs w:val="24"/>
              </w:rPr>
              <w:t>2950</w:t>
            </w:r>
          </w:p>
        </w:tc>
      </w:tr>
      <w:tr w:rsidR="008468A0" w:rsidRPr="008468A0" w14:paraId="3BEBA5FA" w14:textId="77777777" w:rsidTr="005D3EDF">
        <w:trPr>
          <w:trHeight w:val="315"/>
        </w:trPr>
        <w:tc>
          <w:tcPr>
            <w:tcW w:w="1756" w:type="pct"/>
            <w:tcBorders>
              <w:top w:val="nil"/>
              <w:left w:val="single" w:sz="4" w:space="0" w:color="auto"/>
              <w:bottom w:val="single" w:sz="4" w:space="0" w:color="auto"/>
              <w:right w:val="single" w:sz="4" w:space="0" w:color="auto"/>
            </w:tcBorders>
            <w:shd w:val="clear" w:color="000000" w:fill="FFFFFF"/>
            <w:noWrap/>
            <w:vAlign w:val="bottom"/>
            <w:hideMark/>
          </w:tcPr>
          <w:p w14:paraId="2AD20BA5" w14:textId="77777777" w:rsidR="00CF1F9A" w:rsidRPr="008468A0" w:rsidRDefault="00DD193C" w:rsidP="00A2047B">
            <w:pPr>
              <w:spacing w:after="0"/>
              <w:jc w:val="left"/>
              <w:rPr>
                <w:rFonts w:eastAsia="Times New Roman" w:cs="Times New Roman"/>
                <w:szCs w:val="24"/>
              </w:rPr>
            </w:pPr>
            <w:r w:rsidRPr="008468A0">
              <w:rPr>
                <w:rFonts w:eastAsia="Times New Roman" w:cs="Times New Roman"/>
                <w:szCs w:val="24"/>
              </w:rPr>
              <w:t xml:space="preserve">Arithmetic </w:t>
            </w:r>
            <w:r w:rsidR="00CF1F9A" w:rsidRPr="008468A0">
              <w:rPr>
                <w:rFonts w:eastAsia="Times New Roman" w:cs="Times New Roman"/>
                <w:szCs w:val="24"/>
              </w:rPr>
              <w:t>Mean</w:t>
            </w:r>
          </w:p>
        </w:tc>
        <w:tc>
          <w:tcPr>
            <w:tcW w:w="1902" w:type="pct"/>
            <w:tcBorders>
              <w:top w:val="nil"/>
              <w:left w:val="nil"/>
              <w:bottom w:val="single" w:sz="4" w:space="0" w:color="auto"/>
              <w:right w:val="single" w:sz="4" w:space="0" w:color="auto"/>
            </w:tcBorders>
            <w:shd w:val="clear" w:color="000000" w:fill="FFFFFF"/>
            <w:noWrap/>
            <w:vAlign w:val="bottom"/>
            <w:hideMark/>
          </w:tcPr>
          <w:p w14:paraId="571587C4" w14:textId="77777777" w:rsidR="00CF1F9A" w:rsidRPr="008468A0" w:rsidRDefault="00CF1F9A" w:rsidP="00A2047B">
            <w:pPr>
              <w:spacing w:after="0"/>
              <w:jc w:val="right"/>
              <w:rPr>
                <w:rFonts w:eastAsia="Times New Roman" w:cs="Times New Roman"/>
                <w:szCs w:val="24"/>
              </w:rPr>
            </w:pPr>
            <w:r w:rsidRPr="008468A0">
              <w:rPr>
                <w:rFonts w:eastAsia="Times New Roman" w:cs="Times New Roman"/>
                <w:szCs w:val="24"/>
              </w:rPr>
              <w:t>278</w:t>
            </w:r>
          </w:p>
        </w:tc>
        <w:tc>
          <w:tcPr>
            <w:tcW w:w="1342" w:type="pct"/>
            <w:tcBorders>
              <w:top w:val="nil"/>
              <w:left w:val="nil"/>
              <w:bottom w:val="single" w:sz="4" w:space="0" w:color="auto"/>
              <w:right w:val="single" w:sz="4" w:space="0" w:color="auto"/>
            </w:tcBorders>
            <w:shd w:val="clear" w:color="000000" w:fill="FFFFFF"/>
            <w:noWrap/>
            <w:vAlign w:val="bottom"/>
            <w:hideMark/>
          </w:tcPr>
          <w:p w14:paraId="70064756" w14:textId="77777777" w:rsidR="00CF1F9A" w:rsidRPr="008468A0" w:rsidRDefault="00CF1F9A" w:rsidP="00A2047B">
            <w:pPr>
              <w:spacing w:after="0"/>
              <w:jc w:val="right"/>
              <w:rPr>
                <w:rFonts w:eastAsia="Times New Roman" w:cs="Times New Roman"/>
                <w:szCs w:val="24"/>
              </w:rPr>
            </w:pPr>
            <w:r w:rsidRPr="008468A0">
              <w:rPr>
                <w:rFonts w:eastAsia="Times New Roman" w:cs="Times New Roman"/>
                <w:szCs w:val="24"/>
              </w:rPr>
              <w:t>295</w:t>
            </w:r>
          </w:p>
        </w:tc>
      </w:tr>
      <w:tr w:rsidR="008468A0" w:rsidRPr="008468A0" w14:paraId="2FC7277A" w14:textId="77777777" w:rsidTr="005D3EDF">
        <w:trPr>
          <w:trHeight w:val="315"/>
        </w:trPr>
        <w:tc>
          <w:tcPr>
            <w:tcW w:w="1756" w:type="pct"/>
            <w:tcBorders>
              <w:top w:val="nil"/>
              <w:left w:val="single" w:sz="4" w:space="0" w:color="auto"/>
              <w:bottom w:val="single" w:sz="4" w:space="0" w:color="auto"/>
              <w:right w:val="single" w:sz="4" w:space="0" w:color="auto"/>
            </w:tcBorders>
            <w:shd w:val="clear" w:color="000000" w:fill="FFFFFF"/>
            <w:noWrap/>
            <w:vAlign w:val="bottom"/>
            <w:hideMark/>
          </w:tcPr>
          <w:p w14:paraId="5A4B4BD9" w14:textId="77777777" w:rsidR="00CF1F9A" w:rsidRPr="008468A0" w:rsidRDefault="00CF1F9A" w:rsidP="00A2047B">
            <w:pPr>
              <w:spacing w:after="0"/>
              <w:jc w:val="left"/>
              <w:rPr>
                <w:rFonts w:eastAsia="Times New Roman" w:cs="Times New Roman"/>
                <w:szCs w:val="24"/>
              </w:rPr>
            </w:pPr>
            <w:r w:rsidRPr="008468A0">
              <w:rPr>
                <w:rFonts w:eastAsia="Times New Roman" w:cs="Times New Roman"/>
                <w:szCs w:val="24"/>
              </w:rPr>
              <w:t>Median</w:t>
            </w:r>
          </w:p>
        </w:tc>
        <w:tc>
          <w:tcPr>
            <w:tcW w:w="1902" w:type="pct"/>
            <w:tcBorders>
              <w:top w:val="nil"/>
              <w:left w:val="nil"/>
              <w:bottom w:val="single" w:sz="4" w:space="0" w:color="auto"/>
              <w:right w:val="single" w:sz="4" w:space="0" w:color="auto"/>
            </w:tcBorders>
            <w:shd w:val="clear" w:color="000000" w:fill="FFFFFF"/>
            <w:noWrap/>
            <w:vAlign w:val="bottom"/>
            <w:hideMark/>
          </w:tcPr>
          <w:p w14:paraId="15A9B07B" w14:textId="77777777" w:rsidR="00CF1F9A" w:rsidRPr="008468A0" w:rsidRDefault="00CF1F9A" w:rsidP="00A2047B">
            <w:pPr>
              <w:spacing w:after="0"/>
              <w:jc w:val="right"/>
              <w:rPr>
                <w:rFonts w:eastAsia="Times New Roman" w:cs="Times New Roman"/>
                <w:szCs w:val="24"/>
              </w:rPr>
            </w:pPr>
            <w:r w:rsidRPr="008468A0">
              <w:rPr>
                <w:rFonts w:eastAsia="Times New Roman" w:cs="Times New Roman"/>
                <w:szCs w:val="24"/>
              </w:rPr>
              <w:t>167.5</w:t>
            </w:r>
          </w:p>
        </w:tc>
        <w:tc>
          <w:tcPr>
            <w:tcW w:w="1342" w:type="pct"/>
            <w:tcBorders>
              <w:top w:val="nil"/>
              <w:left w:val="nil"/>
              <w:bottom w:val="single" w:sz="4" w:space="0" w:color="auto"/>
              <w:right w:val="single" w:sz="4" w:space="0" w:color="auto"/>
            </w:tcBorders>
            <w:shd w:val="clear" w:color="000000" w:fill="FFFFFF"/>
            <w:noWrap/>
            <w:vAlign w:val="bottom"/>
            <w:hideMark/>
          </w:tcPr>
          <w:p w14:paraId="29E420B2" w14:textId="77777777" w:rsidR="00CF1F9A" w:rsidRPr="008468A0" w:rsidRDefault="00CF1F9A" w:rsidP="00A2047B">
            <w:pPr>
              <w:spacing w:after="0"/>
              <w:jc w:val="right"/>
              <w:rPr>
                <w:rFonts w:eastAsia="Times New Roman" w:cs="Times New Roman"/>
                <w:szCs w:val="24"/>
              </w:rPr>
            </w:pPr>
            <w:r w:rsidRPr="008468A0">
              <w:rPr>
                <w:rFonts w:eastAsia="Times New Roman" w:cs="Times New Roman"/>
                <w:szCs w:val="24"/>
              </w:rPr>
              <w:t>137.5</w:t>
            </w:r>
          </w:p>
        </w:tc>
      </w:tr>
      <w:tr w:rsidR="008468A0" w:rsidRPr="008468A0" w14:paraId="413394D0" w14:textId="77777777" w:rsidTr="005D3EDF">
        <w:trPr>
          <w:trHeight w:val="315"/>
        </w:trPr>
        <w:tc>
          <w:tcPr>
            <w:tcW w:w="1756" w:type="pct"/>
            <w:tcBorders>
              <w:top w:val="nil"/>
              <w:left w:val="single" w:sz="4" w:space="0" w:color="auto"/>
              <w:bottom w:val="single" w:sz="4" w:space="0" w:color="auto"/>
              <w:right w:val="single" w:sz="4" w:space="0" w:color="auto"/>
            </w:tcBorders>
            <w:shd w:val="clear" w:color="000000" w:fill="FFFFFF"/>
            <w:noWrap/>
            <w:vAlign w:val="bottom"/>
            <w:hideMark/>
          </w:tcPr>
          <w:p w14:paraId="064252DC" w14:textId="77777777" w:rsidR="00CF1F9A" w:rsidRPr="008468A0" w:rsidRDefault="00CF1F9A" w:rsidP="00A2047B">
            <w:pPr>
              <w:spacing w:after="0"/>
              <w:jc w:val="left"/>
              <w:rPr>
                <w:rFonts w:eastAsia="Times New Roman" w:cs="Times New Roman"/>
                <w:szCs w:val="24"/>
              </w:rPr>
            </w:pPr>
            <w:r w:rsidRPr="008468A0">
              <w:rPr>
                <w:rFonts w:eastAsia="Times New Roman" w:cs="Times New Roman"/>
                <w:szCs w:val="24"/>
              </w:rPr>
              <w:t> </w:t>
            </w:r>
          </w:p>
        </w:tc>
        <w:tc>
          <w:tcPr>
            <w:tcW w:w="1902" w:type="pct"/>
            <w:tcBorders>
              <w:top w:val="nil"/>
              <w:left w:val="nil"/>
              <w:bottom w:val="single" w:sz="4" w:space="0" w:color="auto"/>
              <w:right w:val="single" w:sz="4" w:space="0" w:color="auto"/>
            </w:tcBorders>
            <w:shd w:val="clear" w:color="000000" w:fill="FFFFFF"/>
            <w:noWrap/>
            <w:vAlign w:val="bottom"/>
            <w:hideMark/>
          </w:tcPr>
          <w:p w14:paraId="397165BD" w14:textId="77777777" w:rsidR="00CF1F9A" w:rsidRPr="008468A0" w:rsidRDefault="00CF1F9A" w:rsidP="00A2047B">
            <w:pPr>
              <w:spacing w:after="0"/>
              <w:jc w:val="left"/>
              <w:rPr>
                <w:rFonts w:eastAsia="Times New Roman" w:cs="Times New Roman"/>
                <w:szCs w:val="24"/>
              </w:rPr>
            </w:pPr>
            <w:r w:rsidRPr="008468A0">
              <w:rPr>
                <w:rFonts w:eastAsia="Times New Roman" w:cs="Times New Roman"/>
                <w:szCs w:val="24"/>
              </w:rPr>
              <w:t> </w:t>
            </w:r>
          </w:p>
        </w:tc>
        <w:tc>
          <w:tcPr>
            <w:tcW w:w="1342" w:type="pct"/>
            <w:vMerge w:val="restart"/>
            <w:tcBorders>
              <w:top w:val="nil"/>
              <w:left w:val="single" w:sz="4" w:space="0" w:color="auto"/>
              <w:bottom w:val="single" w:sz="4" w:space="0" w:color="000000"/>
              <w:right w:val="single" w:sz="4" w:space="0" w:color="auto"/>
            </w:tcBorders>
            <w:shd w:val="clear" w:color="000000" w:fill="FFFFFF"/>
            <w:noWrap/>
            <w:vAlign w:val="bottom"/>
            <w:hideMark/>
          </w:tcPr>
          <w:p w14:paraId="4E58D6C1" w14:textId="77777777" w:rsidR="00CF1F9A" w:rsidRPr="008468A0" w:rsidRDefault="00CF1F9A" w:rsidP="00A2047B">
            <w:pPr>
              <w:spacing w:after="0"/>
              <w:jc w:val="center"/>
              <w:rPr>
                <w:rFonts w:eastAsia="Times New Roman" w:cs="Times New Roman"/>
                <w:szCs w:val="24"/>
              </w:rPr>
            </w:pPr>
            <w:r w:rsidRPr="008468A0">
              <w:rPr>
                <w:rFonts w:eastAsia="Times New Roman" w:cs="Times New Roman"/>
                <w:szCs w:val="24"/>
              </w:rPr>
              <w:t> </w:t>
            </w:r>
          </w:p>
        </w:tc>
      </w:tr>
      <w:tr w:rsidR="008468A0" w:rsidRPr="008468A0" w14:paraId="415D3EAB" w14:textId="77777777" w:rsidTr="005D3EDF">
        <w:trPr>
          <w:trHeight w:val="315"/>
        </w:trPr>
        <w:tc>
          <w:tcPr>
            <w:tcW w:w="1756" w:type="pct"/>
            <w:tcBorders>
              <w:top w:val="nil"/>
              <w:left w:val="single" w:sz="4" w:space="0" w:color="auto"/>
              <w:bottom w:val="single" w:sz="4" w:space="0" w:color="auto"/>
              <w:right w:val="single" w:sz="4" w:space="0" w:color="auto"/>
            </w:tcBorders>
            <w:shd w:val="clear" w:color="000000" w:fill="FFFFFF"/>
            <w:noWrap/>
            <w:vAlign w:val="bottom"/>
            <w:hideMark/>
          </w:tcPr>
          <w:p w14:paraId="72E0BC36" w14:textId="77777777" w:rsidR="00CF1F9A" w:rsidRPr="008468A0" w:rsidRDefault="00CF1F9A" w:rsidP="00A2047B">
            <w:pPr>
              <w:spacing w:after="0"/>
              <w:jc w:val="left"/>
              <w:rPr>
                <w:rFonts w:eastAsia="Times New Roman" w:cs="Times New Roman"/>
                <w:b/>
                <w:bCs/>
                <w:szCs w:val="24"/>
              </w:rPr>
            </w:pPr>
            <w:r w:rsidRPr="008468A0">
              <w:rPr>
                <w:rFonts w:eastAsia="Times New Roman" w:cs="Times New Roman"/>
                <w:b/>
                <w:bCs/>
                <w:szCs w:val="24"/>
              </w:rPr>
              <w:lastRenderedPageBreak/>
              <w:t>Particulars</w:t>
            </w:r>
          </w:p>
        </w:tc>
        <w:tc>
          <w:tcPr>
            <w:tcW w:w="1902" w:type="pct"/>
            <w:tcBorders>
              <w:top w:val="nil"/>
              <w:left w:val="nil"/>
              <w:bottom w:val="single" w:sz="4" w:space="0" w:color="auto"/>
              <w:right w:val="single" w:sz="4" w:space="0" w:color="auto"/>
            </w:tcBorders>
            <w:shd w:val="clear" w:color="000000" w:fill="FFFFFF"/>
            <w:noWrap/>
            <w:vAlign w:val="bottom"/>
            <w:hideMark/>
          </w:tcPr>
          <w:p w14:paraId="32A15CDA" w14:textId="77777777" w:rsidR="00CF1F9A" w:rsidRPr="008468A0" w:rsidRDefault="00CF1F9A" w:rsidP="00A2047B">
            <w:pPr>
              <w:spacing w:after="0"/>
              <w:jc w:val="left"/>
              <w:rPr>
                <w:rFonts w:eastAsia="Times New Roman" w:cs="Times New Roman"/>
                <w:b/>
                <w:bCs/>
                <w:szCs w:val="24"/>
              </w:rPr>
            </w:pPr>
            <w:r w:rsidRPr="008468A0">
              <w:rPr>
                <w:rFonts w:eastAsia="Times New Roman" w:cs="Times New Roman"/>
                <w:b/>
                <w:bCs/>
                <w:szCs w:val="24"/>
              </w:rPr>
              <w:t>Yearly Growth (in %)</w:t>
            </w:r>
          </w:p>
        </w:tc>
        <w:tc>
          <w:tcPr>
            <w:tcW w:w="1342" w:type="pct"/>
            <w:vMerge/>
            <w:tcBorders>
              <w:top w:val="nil"/>
              <w:left w:val="single" w:sz="4" w:space="0" w:color="auto"/>
              <w:bottom w:val="single" w:sz="4" w:space="0" w:color="000000"/>
              <w:right w:val="single" w:sz="4" w:space="0" w:color="auto"/>
            </w:tcBorders>
            <w:vAlign w:val="center"/>
            <w:hideMark/>
          </w:tcPr>
          <w:p w14:paraId="7373ED23" w14:textId="77777777" w:rsidR="00CF1F9A" w:rsidRPr="008468A0" w:rsidRDefault="00CF1F9A" w:rsidP="00A2047B">
            <w:pPr>
              <w:spacing w:after="0"/>
              <w:jc w:val="left"/>
              <w:rPr>
                <w:rFonts w:eastAsia="Times New Roman" w:cs="Times New Roman"/>
                <w:szCs w:val="24"/>
              </w:rPr>
            </w:pPr>
          </w:p>
        </w:tc>
      </w:tr>
      <w:tr w:rsidR="008468A0" w:rsidRPr="008468A0" w14:paraId="53A5BF9B" w14:textId="77777777" w:rsidTr="005D3EDF">
        <w:trPr>
          <w:trHeight w:val="315"/>
        </w:trPr>
        <w:tc>
          <w:tcPr>
            <w:tcW w:w="1756" w:type="pct"/>
            <w:tcBorders>
              <w:top w:val="nil"/>
              <w:left w:val="single" w:sz="4" w:space="0" w:color="auto"/>
              <w:bottom w:val="single" w:sz="4" w:space="0" w:color="auto"/>
              <w:right w:val="single" w:sz="4" w:space="0" w:color="auto"/>
            </w:tcBorders>
            <w:shd w:val="clear" w:color="000000" w:fill="FFFFFF"/>
            <w:noWrap/>
            <w:vAlign w:val="bottom"/>
            <w:hideMark/>
          </w:tcPr>
          <w:p w14:paraId="3139EFC7" w14:textId="77777777" w:rsidR="00CF1F9A" w:rsidRPr="008468A0" w:rsidRDefault="00CF1F9A" w:rsidP="00A2047B">
            <w:pPr>
              <w:spacing w:after="0"/>
              <w:jc w:val="left"/>
              <w:rPr>
                <w:rFonts w:eastAsia="Times New Roman" w:cs="Times New Roman"/>
                <w:szCs w:val="24"/>
              </w:rPr>
            </w:pPr>
            <w:r w:rsidRPr="008468A0">
              <w:rPr>
                <w:rFonts w:eastAsia="Times New Roman" w:cs="Times New Roman"/>
                <w:szCs w:val="24"/>
              </w:rPr>
              <w:t>Arithmetic Mean</w:t>
            </w:r>
          </w:p>
        </w:tc>
        <w:tc>
          <w:tcPr>
            <w:tcW w:w="1902" w:type="pct"/>
            <w:tcBorders>
              <w:top w:val="nil"/>
              <w:left w:val="nil"/>
              <w:bottom w:val="single" w:sz="4" w:space="0" w:color="auto"/>
              <w:right w:val="single" w:sz="4" w:space="0" w:color="auto"/>
            </w:tcBorders>
            <w:shd w:val="clear" w:color="000000" w:fill="FFFFFF"/>
            <w:noWrap/>
            <w:vAlign w:val="bottom"/>
            <w:hideMark/>
          </w:tcPr>
          <w:p w14:paraId="16B06DFA" w14:textId="77777777" w:rsidR="00CF1F9A" w:rsidRPr="008468A0" w:rsidRDefault="00CF1F9A" w:rsidP="00A2047B">
            <w:pPr>
              <w:spacing w:after="0"/>
              <w:jc w:val="right"/>
              <w:rPr>
                <w:rFonts w:eastAsia="Times New Roman" w:cs="Times New Roman"/>
                <w:szCs w:val="24"/>
              </w:rPr>
            </w:pPr>
            <w:r w:rsidRPr="008468A0">
              <w:rPr>
                <w:rFonts w:eastAsia="Times New Roman" w:cs="Times New Roman"/>
                <w:szCs w:val="24"/>
              </w:rPr>
              <w:t>3.56%</w:t>
            </w:r>
          </w:p>
        </w:tc>
        <w:tc>
          <w:tcPr>
            <w:tcW w:w="1342" w:type="pct"/>
            <w:vMerge/>
            <w:tcBorders>
              <w:top w:val="nil"/>
              <w:left w:val="single" w:sz="4" w:space="0" w:color="auto"/>
              <w:bottom w:val="single" w:sz="4" w:space="0" w:color="000000"/>
              <w:right w:val="single" w:sz="4" w:space="0" w:color="auto"/>
            </w:tcBorders>
            <w:vAlign w:val="center"/>
            <w:hideMark/>
          </w:tcPr>
          <w:p w14:paraId="0977CAA5" w14:textId="77777777" w:rsidR="00CF1F9A" w:rsidRPr="008468A0" w:rsidRDefault="00CF1F9A" w:rsidP="00A2047B">
            <w:pPr>
              <w:spacing w:after="0"/>
              <w:jc w:val="left"/>
              <w:rPr>
                <w:rFonts w:eastAsia="Times New Roman" w:cs="Times New Roman"/>
                <w:szCs w:val="24"/>
              </w:rPr>
            </w:pPr>
          </w:p>
        </w:tc>
      </w:tr>
      <w:tr w:rsidR="008468A0" w:rsidRPr="008468A0" w14:paraId="55752F32" w14:textId="77777777" w:rsidTr="005D3EDF">
        <w:trPr>
          <w:trHeight w:val="315"/>
        </w:trPr>
        <w:tc>
          <w:tcPr>
            <w:tcW w:w="1756" w:type="pct"/>
            <w:tcBorders>
              <w:top w:val="nil"/>
              <w:left w:val="single" w:sz="4" w:space="0" w:color="auto"/>
              <w:bottom w:val="single" w:sz="4" w:space="0" w:color="auto"/>
              <w:right w:val="single" w:sz="4" w:space="0" w:color="auto"/>
            </w:tcBorders>
            <w:shd w:val="clear" w:color="000000" w:fill="FFFFFF"/>
            <w:noWrap/>
            <w:vAlign w:val="bottom"/>
            <w:hideMark/>
          </w:tcPr>
          <w:p w14:paraId="18B488D5" w14:textId="77777777" w:rsidR="00CF1F9A" w:rsidRPr="008468A0" w:rsidRDefault="00CF1F9A" w:rsidP="00A2047B">
            <w:pPr>
              <w:spacing w:after="0"/>
              <w:jc w:val="left"/>
              <w:rPr>
                <w:rFonts w:eastAsia="Times New Roman" w:cs="Times New Roman"/>
                <w:szCs w:val="24"/>
              </w:rPr>
            </w:pPr>
            <w:r w:rsidRPr="008468A0">
              <w:rPr>
                <w:rFonts w:eastAsia="Times New Roman" w:cs="Times New Roman"/>
                <w:szCs w:val="24"/>
              </w:rPr>
              <w:t>Median</w:t>
            </w:r>
          </w:p>
        </w:tc>
        <w:tc>
          <w:tcPr>
            <w:tcW w:w="1902" w:type="pct"/>
            <w:tcBorders>
              <w:top w:val="nil"/>
              <w:left w:val="nil"/>
              <w:bottom w:val="single" w:sz="4" w:space="0" w:color="auto"/>
              <w:right w:val="single" w:sz="4" w:space="0" w:color="auto"/>
            </w:tcBorders>
            <w:shd w:val="clear" w:color="000000" w:fill="FFFFFF"/>
            <w:noWrap/>
            <w:vAlign w:val="bottom"/>
            <w:hideMark/>
          </w:tcPr>
          <w:p w14:paraId="60F21FF4" w14:textId="77777777" w:rsidR="00CF1F9A" w:rsidRPr="008468A0" w:rsidRDefault="00CF1F9A" w:rsidP="00A2047B">
            <w:pPr>
              <w:spacing w:after="0"/>
              <w:jc w:val="right"/>
              <w:rPr>
                <w:rFonts w:eastAsia="Times New Roman" w:cs="Times New Roman"/>
                <w:szCs w:val="24"/>
              </w:rPr>
            </w:pPr>
            <w:r w:rsidRPr="008468A0">
              <w:rPr>
                <w:rFonts w:eastAsia="Times New Roman" w:cs="Times New Roman"/>
                <w:szCs w:val="24"/>
              </w:rPr>
              <w:t>11.41%</w:t>
            </w:r>
          </w:p>
        </w:tc>
        <w:tc>
          <w:tcPr>
            <w:tcW w:w="1342" w:type="pct"/>
            <w:vMerge/>
            <w:tcBorders>
              <w:top w:val="nil"/>
              <w:left w:val="single" w:sz="4" w:space="0" w:color="auto"/>
              <w:bottom w:val="single" w:sz="4" w:space="0" w:color="000000"/>
              <w:right w:val="single" w:sz="4" w:space="0" w:color="auto"/>
            </w:tcBorders>
            <w:vAlign w:val="center"/>
            <w:hideMark/>
          </w:tcPr>
          <w:p w14:paraId="43C0C5E8" w14:textId="77777777" w:rsidR="00CF1F9A" w:rsidRPr="008468A0" w:rsidRDefault="00CF1F9A" w:rsidP="00A2047B">
            <w:pPr>
              <w:spacing w:after="0"/>
              <w:jc w:val="left"/>
              <w:rPr>
                <w:rFonts w:eastAsia="Times New Roman" w:cs="Times New Roman"/>
                <w:szCs w:val="24"/>
              </w:rPr>
            </w:pPr>
          </w:p>
        </w:tc>
      </w:tr>
    </w:tbl>
    <w:p w14:paraId="0BA069CF" w14:textId="77777777" w:rsidR="00CF1F9A" w:rsidRPr="008468A0" w:rsidRDefault="00A2047B" w:rsidP="003B5289">
      <w:pPr>
        <w:jc w:val="center"/>
      </w:pPr>
      <w:r w:rsidRPr="008468A0">
        <w:t>Table 03: S</w:t>
      </w:r>
      <w:r w:rsidR="00F06EA4" w:rsidRPr="008468A0">
        <w:t>tatistical A</w:t>
      </w:r>
      <w:r w:rsidRPr="008468A0">
        <w:t>nalysis on the Number of Firms in the Healthcare Sector in the United Kingdom</w:t>
      </w:r>
    </w:p>
    <w:p w14:paraId="2407D91B" w14:textId="77777777" w:rsidR="00A2047B" w:rsidRPr="008468A0" w:rsidRDefault="00A2047B" w:rsidP="003B5289">
      <w:pPr>
        <w:jc w:val="center"/>
      </w:pPr>
      <w:r w:rsidRPr="008468A0">
        <w:t>Source:</w:t>
      </w:r>
      <w:r w:rsidR="00866EAE" w:rsidRPr="008468A0">
        <w:t xml:space="preserve"> Self-generated from (STATISTA, 2023), and raw data is available in</w:t>
      </w:r>
      <w:r w:rsidR="00D4101D" w:rsidRPr="008468A0">
        <w:t xml:space="preserve"> 8.3.</w:t>
      </w:r>
    </w:p>
    <w:p w14:paraId="5C20AF68" w14:textId="77777777" w:rsidR="00C63150" w:rsidRPr="008468A0" w:rsidRDefault="00C63150" w:rsidP="00CF1F9A">
      <w:r w:rsidRPr="008468A0">
        <w:t>In this analysis, the number of firms in the healthcare sector of the United Kingdom is found to be bounced up rapidly, and this is expected to find the appointment of a lot of foreign employees but the number of firms with the size of fewer than 49,999 pounds is noticed to be closed down mostly for the existence of failure in facing the challenge of arranging resources during the COVID-19 pandemic</w:t>
      </w:r>
      <w:r w:rsidR="00E40A89" w:rsidRPr="008468A0">
        <w:t xml:space="preserve"> (Banks, and Xu, 2020)</w:t>
      </w:r>
      <w:r w:rsidRPr="008468A0">
        <w:t>.</w:t>
      </w:r>
      <w:r w:rsidR="00A254D2" w:rsidRPr="008468A0">
        <w:t xml:space="preserve"> Applying goal-setting theory with balancing work life with personal life can assist in solving this problem undoubtedly in the predetermined time.</w:t>
      </w:r>
    </w:p>
    <w:p w14:paraId="6CF6175F" w14:textId="77777777" w:rsidR="00A254D2" w:rsidRPr="008468A0" w:rsidRDefault="00A254D2" w:rsidP="00CF1F9A"/>
    <w:p w14:paraId="37EB9B9C" w14:textId="77777777" w:rsidR="00C55FE9" w:rsidRPr="008468A0" w:rsidRDefault="00C55FE9">
      <w:pPr>
        <w:spacing w:line="276" w:lineRule="auto"/>
        <w:jc w:val="left"/>
      </w:pPr>
      <w:r w:rsidRPr="008468A0">
        <w:br w:type="page"/>
      </w:r>
    </w:p>
    <w:p w14:paraId="64BD9280" w14:textId="77777777" w:rsidR="00C55FE9" w:rsidRPr="008468A0" w:rsidRDefault="00C55FE9" w:rsidP="00C55FE9">
      <w:pPr>
        <w:pStyle w:val="Heading1"/>
        <w:rPr>
          <w:color w:val="000000" w:themeColor="text1"/>
        </w:rPr>
      </w:pPr>
      <w:bookmarkStart w:id="23" w:name="_Toc138707975"/>
      <w:r w:rsidRPr="008468A0">
        <w:rPr>
          <w:color w:val="000000" w:themeColor="text1"/>
        </w:rPr>
        <w:lastRenderedPageBreak/>
        <w:t>5 Discussion</w:t>
      </w:r>
      <w:bookmarkEnd w:id="23"/>
    </w:p>
    <w:p w14:paraId="57AA28BE" w14:textId="77777777" w:rsidR="00AC01DE" w:rsidRPr="008468A0" w:rsidRDefault="00AC01DE" w:rsidP="00C55FE9">
      <w:r w:rsidRPr="008468A0">
        <w:t>The considerations include increased availability of healthcare employment in comparison to the increase in population in the United Kingdom, which will raise the level of satisfaction and preference for international employees in choosing a career. However, the possibility of losing jobs as a result of the Brexit issue has morphed into a question of employees losing job happiness. The available methods include a greater increase in the number of jobs in small and large healthcare firms throughout the UK compared to the increase in the bounce of the rate of population in the years 2021 and 2022, as well as greater availability of healthcare jobs compared to the increase in population in the United Kingdom.</w:t>
      </w:r>
    </w:p>
    <w:p w14:paraId="35E9DE9C" w14:textId="77777777" w:rsidR="00C55FE9" w:rsidRPr="008468A0" w:rsidRDefault="00882795" w:rsidP="00882795">
      <w:pPr>
        <w:pStyle w:val="Heading2"/>
        <w:rPr>
          <w:rFonts w:eastAsia="Times New Roman" w:cs="Times New Roman"/>
          <w:color w:val="000000" w:themeColor="text1"/>
          <w:szCs w:val="24"/>
        </w:rPr>
      </w:pPr>
      <w:bookmarkStart w:id="24" w:name="_Toc138707976"/>
      <w:r w:rsidRPr="008468A0">
        <w:rPr>
          <w:color w:val="000000" w:themeColor="text1"/>
        </w:rPr>
        <w:t>5.1 Research Question 01: What are the principal factors that impact foreign healthcare workers job satisfaction and career progression?</w:t>
      </w:r>
      <w:bookmarkEnd w:id="24"/>
    </w:p>
    <w:p w14:paraId="680DDB7D" w14:textId="77777777" w:rsidR="0044402C" w:rsidRPr="008468A0" w:rsidRDefault="0044402C" w:rsidP="00C55FE9">
      <w:r w:rsidRPr="008468A0">
        <w:t>The factors include more availability of healthcare jobs compared to the increase in population in the United Kingdom which will increase the level of satisfaction of foreign employees and preference for choosing a career. But the existence of the chance of losing jobs for the emergence of the Brexit Issue is turned into a matter of losing job satisfaction for employees.</w:t>
      </w:r>
    </w:p>
    <w:p w14:paraId="76AA3BEC" w14:textId="77777777" w:rsidR="00C2508E" w:rsidRPr="008468A0" w:rsidRDefault="00C2508E" w:rsidP="00C55FE9">
      <w:r w:rsidRPr="008468A0">
        <w:t xml:space="preserve">Table 01 shows that, despite a population increase of less than 2% in the last ten years in the United Kingdom, the increase in expenditure implies a significant increase in the number of foreign employees in the UK healthcare industry. Furthermore, the existence of Brexit appears to be a source of concern for these employees, as does the existence of communication impediments for employees in European Union (EU) countries. It is extremely difficult for foreign employees in the UK to stay in their jobs. In Figure 03, the number of employees in the healthcare industry is seen falling from one year to the next, then growing from year to year, and this pattern continues. In 2010, the number of employees in the healthcare sector was around 1,441.00 thousand, and after eleven years, the number of employees in the healthcare sector was around 1,661.00 thousand, indicating an increase in the number of employees in the healthcare sector of nearly 220.00 thousand, which is very low compared to the total number of employees in the healthcare sector in 2010. Here is the existence of challenges of losing jobs for foreign employees with the change in the environment of business. According to Figure 04, the COVID-19 epidemic has caused a significant increase in the percentage growth of the total number of employees in the healthcare industry during the last two years. Because of the existence of the </w:t>
      </w:r>
      <w:r w:rsidRPr="008468A0">
        <w:lastRenderedPageBreak/>
        <w:t>Brexit question, it falls somewhere in the middle. Because of the drop in demand for healthcare, foreign employees may face job losses in the future. In Figure 06, the number of enterprises with a size of less than 49,999 pounds is observed to be closed down, owing to a failure to meet the challenge of arranging resources during the COVID-19 pandemic. Using goal-setting theory and balancing work and home life can surely help in tackling this challenge within the time frame specified.</w:t>
      </w:r>
    </w:p>
    <w:p w14:paraId="7BC9D40D" w14:textId="77777777" w:rsidR="00E227B1" w:rsidRPr="008468A0" w:rsidRDefault="00882795" w:rsidP="00882795">
      <w:pPr>
        <w:pStyle w:val="Heading2"/>
        <w:rPr>
          <w:color w:val="000000" w:themeColor="text1"/>
        </w:rPr>
      </w:pPr>
      <w:bookmarkStart w:id="25" w:name="_Toc138707977"/>
      <w:r w:rsidRPr="008468A0">
        <w:rPr>
          <w:color w:val="000000" w:themeColor="text1"/>
        </w:rPr>
        <w:t xml:space="preserve">5.2 Research Question 02: </w:t>
      </w:r>
      <w:r w:rsidR="00D61C75" w:rsidRPr="008468A0">
        <w:rPr>
          <w:color w:val="000000" w:themeColor="text1"/>
        </w:rPr>
        <w:t xml:space="preserve">Can </w:t>
      </w:r>
      <w:r w:rsidR="00241D63" w:rsidRPr="008468A0">
        <w:rPr>
          <w:color w:val="000000" w:themeColor="text1"/>
        </w:rPr>
        <w:t xml:space="preserve">the </w:t>
      </w:r>
      <w:r w:rsidR="00D61C75" w:rsidRPr="008468A0">
        <w:rPr>
          <w:color w:val="000000" w:themeColor="text1"/>
        </w:rPr>
        <w:t xml:space="preserve">existing </w:t>
      </w:r>
      <w:r w:rsidR="002F5E63" w:rsidRPr="008468A0">
        <w:rPr>
          <w:color w:val="000000" w:themeColor="text1"/>
        </w:rPr>
        <w:t>number of healthcare workers</w:t>
      </w:r>
      <w:r w:rsidR="0045503D" w:rsidRPr="008468A0">
        <w:rPr>
          <w:color w:val="000000" w:themeColor="text1"/>
        </w:rPr>
        <w:t>, and firms in the UK</w:t>
      </w:r>
      <w:r w:rsidR="002F5E63" w:rsidRPr="008468A0">
        <w:rPr>
          <w:color w:val="000000" w:themeColor="text1"/>
        </w:rPr>
        <w:t xml:space="preserve"> assist in ensuring</w:t>
      </w:r>
      <w:r w:rsidRPr="008468A0">
        <w:rPr>
          <w:color w:val="000000" w:themeColor="text1"/>
        </w:rPr>
        <w:t xml:space="preserve"> better healthcare compared to the past?</w:t>
      </w:r>
      <w:bookmarkEnd w:id="25"/>
    </w:p>
    <w:p w14:paraId="08D8F8BA" w14:textId="77777777" w:rsidR="002A57ED" w:rsidRPr="008468A0" w:rsidRDefault="00FD5416" w:rsidP="00E227B1">
      <w:r w:rsidRPr="008468A0">
        <w:t>The available ways include the higher increase in the number of jobs in the small, and large healthcare firms all over the UK compared to the increase in the bounce of the rate of population in the year 2021, and 2022, and more availability of healthcare jobs compared to the increase in population in the United Kingdom.</w:t>
      </w:r>
    </w:p>
    <w:p w14:paraId="06CAB0BF" w14:textId="77777777" w:rsidR="00C55FE9" w:rsidRPr="008468A0" w:rsidRDefault="00E81AE2" w:rsidP="00E227B1">
      <w:r w:rsidRPr="008468A0">
        <w:t>In Table 02, the increase in the number of employees has been observed to be higher than the population of the United Kingdom, which is equivalent to nearly two percent over the last ten years, creating opportunities for various types of foreign employees in the United Kingdom's healthcare sector. Developing collaboration can assist in doing this more effectively. Figure 06 shows that the growth rate in percent of the number of small businesses varies by more than 25% between 2021 and 2022, ranging from 50,000 to 249,999 pounds. The larger corporations have also been observed to be bounced by nearly seven percent in number, ranging from 2,000,000 pounds to as high as possible. In this case, the percent growth rate of these enterprises implies a negatively skewed distribution. It clearly shows a possibility of finding chances for international workers in small businesses.</w:t>
      </w:r>
    </w:p>
    <w:p w14:paraId="28EB3334" w14:textId="77777777" w:rsidR="00070D2F" w:rsidRPr="008468A0" w:rsidRDefault="00070D2F">
      <w:pPr>
        <w:spacing w:line="276" w:lineRule="auto"/>
        <w:jc w:val="left"/>
      </w:pPr>
      <w:r w:rsidRPr="008468A0">
        <w:br w:type="page"/>
      </w:r>
    </w:p>
    <w:p w14:paraId="621824FC" w14:textId="77777777" w:rsidR="00070D2F" w:rsidRPr="008468A0" w:rsidRDefault="00821DEF" w:rsidP="00070D2F">
      <w:pPr>
        <w:pStyle w:val="Heading1"/>
        <w:rPr>
          <w:color w:val="000000" w:themeColor="text1"/>
        </w:rPr>
      </w:pPr>
      <w:bookmarkStart w:id="26" w:name="_Toc138707978"/>
      <w:r w:rsidRPr="008468A0">
        <w:rPr>
          <w:color w:val="000000" w:themeColor="text1"/>
        </w:rPr>
        <w:lastRenderedPageBreak/>
        <w:t>6Conclu</w:t>
      </w:r>
      <w:r w:rsidR="00070D2F" w:rsidRPr="008468A0">
        <w:rPr>
          <w:color w:val="000000" w:themeColor="text1"/>
        </w:rPr>
        <w:t>sion</w:t>
      </w:r>
      <w:bookmarkEnd w:id="26"/>
    </w:p>
    <w:p w14:paraId="534FC23E" w14:textId="77777777" w:rsidR="003E035F" w:rsidRPr="008468A0" w:rsidRDefault="00D139D3" w:rsidP="00070D2F">
      <w:r w:rsidRPr="008468A0">
        <w:t>The existence of Brexit appears to be a source of concern for these employees, as does the existence of communication obstacles for employees of European Union (EU) countries. According to this data, the number of enterprises in the United Kingdom's healthcare sector has quickly increased. However, the prospect of job loss as a result of the Brexit problem has evolved into a concern about people losing employment contentment. The methods available include a greater increase in the number of jobs in small and large healthcare firms throughout the UK compared to the increase in the bounce of the rate of population in the years 2021 and 2022, as well as greater availability of healthcare jobs compared to the increase in population in the United Kingdom.</w:t>
      </w:r>
    </w:p>
    <w:p w14:paraId="35DBB78A" w14:textId="77777777" w:rsidR="00070D2F" w:rsidRPr="008468A0" w:rsidRDefault="00821DEF" w:rsidP="00070D2F">
      <w:pPr>
        <w:pStyle w:val="Heading2"/>
        <w:rPr>
          <w:color w:val="000000" w:themeColor="text1"/>
        </w:rPr>
      </w:pPr>
      <w:bookmarkStart w:id="27" w:name="_Toc138707979"/>
      <w:r w:rsidRPr="008468A0">
        <w:rPr>
          <w:color w:val="000000" w:themeColor="text1"/>
        </w:rPr>
        <w:t>6</w:t>
      </w:r>
      <w:r w:rsidR="00070D2F" w:rsidRPr="008468A0">
        <w:rPr>
          <w:color w:val="000000" w:themeColor="text1"/>
        </w:rPr>
        <w:t xml:space="preserve">.1 </w:t>
      </w:r>
      <w:r w:rsidR="00085F3D" w:rsidRPr="008468A0">
        <w:rPr>
          <w:color w:val="000000" w:themeColor="text1"/>
        </w:rPr>
        <w:t>Recommendations</w:t>
      </w:r>
      <w:bookmarkEnd w:id="27"/>
    </w:p>
    <w:p w14:paraId="491CFC01" w14:textId="77777777" w:rsidR="003E035F" w:rsidRPr="008468A0" w:rsidRDefault="00B75750" w:rsidP="00070D2F">
      <w:r w:rsidRPr="008468A0">
        <w:t>After the evaluation of this paper, the application of goal-setting theory is recommended to ensure more efficiency in performing duties, and responsibilities in the respective healthcare firm more appropriately which has not been noticed in the past. Here, the execution of coordination, and the balancing of work-life, and personal life for the foreign employees of the healthcare sector of the UK is necessary to follow.</w:t>
      </w:r>
    </w:p>
    <w:p w14:paraId="77FC8827" w14:textId="77777777" w:rsidR="00070D2F" w:rsidRPr="008468A0" w:rsidRDefault="00821DEF" w:rsidP="00070D2F">
      <w:pPr>
        <w:pStyle w:val="Heading2"/>
        <w:rPr>
          <w:color w:val="000000" w:themeColor="text1"/>
        </w:rPr>
      </w:pPr>
      <w:bookmarkStart w:id="28" w:name="_Toc138707980"/>
      <w:r w:rsidRPr="008468A0">
        <w:rPr>
          <w:color w:val="000000" w:themeColor="text1"/>
        </w:rPr>
        <w:t>6</w:t>
      </w:r>
      <w:r w:rsidR="00085F3D" w:rsidRPr="008468A0">
        <w:rPr>
          <w:color w:val="000000" w:themeColor="text1"/>
        </w:rPr>
        <w:t>.2 Limitations</w:t>
      </w:r>
      <w:bookmarkEnd w:id="28"/>
    </w:p>
    <w:p w14:paraId="2E003F8C" w14:textId="77777777" w:rsidR="00167A24" w:rsidRPr="008468A0" w:rsidRDefault="00167A24" w:rsidP="00167A24">
      <w:pPr>
        <w:tabs>
          <w:tab w:val="left" w:pos="4170"/>
        </w:tabs>
      </w:pPr>
      <w:r w:rsidRPr="008468A0">
        <w:t>This paper has some limitations like the shortage of time for the completion of this paper, and the lack of knowledge in the field of using advanced pieces of software to conduct the numerous types of advanced techniques to find more precise outcomes. Here is also the limitation of the electricity problem which hampers the conduction of paper sometimes.</w:t>
      </w:r>
      <w:r w:rsidRPr="008468A0">
        <w:tab/>
      </w:r>
    </w:p>
    <w:p w14:paraId="5A92AF9B" w14:textId="77777777" w:rsidR="003E035F" w:rsidRPr="008468A0" w:rsidRDefault="003E035F" w:rsidP="00070D2F"/>
    <w:p w14:paraId="4867ADAB" w14:textId="77777777" w:rsidR="00821DEF" w:rsidRPr="008468A0" w:rsidRDefault="00821DEF" w:rsidP="00070D2F"/>
    <w:p w14:paraId="4C7E433A" w14:textId="77777777" w:rsidR="00821DEF" w:rsidRPr="008468A0" w:rsidRDefault="00821DEF">
      <w:pPr>
        <w:spacing w:line="276" w:lineRule="auto"/>
        <w:jc w:val="left"/>
      </w:pPr>
      <w:r w:rsidRPr="008468A0">
        <w:br w:type="page"/>
      </w:r>
    </w:p>
    <w:p w14:paraId="22E5D433" w14:textId="77777777" w:rsidR="00821DEF" w:rsidRPr="008468A0" w:rsidRDefault="00821DEF" w:rsidP="00821DEF">
      <w:pPr>
        <w:pStyle w:val="Heading1"/>
        <w:rPr>
          <w:color w:val="000000" w:themeColor="text1"/>
        </w:rPr>
      </w:pPr>
      <w:bookmarkStart w:id="29" w:name="_Toc138707981"/>
      <w:r w:rsidRPr="008468A0">
        <w:rPr>
          <w:color w:val="000000" w:themeColor="text1"/>
        </w:rPr>
        <w:lastRenderedPageBreak/>
        <w:t>7 References</w:t>
      </w:r>
      <w:bookmarkEnd w:id="29"/>
    </w:p>
    <w:p w14:paraId="660A70FB" w14:textId="77777777" w:rsidR="007E5A91" w:rsidRPr="008468A0" w:rsidRDefault="007E5A91" w:rsidP="007E5A91">
      <w:pPr>
        <w:pStyle w:val="NormalWeb"/>
        <w:spacing w:before="0" w:beforeAutospacing="0" w:after="240" w:afterAutospacing="0" w:line="360" w:lineRule="auto"/>
        <w:jc w:val="both"/>
        <w:rPr>
          <w:color w:val="000000" w:themeColor="text1"/>
        </w:rPr>
      </w:pPr>
      <w:r w:rsidRPr="008468A0">
        <w:rPr>
          <w:color w:val="000000" w:themeColor="text1"/>
        </w:rPr>
        <w:t xml:space="preserve">Baker, C. (2019). </w:t>
      </w:r>
      <w:r w:rsidRPr="008468A0">
        <w:rPr>
          <w:i/>
          <w:iCs/>
          <w:color w:val="000000" w:themeColor="text1"/>
        </w:rPr>
        <w:t>NHS staff from overseas: statistics</w:t>
      </w:r>
      <w:r w:rsidRPr="008468A0">
        <w:rPr>
          <w:color w:val="000000" w:themeColor="text1"/>
        </w:rPr>
        <w:t>. [online] Parliament.uk. Available at: https://researchbriefings.files.parliament.uk/documents/CBP-7783/CBP-7783.pdf.</w:t>
      </w:r>
    </w:p>
    <w:p w14:paraId="399D3FD3"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Banks, J. and Xu, X., 2020. The mental health effects of the first two months of lockdown during the COVID</w:t>
      </w:r>
      <w:r w:rsidRPr="008468A0">
        <w:rPr>
          <w:rFonts w:ascii="Cambria Math" w:hAnsi="Cambria Math" w:cs="Times New Roman"/>
          <w:szCs w:val="24"/>
          <w:shd w:val="clear" w:color="auto" w:fill="FFFFFF"/>
        </w:rPr>
        <w:t>‐</w:t>
      </w:r>
      <w:r w:rsidRPr="008468A0">
        <w:rPr>
          <w:rFonts w:cs="Times New Roman"/>
          <w:szCs w:val="24"/>
          <w:shd w:val="clear" w:color="auto" w:fill="FFFFFF"/>
        </w:rPr>
        <w:t>19 pandemic in the UK. </w:t>
      </w:r>
      <w:r w:rsidRPr="008468A0">
        <w:rPr>
          <w:rFonts w:cs="Times New Roman"/>
          <w:i/>
          <w:iCs/>
          <w:szCs w:val="24"/>
          <w:shd w:val="clear" w:color="auto" w:fill="FFFFFF"/>
        </w:rPr>
        <w:t>Fiscal Studies</w:t>
      </w:r>
      <w:r w:rsidRPr="008468A0">
        <w:rPr>
          <w:rFonts w:cs="Times New Roman"/>
          <w:szCs w:val="24"/>
          <w:shd w:val="clear" w:color="auto" w:fill="FFFFFF"/>
        </w:rPr>
        <w:t>, </w:t>
      </w:r>
      <w:r w:rsidRPr="008468A0">
        <w:rPr>
          <w:rFonts w:cs="Times New Roman"/>
          <w:i/>
          <w:iCs/>
          <w:szCs w:val="24"/>
          <w:shd w:val="clear" w:color="auto" w:fill="FFFFFF"/>
        </w:rPr>
        <w:t>41</w:t>
      </w:r>
      <w:r w:rsidRPr="008468A0">
        <w:rPr>
          <w:rFonts w:cs="Times New Roman"/>
          <w:szCs w:val="24"/>
          <w:shd w:val="clear" w:color="auto" w:fill="FFFFFF"/>
        </w:rPr>
        <w:t>(3), pp.685-708.</w:t>
      </w:r>
    </w:p>
    <w:p w14:paraId="60A6580B"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Bell, E., Bryman, A. and Harley, B., 2022. </w:t>
      </w:r>
      <w:r w:rsidRPr="008468A0">
        <w:rPr>
          <w:rFonts w:cs="Times New Roman"/>
          <w:i/>
          <w:iCs/>
          <w:szCs w:val="24"/>
          <w:shd w:val="clear" w:color="auto" w:fill="FFFFFF"/>
        </w:rPr>
        <w:t>Business research methods</w:t>
      </w:r>
      <w:r w:rsidRPr="008468A0">
        <w:rPr>
          <w:rFonts w:cs="Times New Roman"/>
          <w:szCs w:val="24"/>
          <w:shd w:val="clear" w:color="auto" w:fill="FFFFFF"/>
        </w:rPr>
        <w:t>. Oxford university press.</w:t>
      </w:r>
    </w:p>
    <w:p w14:paraId="688C8864" w14:textId="77777777" w:rsidR="0047217A" w:rsidRPr="008468A0" w:rsidRDefault="0047217A" w:rsidP="0047217A">
      <w:pPr>
        <w:rPr>
          <w:rFonts w:cs="Times New Roman"/>
          <w:szCs w:val="24"/>
          <w:shd w:val="clear" w:color="auto" w:fill="FFFFFF"/>
        </w:rPr>
      </w:pPr>
      <w:proofErr w:type="spellStart"/>
      <w:r w:rsidRPr="008468A0">
        <w:rPr>
          <w:rFonts w:cs="Times New Roman"/>
          <w:szCs w:val="24"/>
          <w:shd w:val="clear" w:color="auto" w:fill="FFFFFF"/>
        </w:rPr>
        <w:t>Dall’Ora</w:t>
      </w:r>
      <w:proofErr w:type="spellEnd"/>
      <w:r w:rsidRPr="008468A0">
        <w:rPr>
          <w:rFonts w:cs="Times New Roman"/>
          <w:szCs w:val="24"/>
          <w:shd w:val="clear" w:color="auto" w:fill="FFFFFF"/>
        </w:rPr>
        <w:t xml:space="preserve">, C., Ball, J., </w:t>
      </w:r>
      <w:proofErr w:type="spellStart"/>
      <w:r w:rsidRPr="008468A0">
        <w:rPr>
          <w:rFonts w:cs="Times New Roman"/>
          <w:szCs w:val="24"/>
          <w:shd w:val="clear" w:color="auto" w:fill="FFFFFF"/>
        </w:rPr>
        <w:t>Recio</w:t>
      </w:r>
      <w:proofErr w:type="spellEnd"/>
      <w:r w:rsidRPr="008468A0">
        <w:rPr>
          <w:rFonts w:cs="Times New Roman"/>
          <w:szCs w:val="24"/>
          <w:shd w:val="clear" w:color="auto" w:fill="FFFFFF"/>
        </w:rPr>
        <w:t>-Saucedo, A. and Griffiths, P., 2016. Characteristics of shift work and their impact on employee performance and wellbeing: A literature review. </w:t>
      </w:r>
      <w:r w:rsidRPr="008468A0">
        <w:rPr>
          <w:rFonts w:cs="Times New Roman"/>
          <w:i/>
          <w:iCs/>
          <w:szCs w:val="24"/>
          <w:shd w:val="clear" w:color="auto" w:fill="FFFFFF"/>
        </w:rPr>
        <w:t>International journal of nursing studies</w:t>
      </w:r>
      <w:r w:rsidRPr="008468A0">
        <w:rPr>
          <w:rFonts w:cs="Times New Roman"/>
          <w:szCs w:val="24"/>
          <w:shd w:val="clear" w:color="auto" w:fill="FFFFFF"/>
        </w:rPr>
        <w:t>, </w:t>
      </w:r>
      <w:r w:rsidRPr="008468A0">
        <w:rPr>
          <w:rFonts w:cs="Times New Roman"/>
          <w:i/>
          <w:iCs/>
          <w:szCs w:val="24"/>
          <w:shd w:val="clear" w:color="auto" w:fill="FFFFFF"/>
        </w:rPr>
        <w:t>57</w:t>
      </w:r>
      <w:r w:rsidRPr="008468A0">
        <w:rPr>
          <w:rFonts w:cs="Times New Roman"/>
          <w:szCs w:val="24"/>
          <w:shd w:val="clear" w:color="auto" w:fill="FFFFFF"/>
        </w:rPr>
        <w:t>, pp.12-27.</w:t>
      </w:r>
    </w:p>
    <w:p w14:paraId="725961D5"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David, M., 2017. </w:t>
      </w:r>
      <w:r w:rsidRPr="008468A0">
        <w:rPr>
          <w:rFonts w:cs="Times New Roman"/>
          <w:i/>
          <w:iCs/>
          <w:szCs w:val="24"/>
          <w:shd w:val="clear" w:color="auto" w:fill="FFFFFF"/>
        </w:rPr>
        <w:t>Statistics for managers, using Microsoft excel</w:t>
      </w:r>
      <w:r w:rsidRPr="008468A0">
        <w:rPr>
          <w:rFonts w:cs="Times New Roman"/>
          <w:szCs w:val="24"/>
          <w:shd w:val="clear" w:color="auto" w:fill="FFFFFF"/>
        </w:rPr>
        <w:t>. Pearson Education India.</w:t>
      </w:r>
    </w:p>
    <w:p w14:paraId="6A0B0BBB"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 xml:space="preserve">Eriksson, P. and </w:t>
      </w:r>
      <w:proofErr w:type="spellStart"/>
      <w:r w:rsidRPr="008468A0">
        <w:rPr>
          <w:rFonts w:cs="Times New Roman"/>
          <w:szCs w:val="24"/>
          <w:shd w:val="clear" w:color="auto" w:fill="FFFFFF"/>
        </w:rPr>
        <w:t>Kovalainen</w:t>
      </w:r>
      <w:proofErr w:type="spellEnd"/>
      <w:r w:rsidRPr="008468A0">
        <w:rPr>
          <w:rFonts w:cs="Times New Roman"/>
          <w:szCs w:val="24"/>
          <w:shd w:val="clear" w:color="auto" w:fill="FFFFFF"/>
        </w:rPr>
        <w:t>, A., 2015. Qualitative methods in business research: A practical guide to social research. Sage.</w:t>
      </w:r>
    </w:p>
    <w:p w14:paraId="44CDFFBE"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 xml:space="preserve">Fahy, N., Hervey, T., Greer, S., </w:t>
      </w:r>
      <w:proofErr w:type="spellStart"/>
      <w:r w:rsidRPr="008468A0">
        <w:rPr>
          <w:rFonts w:cs="Times New Roman"/>
          <w:szCs w:val="24"/>
          <w:shd w:val="clear" w:color="auto" w:fill="FFFFFF"/>
        </w:rPr>
        <w:t>Jarman</w:t>
      </w:r>
      <w:proofErr w:type="spellEnd"/>
      <w:r w:rsidRPr="008468A0">
        <w:rPr>
          <w:rFonts w:cs="Times New Roman"/>
          <w:szCs w:val="24"/>
          <w:shd w:val="clear" w:color="auto" w:fill="FFFFFF"/>
        </w:rPr>
        <w:t xml:space="preserve">, H., </w:t>
      </w:r>
      <w:proofErr w:type="spellStart"/>
      <w:r w:rsidRPr="008468A0">
        <w:rPr>
          <w:rFonts w:cs="Times New Roman"/>
          <w:szCs w:val="24"/>
          <w:shd w:val="clear" w:color="auto" w:fill="FFFFFF"/>
        </w:rPr>
        <w:t>Stuckler</w:t>
      </w:r>
      <w:proofErr w:type="spellEnd"/>
      <w:r w:rsidRPr="008468A0">
        <w:rPr>
          <w:rFonts w:cs="Times New Roman"/>
          <w:szCs w:val="24"/>
          <w:shd w:val="clear" w:color="auto" w:fill="FFFFFF"/>
        </w:rPr>
        <w:t>, D., Galsworthy, M. and McKee, M., 2017. How will Brexit affect health and health services in the UK? Evaluating three possible scenarios. </w:t>
      </w:r>
      <w:r w:rsidRPr="008468A0">
        <w:rPr>
          <w:rFonts w:cs="Times New Roman"/>
          <w:i/>
          <w:iCs/>
          <w:szCs w:val="24"/>
          <w:shd w:val="clear" w:color="auto" w:fill="FFFFFF"/>
        </w:rPr>
        <w:t>The Lancet</w:t>
      </w:r>
      <w:r w:rsidRPr="008468A0">
        <w:rPr>
          <w:rFonts w:cs="Times New Roman"/>
          <w:szCs w:val="24"/>
          <w:shd w:val="clear" w:color="auto" w:fill="FFFFFF"/>
        </w:rPr>
        <w:t>, </w:t>
      </w:r>
      <w:r w:rsidRPr="008468A0">
        <w:rPr>
          <w:rFonts w:cs="Times New Roman"/>
          <w:i/>
          <w:iCs/>
          <w:szCs w:val="24"/>
          <w:shd w:val="clear" w:color="auto" w:fill="FFFFFF"/>
        </w:rPr>
        <w:t>390</w:t>
      </w:r>
      <w:r w:rsidRPr="008468A0">
        <w:rPr>
          <w:rFonts w:cs="Times New Roman"/>
          <w:szCs w:val="24"/>
          <w:shd w:val="clear" w:color="auto" w:fill="FFFFFF"/>
        </w:rPr>
        <w:t>(10107), pp.2110-2118.</w:t>
      </w:r>
    </w:p>
    <w:p w14:paraId="2DD8EAB3"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 xml:space="preserve">Freund, T., Everett, C., Griffiths, P., </w:t>
      </w:r>
      <w:proofErr w:type="spellStart"/>
      <w:r w:rsidRPr="008468A0">
        <w:rPr>
          <w:rFonts w:cs="Times New Roman"/>
          <w:szCs w:val="24"/>
          <w:shd w:val="clear" w:color="auto" w:fill="FFFFFF"/>
        </w:rPr>
        <w:t>Hudon</w:t>
      </w:r>
      <w:proofErr w:type="spellEnd"/>
      <w:r w:rsidRPr="008468A0">
        <w:rPr>
          <w:rFonts w:cs="Times New Roman"/>
          <w:szCs w:val="24"/>
          <w:shd w:val="clear" w:color="auto" w:fill="FFFFFF"/>
        </w:rPr>
        <w:t xml:space="preserve">, C., </w:t>
      </w:r>
      <w:proofErr w:type="spellStart"/>
      <w:r w:rsidRPr="008468A0">
        <w:rPr>
          <w:rFonts w:cs="Times New Roman"/>
          <w:szCs w:val="24"/>
          <w:shd w:val="clear" w:color="auto" w:fill="FFFFFF"/>
        </w:rPr>
        <w:t>Naccarella</w:t>
      </w:r>
      <w:proofErr w:type="spellEnd"/>
      <w:r w:rsidRPr="008468A0">
        <w:rPr>
          <w:rFonts w:cs="Times New Roman"/>
          <w:szCs w:val="24"/>
          <w:shd w:val="clear" w:color="auto" w:fill="FFFFFF"/>
        </w:rPr>
        <w:t xml:space="preserve">, L. and </w:t>
      </w:r>
      <w:proofErr w:type="spellStart"/>
      <w:r w:rsidRPr="008468A0">
        <w:rPr>
          <w:rFonts w:cs="Times New Roman"/>
          <w:szCs w:val="24"/>
          <w:shd w:val="clear" w:color="auto" w:fill="FFFFFF"/>
        </w:rPr>
        <w:t>Laurant</w:t>
      </w:r>
      <w:proofErr w:type="spellEnd"/>
      <w:r w:rsidRPr="008468A0">
        <w:rPr>
          <w:rFonts w:cs="Times New Roman"/>
          <w:szCs w:val="24"/>
          <w:shd w:val="clear" w:color="auto" w:fill="FFFFFF"/>
        </w:rPr>
        <w:t xml:space="preserve">, M., 2015. Skill mix, roles and remuneration in the primary care workforce: who are the healthcare professionals in the primary care teams across the </w:t>
      </w:r>
      <w:proofErr w:type="gramStart"/>
      <w:r w:rsidRPr="008468A0">
        <w:rPr>
          <w:rFonts w:cs="Times New Roman"/>
          <w:szCs w:val="24"/>
          <w:shd w:val="clear" w:color="auto" w:fill="FFFFFF"/>
        </w:rPr>
        <w:t>world?.</w:t>
      </w:r>
      <w:proofErr w:type="gramEnd"/>
      <w:r w:rsidRPr="008468A0">
        <w:rPr>
          <w:rFonts w:cs="Times New Roman"/>
          <w:szCs w:val="24"/>
          <w:shd w:val="clear" w:color="auto" w:fill="FFFFFF"/>
        </w:rPr>
        <w:t> </w:t>
      </w:r>
      <w:r w:rsidRPr="008468A0">
        <w:rPr>
          <w:rFonts w:cs="Times New Roman"/>
          <w:i/>
          <w:iCs/>
          <w:szCs w:val="24"/>
          <w:shd w:val="clear" w:color="auto" w:fill="FFFFFF"/>
        </w:rPr>
        <w:t>International journal of nursing studies</w:t>
      </w:r>
      <w:r w:rsidRPr="008468A0">
        <w:rPr>
          <w:rFonts w:cs="Times New Roman"/>
          <w:szCs w:val="24"/>
          <w:shd w:val="clear" w:color="auto" w:fill="FFFFFF"/>
        </w:rPr>
        <w:t>, </w:t>
      </w:r>
      <w:r w:rsidRPr="008468A0">
        <w:rPr>
          <w:rFonts w:cs="Times New Roman"/>
          <w:i/>
          <w:iCs/>
          <w:szCs w:val="24"/>
          <w:shd w:val="clear" w:color="auto" w:fill="FFFFFF"/>
        </w:rPr>
        <w:t>52</w:t>
      </w:r>
      <w:r w:rsidRPr="008468A0">
        <w:rPr>
          <w:rFonts w:cs="Times New Roman"/>
          <w:szCs w:val="24"/>
          <w:shd w:val="clear" w:color="auto" w:fill="FFFFFF"/>
        </w:rPr>
        <w:t>(3), pp.727-743.</w:t>
      </w:r>
    </w:p>
    <w:p w14:paraId="75B0A439"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Garrett, L., 2017. The challenge of global health. In </w:t>
      </w:r>
      <w:r w:rsidRPr="008468A0">
        <w:rPr>
          <w:rFonts w:cs="Times New Roman"/>
          <w:i/>
          <w:iCs/>
          <w:szCs w:val="24"/>
          <w:shd w:val="clear" w:color="auto" w:fill="FFFFFF"/>
        </w:rPr>
        <w:t>Global Health</w:t>
      </w:r>
      <w:r w:rsidRPr="008468A0">
        <w:rPr>
          <w:rFonts w:cs="Times New Roman"/>
          <w:szCs w:val="24"/>
          <w:shd w:val="clear" w:color="auto" w:fill="FFFFFF"/>
        </w:rPr>
        <w:t> (pp. 525-548). Routledge.</w:t>
      </w:r>
    </w:p>
    <w:p w14:paraId="14991EB0" w14:textId="77777777" w:rsidR="0047217A" w:rsidRPr="008468A0" w:rsidRDefault="0047217A" w:rsidP="0047217A">
      <w:pPr>
        <w:rPr>
          <w:rFonts w:cs="Times New Roman"/>
          <w:szCs w:val="24"/>
          <w:shd w:val="clear" w:color="auto" w:fill="FFFFFF"/>
        </w:rPr>
      </w:pPr>
      <w:proofErr w:type="spellStart"/>
      <w:r w:rsidRPr="008468A0">
        <w:rPr>
          <w:rFonts w:cs="Times New Roman"/>
          <w:szCs w:val="24"/>
          <w:shd w:val="clear" w:color="auto" w:fill="FFFFFF"/>
        </w:rPr>
        <w:t>Ghauri</w:t>
      </w:r>
      <w:proofErr w:type="spellEnd"/>
      <w:r w:rsidRPr="008468A0">
        <w:rPr>
          <w:rFonts w:cs="Times New Roman"/>
          <w:szCs w:val="24"/>
          <w:shd w:val="clear" w:color="auto" w:fill="FFFFFF"/>
        </w:rPr>
        <w:t xml:space="preserve">, P., </w:t>
      </w:r>
      <w:proofErr w:type="spellStart"/>
      <w:r w:rsidRPr="008468A0">
        <w:rPr>
          <w:rFonts w:cs="Times New Roman"/>
          <w:szCs w:val="24"/>
          <w:shd w:val="clear" w:color="auto" w:fill="FFFFFF"/>
        </w:rPr>
        <w:t>Grønhaug</w:t>
      </w:r>
      <w:proofErr w:type="spellEnd"/>
      <w:r w:rsidRPr="008468A0">
        <w:rPr>
          <w:rFonts w:cs="Times New Roman"/>
          <w:szCs w:val="24"/>
          <w:shd w:val="clear" w:color="auto" w:fill="FFFFFF"/>
        </w:rPr>
        <w:t>, K. and Strange, R., 2020. </w:t>
      </w:r>
      <w:r w:rsidRPr="008468A0">
        <w:rPr>
          <w:rFonts w:cs="Times New Roman"/>
          <w:i/>
          <w:iCs/>
          <w:szCs w:val="24"/>
          <w:shd w:val="clear" w:color="auto" w:fill="FFFFFF"/>
        </w:rPr>
        <w:t>Research methods in business studies</w:t>
      </w:r>
      <w:r w:rsidRPr="008468A0">
        <w:rPr>
          <w:rFonts w:cs="Times New Roman"/>
          <w:szCs w:val="24"/>
          <w:shd w:val="clear" w:color="auto" w:fill="FFFFFF"/>
        </w:rPr>
        <w:t>. Cambridge University Press.</w:t>
      </w:r>
    </w:p>
    <w:p w14:paraId="513B02B4" w14:textId="77777777" w:rsidR="0047217A" w:rsidRPr="008468A0" w:rsidRDefault="0047217A" w:rsidP="0047217A">
      <w:pPr>
        <w:rPr>
          <w:rFonts w:eastAsia="Times New Roman" w:cs="Times New Roman"/>
          <w:szCs w:val="24"/>
        </w:rPr>
      </w:pPr>
      <w:r w:rsidRPr="008468A0">
        <w:rPr>
          <w:rFonts w:eastAsia="Times New Roman" w:cs="Times New Roman"/>
          <w:szCs w:val="24"/>
        </w:rPr>
        <w:t xml:space="preserve">Griffin, R. W.,2019. </w:t>
      </w:r>
      <w:r w:rsidRPr="008468A0">
        <w:rPr>
          <w:rFonts w:eastAsia="Times New Roman" w:cs="Times New Roman"/>
          <w:szCs w:val="24"/>
          <w:u w:val="single"/>
        </w:rPr>
        <w:t>Management</w:t>
      </w:r>
      <w:r w:rsidRPr="008468A0">
        <w:rPr>
          <w:rFonts w:eastAsia="Times New Roman" w:cs="Times New Roman"/>
          <w:szCs w:val="24"/>
        </w:rPr>
        <w:t>. Boston, Ma: Cengage Learning.</w:t>
      </w:r>
    </w:p>
    <w:p w14:paraId="5FE39924" w14:textId="77777777" w:rsidR="00294CF3" w:rsidRPr="008468A0" w:rsidRDefault="00294CF3" w:rsidP="00C42797">
      <w:pPr>
        <w:pStyle w:val="NormalWeb"/>
        <w:spacing w:before="0" w:beforeAutospacing="0" w:after="240" w:afterAutospacing="0" w:line="360" w:lineRule="auto"/>
        <w:jc w:val="both"/>
        <w:rPr>
          <w:color w:val="000000" w:themeColor="text1"/>
        </w:rPr>
      </w:pPr>
      <w:r w:rsidRPr="008468A0">
        <w:rPr>
          <w:color w:val="000000" w:themeColor="text1"/>
        </w:rPr>
        <w:t xml:space="preserve">Health care system (2023). </w:t>
      </w:r>
      <w:r w:rsidRPr="008468A0">
        <w:rPr>
          <w:i/>
          <w:iCs/>
          <w:color w:val="000000" w:themeColor="text1"/>
        </w:rPr>
        <w:t>Health care system - Office for National Statistics</w:t>
      </w:r>
      <w:r w:rsidRPr="008468A0">
        <w:rPr>
          <w:color w:val="000000" w:themeColor="text1"/>
        </w:rPr>
        <w:t xml:space="preserve">. [online] www.ons.gov.uk. Available at: </w:t>
      </w:r>
      <w:r w:rsidRPr="008468A0">
        <w:rPr>
          <w:color w:val="000000" w:themeColor="text1"/>
        </w:rPr>
        <w:lastRenderedPageBreak/>
        <w:t>https://www.ons.gov.uk/peoplepopulationandcommunity/healthandsocialcare/healthcaresystem#:~:text=What [Accessed 23 Aug. 2023].</w:t>
      </w:r>
    </w:p>
    <w:p w14:paraId="3976ED8B" w14:textId="77777777" w:rsidR="0047217A" w:rsidRPr="008468A0" w:rsidRDefault="0047217A" w:rsidP="0047217A">
      <w:pPr>
        <w:rPr>
          <w:rFonts w:eastAsia="Times New Roman" w:cs="Times New Roman"/>
          <w:szCs w:val="24"/>
        </w:rPr>
      </w:pPr>
      <w:proofErr w:type="spellStart"/>
      <w:r w:rsidRPr="008468A0">
        <w:rPr>
          <w:rFonts w:eastAsia="Times New Roman" w:cs="Times New Roman"/>
          <w:szCs w:val="24"/>
        </w:rPr>
        <w:t>Hellriegel</w:t>
      </w:r>
      <w:proofErr w:type="spellEnd"/>
      <w:r w:rsidRPr="008468A0">
        <w:rPr>
          <w:rFonts w:eastAsia="Times New Roman" w:cs="Times New Roman"/>
          <w:szCs w:val="24"/>
        </w:rPr>
        <w:t xml:space="preserve">, D., 2017. </w:t>
      </w:r>
      <w:r w:rsidRPr="008468A0">
        <w:rPr>
          <w:rFonts w:eastAsia="Times New Roman" w:cs="Times New Roman"/>
          <w:szCs w:val="24"/>
          <w:u w:val="single"/>
        </w:rPr>
        <w:t>Management</w:t>
      </w:r>
      <w:r w:rsidRPr="008468A0">
        <w:rPr>
          <w:rFonts w:eastAsia="Times New Roman" w:cs="Times New Roman"/>
          <w:szCs w:val="24"/>
        </w:rPr>
        <w:t xml:space="preserve">. Cape </w:t>
      </w:r>
      <w:proofErr w:type="gramStart"/>
      <w:r w:rsidRPr="008468A0">
        <w:rPr>
          <w:rFonts w:eastAsia="Times New Roman" w:cs="Times New Roman"/>
          <w:szCs w:val="24"/>
        </w:rPr>
        <w:t>Town ;</w:t>
      </w:r>
      <w:proofErr w:type="gramEnd"/>
      <w:r w:rsidRPr="008468A0">
        <w:rPr>
          <w:rFonts w:eastAsia="Times New Roman" w:cs="Times New Roman"/>
          <w:szCs w:val="24"/>
        </w:rPr>
        <w:t xml:space="preserve"> Oxford: Oxford University Press.</w:t>
      </w:r>
    </w:p>
    <w:p w14:paraId="2283C3D1" w14:textId="77777777" w:rsidR="0047217A" w:rsidRPr="008468A0" w:rsidRDefault="0047217A" w:rsidP="0047217A">
      <w:pPr>
        <w:rPr>
          <w:rFonts w:eastAsia="Times New Roman" w:cs="Times New Roman"/>
          <w:szCs w:val="24"/>
        </w:rPr>
      </w:pPr>
      <w:r w:rsidRPr="008468A0">
        <w:rPr>
          <w:rFonts w:eastAsia="Times New Roman" w:cs="Times New Roman"/>
          <w:szCs w:val="24"/>
        </w:rPr>
        <w:t xml:space="preserve">Hunsaker, P. L. and Hunsaker, J., 2015. </w:t>
      </w:r>
      <w:r w:rsidRPr="008468A0">
        <w:rPr>
          <w:rFonts w:eastAsia="Times New Roman" w:cs="Times New Roman"/>
          <w:szCs w:val="24"/>
          <w:u w:val="single"/>
        </w:rPr>
        <w:t>Managing people</w:t>
      </w:r>
      <w:r w:rsidRPr="008468A0">
        <w:rPr>
          <w:rFonts w:eastAsia="Times New Roman" w:cs="Times New Roman"/>
          <w:szCs w:val="24"/>
        </w:rPr>
        <w:t>. London Dk.</w:t>
      </w:r>
    </w:p>
    <w:p w14:paraId="33FBE5FE"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 xml:space="preserve">Johnson, J., Hall, L.H., </w:t>
      </w:r>
      <w:proofErr w:type="spellStart"/>
      <w:r w:rsidRPr="008468A0">
        <w:rPr>
          <w:rFonts w:cs="Times New Roman"/>
          <w:szCs w:val="24"/>
          <w:shd w:val="clear" w:color="auto" w:fill="FFFFFF"/>
        </w:rPr>
        <w:t>Berzins</w:t>
      </w:r>
      <w:proofErr w:type="spellEnd"/>
      <w:r w:rsidRPr="008468A0">
        <w:rPr>
          <w:rFonts w:cs="Times New Roman"/>
          <w:szCs w:val="24"/>
          <w:shd w:val="clear" w:color="auto" w:fill="FFFFFF"/>
        </w:rPr>
        <w:t>, K., Baker, J., Melling, K. and Thompson, C., 2018. Mental healthcare staff well</w:t>
      </w:r>
      <w:r w:rsidRPr="008468A0">
        <w:rPr>
          <w:rFonts w:ascii="Cambria Math" w:hAnsi="Cambria Math" w:cs="Times New Roman"/>
          <w:szCs w:val="24"/>
          <w:shd w:val="clear" w:color="auto" w:fill="FFFFFF"/>
        </w:rPr>
        <w:t>‐</w:t>
      </w:r>
      <w:r w:rsidRPr="008468A0">
        <w:rPr>
          <w:rFonts w:cs="Times New Roman"/>
          <w:szCs w:val="24"/>
          <w:shd w:val="clear" w:color="auto" w:fill="FFFFFF"/>
        </w:rPr>
        <w:t>being and burnout: A narrative review of trends, causes, implications, and recommendations for future interventions. </w:t>
      </w:r>
      <w:r w:rsidRPr="008468A0">
        <w:rPr>
          <w:rFonts w:cs="Times New Roman"/>
          <w:i/>
          <w:iCs/>
          <w:szCs w:val="24"/>
          <w:shd w:val="clear" w:color="auto" w:fill="FFFFFF"/>
        </w:rPr>
        <w:t>International journal of mental health nursing</w:t>
      </w:r>
      <w:r w:rsidRPr="008468A0">
        <w:rPr>
          <w:rFonts w:cs="Times New Roman"/>
          <w:szCs w:val="24"/>
          <w:shd w:val="clear" w:color="auto" w:fill="FFFFFF"/>
        </w:rPr>
        <w:t>, </w:t>
      </w:r>
      <w:r w:rsidRPr="008468A0">
        <w:rPr>
          <w:rFonts w:cs="Times New Roman"/>
          <w:i/>
          <w:iCs/>
          <w:szCs w:val="24"/>
          <w:shd w:val="clear" w:color="auto" w:fill="FFFFFF"/>
        </w:rPr>
        <w:t>27</w:t>
      </w:r>
      <w:r w:rsidRPr="008468A0">
        <w:rPr>
          <w:rFonts w:cs="Times New Roman"/>
          <w:szCs w:val="24"/>
          <w:shd w:val="clear" w:color="auto" w:fill="FFFFFF"/>
        </w:rPr>
        <w:t>(1), pp.20-32.</w:t>
      </w:r>
    </w:p>
    <w:p w14:paraId="61B31C89" w14:textId="77777777" w:rsidR="0047217A" w:rsidRPr="008468A0" w:rsidRDefault="0047217A" w:rsidP="0047217A">
      <w:pPr>
        <w:rPr>
          <w:rFonts w:cs="Times New Roman"/>
          <w:szCs w:val="24"/>
        </w:rPr>
      </w:pPr>
      <w:r w:rsidRPr="008468A0">
        <w:rPr>
          <w:rFonts w:cs="Times New Roman"/>
          <w:szCs w:val="24"/>
          <w:shd w:val="clear" w:color="auto" w:fill="FFFFFF"/>
        </w:rPr>
        <w:t>Kumar, R., 2018. </w:t>
      </w:r>
      <w:r w:rsidRPr="008468A0">
        <w:rPr>
          <w:rFonts w:cs="Times New Roman"/>
          <w:i/>
          <w:iCs/>
          <w:szCs w:val="24"/>
          <w:shd w:val="clear" w:color="auto" w:fill="FFFFFF"/>
        </w:rPr>
        <w:t>Research methodology: A step-by-step guide for beginners</w:t>
      </w:r>
      <w:r w:rsidRPr="008468A0">
        <w:rPr>
          <w:rFonts w:cs="Times New Roman"/>
          <w:szCs w:val="24"/>
          <w:shd w:val="clear" w:color="auto" w:fill="FFFFFF"/>
        </w:rPr>
        <w:t>. Sage.</w:t>
      </w:r>
    </w:p>
    <w:p w14:paraId="2F5A96C0"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Liu, Y., Lee, J.M. and Lee, C., 2020. The challenges and opportunities of a global health crisis: the management and business implications of COVID-19 from an Asian perspective. </w:t>
      </w:r>
      <w:r w:rsidRPr="008468A0">
        <w:rPr>
          <w:rFonts w:cs="Times New Roman"/>
          <w:i/>
          <w:iCs/>
          <w:szCs w:val="24"/>
          <w:shd w:val="clear" w:color="auto" w:fill="FFFFFF"/>
        </w:rPr>
        <w:t>Asian Business &amp; Management</w:t>
      </w:r>
      <w:r w:rsidRPr="008468A0">
        <w:rPr>
          <w:rFonts w:cs="Times New Roman"/>
          <w:szCs w:val="24"/>
          <w:shd w:val="clear" w:color="auto" w:fill="FFFFFF"/>
        </w:rPr>
        <w:t>, </w:t>
      </w:r>
      <w:r w:rsidRPr="008468A0">
        <w:rPr>
          <w:rFonts w:cs="Times New Roman"/>
          <w:i/>
          <w:iCs/>
          <w:szCs w:val="24"/>
          <w:shd w:val="clear" w:color="auto" w:fill="FFFFFF"/>
        </w:rPr>
        <w:t>19</w:t>
      </w:r>
      <w:r w:rsidRPr="008468A0">
        <w:rPr>
          <w:rFonts w:cs="Times New Roman"/>
          <w:szCs w:val="24"/>
          <w:shd w:val="clear" w:color="auto" w:fill="FFFFFF"/>
        </w:rPr>
        <w:t>, pp.277-297.</w:t>
      </w:r>
    </w:p>
    <w:p w14:paraId="41561B91" w14:textId="77777777" w:rsidR="0047217A" w:rsidRPr="008468A0" w:rsidRDefault="0047217A" w:rsidP="0047217A">
      <w:pPr>
        <w:rPr>
          <w:rFonts w:eastAsia="Times New Roman" w:cs="Times New Roman"/>
          <w:szCs w:val="24"/>
        </w:rPr>
      </w:pPr>
      <w:r w:rsidRPr="008468A0">
        <w:rPr>
          <w:rFonts w:eastAsia="Times New Roman" w:cs="Times New Roman"/>
          <w:szCs w:val="24"/>
        </w:rPr>
        <w:t xml:space="preserve">Lynch, R., 2018. </w:t>
      </w:r>
      <w:r w:rsidRPr="008468A0">
        <w:rPr>
          <w:rFonts w:eastAsia="Times New Roman" w:cs="Times New Roman"/>
          <w:szCs w:val="24"/>
          <w:u w:val="single"/>
        </w:rPr>
        <w:t>Strategic management</w:t>
      </w:r>
      <w:r w:rsidRPr="008468A0">
        <w:rPr>
          <w:rFonts w:eastAsia="Times New Roman" w:cs="Times New Roman"/>
          <w:szCs w:val="24"/>
        </w:rPr>
        <w:t xml:space="preserve">. 8th ed. Harlow, United </w:t>
      </w:r>
      <w:proofErr w:type="gramStart"/>
      <w:r w:rsidRPr="008468A0">
        <w:rPr>
          <w:rFonts w:eastAsia="Times New Roman" w:cs="Times New Roman"/>
          <w:szCs w:val="24"/>
        </w:rPr>
        <w:t>Kingdom ;</w:t>
      </w:r>
      <w:proofErr w:type="gramEnd"/>
      <w:r w:rsidRPr="008468A0">
        <w:rPr>
          <w:rFonts w:eastAsia="Times New Roman" w:cs="Times New Roman"/>
          <w:szCs w:val="24"/>
        </w:rPr>
        <w:t xml:space="preserve"> New York: Pearson Education Limited.</w:t>
      </w:r>
    </w:p>
    <w:p w14:paraId="1F6C5F05" w14:textId="77777777" w:rsidR="0047217A" w:rsidRPr="008468A0" w:rsidRDefault="0047217A" w:rsidP="0047217A">
      <w:pPr>
        <w:rPr>
          <w:rFonts w:eastAsia="Times New Roman" w:cs="Times New Roman"/>
          <w:szCs w:val="24"/>
        </w:rPr>
      </w:pPr>
      <w:proofErr w:type="spellStart"/>
      <w:r w:rsidRPr="008468A0">
        <w:rPr>
          <w:rFonts w:eastAsia="Times New Roman" w:cs="Times New Roman"/>
          <w:szCs w:val="24"/>
        </w:rPr>
        <w:t>Mallin</w:t>
      </w:r>
      <w:proofErr w:type="spellEnd"/>
      <w:r w:rsidRPr="008468A0">
        <w:rPr>
          <w:rFonts w:eastAsia="Times New Roman" w:cs="Times New Roman"/>
          <w:szCs w:val="24"/>
        </w:rPr>
        <w:t xml:space="preserve">, C. A., 2019. </w:t>
      </w:r>
      <w:r w:rsidRPr="008468A0">
        <w:rPr>
          <w:rFonts w:eastAsia="Times New Roman" w:cs="Times New Roman"/>
          <w:szCs w:val="24"/>
          <w:u w:val="single"/>
        </w:rPr>
        <w:t>Corporate governance</w:t>
      </w:r>
      <w:r w:rsidRPr="008468A0">
        <w:rPr>
          <w:rFonts w:eastAsia="Times New Roman" w:cs="Times New Roman"/>
          <w:szCs w:val="24"/>
        </w:rPr>
        <w:t>. Oxford University Press.</w:t>
      </w:r>
    </w:p>
    <w:p w14:paraId="1B861863" w14:textId="77777777" w:rsidR="0047217A" w:rsidRPr="008468A0" w:rsidRDefault="0047217A" w:rsidP="0047217A">
      <w:pPr>
        <w:rPr>
          <w:rFonts w:eastAsia="Times New Roman" w:cs="Times New Roman"/>
          <w:szCs w:val="24"/>
        </w:rPr>
      </w:pPr>
      <w:r w:rsidRPr="008468A0">
        <w:rPr>
          <w:rFonts w:eastAsia="Times New Roman" w:cs="Times New Roman"/>
          <w:szCs w:val="24"/>
        </w:rPr>
        <w:t xml:space="preserve">Mullins, L. J., 2019. </w:t>
      </w:r>
      <w:r w:rsidRPr="008468A0">
        <w:rPr>
          <w:rFonts w:eastAsia="Times New Roman" w:cs="Times New Roman"/>
          <w:szCs w:val="24"/>
          <w:u w:val="single"/>
        </w:rPr>
        <w:t>Organisational Behaviour in the Workplace</w:t>
      </w:r>
      <w:r w:rsidRPr="008468A0">
        <w:rPr>
          <w:rFonts w:eastAsia="Times New Roman" w:cs="Times New Roman"/>
          <w:szCs w:val="24"/>
        </w:rPr>
        <w:t>. 12th ed. Harlow: Pearson.</w:t>
      </w:r>
    </w:p>
    <w:p w14:paraId="02625214" w14:textId="77777777" w:rsidR="0047217A" w:rsidRPr="008468A0" w:rsidRDefault="0047217A" w:rsidP="0047217A">
      <w:pPr>
        <w:rPr>
          <w:rFonts w:eastAsia="Times New Roman" w:cs="Times New Roman"/>
          <w:szCs w:val="24"/>
        </w:rPr>
      </w:pPr>
      <w:r w:rsidRPr="008468A0">
        <w:rPr>
          <w:rFonts w:cs="Times New Roman"/>
          <w:szCs w:val="24"/>
          <w:shd w:val="clear" w:color="auto" w:fill="FFFFFF"/>
        </w:rPr>
        <w:t>Pandey, P. and Pandey, M.M., 2021. </w:t>
      </w:r>
      <w:r w:rsidRPr="008468A0">
        <w:rPr>
          <w:rFonts w:cs="Times New Roman"/>
          <w:i/>
          <w:iCs/>
          <w:szCs w:val="24"/>
          <w:shd w:val="clear" w:color="auto" w:fill="FFFFFF"/>
        </w:rPr>
        <w:t>Research methodology tools and techniques</w:t>
      </w:r>
      <w:r w:rsidRPr="008468A0">
        <w:rPr>
          <w:rFonts w:cs="Times New Roman"/>
          <w:szCs w:val="24"/>
          <w:shd w:val="clear" w:color="auto" w:fill="FFFFFF"/>
        </w:rPr>
        <w:t xml:space="preserve">. Bridge </w:t>
      </w:r>
      <w:proofErr w:type="spellStart"/>
      <w:r w:rsidRPr="008468A0">
        <w:rPr>
          <w:rFonts w:cs="Times New Roman"/>
          <w:szCs w:val="24"/>
          <w:shd w:val="clear" w:color="auto" w:fill="FFFFFF"/>
        </w:rPr>
        <w:t>Center</w:t>
      </w:r>
      <w:proofErr w:type="spellEnd"/>
      <w:r w:rsidRPr="008468A0">
        <w:rPr>
          <w:rFonts w:cs="Times New Roman"/>
          <w:szCs w:val="24"/>
          <w:shd w:val="clear" w:color="auto" w:fill="FFFFFF"/>
        </w:rPr>
        <w:t>.</w:t>
      </w:r>
    </w:p>
    <w:p w14:paraId="10F38104"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Schindler, P.S., 2022. </w:t>
      </w:r>
      <w:r w:rsidRPr="008468A0">
        <w:rPr>
          <w:rFonts w:cs="Times New Roman"/>
          <w:i/>
          <w:iCs/>
          <w:szCs w:val="24"/>
          <w:shd w:val="clear" w:color="auto" w:fill="FFFFFF"/>
        </w:rPr>
        <w:t>Business research method</w:t>
      </w:r>
      <w:r w:rsidRPr="008468A0">
        <w:rPr>
          <w:rFonts w:cs="Times New Roman"/>
          <w:szCs w:val="24"/>
          <w:shd w:val="clear" w:color="auto" w:fill="FFFFFF"/>
        </w:rPr>
        <w:t>. McGraw-Hill/Irwin.</w:t>
      </w:r>
    </w:p>
    <w:p w14:paraId="68A92F53" w14:textId="77777777" w:rsidR="0047217A" w:rsidRPr="008468A0" w:rsidRDefault="0047217A" w:rsidP="0047217A">
      <w:pPr>
        <w:rPr>
          <w:rFonts w:eastAsia="Times New Roman" w:cs="Times New Roman"/>
          <w:szCs w:val="24"/>
        </w:rPr>
      </w:pPr>
      <w:r w:rsidRPr="008468A0">
        <w:rPr>
          <w:rFonts w:cs="Times New Roman"/>
          <w:szCs w:val="24"/>
          <w:shd w:val="clear" w:color="auto" w:fill="FFFFFF"/>
        </w:rPr>
        <w:t>Siegel, A.F., 2016. </w:t>
      </w:r>
      <w:r w:rsidRPr="008468A0">
        <w:rPr>
          <w:rFonts w:cs="Times New Roman"/>
          <w:i/>
          <w:iCs/>
          <w:szCs w:val="24"/>
          <w:shd w:val="clear" w:color="auto" w:fill="FFFFFF"/>
        </w:rPr>
        <w:t>Practical business statistics</w:t>
      </w:r>
      <w:r w:rsidRPr="008468A0">
        <w:rPr>
          <w:rFonts w:cs="Times New Roman"/>
          <w:szCs w:val="24"/>
          <w:shd w:val="clear" w:color="auto" w:fill="FFFFFF"/>
        </w:rPr>
        <w:t>. Academic Press.</w:t>
      </w:r>
    </w:p>
    <w:p w14:paraId="3D896ED3" w14:textId="77777777" w:rsidR="0047217A" w:rsidRPr="008468A0" w:rsidRDefault="0047217A" w:rsidP="0047217A">
      <w:pPr>
        <w:rPr>
          <w:rFonts w:eastAsia="Times New Roman" w:cs="Times New Roman"/>
          <w:szCs w:val="24"/>
        </w:rPr>
      </w:pPr>
      <w:r w:rsidRPr="008468A0">
        <w:rPr>
          <w:rFonts w:eastAsia="Times New Roman" w:cs="Times New Roman"/>
          <w:szCs w:val="24"/>
        </w:rPr>
        <w:t xml:space="preserve">Statista, 2023. </w:t>
      </w:r>
      <w:r w:rsidRPr="008468A0">
        <w:rPr>
          <w:rFonts w:eastAsia="Times New Roman" w:cs="Times New Roman"/>
          <w:szCs w:val="24"/>
          <w:u w:val="single"/>
        </w:rPr>
        <w:t>Hospital employment in the United Kingdom 2009-2020</w:t>
      </w:r>
      <w:r w:rsidRPr="008468A0">
        <w:rPr>
          <w:rFonts w:eastAsia="Times New Roman" w:cs="Times New Roman"/>
          <w:szCs w:val="24"/>
        </w:rPr>
        <w:t xml:space="preserve"> [Online]. Statista. Available: https://www.statista.com/statistics/473199/hospital-employment-in-the-united-kingdom-uk/ [Accessed 26 Jun 2023].</w:t>
      </w:r>
    </w:p>
    <w:p w14:paraId="5C6D6F2A" w14:textId="77777777" w:rsidR="0047217A" w:rsidRPr="008468A0" w:rsidRDefault="0047217A" w:rsidP="0047217A">
      <w:pPr>
        <w:rPr>
          <w:rFonts w:eastAsia="Times New Roman" w:cs="Times New Roman"/>
          <w:szCs w:val="24"/>
        </w:rPr>
      </w:pPr>
      <w:r w:rsidRPr="008468A0">
        <w:rPr>
          <w:rFonts w:eastAsia="Times New Roman" w:cs="Times New Roman"/>
          <w:szCs w:val="24"/>
        </w:rPr>
        <w:t xml:space="preserve">STATISTA, 2023. </w:t>
      </w:r>
      <w:r w:rsidRPr="008468A0">
        <w:rPr>
          <w:rFonts w:eastAsia="Times New Roman" w:cs="Times New Roman"/>
          <w:szCs w:val="24"/>
          <w:u w:val="single"/>
        </w:rPr>
        <w:t>Hospital activities: UK enterprises by turnover 2022</w:t>
      </w:r>
      <w:r w:rsidRPr="008468A0">
        <w:rPr>
          <w:rFonts w:eastAsia="Times New Roman" w:cs="Times New Roman"/>
          <w:szCs w:val="24"/>
        </w:rPr>
        <w:t xml:space="preserve"> [Online]. Statista. Available: https://www.statista.com/statistics/471974/uk-enterprises-for-hospital-activities-by-turnover/ [Accessed 26 Jun 2023].</w:t>
      </w:r>
    </w:p>
    <w:p w14:paraId="6D4E8847" w14:textId="77777777" w:rsidR="0047217A" w:rsidRPr="008468A0" w:rsidRDefault="0047217A" w:rsidP="0047217A">
      <w:pPr>
        <w:rPr>
          <w:rFonts w:cs="Times New Roman"/>
          <w:szCs w:val="24"/>
          <w:shd w:val="clear" w:color="auto" w:fill="FFFFFF"/>
        </w:rPr>
      </w:pPr>
      <w:proofErr w:type="spellStart"/>
      <w:r w:rsidRPr="008468A0">
        <w:rPr>
          <w:rFonts w:cs="Times New Roman"/>
          <w:szCs w:val="24"/>
          <w:shd w:val="clear" w:color="auto" w:fill="FFFFFF"/>
        </w:rPr>
        <w:lastRenderedPageBreak/>
        <w:t>Suphanchaimat</w:t>
      </w:r>
      <w:proofErr w:type="spellEnd"/>
      <w:r w:rsidRPr="008468A0">
        <w:rPr>
          <w:rFonts w:cs="Times New Roman"/>
          <w:szCs w:val="24"/>
          <w:shd w:val="clear" w:color="auto" w:fill="FFFFFF"/>
        </w:rPr>
        <w:t xml:space="preserve">, R., </w:t>
      </w:r>
      <w:proofErr w:type="spellStart"/>
      <w:r w:rsidRPr="008468A0">
        <w:rPr>
          <w:rFonts w:cs="Times New Roman"/>
          <w:szCs w:val="24"/>
          <w:shd w:val="clear" w:color="auto" w:fill="FFFFFF"/>
        </w:rPr>
        <w:t>Kantamaturapoj</w:t>
      </w:r>
      <w:proofErr w:type="spellEnd"/>
      <w:r w:rsidRPr="008468A0">
        <w:rPr>
          <w:rFonts w:cs="Times New Roman"/>
          <w:szCs w:val="24"/>
          <w:shd w:val="clear" w:color="auto" w:fill="FFFFFF"/>
        </w:rPr>
        <w:t xml:space="preserve">, K., </w:t>
      </w:r>
      <w:proofErr w:type="spellStart"/>
      <w:r w:rsidRPr="008468A0">
        <w:rPr>
          <w:rFonts w:cs="Times New Roman"/>
          <w:szCs w:val="24"/>
          <w:shd w:val="clear" w:color="auto" w:fill="FFFFFF"/>
        </w:rPr>
        <w:t>Putthasri</w:t>
      </w:r>
      <w:proofErr w:type="spellEnd"/>
      <w:r w:rsidRPr="008468A0">
        <w:rPr>
          <w:rFonts w:cs="Times New Roman"/>
          <w:szCs w:val="24"/>
          <w:shd w:val="clear" w:color="auto" w:fill="FFFFFF"/>
        </w:rPr>
        <w:t xml:space="preserve">, W. and </w:t>
      </w:r>
      <w:proofErr w:type="spellStart"/>
      <w:r w:rsidRPr="008468A0">
        <w:rPr>
          <w:rFonts w:cs="Times New Roman"/>
          <w:szCs w:val="24"/>
          <w:shd w:val="clear" w:color="auto" w:fill="FFFFFF"/>
        </w:rPr>
        <w:t>Prakongsai</w:t>
      </w:r>
      <w:proofErr w:type="spellEnd"/>
      <w:r w:rsidRPr="008468A0">
        <w:rPr>
          <w:rFonts w:cs="Times New Roman"/>
          <w:szCs w:val="24"/>
          <w:shd w:val="clear" w:color="auto" w:fill="FFFFFF"/>
        </w:rPr>
        <w:t>, P., 2015. Challenges in the provision of healthcare services for migrants: a systematic review through providers’ lens. </w:t>
      </w:r>
      <w:r w:rsidRPr="008468A0">
        <w:rPr>
          <w:rFonts w:cs="Times New Roman"/>
          <w:i/>
          <w:iCs/>
          <w:szCs w:val="24"/>
          <w:shd w:val="clear" w:color="auto" w:fill="FFFFFF"/>
        </w:rPr>
        <w:t>BMC health services research</w:t>
      </w:r>
      <w:r w:rsidRPr="008468A0">
        <w:rPr>
          <w:rFonts w:cs="Times New Roman"/>
          <w:szCs w:val="24"/>
          <w:shd w:val="clear" w:color="auto" w:fill="FFFFFF"/>
        </w:rPr>
        <w:t>, </w:t>
      </w:r>
      <w:r w:rsidRPr="008468A0">
        <w:rPr>
          <w:rFonts w:cs="Times New Roman"/>
          <w:i/>
          <w:iCs/>
          <w:szCs w:val="24"/>
          <w:shd w:val="clear" w:color="auto" w:fill="FFFFFF"/>
        </w:rPr>
        <w:t>15</w:t>
      </w:r>
      <w:r w:rsidRPr="008468A0">
        <w:rPr>
          <w:rFonts w:cs="Times New Roman"/>
          <w:szCs w:val="24"/>
          <w:shd w:val="clear" w:color="auto" w:fill="FFFFFF"/>
        </w:rPr>
        <w:t>, pp.1-14.</w:t>
      </w:r>
    </w:p>
    <w:p w14:paraId="78CF0CD1" w14:textId="77777777" w:rsidR="0047217A" w:rsidRPr="008468A0" w:rsidRDefault="0047217A" w:rsidP="0047217A">
      <w:pPr>
        <w:rPr>
          <w:rFonts w:cs="Times New Roman"/>
          <w:szCs w:val="24"/>
        </w:rPr>
      </w:pPr>
      <w:proofErr w:type="spellStart"/>
      <w:r w:rsidRPr="008468A0">
        <w:rPr>
          <w:rFonts w:cs="Times New Roman"/>
          <w:szCs w:val="24"/>
          <w:shd w:val="clear" w:color="auto" w:fill="FFFFFF"/>
        </w:rPr>
        <w:t>Wainberg</w:t>
      </w:r>
      <w:proofErr w:type="spellEnd"/>
      <w:r w:rsidRPr="008468A0">
        <w:rPr>
          <w:rFonts w:cs="Times New Roman"/>
          <w:szCs w:val="24"/>
          <w:shd w:val="clear" w:color="auto" w:fill="FFFFFF"/>
        </w:rPr>
        <w:t xml:space="preserve">, M.L., </w:t>
      </w:r>
      <w:proofErr w:type="spellStart"/>
      <w:r w:rsidRPr="008468A0">
        <w:rPr>
          <w:rFonts w:cs="Times New Roman"/>
          <w:szCs w:val="24"/>
          <w:shd w:val="clear" w:color="auto" w:fill="FFFFFF"/>
        </w:rPr>
        <w:t>Scorza</w:t>
      </w:r>
      <w:proofErr w:type="spellEnd"/>
      <w:r w:rsidRPr="008468A0">
        <w:rPr>
          <w:rFonts w:cs="Times New Roman"/>
          <w:szCs w:val="24"/>
          <w:shd w:val="clear" w:color="auto" w:fill="FFFFFF"/>
        </w:rPr>
        <w:t xml:space="preserve">, P., Shultz, J.M., </w:t>
      </w:r>
      <w:proofErr w:type="spellStart"/>
      <w:r w:rsidRPr="008468A0">
        <w:rPr>
          <w:rFonts w:cs="Times New Roman"/>
          <w:szCs w:val="24"/>
          <w:shd w:val="clear" w:color="auto" w:fill="FFFFFF"/>
        </w:rPr>
        <w:t>Helpman</w:t>
      </w:r>
      <w:proofErr w:type="spellEnd"/>
      <w:r w:rsidRPr="008468A0">
        <w:rPr>
          <w:rFonts w:cs="Times New Roman"/>
          <w:szCs w:val="24"/>
          <w:shd w:val="clear" w:color="auto" w:fill="FFFFFF"/>
        </w:rPr>
        <w:t xml:space="preserve">, L., Mootz, J.J., Johnson, K.A., </w:t>
      </w:r>
      <w:proofErr w:type="spellStart"/>
      <w:r w:rsidRPr="008468A0">
        <w:rPr>
          <w:rFonts w:cs="Times New Roman"/>
          <w:szCs w:val="24"/>
          <w:shd w:val="clear" w:color="auto" w:fill="FFFFFF"/>
        </w:rPr>
        <w:t>Neria</w:t>
      </w:r>
      <w:proofErr w:type="spellEnd"/>
      <w:r w:rsidRPr="008468A0">
        <w:rPr>
          <w:rFonts w:cs="Times New Roman"/>
          <w:szCs w:val="24"/>
          <w:shd w:val="clear" w:color="auto" w:fill="FFFFFF"/>
        </w:rPr>
        <w:t>, Y., Bradford, J.M.E., Oquendo, M.A. and Arbuckle, M.R., 2017. Challenges and opportunities in global mental health: a research-to-practice perspective. </w:t>
      </w:r>
      <w:r w:rsidRPr="008468A0">
        <w:rPr>
          <w:rFonts w:cs="Times New Roman"/>
          <w:i/>
          <w:iCs/>
          <w:szCs w:val="24"/>
          <w:shd w:val="clear" w:color="auto" w:fill="FFFFFF"/>
        </w:rPr>
        <w:t>Current psychiatry reports</w:t>
      </w:r>
      <w:r w:rsidRPr="008468A0">
        <w:rPr>
          <w:rFonts w:cs="Times New Roman"/>
          <w:szCs w:val="24"/>
          <w:shd w:val="clear" w:color="auto" w:fill="FFFFFF"/>
        </w:rPr>
        <w:t>, </w:t>
      </w:r>
      <w:r w:rsidRPr="008468A0">
        <w:rPr>
          <w:rFonts w:cs="Times New Roman"/>
          <w:i/>
          <w:iCs/>
          <w:szCs w:val="24"/>
          <w:shd w:val="clear" w:color="auto" w:fill="FFFFFF"/>
        </w:rPr>
        <w:t>19</w:t>
      </w:r>
      <w:r w:rsidRPr="008468A0">
        <w:rPr>
          <w:rFonts w:cs="Times New Roman"/>
          <w:szCs w:val="24"/>
          <w:shd w:val="clear" w:color="auto" w:fill="FFFFFF"/>
        </w:rPr>
        <w:t>, pp.1-10.</w:t>
      </w:r>
    </w:p>
    <w:p w14:paraId="3A2BA609" w14:textId="77777777" w:rsidR="0047217A" w:rsidRPr="008468A0" w:rsidRDefault="0047217A" w:rsidP="0047217A">
      <w:pPr>
        <w:rPr>
          <w:rFonts w:cs="Times New Roman"/>
          <w:szCs w:val="24"/>
          <w:shd w:val="clear" w:color="auto" w:fill="FFFFFF"/>
        </w:rPr>
      </w:pPr>
      <w:r w:rsidRPr="008468A0">
        <w:rPr>
          <w:rFonts w:cs="Times New Roman"/>
          <w:szCs w:val="24"/>
          <w:shd w:val="clear" w:color="auto" w:fill="FFFFFF"/>
        </w:rPr>
        <w:t>WHO, 2016. Global strategy on human resources for health: workforce 2030.</w:t>
      </w:r>
    </w:p>
    <w:p w14:paraId="378D87B4" w14:textId="77777777" w:rsidR="0047217A" w:rsidRPr="008468A0" w:rsidRDefault="0047217A" w:rsidP="0047217A">
      <w:pPr>
        <w:rPr>
          <w:rFonts w:cs="Times New Roman"/>
          <w:szCs w:val="24"/>
        </w:rPr>
      </w:pPr>
      <w:r w:rsidRPr="008468A0">
        <w:rPr>
          <w:rFonts w:cs="Times New Roman"/>
          <w:szCs w:val="24"/>
        </w:rPr>
        <w:t xml:space="preserve">Yang, J., 2021. </w:t>
      </w:r>
      <w:r w:rsidRPr="008468A0">
        <w:rPr>
          <w:rFonts w:cs="Times New Roman"/>
          <w:szCs w:val="24"/>
          <w:u w:val="single"/>
        </w:rPr>
        <w:t>Healthcare expenditure 1997-2018</w:t>
      </w:r>
      <w:r w:rsidRPr="008468A0">
        <w:rPr>
          <w:rFonts w:cs="Times New Roman"/>
          <w:szCs w:val="24"/>
        </w:rPr>
        <w:t xml:space="preserve"> [Online]. Statista. Available: https://www.statista.com/statistics/317669/healthcare-expenditure-in-the-united-kingdom/ [Accessed 26 Jun 2023].</w:t>
      </w:r>
    </w:p>
    <w:p w14:paraId="4B9BD576" w14:textId="77777777" w:rsidR="0047217A" w:rsidRPr="008468A0" w:rsidRDefault="0047217A" w:rsidP="0047217A">
      <w:pPr>
        <w:rPr>
          <w:rFonts w:cs="Times New Roman"/>
          <w:szCs w:val="24"/>
        </w:rPr>
      </w:pPr>
      <w:r w:rsidRPr="008468A0">
        <w:rPr>
          <w:rFonts w:cs="Times New Roman"/>
          <w:szCs w:val="24"/>
          <w:shd w:val="clear" w:color="auto" w:fill="FFFFFF"/>
        </w:rPr>
        <w:t>Yermack, D., 2017. Corporate governance and blockchains. </w:t>
      </w:r>
      <w:r w:rsidRPr="008468A0">
        <w:rPr>
          <w:rFonts w:cs="Times New Roman"/>
          <w:i/>
          <w:iCs/>
          <w:szCs w:val="24"/>
          <w:shd w:val="clear" w:color="auto" w:fill="FFFFFF"/>
        </w:rPr>
        <w:t>Review of finance</w:t>
      </w:r>
      <w:r w:rsidRPr="008468A0">
        <w:rPr>
          <w:rFonts w:cs="Times New Roman"/>
          <w:szCs w:val="24"/>
          <w:shd w:val="clear" w:color="auto" w:fill="FFFFFF"/>
        </w:rPr>
        <w:t>, </w:t>
      </w:r>
      <w:r w:rsidRPr="008468A0">
        <w:rPr>
          <w:rFonts w:cs="Times New Roman"/>
          <w:i/>
          <w:iCs/>
          <w:szCs w:val="24"/>
          <w:shd w:val="clear" w:color="auto" w:fill="FFFFFF"/>
        </w:rPr>
        <w:t>21</w:t>
      </w:r>
      <w:r w:rsidRPr="008468A0">
        <w:rPr>
          <w:rFonts w:cs="Times New Roman"/>
          <w:szCs w:val="24"/>
          <w:shd w:val="clear" w:color="auto" w:fill="FFFFFF"/>
        </w:rPr>
        <w:t>(1), pp.7-31.</w:t>
      </w:r>
    </w:p>
    <w:p w14:paraId="3458FE3D" w14:textId="77777777" w:rsidR="00821DEF" w:rsidRPr="008468A0" w:rsidRDefault="00821DEF" w:rsidP="00821DEF"/>
    <w:p w14:paraId="551E32FD" w14:textId="77777777" w:rsidR="00821DEF" w:rsidRPr="008468A0" w:rsidRDefault="00821DEF">
      <w:pPr>
        <w:spacing w:line="276" w:lineRule="auto"/>
        <w:jc w:val="left"/>
      </w:pPr>
      <w:r w:rsidRPr="008468A0">
        <w:br w:type="page"/>
      </w:r>
    </w:p>
    <w:p w14:paraId="02970308" w14:textId="77777777" w:rsidR="00821DEF" w:rsidRPr="008468A0" w:rsidRDefault="00821DEF" w:rsidP="00821DEF">
      <w:pPr>
        <w:pStyle w:val="Heading1"/>
        <w:rPr>
          <w:color w:val="000000" w:themeColor="text1"/>
        </w:rPr>
      </w:pPr>
      <w:bookmarkStart w:id="30" w:name="_Toc138707982"/>
      <w:r w:rsidRPr="008468A0">
        <w:rPr>
          <w:color w:val="000000" w:themeColor="text1"/>
        </w:rPr>
        <w:lastRenderedPageBreak/>
        <w:t>8 Appendix</w:t>
      </w:r>
      <w:bookmarkEnd w:id="30"/>
    </w:p>
    <w:p w14:paraId="765C0BB1" w14:textId="77777777" w:rsidR="00821DEF" w:rsidRPr="008468A0" w:rsidRDefault="00821DEF" w:rsidP="00821DEF">
      <w:pPr>
        <w:pStyle w:val="Heading2"/>
        <w:rPr>
          <w:color w:val="000000" w:themeColor="text1"/>
        </w:rPr>
      </w:pPr>
      <w:bookmarkStart w:id="31" w:name="_Toc138707983"/>
      <w:r w:rsidRPr="008468A0">
        <w:rPr>
          <w:color w:val="000000" w:themeColor="text1"/>
        </w:rPr>
        <w:t xml:space="preserve">8.1 </w:t>
      </w:r>
      <w:r w:rsidR="005964DB" w:rsidRPr="008468A0">
        <w:rPr>
          <w:color w:val="000000" w:themeColor="text1"/>
        </w:rPr>
        <w:t xml:space="preserve">Raw Data of Expenditure in the </w:t>
      </w:r>
      <w:r w:rsidR="003C43D6" w:rsidRPr="008468A0">
        <w:rPr>
          <w:color w:val="000000" w:themeColor="text1"/>
        </w:rPr>
        <w:t>Healthcare</w:t>
      </w:r>
      <w:r w:rsidR="005964DB" w:rsidRPr="008468A0">
        <w:rPr>
          <w:color w:val="000000" w:themeColor="text1"/>
        </w:rPr>
        <w:t xml:space="preserve"> Industry</w:t>
      </w:r>
      <w:bookmarkEnd w:id="31"/>
    </w:p>
    <w:tbl>
      <w:tblPr>
        <w:tblW w:w="5000" w:type="pct"/>
        <w:tblLook w:val="04A0" w:firstRow="1" w:lastRow="0" w:firstColumn="1" w:lastColumn="0" w:noHBand="0" w:noVBand="1"/>
      </w:tblPr>
      <w:tblGrid>
        <w:gridCol w:w="4256"/>
        <w:gridCol w:w="5320"/>
      </w:tblGrid>
      <w:tr w:rsidR="008468A0" w:rsidRPr="008468A0" w14:paraId="6D160D8A" w14:textId="77777777" w:rsidTr="001F370A">
        <w:trPr>
          <w:trHeight w:val="315"/>
          <w:tblHeader/>
        </w:trPr>
        <w:tc>
          <w:tcPr>
            <w:tcW w:w="2222" w:type="pct"/>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44397193" w14:textId="77777777" w:rsidR="00FC3DD8" w:rsidRPr="008468A0" w:rsidRDefault="00FC3DD8" w:rsidP="0031151B">
            <w:pPr>
              <w:spacing w:after="0"/>
              <w:jc w:val="center"/>
              <w:rPr>
                <w:rFonts w:eastAsia="Times New Roman" w:cs="Times New Roman"/>
                <w:b/>
                <w:bCs/>
                <w:szCs w:val="24"/>
              </w:rPr>
            </w:pPr>
            <w:r w:rsidRPr="008468A0">
              <w:rPr>
                <w:rFonts w:eastAsia="Times New Roman" w:cs="Times New Roman"/>
                <w:b/>
                <w:bCs/>
                <w:szCs w:val="24"/>
              </w:rPr>
              <w:t>Year</w:t>
            </w:r>
          </w:p>
        </w:tc>
        <w:tc>
          <w:tcPr>
            <w:tcW w:w="2778" w:type="pct"/>
            <w:tcBorders>
              <w:top w:val="single" w:sz="4" w:space="0" w:color="auto"/>
              <w:left w:val="nil"/>
              <w:bottom w:val="single" w:sz="4" w:space="0" w:color="auto"/>
              <w:right w:val="single" w:sz="4" w:space="0" w:color="auto"/>
            </w:tcBorders>
            <w:shd w:val="clear" w:color="000000" w:fill="FFFFFF"/>
            <w:noWrap/>
            <w:vAlign w:val="center"/>
            <w:hideMark/>
          </w:tcPr>
          <w:p w14:paraId="6AC6F0F0" w14:textId="77777777" w:rsidR="00FC3DD8" w:rsidRPr="008468A0" w:rsidRDefault="00FC3DD8" w:rsidP="0031151B">
            <w:pPr>
              <w:spacing w:after="0"/>
              <w:jc w:val="center"/>
              <w:rPr>
                <w:rFonts w:eastAsia="Times New Roman" w:cs="Times New Roman"/>
                <w:b/>
                <w:bCs/>
                <w:szCs w:val="24"/>
              </w:rPr>
            </w:pPr>
            <w:r w:rsidRPr="008468A0">
              <w:rPr>
                <w:rFonts w:eastAsia="Times New Roman" w:cs="Times New Roman"/>
                <w:b/>
                <w:bCs/>
                <w:szCs w:val="24"/>
              </w:rPr>
              <w:t>Expenditure (In Billion Pounds)</w:t>
            </w:r>
          </w:p>
        </w:tc>
      </w:tr>
      <w:tr w:rsidR="008468A0" w:rsidRPr="008468A0" w14:paraId="5885BE41"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021245C5"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2010</w:t>
            </w:r>
          </w:p>
        </w:tc>
        <w:tc>
          <w:tcPr>
            <w:tcW w:w="2778" w:type="pct"/>
            <w:tcBorders>
              <w:top w:val="nil"/>
              <w:left w:val="nil"/>
              <w:bottom w:val="single" w:sz="4" w:space="0" w:color="auto"/>
              <w:right w:val="single" w:sz="4" w:space="0" w:color="auto"/>
            </w:tcBorders>
            <w:shd w:val="clear" w:color="000000" w:fill="FFFFFF"/>
            <w:noWrap/>
            <w:vAlign w:val="center"/>
            <w:hideMark/>
          </w:tcPr>
          <w:p w14:paraId="120B59EE"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126.60</w:t>
            </w:r>
          </w:p>
        </w:tc>
      </w:tr>
      <w:tr w:rsidR="008468A0" w:rsidRPr="008468A0" w14:paraId="70D98556"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1DE09656"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2011</w:t>
            </w:r>
          </w:p>
        </w:tc>
        <w:tc>
          <w:tcPr>
            <w:tcW w:w="2778" w:type="pct"/>
            <w:tcBorders>
              <w:top w:val="nil"/>
              <w:left w:val="nil"/>
              <w:bottom w:val="single" w:sz="4" w:space="0" w:color="auto"/>
              <w:right w:val="single" w:sz="4" w:space="0" w:color="auto"/>
            </w:tcBorders>
            <w:shd w:val="clear" w:color="000000" w:fill="FFFFFF"/>
            <w:noWrap/>
            <w:vAlign w:val="center"/>
            <w:hideMark/>
          </w:tcPr>
          <w:p w14:paraId="4BF42919"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144.10</w:t>
            </w:r>
          </w:p>
        </w:tc>
      </w:tr>
      <w:tr w:rsidR="008468A0" w:rsidRPr="008468A0" w14:paraId="14D6F528"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63DD2B9A"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2012</w:t>
            </w:r>
          </w:p>
        </w:tc>
        <w:tc>
          <w:tcPr>
            <w:tcW w:w="2778" w:type="pct"/>
            <w:tcBorders>
              <w:top w:val="nil"/>
              <w:left w:val="nil"/>
              <w:bottom w:val="single" w:sz="4" w:space="0" w:color="auto"/>
              <w:right w:val="single" w:sz="4" w:space="0" w:color="auto"/>
            </w:tcBorders>
            <w:shd w:val="clear" w:color="000000" w:fill="FFFFFF"/>
            <w:noWrap/>
            <w:vAlign w:val="center"/>
            <w:hideMark/>
          </w:tcPr>
          <w:p w14:paraId="36DE9A6C"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153.00</w:t>
            </w:r>
          </w:p>
        </w:tc>
      </w:tr>
      <w:tr w:rsidR="008468A0" w:rsidRPr="008468A0" w14:paraId="02A33AF5"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1587C3CB"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2013</w:t>
            </w:r>
          </w:p>
        </w:tc>
        <w:tc>
          <w:tcPr>
            <w:tcW w:w="2778" w:type="pct"/>
            <w:tcBorders>
              <w:top w:val="nil"/>
              <w:left w:val="nil"/>
              <w:bottom w:val="single" w:sz="4" w:space="0" w:color="auto"/>
              <w:right w:val="single" w:sz="4" w:space="0" w:color="auto"/>
            </w:tcBorders>
            <w:shd w:val="clear" w:color="000000" w:fill="FFFFFF"/>
            <w:noWrap/>
            <w:vAlign w:val="center"/>
            <w:hideMark/>
          </w:tcPr>
          <w:p w14:paraId="146F086F"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160.40</w:t>
            </w:r>
          </w:p>
        </w:tc>
      </w:tr>
      <w:tr w:rsidR="008468A0" w:rsidRPr="008468A0" w14:paraId="7A48C7E6"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4B19780F"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2014</w:t>
            </w:r>
          </w:p>
        </w:tc>
        <w:tc>
          <w:tcPr>
            <w:tcW w:w="2778" w:type="pct"/>
            <w:tcBorders>
              <w:top w:val="nil"/>
              <w:left w:val="nil"/>
              <w:bottom w:val="single" w:sz="4" w:space="0" w:color="auto"/>
              <w:right w:val="single" w:sz="4" w:space="0" w:color="auto"/>
            </w:tcBorders>
            <w:shd w:val="clear" w:color="000000" w:fill="FFFFFF"/>
            <w:noWrap/>
            <w:vAlign w:val="center"/>
            <w:hideMark/>
          </w:tcPr>
          <w:p w14:paraId="2B1FB3FD"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170.90</w:t>
            </w:r>
          </w:p>
        </w:tc>
      </w:tr>
      <w:tr w:rsidR="008468A0" w:rsidRPr="008468A0" w14:paraId="36EB49A5"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5529BE56"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2015</w:t>
            </w:r>
          </w:p>
        </w:tc>
        <w:tc>
          <w:tcPr>
            <w:tcW w:w="2778" w:type="pct"/>
            <w:tcBorders>
              <w:top w:val="nil"/>
              <w:left w:val="nil"/>
              <w:bottom w:val="single" w:sz="4" w:space="0" w:color="auto"/>
              <w:right w:val="single" w:sz="4" w:space="0" w:color="auto"/>
            </w:tcBorders>
            <w:shd w:val="clear" w:color="000000" w:fill="FFFFFF"/>
            <w:noWrap/>
            <w:vAlign w:val="center"/>
            <w:hideMark/>
          </w:tcPr>
          <w:p w14:paraId="3D77C5C7"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184.30</w:t>
            </w:r>
          </w:p>
        </w:tc>
      </w:tr>
      <w:tr w:rsidR="008468A0" w:rsidRPr="008468A0" w14:paraId="52564F20"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7B751D6C"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2016</w:t>
            </w:r>
          </w:p>
        </w:tc>
        <w:tc>
          <w:tcPr>
            <w:tcW w:w="2778" w:type="pct"/>
            <w:tcBorders>
              <w:top w:val="nil"/>
              <w:left w:val="nil"/>
              <w:bottom w:val="single" w:sz="4" w:space="0" w:color="auto"/>
              <w:right w:val="single" w:sz="4" w:space="0" w:color="auto"/>
            </w:tcBorders>
            <w:shd w:val="clear" w:color="000000" w:fill="FFFFFF"/>
            <w:noWrap/>
            <w:vAlign w:val="center"/>
            <w:hideMark/>
          </w:tcPr>
          <w:p w14:paraId="56F6BA4F"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195.50</w:t>
            </w:r>
          </w:p>
        </w:tc>
      </w:tr>
      <w:tr w:rsidR="008468A0" w:rsidRPr="008468A0" w14:paraId="4FAAFA5C"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54266414"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2017</w:t>
            </w:r>
          </w:p>
        </w:tc>
        <w:tc>
          <w:tcPr>
            <w:tcW w:w="2778" w:type="pct"/>
            <w:tcBorders>
              <w:top w:val="nil"/>
              <w:left w:val="nil"/>
              <w:bottom w:val="single" w:sz="4" w:space="0" w:color="auto"/>
              <w:right w:val="single" w:sz="4" w:space="0" w:color="auto"/>
            </w:tcBorders>
            <w:shd w:val="clear" w:color="000000" w:fill="FFFFFF"/>
            <w:noWrap/>
            <w:vAlign w:val="center"/>
            <w:hideMark/>
          </w:tcPr>
          <w:p w14:paraId="5FDA2ADB"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201.00</w:t>
            </w:r>
          </w:p>
        </w:tc>
      </w:tr>
      <w:tr w:rsidR="008468A0" w:rsidRPr="008468A0" w14:paraId="1B9FC1D3"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6D537D5A"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2018</w:t>
            </w:r>
          </w:p>
        </w:tc>
        <w:tc>
          <w:tcPr>
            <w:tcW w:w="2778" w:type="pct"/>
            <w:tcBorders>
              <w:top w:val="nil"/>
              <w:left w:val="nil"/>
              <w:bottom w:val="single" w:sz="4" w:space="0" w:color="auto"/>
              <w:right w:val="single" w:sz="4" w:space="0" w:color="auto"/>
            </w:tcBorders>
            <w:shd w:val="clear" w:color="000000" w:fill="FFFFFF"/>
            <w:noWrap/>
            <w:vAlign w:val="center"/>
            <w:hideMark/>
          </w:tcPr>
          <w:p w14:paraId="36FCCF0C"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210.00</w:t>
            </w:r>
          </w:p>
        </w:tc>
      </w:tr>
      <w:tr w:rsidR="008468A0" w:rsidRPr="008468A0" w14:paraId="26039256"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5ADB738C"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2019</w:t>
            </w:r>
          </w:p>
        </w:tc>
        <w:tc>
          <w:tcPr>
            <w:tcW w:w="2778" w:type="pct"/>
            <w:tcBorders>
              <w:top w:val="nil"/>
              <w:left w:val="nil"/>
              <w:bottom w:val="single" w:sz="4" w:space="0" w:color="auto"/>
              <w:right w:val="single" w:sz="4" w:space="0" w:color="auto"/>
            </w:tcBorders>
            <w:shd w:val="clear" w:color="000000" w:fill="FFFFFF"/>
            <w:noWrap/>
            <w:vAlign w:val="center"/>
            <w:hideMark/>
          </w:tcPr>
          <w:p w14:paraId="2FECAF08"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222.70</w:t>
            </w:r>
          </w:p>
        </w:tc>
      </w:tr>
      <w:tr w:rsidR="008468A0" w:rsidRPr="008468A0" w14:paraId="391D7E30"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7211AB35"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2020</w:t>
            </w:r>
          </w:p>
        </w:tc>
        <w:tc>
          <w:tcPr>
            <w:tcW w:w="2778" w:type="pct"/>
            <w:tcBorders>
              <w:top w:val="nil"/>
              <w:left w:val="nil"/>
              <w:bottom w:val="single" w:sz="4" w:space="0" w:color="auto"/>
              <w:right w:val="single" w:sz="4" w:space="0" w:color="auto"/>
            </w:tcBorders>
            <w:shd w:val="clear" w:color="000000" w:fill="FFFFFF"/>
            <w:noWrap/>
            <w:vAlign w:val="center"/>
            <w:hideMark/>
          </w:tcPr>
          <w:p w14:paraId="2AE1F269"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257.50</w:t>
            </w:r>
          </w:p>
        </w:tc>
      </w:tr>
      <w:tr w:rsidR="008468A0" w:rsidRPr="008468A0" w14:paraId="7D4A16A7"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3B7EBB53"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2021</w:t>
            </w:r>
          </w:p>
        </w:tc>
        <w:tc>
          <w:tcPr>
            <w:tcW w:w="2778" w:type="pct"/>
            <w:tcBorders>
              <w:top w:val="nil"/>
              <w:left w:val="nil"/>
              <w:bottom w:val="single" w:sz="4" w:space="0" w:color="auto"/>
              <w:right w:val="single" w:sz="4" w:space="0" w:color="auto"/>
            </w:tcBorders>
            <w:shd w:val="clear" w:color="000000" w:fill="FFFFFF"/>
            <w:noWrap/>
            <w:vAlign w:val="center"/>
            <w:hideMark/>
          </w:tcPr>
          <w:p w14:paraId="07E5285C" w14:textId="77777777" w:rsidR="00FC3DD8" w:rsidRPr="008468A0" w:rsidRDefault="00FC3DD8" w:rsidP="0031151B">
            <w:pPr>
              <w:spacing w:after="0"/>
              <w:jc w:val="center"/>
              <w:rPr>
                <w:rFonts w:eastAsia="Times New Roman" w:cs="Times New Roman"/>
                <w:szCs w:val="24"/>
              </w:rPr>
            </w:pPr>
            <w:r w:rsidRPr="008468A0">
              <w:rPr>
                <w:rFonts w:eastAsia="Times New Roman" w:cs="Times New Roman"/>
                <w:szCs w:val="24"/>
              </w:rPr>
              <w:t>276.60</w:t>
            </w:r>
          </w:p>
        </w:tc>
      </w:tr>
    </w:tbl>
    <w:p w14:paraId="1E53FE94" w14:textId="77777777" w:rsidR="000D27EA" w:rsidRPr="008468A0" w:rsidRDefault="000D27EA" w:rsidP="00821DEF"/>
    <w:p w14:paraId="175A3BA0" w14:textId="77777777" w:rsidR="00821DEF" w:rsidRPr="008468A0" w:rsidRDefault="00821DEF" w:rsidP="00821DEF">
      <w:pPr>
        <w:pStyle w:val="Heading2"/>
        <w:rPr>
          <w:color w:val="000000" w:themeColor="text1"/>
        </w:rPr>
      </w:pPr>
      <w:bookmarkStart w:id="32" w:name="_Toc138707984"/>
      <w:r w:rsidRPr="008468A0">
        <w:rPr>
          <w:color w:val="000000" w:themeColor="text1"/>
        </w:rPr>
        <w:t xml:space="preserve">8.2 </w:t>
      </w:r>
      <w:r w:rsidR="0087194A" w:rsidRPr="008468A0">
        <w:rPr>
          <w:color w:val="000000" w:themeColor="text1"/>
        </w:rPr>
        <w:t>Raw Data of Number of Employees</w:t>
      </w:r>
      <w:r w:rsidR="005964DB" w:rsidRPr="008468A0">
        <w:rPr>
          <w:color w:val="000000" w:themeColor="text1"/>
        </w:rPr>
        <w:t xml:space="preserve"> in the </w:t>
      </w:r>
      <w:r w:rsidR="003C43D6" w:rsidRPr="008468A0">
        <w:rPr>
          <w:color w:val="000000" w:themeColor="text1"/>
        </w:rPr>
        <w:t>Healthcare</w:t>
      </w:r>
      <w:r w:rsidR="005964DB" w:rsidRPr="008468A0">
        <w:rPr>
          <w:color w:val="000000" w:themeColor="text1"/>
        </w:rPr>
        <w:t xml:space="preserve"> Industry</w:t>
      </w:r>
      <w:bookmarkEnd w:id="32"/>
    </w:p>
    <w:tbl>
      <w:tblPr>
        <w:tblW w:w="5000" w:type="pct"/>
        <w:tblLook w:val="04A0" w:firstRow="1" w:lastRow="0" w:firstColumn="1" w:lastColumn="0" w:noHBand="0" w:noVBand="1"/>
      </w:tblPr>
      <w:tblGrid>
        <w:gridCol w:w="4256"/>
        <w:gridCol w:w="5320"/>
      </w:tblGrid>
      <w:tr w:rsidR="008468A0" w:rsidRPr="008468A0" w14:paraId="7AC7A709" w14:textId="77777777" w:rsidTr="001F370A">
        <w:trPr>
          <w:trHeight w:val="315"/>
          <w:tblHeader/>
        </w:trPr>
        <w:tc>
          <w:tcPr>
            <w:tcW w:w="2222" w:type="pct"/>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7BAE2404" w14:textId="77777777" w:rsidR="00314DFB" w:rsidRPr="008468A0" w:rsidRDefault="00314DFB" w:rsidP="0031151B">
            <w:pPr>
              <w:spacing w:after="0"/>
              <w:jc w:val="center"/>
              <w:rPr>
                <w:rFonts w:eastAsia="Times New Roman" w:cs="Times New Roman"/>
                <w:b/>
                <w:bCs/>
                <w:szCs w:val="24"/>
              </w:rPr>
            </w:pPr>
            <w:r w:rsidRPr="008468A0">
              <w:rPr>
                <w:rFonts w:eastAsia="Times New Roman" w:cs="Times New Roman"/>
                <w:b/>
                <w:bCs/>
                <w:szCs w:val="24"/>
              </w:rPr>
              <w:t>Year</w:t>
            </w:r>
          </w:p>
        </w:tc>
        <w:tc>
          <w:tcPr>
            <w:tcW w:w="2778" w:type="pct"/>
            <w:tcBorders>
              <w:top w:val="single" w:sz="4" w:space="0" w:color="auto"/>
              <w:left w:val="nil"/>
              <w:bottom w:val="single" w:sz="4" w:space="0" w:color="auto"/>
              <w:right w:val="single" w:sz="4" w:space="0" w:color="auto"/>
            </w:tcBorders>
            <w:shd w:val="clear" w:color="000000" w:fill="FFFFFF"/>
            <w:noWrap/>
            <w:vAlign w:val="center"/>
            <w:hideMark/>
          </w:tcPr>
          <w:p w14:paraId="62A8A4D0" w14:textId="77777777" w:rsidR="00314DFB" w:rsidRPr="008468A0" w:rsidRDefault="00314DFB" w:rsidP="0031151B">
            <w:pPr>
              <w:spacing w:after="0"/>
              <w:jc w:val="center"/>
              <w:rPr>
                <w:rFonts w:eastAsia="Times New Roman" w:cs="Times New Roman"/>
                <w:b/>
                <w:bCs/>
                <w:szCs w:val="24"/>
              </w:rPr>
            </w:pPr>
            <w:r w:rsidRPr="008468A0">
              <w:rPr>
                <w:rFonts w:eastAsia="Times New Roman" w:cs="Times New Roman"/>
                <w:b/>
                <w:bCs/>
                <w:szCs w:val="24"/>
              </w:rPr>
              <w:t>Number of Employees</w:t>
            </w:r>
          </w:p>
        </w:tc>
      </w:tr>
      <w:tr w:rsidR="008468A0" w:rsidRPr="008468A0" w14:paraId="4811B784"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585FFE8D"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2010</w:t>
            </w:r>
          </w:p>
        </w:tc>
        <w:tc>
          <w:tcPr>
            <w:tcW w:w="2778" w:type="pct"/>
            <w:tcBorders>
              <w:top w:val="nil"/>
              <w:left w:val="nil"/>
              <w:bottom w:val="single" w:sz="4" w:space="0" w:color="auto"/>
              <w:right w:val="single" w:sz="4" w:space="0" w:color="auto"/>
            </w:tcBorders>
            <w:shd w:val="clear" w:color="000000" w:fill="FFFFFF"/>
            <w:noWrap/>
            <w:vAlign w:val="center"/>
            <w:hideMark/>
          </w:tcPr>
          <w:p w14:paraId="75B551D8"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1,441,005</w:t>
            </w:r>
          </w:p>
        </w:tc>
      </w:tr>
      <w:tr w:rsidR="008468A0" w:rsidRPr="008468A0" w14:paraId="79C52332"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6ABA1A18"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2011</w:t>
            </w:r>
          </w:p>
        </w:tc>
        <w:tc>
          <w:tcPr>
            <w:tcW w:w="2778" w:type="pct"/>
            <w:tcBorders>
              <w:top w:val="nil"/>
              <w:left w:val="nil"/>
              <w:bottom w:val="single" w:sz="4" w:space="0" w:color="auto"/>
              <w:right w:val="single" w:sz="4" w:space="0" w:color="auto"/>
            </w:tcBorders>
            <w:shd w:val="clear" w:color="000000" w:fill="FFFFFF"/>
            <w:noWrap/>
            <w:vAlign w:val="center"/>
            <w:hideMark/>
          </w:tcPr>
          <w:p w14:paraId="0087EE14"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1,405,166</w:t>
            </w:r>
          </w:p>
        </w:tc>
      </w:tr>
      <w:tr w:rsidR="008468A0" w:rsidRPr="008468A0" w14:paraId="4920F464"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1AE41C45"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2012</w:t>
            </w:r>
          </w:p>
        </w:tc>
        <w:tc>
          <w:tcPr>
            <w:tcW w:w="2778" w:type="pct"/>
            <w:tcBorders>
              <w:top w:val="nil"/>
              <w:left w:val="nil"/>
              <w:bottom w:val="single" w:sz="4" w:space="0" w:color="auto"/>
              <w:right w:val="single" w:sz="4" w:space="0" w:color="auto"/>
            </w:tcBorders>
            <w:shd w:val="clear" w:color="000000" w:fill="FFFFFF"/>
            <w:noWrap/>
            <w:vAlign w:val="center"/>
            <w:hideMark/>
          </w:tcPr>
          <w:p w14:paraId="3C1D3FAF"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1,361,696</w:t>
            </w:r>
          </w:p>
        </w:tc>
      </w:tr>
      <w:tr w:rsidR="008468A0" w:rsidRPr="008468A0" w14:paraId="3CA66632"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104C75AD"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2013</w:t>
            </w:r>
          </w:p>
        </w:tc>
        <w:tc>
          <w:tcPr>
            <w:tcW w:w="2778" w:type="pct"/>
            <w:tcBorders>
              <w:top w:val="nil"/>
              <w:left w:val="nil"/>
              <w:bottom w:val="single" w:sz="4" w:space="0" w:color="auto"/>
              <w:right w:val="single" w:sz="4" w:space="0" w:color="auto"/>
            </w:tcBorders>
            <w:shd w:val="clear" w:color="000000" w:fill="FFFFFF"/>
            <w:noWrap/>
            <w:vAlign w:val="center"/>
            <w:hideMark/>
          </w:tcPr>
          <w:p w14:paraId="604B1D0D"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1,373,178</w:t>
            </w:r>
          </w:p>
        </w:tc>
      </w:tr>
      <w:tr w:rsidR="008468A0" w:rsidRPr="008468A0" w14:paraId="1A22F46E"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56AB6A46"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2014</w:t>
            </w:r>
          </w:p>
        </w:tc>
        <w:tc>
          <w:tcPr>
            <w:tcW w:w="2778" w:type="pct"/>
            <w:tcBorders>
              <w:top w:val="nil"/>
              <w:left w:val="nil"/>
              <w:bottom w:val="single" w:sz="4" w:space="0" w:color="auto"/>
              <w:right w:val="single" w:sz="4" w:space="0" w:color="auto"/>
            </w:tcBorders>
            <w:shd w:val="clear" w:color="000000" w:fill="FFFFFF"/>
            <w:noWrap/>
            <w:vAlign w:val="center"/>
            <w:hideMark/>
          </w:tcPr>
          <w:p w14:paraId="0918DEAB"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1,396,968</w:t>
            </w:r>
          </w:p>
        </w:tc>
      </w:tr>
      <w:tr w:rsidR="008468A0" w:rsidRPr="008468A0" w14:paraId="2D650599"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4A07DD2D"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2015</w:t>
            </w:r>
          </w:p>
        </w:tc>
        <w:tc>
          <w:tcPr>
            <w:tcW w:w="2778" w:type="pct"/>
            <w:tcBorders>
              <w:top w:val="nil"/>
              <w:left w:val="nil"/>
              <w:bottom w:val="single" w:sz="4" w:space="0" w:color="auto"/>
              <w:right w:val="single" w:sz="4" w:space="0" w:color="auto"/>
            </w:tcBorders>
            <w:shd w:val="clear" w:color="000000" w:fill="FFFFFF"/>
            <w:noWrap/>
            <w:vAlign w:val="center"/>
            <w:hideMark/>
          </w:tcPr>
          <w:p w14:paraId="2ABCF08C"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1,423,676</w:t>
            </w:r>
          </w:p>
        </w:tc>
      </w:tr>
      <w:tr w:rsidR="008468A0" w:rsidRPr="008468A0" w14:paraId="0FEEED88"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17949726"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2016</w:t>
            </w:r>
          </w:p>
        </w:tc>
        <w:tc>
          <w:tcPr>
            <w:tcW w:w="2778" w:type="pct"/>
            <w:tcBorders>
              <w:top w:val="nil"/>
              <w:left w:val="nil"/>
              <w:bottom w:val="single" w:sz="4" w:space="0" w:color="auto"/>
              <w:right w:val="single" w:sz="4" w:space="0" w:color="auto"/>
            </w:tcBorders>
            <w:shd w:val="clear" w:color="000000" w:fill="FFFFFF"/>
            <w:noWrap/>
            <w:vAlign w:val="center"/>
            <w:hideMark/>
          </w:tcPr>
          <w:p w14:paraId="3A775B1B"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1,453,394</w:t>
            </w:r>
          </w:p>
        </w:tc>
      </w:tr>
      <w:tr w:rsidR="008468A0" w:rsidRPr="008468A0" w14:paraId="0879EF95"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5C1B4243"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2017</w:t>
            </w:r>
          </w:p>
        </w:tc>
        <w:tc>
          <w:tcPr>
            <w:tcW w:w="2778" w:type="pct"/>
            <w:tcBorders>
              <w:top w:val="nil"/>
              <w:left w:val="nil"/>
              <w:bottom w:val="single" w:sz="4" w:space="0" w:color="auto"/>
              <w:right w:val="single" w:sz="4" w:space="0" w:color="auto"/>
            </w:tcBorders>
            <w:shd w:val="clear" w:color="000000" w:fill="FFFFFF"/>
            <w:noWrap/>
            <w:vAlign w:val="center"/>
            <w:hideMark/>
          </w:tcPr>
          <w:p w14:paraId="1CC9E599"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1,460,332</w:t>
            </w:r>
          </w:p>
        </w:tc>
      </w:tr>
      <w:tr w:rsidR="008468A0" w:rsidRPr="008468A0" w14:paraId="167A7DC9"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48E8E82B"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2018</w:t>
            </w:r>
          </w:p>
        </w:tc>
        <w:tc>
          <w:tcPr>
            <w:tcW w:w="2778" w:type="pct"/>
            <w:tcBorders>
              <w:top w:val="nil"/>
              <w:left w:val="nil"/>
              <w:bottom w:val="single" w:sz="4" w:space="0" w:color="auto"/>
              <w:right w:val="single" w:sz="4" w:space="0" w:color="auto"/>
            </w:tcBorders>
            <w:shd w:val="clear" w:color="000000" w:fill="FFFFFF"/>
            <w:noWrap/>
            <w:vAlign w:val="center"/>
            <w:hideMark/>
          </w:tcPr>
          <w:p w14:paraId="2A1F8693"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1,490,784</w:t>
            </w:r>
          </w:p>
        </w:tc>
      </w:tr>
      <w:tr w:rsidR="008468A0" w:rsidRPr="008468A0" w14:paraId="7E1F7890"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74384D53"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2019</w:t>
            </w:r>
          </w:p>
        </w:tc>
        <w:tc>
          <w:tcPr>
            <w:tcW w:w="2778" w:type="pct"/>
            <w:tcBorders>
              <w:top w:val="nil"/>
              <w:left w:val="nil"/>
              <w:bottom w:val="single" w:sz="4" w:space="0" w:color="auto"/>
              <w:right w:val="single" w:sz="4" w:space="0" w:color="auto"/>
            </w:tcBorders>
            <w:shd w:val="clear" w:color="000000" w:fill="FFFFFF"/>
            <w:noWrap/>
            <w:vAlign w:val="center"/>
            <w:hideMark/>
          </w:tcPr>
          <w:p w14:paraId="2EFB6A08"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1,540,364</w:t>
            </w:r>
          </w:p>
        </w:tc>
      </w:tr>
      <w:tr w:rsidR="008468A0" w:rsidRPr="008468A0" w14:paraId="3F86410E"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18612D57"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2020</w:t>
            </w:r>
          </w:p>
        </w:tc>
        <w:tc>
          <w:tcPr>
            <w:tcW w:w="2778" w:type="pct"/>
            <w:tcBorders>
              <w:top w:val="nil"/>
              <w:left w:val="nil"/>
              <w:bottom w:val="single" w:sz="4" w:space="0" w:color="auto"/>
              <w:right w:val="single" w:sz="4" w:space="0" w:color="auto"/>
            </w:tcBorders>
            <w:shd w:val="clear" w:color="000000" w:fill="FFFFFF"/>
            <w:noWrap/>
            <w:vAlign w:val="center"/>
            <w:hideMark/>
          </w:tcPr>
          <w:p w14:paraId="6315345A"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1,576,430</w:t>
            </w:r>
          </w:p>
        </w:tc>
      </w:tr>
      <w:tr w:rsidR="008468A0" w:rsidRPr="008468A0" w14:paraId="3B61A9EB" w14:textId="77777777" w:rsidTr="00314DFB">
        <w:trPr>
          <w:trHeight w:val="315"/>
        </w:trPr>
        <w:tc>
          <w:tcPr>
            <w:tcW w:w="2222" w:type="pct"/>
            <w:tcBorders>
              <w:top w:val="nil"/>
              <w:left w:val="single" w:sz="4" w:space="0" w:color="auto"/>
              <w:bottom w:val="single" w:sz="4" w:space="0" w:color="auto"/>
              <w:right w:val="single" w:sz="4" w:space="0" w:color="auto"/>
            </w:tcBorders>
            <w:shd w:val="clear" w:color="000000" w:fill="FFFFFF"/>
            <w:noWrap/>
            <w:vAlign w:val="center"/>
            <w:hideMark/>
          </w:tcPr>
          <w:p w14:paraId="1C7A8031"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lastRenderedPageBreak/>
              <w:t>2021</w:t>
            </w:r>
          </w:p>
        </w:tc>
        <w:tc>
          <w:tcPr>
            <w:tcW w:w="2778" w:type="pct"/>
            <w:tcBorders>
              <w:top w:val="nil"/>
              <w:left w:val="nil"/>
              <w:bottom w:val="single" w:sz="4" w:space="0" w:color="auto"/>
              <w:right w:val="single" w:sz="4" w:space="0" w:color="auto"/>
            </w:tcBorders>
            <w:shd w:val="clear" w:color="000000" w:fill="FFFFFF"/>
            <w:noWrap/>
            <w:vAlign w:val="center"/>
            <w:hideMark/>
          </w:tcPr>
          <w:p w14:paraId="2294A3EE" w14:textId="77777777" w:rsidR="00314DFB" w:rsidRPr="008468A0" w:rsidRDefault="00314DFB" w:rsidP="0031151B">
            <w:pPr>
              <w:spacing w:after="0"/>
              <w:jc w:val="center"/>
              <w:rPr>
                <w:rFonts w:eastAsia="Times New Roman" w:cs="Times New Roman"/>
                <w:szCs w:val="24"/>
              </w:rPr>
            </w:pPr>
            <w:r w:rsidRPr="008468A0">
              <w:rPr>
                <w:rFonts w:eastAsia="Times New Roman" w:cs="Times New Roman"/>
                <w:szCs w:val="24"/>
              </w:rPr>
              <w:t>1,660,883</w:t>
            </w:r>
          </w:p>
        </w:tc>
      </w:tr>
    </w:tbl>
    <w:p w14:paraId="2CC068A6" w14:textId="77777777" w:rsidR="000D27EA" w:rsidRPr="008468A0" w:rsidRDefault="000D27EA" w:rsidP="00821DEF"/>
    <w:p w14:paraId="6C7B7EB2" w14:textId="77777777" w:rsidR="00821DEF" w:rsidRPr="008468A0" w:rsidRDefault="00821DEF" w:rsidP="00821DEF">
      <w:pPr>
        <w:pStyle w:val="Heading2"/>
        <w:rPr>
          <w:color w:val="000000" w:themeColor="text1"/>
        </w:rPr>
      </w:pPr>
      <w:bookmarkStart w:id="33" w:name="_Toc138707985"/>
      <w:r w:rsidRPr="008468A0">
        <w:rPr>
          <w:color w:val="000000" w:themeColor="text1"/>
        </w:rPr>
        <w:t xml:space="preserve">8.3 </w:t>
      </w:r>
      <w:r w:rsidR="005964DB" w:rsidRPr="008468A0">
        <w:rPr>
          <w:color w:val="000000" w:themeColor="text1"/>
        </w:rPr>
        <w:t xml:space="preserve">Raw Data of </w:t>
      </w:r>
      <w:r w:rsidR="0087194A" w:rsidRPr="008468A0">
        <w:rPr>
          <w:color w:val="000000" w:themeColor="text1"/>
        </w:rPr>
        <w:t>Number of Firms</w:t>
      </w:r>
      <w:r w:rsidR="005964DB" w:rsidRPr="008468A0">
        <w:rPr>
          <w:color w:val="000000" w:themeColor="text1"/>
        </w:rPr>
        <w:t xml:space="preserve"> in the </w:t>
      </w:r>
      <w:r w:rsidR="003C43D6" w:rsidRPr="008468A0">
        <w:rPr>
          <w:color w:val="000000" w:themeColor="text1"/>
        </w:rPr>
        <w:t>Healthcare</w:t>
      </w:r>
      <w:r w:rsidR="005964DB" w:rsidRPr="008468A0">
        <w:rPr>
          <w:color w:val="000000" w:themeColor="text1"/>
        </w:rPr>
        <w:t xml:space="preserve"> Industry</w:t>
      </w:r>
      <w:bookmarkEnd w:id="33"/>
    </w:p>
    <w:tbl>
      <w:tblPr>
        <w:tblW w:w="5000" w:type="pct"/>
        <w:tblLook w:val="04A0" w:firstRow="1" w:lastRow="0" w:firstColumn="1" w:lastColumn="0" w:noHBand="0" w:noVBand="1"/>
      </w:tblPr>
      <w:tblGrid>
        <w:gridCol w:w="3854"/>
        <w:gridCol w:w="2861"/>
        <w:gridCol w:w="2861"/>
      </w:tblGrid>
      <w:tr w:rsidR="008468A0" w:rsidRPr="008468A0" w14:paraId="5B0C44FF" w14:textId="77777777" w:rsidTr="001F370A">
        <w:trPr>
          <w:trHeight w:val="315"/>
          <w:tblHeader/>
        </w:trPr>
        <w:tc>
          <w:tcPr>
            <w:tcW w:w="2012" w:type="pct"/>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58B85D10" w14:textId="77777777" w:rsidR="0031151B" w:rsidRPr="008468A0" w:rsidRDefault="0031151B" w:rsidP="0031151B">
            <w:pPr>
              <w:spacing w:after="0"/>
              <w:jc w:val="center"/>
              <w:rPr>
                <w:rFonts w:eastAsia="Times New Roman" w:cs="Times New Roman"/>
                <w:b/>
                <w:bCs/>
                <w:szCs w:val="24"/>
              </w:rPr>
            </w:pPr>
          </w:p>
        </w:tc>
        <w:tc>
          <w:tcPr>
            <w:tcW w:w="2988" w:type="pct"/>
            <w:gridSpan w:val="2"/>
            <w:tcBorders>
              <w:top w:val="single" w:sz="4" w:space="0" w:color="auto"/>
              <w:left w:val="nil"/>
              <w:bottom w:val="single" w:sz="4" w:space="0" w:color="auto"/>
              <w:right w:val="single" w:sz="4" w:space="0" w:color="auto"/>
            </w:tcBorders>
            <w:shd w:val="clear" w:color="000000" w:fill="FFFFFF"/>
            <w:noWrap/>
            <w:vAlign w:val="center"/>
            <w:hideMark/>
          </w:tcPr>
          <w:p w14:paraId="33D705F5" w14:textId="77777777" w:rsidR="0031151B" w:rsidRPr="008468A0" w:rsidRDefault="0031151B" w:rsidP="0031151B">
            <w:pPr>
              <w:spacing w:after="0"/>
              <w:jc w:val="center"/>
              <w:rPr>
                <w:rFonts w:eastAsia="Times New Roman" w:cs="Times New Roman"/>
                <w:b/>
                <w:bCs/>
                <w:szCs w:val="24"/>
              </w:rPr>
            </w:pPr>
            <w:r w:rsidRPr="008468A0">
              <w:rPr>
                <w:rFonts w:eastAsia="Times New Roman" w:cs="Times New Roman"/>
                <w:b/>
                <w:bCs/>
                <w:szCs w:val="24"/>
              </w:rPr>
              <w:t>Year</w:t>
            </w:r>
          </w:p>
        </w:tc>
      </w:tr>
      <w:tr w:rsidR="008468A0" w:rsidRPr="008468A0" w14:paraId="5FEA3E71" w14:textId="77777777" w:rsidTr="001F370A">
        <w:trPr>
          <w:trHeight w:val="315"/>
          <w:tblHeader/>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00BFBEEF" w14:textId="77777777" w:rsidR="0031151B" w:rsidRPr="008468A0" w:rsidRDefault="0031151B" w:rsidP="0031151B">
            <w:pPr>
              <w:spacing w:after="0"/>
              <w:jc w:val="center"/>
              <w:rPr>
                <w:rFonts w:eastAsia="Times New Roman" w:cs="Times New Roman"/>
                <w:b/>
                <w:bCs/>
                <w:szCs w:val="24"/>
              </w:rPr>
            </w:pPr>
            <w:r w:rsidRPr="008468A0">
              <w:rPr>
                <w:rFonts w:eastAsia="Times New Roman" w:cs="Times New Roman"/>
                <w:b/>
                <w:bCs/>
                <w:szCs w:val="24"/>
              </w:rPr>
              <w:t>Range (in Pound)</w:t>
            </w:r>
          </w:p>
        </w:tc>
        <w:tc>
          <w:tcPr>
            <w:tcW w:w="1494" w:type="pct"/>
            <w:tcBorders>
              <w:top w:val="nil"/>
              <w:left w:val="nil"/>
              <w:bottom w:val="single" w:sz="4" w:space="0" w:color="auto"/>
              <w:right w:val="single" w:sz="4" w:space="0" w:color="auto"/>
            </w:tcBorders>
            <w:shd w:val="clear" w:color="000000" w:fill="FFFFFF"/>
            <w:noWrap/>
            <w:vAlign w:val="center"/>
            <w:hideMark/>
          </w:tcPr>
          <w:p w14:paraId="570C9790" w14:textId="77777777" w:rsidR="0031151B" w:rsidRPr="008468A0" w:rsidRDefault="0031151B" w:rsidP="0031151B">
            <w:pPr>
              <w:spacing w:after="0"/>
              <w:jc w:val="center"/>
              <w:rPr>
                <w:rFonts w:eastAsia="Times New Roman" w:cs="Times New Roman"/>
                <w:b/>
                <w:bCs/>
                <w:szCs w:val="24"/>
              </w:rPr>
            </w:pPr>
            <w:r w:rsidRPr="008468A0">
              <w:rPr>
                <w:rFonts w:eastAsia="Times New Roman" w:cs="Times New Roman"/>
                <w:b/>
                <w:bCs/>
                <w:szCs w:val="24"/>
              </w:rPr>
              <w:t>2021</w:t>
            </w:r>
          </w:p>
        </w:tc>
        <w:tc>
          <w:tcPr>
            <w:tcW w:w="1494" w:type="pct"/>
            <w:tcBorders>
              <w:top w:val="nil"/>
              <w:left w:val="nil"/>
              <w:bottom w:val="single" w:sz="4" w:space="0" w:color="auto"/>
              <w:right w:val="single" w:sz="4" w:space="0" w:color="auto"/>
            </w:tcBorders>
            <w:shd w:val="clear" w:color="000000" w:fill="FFFFFF"/>
            <w:noWrap/>
            <w:vAlign w:val="center"/>
            <w:hideMark/>
          </w:tcPr>
          <w:p w14:paraId="191F46C2" w14:textId="77777777" w:rsidR="0031151B" w:rsidRPr="008468A0" w:rsidRDefault="0031151B" w:rsidP="0031151B">
            <w:pPr>
              <w:spacing w:after="0"/>
              <w:jc w:val="center"/>
              <w:rPr>
                <w:rFonts w:eastAsia="Times New Roman" w:cs="Times New Roman"/>
                <w:b/>
                <w:bCs/>
                <w:szCs w:val="24"/>
              </w:rPr>
            </w:pPr>
            <w:r w:rsidRPr="008468A0">
              <w:rPr>
                <w:rFonts w:eastAsia="Times New Roman" w:cs="Times New Roman"/>
                <w:b/>
                <w:bCs/>
                <w:szCs w:val="24"/>
              </w:rPr>
              <w:t>2022</w:t>
            </w:r>
          </w:p>
        </w:tc>
      </w:tr>
      <w:tr w:rsidR="008468A0" w:rsidRPr="008468A0" w14:paraId="21E5AC90" w14:textId="77777777" w:rsidTr="0031151B">
        <w:trPr>
          <w:trHeight w:val="315"/>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386A5735"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0-49,999</w:t>
            </w:r>
          </w:p>
        </w:tc>
        <w:tc>
          <w:tcPr>
            <w:tcW w:w="1494" w:type="pct"/>
            <w:tcBorders>
              <w:top w:val="nil"/>
              <w:left w:val="nil"/>
              <w:bottom w:val="single" w:sz="4" w:space="0" w:color="auto"/>
              <w:right w:val="single" w:sz="4" w:space="0" w:color="auto"/>
            </w:tcBorders>
            <w:shd w:val="clear" w:color="000000" w:fill="FFFFFF"/>
            <w:noWrap/>
            <w:vAlign w:val="center"/>
            <w:hideMark/>
          </w:tcPr>
          <w:p w14:paraId="62A06425"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395</w:t>
            </w:r>
          </w:p>
        </w:tc>
        <w:tc>
          <w:tcPr>
            <w:tcW w:w="1494" w:type="pct"/>
            <w:tcBorders>
              <w:top w:val="nil"/>
              <w:left w:val="nil"/>
              <w:bottom w:val="single" w:sz="4" w:space="0" w:color="auto"/>
              <w:right w:val="single" w:sz="4" w:space="0" w:color="auto"/>
            </w:tcBorders>
            <w:shd w:val="clear" w:color="000000" w:fill="FFFFFF"/>
            <w:noWrap/>
            <w:vAlign w:val="center"/>
            <w:hideMark/>
          </w:tcPr>
          <w:p w14:paraId="3E2EBBC1"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95</w:t>
            </w:r>
          </w:p>
        </w:tc>
      </w:tr>
      <w:tr w:rsidR="008468A0" w:rsidRPr="008468A0" w14:paraId="4ACD1393" w14:textId="77777777" w:rsidTr="0031151B">
        <w:trPr>
          <w:trHeight w:val="315"/>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0319D4CD"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50,000-99,999</w:t>
            </w:r>
          </w:p>
        </w:tc>
        <w:tc>
          <w:tcPr>
            <w:tcW w:w="1494" w:type="pct"/>
            <w:tcBorders>
              <w:top w:val="nil"/>
              <w:left w:val="nil"/>
              <w:bottom w:val="single" w:sz="4" w:space="0" w:color="auto"/>
              <w:right w:val="single" w:sz="4" w:space="0" w:color="auto"/>
            </w:tcBorders>
            <w:shd w:val="clear" w:color="000000" w:fill="FFFFFF"/>
            <w:noWrap/>
            <w:vAlign w:val="center"/>
            <w:hideMark/>
          </w:tcPr>
          <w:p w14:paraId="110570B3"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1,005</w:t>
            </w:r>
          </w:p>
        </w:tc>
        <w:tc>
          <w:tcPr>
            <w:tcW w:w="1494" w:type="pct"/>
            <w:tcBorders>
              <w:top w:val="nil"/>
              <w:left w:val="nil"/>
              <w:bottom w:val="single" w:sz="4" w:space="0" w:color="auto"/>
              <w:right w:val="single" w:sz="4" w:space="0" w:color="auto"/>
            </w:tcBorders>
            <w:shd w:val="clear" w:color="000000" w:fill="FFFFFF"/>
            <w:noWrap/>
            <w:vAlign w:val="center"/>
            <w:hideMark/>
          </w:tcPr>
          <w:p w14:paraId="18C14DA9"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1,290</w:t>
            </w:r>
          </w:p>
        </w:tc>
      </w:tr>
      <w:tr w:rsidR="008468A0" w:rsidRPr="008468A0" w14:paraId="4F412EE0" w14:textId="77777777" w:rsidTr="0031151B">
        <w:trPr>
          <w:trHeight w:val="315"/>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3874DDAC"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100,000-249,999</w:t>
            </w:r>
          </w:p>
        </w:tc>
        <w:tc>
          <w:tcPr>
            <w:tcW w:w="1494" w:type="pct"/>
            <w:tcBorders>
              <w:top w:val="nil"/>
              <w:left w:val="nil"/>
              <w:bottom w:val="single" w:sz="4" w:space="0" w:color="auto"/>
              <w:right w:val="single" w:sz="4" w:space="0" w:color="auto"/>
            </w:tcBorders>
            <w:shd w:val="clear" w:color="000000" w:fill="FFFFFF"/>
            <w:noWrap/>
            <w:vAlign w:val="center"/>
            <w:hideMark/>
          </w:tcPr>
          <w:p w14:paraId="7668DF35"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495</w:t>
            </w:r>
          </w:p>
        </w:tc>
        <w:tc>
          <w:tcPr>
            <w:tcW w:w="1494" w:type="pct"/>
            <w:tcBorders>
              <w:top w:val="nil"/>
              <w:left w:val="nil"/>
              <w:bottom w:val="single" w:sz="4" w:space="0" w:color="auto"/>
              <w:right w:val="single" w:sz="4" w:space="0" w:color="auto"/>
            </w:tcBorders>
            <w:shd w:val="clear" w:color="000000" w:fill="FFFFFF"/>
            <w:noWrap/>
            <w:vAlign w:val="center"/>
            <w:hideMark/>
          </w:tcPr>
          <w:p w14:paraId="3047D849"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620</w:t>
            </w:r>
          </w:p>
        </w:tc>
      </w:tr>
      <w:tr w:rsidR="008468A0" w:rsidRPr="008468A0" w14:paraId="7473C3DE" w14:textId="77777777" w:rsidTr="0031151B">
        <w:trPr>
          <w:trHeight w:val="315"/>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12B036B9"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250,000-499,999</w:t>
            </w:r>
          </w:p>
        </w:tc>
        <w:tc>
          <w:tcPr>
            <w:tcW w:w="1494" w:type="pct"/>
            <w:tcBorders>
              <w:top w:val="nil"/>
              <w:left w:val="nil"/>
              <w:bottom w:val="single" w:sz="4" w:space="0" w:color="auto"/>
              <w:right w:val="single" w:sz="4" w:space="0" w:color="auto"/>
            </w:tcBorders>
            <w:shd w:val="clear" w:color="000000" w:fill="FFFFFF"/>
            <w:noWrap/>
            <w:vAlign w:val="center"/>
            <w:hideMark/>
          </w:tcPr>
          <w:p w14:paraId="0D30078A"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115</w:t>
            </w:r>
          </w:p>
        </w:tc>
        <w:tc>
          <w:tcPr>
            <w:tcW w:w="1494" w:type="pct"/>
            <w:tcBorders>
              <w:top w:val="nil"/>
              <w:left w:val="nil"/>
              <w:bottom w:val="single" w:sz="4" w:space="0" w:color="auto"/>
              <w:right w:val="single" w:sz="4" w:space="0" w:color="auto"/>
            </w:tcBorders>
            <w:shd w:val="clear" w:color="000000" w:fill="FFFFFF"/>
            <w:noWrap/>
            <w:vAlign w:val="center"/>
            <w:hideMark/>
          </w:tcPr>
          <w:p w14:paraId="069DF2AE"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145</w:t>
            </w:r>
          </w:p>
        </w:tc>
      </w:tr>
      <w:tr w:rsidR="008468A0" w:rsidRPr="008468A0" w14:paraId="2A4290A2" w14:textId="77777777" w:rsidTr="0031151B">
        <w:trPr>
          <w:trHeight w:val="315"/>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182E0081"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500,000-999,999</w:t>
            </w:r>
          </w:p>
        </w:tc>
        <w:tc>
          <w:tcPr>
            <w:tcW w:w="1494" w:type="pct"/>
            <w:tcBorders>
              <w:top w:val="nil"/>
              <w:left w:val="nil"/>
              <w:bottom w:val="single" w:sz="4" w:space="0" w:color="auto"/>
              <w:right w:val="single" w:sz="4" w:space="0" w:color="auto"/>
            </w:tcBorders>
            <w:shd w:val="clear" w:color="000000" w:fill="FFFFFF"/>
            <w:noWrap/>
            <w:vAlign w:val="center"/>
            <w:hideMark/>
          </w:tcPr>
          <w:p w14:paraId="37D61B39"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115</w:t>
            </w:r>
          </w:p>
        </w:tc>
        <w:tc>
          <w:tcPr>
            <w:tcW w:w="1494" w:type="pct"/>
            <w:tcBorders>
              <w:top w:val="nil"/>
              <w:left w:val="nil"/>
              <w:bottom w:val="single" w:sz="4" w:space="0" w:color="auto"/>
              <w:right w:val="single" w:sz="4" w:space="0" w:color="auto"/>
            </w:tcBorders>
            <w:shd w:val="clear" w:color="000000" w:fill="FFFFFF"/>
            <w:noWrap/>
            <w:vAlign w:val="center"/>
            <w:hideMark/>
          </w:tcPr>
          <w:p w14:paraId="2BDF22B0"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110</w:t>
            </w:r>
          </w:p>
        </w:tc>
      </w:tr>
      <w:tr w:rsidR="008468A0" w:rsidRPr="008468A0" w14:paraId="5820AFAA" w14:textId="77777777" w:rsidTr="0031151B">
        <w:trPr>
          <w:trHeight w:val="315"/>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56B35065"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1,000,000-1,999,999</w:t>
            </w:r>
          </w:p>
        </w:tc>
        <w:tc>
          <w:tcPr>
            <w:tcW w:w="1494" w:type="pct"/>
            <w:tcBorders>
              <w:top w:val="nil"/>
              <w:left w:val="nil"/>
              <w:bottom w:val="single" w:sz="4" w:space="0" w:color="auto"/>
              <w:right w:val="single" w:sz="4" w:space="0" w:color="auto"/>
            </w:tcBorders>
            <w:shd w:val="clear" w:color="000000" w:fill="FFFFFF"/>
            <w:noWrap/>
            <w:vAlign w:val="center"/>
            <w:hideMark/>
          </w:tcPr>
          <w:p w14:paraId="38201FB6"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140</w:t>
            </w:r>
          </w:p>
        </w:tc>
        <w:tc>
          <w:tcPr>
            <w:tcW w:w="1494" w:type="pct"/>
            <w:tcBorders>
              <w:top w:val="nil"/>
              <w:left w:val="nil"/>
              <w:bottom w:val="single" w:sz="4" w:space="0" w:color="auto"/>
              <w:right w:val="single" w:sz="4" w:space="0" w:color="auto"/>
            </w:tcBorders>
            <w:shd w:val="clear" w:color="000000" w:fill="FFFFFF"/>
            <w:noWrap/>
            <w:vAlign w:val="center"/>
            <w:hideMark/>
          </w:tcPr>
          <w:p w14:paraId="436D6DF9"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130</w:t>
            </w:r>
          </w:p>
        </w:tc>
      </w:tr>
      <w:tr w:rsidR="008468A0" w:rsidRPr="008468A0" w14:paraId="288DC8F1" w14:textId="77777777" w:rsidTr="0031151B">
        <w:trPr>
          <w:trHeight w:val="315"/>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78FFEE29"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2,000,000-4,999,999</w:t>
            </w:r>
          </w:p>
        </w:tc>
        <w:tc>
          <w:tcPr>
            <w:tcW w:w="1494" w:type="pct"/>
            <w:tcBorders>
              <w:top w:val="nil"/>
              <w:left w:val="nil"/>
              <w:bottom w:val="single" w:sz="4" w:space="0" w:color="auto"/>
              <w:right w:val="single" w:sz="4" w:space="0" w:color="auto"/>
            </w:tcBorders>
            <w:shd w:val="clear" w:color="000000" w:fill="FFFFFF"/>
            <w:noWrap/>
            <w:vAlign w:val="center"/>
            <w:hideMark/>
          </w:tcPr>
          <w:p w14:paraId="0D60A032"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195</w:t>
            </w:r>
          </w:p>
        </w:tc>
        <w:tc>
          <w:tcPr>
            <w:tcW w:w="1494" w:type="pct"/>
            <w:tcBorders>
              <w:top w:val="nil"/>
              <w:left w:val="nil"/>
              <w:bottom w:val="single" w:sz="4" w:space="0" w:color="auto"/>
              <w:right w:val="single" w:sz="4" w:space="0" w:color="auto"/>
            </w:tcBorders>
            <w:shd w:val="clear" w:color="000000" w:fill="FFFFFF"/>
            <w:noWrap/>
            <w:vAlign w:val="center"/>
            <w:hideMark/>
          </w:tcPr>
          <w:p w14:paraId="4EEE5709"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220</w:t>
            </w:r>
          </w:p>
        </w:tc>
      </w:tr>
      <w:tr w:rsidR="008468A0" w:rsidRPr="008468A0" w14:paraId="722CCB2B" w14:textId="77777777" w:rsidTr="0031151B">
        <w:trPr>
          <w:trHeight w:val="315"/>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626282C4"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5,000,000-9,999,999</w:t>
            </w:r>
          </w:p>
        </w:tc>
        <w:tc>
          <w:tcPr>
            <w:tcW w:w="1494" w:type="pct"/>
            <w:tcBorders>
              <w:top w:val="nil"/>
              <w:left w:val="nil"/>
              <w:bottom w:val="single" w:sz="4" w:space="0" w:color="auto"/>
              <w:right w:val="single" w:sz="4" w:space="0" w:color="auto"/>
            </w:tcBorders>
            <w:shd w:val="clear" w:color="000000" w:fill="FFFFFF"/>
            <w:noWrap/>
            <w:vAlign w:val="center"/>
            <w:hideMark/>
          </w:tcPr>
          <w:p w14:paraId="783F8266"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55</w:t>
            </w:r>
          </w:p>
        </w:tc>
        <w:tc>
          <w:tcPr>
            <w:tcW w:w="1494" w:type="pct"/>
            <w:tcBorders>
              <w:top w:val="nil"/>
              <w:left w:val="nil"/>
              <w:bottom w:val="single" w:sz="4" w:space="0" w:color="auto"/>
              <w:right w:val="single" w:sz="4" w:space="0" w:color="auto"/>
            </w:tcBorders>
            <w:shd w:val="clear" w:color="000000" w:fill="FFFFFF"/>
            <w:noWrap/>
            <w:vAlign w:val="center"/>
            <w:hideMark/>
          </w:tcPr>
          <w:p w14:paraId="377A8428"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65</w:t>
            </w:r>
          </w:p>
        </w:tc>
      </w:tr>
      <w:tr w:rsidR="008468A0" w:rsidRPr="008468A0" w14:paraId="7300BF48" w14:textId="77777777" w:rsidTr="0031151B">
        <w:trPr>
          <w:trHeight w:val="315"/>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3B7B2C41"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10,000,000-49,999,999</w:t>
            </w:r>
          </w:p>
        </w:tc>
        <w:tc>
          <w:tcPr>
            <w:tcW w:w="1494" w:type="pct"/>
            <w:tcBorders>
              <w:top w:val="nil"/>
              <w:left w:val="nil"/>
              <w:bottom w:val="single" w:sz="4" w:space="0" w:color="auto"/>
              <w:right w:val="single" w:sz="4" w:space="0" w:color="auto"/>
            </w:tcBorders>
            <w:shd w:val="clear" w:color="000000" w:fill="FFFFFF"/>
            <w:noWrap/>
            <w:vAlign w:val="center"/>
            <w:hideMark/>
          </w:tcPr>
          <w:p w14:paraId="7F5D885C"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50</w:t>
            </w:r>
          </w:p>
        </w:tc>
        <w:tc>
          <w:tcPr>
            <w:tcW w:w="1494" w:type="pct"/>
            <w:tcBorders>
              <w:top w:val="nil"/>
              <w:left w:val="nil"/>
              <w:bottom w:val="single" w:sz="4" w:space="0" w:color="auto"/>
              <w:right w:val="single" w:sz="4" w:space="0" w:color="auto"/>
            </w:tcBorders>
            <w:shd w:val="clear" w:color="000000" w:fill="FFFFFF"/>
            <w:noWrap/>
            <w:vAlign w:val="center"/>
            <w:hideMark/>
          </w:tcPr>
          <w:p w14:paraId="42452DF4"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55</w:t>
            </w:r>
          </w:p>
        </w:tc>
      </w:tr>
      <w:tr w:rsidR="008468A0" w:rsidRPr="008468A0" w14:paraId="70DAFA1A" w14:textId="77777777" w:rsidTr="0031151B">
        <w:trPr>
          <w:trHeight w:val="315"/>
        </w:trPr>
        <w:tc>
          <w:tcPr>
            <w:tcW w:w="2012" w:type="pct"/>
            <w:tcBorders>
              <w:top w:val="nil"/>
              <w:left w:val="single" w:sz="4" w:space="0" w:color="auto"/>
              <w:bottom w:val="single" w:sz="4" w:space="0" w:color="auto"/>
              <w:right w:val="single" w:sz="4" w:space="0" w:color="auto"/>
            </w:tcBorders>
            <w:shd w:val="clear" w:color="000000" w:fill="FFFFFF"/>
            <w:noWrap/>
            <w:vAlign w:val="center"/>
            <w:hideMark/>
          </w:tcPr>
          <w:p w14:paraId="7EB71E98"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More Than 500,000,000</w:t>
            </w:r>
          </w:p>
        </w:tc>
        <w:tc>
          <w:tcPr>
            <w:tcW w:w="1494" w:type="pct"/>
            <w:tcBorders>
              <w:top w:val="nil"/>
              <w:left w:val="nil"/>
              <w:bottom w:val="single" w:sz="4" w:space="0" w:color="auto"/>
              <w:right w:val="single" w:sz="4" w:space="0" w:color="auto"/>
            </w:tcBorders>
            <w:shd w:val="clear" w:color="000000" w:fill="FFFFFF"/>
            <w:noWrap/>
            <w:vAlign w:val="center"/>
            <w:hideMark/>
          </w:tcPr>
          <w:p w14:paraId="521DADB8"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215</w:t>
            </w:r>
          </w:p>
        </w:tc>
        <w:tc>
          <w:tcPr>
            <w:tcW w:w="1494" w:type="pct"/>
            <w:tcBorders>
              <w:top w:val="nil"/>
              <w:left w:val="nil"/>
              <w:bottom w:val="single" w:sz="4" w:space="0" w:color="auto"/>
              <w:right w:val="single" w:sz="4" w:space="0" w:color="auto"/>
            </w:tcBorders>
            <w:shd w:val="clear" w:color="000000" w:fill="FFFFFF"/>
            <w:noWrap/>
            <w:vAlign w:val="center"/>
            <w:hideMark/>
          </w:tcPr>
          <w:p w14:paraId="579E5976" w14:textId="77777777" w:rsidR="0031151B" w:rsidRPr="008468A0" w:rsidRDefault="0031151B" w:rsidP="0031151B">
            <w:pPr>
              <w:spacing w:after="0"/>
              <w:jc w:val="center"/>
              <w:rPr>
                <w:rFonts w:eastAsia="Times New Roman" w:cs="Times New Roman"/>
                <w:szCs w:val="24"/>
              </w:rPr>
            </w:pPr>
            <w:r w:rsidRPr="008468A0">
              <w:rPr>
                <w:rFonts w:eastAsia="Times New Roman" w:cs="Times New Roman"/>
                <w:szCs w:val="24"/>
              </w:rPr>
              <w:t>220</w:t>
            </w:r>
          </w:p>
        </w:tc>
      </w:tr>
    </w:tbl>
    <w:p w14:paraId="1BB9A96A" w14:textId="77777777" w:rsidR="000D27EA" w:rsidRPr="008468A0" w:rsidRDefault="000D27EA" w:rsidP="00821DEF"/>
    <w:p w14:paraId="3CA505A0" w14:textId="77777777" w:rsidR="00821DEF" w:rsidRPr="008468A0" w:rsidRDefault="00821DEF" w:rsidP="00821DEF"/>
    <w:p w14:paraId="21D594DB" w14:textId="77777777" w:rsidR="00821DEF" w:rsidRPr="008468A0" w:rsidRDefault="00821DEF" w:rsidP="00070D2F"/>
    <w:p w14:paraId="19BC6536" w14:textId="77777777" w:rsidR="00821DEF" w:rsidRPr="008468A0" w:rsidRDefault="00821DEF" w:rsidP="00070D2F"/>
    <w:sectPr w:rsidR="00821DEF" w:rsidRPr="008468A0" w:rsidSect="001964E2">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EE557" w14:textId="77777777" w:rsidR="00D60C45" w:rsidRDefault="00D60C45" w:rsidP="001964E2">
      <w:pPr>
        <w:spacing w:after="0" w:line="240" w:lineRule="auto"/>
      </w:pPr>
      <w:r>
        <w:separator/>
      </w:r>
    </w:p>
  </w:endnote>
  <w:endnote w:type="continuationSeparator" w:id="0">
    <w:p w14:paraId="3A761C8C" w14:textId="77777777" w:rsidR="00D60C45" w:rsidRDefault="00D60C45" w:rsidP="00196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2A01E" w14:textId="77777777" w:rsidR="006D2899" w:rsidRDefault="006D28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373CB" w14:textId="77777777" w:rsidR="006D2899" w:rsidRDefault="006D28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B411A4" w14:textId="77777777" w:rsidR="006D2899" w:rsidRDefault="006D2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5C6AB" w14:textId="77777777" w:rsidR="00D60C45" w:rsidRDefault="00D60C45" w:rsidP="001964E2">
      <w:pPr>
        <w:spacing w:after="0" w:line="240" w:lineRule="auto"/>
      </w:pPr>
      <w:r>
        <w:separator/>
      </w:r>
    </w:p>
  </w:footnote>
  <w:footnote w:type="continuationSeparator" w:id="0">
    <w:p w14:paraId="3EFE917C" w14:textId="77777777" w:rsidR="00D60C45" w:rsidRDefault="00D60C45" w:rsidP="001964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B6AE5" w14:textId="77777777" w:rsidR="006D2899" w:rsidRDefault="006D28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00749"/>
      <w:docPartObj>
        <w:docPartGallery w:val="Page Numbers (Top of Page)"/>
        <w:docPartUnique/>
      </w:docPartObj>
    </w:sdtPr>
    <w:sdtContent>
      <w:p w14:paraId="285F2E56" w14:textId="77777777" w:rsidR="006D2899" w:rsidRDefault="00000000">
        <w:pPr>
          <w:pStyle w:val="Header"/>
          <w:jc w:val="right"/>
        </w:pPr>
        <w:r>
          <w:fldChar w:fldCharType="begin"/>
        </w:r>
        <w:r>
          <w:instrText xml:space="preserve"> PAGE   \* MERGEFORMAT </w:instrText>
        </w:r>
        <w:r>
          <w:fldChar w:fldCharType="separate"/>
        </w:r>
        <w:r w:rsidR="00C42797">
          <w:rPr>
            <w:noProof/>
          </w:rPr>
          <w:t>31</w:t>
        </w:r>
        <w:r>
          <w:rPr>
            <w:noProof/>
          </w:rPr>
          <w:fldChar w:fldCharType="end"/>
        </w:r>
      </w:p>
    </w:sdtContent>
  </w:sdt>
  <w:p w14:paraId="66815F5F" w14:textId="77777777" w:rsidR="006D2899" w:rsidRDefault="006D28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FECBF" w14:textId="77777777" w:rsidR="006D2899" w:rsidRDefault="006D28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9657B"/>
    <w:multiLevelType w:val="hybridMultilevel"/>
    <w:tmpl w:val="DEAE64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6D0768"/>
    <w:multiLevelType w:val="hybridMultilevel"/>
    <w:tmpl w:val="DEAE64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1406135">
    <w:abstractNumId w:val="0"/>
  </w:num>
  <w:num w:numId="2" w16cid:durableId="23482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C21E3"/>
    <w:rsid w:val="00000CD7"/>
    <w:rsid w:val="0001137D"/>
    <w:rsid w:val="000130F2"/>
    <w:rsid w:val="00035B39"/>
    <w:rsid w:val="000370E2"/>
    <w:rsid w:val="00046467"/>
    <w:rsid w:val="00051652"/>
    <w:rsid w:val="00053014"/>
    <w:rsid w:val="0005453D"/>
    <w:rsid w:val="000566FA"/>
    <w:rsid w:val="000620C0"/>
    <w:rsid w:val="00064BA0"/>
    <w:rsid w:val="00065BD0"/>
    <w:rsid w:val="00070D2F"/>
    <w:rsid w:val="00072F0A"/>
    <w:rsid w:val="0007390C"/>
    <w:rsid w:val="00077807"/>
    <w:rsid w:val="00077D77"/>
    <w:rsid w:val="00085F3D"/>
    <w:rsid w:val="000867D4"/>
    <w:rsid w:val="00095B48"/>
    <w:rsid w:val="00097EBA"/>
    <w:rsid w:val="000B1286"/>
    <w:rsid w:val="000C1F9A"/>
    <w:rsid w:val="000C5A45"/>
    <w:rsid w:val="000C78D0"/>
    <w:rsid w:val="000D27EA"/>
    <w:rsid w:val="000D5D00"/>
    <w:rsid w:val="000E08EB"/>
    <w:rsid w:val="000E384E"/>
    <w:rsid w:val="000E7B03"/>
    <w:rsid w:val="00101411"/>
    <w:rsid w:val="00110CB0"/>
    <w:rsid w:val="00115F7B"/>
    <w:rsid w:val="00126D6A"/>
    <w:rsid w:val="00135340"/>
    <w:rsid w:val="00135809"/>
    <w:rsid w:val="00145CAF"/>
    <w:rsid w:val="00167A24"/>
    <w:rsid w:val="00174AB3"/>
    <w:rsid w:val="0017720C"/>
    <w:rsid w:val="00177C71"/>
    <w:rsid w:val="00185F7C"/>
    <w:rsid w:val="00185F9B"/>
    <w:rsid w:val="00191FA6"/>
    <w:rsid w:val="0019536B"/>
    <w:rsid w:val="001964E2"/>
    <w:rsid w:val="001A7861"/>
    <w:rsid w:val="001B3EF7"/>
    <w:rsid w:val="001B3F4B"/>
    <w:rsid w:val="001B78DA"/>
    <w:rsid w:val="001C4E54"/>
    <w:rsid w:val="001D52B5"/>
    <w:rsid w:val="001E5A04"/>
    <w:rsid w:val="001F2DBB"/>
    <w:rsid w:val="001F370A"/>
    <w:rsid w:val="001F7FFA"/>
    <w:rsid w:val="002021F9"/>
    <w:rsid w:val="00202434"/>
    <w:rsid w:val="002148E3"/>
    <w:rsid w:val="00215173"/>
    <w:rsid w:val="002245DD"/>
    <w:rsid w:val="00224AE4"/>
    <w:rsid w:val="00227266"/>
    <w:rsid w:val="00235B58"/>
    <w:rsid w:val="00240C67"/>
    <w:rsid w:val="00241D63"/>
    <w:rsid w:val="00245083"/>
    <w:rsid w:val="00246078"/>
    <w:rsid w:val="0025784B"/>
    <w:rsid w:val="00257A2B"/>
    <w:rsid w:val="00257AB4"/>
    <w:rsid w:val="002613AC"/>
    <w:rsid w:val="00274CF0"/>
    <w:rsid w:val="002802E1"/>
    <w:rsid w:val="002830CE"/>
    <w:rsid w:val="00283D8A"/>
    <w:rsid w:val="00285004"/>
    <w:rsid w:val="0029167D"/>
    <w:rsid w:val="00294CF3"/>
    <w:rsid w:val="00295FFE"/>
    <w:rsid w:val="002A1FA7"/>
    <w:rsid w:val="002A57ED"/>
    <w:rsid w:val="002B23BF"/>
    <w:rsid w:val="002B24F0"/>
    <w:rsid w:val="002B2C25"/>
    <w:rsid w:val="002B3F1D"/>
    <w:rsid w:val="002C21E3"/>
    <w:rsid w:val="002C382B"/>
    <w:rsid w:val="002C62FC"/>
    <w:rsid w:val="002C6DBB"/>
    <w:rsid w:val="002E0AC5"/>
    <w:rsid w:val="002F35F5"/>
    <w:rsid w:val="002F5E63"/>
    <w:rsid w:val="002F6D2C"/>
    <w:rsid w:val="00301E4C"/>
    <w:rsid w:val="003050EE"/>
    <w:rsid w:val="0031151B"/>
    <w:rsid w:val="00314DFB"/>
    <w:rsid w:val="00315EB5"/>
    <w:rsid w:val="00321CC1"/>
    <w:rsid w:val="00323707"/>
    <w:rsid w:val="00330CB8"/>
    <w:rsid w:val="003345E0"/>
    <w:rsid w:val="0036116F"/>
    <w:rsid w:val="0036355B"/>
    <w:rsid w:val="0036434A"/>
    <w:rsid w:val="00365391"/>
    <w:rsid w:val="00366BAE"/>
    <w:rsid w:val="0037369C"/>
    <w:rsid w:val="00395A86"/>
    <w:rsid w:val="003B5289"/>
    <w:rsid w:val="003C16EF"/>
    <w:rsid w:val="003C43D6"/>
    <w:rsid w:val="003D1D30"/>
    <w:rsid w:val="003D5589"/>
    <w:rsid w:val="003D5971"/>
    <w:rsid w:val="003D64B9"/>
    <w:rsid w:val="003E0140"/>
    <w:rsid w:val="003E035F"/>
    <w:rsid w:val="003E18C2"/>
    <w:rsid w:val="003E1F47"/>
    <w:rsid w:val="003E307C"/>
    <w:rsid w:val="003E3E25"/>
    <w:rsid w:val="003E4FE1"/>
    <w:rsid w:val="003E6226"/>
    <w:rsid w:val="003E6A03"/>
    <w:rsid w:val="003E79CC"/>
    <w:rsid w:val="003F09E1"/>
    <w:rsid w:val="00403875"/>
    <w:rsid w:val="0041765D"/>
    <w:rsid w:val="00420220"/>
    <w:rsid w:val="00427867"/>
    <w:rsid w:val="00430657"/>
    <w:rsid w:val="004327AA"/>
    <w:rsid w:val="004347BA"/>
    <w:rsid w:val="0044391B"/>
    <w:rsid w:val="0044402C"/>
    <w:rsid w:val="00446025"/>
    <w:rsid w:val="0045100E"/>
    <w:rsid w:val="0045136E"/>
    <w:rsid w:val="0045503D"/>
    <w:rsid w:val="0047217A"/>
    <w:rsid w:val="00492DC5"/>
    <w:rsid w:val="004A28E3"/>
    <w:rsid w:val="004B2FF3"/>
    <w:rsid w:val="004C52A8"/>
    <w:rsid w:val="004D1DFF"/>
    <w:rsid w:val="004D63D5"/>
    <w:rsid w:val="004E63B4"/>
    <w:rsid w:val="004F6ABE"/>
    <w:rsid w:val="0050773D"/>
    <w:rsid w:val="00510BFA"/>
    <w:rsid w:val="005123D7"/>
    <w:rsid w:val="00547632"/>
    <w:rsid w:val="00551963"/>
    <w:rsid w:val="00561D52"/>
    <w:rsid w:val="00582C08"/>
    <w:rsid w:val="00584A0E"/>
    <w:rsid w:val="00593B27"/>
    <w:rsid w:val="005954A7"/>
    <w:rsid w:val="005964DB"/>
    <w:rsid w:val="005C199F"/>
    <w:rsid w:val="005C6170"/>
    <w:rsid w:val="005C6DEA"/>
    <w:rsid w:val="005C7E17"/>
    <w:rsid w:val="005D09C6"/>
    <w:rsid w:val="005D3EDF"/>
    <w:rsid w:val="005D627C"/>
    <w:rsid w:val="005D7DEF"/>
    <w:rsid w:val="005E00D8"/>
    <w:rsid w:val="005E4161"/>
    <w:rsid w:val="005F32BF"/>
    <w:rsid w:val="005F62F5"/>
    <w:rsid w:val="006051CF"/>
    <w:rsid w:val="00607399"/>
    <w:rsid w:val="006113A6"/>
    <w:rsid w:val="006277C1"/>
    <w:rsid w:val="0063264F"/>
    <w:rsid w:val="00642E46"/>
    <w:rsid w:val="00646521"/>
    <w:rsid w:val="0065455A"/>
    <w:rsid w:val="006575B4"/>
    <w:rsid w:val="00661177"/>
    <w:rsid w:val="00665A71"/>
    <w:rsid w:val="00671940"/>
    <w:rsid w:val="0068090C"/>
    <w:rsid w:val="0068250B"/>
    <w:rsid w:val="0069203D"/>
    <w:rsid w:val="00693EC0"/>
    <w:rsid w:val="00694B3B"/>
    <w:rsid w:val="006A54B1"/>
    <w:rsid w:val="006A56F5"/>
    <w:rsid w:val="006A7DE1"/>
    <w:rsid w:val="006B6939"/>
    <w:rsid w:val="006B7365"/>
    <w:rsid w:val="006C0B25"/>
    <w:rsid w:val="006C6C8F"/>
    <w:rsid w:val="006D2899"/>
    <w:rsid w:val="006E1323"/>
    <w:rsid w:val="006E7020"/>
    <w:rsid w:val="00702FEA"/>
    <w:rsid w:val="00706274"/>
    <w:rsid w:val="00712389"/>
    <w:rsid w:val="00716AA4"/>
    <w:rsid w:val="00724900"/>
    <w:rsid w:val="00734E29"/>
    <w:rsid w:val="00736C28"/>
    <w:rsid w:val="007375E4"/>
    <w:rsid w:val="007522D7"/>
    <w:rsid w:val="0076152D"/>
    <w:rsid w:val="00761860"/>
    <w:rsid w:val="007634E1"/>
    <w:rsid w:val="00766CE2"/>
    <w:rsid w:val="007706F9"/>
    <w:rsid w:val="007744BF"/>
    <w:rsid w:val="00782639"/>
    <w:rsid w:val="00787546"/>
    <w:rsid w:val="0079187C"/>
    <w:rsid w:val="00792C64"/>
    <w:rsid w:val="007A2345"/>
    <w:rsid w:val="007C0FF7"/>
    <w:rsid w:val="007C6ED7"/>
    <w:rsid w:val="007C7530"/>
    <w:rsid w:val="007D0A4B"/>
    <w:rsid w:val="007D4500"/>
    <w:rsid w:val="007E5A91"/>
    <w:rsid w:val="007E6992"/>
    <w:rsid w:val="007F1394"/>
    <w:rsid w:val="008036AF"/>
    <w:rsid w:val="00811954"/>
    <w:rsid w:val="008152F8"/>
    <w:rsid w:val="00821DEF"/>
    <w:rsid w:val="00840F66"/>
    <w:rsid w:val="008468A0"/>
    <w:rsid w:val="0084782E"/>
    <w:rsid w:val="00853B7A"/>
    <w:rsid w:val="00854350"/>
    <w:rsid w:val="00854F47"/>
    <w:rsid w:val="00857E65"/>
    <w:rsid w:val="00863B3A"/>
    <w:rsid w:val="00864427"/>
    <w:rsid w:val="00866041"/>
    <w:rsid w:val="008660D2"/>
    <w:rsid w:val="00866EAE"/>
    <w:rsid w:val="0087194A"/>
    <w:rsid w:val="00874E7C"/>
    <w:rsid w:val="008819A4"/>
    <w:rsid w:val="00882795"/>
    <w:rsid w:val="0089434D"/>
    <w:rsid w:val="008950E0"/>
    <w:rsid w:val="00897B9F"/>
    <w:rsid w:val="008A33C6"/>
    <w:rsid w:val="008A55D6"/>
    <w:rsid w:val="008A7273"/>
    <w:rsid w:val="008B107B"/>
    <w:rsid w:val="008B6D1D"/>
    <w:rsid w:val="008C0B95"/>
    <w:rsid w:val="008C15C6"/>
    <w:rsid w:val="008F1717"/>
    <w:rsid w:val="00911D58"/>
    <w:rsid w:val="009132A4"/>
    <w:rsid w:val="00917F5A"/>
    <w:rsid w:val="0092114C"/>
    <w:rsid w:val="00924526"/>
    <w:rsid w:val="00931C5E"/>
    <w:rsid w:val="00935C1E"/>
    <w:rsid w:val="0094486A"/>
    <w:rsid w:val="00955C77"/>
    <w:rsid w:val="00957D15"/>
    <w:rsid w:val="00960BFE"/>
    <w:rsid w:val="0096626E"/>
    <w:rsid w:val="0098107B"/>
    <w:rsid w:val="0098527D"/>
    <w:rsid w:val="00990F64"/>
    <w:rsid w:val="009967C2"/>
    <w:rsid w:val="009A1CD0"/>
    <w:rsid w:val="009B415C"/>
    <w:rsid w:val="009B59D7"/>
    <w:rsid w:val="009C491E"/>
    <w:rsid w:val="009E0B94"/>
    <w:rsid w:val="009E6081"/>
    <w:rsid w:val="009F6708"/>
    <w:rsid w:val="00A0228C"/>
    <w:rsid w:val="00A03D6E"/>
    <w:rsid w:val="00A115EE"/>
    <w:rsid w:val="00A13C39"/>
    <w:rsid w:val="00A2047B"/>
    <w:rsid w:val="00A220DA"/>
    <w:rsid w:val="00A254D2"/>
    <w:rsid w:val="00A41978"/>
    <w:rsid w:val="00A557F4"/>
    <w:rsid w:val="00A61441"/>
    <w:rsid w:val="00A67FD5"/>
    <w:rsid w:val="00A72D0C"/>
    <w:rsid w:val="00A7549C"/>
    <w:rsid w:val="00A82DD0"/>
    <w:rsid w:val="00A8508E"/>
    <w:rsid w:val="00A92826"/>
    <w:rsid w:val="00AA1557"/>
    <w:rsid w:val="00AC01DE"/>
    <w:rsid w:val="00AD69D9"/>
    <w:rsid w:val="00AE2648"/>
    <w:rsid w:val="00AE5D41"/>
    <w:rsid w:val="00AE6449"/>
    <w:rsid w:val="00AF5BB3"/>
    <w:rsid w:val="00B100F3"/>
    <w:rsid w:val="00B159EE"/>
    <w:rsid w:val="00B24164"/>
    <w:rsid w:val="00B33257"/>
    <w:rsid w:val="00B45494"/>
    <w:rsid w:val="00B53B16"/>
    <w:rsid w:val="00B5717F"/>
    <w:rsid w:val="00B67DE7"/>
    <w:rsid w:val="00B7266F"/>
    <w:rsid w:val="00B730A5"/>
    <w:rsid w:val="00B75750"/>
    <w:rsid w:val="00B77B99"/>
    <w:rsid w:val="00B81A26"/>
    <w:rsid w:val="00B87317"/>
    <w:rsid w:val="00B94793"/>
    <w:rsid w:val="00BA3E95"/>
    <w:rsid w:val="00BA65F2"/>
    <w:rsid w:val="00BA7D80"/>
    <w:rsid w:val="00BC791A"/>
    <w:rsid w:val="00BD38EB"/>
    <w:rsid w:val="00BE11B3"/>
    <w:rsid w:val="00BE1E93"/>
    <w:rsid w:val="00BE2C47"/>
    <w:rsid w:val="00C11547"/>
    <w:rsid w:val="00C16E9D"/>
    <w:rsid w:val="00C21504"/>
    <w:rsid w:val="00C2508E"/>
    <w:rsid w:val="00C25C4A"/>
    <w:rsid w:val="00C34414"/>
    <w:rsid w:val="00C3498D"/>
    <w:rsid w:val="00C35C56"/>
    <w:rsid w:val="00C42797"/>
    <w:rsid w:val="00C4291F"/>
    <w:rsid w:val="00C42A0B"/>
    <w:rsid w:val="00C42CDE"/>
    <w:rsid w:val="00C55F68"/>
    <w:rsid w:val="00C55FE9"/>
    <w:rsid w:val="00C570EB"/>
    <w:rsid w:val="00C63150"/>
    <w:rsid w:val="00C67714"/>
    <w:rsid w:val="00C70619"/>
    <w:rsid w:val="00C71B60"/>
    <w:rsid w:val="00C74AA2"/>
    <w:rsid w:val="00C828CE"/>
    <w:rsid w:val="00C85D36"/>
    <w:rsid w:val="00C868A1"/>
    <w:rsid w:val="00C86B30"/>
    <w:rsid w:val="00CA2558"/>
    <w:rsid w:val="00CA3946"/>
    <w:rsid w:val="00CA6B1C"/>
    <w:rsid w:val="00CC1AA5"/>
    <w:rsid w:val="00CC1FF6"/>
    <w:rsid w:val="00CC5013"/>
    <w:rsid w:val="00CC52A5"/>
    <w:rsid w:val="00CC64CF"/>
    <w:rsid w:val="00CC7F3D"/>
    <w:rsid w:val="00CD6A5B"/>
    <w:rsid w:val="00CE1E8E"/>
    <w:rsid w:val="00CE7990"/>
    <w:rsid w:val="00CF1F9A"/>
    <w:rsid w:val="00D01FC7"/>
    <w:rsid w:val="00D1235D"/>
    <w:rsid w:val="00D139D3"/>
    <w:rsid w:val="00D22E3B"/>
    <w:rsid w:val="00D305FD"/>
    <w:rsid w:val="00D33BDB"/>
    <w:rsid w:val="00D4101D"/>
    <w:rsid w:val="00D411BB"/>
    <w:rsid w:val="00D45661"/>
    <w:rsid w:val="00D47EA5"/>
    <w:rsid w:val="00D55885"/>
    <w:rsid w:val="00D55F5A"/>
    <w:rsid w:val="00D60C45"/>
    <w:rsid w:val="00D613A2"/>
    <w:rsid w:val="00D61C36"/>
    <w:rsid w:val="00D61C75"/>
    <w:rsid w:val="00D80750"/>
    <w:rsid w:val="00D8380D"/>
    <w:rsid w:val="00D83D51"/>
    <w:rsid w:val="00D84146"/>
    <w:rsid w:val="00DA0B42"/>
    <w:rsid w:val="00DA1DC7"/>
    <w:rsid w:val="00DB6282"/>
    <w:rsid w:val="00DC43C7"/>
    <w:rsid w:val="00DD193C"/>
    <w:rsid w:val="00DD60A5"/>
    <w:rsid w:val="00DD7814"/>
    <w:rsid w:val="00DF2F69"/>
    <w:rsid w:val="00DF5E69"/>
    <w:rsid w:val="00E01101"/>
    <w:rsid w:val="00E014E2"/>
    <w:rsid w:val="00E04EFE"/>
    <w:rsid w:val="00E06D1F"/>
    <w:rsid w:val="00E1617E"/>
    <w:rsid w:val="00E227B1"/>
    <w:rsid w:val="00E27920"/>
    <w:rsid w:val="00E333DF"/>
    <w:rsid w:val="00E40A89"/>
    <w:rsid w:val="00E41218"/>
    <w:rsid w:val="00E463F6"/>
    <w:rsid w:val="00E47878"/>
    <w:rsid w:val="00E502C6"/>
    <w:rsid w:val="00E8149D"/>
    <w:rsid w:val="00E81AE2"/>
    <w:rsid w:val="00E919ED"/>
    <w:rsid w:val="00E9299D"/>
    <w:rsid w:val="00EA7178"/>
    <w:rsid w:val="00EB7303"/>
    <w:rsid w:val="00EC39CD"/>
    <w:rsid w:val="00EC642F"/>
    <w:rsid w:val="00EE0806"/>
    <w:rsid w:val="00EF1DF0"/>
    <w:rsid w:val="00EF2F4A"/>
    <w:rsid w:val="00EF583D"/>
    <w:rsid w:val="00F04088"/>
    <w:rsid w:val="00F06EA4"/>
    <w:rsid w:val="00F12DB7"/>
    <w:rsid w:val="00F15B85"/>
    <w:rsid w:val="00F16562"/>
    <w:rsid w:val="00F224D5"/>
    <w:rsid w:val="00F26D40"/>
    <w:rsid w:val="00F32EA1"/>
    <w:rsid w:val="00F3717F"/>
    <w:rsid w:val="00F40666"/>
    <w:rsid w:val="00F43527"/>
    <w:rsid w:val="00F461D2"/>
    <w:rsid w:val="00F46DAD"/>
    <w:rsid w:val="00F571D5"/>
    <w:rsid w:val="00F66E47"/>
    <w:rsid w:val="00F67BFE"/>
    <w:rsid w:val="00F71FEB"/>
    <w:rsid w:val="00F77301"/>
    <w:rsid w:val="00F924B0"/>
    <w:rsid w:val="00F92A9B"/>
    <w:rsid w:val="00F944F6"/>
    <w:rsid w:val="00F95A55"/>
    <w:rsid w:val="00FA5330"/>
    <w:rsid w:val="00FB4084"/>
    <w:rsid w:val="00FC0ED9"/>
    <w:rsid w:val="00FC3DD8"/>
    <w:rsid w:val="00FC477D"/>
    <w:rsid w:val="00FC6114"/>
    <w:rsid w:val="00FC6842"/>
    <w:rsid w:val="00FD39E9"/>
    <w:rsid w:val="00FD5416"/>
    <w:rsid w:val="00FD73E2"/>
    <w:rsid w:val="00FE3C2F"/>
    <w:rsid w:val="00FE59B7"/>
    <w:rsid w:val="00FE6389"/>
    <w:rsid w:val="00FF2CF6"/>
    <w:rsid w:val="00FF70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B33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1E3"/>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2C21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C21E3"/>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0E384E"/>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1E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C21E3"/>
    <w:rPr>
      <w:rFonts w:ascii="Times New Roman" w:eastAsiaTheme="majorEastAsia" w:hAnsi="Times New Roman" w:cstheme="majorBidi"/>
      <w:b/>
      <w:bCs/>
      <w:color w:val="4F81BD" w:themeColor="accent1"/>
      <w:sz w:val="26"/>
      <w:szCs w:val="26"/>
    </w:rPr>
  </w:style>
  <w:style w:type="character" w:customStyle="1" w:styleId="title-text">
    <w:name w:val="title-text"/>
    <w:basedOn w:val="DefaultParagraphFont"/>
    <w:rsid w:val="00FF7099"/>
  </w:style>
  <w:style w:type="paragraph" w:styleId="BalloonText">
    <w:name w:val="Balloon Text"/>
    <w:basedOn w:val="Normal"/>
    <w:link w:val="BalloonTextChar"/>
    <w:uiPriority w:val="99"/>
    <w:semiHidden/>
    <w:unhideWhenUsed/>
    <w:rsid w:val="008119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1954"/>
    <w:rPr>
      <w:rFonts w:ascii="Tahoma" w:hAnsi="Tahoma" w:cs="Tahoma"/>
      <w:color w:val="000000" w:themeColor="text1"/>
      <w:sz w:val="16"/>
      <w:szCs w:val="16"/>
    </w:rPr>
  </w:style>
  <w:style w:type="character" w:styleId="Strong">
    <w:name w:val="Strong"/>
    <w:basedOn w:val="DefaultParagraphFont"/>
    <w:uiPriority w:val="22"/>
    <w:qFormat/>
    <w:rsid w:val="002F35F5"/>
    <w:rPr>
      <w:b/>
      <w:bCs/>
    </w:rPr>
  </w:style>
  <w:style w:type="paragraph" w:styleId="ListParagraph">
    <w:name w:val="List Paragraph"/>
    <w:basedOn w:val="Normal"/>
    <w:uiPriority w:val="34"/>
    <w:qFormat/>
    <w:rsid w:val="00882795"/>
    <w:pPr>
      <w:ind w:left="720"/>
      <w:contextualSpacing/>
    </w:pPr>
  </w:style>
  <w:style w:type="character" w:customStyle="1" w:styleId="Heading3Char">
    <w:name w:val="Heading 3 Char"/>
    <w:basedOn w:val="DefaultParagraphFont"/>
    <w:link w:val="Heading3"/>
    <w:uiPriority w:val="9"/>
    <w:rsid w:val="000E384E"/>
    <w:rPr>
      <w:rFonts w:ascii="Times New Roman" w:eastAsiaTheme="majorEastAsia" w:hAnsi="Times New Roman" w:cstheme="majorBidi"/>
      <w:b/>
      <w:bCs/>
      <w:color w:val="4F81BD" w:themeColor="accent1"/>
      <w:sz w:val="24"/>
    </w:rPr>
  </w:style>
  <w:style w:type="paragraph" w:styleId="Header">
    <w:name w:val="header"/>
    <w:basedOn w:val="Normal"/>
    <w:link w:val="HeaderChar"/>
    <w:uiPriority w:val="99"/>
    <w:unhideWhenUsed/>
    <w:rsid w:val="001964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64E2"/>
    <w:rPr>
      <w:rFonts w:ascii="Times New Roman" w:hAnsi="Times New Roman"/>
      <w:color w:val="000000" w:themeColor="text1"/>
      <w:sz w:val="24"/>
    </w:rPr>
  </w:style>
  <w:style w:type="paragraph" w:styleId="Footer">
    <w:name w:val="footer"/>
    <w:basedOn w:val="Normal"/>
    <w:link w:val="FooterChar"/>
    <w:uiPriority w:val="99"/>
    <w:semiHidden/>
    <w:unhideWhenUsed/>
    <w:rsid w:val="001964E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964E2"/>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B33257"/>
    <w:pPr>
      <w:spacing w:line="276" w:lineRule="auto"/>
      <w:jc w:val="left"/>
      <w:outlineLvl w:val="9"/>
    </w:pPr>
  </w:style>
  <w:style w:type="paragraph" w:styleId="TOC1">
    <w:name w:val="toc 1"/>
    <w:basedOn w:val="Normal"/>
    <w:next w:val="Normal"/>
    <w:autoRedefine/>
    <w:uiPriority w:val="39"/>
    <w:unhideWhenUsed/>
    <w:rsid w:val="00B33257"/>
    <w:pPr>
      <w:spacing w:after="100"/>
    </w:pPr>
  </w:style>
  <w:style w:type="paragraph" w:styleId="TOC2">
    <w:name w:val="toc 2"/>
    <w:basedOn w:val="Normal"/>
    <w:next w:val="Normal"/>
    <w:autoRedefine/>
    <w:uiPriority w:val="39"/>
    <w:unhideWhenUsed/>
    <w:rsid w:val="00B33257"/>
    <w:pPr>
      <w:spacing w:after="100"/>
      <w:ind w:left="240"/>
    </w:pPr>
  </w:style>
  <w:style w:type="paragraph" w:styleId="TOC3">
    <w:name w:val="toc 3"/>
    <w:basedOn w:val="Normal"/>
    <w:next w:val="Normal"/>
    <w:autoRedefine/>
    <w:uiPriority w:val="39"/>
    <w:unhideWhenUsed/>
    <w:rsid w:val="00B33257"/>
    <w:pPr>
      <w:spacing w:after="100"/>
      <w:ind w:left="480"/>
    </w:pPr>
  </w:style>
  <w:style w:type="character" w:styleId="Hyperlink">
    <w:name w:val="Hyperlink"/>
    <w:basedOn w:val="DefaultParagraphFont"/>
    <w:uiPriority w:val="99"/>
    <w:unhideWhenUsed/>
    <w:rsid w:val="00B33257"/>
    <w:rPr>
      <w:color w:val="0000FF" w:themeColor="hyperlink"/>
      <w:u w:val="single"/>
    </w:rPr>
  </w:style>
  <w:style w:type="character" w:styleId="CommentReference">
    <w:name w:val="annotation reference"/>
    <w:basedOn w:val="DefaultParagraphFont"/>
    <w:uiPriority w:val="99"/>
    <w:semiHidden/>
    <w:unhideWhenUsed/>
    <w:rsid w:val="00F32EA1"/>
    <w:rPr>
      <w:sz w:val="16"/>
      <w:szCs w:val="16"/>
    </w:rPr>
  </w:style>
  <w:style w:type="paragraph" w:styleId="CommentText">
    <w:name w:val="annotation text"/>
    <w:basedOn w:val="Normal"/>
    <w:link w:val="CommentTextChar"/>
    <w:uiPriority w:val="99"/>
    <w:unhideWhenUsed/>
    <w:rsid w:val="00F32EA1"/>
    <w:pPr>
      <w:spacing w:line="240" w:lineRule="auto"/>
    </w:pPr>
    <w:rPr>
      <w:sz w:val="20"/>
      <w:szCs w:val="20"/>
    </w:rPr>
  </w:style>
  <w:style w:type="character" w:customStyle="1" w:styleId="CommentTextChar">
    <w:name w:val="Comment Text Char"/>
    <w:basedOn w:val="DefaultParagraphFont"/>
    <w:link w:val="CommentText"/>
    <w:uiPriority w:val="99"/>
    <w:rsid w:val="00F32EA1"/>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F32EA1"/>
    <w:rPr>
      <w:b/>
      <w:bCs/>
    </w:rPr>
  </w:style>
  <w:style w:type="character" w:customStyle="1" w:styleId="CommentSubjectChar">
    <w:name w:val="Comment Subject Char"/>
    <w:basedOn w:val="CommentTextChar"/>
    <w:link w:val="CommentSubject"/>
    <w:uiPriority w:val="99"/>
    <w:semiHidden/>
    <w:rsid w:val="00F32EA1"/>
    <w:rPr>
      <w:rFonts w:ascii="Times New Roman" w:hAnsi="Times New Roman"/>
      <w:b/>
      <w:bCs/>
      <w:color w:val="000000" w:themeColor="text1"/>
      <w:sz w:val="20"/>
      <w:szCs w:val="20"/>
      <w:lang w:val="en-GB"/>
    </w:rPr>
  </w:style>
  <w:style w:type="paragraph" w:styleId="NormalWeb">
    <w:name w:val="Normal (Web)"/>
    <w:basedOn w:val="Normal"/>
    <w:uiPriority w:val="99"/>
    <w:unhideWhenUsed/>
    <w:rsid w:val="007E5A91"/>
    <w:pPr>
      <w:spacing w:before="100" w:beforeAutospacing="1" w:after="100" w:afterAutospacing="1" w:line="240" w:lineRule="auto"/>
      <w:jc w:val="left"/>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83472">
      <w:bodyDiv w:val="1"/>
      <w:marLeft w:val="0"/>
      <w:marRight w:val="0"/>
      <w:marTop w:val="0"/>
      <w:marBottom w:val="0"/>
      <w:divBdr>
        <w:top w:val="none" w:sz="0" w:space="0" w:color="auto"/>
        <w:left w:val="none" w:sz="0" w:space="0" w:color="auto"/>
        <w:bottom w:val="none" w:sz="0" w:space="0" w:color="auto"/>
        <w:right w:val="none" w:sz="0" w:space="0" w:color="auto"/>
      </w:divBdr>
    </w:div>
    <w:div w:id="414204939">
      <w:bodyDiv w:val="1"/>
      <w:marLeft w:val="0"/>
      <w:marRight w:val="0"/>
      <w:marTop w:val="0"/>
      <w:marBottom w:val="0"/>
      <w:divBdr>
        <w:top w:val="none" w:sz="0" w:space="0" w:color="auto"/>
        <w:left w:val="none" w:sz="0" w:space="0" w:color="auto"/>
        <w:bottom w:val="none" w:sz="0" w:space="0" w:color="auto"/>
        <w:right w:val="none" w:sz="0" w:space="0" w:color="auto"/>
      </w:divBdr>
    </w:div>
    <w:div w:id="552274604">
      <w:bodyDiv w:val="1"/>
      <w:marLeft w:val="0"/>
      <w:marRight w:val="0"/>
      <w:marTop w:val="0"/>
      <w:marBottom w:val="0"/>
      <w:divBdr>
        <w:top w:val="none" w:sz="0" w:space="0" w:color="auto"/>
        <w:left w:val="none" w:sz="0" w:space="0" w:color="auto"/>
        <w:bottom w:val="none" w:sz="0" w:space="0" w:color="auto"/>
        <w:right w:val="none" w:sz="0" w:space="0" w:color="auto"/>
      </w:divBdr>
    </w:div>
    <w:div w:id="603078217">
      <w:bodyDiv w:val="1"/>
      <w:marLeft w:val="0"/>
      <w:marRight w:val="0"/>
      <w:marTop w:val="0"/>
      <w:marBottom w:val="0"/>
      <w:divBdr>
        <w:top w:val="none" w:sz="0" w:space="0" w:color="auto"/>
        <w:left w:val="none" w:sz="0" w:space="0" w:color="auto"/>
        <w:bottom w:val="none" w:sz="0" w:space="0" w:color="auto"/>
        <w:right w:val="none" w:sz="0" w:space="0" w:color="auto"/>
      </w:divBdr>
      <w:divsChild>
        <w:div w:id="2039306868">
          <w:marLeft w:val="0"/>
          <w:marRight w:val="0"/>
          <w:marTop w:val="0"/>
          <w:marBottom w:val="0"/>
          <w:divBdr>
            <w:top w:val="none" w:sz="0" w:space="0" w:color="auto"/>
            <w:left w:val="none" w:sz="0" w:space="0" w:color="auto"/>
            <w:bottom w:val="none" w:sz="0" w:space="0" w:color="auto"/>
            <w:right w:val="none" w:sz="0" w:space="0" w:color="auto"/>
          </w:divBdr>
        </w:div>
      </w:divsChild>
    </w:div>
    <w:div w:id="701591919">
      <w:bodyDiv w:val="1"/>
      <w:marLeft w:val="0"/>
      <w:marRight w:val="0"/>
      <w:marTop w:val="0"/>
      <w:marBottom w:val="0"/>
      <w:divBdr>
        <w:top w:val="none" w:sz="0" w:space="0" w:color="auto"/>
        <w:left w:val="none" w:sz="0" w:space="0" w:color="auto"/>
        <w:bottom w:val="none" w:sz="0" w:space="0" w:color="auto"/>
        <w:right w:val="none" w:sz="0" w:space="0" w:color="auto"/>
      </w:divBdr>
    </w:div>
    <w:div w:id="746653053">
      <w:bodyDiv w:val="1"/>
      <w:marLeft w:val="0"/>
      <w:marRight w:val="0"/>
      <w:marTop w:val="0"/>
      <w:marBottom w:val="0"/>
      <w:divBdr>
        <w:top w:val="none" w:sz="0" w:space="0" w:color="auto"/>
        <w:left w:val="none" w:sz="0" w:space="0" w:color="auto"/>
        <w:bottom w:val="none" w:sz="0" w:space="0" w:color="auto"/>
        <w:right w:val="none" w:sz="0" w:space="0" w:color="auto"/>
      </w:divBdr>
    </w:div>
    <w:div w:id="1014571335">
      <w:bodyDiv w:val="1"/>
      <w:marLeft w:val="0"/>
      <w:marRight w:val="0"/>
      <w:marTop w:val="0"/>
      <w:marBottom w:val="0"/>
      <w:divBdr>
        <w:top w:val="none" w:sz="0" w:space="0" w:color="auto"/>
        <w:left w:val="none" w:sz="0" w:space="0" w:color="auto"/>
        <w:bottom w:val="none" w:sz="0" w:space="0" w:color="auto"/>
        <w:right w:val="none" w:sz="0" w:space="0" w:color="auto"/>
      </w:divBdr>
    </w:div>
    <w:div w:id="1094471433">
      <w:bodyDiv w:val="1"/>
      <w:marLeft w:val="0"/>
      <w:marRight w:val="0"/>
      <w:marTop w:val="0"/>
      <w:marBottom w:val="0"/>
      <w:divBdr>
        <w:top w:val="none" w:sz="0" w:space="0" w:color="auto"/>
        <w:left w:val="none" w:sz="0" w:space="0" w:color="auto"/>
        <w:bottom w:val="none" w:sz="0" w:space="0" w:color="auto"/>
        <w:right w:val="none" w:sz="0" w:space="0" w:color="auto"/>
      </w:divBdr>
    </w:div>
    <w:div w:id="1307777862">
      <w:bodyDiv w:val="1"/>
      <w:marLeft w:val="0"/>
      <w:marRight w:val="0"/>
      <w:marTop w:val="0"/>
      <w:marBottom w:val="0"/>
      <w:divBdr>
        <w:top w:val="none" w:sz="0" w:space="0" w:color="auto"/>
        <w:left w:val="none" w:sz="0" w:space="0" w:color="auto"/>
        <w:bottom w:val="none" w:sz="0" w:space="0" w:color="auto"/>
        <w:right w:val="none" w:sz="0" w:space="0" w:color="auto"/>
      </w:divBdr>
      <w:divsChild>
        <w:div w:id="1084033443">
          <w:marLeft w:val="0"/>
          <w:marRight w:val="0"/>
          <w:marTop w:val="0"/>
          <w:marBottom w:val="0"/>
          <w:divBdr>
            <w:top w:val="none" w:sz="0" w:space="0" w:color="auto"/>
            <w:left w:val="none" w:sz="0" w:space="0" w:color="auto"/>
            <w:bottom w:val="none" w:sz="0" w:space="0" w:color="auto"/>
            <w:right w:val="none" w:sz="0" w:space="0" w:color="auto"/>
          </w:divBdr>
        </w:div>
      </w:divsChild>
    </w:div>
    <w:div w:id="1370377289">
      <w:bodyDiv w:val="1"/>
      <w:marLeft w:val="0"/>
      <w:marRight w:val="0"/>
      <w:marTop w:val="0"/>
      <w:marBottom w:val="0"/>
      <w:divBdr>
        <w:top w:val="none" w:sz="0" w:space="0" w:color="auto"/>
        <w:left w:val="none" w:sz="0" w:space="0" w:color="auto"/>
        <w:bottom w:val="none" w:sz="0" w:space="0" w:color="auto"/>
        <w:right w:val="none" w:sz="0" w:space="0" w:color="auto"/>
      </w:divBdr>
    </w:div>
    <w:div w:id="1471904663">
      <w:bodyDiv w:val="1"/>
      <w:marLeft w:val="0"/>
      <w:marRight w:val="0"/>
      <w:marTop w:val="0"/>
      <w:marBottom w:val="0"/>
      <w:divBdr>
        <w:top w:val="none" w:sz="0" w:space="0" w:color="auto"/>
        <w:left w:val="none" w:sz="0" w:space="0" w:color="auto"/>
        <w:bottom w:val="none" w:sz="0" w:space="0" w:color="auto"/>
        <w:right w:val="none" w:sz="0" w:space="0" w:color="auto"/>
      </w:divBdr>
    </w:div>
    <w:div w:id="1706640753">
      <w:bodyDiv w:val="1"/>
      <w:marLeft w:val="0"/>
      <w:marRight w:val="0"/>
      <w:marTop w:val="0"/>
      <w:marBottom w:val="0"/>
      <w:divBdr>
        <w:top w:val="none" w:sz="0" w:space="0" w:color="auto"/>
        <w:left w:val="none" w:sz="0" w:space="0" w:color="auto"/>
        <w:bottom w:val="none" w:sz="0" w:space="0" w:color="auto"/>
        <w:right w:val="none" w:sz="0" w:space="0" w:color="auto"/>
      </w:divBdr>
    </w:div>
    <w:div w:id="1984506284">
      <w:bodyDiv w:val="1"/>
      <w:marLeft w:val="0"/>
      <w:marRight w:val="0"/>
      <w:marTop w:val="0"/>
      <w:marBottom w:val="0"/>
      <w:divBdr>
        <w:top w:val="none" w:sz="0" w:space="0" w:color="auto"/>
        <w:left w:val="none" w:sz="0" w:space="0" w:color="auto"/>
        <w:bottom w:val="none" w:sz="0" w:space="0" w:color="auto"/>
        <w:right w:val="none" w:sz="0" w:space="0" w:color="auto"/>
      </w:divBdr>
    </w:div>
    <w:div w:id="2028210319">
      <w:bodyDiv w:val="1"/>
      <w:marLeft w:val="0"/>
      <w:marRight w:val="0"/>
      <w:marTop w:val="0"/>
      <w:marBottom w:val="0"/>
      <w:divBdr>
        <w:top w:val="none" w:sz="0" w:space="0" w:color="auto"/>
        <w:left w:val="none" w:sz="0" w:space="0" w:color="auto"/>
        <w:bottom w:val="none" w:sz="0" w:space="0" w:color="auto"/>
        <w:right w:val="none" w:sz="0" w:space="0" w:color="auto"/>
      </w:divBdr>
    </w:div>
    <w:div w:id="2107193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2.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D:\Assignment\Assignments%20-%20Eiamin\2023\June\24%20June,%202023\Draf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Assignment\Assignments%20-%20Eiamin\2023\June\24%20June,%202023\Draf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Assignment\Assignments%20-%20Eiamin\2023\June\24%20June,%202023\Draf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Assignment\Assignments%20-%20Eiamin\2023\June\24%20June,%202023\Draft.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Assignment\Assignments%20-%20Eiamin\2023\June\24%20June,%202023\Draft.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Assignment\Assignments%20-%20Eiamin\2023\June\24%20June,%202023\Draf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987729658792754"/>
          <c:y val="0.13214274251436342"/>
          <c:w val="0.75727690288713911"/>
          <c:h val="0.73044567515690284"/>
        </c:manualLayout>
      </c:layout>
      <c:barChart>
        <c:barDir val="bar"/>
        <c:grouping val="clustered"/>
        <c:varyColors val="0"/>
        <c:ser>
          <c:idx val="0"/>
          <c:order val="0"/>
          <c:tx>
            <c:strRef>
              <c:f>Expenditure!$E$2</c:f>
              <c:strCache>
                <c:ptCount val="1"/>
                <c:pt idx="0">
                  <c:v>Expenditure (In Billion Pounds)</c:v>
                </c:pt>
              </c:strCache>
            </c:strRef>
          </c:tx>
          <c:spPr>
            <a:solidFill>
              <a:schemeClr val="accent4">
                <a:lumMod val="20000"/>
                <a:lumOff val="80000"/>
              </a:schemeClr>
            </a:solidFill>
            <a:ln>
              <a:solidFill>
                <a:schemeClr val="accent4"/>
              </a:solidFill>
            </a:ln>
          </c:spPr>
          <c:invertIfNegative val="0"/>
          <c:dLbls>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Expenditure!$D$3:$D$14</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Expenditure!$E$3:$E$14</c:f>
              <c:numCache>
                <c:formatCode>_(* #,##0.00_);_(* \(#,##0.00\);_(* "-"??_);_(@_)</c:formatCode>
                <c:ptCount val="12"/>
                <c:pt idx="0">
                  <c:v>126.6</c:v>
                </c:pt>
                <c:pt idx="1">
                  <c:v>144.1</c:v>
                </c:pt>
                <c:pt idx="2">
                  <c:v>153</c:v>
                </c:pt>
                <c:pt idx="3">
                  <c:v>160.4</c:v>
                </c:pt>
                <c:pt idx="4">
                  <c:v>170.9</c:v>
                </c:pt>
                <c:pt idx="5">
                  <c:v>184.3</c:v>
                </c:pt>
                <c:pt idx="6">
                  <c:v>195.5</c:v>
                </c:pt>
                <c:pt idx="7">
                  <c:v>201</c:v>
                </c:pt>
                <c:pt idx="8">
                  <c:v>210</c:v>
                </c:pt>
                <c:pt idx="9">
                  <c:v>222.7</c:v>
                </c:pt>
                <c:pt idx="10">
                  <c:v>257.5</c:v>
                </c:pt>
                <c:pt idx="11">
                  <c:v>276.60000000000002</c:v>
                </c:pt>
              </c:numCache>
            </c:numRef>
          </c:val>
          <c:extLst>
            <c:ext xmlns:c16="http://schemas.microsoft.com/office/drawing/2014/chart" uri="{C3380CC4-5D6E-409C-BE32-E72D297353CC}">
              <c16:uniqueId val="{00000000-3B96-469F-899F-CE98D93136F0}"/>
            </c:ext>
          </c:extLst>
        </c:ser>
        <c:dLbls>
          <c:showLegendKey val="0"/>
          <c:showVal val="0"/>
          <c:showCatName val="0"/>
          <c:showSerName val="0"/>
          <c:showPercent val="0"/>
          <c:showBubbleSize val="0"/>
        </c:dLbls>
        <c:gapWidth val="150"/>
        <c:axId val="85246720"/>
        <c:axId val="85248640"/>
      </c:barChart>
      <c:catAx>
        <c:axId val="85246720"/>
        <c:scaling>
          <c:orientation val="minMax"/>
        </c:scaling>
        <c:delete val="0"/>
        <c:axPos val="l"/>
        <c:title>
          <c:tx>
            <c:rich>
              <a:bodyPr rot="-5400000" vert="horz"/>
              <a:lstStyle/>
              <a:p>
                <a:pPr>
                  <a:defRPr/>
                </a:pPr>
                <a:r>
                  <a:rPr lang="en-US"/>
                  <a:t>Year</a:t>
                </a:r>
              </a:p>
            </c:rich>
          </c:tx>
          <c:overlay val="0"/>
        </c:title>
        <c:numFmt formatCode="General" sourceLinked="1"/>
        <c:majorTickMark val="out"/>
        <c:minorTickMark val="none"/>
        <c:tickLblPos val="nextTo"/>
        <c:crossAx val="85248640"/>
        <c:crosses val="autoZero"/>
        <c:auto val="1"/>
        <c:lblAlgn val="ctr"/>
        <c:lblOffset val="100"/>
        <c:noMultiLvlLbl val="0"/>
      </c:catAx>
      <c:valAx>
        <c:axId val="85248640"/>
        <c:scaling>
          <c:orientation val="minMax"/>
          <c:max val="350"/>
        </c:scaling>
        <c:delete val="0"/>
        <c:axPos val="b"/>
        <c:majorGridlines>
          <c:spPr>
            <a:ln>
              <a:noFill/>
            </a:ln>
          </c:spPr>
        </c:majorGridlines>
        <c:numFmt formatCode="_(* #,##0.00_);_(* \(#,##0.00\);_(* &quot;-&quot;??_);_(@_)" sourceLinked="1"/>
        <c:majorTickMark val="out"/>
        <c:minorTickMark val="none"/>
        <c:tickLblPos val="nextTo"/>
        <c:crossAx val="85246720"/>
        <c:crosses val="autoZero"/>
        <c:crossBetween val="between"/>
      </c:valAx>
      <c:spPr>
        <a:ln>
          <a:solidFill>
            <a:schemeClr val="tx1"/>
          </a:solidFill>
        </a:ln>
      </c:spPr>
    </c:plotArea>
    <c:legend>
      <c:legendPos val="r"/>
      <c:layout>
        <c:manualLayout>
          <c:xMode val="edge"/>
          <c:yMode val="edge"/>
          <c:x val="0.18797353455818044"/>
          <c:y val="3.8776141349488903E-2"/>
          <c:w val="0.70492913385826772"/>
          <c:h val="5.3965038180715963E-2"/>
        </c:manualLayout>
      </c:layout>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3394663167104173"/>
          <c:y val="0.15788203557888641"/>
          <c:w val="0.83578937007874188"/>
          <c:h val="0.60806321084864379"/>
        </c:manualLayout>
      </c:layout>
      <c:lineChart>
        <c:grouping val="standard"/>
        <c:varyColors val="0"/>
        <c:ser>
          <c:idx val="0"/>
          <c:order val="0"/>
          <c:tx>
            <c:strRef>
              <c:f>Expenditure!$H$3</c:f>
              <c:strCache>
                <c:ptCount val="1"/>
                <c:pt idx="0">
                  <c:v>Growth in Amount of Expenditure (in %)</c:v>
                </c:pt>
              </c:strCache>
            </c:strRef>
          </c:tx>
          <c:spPr>
            <a:ln w="19050">
              <a:solidFill>
                <a:schemeClr val="accent3">
                  <a:lumMod val="75000"/>
                </a:schemeClr>
              </a:solidFill>
            </a:ln>
          </c:spPr>
          <c:marker>
            <c:symbol val="circle"/>
            <c:size val="7"/>
            <c:spPr>
              <a:solidFill>
                <a:sysClr val="window" lastClr="FFFFFF"/>
              </a:solidFill>
              <a:ln>
                <a:solidFill>
                  <a:schemeClr val="accent3">
                    <a:lumMod val="75000"/>
                  </a:schemeClr>
                </a:solidFill>
              </a:ln>
            </c:spPr>
          </c:marker>
          <c:cat>
            <c:numRef>
              <c:f>Expenditure!$G$4:$G$14</c:f>
              <c:numCache>
                <c:formatCode>General</c:formatCode>
                <c:ptCount val="11"/>
                <c:pt idx="0">
                  <c:v>2011</c:v>
                </c:pt>
                <c:pt idx="1">
                  <c:v>2012</c:v>
                </c:pt>
                <c:pt idx="2">
                  <c:v>2013</c:v>
                </c:pt>
                <c:pt idx="3">
                  <c:v>2014</c:v>
                </c:pt>
                <c:pt idx="4">
                  <c:v>2015</c:v>
                </c:pt>
                <c:pt idx="5">
                  <c:v>2016</c:v>
                </c:pt>
                <c:pt idx="6">
                  <c:v>2017</c:v>
                </c:pt>
                <c:pt idx="7">
                  <c:v>2018</c:v>
                </c:pt>
                <c:pt idx="8">
                  <c:v>2019</c:v>
                </c:pt>
                <c:pt idx="9">
                  <c:v>2020</c:v>
                </c:pt>
                <c:pt idx="10">
                  <c:v>2021</c:v>
                </c:pt>
              </c:numCache>
            </c:numRef>
          </c:cat>
          <c:val>
            <c:numRef>
              <c:f>Expenditure!$H$4:$H$14</c:f>
              <c:numCache>
                <c:formatCode>0.00%</c:formatCode>
                <c:ptCount val="11"/>
                <c:pt idx="0">
                  <c:v>0.13823064770932089</c:v>
                </c:pt>
                <c:pt idx="1">
                  <c:v>6.1762664816100203E-2</c:v>
                </c:pt>
                <c:pt idx="2">
                  <c:v>4.8366013071895524E-2</c:v>
                </c:pt>
                <c:pt idx="3">
                  <c:v>6.546134663341642E-2</c:v>
                </c:pt>
                <c:pt idx="4">
                  <c:v>7.8408425980105501E-2</c:v>
                </c:pt>
                <c:pt idx="5">
                  <c:v>6.0770482908301685E-2</c:v>
                </c:pt>
                <c:pt idx="6">
                  <c:v>2.8132992327365682E-2</c:v>
                </c:pt>
                <c:pt idx="7">
                  <c:v>4.4776119402984975E-2</c:v>
                </c:pt>
                <c:pt idx="8">
                  <c:v>6.0476190476190364E-2</c:v>
                </c:pt>
                <c:pt idx="9">
                  <c:v>0.15626403233048994</c:v>
                </c:pt>
                <c:pt idx="10">
                  <c:v>7.4174757281553427E-2</c:v>
                </c:pt>
              </c:numCache>
            </c:numRef>
          </c:val>
          <c:smooth val="0"/>
          <c:extLst>
            <c:ext xmlns:c16="http://schemas.microsoft.com/office/drawing/2014/chart" uri="{C3380CC4-5D6E-409C-BE32-E72D297353CC}">
              <c16:uniqueId val="{00000000-70C2-413C-8D14-624C0CA924BD}"/>
            </c:ext>
          </c:extLst>
        </c:ser>
        <c:dLbls>
          <c:showLegendKey val="0"/>
          <c:showVal val="0"/>
          <c:showCatName val="0"/>
          <c:showSerName val="0"/>
          <c:showPercent val="0"/>
          <c:showBubbleSize val="0"/>
        </c:dLbls>
        <c:marker val="1"/>
        <c:smooth val="0"/>
        <c:axId val="85345792"/>
        <c:axId val="85360640"/>
      </c:lineChart>
      <c:catAx>
        <c:axId val="85345792"/>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low"/>
        <c:txPr>
          <a:bodyPr rot="-5400000" vert="horz"/>
          <a:lstStyle/>
          <a:p>
            <a:pPr>
              <a:defRPr/>
            </a:pPr>
            <a:endParaRPr lang="en-US"/>
          </a:p>
        </c:txPr>
        <c:crossAx val="85360640"/>
        <c:crosses val="autoZero"/>
        <c:auto val="1"/>
        <c:lblAlgn val="ctr"/>
        <c:lblOffset val="100"/>
        <c:noMultiLvlLbl val="0"/>
      </c:catAx>
      <c:valAx>
        <c:axId val="85360640"/>
        <c:scaling>
          <c:orientation val="minMax"/>
        </c:scaling>
        <c:delete val="0"/>
        <c:axPos val="l"/>
        <c:majorGridlines>
          <c:spPr>
            <a:ln>
              <a:noFill/>
            </a:ln>
          </c:spPr>
        </c:majorGridlines>
        <c:numFmt formatCode="0.00%" sourceLinked="1"/>
        <c:majorTickMark val="out"/>
        <c:minorTickMark val="none"/>
        <c:tickLblPos val="nextTo"/>
        <c:crossAx val="85345792"/>
        <c:crosses val="autoZero"/>
        <c:crossBetween val="between"/>
      </c:valAx>
      <c:spPr>
        <a:ln>
          <a:solidFill>
            <a:schemeClr val="tx1"/>
          </a:solidFill>
        </a:ln>
      </c:spPr>
    </c:plotArea>
    <c:legend>
      <c:legendPos val="r"/>
      <c:layout>
        <c:manualLayout>
          <c:xMode val="edge"/>
          <c:yMode val="edge"/>
          <c:x val="0.18640266841644848"/>
          <c:y val="2.7393919510061381E-2"/>
          <c:w val="0.7344166666666665"/>
          <c:h val="8.4101049868766528E-2"/>
        </c:manualLayout>
      </c:layout>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987729658792729"/>
          <c:y val="0.13214274251436331"/>
          <c:w val="0.71005468066491684"/>
          <c:h val="0.66949331248794564"/>
        </c:manualLayout>
      </c:layout>
      <c:barChart>
        <c:barDir val="bar"/>
        <c:grouping val="clustered"/>
        <c:varyColors val="0"/>
        <c:ser>
          <c:idx val="1"/>
          <c:order val="0"/>
          <c:tx>
            <c:strRef>
              <c:f>'Number of Employees'!$E$2</c:f>
              <c:strCache>
                <c:ptCount val="1"/>
                <c:pt idx="0">
                  <c:v>Number of Employees</c:v>
                </c:pt>
              </c:strCache>
            </c:strRef>
          </c:tx>
          <c:spPr>
            <a:solidFill>
              <a:schemeClr val="accent3">
                <a:lumMod val="20000"/>
                <a:lumOff val="80000"/>
              </a:schemeClr>
            </a:solidFill>
            <a:ln>
              <a:solidFill>
                <a:schemeClr val="tx1"/>
              </a:solidFill>
            </a:ln>
          </c:spPr>
          <c:invertIfNegative val="0"/>
          <c:dLbls>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'Number of Employees'!$D$3:$D$14</c:f>
              <c:numCache>
                <c:formatCode>General</c:formatCode>
                <c:ptCount val="12"/>
                <c:pt idx="0">
                  <c:v>2010</c:v>
                </c:pt>
                <c:pt idx="1">
                  <c:v>2011</c:v>
                </c:pt>
                <c:pt idx="2">
                  <c:v>2012</c:v>
                </c:pt>
                <c:pt idx="3">
                  <c:v>2013</c:v>
                </c:pt>
                <c:pt idx="4">
                  <c:v>2014</c:v>
                </c:pt>
                <c:pt idx="5">
                  <c:v>2015</c:v>
                </c:pt>
                <c:pt idx="6">
                  <c:v>2016</c:v>
                </c:pt>
                <c:pt idx="7">
                  <c:v>2017</c:v>
                </c:pt>
                <c:pt idx="8">
                  <c:v>2018</c:v>
                </c:pt>
                <c:pt idx="9">
                  <c:v>2019</c:v>
                </c:pt>
                <c:pt idx="10">
                  <c:v>2020</c:v>
                </c:pt>
                <c:pt idx="11">
                  <c:v>2021</c:v>
                </c:pt>
              </c:numCache>
            </c:numRef>
          </c:cat>
          <c:val>
            <c:numRef>
              <c:f>'Number of Employees'!$E$3:$E$14</c:f>
              <c:numCache>
                <c:formatCode>_(* #,##0_);_(* \(#,##0\);_(* "-"??_);_(@_)</c:formatCode>
                <c:ptCount val="12"/>
                <c:pt idx="0">
                  <c:v>1441005.48</c:v>
                </c:pt>
                <c:pt idx="1">
                  <c:v>1405166</c:v>
                </c:pt>
                <c:pt idx="2">
                  <c:v>1361696</c:v>
                </c:pt>
                <c:pt idx="3">
                  <c:v>1373178</c:v>
                </c:pt>
                <c:pt idx="4">
                  <c:v>1396968</c:v>
                </c:pt>
                <c:pt idx="5">
                  <c:v>1423676</c:v>
                </c:pt>
                <c:pt idx="6">
                  <c:v>1453394</c:v>
                </c:pt>
                <c:pt idx="7">
                  <c:v>1460332</c:v>
                </c:pt>
                <c:pt idx="8">
                  <c:v>1490784</c:v>
                </c:pt>
                <c:pt idx="9">
                  <c:v>1540364</c:v>
                </c:pt>
                <c:pt idx="10">
                  <c:v>1576430</c:v>
                </c:pt>
                <c:pt idx="11">
                  <c:v>1660883</c:v>
                </c:pt>
              </c:numCache>
            </c:numRef>
          </c:val>
          <c:extLst>
            <c:ext xmlns:c16="http://schemas.microsoft.com/office/drawing/2014/chart" uri="{C3380CC4-5D6E-409C-BE32-E72D297353CC}">
              <c16:uniqueId val="{00000000-6D71-4AEC-90A3-001EFCCE9197}"/>
            </c:ext>
          </c:extLst>
        </c:ser>
        <c:dLbls>
          <c:showLegendKey val="0"/>
          <c:showVal val="0"/>
          <c:showCatName val="0"/>
          <c:showSerName val="0"/>
          <c:showPercent val="0"/>
          <c:showBubbleSize val="0"/>
        </c:dLbls>
        <c:gapWidth val="150"/>
        <c:axId val="85507456"/>
        <c:axId val="85509632"/>
      </c:barChart>
      <c:catAx>
        <c:axId val="85507456"/>
        <c:scaling>
          <c:orientation val="minMax"/>
        </c:scaling>
        <c:delete val="0"/>
        <c:axPos val="l"/>
        <c:title>
          <c:tx>
            <c:rich>
              <a:bodyPr rot="-5400000" vert="horz"/>
              <a:lstStyle/>
              <a:p>
                <a:pPr>
                  <a:defRPr/>
                </a:pPr>
                <a:r>
                  <a:rPr lang="en-US"/>
                  <a:t>Year</a:t>
                </a:r>
              </a:p>
            </c:rich>
          </c:tx>
          <c:overlay val="0"/>
        </c:title>
        <c:numFmt formatCode="General" sourceLinked="1"/>
        <c:majorTickMark val="out"/>
        <c:minorTickMark val="none"/>
        <c:tickLblPos val="nextTo"/>
        <c:crossAx val="85509632"/>
        <c:crosses val="autoZero"/>
        <c:auto val="1"/>
        <c:lblAlgn val="ctr"/>
        <c:lblOffset val="100"/>
        <c:noMultiLvlLbl val="0"/>
      </c:catAx>
      <c:valAx>
        <c:axId val="85509632"/>
        <c:scaling>
          <c:orientation val="minMax"/>
        </c:scaling>
        <c:delete val="0"/>
        <c:axPos val="b"/>
        <c:majorGridlines>
          <c:spPr>
            <a:ln>
              <a:noFill/>
            </a:ln>
          </c:spPr>
        </c:majorGridlines>
        <c:numFmt formatCode="_(* #,##0_);_(* \(#,##0\);_(* &quot;-&quot;??_);_(@_)" sourceLinked="1"/>
        <c:majorTickMark val="out"/>
        <c:minorTickMark val="none"/>
        <c:tickLblPos val="nextTo"/>
        <c:crossAx val="85507456"/>
        <c:crosses val="autoZero"/>
        <c:crossBetween val="between"/>
        <c:dispUnits>
          <c:builtInUnit val="thousands"/>
          <c:dispUnitsLbl/>
        </c:dispUnits>
      </c:valAx>
      <c:spPr>
        <a:ln>
          <a:solidFill>
            <a:schemeClr val="tx1"/>
          </a:solidFill>
        </a:ln>
      </c:spPr>
    </c:plotArea>
    <c:legend>
      <c:legendPos val="r"/>
      <c:layout>
        <c:manualLayout>
          <c:xMode val="edge"/>
          <c:yMode val="edge"/>
          <c:x val="0.27130686789151454"/>
          <c:y val="3.8776141349488903E-2"/>
          <c:w val="0.39440288713910943"/>
          <c:h val="6.2149212703648232E-2"/>
        </c:manualLayout>
      </c:layout>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3394663167104154"/>
          <c:y val="0.1578820355788863"/>
          <c:w val="0.83578937007874143"/>
          <c:h val="0.65435950714494062"/>
        </c:manualLayout>
      </c:layout>
      <c:lineChart>
        <c:grouping val="standard"/>
        <c:varyColors val="0"/>
        <c:ser>
          <c:idx val="1"/>
          <c:order val="0"/>
          <c:tx>
            <c:strRef>
              <c:f>'Number of Employees'!$H$3</c:f>
              <c:strCache>
                <c:ptCount val="1"/>
                <c:pt idx="0">
                  <c:v>Growth in Number of Employees (in %)</c:v>
                </c:pt>
              </c:strCache>
            </c:strRef>
          </c:tx>
          <c:spPr>
            <a:ln w="19050">
              <a:solidFill>
                <a:schemeClr val="accent4"/>
              </a:solidFill>
            </a:ln>
          </c:spPr>
          <c:marker>
            <c:symbol val="circle"/>
            <c:size val="7"/>
            <c:spPr>
              <a:solidFill>
                <a:sysClr val="window" lastClr="FFFFFF"/>
              </a:solidFill>
              <a:ln>
                <a:solidFill>
                  <a:schemeClr val="accent4"/>
                </a:solidFill>
              </a:ln>
            </c:spPr>
          </c:marker>
          <c:cat>
            <c:numRef>
              <c:f>'Number of Employees'!$G$4:$G$14</c:f>
              <c:numCache>
                <c:formatCode>General</c:formatCode>
                <c:ptCount val="11"/>
                <c:pt idx="0">
                  <c:v>2011</c:v>
                </c:pt>
                <c:pt idx="1">
                  <c:v>2012</c:v>
                </c:pt>
                <c:pt idx="2">
                  <c:v>2013</c:v>
                </c:pt>
                <c:pt idx="3">
                  <c:v>2014</c:v>
                </c:pt>
                <c:pt idx="4">
                  <c:v>2015</c:v>
                </c:pt>
                <c:pt idx="5">
                  <c:v>2016</c:v>
                </c:pt>
                <c:pt idx="6">
                  <c:v>2017</c:v>
                </c:pt>
                <c:pt idx="7">
                  <c:v>2018</c:v>
                </c:pt>
                <c:pt idx="8">
                  <c:v>2019</c:v>
                </c:pt>
                <c:pt idx="9">
                  <c:v>2020</c:v>
                </c:pt>
                <c:pt idx="10">
                  <c:v>2021</c:v>
                </c:pt>
              </c:numCache>
            </c:numRef>
          </c:cat>
          <c:val>
            <c:numRef>
              <c:f>'Number of Employees'!$H$4:$H$14</c:f>
              <c:numCache>
                <c:formatCode>0.00%</c:formatCode>
                <c:ptCount val="11"/>
                <c:pt idx="0">
                  <c:v>-2.4871161489268007E-2</c:v>
                </c:pt>
                <c:pt idx="1">
                  <c:v>-3.0935846725582621E-2</c:v>
                </c:pt>
                <c:pt idx="2">
                  <c:v>8.4321316945925595E-3</c:v>
                </c:pt>
                <c:pt idx="3">
                  <c:v>1.7324775083783741E-2</c:v>
                </c:pt>
                <c:pt idx="4">
                  <c:v>1.9118548170036886E-2</c:v>
                </c:pt>
                <c:pt idx="5">
                  <c:v>2.0874131473734223E-2</c:v>
                </c:pt>
                <c:pt idx="6">
                  <c:v>4.7736539438032596E-3</c:v>
                </c:pt>
                <c:pt idx="7">
                  <c:v>2.0852792378719433E-2</c:v>
                </c:pt>
                <c:pt idx="8">
                  <c:v>3.3257668448279543E-2</c:v>
                </c:pt>
                <c:pt idx="9">
                  <c:v>2.3413946313988191E-2</c:v>
                </c:pt>
                <c:pt idx="10">
                  <c:v>5.357231212296143E-2</c:v>
                </c:pt>
              </c:numCache>
            </c:numRef>
          </c:val>
          <c:smooth val="0"/>
          <c:extLst>
            <c:ext xmlns:c16="http://schemas.microsoft.com/office/drawing/2014/chart" uri="{C3380CC4-5D6E-409C-BE32-E72D297353CC}">
              <c16:uniqueId val="{00000000-7ECD-44C1-8C27-D427DE4D533A}"/>
            </c:ext>
          </c:extLst>
        </c:ser>
        <c:dLbls>
          <c:showLegendKey val="0"/>
          <c:showVal val="0"/>
          <c:showCatName val="0"/>
          <c:showSerName val="0"/>
          <c:showPercent val="0"/>
          <c:showBubbleSize val="0"/>
        </c:dLbls>
        <c:marker val="1"/>
        <c:smooth val="0"/>
        <c:axId val="85574400"/>
        <c:axId val="85576704"/>
      </c:lineChart>
      <c:catAx>
        <c:axId val="85574400"/>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low"/>
        <c:txPr>
          <a:bodyPr rot="-5400000" vert="horz"/>
          <a:lstStyle/>
          <a:p>
            <a:pPr>
              <a:defRPr/>
            </a:pPr>
            <a:endParaRPr lang="en-US"/>
          </a:p>
        </c:txPr>
        <c:crossAx val="85576704"/>
        <c:crosses val="autoZero"/>
        <c:auto val="1"/>
        <c:lblAlgn val="ctr"/>
        <c:lblOffset val="100"/>
        <c:noMultiLvlLbl val="0"/>
      </c:catAx>
      <c:valAx>
        <c:axId val="85576704"/>
        <c:scaling>
          <c:orientation val="minMax"/>
        </c:scaling>
        <c:delete val="0"/>
        <c:axPos val="l"/>
        <c:majorGridlines>
          <c:spPr>
            <a:ln>
              <a:noFill/>
            </a:ln>
          </c:spPr>
        </c:majorGridlines>
        <c:numFmt formatCode="0.00%" sourceLinked="1"/>
        <c:majorTickMark val="out"/>
        <c:minorTickMark val="none"/>
        <c:tickLblPos val="nextTo"/>
        <c:crossAx val="85574400"/>
        <c:crosses val="autoZero"/>
        <c:crossBetween val="between"/>
      </c:valAx>
      <c:spPr>
        <a:ln>
          <a:solidFill>
            <a:schemeClr val="tx1"/>
          </a:solidFill>
        </a:ln>
      </c:spPr>
    </c:plotArea>
    <c:legend>
      <c:legendPos val="r"/>
      <c:layout>
        <c:manualLayout>
          <c:xMode val="edge"/>
          <c:yMode val="edge"/>
          <c:x val="0.18640266841644834"/>
          <c:y val="2.7393919510061336E-2"/>
          <c:w val="0.66081955380577606"/>
          <c:h val="8.8730679498396275E-2"/>
        </c:manualLayout>
      </c:layout>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7829724409448883"/>
          <c:y val="0.11922941387201252"/>
          <c:w val="0.81887401574803165"/>
          <c:h val="0.40567426286198932"/>
        </c:manualLayout>
      </c:layout>
      <c:barChart>
        <c:barDir val="col"/>
        <c:grouping val="clustered"/>
        <c:varyColors val="0"/>
        <c:ser>
          <c:idx val="0"/>
          <c:order val="0"/>
          <c:tx>
            <c:v>Year 2021</c:v>
          </c:tx>
          <c:spPr>
            <a:solidFill>
              <a:schemeClr val="accent5">
                <a:lumMod val="20000"/>
                <a:lumOff val="80000"/>
              </a:schemeClr>
            </a:solidFill>
            <a:ln>
              <a:solidFill>
                <a:schemeClr val="tx1"/>
              </a:solidFill>
            </a:ln>
          </c:spPr>
          <c:invertIfNegative val="0"/>
          <c:dLbls>
            <c:spPr>
              <a:noFill/>
              <a:ln>
                <a:noFill/>
              </a:ln>
              <a:effectLst/>
            </c:spPr>
            <c:txPr>
              <a:bodyPr rot="-5400000" vert="horz"/>
              <a:lstStyle/>
              <a:p>
                <a:pPr>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'Number of Firms'!$B$3:$B$12</c:f>
              <c:strCache>
                <c:ptCount val="10"/>
                <c:pt idx="0">
                  <c:v>0-49,999</c:v>
                </c:pt>
                <c:pt idx="1">
                  <c:v>50,000-99,999</c:v>
                </c:pt>
                <c:pt idx="2">
                  <c:v>100,000-249,999</c:v>
                </c:pt>
                <c:pt idx="3">
                  <c:v>250,000-499,999</c:v>
                </c:pt>
                <c:pt idx="4">
                  <c:v>500,000-999,999</c:v>
                </c:pt>
                <c:pt idx="5">
                  <c:v>1,000,000-1,999,999</c:v>
                </c:pt>
                <c:pt idx="6">
                  <c:v>2,000,000-4,999,999</c:v>
                </c:pt>
                <c:pt idx="7">
                  <c:v>5,000,000-9,999,999</c:v>
                </c:pt>
                <c:pt idx="8">
                  <c:v>10,000,000-49,999,999</c:v>
                </c:pt>
                <c:pt idx="9">
                  <c:v>More Than 500,000,000</c:v>
                </c:pt>
              </c:strCache>
            </c:strRef>
          </c:cat>
          <c:val>
            <c:numRef>
              <c:f>'Number of Firms'!$C$3:$C$12</c:f>
              <c:numCache>
                <c:formatCode>_(* #,##0_);_(* \(#,##0\);_(* "-"??_);_(@_)</c:formatCode>
                <c:ptCount val="10"/>
                <c:pt idx="0">
                  <c:v>395</c:v>
                </c:pt>
                <c:pt idx="1">
                  <c:v>1005</c:v>
                </c:pt>
                <c:pt idx="2">
                  <c:v>495</c:v>
                </c:pt>
                <c:pt idx="3">
                  <c:v>115</c:v>
                </c:pt>
                <c:pt idx="4">
                  <c:v>115</c:v>
                </c:pt>
                <c:pt idx="5">
                  <c:v>140</c:v>
                </c:pt>
                <c:pt idx="6">
                  <c:v>195</c:v>
                </c:pt>
                <c:pt idx="7">
                  <c:v>55</c:v>
                </c:pt>
                <c:pt idx="8">
                  <c:v>50</c:v>
                </c:pt>
                <c:pt idx="9">
                  <c:v>215</c:v>
                </c:pt>
              </c:numCache>
            </c:numRef>
          </c:val>
          <c:extLst>
            <c:ext xmlns:c16="http://schemas.microsoft.com/office/drawing/2014/chart" uri="{C3380CC4-5D6E-409C-BE32-E72D297353CC}">
              <c16:uniqueId val="{00000000-1C65-4516-949E-D3B17A1D98E5}"/>
            </c:ext>
          </c:extLst>
        </c:ser>
        <c:ser>
          <c:idx val="1"/>
          <c:order val="1"/>
          <c:tx>
            <c:v>Year 2022</c:v>
          </c:tx>
          <c:spPr>
            <a:solidFill>
              <a:schemeClr val="accent2">
                <a:lumMod val="20000"/>
                <a:lumOff val="80000"/>
              </a:schemeClr>
            </a:solidFill>
            <a:ln>
              <a:solidFill>
                <a:schemeClr val="tx1"/>
              </a:solidFill>
            </a:ln>
          </c:spPr>
          <c:invertIfNegative val="0"/>
          <c:dLbls>
            <c:spPr>
              <a:noFill/>
              <a:ln>
                <a:noFill/>
              </a:ln>
              <a:effectLst/>
            </c:spPr>
            <c:txPr>
              <a:bodyPr rot="-5400000" vert="horz"/>
              <a:lstStyle/>
              <a:p>
                <a:pPr>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'Number of Firms'!$B$3:$B$12</c:f>
              <c:strCache>
                <c:ptCount val="10"/>
                <c:pt idx="0">
                  <c:v>0-49,999</c:v>
                </c:pt>
                <c:pt idx="1">
                  <c:v>50,000-99,999</c:v>
                </c:pt>
                <c:pt idx="2">
                  <c:v>100,000-249,999</c:v>
                </c:pt>
                <c:pt idx="3">
                  <c:v>250,000-499,999</c:v>
                </c:pt>
                <c:pt idx="4">
                  <c:v>500,000-999,999</c:v>
                </c:pt>
                <c:pt idx="5">
                  <c:v>1,000,000-1,999,999</c:v>
                </c:pt>
                <c:pt idx="6">
                  <c:v>2,000,000-4,999,999</c:v>
                </c:pt>
                <c:pt idx="7">
                  <c:v>5,000,000-9,999,999</c:v>
                </c:pt>
                <c:pt idx="8">
                  <c:v>10,000,000-49,999,999</c:v>
                </c:pt>
                <c:pt idx="9">
                  <c:v>More Than 500,000,000</c:v>
                </c:pt>
              </c:strCache>
            </c:strRef>
          </c:cat>
          <c:val>
            <c:numRef>
              <c:f>'Number of Firms'!$D$3:$D$12</c:f>
              <c:numCache>
                <c:formatCode>_(* #,##0_);_(* \(#,##0\);_(* "-"??_);_(@_)</c:formatCode>
                <c:ptCount val="10"/>
                <c:pt idx="0">
                  <c:v>95</c:v>
                </c:pt>
                <c:pt idx="1">
                  <c:v>1290</c:v>
                </c:pt>
                <c:pt idx="2">
                  <c:v>620</c:v>
                </c:pt>
                <c:pt idx="3">
                  <c:v>145</c:v>
                </c:pt>
                <c:pt idx="4">
                  <c:v>110</c:v>
                </c:pt>
                <c:pt idx="5">
                  <c:v>130</c:v>
                </c:pt>
                <c:pt idx="6">
                  <c:v>220</c:v>
                </c:pt>
                <c:pt idx="7">
                  <c:v>65</c:v>
                </c:pt>
                <c:pt idx="8">
                  <c:v>55</c:v>
                </c:pt>
                <c:pt idx="9">
                  <c:v>220</c:v>
                </c:pt>
              </c:numCache>
            </c:numRef>
          </c:val>
          <c:extLst>
            <c:ext xmlns:c16="http://schemas.microsoft.com/office/drawing/2014/chart" uri="{C3380CC4-5D6E-409C-BE32-E72D297353CC}">
              <c16:uniqueId val="{00000001-1C65-4516-949E-D3B17A1D98E5}"/>
            </c:ext>
          </c:extLst>
        </c:ser>
        <c:dLbls>
          <c:showLegendKey val="0"/>
          <c:showVal val="0"/>
          <c:showCatName val="0"/>
          <c:showSerName val="0"/>
          <c:showPercent val="0"/>
          <c:showBubbleSize val="0"/>
        </c:dLbls>
        <c:gapWidth val="150"/>
        <c:axId val="90013696"/>
        <c:axId val="90015616"/>
      </c:barChart>
      <c:catAx>
        <c:axId val="90013696"/>
        <c:scaling>
          <c:orientation val="minMax"/>
        </c:scaling>
        <c:delete val="0"/>
        <c:axPos val="b"/>
        <c:title>
          <c:tx>
            <c:rich>
              <a:bodyPr/>
              <a:lstStyle/>
              <a:p>
                <a:pPr>
                  <a:defRPr/>
                </a:pPr>
                <a:r>
                  <a:rPr lang="en-US"/>
                  <a:t>Range of Turnover  (in Pounds)</a:t>
                </a:r>
              </a:p>
            </c:rich>
          </c:tx>
          <c:overlay val="0"/>
        </c:title>
        <c:numFmt formatCode="General" sourceLinked="1"/>
        <c:majorTickMark val="out"/>
        <c:minorTickMark val="none"/>
        <c:tickLblPos val="nextTo"/>
        <c:crossAx val="90015616"/>
        <c:crosses val="autoZero"/>
        <c:auto val="1"/>
        <c:lblAlgn val="ctr"/>
        <c:lblOffset val="100"/>
        <c:noMultiLvlLbl val="0"/>
      </c:catAx>
      <c:valAx>
        <c:axId val="90015616"/>
        <c:scaling>
          <c:orientation val="minMax"/>
        </c:scaling>
        <c:delete val="0"/>
        <c:axPos val="l"/>
        <c:majorGridlines>
          <c:spPr>
            <a:ln>
              <a:noFill/>
            </a:ln>
          </c:spPr>
        </c:majorGridlines>
        <c:title>
          <c:tx>
            <c:rich>
              <a:bodyPr rot="-5400000" vert="horz"/>
              <a:lstStyle/>
              <a:p>
                <a:pPr>
                  <a:defRPr/>
                </a:pPr>
                <a:r>
                  <a:rPr lang="en-US"/>
                  <a:t>Number of Healthcare Firms in the UK</a:t>
                </a:r>
              </a:p>
            </c:rich>
          </c:tx>
          <c:layout>
            <c:manualLayout>
              <c:xMode val="edge"/>
              <c:yMode val="edge"/>
              <c:x val="1.1111111111111125E-2"/>
              <c:y val="0.12665745472623721"/>
            </c:manualLayout>
          </c:layout>
          <c:overlay val="0"/>
        </c:title>
        <c:numFmt formatCode="_(* #,##0_);_(* \(#,##0\);_(* &quot;-&quot;??_);_(@_)" sourceLinked="1"/>
        <c:majorTickMark val="out"/>
        <c:minorTickMark val="none"/>
        <c:tickLblPos val="nextTo"/>
        <c:crossAx val="90013696"/>
        <c:crosses val="autoZero"/>
        <c:crossBetween val="between"/>
      </c:valAx>
      <c:spPr>
        <a:ln>
          <a:noFill/>
        </a:ln>
      </c:spPr>
    </c:plotArea>
    <c:legend>
      <c:legendPos val="r"/>
      <c:layout>
        <c:manualLayout>
          <c:xMode val="edge"/>
          <c:yMode val="edge"/>
          <c:x val="0.4315290901137358"/>
          <c:y val="5.0295440089487407E-2"/>
          <c:w val="0.44902646544182062"/>
          <c:h val="6.7468251705305723E-2"/>
        </c:manualLayout>
      </c:layout>
      <c:overlay val="0"/>
      <c:spPr>
        <a:ln>
          <a:solidFill>
            <a:schemeClr val="tx1"/>
          </a:solidFill>
        </a:ln>
      </c:spPr>
    </c:legend>
    <c:plotVisOnly val="1"/>
    <c:dispBlanksAs val="gap"/>
    <c:showDLblsOverMax val="0"/>
  </c:chart>
  <c:txPr>
    <a:bodyPr/>
    <a:lstStyle/>
    <a:p>
      <a:pPr>
        <a:defRPr sz="1200" b="0">
          <a:latin typeface="Times New Roman" pitchFamily="18" charset="0"/>
          <a:cs typeface="Times New Roman" pitchFamily="18" charset="0"/>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200"/>
              <a:t>Yearly</a:t>
            </a:r>
            <a:r>
              <a:rPr lang="en-US" sz="1200" baseline="0"/>
              <a:t> </a:t>
            </a:r>
            <a:r>
              <a:rPr lang="en-US" sz="1200"/>
              <a:t>Growth of  Healthcare Firms in the UK (in %)</a:t>
            </a:r>
          </a:p>
        </c:rich>
      </c:tx>
      <c:layout>
        <c:manualLayout>
          <c:xMode val="edge"/>
          <c:yMode val="edge"/>
          <c:x val="0.22768044619422612"/>
          <c:y val="2.150537634408603E-2"/>
        </c:manualLayout>
      </c:layout>
      <c:overlay val="0"/>
    </c:title>
    <c:autoTitleDeleted val="0"/>
    <c:plotArea>
      <c:layout/>
      <c:lineChart>
        <c:grouping val="standard"/>
        <c:varyColors val="0"/>
        <c:ser>
          <c:idx val="0"/>
          <c:order val="0"/>
          <c:tx>
            <c:strRef>
              <c:f>'Number of Firms'!$C$22</c:f>
              <c:strCache>
                <c:ptCount val="1"/>
                <c:pt idx="0">
                  <c:v>Yearly Growth (in %)</c:v>
                </c:pt>
              </c:strCache>
            </c:strRef>
          </c:tx>
          <c:spPr>
            <a:ln w="19050"/>
          </c:spPr>
          <c:marker>
            <c:symbol val="circle"/>
            <c:size val="5"/>
            <c:spPr>
              <a:solidFill>
                <a:schemeClr val="bg1"/>
              </a:solidFill>
            </c:spPr>
          </c:marker>
          <c:cat>
            <c:strRef>
              <c:f>'Number of Firms'!$B$23:$B$32</c:f>
              <c:strCache>
                <c:ptCount val="10"/>
                <c:pt idx="0">
                  <c:v>0-49,999</c:v>
                </c:pt>
                <c:pt idx="1">
                  <c:v>50,000-99,999</c:v>
                </c:pt>
                <c:pt idx="2">
                  <c:v>100,000-249,999</c:v>
                </c:pt>
                <c:pt idx="3">
                  <c:v>250,000-499,999</c:v>
                </c:pt>
                <c:pt idx="4">
                  <c:v>500,000-999,999</c:v>
                </c:pt>
                <c:pt idx="5">
                  <c:v>1,000,000-1,999,999</c:v>
                </c:pt>
                <c:pt idx="6">
                  <c:v>2,000,000-4,999,999</c:v>
                </c:pt>
                <c:pt idx="7">
                  <c:v>5,000,000-9,999,999</c:v>
                </c:pt>
                <c:pt idx="8">
                  <c:v>10,000,000-49,999,999</c:v>
                </c:pt>
                <c:pt idx="9">
                  <c:v>More Than 500,000,000</c:v>
                </c:pt>
              </c:strCache>
            </c:strRef>
          </c:cat>
          <c:val>
            <c:numRef>
              <c:f>'Number of Firms'!$C$23:$C$32</c:f>
              <c:numCache>
                <c:formatCode>0.00%</c:formatCode>
                <c:ptCount val="10"/>
                <c:pt idx="0">
                  <c:v>-0.75949367088607689</c:v>
                </c:pt>
                <c:pt idx="1">
                  <c:v>0.28358208955223918</c:v>
                </c:pt>
                <c:pt idx="2">
                  <c:v>0.2525252525252526</c:v>
                </c:pt>
                <c:pt idx="3">
                  <c:v>0.26086956521739185</c:v>
                </c:pt>
                <c:pt idx="4">
                  <c:v>-4.3478260869565175E-2</c:v>
                </c:pt>
                <c:pt idx="5">
                  <c:v>-7.1428571428571411E-2</c:v>
                </c:pt>
                <c:pt idx="6">
                  <c:v>0.12820512820512819</c:v>
                </c:pt>
                <c:pt idx="7">
                  <c:v>0.18181818181818218</c:v>
                </c:pt>
                <c:pt idx="8">
                  <c:v>0.10000000000000009</c:v>
                </c:pt>
                <c:pt idx="9">
                  <c:v>2.3255813953488403E-2</c:v>
                </c:pt>
              </c:numCache>
            </c:numRef>
          </c:val>
          <c:smooth val="0"/>
          <c:extLst>
            <c:ext xmlns:c16="http://schemas.microsoft.com/office/drawing/2014/chart" uri="{C3380CC4-5D6E-409C-BE32-E72D297353CC}">
              <c16:uniqueId val="{00000000-1F9E-4607-B0E7-C4B287D7722E}"/>
            </c:ext>
          </c:extLst>
        </c:ser>
        <c:dLbls>
          <c:showLegendKey val="0"/>
          <c:showVal val="0"/>
          <c:showCatName val="0"/>
          <c:showSerName val="0"/>
          <c:showPercent val="0"/>
          <c:showBubbleSize val="0"/>
        </c:dLbls>
        <c:marker val="1"/>
        <c:smooth val="0"/>
        <c:axId val="90039424"/>
        <c:axId val="90041728"/>
      </c:lineChart>
      <c:catAx>
        <c:axId val="90039424"/>
        <c:scaling>
          <c:orientation val="minMax"/>
        </c:scaling>
        <c:delete val="0"/>
        <c:axPos val="b"/>
        <c:title>
          <c:tx>
            <c:rich>
              <a:bodyPr/>
              <a:lstStyle/>
              <a:p>
                <a:pPr>
                  <a:defRPr/>
                </a:pPr>
                <a:r>
                  <a:rPr lang="en-US"/>
                  <a:t>Range of Turnover  (In Pound)</a:t>
                </a:r>
              </a:p>
            </c:rich>
          </c:tx>
          <c:overlay val="0"/>
        </c:title>
        <c:numFmt formatCode="General" sourceLinked="0"/>
        <c:majorTickMark val="none"/>
        <c:minorTickMark val="none"/>
        <c:tickLblPos val="low"/>
        <c:spPr>
          <a:ln>
            <a:solidFill>
              <a:sysClr val="windowText" lastClr="000000"/>
            </a:solidFill>
          </a:ln>
        </c:spPr>
        <c:crossAx val="90041728"/>
        <c:crosses val="autoZero"/>
        <c:auto val="1"/>
        <c:lblAlgn val="ctr"/>
        <c:lblOffset val="100"/>
        <c:noMultiLvlLbl val="0"/>
      </c:catAx>
      <c:valAx>
        <c:axId val="90041728"/>
        <c:scaling>
          <c:orientation val="minMax"/>
        </c:scaling>
        <c:delete val="0"/>
        <c:axPos val="l"/>
        <c:majorGridlines>
          <c:spPr>
            <a:ln>
              <a:noFill/>
            </a:ln>
          </c:spPr>
        </c:majorGridlines>
        <c:numFmt formatCode="0.00%" sourceLinked="1"/>
        <c:majorTickMark val="none"/>
        <c:minorTickMark val="none"/>
        <c:tickLblPos val="nextTo"/>
        <c:crossAx val="90039424"/>
        <c:crosses val="autoZero"/>
        <c:crossBetween val="between"/>
      </c:valAx>
      <c:spPr>
        <a:ln>
          <a:solidFill>
            <a:sysClr val="windowText" lastClr="000000"/>
          </a:solidFill>
        </a:ln>
      </c:spPr>
    </c:plotArea>
    <c:plotVisOnly val="1"/>
    <c:dispBlanksAs val="gap"/>
    <c:showDLblsOverMax val="0"/>
  </c:chart>
  <c:txPr>
    <a:bodyPr/>
    <a:lstStyle/>
    <a:p>
      <a:pPr>
        <a:defRPr sz="1200" b="0">
          <a:latin typeface="Times New Roman" pitchFamily="18" charset="0"/>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E188C0-808E-4801-A536-19F00CE9D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7224</Words>
  <Characters>41178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2023-08-04T23:00:00Z</dcterms:created>
  <dcterms:modified xsi:type="dcterms:W3CDTF">2023-08-28T07:42:00Z</dcterms:modified>
</cp:coreProperties>
</file>