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DC2F67" w14:textId="77777777" w:rsidR="008459F1" w:rsidRPr="006A7A68" w:rsidRDefault="008459F1" w:rsidP="008459F1">
      <w:pPr>
        <w:spacing w:after="0" w:line="240" w:lineRule="auto"/>
        <w:jc w:val="right"/>
        <w:rPr>
          <w:rFonts w:ascii="宋体" w:eastAsia="宋体" w:hAnsi="宋体" w:cs="宋体"/>
          <w:lang w:eastAsia="zh-CN"/>
        </w:rPr>
      </w:pPr>
      <w:r w:rsidRPr="006A7A68">
        <w:rPr>
          <w:rFonts w:ascii="宋体" w:eastAsia="宋体" w:hAnsi="宋体" w:cs="宋体"/>
          <w:lang w:eastAsia="zh-CN"/>
        </w:rPr>
        <w:fldChar w:fldCharType="begin"/>
      </w:r>
      <w:r>
        <w:rPr>
          <w:rFonts w:ascii="宋体" w:eastAsia="宋体" w:hAnsi="宋体" w:cs="宋体"/>
          <w:lang w:eastAsia="zh-CN"/>
        </w:rPr>
        <w:instrText xml:space="preserve"> INCLUDEPICTURE "C:\\var\\folders\\cw\\87dshcdx4rxc76fwpnxkg96c0000gn\\T\\com.microsoft.Word\\WebArchiveCopyPasteTempFiles\\page1image3837152" \* MERGEFORMAT </w:instrText>
      </w:r>
      <w:r w:rsidRPr="006A7A68">
        <w:rPr>
          <w:rFonts w:ascii="宋体" w:eastAsia="宋体" w:hAnsi="宋体" w:cs="宋体"/>
          <w:lang w:eastAsia="zh-CN"/>
        </w:rPr>
        <w:fldChar w:fldCharType="separate"/>
      </w:r>
      <w:r w:rsidRPr="006A7A68">
        <w:rPr>
          <w:rFonts w:ascii="宋体" w:eastAsia="宋体" w:hAnsi="宋体" w:cs="宋体"/>
          <w:noProof/>
          <w:lang w:eastAsia="zh-CN"/>
        </w:rPr>
        <w:drawing>
          <wp:inline distT="0" distB="0" distL="0" distR="0" wp14:anchorId="5CE06DF7" wp14:editId="28E78E40">
            <wp:extent cx="2967990" cy="1101725"/>
            <wp:effectExtent l="0" t="0" r="3810" b="3175"/>
            <wp:docPr id="2" name="图片 2" descr="page1image3837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383715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7990" cy="1101725"/>
                    </a:xfrm>
                    <a:prstGeom prst="rect">
                      <a:avLst/>
                    </a:prstGeom>
                    <a:noFill/>
                    <a:ln>
                      <a:noFill/>
                    </a:ln>
                  </pic:spPr>
                </pic:pic>
              </a:graphicData>
            </a:graphic>
          </wp:inline>
        </w:drawing>
      </w:r>
      <w:r w:rsidRPr="006A7A68">
        <w:rPr>
          <w:rFonts w:ascii="宋体" w:eastAsia="宋体" w:hAnsi="宋体" w:cs="宋体"/>
          <w:lang w:eastAsia="zh-CN"/>
        </w:rPr>
        <w:fldChar w:fldCharType="end"/>
      </w:r>
    </w:p>
    <w:p w14:paraId="3C132A35" w14:textId="77777777" w:rsidR="008459F1" w:rsidRPr="006A7A68" w:rsidRDefault="008459F1" w:rsidP="008459F1">
      <w:pPr>
        <w:spacing w:after="0" w:line="240" w:lineRule="auto"/>
        <w:jc w:val="right"/>
        <w:rPr>
          <w:rFonts w:ascii="宋体" w:eastAsia="宋体" w:hAnsi="宋体" w:cs="宋体"/>
          <w:lang w:eastAsia="zh-CN"/>
        </w:rPr>
      </w:pPr>
    </w:p>
    <w:p w14:paraId="4646F80A" w14:textId="77777777" w:rsidR="008459F1" w:rsidRDefault="008459F1" w:rsidP="008459F1">
      <w:pPr>
        <w:rPr>
          <w:rFonts w:ascii="Calibri" w:hAnsi="Calibri" w:cs="Calibri"/>
          <w:b/>
        </w:rPr>
      </w:pPr>
    </w:p>
    <w:p w14:paraId="2BA667BC" w14:textId="77777777" w:rsidR="008459F1" w:rsidRDefault="008459F1" w:rsidP="008459F1">
      <w:pPr>
        <w:rPr>
          <w:rFonts w:ascii="Calibri" w:hAnsi="Calibri" w:cs="Calibri"/>
          <w:b/>
        </w:rPr>
      </w:pPr>
    </w:p>
    <w:p w14:paraId="29E65171" w14:textId="77777777" w:rsidR="008459F1" w:rsidRDefault="008459F1" w:rsidP="008459F1">
      <w:pPr>
        <w:rPr>
          <w:rFonts w:ascii="Calibri" w:hAnsi="Calibri" w:cs="Calibri"/>
          <w:b/>
        </w:rPr>
      </w:pPr>
    </w:p>
    <w:p w14:paraId="03CF3418" w14:textId="77777777" w:rsidR="008459F1" w:rsidRDefault="008459F1" w:rsidP="008459F1">
      <w:pPr>
        <w:rPr>
          <w:rFonts w:ascii="Calibri" w:hAnsi="Calibri" w:cs="Calibri"/>
          <w:b/>
        </w:rPr>
      </w:pPr>
    </w:p>
    <w:p w14:paraId="3F0E409B" w14:textId="77777777" w:rsidR="008459F1" w:rsidRDefault="008459F1" w:rsidP="008459F1">
      <w:pPr>
        <w:rPr>
          <w:rFonts w:ascii="Calibri" w:hAnsi="Calibri" w:cs="Calibri"/>
          <w:b/>
        </w:rPr>
      </w:pPr>
    </w:p>
    <w:p w14:paraId="74DD6915" w14:textId="77777777" w:rsidR="008459F1" w:rsidRPr="008459F1" w:rsidRDefault="008459F1" w:rsidP="008459F1">
      <w:pPr>
        <w:spacing w:line="360" w:lineRule="auto"/>
        <w:rPr>
          <w:rFonts w:ascii="TimesNewRomanPS" w:eastAsia="宋体" w:hAnsi="TimesNewRomanPS" w:cs="宋体"/>
          <w:b/>
          <w:bCs/>
          <w:color w:val="232323"/>
          <w:sz w:val="36"/>
          <w:szCs w:val="36"/>
          <w:lang w:eastAsia="zh-CN"/>
        </w:rPr>
      </w:pPr>
    </w:p>
    <w:p w14:paraId="6D152E5B" w14:textId="77777777" w:rsidR="008459F1" w:rsidRPr="008459F1" w:rsidRDefault="008459F1" w:rsidP="008459F1">
      <w:pPr>
        <w:spacing w:line="360" w:lineRule="auto"/>
        <w:jc w:val="center"/>
        <w:rPr>
          <w:rFonts w:ascii="TimesNewRomanPS" w:eastAsia="宋体" w:hAnsi="TimesNewRomanPS" w:cs="宋体"/>
          <w:b/>
          <w:bCs/>
          <w:color w:val="232323"/>
          <w:sz w:val="36"/>
          <w:szCs w:val="36"/>
          <w:lang w:eastAsia="zh-CN"/>
        </w:rPr>
      </w:pPr>
      <w:r w:rsidRPr="008459F1">
        <w:rPr>
          <w:rFonts w:ascii="TimesNewRomanPS" w:eastAsia="宋体" w:hAnsi="TimesNewRomanPS" w:cs="宋体"/>
          <w:b/>
          <w:bCs/>
          <w:color w:val="232323"/>
          <w:sz w:val="36"/>
          <w:szCs w:val="36"/>
          <w:lang w:eastAsia="zh-CN"/>
        </w:rPr>
        <w:t>The impact of income and occupation on frequency of international travel</w:t>
      </w:r>
    </w:p>
    <w:p w14:paraId="0C5A87CF" w14:textId="77777777" w:rsidR="008459F1" w:rsidRPr="008459F1" w:rsidRDefault="008459F1" w:rsidP="008459F1">
      <w:pPr>
        <w:spacing w:after="0" w:line="240" w:lineRule="auto"/>
        <w:jc w:val="center"/>
        <w:rPr>
          <w:rFonts w:ascii="Calibri" w:hAnsi="Calibri" w:cs="Calibri"/>
          <w:b/>
          <w:sz w:val="36"/>
          <w:szCs w:val="36"/>
        </w:rPr>
      </w:pPr>
    </w:p>
    <w:p w14:paraId="0818BEF5" w14:textId="77777777" w:rsidR="008459F1" w:rsidRPr="00B75C6B" w:rsidRDefault="008459F1" w:rsidP="008459F1">
      <w:pPr>
        <w:spacing w:after="0" w:line="240" w:lineRule="auto"/>
        <w:jc w:val="center"/>
        <w:rPr>
          <w:rFonts w:ascii="Calibri" w:hAnsi="Calibri" w:cs="Calibri"/>
          <w:b/>
          <w:sz w:val="36"/>
          <w:szCs w:val="36"/>
        </w:rPr>
      </w:pPr>
    </w:p>
    <w:p w14:paraId="38627DAB" w14:textId="77777777" w:rsidR="008459F1" w:rsidRPr="00B75C6B" w:rsidRDefault="008459F1" w:rsidP="008459F1">
      <w:pPr>
        <w:spacing w:after="0" w:line="240" w:lineRule="auto"/>
        <w:jc w:val="center"/>
        <w:rPr>
          <w:rFonts w:ascii="Calibri" w:hAnsi="Calibri" w:cs="Calibri"/>
          <w:bCs/>
          <w:sz w:val="32"/>
          <w:szCs w:val="32"/>
          <w:lang w:eastAsia="zh-CN"/>
        </w:rPr>
      </w:pPr>
      <w:r w:rsidRPr="00B75C6B">
        <w:rPr>
          <w:rFonts w:ascii="Calibri" w:hAnsi="Calibri" w:cs="Calibri"/>
          <w:bCs/>
          <w:sz w:val="32"/>
          <w:szCs w:val="32"/>
        </w:rPr>
        <w:t xml:space="preserve">By </w:t>
      </w:r>
      <w:proofErr w:type="spellStart"/>
      <w:r w:rsidRPr="00B75C6B">
        <w:rPr>
          <w:rFonts w:ascii="Calibri" w:hAnsi="Calibri" w:cs="Calibri"/>
          <w:bCs/>
          <w:sz w:val="32"/>
          <w:szCs w:val="32"/>
        </w:rPr>
        <w:t>Xianghan</w:t>
      </w:r>
      <w:proofErr w:type="spellEnd"/>
      <w:r w:rsidRPr="00B75C6B">
        <w:rPr>
          <w:rFonts w:ascii="Calibri" w:hAnsi="Calibri" w:cs="Calibri"/>
          <w:bCs/>
          <w:sz w:val="32"/>
          <w:szCs w:val="32"/>
        </w:rPr>
        <w:t xml:space="preserve"> Zhou</w:t>
      </w:r>
    </w:p>
    <w:p w14:paraId="357BD998" w14:textId="77777777" w:rsidR="008459F1" w:rsidRPr="00B75C6B" w:rsidRDefault="008459F1" w:rsidP="008459F1">
      <w:pPr>
        <w:spacing w:after="0" w:line="240" w:lineRule="auto"/>
        <w:jc w:val="center"/>
        <w:rPr>
          <w:rFonts w:ascii="Calibri" w:hAnsi="Calibri" w:cs="Calibri"/>
          <w:bCs/>
          <w:sz w:val="32"/>
          <w:szCs w:val="32"/>
        </w:rPr>
      </w:pPr>
    </w:p>
    <w:p w14:paraId="6B577934" w14:textId="77777777" w:rsidR="008459F1" w:rsidRDefault="008459F1" w:rsidP="008459F1">
      <w:pPr>
        <w:spacing w:after="0" w:line="240" w:lineRule="auto"/>
        <w:jc w:val="center"/>
        <w:rPr>
          <w:rFonts w:ascii="Calibri" w:hAnsi="Calibri" w:cs="Calibri"/>
          <w:bCs/>
          <w:sz w:val="32"/>
          <w:szCs w:val="32"/>
        </w:rPr>
      </w:pPr>
    </w:p>
    <w:p w14:paraId="15D1A9B1" w14:textId="77777777" w:rsidR="008459F1" w:rsidRDefault="008459F1" w:rsidP="008459F1">
      <w:pPr>
        <w:spacing w:after="0" w:line="240" w:lineRule="auto"/>
        <w:jc w:val="center"/>
        <w:rPr>
          <w:rFonts w:ascii="Calibri" w:hAnsi="Calibri" w:cs="Calibri"/>
          <w:bCs/>
          <w:sz w:val="32"/>
          <w:szCs w:val="32"/>
        </w:rPr>
      </w:pPr>
    </w:p>
    <w:p w14:paraId="2767B110" w14:textId="77777777" w:rsidR="008459F1" w:rsidRPr="00B75C6B" w:rsidRDefault="008459F1" w:rsidP="008459F1">
      <w:pPr>
        <w:spacing w:after="0" w:line="240" w:lineRule="auto"/>
        <w:jc w:val="center"/>
        <w:rPr>
          <w:rFonts w:ascii="Calibri" w:hAnsi="Calibri" w:cs="Calibri"/>
          <w:bCs/>
          <w:sz w:val="32"/>
          <w:szCs w:val="32"/>
        </w:rPr>
      </w:pPr>
    </w:p>
    <w:p w14:paraId="50006A69" w14:textId="77777777" w:rsidR="008459F1" w:rsidRPr="00B75C6B" w:rsidRDefault="008459F1" w:rsidP="008459F1">
      <w:pPr>
        <w:spacing w:after="0" w:line="240" w:lineRule="auto"/>
        <w:jc w:val="center"/>
        <w:rPr>
          <w:rFonts w:ascii="Calibri" w:hAnsi="Calibri" w:cs="Calibri"/>
          <w:bCs/>
          <w:sz w:val="32"/>
          <w:szCs w:val="32"/>
          <w:lang w:eastAsia="zh-CN"/>
        </w:rPr>
      </w:pPr>
      <w:r w:rsidRPr="00B75C6B">
        <w:rPr>
          <w:rFonts w:ascii="Calibri" w:hAnsi="Calibri" w:cs="Calibri"/>
          <w:bCs/>
          <w:sz w:val="32"/>
          <w:szCs w:val="32"/>
        </w:rPr>
        <w:t>Student Number: 240861</w:t>
      </w:r>
      <w:r>
        <w:rPr>
          <w:rFonts w:ascii="Calibri" w:hAnsi="Calibri" w:cs="Calibri"/>
          <w:bCs/>
          <w:sz w:val="32"/>
          <w:szCs w:val="32"/>
        </w:rPr>
        <w:t>2</w:t>
      </w:r>
    </w:p>
    <w:p w14:paraId="3AFF0F71" w14:textId="77777777" w:rsidR="008459F1" w:rsidRPr="00B75C6B" w:rsidRDefault="008459F1" w:rsidP="008459F1">
      <w:pPr>
        <w:spacing w:after="0" w:line="240" w:lineRule="auto"/>
        <w:jc w:val="center"/>
        <w:rPr>
          <w:rFonts w:ascii="Calibri" w:hAnsi="Calibri" w:cs="Calibri"/>
          <w:bCs/>
          <w:sz w:val="32"/>
          <w:szCs w:val="32"/>
        </w:rPr>
      </w:pPr>
    </w:p>
    <w:p w14:paraId="66003EF6" w14:textId="77777777" w:rsidR="008459F1" w:rsidRDefault="008459F1" w:rsidP="008459F1">
      <w:pPr>
        <w:spacing w:after="0" w:line="240" w:lineRule="auto"/>
        <w:jc w:val="center"/>
        <w:rPr>
          <w:rFonts w:ascii="Calibri" w:hAnsi="Calibri" w:cs="Calibri"/>
          <w:bCs/>
          <w:sz w:val="32"/>
          <w:szCs w:val="32"/>
        </w:rPr>
      </w:pPr>
    </w:p>
    <w:p w14:paraId="327C4633" w14:textId="77777777" w:rsidR="008459F1" w:rsidRDefault="008459F1" w:rsidP="008459F1">
      <w:pPr>
        <w:spacing w:after="0" w:line="240" w:lineRule="auto"/>
        <w:jc w:val="center"/>
        <w:rPr>
          <w:rFonts w:ascii="Calibri" w:hAnsi="Calibri" w:cs="Calibri"/>
          <w:bCs/>
          <w:sz w:val="32"/>
          <w:szCs w:val="32"/>
        </w:rPr>
      </w:pPr>
    </w:p>
    <w:p w14:paraId="649DDC68" w14:textId="77777777" w:rsidR="008459F1" w:rsidRDefault="008459F1" w:rsidP="008459F1">
      <w:pPr>
        <w:spacing w:after="0" w:line="240" w:lineRule="auto"/>
        <w:jc w:val="center"/>
        <w:rPr>
          <w:rFonts w:ascii="Calibri" w:hAnsi="Calibri" w:cs="Calibri"/>
          <w:bCs/>
          <w:sz w:val="32"/>
          <w:szCs w:val="32"/>
        </w:rPr>
      </w:pPr>
    </w:p>
    <w:p w14:paraId="171D5F5F" w14:textId="77777777" w:rsidR="008459F1" w:rsidRDefault="008459F1" w:rsidP="008459F1">
      <w:pPr>
        <w:spacing w:after="0" w:line="240" w:lineRule="auto"/>
        <w:jc w:val="center"/>
        <w:rPr>
          <w:rFonts w:ascii="Calibri" w:hAnsi="Calibri" w:cs="Calibri"/>
          <w:bCs/>
          <w:sz w:val="32"/>
          <w:szCs w:val="32"/>
        </w:rPr>
      </w:pPr>
    </w:p>
    <w:p w14:paraId="45C8AC56" w14:textId="77777777" w:rsidR="008459F1" w:rsidRPr="008459F1" w:rsidRDefault="008459F1" w:rsidP="008459F1">
      <w:pPr>
        <w:spacing w:line="360" w:lineRule="auto"/>
        <w:jc w:val="center"/>
        <w:rPr>
          <w:rFonts w:asciiTheme="majorBidi" w:hAnsiTheme="majorBidi" w:cstheme="majorBidi"/>
          <w:b/>
          <w:bCs/>
        </w:rPr>
      </w:pPr>
    </w:p>
    <w:p w14:paraId="3E882F31" w14:textId="77777777" w:rsidR="008459F1" w:rsidRDefault="008459F1" w:rsidP="008459F1">
      <w:pPr>
        <w:spacing w:line="360" w:lineRule="auto"/>
        <w:jc w:val="center"/>
        <w:rPr>
          <w:rFonts w:asciiTheme="majorBidi" w:hAnsiTheme="majorBidi" w:cstheme="majorBidi"/>
          <w:b/>
          <w:bCs/>
        </w:rPr>
      </w:pPr>
    </w:p>
    <w:p w14:paraId="09873D60" w14:textId="77777777" w:rsidR="008459F1" w:rsidRDefault="008459F1" w:rsidP="008459F1">
      <w:pPr>
        <w:spacing w:line="360" w:lineRule="auto"/>
        <w:jc w:val="center"/>
        <w:rPr>
          <w:rFonts w:asciiTheme="majorBidi" w:hAnsiTheme="majorBidi" w:cstheme="majorBidi"/>
          <w:b/>
          <w:bCs/>
        </w:rPr>
      </w:pPr>
    </w:p>
    <w:p w14:paraId="13BB02A2" w14:textId="77777777" w:rsidR="008459F1" w:rsidRDefault="008459F1" w:rsidP="008459F1">
      <w:pPr>
        <w:spacing w:line="360" w:lineRule="auto"/>
        <w:jc w:val="both"/>
        <w:rPr>
          <w:rFonts w:asciiTheme="majorBidi" w:hAnsiTheme="majorBidi" w:cstheme="majorBidi"/>
        </w:rPr>
      </w:pPr>
    </w:p>
    <w:p w14:paraId="0860C052" w14:textId="77777777" w:rsidR="008459F1" w:rsidRDefault="008459F1" w:rsidP="008459F1">
      <w:pPr>
        <w:spacing w:line="360" w:lineRule="auto"/>
        <w:jc w:val="both"/>
        <w:rPr>
          <w:rFonts w:asciiTheme="majorBidi" w:hAnsiTheme="majorBidi" w:cstheme="majorBidi"/>
          <w:b/>
          <w:bCs/>
        </w:rPr>
      </w:pPr>
      <w:r w:rsidRPr="009E4098">
        <w:rPr>
          <w:rFonts w:asciiTheme="majorBidi" w:hAnsiTheme="majorBidi" w:cstheme="majorBidi"/>
          <w:b/>
          <w:bCs/>
        </w:rPr>
        <w:lastRenderedPageBreak/>
        <w:t>Abstract</w:t>
      </w:r>
    </w:p>
    <w:p w14:paraId="02BEB780" w14:textId="77777777" w:rsidR="008459F1" w:rsidRDefault="008459F1" w:rsidP="008459F1">
      <w:pPr>
        <w:spacing w:line="360" w:lineRule="auto"/>
        <w:jc w:val="both"/>
        <w:rPr>
          <w:rFonts w:asciiTheme="majorBidi" w:hAnsiTheme="majorBidi" w:cstheme="majorBidi"/>
        </w:rPr>
      </w:pPr>
      <w:r w:rsidRPr="00341A40">
        <w:rPr>
          <w:rFonts w:asciiTheme="majorBidi" w:hAnsiTheme="majorBidi" w:cstheme="majorBidi"/>
        </w:rPr>
        <w:t xml:space="preserve">International travel was always viewed as a sign of affluence and international connectedness but access to this has been unequal both in terms of income and occupation. This </w:t>
      </w:r>
      <w:r>
        <w:rPr>
          <w:rFonts w:asciiTheme="majorBidi" w:hAnsiTheme="majorBidi" w:cstheme="majorBidi"/>
        </w:rPr>
        <w:t>research</w:t>
      </w:r>
      <w:r w:rsidRPr="00341A40">
        <w:rPr>
          <w:rFonts w:asciiTheme="majorBidi" w:hAnsiTheme="majorBidi" w:cstheme="majorBidi"/>
        </w:rPr>
        <w:t xml:space="preserve"> examines the relation between income levels and occupational complexity and perceived capacity of people to afford international tourism. The study focuses on investigating how the proportion of economic dominance and occupational attributes relate to mobility chances, and how occupational functions affect the connection amid revenue and traffic accessibility.</w:t>
      </w:r>
    </w:p>
    <w:p w14:paraId="69925555" w14:textId="77777777" w:rsidR="008459F1" w:rsidRDefault="008459F1" w:rsidP="008459F1">
      <w:pPr>
        <w:spacing w:line="360" w:lineRule="auto"/>
        <w:jc w:val="both"/>
        <w:rPr>
          <w:rFonts w:asciiTheme="majorBidi" w:hAnsiTheme="majorBidi" w:cstheme="majorBidi"/>
        </w:rPr>
      </w:pPr>
      <w:r w:rsidRPr="00E42F87">
        <w:rPr>
          <w:rFonts w:asciiTheme="majorBidi" w:hAnsiTheme="majorBidi" w:cstheme="majorBidi"/>
        </w:rPr>
        <w:t xml:space="preserve">A structured online survey was applied as a quantitative research design, with the selection of </w:t>
      </w:r>
      <w:r>
        <w:rPr>
          <w:rFonts w:asciiTheme="majorBidi" w:hAnsiTheme="majorBidi" w:cstheme="majorBidi"/>
        </w:rPr>
        <w:t>100</w:t>
      </w:r>
      <w:r w:rsidRPr="00E42F87">
        <w:rPr>
          <w:rFonts w:asciiTheme="majorBidi" w:hAnsiTheme="majorBidi" w:cstheme="majorBidi"/>
        </w:rPr>
        <w:t xml:space="preserve"> participants covering different income bracket and occupational categories. Self-reported income and a composite index of occupational complexity were also critical variables available while </w:t>
      </w:r>
      <w:r>
        <w:rPr>
          <w:rFonts w:asciiTheme="majorBidi" w:hAnsiTheme="majorBidi" w:cstheme="majorBidi"/>
        </w:rPr>
        <w:t>AIT</w:t>
      </w:r>
      <w:r w:rsidRPr="00E42F87">
        <w:rPr>
          <w:rFonts w:asciiTheme="majorBidi" w:hAnsiTheme="majorBidi" w:cstheme="majorBidi"/>
        </w:rPr>
        <w:t xml:space="preserve"> a perceived measure of international leisure travel affordability was also critical. Data analysis was conducted in SPSS by utilizing the descriptive statistic,</w:t>
      </w:r>
      <w:r>
        <w:rPr>
          <w:rFonts w:asciiTheme="majorBidi" w:hAnsiTheme="majorBidi" w:cstheme="majorBidi"/>
        </w:rPr>
        <w:t xml:space="preserve"> </w:t>
      </w:r>
      <w:r w:rsidRPr="00E42F87">
        <w:rPr>
          <w:rFonts w:asciiTheme="majorBidi" w:hAnsiTheme="majorBidi" w:cstheme="majorBidi"/>
        </w:rPr>
        <w:t>correlation, multiple linear regressions, and moderation analysis using SPSS with Hayes PROCESS Macro (Model 1).</w:t>
      </w:r>
    </w:p>
    <w:p w14:paraId="2DE081B0" w14:textId="77777777" w:rsidR="008459F1" w:rsidRDefault="008459F1" w:rsidP="008459F1">
      <w:pPr>
        <w:spacing w:line="360" w:lineRule="auto"/>
        <w:jc w:val="both"/>
        <w:rPr>
          <w:rFonts w:asciiTheme="majorBidi" w:hAnsiTheme="majorBidi" w:cstheme="majorBidi"/>
        </w:rPr>
      </w:pPr>
      <w:r w:rsidRPr="009D27CD">
        <w:rPr>
          <w:rFonts w:asciiTheme="majorBidi" w:hAnsiTheme="majorBidi" w:cstheme="majorBidi"/>
        </w:rPr>
        <w:t>The results indicated that the impact of income (</w:t>
      </w:r>
      <w:proofErr w:type="spellStart"/>
      <w:r w:rsidRPr="009D27CD">
        <w:rPr>
          <w:rFonts w:asciiTheme="majorBidi" w:hAnsiTheme="majorBidi" w:cstheme="majorBidi"/>
        </w:rPr>
        <w:t>EP_Total</w:t>
      </w:r>
      <w:proofErr w:type="spellEnd"/>
      <w:r w:rsidRPr="009D27CD">
        <w:rPr>
          <w:rFonts w:asciiTheme="majorBidi" w:hAnsiTheme="majorBidi" w:cstheme="majorBidi"/>
        </w:rPr>
        <w:t>) on travel affordability is considerable, and far more pronounced in people with more cognitively demanding jobs. Occupational design factors- Occupational autonomy, involvement in decision-making and institutional support</w:t>
      </w:r>
      <w:r>
        <w:rPr>
          <w:rFonts w:asciiTheme="majorBidi" w:hAnsiTheme="majorBidi" w:cstheme="majorBidi"/>
        </w:rPr>
        <w:t xml:space="preserve"> </w:t>
      </w:r>
      <w:r w:rsidRPr="009D27CD">
        <w:rPr>
          <w:rFonts w:asciiTheme="majorBidi" w:hAnsiTheme="majorBidi" w:cstheme="majorBidi"/>
        </w:rPr>
        <w:t>seemed to provide an enabling mechanism by providing structural protection, in addition to a salary. Moderation analysis affirmed that occupation enhances the positive association between economic powers and perceived travel ability.</w:t>
      </w:r>
    </w:p>
    <w:p w14:paraId="18DC0552" w14:textId="77777777" w:rsidR="008459F1" w:rsidRDefault="008459F1" w:rsidP="008459F1">
      <w:pPr>
        <w:spacing w:line="360" w:lineRule="auto"/>
        <w:jc w:val="both"/>
        <w:rPr>
          <w:rFonts w:asciiTheme="majorBidi" w:hAnsiTheme="majorBidi" w:cstheme="majorBidi"/>
        </w:rPr>
      </w:pPr>
      <w:r w:rsidRPr="00513B44">
        <w:rPr>
          <w:rFonts w:asciiTheme="majorBidi" w:hAnsiTheme="majorBidi" w:cstheme="majorBidi"/>
        </w:rPr>
        <w:t>These findings point to the significance of considering international mobility in a multidimensional perspective, in which economic capital assists with professional identity as well as structural opportunity. The conclusion of the study is that employment and earnings inequality need to be addressed, as a means of increasing access to international migration across the world due to globalization.</w:t>
      </w:r>
    </w:p>
    <w:p w14:paraId="4BC4E019" w14:textId="77777777" w:rsidR="008459F1" w:rsidRPr="00341A40" w:rsidRDefault="008459F1" w:rsidP="008459F1">
      <w:pPr>
        <w:spacing w:line="360" w:lineRule="auto"/>
        <w:jc w:val="both"/>
        <w:rPr>
          <w:rFonts w:asciiTheme="majorBidi" w:hAnsiTheme="majorBidi" w:cstheme="majorBidi"/>
        </w:rPr>
      </w:pPr>
    </w:p>
    <w:p w14:paraId="5AD5F998" w14:textId="77777777" w:rsidR="008459F1" w:rsidRPr="000C18ED" w:rsidRDefault="008459F1" w:rsidP="008459F1">
      <w:pPr>
        <w:spacing w:line="360" w:lineRule="auto"/>
        <w:jc w:val="both"/>
        <w:rPr>
          <w:rFonts w:asciiTheme="majorBidi" w:hAnsiTheme="majorBidi" w:cstheme="majorBidi"/>
        </w:rPr>
      </w:pPr>
    </w:p>
    <w:p w14:paraId="5DD5263E" w14:textId="77777777" w:rsidR="008459F1" w:rsidRDefault="008459F1" w:rsidP="008459F1">
      <w:pPr>
        <w:spacing w:line="360" w:lineRule="auto"/>
        <w:jc w:val="both"/>
        <w:rPr>
          <w:rFonts w:asciiTheme="majorBidi" w:hAnsiTheme="majorBidi" w:cstheme="majorBidi"/>
        </w:rPr>
      </w:pPr>
    </w:p>
    <w:p w14:paraId="5528F330" w14:textId="77777777" w:rsidR="008459F1" w:rsidRDefault="008459F1" w:rsidP="008459F1">
      <w:pPr>
        <w:spacing w:line="360" w:lineRule="auto"/>
        <w:jc w:val="both"/>
        <w:rPr>
          <w:rFonts w:asciiTheme="majorBidi" w:hAnsiTheme="majorBidi" w:cstheme="majorBidi"/>
        </w:rPr>
      </w:pPr>
    </w:p>
    <w:p w14:paraId="1F064A09" w14:textId="77777777" w:rsidR="008459F1" w:rsidRDefault="008459F1" w:rsidP="008459F1">
      <w:pPr>
        <w:spacing w:line="360" w:lineRule="auto"/>
        <w:jc w:val="both"/>
        <w:rPr>
          <w:rFonts w:asciiTheme="majorBidi" w:hAnsiTheme="majorBidi" w:cstheme="majorBidi"/>
        </w:rPr>
      </w:pPr>
    </w:p>
    <w:p w14:paraId="4F530DB1" w14:textId="77777777" w:rsidR="008459F1" w:rsidRDefault="008459F1" w:rsidP="008459F1">
      <w:pPr>
        <w:spacing w:line="360" w:lineRule="auto"/>
        <w:jc w:val="center"/>
        <w:rPr>
          <w:rFonts w:asciiTheme="majorBidi" w:hAnsiTheme="majorBidi" w:cstheme="majorBidi"/>
          <w:b/>
          <w:bCs/>
        </w:rPr>
      </w:pPr>
      <w:r w:rsidRPr="000C18ED">
        <w:rPr>
          <w:rFonts w:asciiTheme="majorBidi" w:hAnsiTheme="majorBidi" w:cstheme="majorBidi"/>
          <w:b/>
          <w:bCs/>
        </w:rPr>
        <w:lastRenderedPageBreak/>
        <w:t>Introduction</w:t>
      </w:r>
    </w:p>
    <w:p w14:paraId="404111A6" w14:textId="77777777" w:rsidR="008459F1" w:rsidRDefault="008459F1" w:rsidP="008459F1">
      <w:pPr>
        <w:spacing w:line="360" w:lineRule="auto"/>
        <w:jc w:val="both"/>
        <w:rPr>
          <w:rFonts w:asciiTheme="majorBidi" w:hAnsiTheme="majorBidi" w:cstheme="majorBidi"/>
        </w:rPr>
      </w:pPr>
      <w:r w:rsidRPr="000B692B">
        <w:rPr>
          <w:rFonts w:asciiTheme="majorBidi" w:hAnsiTheme="majorBidi" w:cstheme="majorBidi"/>
        </w:rPr>
        <w:t xml:space="preserve">Global tourism is critical in the global economy, </w:t>
      </w:r>
      <w:r>
        <w:rPr>
          <w:rFonts w:asciiTheme="majorBidi" w:hAnsiTheme="majorBidi" w:cstheme="majorBidi"/>
        </w:rPr>
        <w:t xml:space="preserve">as it enhances </w:t>
      </w:r>
      <w:r w:rsidRPr="000B692B">
        <w:rPr>
          <w:rFonts w:asciiTheme="majorBidi" w:hAnsiTheme="majorBidi" w:cstheme="majorBidi"/>
        </w:rPr>
        <w:t xml:space="preserve">cultural exchange, and </w:t>
      </w:r>
      <w:r>
        <w:rPr>
          <w:rFonts w:asciiTheme="majorBidi" w:hAnsiTheme="majorBidi" w:cstheme="majorBidi"/>
        </w:rPr>
        <w:t>individual’s fulfilment</w:t>
      </w:r>
      <w:r w:rsidRPr="000B692B">
        <w:rPr>
          <w:rFonts w:asciiTheme="majorBidi" w:hAnsiTheme="majorBidi" w:cstheme="majorBidi"/>
        </w:rPr>
        <w:t xml:space="preserve">. The </w:t>
      </w:r>
      <w:r w:rsidRPr="004B1738">
        <w:rPr>
          <w:rFonts w:asciiTheme="majorBidi" w:hAnsiTheme="majorBidi" w:cstheme="majorBidi"/>
        </w:rPr>
        <w:t>UN Tourism (2025)</w:t>
      </w:r>
      <w:r>
        <w:rPr>
          <w:rFonts w:asciiTheme="majorBidi" w:hAnsiTheme="majorBidi" w:cstheme="majorBidi"/>
        </w:rPr>
        <w:t xml:space="preserve"> </w:t>
      </w:r>
      <w:r w:rsidRPr="000B692B">
        <w:rPr>
          <w:rFonts w:asciiTheme="majorBidi" w:hAnsiTheme="majorBidi" w:cstheme="majorBidi"/>
        </w:rPr>
        <w:t>reported that global tourist arrivals were 1.3 billion in the year 2023, which is an achievement of an 88</w:t>
      </w:r>
      <w:r>
        <w:rPr>
          <w:rFonts w:asciiTheme="majorBidi" w:hAnsiTheme="majorBidi" w:cstheme="majorBidi"/>
        </w:rPr>
        <w:t>%</w:t>
      </w:r>
      <w:r w:rsidRPr="000B692B">
        <w:rPr>
          <w:rFonts w:asciiTheme="majorBidi" w:hAnsiTheme="majorBidi" w:cstheme="majorBidi"/>
        </w:rPr>
        <w:t xml:space="preserve"> recovery towards pre-pandemic levels and US$1.4 trillion to the global GDP. It is imperative to recognize the factors that motivate people to cross-border travel, especially in a post-COVID-19 environment where travel </w:t>
      </w:r>
      <w:proofErr w:type="spellStart"/>
      <w:r w:rsidRPr="000B692B">
        <w:rPr>
          <w:rFonts w:asciiTheme="majorBidi" w:hAnsiTheme="majorBidi" w:cstheme="majorBidi"/>
        </w:rPr>
        <w:t>behavior</w:t>
      </w:r>
      <w:proofErr w:type="spellEnd"/>
      <w:r w:rsidRPr="000B692B">
        <w:rPr>
          <w:rFonts w:asciiTheme="majorBidi" w:hAnsiTheme="majorBidi" w:cstheme="majorBidi"/>
        </w:rPr>
        <w:t xml:space="preserve"> is being conditioned on the side of economic inequality and work pattern transformation.</w:t>
      </w:r>
    </w:p>
    <w:p w14:paraId="1B4ED8AF" w14:textId="77777777" w:rsidR="008459F1" w:rsidRDefault="008459F1" w:rsidP="008459F1">
      <w:pPr>
        <w:spacing w:line="360" w:lineRule="auto"/>
        <w:jc w:val="both"/>
        <w:rPr>
          <w:rFonts w:asciiTheme="majorBidi" w:hAnsiTheme="majorBidi" w:cstheme="majorBidi"/>
        </w:rPr>
      </w:pPr>
      <w:r w:rsidRPr="008F0129">
        <w:rPr>
          <w:rFonts w:asciiTheme="majorBidi" w:hAnsiTheme="majorBidi" w:cstheme="majorBidi"/>
        </w:rPr>
        <w:t>Income level and the type of occupation are two of the most important social-economic factors affecting international travel. The increased income is frequently reflected in the heightened discretionary expenditure capacity, which is directly related to the capacity to take a trip abroad (</w:t>
      </w:r>
      <w:proofErr w:type="spellStart"/>
      <w:r w:rsidRPr="004B1738">
        <w:rPr>
          <w:rFonts w:asciiTheme="majorBidi" w:hAnsiTheme="majorBidi" w:cstheme="majorBidi"/>
        </w:rPr>
        <w:t>Struwig</w:t>
      </w:r>
      <w:proofErr w:type="spellEnd"/>
      <w:r w:rsidRPr="004B1738">
        <w:rPr>
          <w:rFonts w:asciiTheme="majorBidi" w:hAnsiTheme="majorBidi" w:cstheme="majorBidi"/>
        </w:rPr>
        <w:t xml:space="preserve"> </w:t>
      </w:r>
      <w:r>
        <w:rPr>
          <w:rFonts w:asciiTheme="majorBidi" w:hAnsiTheme="majorBidi" w:cstheme="majorBidi"/>
        </w:rPr>
        <w:t>and</w:t>
      </w:r>
      <w:r w:rsidRPr="004B1738">
        <w:rPr>
          <w:rFonts w:asciiTheme="majorBidi" w:hAnsiTheme="majorBidi" w:cstheme="majorBidi"/>
        </w:rPr>
        <w:t xml:space="preserve"> du </w:t>
      </w:r>
      <w:proofErr w:type="spellStart"/>
      <w:r w:rsidRPr="004B1738">
        <w:rPr>
          <w:rFonts w:asciiTheme="majorBidi" w:hAnsiTheme="majorBidi" w:cstheme="majorBidi"/>
        </w:rPr>
        <w:t>Preez</w:t>
      </w:r>
      <w:proofErr w:type="spellEnd"/>
      <w:r w:rsidRPr="004B1738">
        <w:rPr>
          <w:rFonts w:asciiTheme="majorBidi" w:hAnsiTheme="majorBidi" w:cstheme="majorBidi"/>
        </w:rPr>
        <w:t xml:space="preserve">, </w:t>
      </w:r>
      <w:r>
        <w:rPr>
          <w:rFonts w:asciiTheme="majorBidi" w:hAnsiTheme="majorBidi" w:cstheme="majorBidi"/>
        </w:rPr>
        <w:t>2</w:t>
      </w:r>
      <w:r w:rsidRPr="004B1738">
        <w:rPr>
          <w:rFonts w:asciiTheme="majorBidi" w:hAnsiTheme="majorBidi" w:cstheme="majorBidi"/>
        </w:rPr>
        <w:t>024</w:t>
      </w:r>
      <w:r w:rsidRPr="008F0129">
        <w:rPr>
          <w:rFonts w:asciiTheme="majorBidi" w:hAnsiTheme="majorBidi" w:cstheme="majorBidi"/>
        </w:rPr>
        <w:t>). As an example, high-income households in the EU made international trips almost four times as frequently as low-income households. Likewise, people working in professional or managerial positions are much more likely to receive flexible hours, paid vacation, and even travel expenses supplemented by the employer, compared to lower-skilled and casual workers.</w:t>
      </w:r>
    </w:p>
    <w:p w14:paraId="3ADB8113" w14:textId="77777777" w:rsidR="008459F1" w:rsidRDefault="008459F1" w:rsidP="008459F1">
      <w:pPr>
        <w:spacing w:line="360" w:lineRule="auto"/>
        <w:jc w:val="both"/>
        <w:rPr>
          <w:rFonts w:asciiTheme="majorBidi" w:hAnsiTheme="majorBidi" w:cstheme="majorBidi"/>
        </w:rPr>
      </w:pPr>
      <w:r w:rsidRPr="008F0129">
        <w:rPr>
          <w:rFonts w:asciiTheme="majorBidi" w:hAnsiTheme="majorBidi" w:cstheme="majorBidi"/>
        </w:rPr>
        <w:t xml:space="preserve">Nonetheless, most of the existing studies concerning travel </w:t>
      </w:r>
      <w:proofErr w:type="spellStart"/>
      <w:r w:rsidRPr="008F0129">
        <w:rPr>
          <w:rFonts w:asciiTheme="majorBidi" w:hAnsiTheme="majorBidi" w:cstheme="majorBidi"/>
        </w:rPr>
        <w:t>behavior</w:t>
      </w:r>
      <w:proofErr w:type="spellEnd"/>
      <w:r w:rsidRPr="008F0129">
        <w:rPr>
          <w:rFonts w:asciiTheme="majorBidi" w:hAnsiTheme="majorBidi" w:cstheme="majorBidi"/>
        </w:rPr>
        <w:t xml:space="preserve"> are rather general in addressing motivations and preferences, with little empirical work on structural aspects of a socio-economic nature such as income and occupation</w:t>
      </w:r>
      <w:r>
        <w:rPr>
          <w:rFonts w:asciiTheme="majorBidi" w:hAnsiTheme="majorBidi" w:cstheme="majorBidi"/>
        </w:rPr>
        <w:t xml:space="preserve"> (</w:t>
      </w:r>
      <w:r w:rsidRPr="004B1738">
        <w:rPr>
          <w:rFonts w:asciiTheme="majorBidi" w:hAnsiTheme="majorBidi" w:cstheme="majorBidi"/>
        </w:rPr>
        <w:t>Popp</w:t>
      </w:r>
      <w:r>
        <w:rPr>
          <w:rFonts w:asciiTheme="majorBidi" w:hAnsiTheme="majorBidi" w:cstheme="majorBidi"/>
        </w:rPr>
        <w:t xml:space="preserve"> et al., 2024; </w:t>
      </w:r>
      <w:r w:rsidRPr="004B1738">
        <w:rPr>
          <w:rFonts w:asciiTheme="majorBidi" w:hAnsiTheme="majorBidi" w:cstheme="majorBidi"/>
        </w:rPr>
        <w:t>Liu-</w:t>
      </w:r>
      <w:proofErr w:type="spellStart"/>
      <w:r w:rsidRPr="004B1738">
        <w:rPr>
          <w:rFonts w:asciiTheme="majorBidi" w:hAnsiTheme="majorBidi" w:cstheme="majorBidi"/>
        </w:rPr>
        <w:t>Lastres</w:t>
      </w:r>
      <w:proofErr w:type="spellEnd"/>
      <w:r>
        <w:rPr>
          <w:rFonts w:asciiTheme="majorBidi" w:hAnsiTheme="majorBidi" w:cstheme="majorBidi"/>
        </w:rPr>
        <w:t xml:space="preserve"> et al., 2025)</w:t>
      </w:r>
      <w:r w:rsidRPr="008F0129">
        <w:rPr>
          <w:rFonts w:asciiTheme="majorBidi" w:hAnsiTheme="majorBidi" w:cstheme="majorBidi"/>
        </w:rPr>
        <w:t>. This is an evident literature gap, especially in emerging economies or marginalized groups where traveling is extremely stratified.</w:t>
      </w:r>
    </w:p>
    <w:p w14:paraId="11F38508" w14:textId="77777777" w:rsidR="008459F1" w:rsidRDefault="008459F1" w:rsidP="008459F1">
      <w:pPr>
        <w:spacing w:line="360" w:lineRule="auto"/>
        <w:jc w:val="both"/>
        <w:rPr>
          <w:rFonts w:asciiTheme="majorBidi" w:hAnsiTheme="majorBidi" w:cstheme="majorBidi"/>
        </w:rPr>
      </w:pPr>
      <w:r w:rsidRPr="008F0129">
        <w:rPr>
          <w:rFonts w:asciiTheme="majorBidi" w:hAnsiTheme="majorBidi" w:cstheme="majorBidi"/>
        </w:rPr>
        <w:t>The interpretation of the role of income and occupational class on international travel frequency has real-world implications</w:t>
      </w:r>
      <w:r>
        <w:rPr>
          <w:rFonts w:asciiTheme="majorBidi" w:hAnsiTheme="majorBidi" w:cstheme="majorBidi"/>
        </w:rPr>
        <w:t xml:space="preserve"> (</w:t>
      </w:r>
      <w:r w:rsidRPr="004B1738">
        <w:rPr>
          <w:rFonts w:asciiTheme="majorBidi" w:hAnsiTheme="majorBidi" w:cstheme="majorBidi"/>
        </w:rPr>
        <w:t>Huang</w:t>
      </w:r>
      <w:r>
        <w:rPr>
          <w:rFonts w:asciiTheme="majorBidi" w:hAnsiTheme="majorBidi" w:cstheme="majorBidi"/>
        </w:rPr>
        <w:t xml:space="preserve"> et al., 2024)</w:t>
      </w:r>
      <w:r w:rsidRPr="008F0129">
        <w:rPr>
          <w:rFonts w:asciiTheme="majorBidi" w:hAnsiTheme="majorBidi" w:cstheme="majorBidi"/>
        </w:rPr>
        <w:t>. This data can be used in route planning and segmentation of fares by the airlines. Through demographic profiling, the marketers in tourism industry can come up with specific areas of campaigns. The policymakers can see the unbalances of equity and establish subsidized travel or all-inclusive visa policies. Through the investigation of these under-researched socioeconomic factors, this paper makes a step towards more data-driven and equitable representation of global mobility.</w:t>
      </w:r>
    </w:p>
    <w:p w14:paraId="46433030" w14:textId="77777777" w:rsidR="008459F1" w:rsidRDefault="008459F1" w:rsidP="008459F1">
      <w:pPr>
        <w:spacing w:line="360" w:lineRule="auto"/>
        <w:jc w:val="center"/>
        <w:rPr>
          <w:rFonts w:asciiTheme="majorBidi" w:hAnsiTheme="majorBidi" w:cstheme="majorBidi"/>
          <w:b/>
          <w:bCs/>
        </w:rPr>
      </w:pPr>
      <w:r w:rsidRPr="000C18ED">
        <w:rPr>
          <w:rFonts w:asciiTheme="majorBidi" w:hAnsiTheme="majorBidi" w:cstheme="majorBidi"/>
          <w:b/>
          <w:bCs/>
        </w:rPr>
        <w:t>Literature Review</w:t>
      </w:r>
    </w:p>
    <w:p w14:paraId="1A9C88B1" w14:textId="77777777" w:rsidR="008459F1" w:rsidRPr="008F0129" w:rsidRDefault="008459F1" w:rsidP="008459F1">
      <w:pPr>
        <w:spacing w:line="360" w:lineRule="auto"/>
        <w:jc w:val="both"/>
        <w:rPr>
          <w:rFonts w:asciiTheme="majorBidi" w:hAnsiTheme="majorBidi" w:cstheme="majorBidi"/>
        </w:rPr>
      </w:pPr>
      <w:r w:rsidRPr="008F0129">
        <w:rPr>
          <w:rFonts w:asciiTheme="majorBidi" w:hAnsiTheme="majorBidi" w:cstheme="majorBidi"/>
        </w:rPr>
        <w:t xml:space="preserve">In this literature review, the current theoretical models and empirical studies available on the factor of income and occupation on international travel </w:t>
      </w:r>
      <w:proofErr w:type="spellStart"/>
      <w:r w:rsidRPr="008F0129">
        <w:rPr>
          <w:rFonts w:asciiTheme="majorBidi" w:hAnsiTheme="majorBidi" w:cstheme="majorBidi"/>
        </w:rPr>
        <w:t>behavior</w:t>
      </w:r>
      <w:proofErr w:type="spellEnd"/>
      <w:r w:rsidRPr="008F0129">
        <w:rPr>
          <w:rFonts w:asciiTheme="majorBidi" w:hAnsiTheme="majorBidi" w:cstheme="majorBidi"/>
        </w:rPr>
        <w:t xml:space="preserve"> have been critically </w:t>
      </w:r>
      <w:r w:rsidRPr="008F0129">
        <w:rPr>
          <w:rFonts w:asciiTheme="majorBidi" w:hAnsiTheme="majorBidi" w:cstheme="majorBidi"/>
        </w:rPr>
        <w:lastRenderedPageBreak/>
        <w:t xml:space="preserve">scrutinized. It organizes the review into four major parts: theoretical </w:t>
      </w:r>
      <w:r>
        <w:rPr>
          <w:rFonts w:asciiTheme="majorBidi" w:hAnsiTheme="majorBidi" w:cstheme="majorBidi"/>
        </w:rPr>
        <w:t>foundations</w:t>
      </w:r>
      <w:r w:rsidRPr="008F0129">
        <w:rPr>
          <w:rFonts w:asciiTheme="majorBidi" w:hAnsiTheme="majorBidi" w:cstheme="majorBidi"/>
        </w:rPr>
        <w:t>, previous empirical studies, conceptual framework, and formulation of a hypothesis.</w:t>
      </w:r>
    </w:p>
    <w:p w14:paraId="0234AD52" w14:textId="77777777" w:rsidR="008459F1" w:rsidRPr="00513B44" w:rsidRDefault="008459F1" w:rsidP="008459F1">
      <w:pPr>
        <w:spacing w:line="360" w:lineRule="auto"/>
        <w:jc w:val="both"/>
        <w:rPr>
          <w:rFonts w:asciiTheme="majorBidi" w:hAnsiTheme="majorBidi" w:cstheme="majorBidi"/>
          <w:i/>
          <w:iCs/>
        </w:rPr>
      </w:pPr>
      <w:r w:rsidRPr="00513B44">
        <w:rPr>
          <w:rFonts w:asciiTheme="majorBidi" w:hAnsiTheme="majorBidi" w:cstheme="majorBidi"/>
          <w:b/>
          <w:bCs/>
          <w:i/>
          <w:iCs/>
        </w:rPr>
        <w:t>Theoretical Foundations</w:t>
      </w:r>
    </w:p>
    <w:p w14:paraId="39E9CD0D" w14:textId="77777777" w:rsidR="008459F1" w:rsidRPr="00513B44" w:rsidRDefault="008459F1" w:rsidP="008459F1">
      <w:pPr>
        <w:pStyle w:val="a9"/>
        <w:numPr>
          <w:ilvl w:val="0"/>
          <w:numId w:val="24"/>
        </w:numPr>
        <w:spacing w:line="360" w:lineRule="auto"/>
        <w:ind w:left="360"/>
        <w:jc w:val="both"/>
        <w:rPr>
          <w:rFonts w:asciiTheme="majorBidi" w:hAnsiTheme="majorBidi" w:cstheme="majorBidi"/>
          <w:u w:val="single"/>
        </w:rPr>
      </w:pPr>
      <w:r w:rsidRPr="00513B44">
        <w:rPr>
          <w:rFonts w:asciiTheme="majorBidi" w:hAnsiTheme="majorBidi" w:cstheme="majorBidi"/>
          <w:u w:val="single"/>
        </w:rPr>
        <w:t>Disposable Income Theory</w:t>
      </w:r>
    </w:p>
    <w:p w14:paraId="596C3048" w14:textId="77777777" w:rsidR="008459F1" w:rsidRDefault="008459F1" w:rsidP="008459F1">
      <w:pPr>
        <w:spacing w:line="360" w:lineRule="auto"/>
        <w:jc w:val="both"/>
        <w:rPr>
          <w:rFonts w:asciiTheme="majorBidi" w:hAnsiTheme="majorBidi" w:cstheme="majorBidi"/>
        </w:rPr>
      </w:pPr>
      <w:r w:rsidRPr="0049291C">
        <w:rPr>
          <w:rFonts w:asciiTheme="majorBidi" w:hAnsiTheme="majorBidi" w:cstheme="majorBidi"/>
        </w:rPr>
        <w:t xml:space="preserve">Disposable income is the income left after taxes and spending on necessities. It is a crucial concept in studying consumer </w:t>
      </w:r>
      <w:proofErr w:type="spellStart"/>
      <w:r w:rsidRPr="0049291C">
        <w:rPr>
          <w:rFonts w:asciiTheme="majorBidi" w:hAnsiTheme="majorBidi" w:cstheme="majorBidi"/>
        </w:rPr>
        <w:t>behavior</w:t>
      </w:r>
      <w:proofErr w:type="spellEnd"/>
      <w:r w:rsidRPr="0049291C">
        <w:rPr>
          <w:rFonts w:asciiTheme="majorBidi" w:hAnsiTheme="majorBidi" w:cstheme="majorBidi"/>
        </w:rPr>
        <w:t xml:space="preserve"> in tourism. </w:t>
      </w:r>
      <w:proofErr w:type="spellStart"/>
      <w:r w:rsidRPr="004B1738">
        <w:rPr>
          <w:rFonts w:asciiTheme="majorBidi" w:hAnsiTheme="majorBidi" w:cstheme="majorBidi"/>
        </w:rPr>
        <w:t>Ariyanti</w:t>
      </w:r>
      <w:proofErr w:type="spellEnd"/>
      <w:r w:rsidRPr="004B1738">
        <w:rPr>
          <w:rFonts w:asciiTheme="majorBidi" w:hAnsiTheme="majorBidi" w:cstheme="majorBidi"/>
        </w:rPr>
        <w:t xml:space="preserve"> and </w:t>
      </w:r>
      <w:proofErr w:type="spellStart"/>
      <w:r w:rsidRPr="004B1738">
        <w:rPr>
          <w:rFonts w:asciiTheme="majorBidi" w:hAnsiTheme="majorBidi" w:cstheme="majorBidi"/>
        </w:rPr>
        <w:t>Rinarika</w:t>
      </w:r>
      <w:proofErr w:type="spellEnd"/>
      <w:r>
        <w:rPr>
          <w:rFonts w:asciiTheme="majorBidi" w:hAnsiTheme="majorBidi" w:cstheme="majorBidi"/>
        </w:rPr>
        <w:t xml:space="preserve"> (</w:t>
      </w:r>
      <w:r w:rsidRPr="004B1738">
        <w:rPr>
          <w:rFonts w:asciiTheme="majorBidi" w:hAnsiTheme="majorBidi" w:cstheme="majorBidi"/>
        </w:rPr>
        <w:t>202</w:t>
      </w:r>
      <w:r>
        <w:rPr>
          <w:rFonts w:asciiTheme="majorBidi" w:hAnsiTheme="majorBidi" w:cstheme="majorBidi"/>
        </w:rPr>
        <w:t xml:space="preserve">4) </w:t>
      </w:r>
      <w:r w:rsidRPr="0049291C">
        <w:rPr>
          <w:rFonts w:asciiTheme="majorBidi" w:hAnsiTheme="majorBidi" w:cstheme="majorBidi"/>
        </w:rPr>
        <w:t>acknowledges that the most effective economic factor of leisure travel is discretionary income. The Theory of Consumer Demand asserts that non-essential consumption such as travel is frequently perceived to be a method to spend surplus earnings, after necessities are fulfilled. Travel tends to be especially vulnerable to income changes, and demand elasticity of most segments of tourist industry is very high (</w:t>
      </w:r>
      <w:r w:rsidRPr="004B1738">
        <w:rPr>
          <w:rFonts w:asciiTheme="majorBidi" w:hAnsiTheme="majorBidi" w:cstheme="majorBidi"/>
        </w:rPr>
        <w:t>Boto-García</w:t>
      </w:r>
      <w:r>
        <w:rPr>
          <w:rFonts w:asciiTheme="majorBidi" w:hAnsiTheme="majorBidi" w:cstheme="majorBidi"/>
        </w:rPr>
        <w:t xml:space="preserve"> </w:t>
      </w:r>
      <w:r w:rsidRPr="004B1738">
        <w:rPr>
          <w:rFonts w:asciiTheme="majorBidi" w:hAnsiTheme="majorBidi" w:cstheme="majorBidi"/>
        </w:rPr>
        <w:t xml:space="preserve">and </w:t>
      </w:r>
      <w:proofErr w:type="spellStart"/>
      <w:r w:rsidRPr="004B1738">
        <w:rPr>
          <w:rFonts w:asciiTheme="majorBidi" w:hAnsiTheme="majorBidi" w:cstheme="majorBidi"/>
        </w:rPr>
        <w:t>Baños</w:t>
      </w:r>
      <w:proofErr w:type="spellEnd"/>
      <w:r w:rsidRPr="004B1738">
        <w:rPr>
          <w:rFonts w:asciiTheme="majorBidi" w:hAnsiTheme="majorBidi" w:cstheme="majorBidi"/>
        </w:rPr>
        <w:t xml:space="preserve"> Pino, 202</w:t>
      </w:r>
      <w:r>
        <w:rPr>
          <w:rFonts w:asciiTheme="majorBidi" w:hAnsiTheme="majorBidi" w:cstheme="majorBidi"/>
        </w:rPr>
        <w:t>4</w:t>
      </w:r>
      <w:r w:rsidRPr="0049291C">
        <w:rPr>
          <w:rFonts w:asciiTheme="majorBidi" w:hAnsiTheme="majorBidi" w:cstheme="majorBidi"/>
        </w:rPr>
        <w:t xml:space="preserve">). Practically, an increase in disposable income makes international travelling a lot affordable in terms of transportation cost, staying cost, and even cost of visa. As </w:t>
      </w:r>
      <w:r w:rsidRPr="004B1738">
        <w:rPr>
          <w:rFonts w:asciiTheme="majorBidi" w:hAnsiTheme="majorBidi" w:cstheme="majorBidi"/>
        </w:rPr>
        <w:t>Zhou</w:t>
      </w:r>
      <w:r w:rsidRPr="0049291C">
        <w:rPr>
          <w:rFonts w:asciiTheme="majorBidi" w:hAnsiTheme="majorBidi" w:cstheme="majorBidi"/>
        </w:rPr>
        <w:t xml:space="preserve"> </w:t>
      </w:r>
      <w:r>
        <w:rPr>
          <w:rFonts w:asciiTheme="majorBidi" w:hAnsiTheme="majorBidi" w:cstheme="majorBidi"/>
        </w:rPr>
        <w:t xml:space="preserve">et al. (2024) </w:t>
      </w:r>
      <w:r w:rsidRPr="0049291C">
        <w:rPr>
          <w:rFonts w:asciiTheme="majorBidi" w:hAnsiTheme="majorBidi" w:cstheme="majorBidi"/>
        </w:rPr>
        <w:t>explains, travel cannot be seen as a simple consumption good; it is indeed a status-</w:t>
      </w:r>
      <w:proofErr w:type="spellStart"/>
      <w:r w:rsidRPr="0049291C">
        <w:rPr>
          <w:rFonts w:asciiTheme="majorBidi" w:hAnsiTheme="majorBidi" w:cstheme="majorBidi"/>
        </w:rPr>
        <w:t>revealer</w:t>
      </w:r>
      <w:proofErr w:type="spellEnd"/>
      <w:r w:rsidRPr="0049291C">
        <w:rPr>
          <w:rFonts w:asciiTheme="majorBidi" w:hAnsiTheme="majorBidi" w:cstheme="majorBidi"/>
        </w:rPr>
        <w:t xml:space="preserve"> and therefore, relevant in enhancing the income-travel association. In that sense, income does not only define the capacity to travel, but also influences tastes and preferences, frequency and destination of travel and the quality of experiences.</w:t>
      </w:r>
    </w:p>
    <w:p w14:paraId="268532B8" w14:textId="77777777" w:rsidR="008459F1" w:rsidRPr="00513B44" w:rsidRDefault="008459F1" w:rsidP="008459F1">
      <w:pPr>
        <w:pStyle w:val="a9"/>
        <w:numPr>
          <w:ilvl w:val="0"/>
          <w:numId w:val="24"/>
        </w:numPr>
        <w:spacing w:line="360" w:lineRule="auto"/>
        <w:ind w:left="360"/>
        <w:jc w:val="both"/>
        <w:rPr>
          <w:rFonts w:asciiTheme="majorBidi" w:hAnsiTheme="majorBidi" w:cstheme="majorBidi"/>
          <w:u w:val="single"/>
        </w:rPr>
      </w:pPr>
      <w:r w:rsidRPr="00513B44">
        <w:rPr>
          <w:rFonts w:asciiTheme="majorBidi" w:hAnsiTheme="majorBidi" w:cstheme="majorBidi"/>
          <w:u w:val="single"/>
        </w:rPr>
        <w:t>Socio-Economic Status (SES) and Class Theory</w:t>
      </w:r>
    </w:p>
    <w:p w14:paraId="5EF77A49" w14:textId="77777777" w:rsidR="008459F1" w:rsidRDefault="008459F1" w:rsidP="008459F1">
      <w:pPr>
        <w:spacing w:line="360" w:lineRule="auto"/>
        <w:jc w:val="both"/>
        <w:rPr>
          <w:rFonts w:asciiTheme="majorBidi" w:hAnsiTheme="majorBidi" w:cstheme="majorBidi"/>
        </w:rPr>
      </w:pPr>
      <w:r w:rsidRPr="00B761C9">
        <w:rPr>
          <w:rFonts w:asciiTheme="majorBidi" w:hAnsiTheme="majorBidi" w:cstheme="majorBidi"/>
        </w:rPr>
        <w:t>The social and economic status encompasses the income, education, and occupational prestige (</w:t>
      </w:r>
      <w:r w:rsidRPr="00E819C5">
        <w:rPr>
          <w:rFonts w:asciiTheme="majorBidi" w:hAnsiTheme="majorBidi" w:cstheme="majorBidi"/>
        </w:rPr>
        <w:t>Ventura</w:t>
      </w:r>
      <w:r>
        <w:rPr>
          <w:rFonts w:asciiTheme="majorBidi" w:hAnsiTheme="majorBidi" w:cstheme="majorBidi"/>
        </w:rPr>
        <w:t xml:space="preserve"> et al., 2024</w:t>
      </w:r>
      <w:r w:rsidRPr="00B761C9">
        <w:rPr>
          <w:rFonts w:asciiTheme="majorBidi" w:hAnsiTheme="majorBidi" w:cstheme="majorBidi"/>
        </w:rPr>
        <w:t>). The theory of cultural capital (</w:t>
      </w:r>
      <w:r w:rsidRPr="00E819C5">
        <w:rPr>
          <w:rFonts w:asciiTheme="majorBidi" w:hAnsiTheme="majorBidi" w:cstheme="majorBidi"/>
        </w:rPr>
        <w:t>Bai</w:t>
      </w:r>
      <w:r>
        <w:rPr>
          <w:rFonts w:asciiTheme="majorBidi" w:hAnsiTheme="majorBidi" w:cstheme="majorBidi"/>
        </w:rPr>
        <w:t xml:space="preserve"> </w:t>
      </w:r>
      <w:r w:rsidRPr="00E819C5">
        <w:rPr>
          <w:rFonts w:asciiTheme="majorBidi" w:hAnsiTheme="majorBidi" w:cstheme="majorBidi"/>
        </w:rPr>
        <w:t>and Wang, 202</w:t>
      </w:r>
      <w:r>
        <w:rPr>
          <w:rFonts w:asciiTheme="majorBidi" w:hAnsiTheme="majorBidi" w:cstheme="majorBidi"/>
        </w:rPr>
        <w:t>4</w:t>
      </w:r>
      <w:r w:rsidRPr="00B761C9">
        <w:rPr>
          <w:rFonts w:asciiTheme="majorBidi" w:hAnsiTheme="majorBidi" w:cstheme="majorBidi"/>
        </w:rPr>
        <w:t xml:space="preserve">) suggests that travel </w:t>
      </w:r>
      <w:proofErr w:type="spellStart"/>
      <w:r w:rsidRPr="00B761C9">
        <w:rPr>
          <w:rFonts w:asciiTheme="majorBidi" w:hAnsiTheme="majorBidi" w:cstheme="majorBidi"/>
        </w:rPr>
        <w:t>behavior</w:t>
      </w:r>
      <w:proofErr w:type="spellEnd"/>
      <w:r w:rsidRPr="00B761C9">
        <w:rPr>
          <w:rFonts w:asciiTheme="majorBidi" w:hAnsiTheme="majorBidi" w:cstheme="majorBidi"/>
        </w:rPr>
        <w:t xml:space="preserve"> reflects the preferences which are class specific. People who belong to the upper social groups consider traveling not just as a pastime activity but as cultural activity. This framework emphasizes that decisions about travel are enfolded in wider social systems</w:t>
      </w:r>
      <w:r>
        <w:rPr>
          <w:rFonts w:asciiTheme="majorBidi" w:hAnsiTheme="majorBidi" w:cstheme="majorBidi"/>
        </w:rPr>
        <w:t xml:space="preserve">; </w:t>
      </w:r>
      <w:r w:rsidRPr="00B761C9">
        <w:rPr>
          <w:rFonts w:asciiTheme="majorBidi" w:hAnsiTheme="majorBidi" w:cstheme="majorBidi"/>
        </w:rPr>
        <w:t>thus</w:t>
      </w:r>
      <w:r>
        <w:rPr>
          <w:rFonts w:asciiTheme="majorBidi" w:hAnsiTheme="majorBidi" w:cstheme="majorBidi"/>
        </w:rPr>
        <w:t>,</w:t>
      </w:r>
      <w:r w:rsidRPr="00B761C9">
        <w:rPr>
          <w:rFonts w:asciiTheme="majorBidi" w:hAnsiTheme="majorBidi" w:cstheme="majorBidi"/>
        </w:rPr>
        <w:t xml:space="preserve"> SES is a multi-dimensional determinant of international travel </w:t>
      </w:r>
      <w:proofErr w:type="spellStart"/>
      <w:r w:rsidRPr="00B761C9">
        <w:rPr>
          <w:rFonts w:asciiTheme="majorBidi" w:hAnsiTheme="majorBidi" w:cstheme="majorBidi"/>
        </w:rPr>
        <w:t>behavior</w:t>
      </w:r>
      <w:proofErr w:type="spellEnd"/>
      <w:r w:rsidRPr="00B761C9">
        <w:rPr>
          <w:rFonts w:asciiTheme="majorBidi" w:hAnsiTheme="majorBidi" w:cstheme="majorBidi"/>
        </w:rPr>
        <w:t>.</w:t>
      </w:r>
    </w:p>
    <w:p w14:paraId="571B1A42" w14:textId="77777777" w:rsidR="008459F1" w:rsidRDefault="008459F1" w:rsidP="008459F1">
      <w:pPr>
        <w:spacing w:line="360" w:lineRule="auto"/>
        <w:jc w:val="both"/>
        <w:rPr>
          <w:rFonts w:asciiTheme="majorBidi" w:hAnsiTheme="majorBidi" w:cstheme="majorBidi"/>
        </w:rPr>
      </w:pPr>
      <w:r w:rsidRPr="00F90139">
        <w:rPr>
          <w:rFonts w:asciiTheme="majorBidi" w:hAnsiTheme="majorBidi" w:cstheme="majorBidi"/>
        </w:rPr>
        <w:t>Moreover, SES correlate positively with having more access to information and skills to plan travels, as well as being more confident in transnational environments. The effects of these class-specific enable</w:t>
      </w:r>
    </w:p>
    <w:p w14:paraId="45CB4AB7" w14:textId="77777777" w:rsidR="008459F1" w:rsidRPr="00513B44" w:rsidRDefault="008459F1" w:rsidP="008459F1">
      <w:pPr>
        <w:pStyle w:val="a9"/>
        <w:numPr>
          <w:ilvl w:val="0"/>
          <w:numId w:val="24"/>
        </w:numPr>
        <w:spacing w:line="360" w:lineRule="auto"/>
        <w:ind w:left="360"/>
        <w:jc w:val="both"/>
        <w:rPr>
          <w:rFonts w:asciiTheme="majorBidi" w:hAnsiTheme="majorBidi" w:cstheme="majorBidi"/>
          <w:u w:val="single"/>
        </w:rPr>
      </w:pPr>
      <w:r w:rsidRPr="00513B44">
        <w:rPr>
          <w:rFonts w:asciiTheme="majorBidi" w:hAnsiTheme="majorBidi" w:cstheme="majorBidi"/>
          <w:u w:val="single"/>
        </w:rPr>
        <w:t xml:space="preserve">Consumer </w:t>
      </w:r>
      <w:proofErr w:type="spellStart"/>
      <w:r w:rsidRPr="00513B44">
        <w:rPr>
          <w:rFonts w:asciiTheme="majorBidi" w:hAnsiTheme="majorBidi" w:cstheme="majorBidi"/>
          <w:u w:val="single"/>
        </w:rPr>
        <w:t>Behavior</w:t>
      </w:r>
      <w:proofErr w:type="spellEnd"/>
      <w:r w:rsidRPr="00513B44">
        <w:rPr>
          <w:rFonts w:asciiTheme="majorBidi" w:hAnsiTheme="majorBidi" w:cstheme="majorBidi"/>
          <w:u w:val="single"/>
        </w:rPr>
        <w:t xml:space="preserve"> in Tourism</w:t>
      </w:r>
    </w:p>
    <w:p w14:paraId="22FE282C" w14:textId="77777777" w:rsidR="008459F1" w:rsidRDefault="008459F1" w:rsidP="008459F1">
      <w:pPr>
        <w:spacing w:line="360" w:lineRule="auto"/>
        <w:jc w:val="both"/>
        <w:rPr>
          <w:rFonts w:asciiTheme="majorBidi" w:hAnsiTheme="majorBidi" w:cstheme="majorBidi"/>
        </w:rPr>
      </w:pPr>
      <w:r w:rsidRPr="00615651">
        <w:rPr>
          <w:rFonts w:asciiTheme="majorBidi" w:hAnsiTheme="majorBidi" w:cstheme="majorBidi"/>
        </w:rPr>
        <w:t xml:space="preserve">According to the Theory of Planned </w:t>
      </w:r>
      <w:proofErr w:type="spellStart"/>
      <w:r w:rsidRPr="00615651">
        <w:rPr>
          <w:rFonts w:asciiTheme="majorBidi" w:hAnsiTheme="majorBidi" w:cstheme="majorBidi"/>
        </w:rPr>
        <w:t>Behavior</w:t>
      </w:r>
      <w:proofErr w:type="spellEnd"/>
      <w:r w:rsidRPr="00615651">
        <w:rPr>
          <w:rFonts w:asciiTheme="majorBidi" w:hAnsiTheme="majorBidi" w:cstheme="majorBidi"/>
        </w:rPr>
        <w:t xml:space="preserve"> (</w:t>
      </w:r>
      <w:r>
        <w:rPr>
          <w:rFonts w:asciiTheme="majorBidi" w:hAnsiTheme="majorBidi" w:cstheme="majorBidi"/>
        </w:rPr>
        <w:t>He et al., 2024</w:t>
      </w:r>
      <w:r w:rsidRPr="00615651">
        <w:rPr>
          <w:rFonts w:asciiTheme="majorBidi" w:hAnsiTheme="majorBidi" w:cstheme="majorBidi"/>
        </w:rPr>
        <w:t xml:space="preserve">), attitudes, perceived </w:t>
      </w:r>
      <w:proofErr w:type="spellStart"/>
      <w:r w:rsidRPr="00615651">
        <w:rPr>
          <w:rFonts w:asciiTheme="majorBidi" w:hAnsiTheme="majorBidi" w:cstheme="majorBidi"/>
        </w:rPr>
        <w:t>behavioral</w:t>
      </w:r>
      <w:proofErr w:type="spellEnd"/>
      <w:r w:rsidRPr="00615651">
        <w:rPr>
          <w:rFonts w:asciiTheme="majorBidi" w:hAnsiTheme="majorBidi" w:cstheme="majorBidi"/>
        </w:rPr>
        <w:t xml:space="preserve"> control, and subjective norms may be utilized to describe how consumers in tourism form </w:t>
      </w:r>
      <w:r w:rsidRPr="00615651">
        <w:rPr>
          <w:rFonts w:asciiTheme="majorBidi" w:hAnsiTheme="majorBidi" w:cstheme="majorBidi"/>
        </w:rPr>
        <w:lastRenderedPageBreak/>
        <w:t>intentions to travel. The three dimensions are affected by income and occupation. Social expectations concerning international travel, one example, may exist in those of higher status occupations, coinciding again with subjective norms. It also impacts perceived control since financial wellbeing and work flexibility influence a perceived lack of obstacles to visitation.</w:t>
      </w:r>
    </w:p>
    <w:p w14:paraId="0B57E3B9" w14:textId="77777777" w:rsidR="008459F1" w:rsidRPr="008F0129" w:rsidRDefault="008459F1" w:rsidP="008459F1">
      <w:pPr>
        <w:spacing w:line="360" w:lineRule="auto"/>
        <w:jc w:val="both"/>
        <w:rPr>
          <w:rFonts w:asciiTheme="majorBidi" w:hAnsiTheme="majorBidi" w:cstheme="majorBidi"/>
        </w:rPr>
      </w:pPr>
      <w:r w:rsidRPr="00615651">
        <w:rPr>
          <w:rFonts w:asciiTheme="majorBidi" w:hAnsiTheme="majorBidi" w:cstheme="majorBidi"/>
        </w:rPr>
        <w:t>Psychographic segmentation in tourism (</w:t>
      </w:r>
      <w:r w:rsidRPr="00E819C5">
        <w:rPr>
          <w:rFonts w:asciiTheme="majorBidi" w:hAnsiTheme="majorBidi" w:cstheme="majorBidi"/>
        </w:rPr>
        <w:t>Moon and Lee, 2025</w:t>
      </w:r>
      <w:r w:rsidRPr="00615651">
        <w:rPr>
          <w:rFonts w:asciiTheme="majorBidi" w:hAnsiTheme="majorBidi" w:cstheme="majorBidi"/>
        </w:rPr>
        <w:t xml:space="preserve">) also confirms the view that travel preferences are determined by lifestyle and values which are also influenced by income and occupation among others. Therefore, both psychological and socio-economic factors are interdependent, where income and occupation are at the core of international travel frequency </w:t>
      </w:r>
      <w:proofErr w:type="spellStart"/>
      <w:r w:rsidRPr="00615651">
        <w:rPr>
          <w:rFonts w:asciiTheme="majorBidi" w:hAnsiTheme="majorBidi" w:cstheme="majorBidi"/>
        </w:rPr>
        <w:t>modeling</w:t>
      </w:r>
      <w:proofErr w:type="spellEnd"/>
      <w:r w:rsidRPr="00615651">
        <w:rPr>
          <w:rFonts w:asciiTheme="majorBidi" w:hAnsiTheme="majorBidi" w:cstheme="majorBidi"/>
        </w:rPr>
        <w:t>.</w:t>
      </w:r>
    </w:p>
    <w:p w14:paraId="45C7EB7A" w14:textId="77777777" w:rsidR="008459F1" w:rsidRPr="00513B44" w:rsidRDefault="008459F1" w:rsidP="008459F1">
      <w:pPr>
        <w:spacing w:line="360" w:lineRule="auto"/>
        <w:jc w:val="both"/>
        <w:rPr>
          <w:rFonts w:asciiTheme="majorBidi" w:hAnsiTheme="majorBidi" w:cstheme="majorBidi"/>
          <w:b/>
          <w:bCs/>
          <w:i/>
          <w:iCs/>
        </w:rPr>
      </w:pPr>
      <w:r w:rsidRPr="00513B44">
        <w:rPr>
          <w:rFonts w:asciiTheme="majorBidi" w:hAnsiTheme="majorBidi" w:cstheme="majorBidi"/>
          <w:b/>
          <w:bCs/>
          <w:i/>
          <w:iCs/>
        </w:rPr>
        <w:t xml:space="preserve">Empirical Studies </w:t>
      </w:r>
    </w:p>
    <w:p w14:paraId="21A174CC" w14:textId="77777777" w:rsidR="008459F1" w:rsidRDefault="008459F1" w:rsidP="008459F1">
      <w:pPr>
        <w:spacing w:line="360" w:lineRule="auto"/>
        <w:jc w:val="both"/>
        <w:rPr>
          <w:rFonts w:asciiTheme="majorBidi" w:hAnsiTheme="majorBidi" w:cstheme="majorBidi"/>
        </w:rPr>
      </w:pPr>
      <w:r w:rsidRPr="00425E4F">
        <w:rPr>
          <w:rFonts w:asciiTheme="majorBidi" w:hAnsiTheme="majorBidi" w:cstheme="majorBidi"/>
        </w:rPr>
        <w:t xml:space="preserve">Empirical research has increasingly shown that factors like income and occupation have a huge impact on international travel </w:t>
      </w:r>
      <w:proofErr w:type="spellStart"/>
      <w:r w:rsidRPr="00425E4F">
        <w:rPr>
          <w:rFonts w:asciiTheme="majorBidi" w:hAnsiTheme="majorBidi" w:cstheme="majorBidi"/>
        </w:rPr>
        <w:t>behavior</w:t>
      </w:r>
      <w:proofErr w:type="spellEnd"/>
      <w:r w:rsidRPr="00425E4F">
        <w:rPr>
          <w:rFonts w:asciiTheme="majorBidi" w:hAnsiTheme="majorBidi" w:cstheme="majorBidi"/>
        </w:rPr>
        <w:t xml:space="preserve">. These studies support the theoretical background to disposable income, socioeconomic status, and consumer </w:t>
      </w:r>
      <w:proofErr w:type="spellStart"/>
      <w:r w:rsidRPr="00425E4F">
        <w:rPr>
          <w:rFonts w:asciiTheme="majorBidi" w:hAnsiTheme="majorBidi" w:cstheme="majorBidi"/>
        </w:rPr>
        <w:t>behavior</w:t>
      </w:r>
      <w:proofErr w:type="spellEnd"/>
      <w:r w:rsidRPr="00425E4F">
        <w:rPr>
          <w:rFonts w:asciiTheme="majorBidi" w:hAnsiTheme="majorBidi" w:cstheme="majorBidi"/>
        </w:rPr>
        <w:t xml:space="preserve"> theories that have been covered above</w:t>
      </w:r>
      <w:r>
        <w:rPr>
          <w:rFonts w:asciiTheme="majorBidi" w:hAnsiTheme="majorBidi" w:cstheme="majorBidi"/>
        </w:rPr>
        <w:t xml:space="preserve"> (Zhong et al., 2024; </w:t>
      </w:r>
      <w:proofErr w:type="spellStart"/>
      <w:r w:rsidRPr="00FA1456">
        <w:rPr>
          <w:rFonts w:asciiTheme="majorBidi" w:hAnsiTheme="majorBidi" w:cstheme="majorBidi"/>
        </w:rPr>
        <w:t>Lučić</w:t>
      </w:r>
      <w:proofErr w:type="spellEnd"/>
      <w:r>
        <w:rPr>
          <w:rFonts w:asciiTheme="majorBidi" w:hAnsiTheme="majorBidi" w:cstheme="majorBidi"/>
        </w:rPr>
        <w:t xml:space="preserve"> et al., 2022)</w:t>
      </w:r>
      <w:r w:rsidRPr="00425E4F">
        <w:rPr>
          <w:rFonts w:asciiTheme="majorBidi" w:hAnsiTheme="majorBidi" w:cstheme="majorBidi"/>
        </w:rPr>
        <w:t>. Nevertheless, a significant gap exists concerning research which examines the condition upon which income and occupation interact or the moderating effect across demographic or geographic backgrounds.</w:t>
      </w:r>
    </w:p>
    <w:p w14:paraId="4A0A88E8" w14:textId="77777777" w:rsidR="008459F1" w:rsidRDefault="008459F1" w:rsidP="008459F1">
      <w:pPr>
        <w:spacing w:line="360" w:lineRule="auto"/>
        <w:jc w:val="both"/>
        <w:rPr>
          <w:rFonts w:asciiTheme="majorBidi" w:hAnsiTheme="majorBidi" w:cstheme="majorBidi"/>
        </w:rPr>
      </w:pPr>
      <w:r w:rsidRPr="00425E4F">
        <w:rPr>
          <w:rFonts w:asciiTheme="majorBidi" w:hAnsiTheme="majorBidi" w:cstheme="majorBidi"/>
        </w:rPr>
        <w:t xml:space="preserve">Income continues to be among the best predictors of participation in international travel. In a large-scale study by </w:t>
      </w:r>
      <w:proofErr w:type="spellStart"/>
      <w:r w:rsidRPr="004B1738">
        <w:rPr>
          <w:rFonts w:asciiTheme="majorBidi" w:hAnsiTheme="majorBidi" w:cstheme="majorBidi"/>
        </w:rPr>
        <w:t>Struwig</w:t>
      </w:r>
      <w:proofErr w:type="spellEnd"/>
      <w:r>
        <w:rPr>
          <w:rFonts w:asciiTheme="majorBidi" w:hAnsiTheme="majorBidi" w:cstheme="majorBidi"/>
        </w:rPr>
        <w:t xml:space="preserve"> </w:t>
      </w:r>
      <w:r w:rsidRPr="004B1738">
        <w:rPr>
          <w:rFonts w:asciiTheme="majorBidi" w:hAnsiTheme="majorBidi" w:cstheme="majorBidi"/>
        </w:rPr>
        <w:t xml:space="preserve">and du </w:t>
      </w:r>
      <w:proofErr w:type="spellStart"/>
      <w:r w:rsidRPr="004B1738">
        <w:rPr>
          <w:rFonts w:asciiTheme="majorBidi" w:hAnsiTheme="majorBidi" w:cstheme="majorBidi"/>
        </w:rPr>
        <w:t>Preez</w:t>
      </w:r>
      <w:proofErr w:type="spellEnd"/>
      <w:r>
        <w:rPr>
          <w:rFonts w:asciiTheme="majorBidi" w:hAnsiTheme="majorBidi" w:cstheme="majorBidi"/>
        </w:rPr>
        <w:t xml:space="preserve"> (</w:t>
      </w:r>
      <w:r w:rsidRPr="004B1738">
        <w:rPr>
          <w:rFonts w:asciiTheme="majorBidi" w:hAnsiTheme="majorBidi" w:cstheme="majorBidi"/>
        </w:rPr>
        <w:t>2024</w:t>
      </w:r>
      <w:r w:rsidRPr="00425E4F">
        <w:rPr>
          <w:rFonts w:asciiTheme="majorBidi" w:hAnsiTheme="majorBidi" w:cstheme="majorBidi"/>
        </w:rPr>
        <w:t xml:space="preserve">), residents of the European Union in the upper quintile of the income pyramid had a chance to travel abroad nearly four times higher than those in the bottom quintile. This gap was highest in long-haul and pleasure travel categories, where barriers to entry were more financial in terms of airfare, accommodations and visa conditions. Also, the </w:t>
      </w:r>
      <w:proofErr w:type="spellStart"/>
      <w:r w:rsidRPr="00E819C5">
        <w:rPr>
          <w:rFonts w:asciiTheme="majorBidi" w:hAnsiTheme="majorBidi" w:cstheme="majorBidi"/>
        </w:rPr>
        <w:t>Bassi</w:t>
      </w:r>
      <w:proofErr w:type="spellEnd"/>
      <w:r w:rsidRPr="00E819C5">
        <w:rPr>
          <w:rFonts w:asciiTheme="majorBidi" w:hAnsiTheme="majorBidi" w:cstheme="majorBidi"/>
        </w:rPr>
        <w:t xml:space="preserve"> and Martín</w:t>
      </w:r>
      <w:r>
        <w:rPr>
          <w:rFonts w:asciiTheme="majorBidi" w:hAnsiTheme="majorBidi" w:cstheme="majorBidi"/>
        </w:rPr>
        <w:t xml:space="preserve"> (</w:t>
      </w:r>
      <w:r w:rsidRPr="00E819C5">
        <w:rPr>
          <w:rFonts w:asciiTheme="majorBidi" w:hAnsiTheme="majorBidi" w:cstheme="majorBidi"/>
        </w:rPr>
        <w:t>2024</w:t>
      </w:r>
      <w:r>
        <w:rPr>
          <w:rFonts w:asciiTheme="majorBidi" w:hAnsiTheme="majorBidi" w:cstheme="majorBidi"/>
        </w:rPr>
        <w:t>) stud</w:t>
      </w:r>
      <w:r w:rsidRPr="00425E4F">
        <w:rPr>
          <w:rFonts w:asciiTheme="majorBidi" w:hAnsiTheme="majorBidi" w:cstheme="majorBidi"/>
        </w:rPr>
        <w:t>y reported that not only do high-income earners travel more often but also spend vastly more on every trip, also supporting the notion that high income determines the frequency and quality of international travel experiences.</w:t>
      </w:r>
    </w:p>
    <w:p w14:paraId="1132FB1C" w14:textId="77777777" w:rsidR="008459F1" w:rsidRDefault="008459F1" w:rsidP="008459F1">
      <w:pPr>
        <w:spacing w:line="360" w:lineRule="auto"/>
        <w:jc w:val="both"/>
        <w:rPr>
          <w:rFonts w:asciiTheme="majorBidi" w:hAnsiTheme="majorBidi" w:cstheme="majorBidi"/>
        </w:rPr>
      </w:pPr>
      <w:r w:rsidRPr="00425E4F">
        <w:rPr>
          <w:rFonts w:asciiTheme="majorBidi" w:hAnsiTheme="majorBidi" w:cstheme="majorBidi"/>
        </w:rPr>
        <w:t>In the post-pandemic environment, the OECD (202</w:t>
      </w:r>
      <w:r>
        <w:rPr>
          <w:rFonts w:asciiTheme="majorBidi" w:hAnsiTheme="majorBidi" w:cstheme="majorBidi"/>
        </w:rPr>
        <w:t>4</w:t>
      </w:r>
      <w:r w:rsidRPr="00425E4F">
        <w:rPr>
          <w:rFonts w:asciiTheme="majorBidi" w:hAnsiTheme="majorBidi" w:cstheme="majorBidi"/>
        </w:rPr>
        <w:t>) highlighted that international travels were recovered by wealthier and professionally employed citizens disproportionately. In their report on Tourism Trends and Policies, their travel demand of 2021</w:t>
      </w:r>
      <w:r>
        <w:rPr>
          <w:rFonts w:asciiTheme="majorBidi" w:hAnsiTheme="majorBidi" w:cstheme="majorBidi"/>
        </w:rPr>
        <w:t>-</w:t>
      </w:r>
      <w:r w:rsidRPr="00425E4F">
        <w:rPr>
          <w:rFonts w:asciiTheme="majorBidi" w:hAnsiTheme="majorBidi" w:cstheme="majorBidi"/>
        </w:rPr>
        <w:t>2022 was catered towards upper-income households in G7 countries, which engaged in early travel behaviour once lockdowns came to an end. Such travellers were generally more travel-resilient, and this was helped by flexible working arrangements, larger financial cushions, and pent-up demand. The low-income group, in comparison, recorded a sluggish recovery under absorption and stricter discretionary expenditures.</w:t>
      </w:r>
    </w:p>
    <w:p w14:paraId="6BD817F1" w14:textId="77777777" w:rsidR="008459F1" w:rsidRDefault="008459F1" w:rsidP="008459F1">
      <w:pPr>
        <w:spacing w:line="360" w:lineRule="auto"/>
        <w:jc w:val="both"/>
        <w:rPr>
          <w:rFonts w:asciiTheme="majorBidi" w:hAnsiTheme="majorBidi" w:cstheme="majorBidi"/>
        </w:rPr>
      </w:pPr>
      <w:r w:rsidRPr="005337D6">
        <w:rPr>
          <w:rFonts w:asciiTheme="majorBidi" w:hAnsiTheme="majorBidi" w:cstheme="majorBidi"/>
        </w:rPr>
        <w:lastRenderedPageBreak/>
        <w:t xml:space="preserve">Furthermore, research carried out on the national levels also offers additional details. As an example of such studies, </w:t>
      </w:r>
      <w:proofErr w:type="spellStart"/>
      <w:r w:rsidRPr="00E819C5">
        <w:rPr>
          <w:rFonts w:asciiTheme="majorBidi" w:hAnsiTheme="majorBidi" w:cstheme="majorBidi"/>
        </w:rPr>
        <w:t>Demiris</w:t>
      </w:r>
      <w:proofErr w:type="spellEnd"/>
      <w:r w:rsidRPr="005337D6">
        <w:rPr>
          <w:rFonts w:asciiTheme="majorBidi" w:hAnsiTheme="majorBidi" w:cstheme="majorBidi"/>
        </w:rPr>
        <w:t xml:space="preserve"> </w:t>
      </w:r>
      <w:r>
        <w:rPr>
          <w:rFonts w:asciiTheme="majorBidi" w:hAnsiTheme="majorBidi" w:cstheme="majorBidi"/>
        </w:rPr>
        <w:t xml:space="preserve">et al. (2025) </w:t>
      </w:r>
      <w:r w:rsidRPr="005337D6">
        <w:rPr>
          <w:rFonts w:asciiTheme="majorBidi" w:hAnsiTheme="majorBidi" w:cstheme="majorBidi"/>
        </w:rPr>
        <w:t>relied on longitudinal household survey data in the UK to demonstrate that occupational status exerted a statistically significant impact on the frequency of travel. The managerial, technical and professional occupations were more than twice as likely to travel abroad than manual or routine occupational groups</w:t>
      </w:r>
      <w:r>
        <w:rPr>
          <w:rFonts w:asciiTheme="majorBidi" w:hAnsiTheme="majorBidi" w:cstheme="majorBidi"/>
        </w:rPr>
        <w:t xml:space="preserve"> (</w:t>
      </w:r>
      <w:proofErr w:type="spellStart"/>
      <w:r w:rsidRPr="00062ACF">
        <w:rPr>
          <w:rFonts w:asciiTheme="majorBidi" w:hAnsiTheme="majorBidi" w:cstheme="majorBidi"/>
        </w:rPr>
        <w:t>Mehdizadeh</w:t>
      </w:r>
      <w:proofErr w:type="spellEnd"/>
      <w:r w:rsidRPr="00062ACF">
        <w:rPr>
          <w:rFonts w:asciiTheme="majorBidi" w:hAnsiTheme="majorBidi" w:cstheme="majorBidi"/>
        </w:rPr>
        <w:t xml:space="preserve"> </w:t>
      </w:r>
      <w:r>
        <w:rPr>
          <w:rFonts w:asciiTheme="majorBidi" w:hAnsiTheme="majorBidi" w:cstheme="majorBidi"/>
        </w:rPr>
        <w:t>and</w:t>
      </w:r>
      <w:r w:rsidRPr="00062ACF">
        <w:rPr>
          <w:rFonts w:asciiTheme="majorBidi" w:hAnsiTheme="majorBidi" w:cstheme="majorBidi"/>
        </w:rPr>
        <w:t xml:space="preserve"> </w:t>
      </w:r>
      <w:proofErr w:type="spellStart"/>
      <w:r w:rsidRPr="00062ACF">
        <w:rPr>
          <w:rFonts w:asciiTheme="majorBidi" w:hAnsiTheme="majorBidi" w:cstheme="majorBidi"/>
        </w:rPr>
        <w:t>Kroesen</w:t>
      </w:r>
      <w:proofErr w:type="spellEnd"/>
      <w:r w:rsidRPr="00062ACF">
        <w:rPr>
          <w:rFonts w:asciiTheme="majorBidi" w:hAnsiTheme="majorBidi" w:cstheme="majorBidi"/>
        </w:rPr>
        <w:t>, 2025</w:t>
      </w:r>
      <w:r>
        <w:rPr>
          <w:rFonts w:asciiTheme="majorBidi" w:hAnsiTheme="majorBidi" w:cstheme="majorBidi"/>
        </w:rPr>
        <w:t xml:space="preserve">; </w:t>
      </w:r>
      <w:proofErr w:type="spellStart"/>
      <w:r>
        <w:rPr>
          <w:rFonts w:asciiTheme="majorBidi" w:hAnsiTheme="majorBidi" w:cstheme="majorBidi"/>
        </w:rPr>
        <w:t>Begashe</w:t>
      </w:r>
      <w:proofErr w:type="spellEnd"/>
      <w:r>
        <w:rPr>
          <w:rFonts w:asciiTheme="majorBidi" w:hAnsiTheme="majorBidi" w:cstheme="majorBidi"/>
        </w:rPr>
        <w:t xml:space="preserve"> et al., 2024</w:t>
      </w:r>
      <w:r w:rsidRPr="00062ACF">
        <w:rPr>
          <w:rFonts w:asciiTheme="majorBidi" w:hAnsiTheme="majorBidi" w:cstheme="majorBidi"/>
        </w:rPr>
        <w:t>)</w:t>
      </w:r>
      <w:r w:rsidRPr="005337D6">
        <w:rPr>
          <w:rFonts w:asciiTheme="majorBidi" w:hAnsiTheme="majorBidi" w:cstheme="majorBidi"/>
        </w:rPr>
        <w:t>. Their results too indicated that work autonomy (</w:t>
      </w:r>
      <w:proofErr w:type="gramStart"/>
      <w:r w:rsidRPr="005337D6">
        <w:rPr>
          <w:rFonts w:asciiTheme="majorBidi" w:hAnsiTheme="majorBidi" w:cstheme="majorBidi"/>
        </w:rPr>
        <w:t>e.g.</w:t>
      </w:r>
      <w:proofErr w:type="gramEnd"/>
      <w:r w:rsidRPr="005337D6">
        <w:rPr>
          <w:rFonts w:asciiTheme="majorBidi" w:hAnsiTheme="majorBidi" w:cstheme="majorBidi"/>
        </w:rPr>
        <w:t xml:space="preserve"> ability to work remotely, negotiate leave) was positively associated with overseas travel.</w:t>
      </w:r>
    </w:p>
    <w:p w14:paraId="5C1B7049" w14:textId="77777777" w:rsidR="008459F1" w:rsidRDefault="008459F1" w:rsidP="008459F1">
      <w:pPr>
        <w:spacing w:line="360" w:lineRule="auto"/>
        <w:jc w:val="both"/>
        <w:rPr>
          <w:rFonts w:asciiTheme="majorBidi" w:hAnsiTheme="majorBidi" w:cstheme="majorBidi"/>
        </w:rPr>
      </w:pPr>
      <w:r w:rsidRPr="005337D6">
        <w:rPr>
          <w:rFonts w:asciiTheme="majorBidi" w:hAnsiTheme="majorBidi" w:cstheme="majorBidi"/>
        </w:rPr>
        <w:t xml:space="preserve">Correspondingly, the latest study by the </w:t>
      </w:r>
      <w:proofErr w:type="spellStart"/>
      <w:r w:rsidRPr="00E819C5">
        <w:rPr>
          <w:rFonts w:asciiTheme="majorBidi" w:hAnsiTheme="majorBidi" w:cstheme="majorBidi"/>
        </w:rPr>
        <w:t>Vachuska</w:t>
      </w:r>
      <w:proofErr w:type="spellEnd"/>
      <w:r>
        <w:rPr>
          <w:rFonts w:asciiTheme="majorBidi" w:hAnsiTheme="majorBidi" w:cstheme="majorBidi"/>
        </w:rPr>
        <w:t xml:space="preserve"> (</w:t>
      </w:r>
      <w:r w:rsidRPr="00E819C5">
        <w:rPr>
          <w:rFonts w:asciiTheme="majorBidi" w:hAnsiTheme="majorBidi" w:cstheme="majorBidi"/>
        </w:rPr>
        <w:t>2025</w:t>
      </w:r>
      <w:r w:rsidRPr="005337D6">
        <w:rPr>
          <w:rFonts w:asciiTheme="majorBidi" w:hAnsiTheme="majorBidi" w:cstheme="majorBidi"/>
        </w:rPr>
        <w:t>) in the United States replicated this conclusion, finding high occupational prestige to correlate with the frequency of business travel and leisure travel. Doctors, IT managers and academics were not only more likely than other professionals to take international travel in connection with business, but also more capable of turning working trips into overrun holidays. The EU blue-collar workforce or employees in hourly pay jobs could hardly afford dual-purpose travel, as they had limited flexibility in taking leave and affordability was a problem</w:t>
      </w:r>
      <w:r>
        <w:rPr>
          <w:rFonts w:asciiTheme="majorBidi" w:hAnsiTheme="majorBidi" w:cstheme="majorBidi"/>
        </w:rPr>
        <w:t xml:space="preserve"> (</w:t>
      </w:r>
      <w:r w:rsidRPr="00062ACF">
        <w:rPr>
          <w:rFonts w:asciiTheme="majorBidi" w:hAnsiTheme="majorBidi" w:cstheme="majorBidi"/>
        </w:rPr>
        <w:t xml:space="preserve">Wang </w:t>
      </w:r>
      <w:r>
        <w:rPr>
          <w:rFonts w:asciiTheme="majorBidi" w:hAnsiTheme="majorBidi" w:cstheme="majorBidi"/>
        </w:rPr>
        <w:t>and</w:t>
      </w:r>
      <w:r w:rsidRPr="00062ACF">
        <w:rPr>
          <w:rFonts w:asciiTheme="majorBidi" w:hAnsiTheme="majorBidi" w:cstheme="majorBidi"/>
        </w:rPr>
        <w:t xml:space="preserve"> Choi, 2023)</w:t>
      </w:r>
      <w:r w:rsidRPr="005337D6">
        <w:rPr>
          <w:rFonts w:asciiTheme="majorBidi" w:hAnsiTheme="majorBidi" w:cstheme="majorBidi"/>
        </w:rPr>
        <w:t>.</w:t>
      </w:r>
    </w:p>
    <w:p w14:paraId="23AF848D" w14:textId="77777777" w:rsidR="008459F1" w:rsidRDefault="008459F1" w:rsidP="008459F1">
      <w:pPr>
        <w:spacing w:line="360" w:lineRule="auto"/>
        <w:jc w:val="both"/>
        <w:rPr>
          <w:rFonts w:asciiTheme="majorBidi" w:hAnsiTheme="majorBidi" w:cstheme="majorBidi"/>
        </w:rPr>
      </w:pPr>
      <w:r w:rsidRPr="005337D6">
        <w:rPr>
          <w:rFonts w:asciiTheme="majorBidi" w:hAnsiTheme="majorBidi" w:cstheme="majorBidi"/>
        </w:rPr>
        <w:t xml:space="preserve">In Asia, </w:t>
      </w:r>
      <w:proofErr w:type="gramStart"/>
      <w:r w:rsidRPr="00E819C5">
        <w:rPr>
          <w:rFonts w:asciiTheme="majorBidi" w:hAnsiTheme="majorBidi" w:cstheme="majorBidi"/>
        </w:rPr>
        <w:t>Zhang</w:t>
      </w:r>
      <w:r w:rsidRPr="005337D6">
        <w:rPr>
          <w:rFonts w:asciiTheme="majorBidi" w:hAnsiTheme="majorBidi" w:cstheme="majorBidi"/>
        </w:rPr>
        <w:t xml:space="preserve"> </w:t>
      </w:r>
      <w:r>
        <w:rPr>
          <w:rFonts w:asciiTheme="majorBidi" w:hAnsiTheme="majorBidi" w:cstheme="majorBidi"/>
        </w:rPr>
        <w:t xml:space="preserve"> et al.</w:t>
      </w:r>
      <w:proofErr w:type="gramEnd"/>
      <w:r>
        <w:rPr>
          <w:rFonts w:asciiTheme="majorBidi" w:hAnsiTheme="majorBidi" w:cstheme="majorBidi"/>
        </w:rPr>
        <w:t xml:space="preserve"> (2024) </w:t>
      </w:r>
      <w:r w:rsidRPr="005337D6">
        <w:rPr>
          <w:rFonts w:asciiTheme="majorBidi" w:hAnsiTheme="majorBidi" w:cstheme="majorBidi"/>
        </w:rPr>
        <w:t>investigated South Korean outbound tourism patterns by examining what are the most potent predictors of travel abroad activities. The two top predictors in the Asian study were income and the prestige of the job</w:t>
      </w:r>
      <w:r>
        <w:rPr>
          <w:rFonts w:asciiTheme="majorBidi" w:hAnsiTheme="majorBidi" w:cstheme="majorBidi"/>
        </w:rPr>
        <w:t xml:space="preserve"> (</w:t>
      </w:r>
      <w:r w:rsidRPr="00062ACF">
        <w:rPr>
          <w:rFonts w:asciiTheme="majorBidi" w:hAnsiTheme="majorBidi" w:cstheme="majorBidi"/>
          <w:lang w:val="en-US"/>
        </w:rPr>
        <w:t xml:space="preserve">Wang </w:t>
      </w:r>
      <w:r>
        <w:rPr>
          <w:rFonts w:asciiTheme="majorBidi" w:hAnsiTheme="majorBidi" w:cstheme="majorBidi"/>
          <w:lang w:val="en-US"/>
        </w:rPr>
        <w:t>and</w:t>
      </w:r>
      <w:r w:rsidRPr="00062ACF">
        <w:rPr>
          <w:rFonts w:asciiTheme="majorBidi" w:hAnsiTheme="majorBidi" w:cstheme="majorBidi"/>
          <w:lang w:val="en-US"/>
        </w:rPr>
        <w:t xml:space="preserve"> </w:t>
      </w:r>
      <w:proofErr w:type="spellStart"/>
      <w:r w:rsidRPr="00062ACF">
        <w:rPr>
          <w:rFonts w:asciiTheme="majorBidi" w:hAnsiTheme="majorBidi" w:cstheme="majorBidi"/>
          <w:lang w:val="en-US"/>
        </w:rPr>
        <w:t>Tziamalis</w:t>
      </w:r>
      <w:proofErr w:type="spellEnd"/>
      <w:r w:rsidRPr="00062ACF">
        <w:rPr>
          <w:rFonts w:asciiTheme="majorBidi" w:hAnsiTheme="majorBidi" w:cstheme="majorBidi"/>
          <w:lang w:val="en-US"/>
        </w:rPr>
        <w:t>,</w:t>
      </w:r>
      <w:r>
        <w:rPr>
          <w:rFonts w:asciiTheme="majorBidi" w:hAnsiTheme="majorBidi" w:cstheme="majorBidi"/>
          <w:lang w:val="en-US"/>
        </w:rPr>
        <w:t xml:space="preserve"> </w:t>
      </w:r>
      <w:r w:rsidRPr="00062ACF">
        <w:rPr>
          <w:rFonts w:asciiTheme="majorBidi" w:hAnsiTheme="majorBidi" w:cstheme="majorBidi"/>
          <w:lang w:val="en-US"/>
        </w:rPr>
        <w:t>2023</w:t>
      </w:r>
      <w:r>
        <w:rPr>
          <w:rFonts w:asciiTheme="majorBidi" w:hAnsiTheme="majorBidi" w:cstheme="majorBidi"/>
          <w:lang w:val="en-US"/>
        </w:rPr>
        <w:t xml:space="preserve">; </w:t>
      </w:r>
      <w:r w:rsidRPr="00062ACF">
        <w:rPr>
          <w:rFonts w:asciiTheme="majorBidi" w:hAnsiTheme="majorBidi" w:cstheme="majorBidi"/>
        </w:rPr>
        <w:t>Kim</w:t>
      </w:r>
      <w:r>
        <w:rPr>
          <w:rFonts w:asciiTheme="majorBidi" w:hAnsiTheme="majorBidi" w:cstheme="majorBidi"/>
        </w:rPr>
        <w:t xml:space="preserve"> et al., 2022</w:t>
      </w:r>
      <w:r w:rsidRPr="00062ACF">
        <w:rPr>
          <w:rFonts w:asciiTheme="majorBidi" w:hAnsiTheme="majorBidi" w:cstheme="majorBidi"/>
          <w:lang w:val="en-US"/>
        </w:rPr>
        <w:t>)</w:t>
      </w:r>
      <w:r w:rsidRPr="005337D6">
        <w:rPr>
          <w:rFonts w:asciiTheme="majorBidi" w:hAnsiTheme="majorBidi" w:cstheme="majorBidi"/>
        </w:rPr>
        <w:t xml:space="preserve">. Frequent </w:t>
      </w:r>
      <w:proofErr w:type="spellStart"/>
      <w:r w:rsidRPr="005337D6">
        <w:rPr>
          <w:rFonts w:asciiTheme="majorBidi" w:hAnsiTheme="majorBidi" w:cstheme="majorBidi"/>
        </w:rPr>
        <w:t>travelers</w:t>
      </w:r>
      <w:proofErr w:type="spellEnd"/>
      <w:r w:rsidRPr="005337D6">
        <w:rPr>
          <w:rFonts w:asciiTheme="majorBidi" w:hAnsiTheme="majorBidi" w:cstheme="majorBidi"/>
        </w:rPr>
        <w:t xml:space="preserve"> were predominantly office workers in financial services, government, as well as IT, whereas the less privileged (such as manual laborers, shop workers or maids) mostly did not venture out much in the foreign country. It was explained not only by the difference of incomes but also by social expectations, the available amount of time, and cultural capital linked to a particular profession (</w:t>
      </w:r>
      <w:r>
        <w:rPr>
          <w:rFonts w:asciiTheme="majorBidi" w:hAnsiTheme="majorBidi" w:cstheme="majorBidi"/>
        </w:rPr>
        <w:t>Zeng et al., 2025; He et al., 2022</w:t>
      </w:r>
      <w:r w:rsidRPr="005337D6">
        <w:rPr>
          <w:rFonts w:asciiTheme="majorBidi" w:hAnsiTheme="majorBidi" w:cstheme="majorBidi"/>
        </w:rPr>
        <w:t>).</w:t>
      </w:r>
    </w:p>
    <w:p w14:paraId="1F7CDB82" w14:textId="77777777" w:rsidR="008459F1" w:rsidRDefault="008459F1" w:rsidP="008459F1">
      <w:pPr>
        <w:spacing w:line="360" w:lineRule="auto"/>
        <w:jc w:val="both"/>
        <w:rPr>
          <w:rFonts w:asciiTheme="majorBidi" w:hAnsiTheme="majorBidi" w:cstheme="majorBidi"/>
        </w:rPr>
      </w:pPr>
      <w:proofErr w:type="spellStart"/>
      <w:proofErr w:type="gramStart"/>
      <w:r w:rsidRPr="005337D6">
        <w:rPr>
          <w:rFonts w:asciiTheme="majorBidi" w:hAnsiTheme="majorBidi" w:cstheme="majorBidi"/>
        </w:rPr>
        <w:t>Moreover,</w:t>
      </w:r>
      <w:r>
        <w:rPr>
          <w:rFonts w:asciiTheme="majorBidi" w:hAnsiTheme="majorBidi" w:cstheme="majorBidi"/>
        </w:rPr>
        <w:t>Yu</w:t>
      </w:r>
      <w:proofErr w:type="spellEnd"/>
      <w:proofErr w:type="gramEnd"/>
      <w:r w:rsidRPr="005337D6">
        <w:rPr>
          <w:rFonts w:asciiTheme="majorBidi" w:hAnsiTheme="majorBidi" w:cstheme="majorBidi"/>
        </w:rPr>
        <w:t xml:space="preserve"> et al. (202</w:t>
      </w:r>
      <w:r>
        <w:rPr>
          <w:rFonts w:asciiTheme="majorBidi" w:hAnsiTheme="majorBidi" w:cstheme="majorBidi"/>
        </w:rPr>
        <w:t>4</w:t>
      </w:r>
      <w:r w:rsidRPr="005337D6">
        <w:rPr>
          <w:rFonts w:asciiTheme="majorBidi" w:hAnsiTheme="majorBidi" w:cstheme="majorBidi"/>
        </w:rPr>
        <w:t xml:space="preserve">) </w:t>
      </w:r>
      <w:r>
        <w:rPr>
          <w:rFonts w:asciiTheme="majorBidi" w:hAnsiTheme="majorBidi" w:cstheme="majorBidi"/>
        </w:rPr>
        <w:t>indicated</w:t>
      </w:r>
      <w:r w:rsidRPr="005337D6">
        <w:rPr>
          <w:rFonts w:asciiTheme="majorBidi" w:hAnsiTheme="majorBidi" w:cstheme="majorBidi"/>
        </w:rPr>
        <w:t xml:space="preserve"> a nonlinear negative correlation between income and international travelling. Travel frequency grew rapidly as income rose to a particular level but reached a plateau at the upper end since ultra-high earners have time restrictions and career demands</w:t>
      </w:r>
      <w:r>
        <w:rPr>
          <w:rFonts w:asciiTheme="majorBidi" w:hAnsiTheme="majorBidi" w:cstheme="majorBidi"/>
        </w:rPr>
        <w:t xml:space="preserve"> (</w:t>
      </w:r>
      <w:r w:rsidRPr="00622DBD">
        <w:rPr>
          <w:rFonts w:asciiTheme="majorBidi" w:hAnsiTheme="majorBidi" w:cstheme="majorBidi"/>
        </w:rPr>
        <w:t>Waqas-Awan</w:t>
      </w:r>
      <w:r>
        <w:rPr>
          <w:rFonts w:asciiTheme="majorBidi" w:hAnsiTheme="majorBidi" w:cstheme="majorBidi"/>
        </w:rPr>
        <w:t xml:space="preserve"> et al., 2020; </w:t>
      </w:r>
      <w:r w:rsidRPr="00062ACF">
        <w:rPr>
          <w:rFonts w:asciiTheme="majorBidi" w:hAnsiTheme="majorBidi" w:cstheme="majorBidi"/>
        </w:rPr>
        <w:t xml:space="preserve">Gao, Yang </w:t>
      </w:r>
      <w:r>
        <w:rPr>
          <w:rFonts w:asciiTheme="majorBidi" w:hAnsiTheme="majorBidi" w:cstheme="majorBidi"/>
        </w:rPr>
        <w:t>and</w:t>
      </w:r>
      <w:r w:rsidRPr="00062ACF">
        <w:rPr>
          <w:rFonts w:asciiTheme="majorBidi" w:hAnsiTheme="majorBidi" w:cstheme="majorBidi"/>
        </w:rPr>
        <w:t xml:space="preserve"> Qu, 2021)</w:t>
      </w:r>
      <w:r w:rsidRPr="005337D6">
        <w:rPr>
          <w:rFonts w:asciiTheme="majorBidi" w:hAnsiTheme="majorBidi" w:cstheme="majorBidi"/>
        </w:rPr>
        <w:t xml:space="preserve">. Interestingly, the impact of occupational position was such that at a given level of income entrepreneurs and consultants </w:t>
      </w:r>
      <w:proofErr w:type="spellStart"/>
      <w:r w:rsidRPr="005337D6">
        <w:rPr>
          <w:rFonts w:asciiTheme="majorBidi" w:hAnsiTheme="majorBidi" w:cstheme="majorBidi"/>
        </w:rPr>
        <w:t>traveled</w:t>
      </w:r>
      <w:proofErr w:type="spellEnd"/>
      <w:r w:rsidRPr="005337D6">
        <w:rPr>
          <w:rFonts w:asciiTheme="majorBidi" w:hAnsiTheme="majorBidi" w:cstheme="majorBidi"/>
        </w:rPr>
        <w:t xml:space="preserve"> more than corporate executives, likely because of disparities in flexibility and freedom of choice.</w:t>
      </w:r>
    </w:p>
    <w:p w14:paraId="13FDCC3E" w14:textId="77777777" w:rsidR="008459F1" w:rsidRDefault="008459F1" w:rsidP="008459F1">
      <w:pPr>
        <w:spacing w:line="360" w:lineRule="auto"/>
        <w:jc w:val="both"/>
        <w:rPr>
          <w:rFonts w:asciiTheme="majorBidi" w:hAnsiTheme="majorBidi" w:cstheme="majorBidi"/>
        </w:rPr>
      </w:pPr>
      <w:r w:rsidRPr="00D44611">
        <w:rPr>
          <w:rFonts w:asciiTheme="majorBidi" w:hAnsiTheme="majorBidi" w:cstheme="majorBidi"/>
        </w:rPr>
        <w:t>Although these insights are being known, there are very limited studies that have explored the relationship between income and occupation directly</w:t>
      </w:r>
      <w:r>
        <w:rPr>
          <w:rFonts w:asciiTheme="majorBidi" w:hAnsiTheme="majorBidi" w:cstheme="majorBidi"/>
        </w:rPr>
        <w:t xml:space="preserve"> (</w:t>
      </w:r>
      <w:r w:rsidRPr="00FC0871">
        <w:rPr>
          <w:rFonts w:asciiTheme="majorBidi" w:hAnsiTheme="majorBidi" w:cstheme="majorBidi"/>
        </w:rPr>
        <w:t>Liu, Ma</w:t>
      </w:r>
      <w:r>
        <w:rPr>
          <w:rFonts w:asciiTheme="majorBidi" w:hAnsiTheme="majorBidi" w:cstheme="majorBidi"/>
        </w:rPr>
        <w:t xml:space="preserve"> </w:t>
      </w:r>
      <w:r w:rsidRPr="00FC0871">
        <w:rPr>
          <w:rFonts w:asciiTheme="majorBidi" w:hAnsiTheme="majorBidi" w:cstheme="majorBidi"/>
        </w:rPr>
        <w:t>and Chai, 2024</w:t>
      </w:r>
      <w:r>
        <w:rPr>
          <w:rFonts w:asciiTheme="majorBidi" w:hAnsiTheme="majorBidi" w:cstheme="majorBidi"/>
        </w:rPr>
        <w:t xml:space="preserve">; </w:t>
      </w:r>
      <w:r w:rsidRPr="00ED4D7E">
        <w:rPr>
          <w:rFonts w:asciiTheme="majorBidi" w:hAnsiTheme="majorBidi" w:cstheme="majorBidi"/>
        </w:rPr>
        <w:t xml:space="preserve">Rivera, </w:t>
      </w:r>
      <w:proofErr w:type="spellStart"/>
      <w:r w:rsidRPr="00ED4D7E">
        <w:rPr>
          <w:rFonts w:asciiTheme="majorBidi" w:hAnsiTheme="majorBidi" w:cstheme="majorBidi"/>
        </w:rPr>
        <w:t>Shapoval</w:t>
      </w:r>
      <w:proofErr w:type="spellEnd"/>
      <w:r>
        <w:rPr>
          <w:rFonts w:asciiTheme="majorBidi" w:hAnsiTheme="majorBidi" w:cstheme="majorBidi"/>
        </w:rPr>
        <w:t xml:space="preserve"> and</w:t>
      </w:r>
      <w:r w:rsidRPr="00ED4D7E">
        <w:rPr>
          <w:rFonts w:asciiTheme="majorBidi" w:hAnsiTheme="majorBidi" w:cstheme="majorBidi"/>
        </w:rPr>
        <w:t xml:space="preserve"> Medeiros, 2021</w:t>
      </w:r>
      <w:r>
        <w:rPr>
          <w:rFonts w:asciiTheme="majorBidi" w:hAnsiTheme="majorBidi" w:cstheme="majorBidi"/>
        </w:rPr>
        <w:t>)</w:t>
      </w:r>
      <w:r w:rsidRPr="00D44611">
        <w:rPr>
          <w:rFonts w:asciiTheme="majorBidi" w:hAnsiTheme="majorBidi" w:cstheme="majorBidi"/>
        </w:rPr>
        <w:t xml:space="preserve">. This disparity is wide enough in that income and occupation </w:t>
      </w:r>
      <w:r w:rsidRPr="00D44611">
        <w:rPr>
          <w:rFonts w:asciiTheme="majorBidi" w:hAnsiTheme="majorBidi" w:cstheme="majorBidi"/>
        </w:rPr>
        <w:lastRenderedPageBreak/>
        <w:t>are not interchangeable albeit linked together</w:t>
      </w:r>
      <w:r>
        <w:rPr>
          <w:rFonts w:asciiTheme="majorBidi" w:hAnsiTheme="majorBidi" w:cstheme="majorBidi"/>
        </w:rPr>
        <w:t xml:space="preserve"> (</w:t>
      </w:r>
      <w:r w:rsidRPr="00B37104">
        <w:rPr>
          <w:rFonts w:asciiTheme="majorBidi" w:hAnsiTheme="majorBidi" w:cstheme="majorBidi"/>
        </w:rPr>
        <w:t>Mahapatra et a</w:t>
      </w:r>
      <w:r>
        <w:rPr>
          <w:rFonts w:asciiTheme="majorBidi" w:hAnsiTheme="majorBidi" w:cstheme="majorBidi"/>
        </w:rPr>
        <w:t>l., 2024)</w:t>
      </w:r>
      <w:r w:rsidRPr="00D44611">
        <w:rPr>
          <w:rFonts w:asciiTheme="majorBidi" w:hAnsiTheme="majorBidi" w:cstheme="majorBidi"/>
        </w:rPr>
        <w:t>. An example is an engineer at a medium level and a senior nurse who can earn the same, but the former has very little flexibility in her work, the workplace regulations, and the possibility of getting traveling benefits. More subtle description and explanation is required on the interaction of these two dimensions.</w:t>
      </w:r>
    </w:p>
    <w:p w14:paraId="0A911AFA" w14:textId="77777777" w:rsidR="008459F1" w:rsidRDefault="008459F1" w:rsidP="008459F1">
      <w:pPr>
        <w:spacing w:line="360" w:lineRule="auto"/>
        <w:jc w:val="both"/>
        <w:rPr>
          <w:rFonts w:asciiTheme="majorBidi" w:hAnsiTheme="majorBidi" w:cstheme="majorBidi"/>
        </w:rPr>
      </w:pPr>
      <w:r w:rsidRPr="00D44611">
        <w:rPr>
          <w:rFonts w:asciiTheme="majorBidi" w:hAnsiTheme="majorBidi" w:cstheme="majorBidi"/>
        </w:rPr>
        <w:t xml:space="preserve">Previous efforts to capture such interaction research can be found in a multivariate regression study conducted by </w:t>
      </w:r>
      <w:proofErr w:type="spellStart"/>
      <w:r w:rsidRPr="00FC0871">
        <w:rPr>
          <w:rFonts w:asciiTheme="majorBidi" w:hAnsiTheme="majorBidi" w:cstheme="majorBidi"/>
        </w:rPr>
        <w:t>Bazak</w:t>
      </w:r>
      <w:proofErr w:type="spellEnd"/>
      <w:r w:rsidRPr="00D44611">
        <w:rPr>
          <w:rFonts w:asciiTheme="majorBidi" w:hAnsiTheme="majorBidi" w:cstheme="majorBidi"/>
        </w:rPr>
        <w:t xml:space="preserve"> </w:t>
      </w:r>
      <w:r>
        <w:rPr>
          <w:rFonts w:asciiTheme="majorBidi" w:hAnsiTheme="majorBidi" w:cstheme="majorBidi"/>
        </w:rPr>
        <w:t xml:space="preserve">et al. (2024), </w:t>
      </w:r>
      <w:r w:rsidRPr="00D44611">
        <w:rPr>
          <w:rFonts w:asciiTheme="majorBidi" w:hAnsiTheme="majorBidi" w:cstheme="majorBidi"/>
        </w:rPr>
        <w:t>which investigated how often workers’ travel. Their findings also indicated that profession played a significant moderating role on the income-travel connection. On white-collar occupations, modest growth in earnings exerted a greater influence on the travel rate than on blue-collar occupations where even high earnings could not generate more travel because of rigid job designs</w:t>
      </w:r>
      <w:r>
        <w:rPr>
          <w:rFonts w:asciiTheme="majorBidi" w:hAnsiTheme="majorBidi" w:cstheme="majorBidi"/>
        </w:rPr>
        <w:t xml:space="preserve"> (</w:t>
      </w:r>
      <w:r w:rsidRPr="00FC0871">
        <w:rPr>
          <w:rFonts w:asciiTheme="majorBidi" w:hAnsiTheme="majorBidi" w:cstheme="majorBidi"/>
        </w:rPr>
        <w:t>Hussain</w:t>
      </w:r>
      <w:r>
        <w:rPr>
          <w:rFonts w:asciiTheme="majorBidi" w:hAnsiTheme="majorBidi" w:cstheme="majorBidi"/>
        </w:rPr>
        <w:t xml:space="preserve"> et al., 2024; </w:t>
      </w:r>
      <w:r w:rsidRPr="00ED4D7E">
        <w:rPr>
          <w:rFonts w:asciiTheme="majorBidi" w:hAnsiTheme="majorBidi" w:cstheme="majorBidi"/>
          <w:lang w:val="en-US"/>
        </w:rPr>
        <w:t>Zhang, Zhao</w:t>
      </w:r>
      <w:r>
        <w:rPr>
          <w:rFonts w:asciiTheme="majorBidi" w:hAnsiTheme="majorBidi" w:cstheme="majorBidi"/>
          <w:lang w:val="en-US"/>
        </w:rPr>
        <w:t xml:space="preserve"> and</w:t>
      </w:r>
      <w:r w:rsidRPr="00ED4D7E">
        <w:rPr>
          <w:rFonts w:asciiTheme="majorBidi" w:hAnsiTheme="majorBidi" w:cstheme="majorBidi"/>
          <w:lang w:val="en-US"/>
        </w:rPr>
        <w:t xml:space="preserve"> Tong, 2022</w:t>
      </w:r>
      <w:r>
        <w:rPr>
          <w:rFonts w:asciiTheme="majorBidi" w:hAnsiTheme="majorBidi" w:cstheme="majorBidi"/>
        </w:rPr>
        <w:t>)</w:t>
      </w:r>
      <w:r w:rsidRPr="00D44611">
        <w:rPr>
          <w:rFonts w:asciiTheme="majorBidi" w:hAnsiTheme="majorBidi" w:cstheme="majorBidi"/>
        </w:rPr>
        <w:t>. The research findings were that equity in travel needs to provide financial interventions; however, there are workplace norms and cultural restrictions to consider.</w:t>
      </w:r>
    </w:p>
    <w:p w14:paraId="7BC4A1FD" w14:textId="77777777" w:rsidR="008459F1" w:rsidRDefault="008459F1" w:rsidP="008459F1">
      <w:pPr>
        <w:spacing w:line="360" w:lineRule="auto"/>
        <w:jc w:val="both"/>
        <w:rPr>
          <w:rFonts w:asciiTheme="majorBidi" w:hAnsiTheme="majorBidi" w:cstheme="majorBidi"/>
        </w:rPr>
      </w:pPr>
      <w:r w:rsidRPr="00281D47">
        <w:rPr>
          <w:rFonts w:asciiTheme="majorBidi" w:hAnsiTheme="majorBidi" w:cstheme="majorBidi"/>
        </w:rPr>
        <w:t xml:space="preserve">Also, </w:t>
      </w:r>
      <w:r>
        <w:rPr>
          <w:rFonts w:asciiTheme="majorBidi" w:hAnsiTheme="majorBidi" w:cstheme="majorBidi"/>
        </w:rPr>
        <w:t>Kim et al. (2025)</w:t>
      </w:r>
      <w:r w:rsidRPr="00281D47">
        <w:rPr>
          <w:rFonts w:asciiTheme="majorBidi" w:hAnsiTheme="majorBidi" w:cstheme="majorBidi"/>
        </w:rPr>
        <w:t xml:space="preserve"> noted that gender and ethnicity also mediate the relationship between income and travel. In their study of travel patterns of professionals in Brazil and South Africa, they found that women and ethnic minorities in the higher-income groups continued to travel less than whites, especially males with similar incomes. Occupational prestige could not cross gulfs in access to documentation, leave policies, or prevailing safety perceptions</w:t>
      </w:r>
      <w:r>
        <w:rPr>
          <w:rFonts w:asciiTheme="majorBidi" w:hAnsiTheme="majorBidi" w:cstheme="majorBidi"/>
        </w:rPr>
        <w:t xml:space="preserve"> (Hu, 2021; </w:t>
      </w:r>
      <w:r w:rsidRPr="001076A1">
        <w:rPr>
          <w:rFonts w:asciiTheme="majorBidi" w:hAnsiTheme="majorBidi" w:cstheme="majorBidi"/>
          <w:lang w:val="en-US"/>
        </w:rPr>
        <w:t xml:space="preserve">Bui </w:t>
      </w:r>
      <w:r>
        <w:rPr>
          <w:rFonts w:asciiTheme="majorBidi" w:hAnsiTheme="majorBidi" w:cstheme="majorBidi"/>
          <w:lang w:val="en-US"/>
        </w:rPr>
        <w:t>and</w:t>
      </w:r>
      <w:r w:rsidRPr="001076A1">
        <w:rPr>
          <w:rFonts w:asciiTheme="majorBidi" w:hAnsiTheme="majorBidi" w:cstheme="majorBidi"/>
          <w:lang w:val="en-US"/>
        </w:rPr>
        <w:t xml:space="preserve"> Le, 2022</w:t>
      </w:r>
      <w:r>
        <w:rPr>
          <w:rFonts w:asciiTheme="majorBidi" w:hAnsiTheme="majorBidi" w:cstheme="majorBidi"/>
        </w:rPr>
        <w:t>)</w:t>
      </w:r>
      <w:r w:rsidRPr="00281D47">
        <w:rPr>
          <w:rFonts w:asciiTheme="majorBidi" w:hAnsiTheme="majorBidi" w:cstheme="majorBidi"/>
        </w:rPr>
        <w:t>. This indicates the necessity to employ an intersectional approach to the issue of travel access.</w:t>
      </w:r>
    </w:p>
    <w:p w14:paraId="41875774" w14:textId="77777777" w:rsidR="008459F1" w:rsidRDefault="008459F1" w:rsidP="008459F1">
      <w:pPr>
        <w:spacing w:line="360" w:lineRule="auto"/>
        <w:jc w:val="both"/>
        <w:rPr>
          <w:rFonts w:asciiTheme="majorBidi" w:hAnsiTheme="majorBidi" w:cstheme="majorBidi"/>
        </w:rPr>
      </w:pPr>
      <w:r w:rsidRPr="00281D47">
        <w:rPr>
          <w:rFonts w:asciiTheme="majorBidi" w:hAnsiTheme="majorBidi" w:cstheme="majorBidi"/>
        </w:rPr>
        <w:t xml:space="preserve">Generally, these empirical studies support the view that income and occupation are central determinants of international travel </w:t>
      </w:r>
      <w:proofErr w:type="spellStart"/>
      <w:r w:rsidRPr="00281D47">
        <w:rPr>
          <w:rFonts w:asciiTheme="majorBidi" w:hAnsiTheme="majorBidi" w:cstheme="majorBidi"/>
        </w:rPr>
        <w:t>behavior</w:t>
      </w:r>
      <w:proofErr w:type="spellEnd"/>
      <w:r w:rsidRPr="00281D47">
        <w:rPr>
          <w:rFonts w:asciiTheme="majorBidi" w:hAnsiTheme="majorBidi" w:cstheme="majorBidi"/>
        </w:rPr>
        <w:t>. At the same time, they also point out the necessity of integrated models that go beyond stand-alone predictors and take into account the interaction of issues related to a variety of socioeconomic factors</w:t>
      </w:r>
      <w:r>
        <w:rPr>
          <w:rFonts w:asciiTheme="majorBidi" w:hAnsiTheme="majorBidi" w:cstheme="majorBidi"/>
        </w:rPr>
        <w:t xml:space="preserve"> (</w:t>
      </w:r>
      <w:proofErr w:type="spellStart"/>
      <w:r w:rsidRPr="00FC0871">
        <w:rPr>
          <w:rFonts w:asciiTheme="majorBidi" w:hAnsiTheme="majorBidi" w:cstheme="majorBidi"/>
        </w:rPr>
        <w:t>Bazak</w:t>
      </w:r>
      <w:proofErr w:type="spellEnd"/>
      <w:r>
        <w:rPr>
          <w:rFonts w:asciiTheme="majorBidi" w:hAnsiTheme="majorBidi" w:cstheme="majorBidi"/>
        </w:rPr>
        <w:t xml:space="preserve"> et al., 2024; </w:t>
      </w:r>
      <w:r w:rsidRPr="00E819C5">
        <w:rPr>
          <w:rFonts w:asciiTheme="majorBidi" w:hAnsiTheme="majorBidi" w:cstheme="majorBidi"/>
        </w:rPr>
        <w:t>Zhang</w:t>
      </w:r>
      <w:r>
        <w:rPr>
          <w:rFonts w:asciiTheme="majorBidi" w:hAnsiTheme="majorBidi" w:cstheme="majorBidi"/>
        </w:rPr>
        <w:t xml:space="preserve"> et al., 2024; </w:t>
      </w:r>
      <w:r w:rsidRPr="00ED4D7E">
        <w:rPr>
          <w:rFonts w:asciiTheme="majorBidi" w:hAnsiTheme="majorBidi" w:cstheme="majorBidi"/>
        </w:rPr>
        <w:t xml:space="preserve">Shen </w:t>
      </w:r>
      <w:r>
        <w:rPr>
          <w:rFonts w:asciiTheme="majorBidi" w:hAnsiTheme="majorBidi" w:cstheme="majorBidi"/>
        </w:rPr>
        <w:t>and</w:t>
      </w:r>
      <w:r w:rsidRPr="00ED4D7E">
        <w:rPr>
          <w:rFonts w:asciiTheme="majorBidi" w:hAnsiTheme="majorBidi" w:cstheme="majorBidi"/>
        </w:rPr>
        <w:t xml:space="preserve"> Wu, 2022</w:t>
      </w:r>
      <w:r>
        <w:rPr>
          <w:rFonts w:asciiTheme="majorBidi" w:hAnsiTheme="majorBidi" w:cstheme="majorBidi"/>
        </w:rPr>
        <w:t>)</w:t>
      </w:r>
      <w:r w:rsidRPr="00281D47">
        <w:rPr>
          <w:rFonts w:asciiTheme="majorBidi" w:hAnsiTheme="majorBidi" w:cstheme="majorBidi"/>
        </w:rPr>
        <w:t>. This research will address this gap by studying the duality of the significance of income and occupation on the determination of travel frequency and to determine whether the occupation category can moderate the relationship between income and travel frequency through quantitative study using SPSS. These insights are practical to travel-based companies which want to market-segment, employers who want to make equitable leave policies, and governments that want to expand access to mobility.</w:t>
      </w:r>
    </w:p>
    <w:p w14:paraId="0032D064" w14:textId="77777777" w:rsidR="008459F1" w:rsidRPr="00513B44" w:rsidRDefault="008459F1" w:rsidP="008459F1">
      <w:pPr>
        <w:spacing w:line="360" w:lineRule="auto"/>
        <w:jc w:val="both"/>
        <w:rPr>
          <w:rFonts w:asciiTheme="majorBidi" w:hAnsiTheme="majorBidi" w:cstheme="majorBidi"/>
          <w:b/>
          <w:bCs/>
          <w:i/>
          <w:iCs/>
        </w:rPr>
      </w:pPr>
      <w:r w:rsidRPr="00513B44">
        <w:rPr>
          <w:rFonts w:asciiTheme="majorBidi" w:hAnsiTheme="majorBidi" w:cstheme="majorBidi"/>
          <w:b/>
          <w:bCs/>
          <w:i/>
          <w:iCs/>
        </w:rPr>
        <w:t>Hypotheses</w:t>
      </w:r>
    </w:p>
    <w:p w14:paraId="3871383D" w14:textId="77777777" w:rsidR="008459F1" w:rsidRPr="00B76CCB" w:rsidRDefault="008459F1" w:rsidP="008459F1">
      <w:pPr>
        <w:spacing w:line="360" w:lineRule="auto"/>
        <w:jc w:val="both"/>
        <w:rPr>
          <w:rFonts w:asciiTheme="majorBidi" w:hAnsiTheme="majorBidi" w:cstheme="majorBidi"/>
        </w:rPr>
      </w:pPr>
      <w:r w:rsidRPr="00B76CCB">
        <w:rPr>
          <w:rFonts w:asciiTheme="majorBidi" w:hAnsiTheme="majorBidi" w:cstheme="majorBidi"/>
        </w:rPr>
        <w:t xml:space="preserve">According to the theoretical and empirical review, the following hypotheses are formulated: </w:t>
      </w:r>
    </w:p>
    <w:p w14:paraId="6A874092" w14:textId="77777777" w:rsidR="008459F1" w:rsidRPr="00B76CCB" w:rsidRDefault="008459F1" w:rsidP="008459F1">
      <w:pPr>
        <w:pStyle w:val="a9"/>
        <w:numPr>
          <w:ilvl w:val="0"/>
          <w:numId w:val="14"/>
        </w:numPr>
        <w:spacing w:line="360" w:lineRule="auto"/>
        <w:jc w:val="both"/>
        <w:rPr>
          <w:rFonts w:asciiTheme="majorBidi" w:hAnsiTheme="majorBidi" w:cstheme="majorBidi"/>
        </w:rPr>
      </w:pPr>
      <w:r w:rsidRPr="00B76CCB">
        <w:rPr>
          <w:rFonts w:asciiTheme="majorBidi" w:hAnsiTheme="majorBidi" w:cstheme="majorBidi"/>
        </w:rPr>
        <w:lastRenderedPageBreak/>
        <w:t xml:space="preserve">H1: The income level is positively linked to the level of international travel. </w:t>
      </w:r>
    </w:p>
    <w:p w14:paraId="61C5030B" w14:textId="77777777" w:rsidR="008459F1" w:rsidRPr="00B76CCB" w:rsidRDefault="008459F1" w:rsidP="008459F1">
      <w:pPr>
        <w:pStyle w:val="a9"/>
        <w:numPr>
          <w:ilvl w:val="0"/>
          <w:numId w:val="14"/>
        </w:numPr>
        <w:spacing w:line="360" w:lineRule="auto"/>
        <w:jc w:val="both"/>
        <w:rPr>
          <w:rFonts w:asciiTheme="majorBidi" w:hAnsiTheme="majorBidi" w:cstheme="majorBidi"/>
        </w:rPr>
      </w:pPr>
      <w:r w:rsidRPr="00B76CCB">
        <w:rPr>
          <w:rFonts w:asciiTheme="majorBidi" w:hAnsiTheme="majorBidi" w:cstheme="majorBidi"/>
        </w:rPr>
        <w:t xml:space="preserve">H2: Professional or managerial occupants travel abroad more often than people working in manual or lower-skilled occupations. </w:t>
      </w:r>
    </w:p>
    <w:p w14:paraId="5E12AD50" w14:textId="77777777" w:rsidR="008459F1" w:rsidRDefault="008459F1" w:rsidP="008459F1">
      <w:pPr>
        <w:spacing w:line="360" w:lineRule="auto"/>
        <w:jc w:val="both"/>
        <w:rPr>
          <w:rFonts w:asciiTheme="majorBidi" w:hAnsiTheme="majorBidi" w:cstheme="majorBidi"/>
        </w:rPr>
      </w:pPr>
      <w:r w:rsidRPr="00B76CCB">
        <w:rPr>
          <w:rFonts w:asciiTheme="majorBidi" w:hAnsiTheme="majorBidi" w:cstheme="majorBidi"/>
        </w:rPr>
        <w:t>These hypotheses are connected to each other. The type of occupation is a significant influence on income, and hence the impact suggested in H1 forms the basis of H2 in economics. That is, professional or managerial workers are more likely to afford to spend money abroad as a result of their higher earnings. Simultaneously, these professions can allow finding more travel opportunities by business placement or connections. Therefore, H2 identifies a process through which the general relationship between income and travel in H1 will be achieved, connecting economic resources with occupational status and travel opportunities.</w:t>
      </w:r>
    </w:p>
    <w:p w14:paraId="0D8FBA9F" w14:textId="77777777" w:rsidR="008459F1" w:rsidRDefault="008459F1" w:rsidP="008459F1">
      <w:pPr>
        <w:spacing w:line="360" w:lineRule="auto"/>
        <w:jc w:val="both"/>
        <w:rPr>
          <w:rFonts w:asciiTheme="majorBidi" w:hAnsiTheme="majorBidi" w:cstheme="majorBidi"/>
        </w:rPr>
      </w:pPr>
      <w:r w:rsidRPr="00281D47">
        <w:rPr>
          <w:rFonts w:asciiTheme="majorBidi" w:hAnsiTheme="majorBidi" w:cstheme="majorBidi"/>
        </w:rPr>
        <w:t>The hypotheses will be tested on the basis of quantitative data obtained through structured survey and analysed with the help of SPSS with the help of correlation, regression and ANOVA methods.</w:t>
      </w:r>
    </w:p>
    <w:p w14:paraId="5DF71018" w14:textId="77777777" w:rsidR="008459F1" w:rsidRDefault="008459F1" w:rsidP="008459F1">
      <w:pPr>
        <w:spacing w:line="360" w:lineRule="auto"/>
        <w:jc w:val="center"/>
        <w:rPr>
          <w:rFonts w:asciiTheme="majorBidi" w:hAnsiTheme="majorBidi" w:cstheme="majorBidi"/>
          <w:b/>
          <w:bCs/>
        </w:rPr>
      </w:pPr>
      <w:r w:rsidRPr="000C18ED">
        <w:rPr>
          <w:rFonts w:asciiTheme="majorBidi" w:hAnsiTheme="majorBidi" w:cstheme="majorBidi"/>
          <w:b/>
          <w:bCs/>
        </w:rPr>
        <w:t>Research Methodology</w:t>
      </w:r>
    </w:p>
    <w:p w14:paraId="6A315A9C" w14:textId="77777777" w:rsidR="008459F1" w:rsidRDefault="008459F1" w:rsidP="008459F1">
      <w:pPr>
        <w:spacing w:line="360" w:lineRule="auto"/>
        <w:jc w:val="both"/>
        <w:rPr>
          <w:rFonts w:asciiTheme="majorBidi" w:hAnsiTheme="majorBidi" w:cstheme="majorBidi"/>
        </w:rPr>
      </w:pPr>
      <w:r w:rsidRPr="00281D47">
        <w:rPr>
          <w:rFonts w:asciiTheme="majorBidi" w:hAnsiTheme="majorBidi" w:cstheme="majorBidi"/>
        </w:rPr>
        <w:t xml:space="preserve">This </w:t>
      </w:r>
      <w:r>
        <w:rPr>
          <w:rFonts w:asciiTheme="majorBidi" w:hAnsiTheme="majorBidi" w:cstheme="majorBidi"/>
        </w:rPr>
        <w:t>section</w:t>
      </w:r>
      <w:r w:rsidRPr="00281D47">
        <w:rPr>
          <w:rFonts w:asciiTheme="majorBidi" w:hAnsiTheme="majorBidi" w:cstheme="majorBidi"/>
        </w:rPr>
        <w:t xml:space="preserve"> presents the research design of the quantitative study used to examine the impact of earnings and professional positions on the rate of international travel. It introduces the research paradigm, the population and the sampling technique, the data collection instrument, variables and operational definitions, the ethical considerations, and the rationale of the technique chosen.</w:t>
      </w:r>
    </w:p>
    <w:p w14:paraId="026DF01D" w14:textId="77777777" w:rsidR="008459F1" w:rsidRPr="00281D47" w:rsidRDefault="008459F1" w:rsidP="008459F1">
      <w:pPr>
        <w:spacing w:line="360" w:lineRule="auto"/>
        <w:jc w:val="both"/>
        <w:rPr>
          <w:rFonts w:asciiTheme="majorBidi" w:hAnsiTheme="majorBidi" w:cstheme="majorBidi"/>
          <w:b/>
          <w:bCs/>
          <w:i/>
          <w:iCs/>
        </w:rPr>
      </w:pPr>
      <w:r w:rsidRPr="00281D47">
        <w:rPr>
          <w:rFonts w:asciiTheme="majorBidi" w:hAnsiTheme="majorBidi" w:cstheme="majorBidi"/>
          <w:b/>
          <w:bCs/>
          <w:i/>
          <w:iCs/>
        </w:rPr>
        <w:t>Research paradigm and approach</w:t>
      </w:r>
    </w:p>
    <w:p w14:paraId="4EA1290E" w14:textId="77777777" w:rsidR="008459F1" w:rsidRDefault="008459F1" w:rsidP="008459F1">
      <w:pPr>
        <w:spacing w:line="360" w:lineRule="auto"/>
        <w:jc w:val="both"/>
        <w:rPr>
          <w:rFonts w:asciiTheme="majorBidi" w:hAnsiTheme="majorBidi" w:cstheme="majorBidi"/>
        </w:rPr>
      </w:pPr>
      <w:r w:rsidRPr="00281D47">
        <w:rPr>
          <w:rFonts w:asciiTheme="majorBidi" w:hAnsiTheme="majorBidi" w:cstheme="majorBidi"/>
        </w:rPr>
        <w:t>This research follows a positivist paradigm that places a lot of emphasis on objectivity, measurability, and statistical methods to draw causal inferences and correlations (</w:t>
      </w:r>
      <w:r w:rsidRPr="00FC0871">
        <w:rPr>
          <w:rFonts w:asciiTheme="majorBidi" w:hAnsiTheme="majorBidi" w:cstheme="majorBidi"/>
        </w:rPr>
        <w:t>Bryman and Bell, 2015</w:t>
      </w:r>
      <w:r w:rsidRPr="00281D47">
        <w:rPr>
          <w:rFonts w:asciiTheme="majorBidi" w:hAnsiTheme="majorBidi" w:cstheme="majorBidi"/>
        </w:rPr>
        <w:t>). The selection of a quantitative, cross-sectional survey design was motivated by the fact that the method allows capturing a snapshot description of large populations and testing effects in a systematic manner (Saunders et al., 20</w:t>
      </w:r>
      <w:r>
        <w:rPr>
          <w:rFonts w:asciiTheme="majorBidi" w:hAnsiTheme="majorBidi" w:cstheme="majorBidi"/>
        </w:rPr>
        <w:t>19</w:t>
      </w:r>
      <w:r w:rsidRPr="00281D47">
        <w:rPr>
          <w:rFonts w:asciiTheme="majorBidi" w:hAnsiTheme="majorBidi" w:cstheme="majorBidi"/>
        </w:rPr>
        <w:t>). This method is consistent with the study objective of testing statistically quantifiable relationships of socioeconomic variables on travel frequency.</w:t>
      </w:r>
    </w:p>
    <w:p w14:paraId="17B0D17C" w14:textId="77777777" w:rsidR="008459F1" w:rsidRPr="00281D47" w:rsidRDefault="008459F1" w:rsidP="008459F1">
      <w:pPr>
        <w:spacing w:line="360" w:lineRule="auto"/>
        <w:jc w:val="both"/>
        <w:rPr>
          <w:rFonts w:asciiTheme="majorBidi" w:hAnsiTheme="majorBidi" w:cstheme="majorBidi"/>
          <w:b/>
          <w:bCs/>
          <w:i/>
          <w:iCs/>
        </w:rPr>
      </w:pPr>
      <w:r w:rsidRPr="00281D47">
        <w:rPr>
          <w:rFonts w:asciiTheme="majorBidi" w:hAnsiTheme="majorBidi" w:cstheme="majorBidi"/>
          <w:b/>
          <w:bCs/>
          <w:i/>
          <w:iCs/>
        </w:rPr>
        <w:t>Sampling and target population</w:t>
      </w:r>
    </w:p>
    <w:p w14:paraId="756152E4" w14:textId="77777777" w:rsidR="008459F1" w:rsidRDefault="008459F1" w:rsidP="008459F1">
      <w:pPr>
        <w:spacing w:line="360" w:lineRule="auto"/>
        <w:jc w:val="both"/>
        <w:rPr>
          <w:rFonts w:asciiTheme="majorBidi" w:hAnsiTheme="majorBidi" w:cstheme="majorBidi"/>
        </w:rPr>
      </w:pPr>
      <w:r w:rsidRPr="00281D47">
        <w:rPr>
          <w:rFonts w:asciiTheme="majorBidi" w:hAnsiTheme="majorBidi" w:cstheme="majorBidi"/>
        </w:rPr>
        <w:t xml:space="preserve">The target population will be adult individuals aged between 18 and 65 who have had at least one instance of international travel within the last five years. The nature of the topic is global, </w:t>
      </w:r>
      <w:r w:rsidRPr="00281D47">
        <w:rPr>
          <w:rFonts w:asciiTheme="majorBidi" w:hAnsiTheme="majorBidi" w:cstheme="majorBidi"/>
        </w:rPr>
        <w:lastRenderedPageBreak/>
        <w:t>and accessing the data is limited; therefore, the research employs non-probability purposive sampling, where the focus is on respondents representing a range of income brackets and occupations, with attention to variability in gender, age, and education level (</w:t>
      </w:r>
      <w:proofErr w:type="spellStart"/>
      <w:r w:rsidRPr="004110C0">
        <w:rPr>
          <w:rFonts w:asciiTheme="majorBidi" w:hAnsiTheme="majorBidi" w:cstheme="majorBidi"/>
        </w:rPr>
        <w:t>Shamsudin</w:t>
      </w:r>
      <w:proofErr w:type="spellEnd"/>
      <w:r>
        <w:rPr>
          <w:rFonts w:asciiTheme="majorBidi" w:hAnsiTheme="majorBidi" w:cstheme="majorBidi"/>
        </w:rPr>
        <w:t xml:space="preserve"> et al., 2024</w:t>
      </w:r>
      <w:r w:rsidRPr="00281D47">
        <w:rPr>
          <w:rFonts w:asciiTheme="majorBidi" w:hAnsiTheme="majorBidi" w:cstheme="majorBidi"/>
        </w:rPr>
        <w:t>).</w:t>
      </w:r>
    </w:p>
    <w:p w14:paraId="31B5F4A8" w14:textId="77777777" w:rsidR="008459F1" w:rsidRDefault="008459F1" w:rsidP="008459F1">
      <w:pPr>
        <w:spacing w:line="360" w:lineRule="auto"/>
        <w:jc w:val="both"/>
        <w:rPr>
          <w:rFonts w:asciiTheme="majorBidi" w:hAnsiTheme="majorBidi" w:cstheme="majorBidi"/>
        </w:rPr>
      </w:pPr>
      <w:r w:rsidRPr="00AC4A9E">
        <w:rPr>
          <w:rFonts w:asciiTheme="majorBidi" w:hAnsiTheme="majorBidi" w:cstheme="majorBidi"/>
        </w:rPr>
        <w:t>A structured online questionnaire will be distributed to employed adults via email and social media platforms such as LinkedIn and Facebook.</w:t>
      </w:r>
      <w:r>
        <w:rPr>
          <w:rFonts w:asciiTheme="majorBidi" w:hAnsiTheme="majorBidi" w:cstheme="majorBidi"/>
        </w:rPr>
        <w:t xml:space="preserve"> </w:t>
      </w:r>
      <w:r w:rsidRPr="00281D47">
        <w:rPr>
          <w:rFonts w:asciiTheme="majorBidi" w:hAnsiTheme="majorBidi" w:cstheme="majorBidi"/>
        </w:rPr>
        <w:t xml:space="preserve">A sample of 100 respondents will be targeted by the end of the research to make it statistically robust as recommended by </w:t>
      </w:r>
      <w:r>
        <w:rPr>
          <w:rFonts w:asciiTheme="majorBidi" w:hAnsiTheme="majorBidi" w:cstheme="majorBidi"/>
        </w:rPr>
        <w:t>Xu et al.</w:t>
      </w:r>
      <w:r w:rsidRPr="00281D47">
        <w:rPr>
          <w:rFonts w:asciiTheme="majorBidi" w:hAnsiTheme="majorBidi" w:cstheme="majorBidi"/>
        </w:rPr>
        <w:t xml:space="preserve"> (20</w:t>
      </w:r>
      <w:r>
        <w:rPr>
          <w:rFonts w:asciiTheme="majorBidi" w:hAnsiTheme="majorBidi" w:cstheme="majorBidi"/>
        </w:rPr>
        <w:t>24</w:t>
      </w:r>
      <w:r w:rsidRPr="00281D47">
        <w:rPr>
          <w:rFonts w:asciiTheme="majorBidi" w:hAnsiTheme="majorBidi" w:cstheme="majorBidi"/>
        </w:rPr>
        <w:t>), who suggests that 100+</w:t>
      </w:r>
      <w:r>
        <w:rPr>
          <w:rFonts w:asciiTheme="majorBidi" w:hAnsiTheme="majorBidi" w:cstheme="majorBidi"/>
        </w:rPr>
        <w:t xml:space="preserve"> </w:t>
      </w:r>
      <w:r w:rsidRPr="00281D47">
        <w:rPr>
          <w:rFonts w:asciiTheme="majorBidi" w:hAnsiTheme="majorBidi" w:cstheme="majorBidi"/>
        </w:rPr>
        <w:t>is the minimum sample size to utilise the required statistical power in conducting multivariate analysis.</w:t>
      </w:r>
    </w:p>
    <w:p w14:paraId="2C77A660" w14:textId="77777777" w:rsidR="008459F1" w:rsidRPr="007A7649" w:rsidRDefault="008459F1" w:rsidP="008459F1">
      <w:pPr>
        <w:spacing w:line="360" w:lineRule="auto"/>
        <w:jc w:val="both"/>
        <w:rPr>
          <w:rFonts w:asciiTheme="majorBidi" w:hAnsiTheme="majorBidi" w:cstheme="majorBidi"/>
          <w:b/>
          <w:bCs/>
          <w:i/>
          <w:iCs/>
        </w:rPr>
      </w:pPr>
      <w:r w:rsidRPr="007A7649">
        <w:rPr>
          <w:rFonts w:asciiTheme="majorBidi" w:hAnsiTheme="majorBidi" w:cstheme="majorBidi"/>
          <w:b/>
          <w:bCs/>
          <w:i/>
          <w:iCs/>
        </w:rPr>
        <w:t>Measurement instruments</w:t>
      </w:r>
    </w:p>
    <w:p w14:paraId="05368672" w14:textId="77777777" w:rsidR="008459F1" w:rsidRDefault="008459F1" w:rsidP="008459F1">
      <w:pPr>
        <w:spacing w:line="360" w:lineRule="auto"/>
        <w:jc w:val="both"/>
        <w:rPr>
          <w:rFonts w:asciiTheme="majorBidi" w:hAnsiTheme="majorBidi" w:cstheme="majorBidi"/>
        </w:rPr>
      </w:pPr>
      <w:r w:rsidRPr="007A7649">
        <w:rPr>
          <w:rFonts w:asciiTheme="majorBidi" w:hAnsiTheme="majorBidi" w:cstheme="majorBidi"/>
        </w:rPr>
        <w:t>Structured questionnaire, which consists of four parts, will be the most important data collection tool.</w:t>
      </w:r>
    </w:p>
    <w:p w14:paraId="17D08787" w14:textId="77777777" w:rsidR="008459F1" w:rsidRDefault="008459F1" w:rsidP="008459F1">
      <w:pPr>
        <w:pStyle w:val="a9"/>
        <w:numPr>
          <w:ilvl w:val="0"/>
          <w:numId w:val="15"/>
        </w:numPr>
        <w:spacing w:line="360" w:lineRule="auto"/>
        <w:jc w:val="both"/>
        <w:rPr>
          <w:rFonts w:asciiTheme="majorBidi" w:hAnsiTheme="majorBidi" w:cstheme="majorBidi"/>
        </w:rPr>
      </w:pPr>
      <w:r w:rsidRPr="007A7649">
        <w:rPr>
          <w:rFonts w:asciiTheme="majorBidi" w:hAnsiTheme="majorBidi" w:cstheme="majorBidi"/>
        </w:rPr>
        <w:t>Demographics: Age, gender, education, marital status</w:t>
      </w:r>
    </w:p>
    <w:p w14:paraId="35EBFDCA" w14:textId="77777777" w:rsidR="008459F1" w:rsidRDefault="008459F1" w:rsidP="008459F1">
      <w:pPr>
        <w:pStyle w:val="a9"/>
        <w:numPr>
          <w:ilvl w:val="0"/>
          <w:numId w:val="15"/>
        </w:numPr>
        <w:spacing w:line="360" w:lineRule="auto"/>
        <w:jc w:val="both"/>
        <w:rPr>
          <w:rFonts w:asciiTheme="majorBidi" w:hAnsiTheme="majorBidi" w:cstheme="majorBidi"/>
        </w:rPr>
      </w:pPr>
      <w:r w:rsidRPr="007A7649">
        <w:rPr>
          <w:rFonts w:asciiTheme="majorBidi" w:hAnsiTheme="majorBidi" w:cstheme="majorBidi"/>
        </w:rPr>
        <w:t xml:space="preserve">Income Bracket: This variable was coded to five categories, </w:t>
      </w:r>
      <w:proofErr w:type="gramStart"/>
      <w:r w:rsidRPr="007A7649">
        <w:rPr>
          <w:rFonts w:asciiTheme="majorBidi" w:hAnsiTheme="majorBidi" w:cstheme="majorBidi"/>
        </w:rPr>
        <w:t>e.g.</w:t>
      </w:r>
      <w:proofErr w:type="gramEnd"/>
      <w:r w:rsidRPr="007A7649">
        <w:rPr>
          <w:rFonts w:asciiTheme="majorBidi" w:hAnsiTheme="majorBidi" w:cstheme="majorBidi"/>
        </w:rPr>
        <w:t xml:space="preserve"> &lt; $10,000 to &gt; $</w:t>
      </w:r>
      <w:r>
        <w:rPr>
          <w:rFonts w:asciiTheme="majorBidi" w:hAnsiTheme="majorBidi" w:cstheme="majorBidi"/>
        </w:rPr>
        <w:t>5</w:t>
      </w:r>
      <w:r w:rsidRPr="007A7649">
        <w:rPr>
          <w:rFonts w:asciiTheme="majorBidi" w:hAnsiTheme="majorBidi" w:cstheme="majorBidi"/>
        </w:rPr>
        <w:t>0,000</w:t>
      </w:r>
    </w:p>
    <w:p w14:paraId="39740D9E" w14:textId="77777777" w:rsidR="008459F1" w:rsidRDefault="008459F1" w:rsidP="008459F1">
      <w:pPr>
        <w:pStyle w:val="a9"/>
        <w:numPr>
          <w:ilvl w:val="0"/>
          <w:numId w:val="15"/>
        </w:numPr>
        <w:spacing w:line="360" w:lineRule="auto"/>
        <w:jc w:val="both"/>
        <w:rPr>
          <w:rFonts w:asciiTheme="majorBidi" w:hAnsiTheme="majorBidi" w:cstheme="majorBidi"/>
        </w:rPr>
      </w:pPr>
      <w:r w:rsidRPr="00AA20E4">
        <w:rPr>
          <w:rFonts w:asciiTheme="majorBidi" w:hAnsiTheme="majorBidi" w:cstheme="majorBidi"/>
        </w:rPr>
        <w:t xml:space="preserve">Occupation Type: </w:t>
      </w:r>
      <w:r>
        <w:rPr>
          <w:rFonts w:asciiTheme="majorBidi" w:hAnsiTheme="majorBidi" w:cstheme="majorBidi"/>
        </w:rPr>
        <w:t>C</w:t>
      </w:r>
      <w:r w:rsidRPr="00AA20E4">
        <w:rPr>
          <w:rFonts w:asciiTheme="majorBidi" w:hAnsiTheme="majorBidi" w:cstheme="majorBidi"/>
        </w:rPr>
        <w:t>oded as professional, skilled and manual occupations</w:t>
      </w:r>
    </w:p>
    <w:p w14:paraId="343B3B12" w14:textId="77777777" w:rsidR="008459F1" w:rsidRDefault="008459F1" w:rsidP="008459F1">
      <w:pPr>
        <w:pStyle w:val="a9"/>
        <w:numPr>
          <w:ilvl w:val="0"/>
          <w:numId w:val="15"/>
        </w:numPr>
        <w:spacing w:line="360" w:lineRule="auto"/>
        <w:jc w:val="both"/>
        <w:rPr>
          <w:rFonts w:asciiTheme="majorBidi" w:hAnsiTheme="majorBidi" w:cstheme="majorBidi"/>
        </w:rPr>
      </w:pPr>
      <w:r w:rsidRPr="00AA20E4">
        <w:rPr>
          <w:rFonts w:asciiTheme="majorBidi" w:hAnsiTheme="majorBidi" w:cstheme="majorBidi"/>
        </w:rPr>
        <w:t xml:space="preserve">Travel </w:t>
      </w:r>
      <w:proofErr w:type="spellStart"/>
      <w:r w:rsidRPr="00AA20E4">
        <w:rPr>
          <w:rFonts w:asciiTheme="majorBidi" w:hAnsiTheme="majorBidi" w:cstheme="majorBidi"/>
        </w:rPr>
        <w:t>Behavior</w:t>
      </w:r>
      <w:proofErr w:type="spellEnd"/>
      <w:r w:rsidRPr="00AA20E4">
        <w:rPr>
          <w:rFonts w:asciiTheme="majorBidi" w:hAnsiTheme="majorBidi" w:cstheme="majorBidi"/>
        </w:rPr>
        <w:t xml:space="preserve">: How often have you </w:t>
      </w:r>
      <w:proofErr w:type="spellStart"/>
      <w:r w:rsidRPr="00AA20E4">
        <w:rPr>
          <w:rFonts w:asciiTheme="majorBidi" w:hAnsiTheme="majorBidi" w:cstheme="majorBidi"/>
        </w:rPr>
        <w:t>traveled</w:t>
      </w:r>
      <w:proofErr w:type="spellEnd"/>
      <w:r w:rsidRPr="00AA20E4">
        <w:rPr>
          <w:rFonts w:asciiTheme="majorBidi" w:hAnsiTheme="majorBidi" w:cstheme="majorBidi"/>
        </w:rPr>
        <w:t xml:space="preserve"> internationally during the past 12 months (Not at all, One time, 2 to 3 times, 4 or more times)</w:t>
      </w:r>
    </w:p>
    <w:p w14:paraId="5F55DEC1" w14:textId="77777777" w:rsidR="008459F1" w:rsidRDefault="008459F1" w:rsidP="008459F1">
      <w:pPr>
        <w:spacing w:line="360" w:lineRule="auto"/>
        <w:jc w:val="both"/>
        <w:rPr>
          <w:rFonts w:asciiTheme="majorBidi" w:hAnsiTheme="majorBidi" w:cstheme="majorBidi"/>
        </w:rPr>
      </w:pPr>
      <w:r w:rsidRPr="00AA20E4">
        <w:rPr>
          <w:rFonts w:asciiTheme="majorBidi" w:hAnsiTheme="majorBidi" w:cstheme="majorBidi"/>
        </w:rPr>
        <w:t>The instrument design is based on closed-ended questions with pre-coded answers that make SPSS entry and analysis simple. To address the clarity, reliability, and face validity, a pilot study will be designed with 10 respondents.</w:t>
      </w:r>
    </w:p>
    <w:p w14:paraId="7C4F7B4F" w14:textId="77777777" w:rsidR="008459F1" w:rsidRDefault="008459F1" w:rsidP="008459F1">
      <w:pPr>
        <w:spacing w:line="360" w:lineRule="auto"/>
        <w:jc w:val="both"/>
        <w:rPr>
          <w:rFonts w:asciiTheme="majorBidi" w:hAnsiTheme="majorBidi" w:cstheme="majorBidi"/>
          <w:b/>
          <w:bCs/>
          <w:i/>
          <w:iCs/>
        </w:rPr>
      </w:pPr>
      <w:r w:rsidRPr="00AA20E4">
        <w:rPr>
          <w:rFonts w:asciiTheme="majorBidi" w:hAnsiTheme="majorBidi" w:cstheme="majorBidi"/>
          <w:b/>
          <w:bCs/>
          <w:i/>
          <w:iCs/>
        </w:rPr>
        <w:t xml:space="preserve">Data analysis </w:t>
      </w:r>
    </w:p>
    <w:p w14:paraId="103A86CE" w14:textId="77777777" w:rsidR="008459F1" w:rsidRDefault="008459F1" w:rsidP="008459F1">
      <w:pPr>
        <w:spacing w:line="360" w:lineRule="auto"/>
        <w:jc w:val="both"/>
        <w:rPr>
          <w:rFonts w:asciiTheme="majorBidi" w:hAnsiTheme="majorBidi" w:cstheme="majorBidi"/>
        </w:rPr>
      </w:pPr>
      <w:r w:rsidRPr="00AA20E4">
        <w:rPr>
          <w:rFonts w:asciiTheme="majorBidi" w:hAnsiTheme="majorBidi" w:cstheme="majorBidi"/>
        </w:rPr>
        <w:t xml:space="preserve">After gathering, the data shall be coded and loaded into SPSS v28 and </w:t>
      </w:r>
      <w:proofErr w:type="spellStart"/>
      <w:r w:rsidRPr="00AA20E4">
        <w:rPr>
          <w:rFonts w:asciiTheme="majorBidi" w:hAnsiTheme="majorBidi" w:cstheme="majorBidi"/>
        </w:rPr>
        <w:t>analyzed</w:t>
      </w:r>
      <w:proofErr w:type="spellEnd"/>
      <w:r w:rsidRPr="00AA20E4">
        <w:rPr>
          <w:rFonts w:asciiTheme="majorBidi" w:hAnsiTheme="majorBidi" w:cstheme="majorBidi"/>
        </w:rPr>
        <w:t>. Characteristics of the respondents shall be summarized using descriptive statistics</w:t>
      </w:r>
      <w:r>
        <w:rPr>
          <w:rFonts w:asciiTheme="majorBidi" w:hAnsiTheme="majorBidi" w:cstheme="majorBidi"/>
        </w:rPr>
        <w:t xml:space="preserve"> (</w:t>
      </w:r>
      <w:r w:rsidRPr="00F52103">
        <w:rPr>
          <w:rFonts w:asciiTheme="majorBidi" w:hAnsiTheme="majorBidi" w:cstheme="majorBidi"/>
        </w:rPr>
        <w:t>Addison &amp; Jenkins,</w:t>
      </w:r>
      <w:r>
        <w:rPr>
          <w:rFonts w:asciiTheme="majorBidi" w:hAnsiTheme="majorBidi" w:cstheme="majorBidi"/>
        </w:rPr>
        <w:t xml:space="preserve"> </w:t>
      </w:r>
      <w:r w:rsidRPr="00F52103">
        <w:rPr>
          <w:rFonts w:asciiTheme="majorBidi" w:hAnsiTheme="majorBidi" w:cstheme="majorBidi"/>
        </w:rPr>
        <w:t>2024</w:t>
      </w:r>
      <w:r>
        <w:rPr>
          <w:rFonts w:asciiTheme="majorBidi" w:hAnsiTheme="majorBidi" w:cstheme="majorBidi"/>
        </w:rPr>
        <w:t>; Zhang et al., 2024</w:t>
      </w:r>
      <w:r w:rsidRPr="00F52103">
        <w:rPr>
          <w:rFonts w:asciiTheme="majorBidi" w:hAnsiTheme="majorBidi" w:cstheme="majorBidi"/>
        </w:rPr>
        <w:t>)</w:t>
      </w:r>
      <w:r w:rsidRPr="00AA20E4">
        <w:rPr>
          <w:rFonts w:asciiTheme="majorBidi" w:hAnsiTheme="majorBidi" w:cstheme="majorBidi"/>
        </w:rPr>
        <w:t xml:space="preserve">. The three steps of the inferential analysis will entail: </w:t>
      </w:r>
    </w:p>
    <w:p w14:paraId="30523F1D" w14:textId="77777777" w:rsidR="008459F1" w:rsidRPr="00AA20E4" w:rsidRDefault="008459F1" w:rsidP="008459F1">
      <w:pPr>
        <w:pStyle w:val="a9"/>
        <w:numPr>
          <w:ilvl w:val="0"/>
          <w:numId w:val="16"/>
        </w:numPr>
        <w:spacing w:line="360" w:lineRule="auto"/>
        <w:jc w:val="both"/>
        <w:rPr>
          <w:rFonts w:asciiTheme="majorBidi" w:hAnsiTheme="majorBidi" w:cstheme="majorBidi"/>
        </w:rPr>
      </w:pPr>
      <w:r w:rsidRPr="00AA20E4">
        <w:rPr>
          <w:rFonts w:asciiTheme="majorBidi" w:hAnsiTheme="majorBidi" w:cstheme="majorBidi"/>
        </w:rPr>
        <w:t>Correlation (Pearson r or Spearman rho) to determine the relationship between income, occupation, and the frequency of travel.</w:t>
      </w:r>
    </w:p>
    <w:p w14:paraId="5E4C10CD" w14:textId="77777777" w:rsidR="008459F1" w:rsidRDefault="008459F1" w:rsidP="008459F1">
      <w:pPr>
        <w:pStyle w:val="a9"/>
        <w:numPr>
          <w:ilvl w:val="0"/>
          <w:numId w:val="16"/>
        </w:numPr>
        <w:spacing w:line="360" w:lineRule="auto"/>
        <w:jc w:val="both"/>
        <w:rPr>
          <w:rFonts w:asciiTheme="majorBidi" w:hAnsiTheme="majorBidi" w:cstheme="majorBidi"/>
        </w:rPr>
      </w:pPr>
      <w:r w:rsidRPr="00AA20E4">
        <w:rPr>
          <w:rFonts w:asciiTheme="majorBidi" w:hAnsiTheme="majorBidi" w:cstheme="majorBidi"/>
        </w:rPr>
        <w:t xml:space="preserve">The hypothesis testing to be performed is Multiple Linear Regression: </w:t>
      </w:r>
    </w:p>
    <w:p w14:paraId="272D7D70" w14:textId="77777777" w:rsidR="008459F1" w:rsidRDefault="008459F1" w:rsidP="008459F1">
      <w:pPr>
        <w:pStyle w:val="a9"/>
        <w:numPr>
          <w:ilvl w:val="0"/>
          <w:numId w:val="16"/>
        </w:numPr>
        <w:spacing w:line="360" w:lineRule="auto"/>
        <w:jc w:val="both"/>
        <w:rPr>
          <w:rFonts w:asciiTheme="majorBidi" w:hAnsiTheme="majorBidi" w:cstheme="majorBidi"/>
        </w:rPr>
      </w:pPr>
      <w:r w:rsidRPr="00AA20E4">
        <w:rPr>
          <w:rFonts w:asciiTheme="majorBidi" w:hAnsiTheme="majorBidi" w:cstheme="majorBidi"/>
        </w:rPr>
        <w:t>Normality, multicollinearity, homoscedasticity, and linearity will be measured before conducting regression.</w:t>
      </w:r>
    </w:p>
    <w:p w14:paraId="1731F9EC" w14:textId="77777777" w:rsidR="008459F1" w:rsidRPr="00AA20E4" w:rsidRDefault="008459F1" w:rsidP="008459F1">
      <w:pPr>
        <w:spacing w:line="360" w:lineRule="auto"/>
        <w:jc w:val="both"/>
        <w:rPr>
          <w:rFonts w:asciiTheme="majorBidi" w:hAnsiTheme="majorBidi" w:cstheme="majorBidi"/>
          <w:b/>
          <w:bCs/>
          <w:i/>
          <w:iCs/>
        </w:rPr>
      </w:pPr>
      <w:r w:rsidRPr="00AA20E4">
        <w:rPr>
          <w:rFonts w:asciiTheme="majorBidi" w:hAnsiTheme="majorBidi" w:cstheme="majorBidi"/>
          <w:b/>
          <w:bCs/>
          <w:i/>
          <w:iCs/>
        </w:rPr>
        <w:t>Ethical considerations</w:t>
      </w:r>
    </w:p>
    <w:p w14:paraId="734D8A1B" w14:textId="77777777" w:rsidR="008459F1" w:rsidRDefault="008459F1" w:rsidP="008459F1">
      <w:pPr>
        <w:spacing w:line="360" w:lineRule="auto"/>
        <w:jc w:val="both"/>
        <w:rPr>
          <w:rFonts w:asciiTheme="majorBidi" w:hAnsiTheme="majorBidi" w:cstheme="majorBidi"/>
        </w:rPr>
      </w:pPr>
      <w:r w:rsidRPr="00AA20E4">
        <w:rPr>
          <w:rFonts w:asciiTheme="majorBidi" w:hAnsiTheme="majorBidi" w:cstheme="majorBidi"/>
        </w:rPr>
        <w:lastRenderedPageBreak/>
        <w:t xml:space="preserve">In this research, </w:t>
      </w:r>
      <w:r>
        <w:rPr>
          <w:rFonts w:asciiTheme="majorBidi" w:hAnsiTheme="majorBidi" w:cstheme="majorBidi"/>
        </w:rPr>
        <w:t xml:space="preserve">it </w:t>
      </w:r>
      <w:r w:rsidRPr="00AA20E4">
        <w:rPr>
          <w:rFonts w:asciiTheme="majorBidi" w:hAnsiTheme="majorBidi" w:cstheme="majorBidi"/>
        </w:rPr>
        <w:t>follow</w:t>
      </w:r>
      <w:r>
        <w:rPr>
          <w:rFonts w:asciiTheme="majorBidi" w:hAnsiTheme="majorBidi" w:cstheme="majorBidi"/>
        </w:rPr>
        <w:t>s</w:t>
      </w:r>
      <w:r w:rsidRPr="00AA20E4">
        <w:rPr>
          <w:rFonts w:asciiTheme="majorBidi" w:hAnsiTheme="majorBidi" w:cstheme="majorBidi"/>
        </w:rPr>
        <w:t xml:space="preserve"> the ethical </w:t>
      </w:r>
      <w:r w:rsidRPr="00AC4A9E">
        <w:rPr>
          <w:rFonts w:asciiTheme="majorBidi" w:hAnsiTheme="majorBidi" w:cstheme="majorBidi"/>
        </w:rPr>
        <w:t>guidelines stated in University of Wales Trinity Saint David (UWTSD) and the British Psychological Society (2021)</w:t>
      </w:r>
      <w:r>
        <w:rPr>
          <w:rFonts w:asciiTheme="majorBidi" w:hAnsiTheme="majorBidi" w:cstheme="majorBidi"/>
        </w:rPr>
        <w:t>. The ethical approval was sought through the UWTSD institutional review process</w:t>
      </w:r>
      <w:r w:rsidRPr="00AC4A9E">
        <w:rPr>
          <w:rFonts w:asciiTheme="majorBidi" w:hAnsiTheme="majorBidi" w:cstheme="majorBidi"/>
        </w:rPr>
        <w:t>:</w:t>
      </w:r>
      <w:r w:rsidRPr="00AA20E4">
        <w:rPr>
          <w:rFonts w:asciiTheme="majorBidi" w:hAnsiTheme="majorBidi" w:cstheme="majorBidi"/>
        </w:rPr>
        <w:t xml:space="preserve"> </w:t>
      </w:r>
    </w:p>
    <w:p w14:paraId="00B81091" w14:textId="77777777" w:rsidR="008459F1" w:rsidRDefault="008459F1" w:rsidP="008459F1">
      <w:pPr>
        <w:pStyle w:val="a9"/>
        <w:numPr>
          <w:ilvl w:val="0"/>
          <w:numId w:val="17"/>
        </w:numPr>
        <w:spacing w:line="360" w:lineRule="auto"/>
        <w:jc w:val="both"/>
        <w:rPr>
          <w:rFonts w:asciiTheme="majorBidi" w:hAnsiTheme="majorBidi" w:cstheme="majorBidi"/>
        </w:rPr>
      </w:pPr>
      <w:r w:rsidRPr="00AA20E4">
        <w:rPr>
          <w:rFonts w:asciiTheme="majorBidi" w:hAnsiTheme="majorBidi" w:cstheme="majorBidi"/>
        </w:rPr>
        <w:t>Informed Consent: A participant information sheet that entails the purpose of the study, their rights and the use of data will be given to all the participants</w:t>
      </w:r>
      <w:r>
        <w:rPr>
          <w:rFonts w:asciiTheme="majorBidi" w:hAnsiTheme="majorBidi" w:cstheme="majorBidi"/>
        </w:rPr>
        <w:t xml:space="preserve"> (</w:t>
      </w:r>
      <w:r w:rsidRPr="00F52103">
        <w:rPr>
          <w:rFonts w:asciiTheme="majorBidi" w:hAnsiTheme="majorBidi" w:cstheme="majorBidi"/>
        </w:rPr>
        <w:t>O’Sullivan</w:t>
      </w:r>
      <w:r>
        <w:rPr>
          <w:rFonts w:asciiTheme="majorBidi" w:hAnsiTheme="majorBidi" w:cstheme="majorBidi"/>
        </w:rPr>
        <w:t xml:space="preserve"> et al., 2021)</w:t>
      </w:r>
      <w:r w:rsidRPr="00AA20E4">
        <w:rPr>
          <w:rFonts w:asciiTheme="majorBidi" w:hAnsiTheme="majorBidi" w:cstheme="majorBidi"/>
        </w:rPr>
        <w:t xml:space="preserve">. </w:t>
      </w:r>
    </w:p>
    <w:p w14:paraId="30604DBD" w14:textId="77777777" w:rsidR="008459F1" w:rsidRDefault="008459F1" w:rsidP="008459F1">
      <w:pPr>
        <w:pStyle w:val="a9"/>
        <w:numPr>
          <w:ilvl w:val="0"/>
          <w:numId w:val="17"/>
        </w:numPr>
        <w:spacing w:line="360" w:lineRule="auto"/>
        <w:jc w:val="both"/>
        <w:rPr>
          <w:rFonts w:asciiTheme="majorBidi" w:hAnsiTheme="majorBidi" w:cstheme="majorBidi"/>
        </w:rPr>
      </w:pPr>
      <w:r w:rsidRPr="00AA20E4">
        <w:rPr>
          <w:rFonts w:asciiTheme="majorBidi" w:hAnsiTheme="majorBidi" w:cstheme="majorBidi"/>
        </w:rPr>
        <w:t>Voluntary Participation: Respondents are free to leave as well as missing questions.</w:t>
      </w:r>
    </w:p>
    <w:p w14:paraId="799314F0" w14:textId="77777777" w:rsidR="008459F1" w:rsidRDefault="008459F1" w:rsidP="008459F1">
      <w:pPr>
        <w:pStyle w:val="a9"/>
        <w:numPr>
          <w:ilvl w:val="0"/>
          <w:numId w:val="17"/>
        </w:numPr>
        <w:spacing w:line="360" w:lineRule="auto"/>
        <w:jc w:val="both"/>
        <w:rPr>
          <w:rFonts w:asciiTheme="majorBidi" w:hAnsiTheme="majorBidi" w:cstheme="majorBidi"/>
        </w:rPr>
      </w:pPr>
      <w:r w:rsidRPr="00AA20E4">
        <w:rPr>
          <w:rFonts w:asciiTheme="majorBidi" w:hAnsiTheme="majorBidi" w:cstheme="majorBidi"/>
        </w:rPr>
        <w:t>Confidentiality: No information that might identify a person will be acquired. Tracks will not be monitored using IP addresses</w:t>
      </w:r>
      <w:r>
        <w:rPr>
          <w:rFonts w:asciiTheme="majorBidi" w:hAnsiTheme="majorBidi" w:cstheme="majorBidi"/>
        </w:rPr>
        <w:t xml:space="preserve"> (</w:t>
      </w:r>
      <w:proofErr w:type="spellStart"/>
      <w:r w:rsidRPr="008C5494">
        <w:rPr>
          <w:rFonts w:asciiTheme="majorBidi" w:hAnsiTheme="majorBidi" w:cstheme="majorBidi"/>
        </w:rPr>
        <w:t>Jandl</w:t>
      </w:r>
      <w:proofErr w:type="spellEnd"/>
      <w:r w:rsidRPr="008C5494">
        <w:rPr>
          <w:rFonts w:asciiTheme="majorBidi" w:hAnsiTheme="majorBidi" w:cstheme="majorBidi"/>
        </w:rPr>
        <w:t xml:space="preserve"> et al.,</w:t>
      </w:r>
      <w:r>
        <w:rPr>
          <w:rFonts w:asciiTheme="majorBidi" w:hAnsiTheme="majorBidi" w:cstheme="majorBidi"/>
        </w:rPr>
        <w:t xml:space="preserve"> 2021)</w:t>
      </w:r>
      <w:r w:rsidRPr="00AA20E4">
        <w:rPr>
          <w:rFonts w:asciiTheme="majorBidi" w:hAnsiTheme="majorBidi" w:cstheme="majorBidi"/>
        </w:rPr>
        <w:t xml:space="preserve">. </w:t>
      </w:r>
    </w:p>
    <w:p w14:paraId="1A973942" w14:textId="77777777" w:rsidR="008459F1" w:rsidRPr="00AA20E4" w:rsidRDefault="008459F1" w:rsidP="008459F1">
      <w:pPr>
        <w:pStyle w:val="a9"/>
        <w:numPr>
          <w:ilvl w:val="0"/>
          <w:numId w:val="17"/>
        </w:numPr>
        <w:spacing w:line="360" w:lineRule="auto"/>
        <w:jc w:val="both"/>
        <w:rPr>
          <w:rFonts w:asciiTheme="majorBidi" w:hAnsiTheme="majorBidi" w:cstheme="majorBidi"/>
        </w:rPr>
      </w:pPr>
      <w:r w:rsidRPr="00AA20E4">
        <w:rPr>
          <w:rFonts w:asciiTheme="majorBidi" w:hAnsiTheme="majorBidi" w:cstheme="majorBidi"/>
        </w:rPr>
        <w:t>Data Protection: Information will be safely stored anonymized and disposed within 12 months. The institutional review board was submitted an ethics approval form that was to be cleared.</w:t>
      </w:r>
    </w:p>
    <w:p w14:paraId="367C50CD" w14:textId="77777777" w:rsidR="008459F1" w:rsidRDefault="008459F1" w:rsidP="008459F1">
      <w:pPr>
        <w:spacing w:line="360" w:lineRule="auto"/>
        <w:ind w:left="360"/>
        <w:jc w:val="center"/>
        <w:rPr>
          <w:rFonts w:asciiTheme="majorBidi" w:hAnsiTheme="majorBidi" w:cstheme="majorBidi"/>
          <w:b/>
          <w:bCs/>
        </w:rPr>
      </w:pPr>
      <w:r>
        <w:rPr>
          <w:rFonts w:asciiTheme="majorBidi" w:hAnsiTheme="majorBidi" w:cstheme="majorBidi"/>
          <w:b/>
          <w:bCs/>
        </w:rPr>
        <w:t>Data analysis</w:t>
      </w:r>
    </w:p>
    <w:p w14:paraId="5A34884F" w14:textId="77777777" w:rsidR="008459F1" w:rsidRDefault="008459F1" w:rsidP="008459F1">
      <w:pPr>
        <w:spacing w:line="360" w:lineRule="auto"/>
        <w:ind w:left="360"/>
        <w:jc w:val="both"/>
        <w:rPr>
          <w:rFonts w:asciiTheme="majorBidi" w:hAnsiTheme="majorBidi" w:cstheme="majorBidi"/>
          <w:b/>
          <w:bCs/>
          <w:i/>
          <w:iCs/>
        </w:rPr>
      </w:pPr>
      <w:r>
        <w:rPr>
          <w:rFonts w:asciiTheme="majorBidi" w:hAnsiTheme="majorBidi" w:cstheme="majorBidi"/>
          <w:b/>
          <w:bCs/>
          <w:i/>
          <w:iCs/>
        </w:rPr>
        <w:t xml:space="preserve">Demographic analysis </w:t>
      </w:r>
    </w:p>
    <w:p w14:paraId="2C5E359D" w14:textId="77777777" w:rsidR="008459F1" w:rsidRDefault="008459F1" w:rsidP="008459F1">
      <w:pPr>
        <w:spacing w:line="360" w:lineRule="auto"/>
        <w:ind w:left="360"/>
        <w:jc w:val="both"/>
        <w:rPr>
          <w:rFonts w:asciiTheme="majorBidi" w:hAnsiTheme="majorBidi" w:cstheme="majorBidi"/>
          <w:b/>
          <w:bCs/>
        </w:rPr>
      </w:pPr>
      <w:r>
        <w:rPr>
          <w:rFonts w:asciiTheme="majorBidi" w:hAnsiTheme="majorBidi" w:cstheme="majorBidi"/>
          <w:b/>
          <w:bCs/>
        </w:rPr>
        <w:t>Table 1: Age Group</w:t>
      </w:r>
    </w:p>
    <w:tbl>
      <w:tblPr>
        <w:tblW w:w="6300"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786"/>
        <w:gridCol w:w="1530"/>
        <w:gridCol w:w="2250"/>
      </w:tblGrid>
      <w:tr w:rsidR="008459F1" w:rsidRPr="000B2264" w14:paraId="070C4889" w14:textId="77777777" w:rsidTr="00176B25">
        <w:trPr>
          <w:cantSplit/>
        </w:trPr>
        <w:tc>
          <w:tcPr>
            <w:tcW w:w="2520" w:type="dxa"/>
            <w:gridSpan w:val="2"/>
            <w:tcBorders>
              <w:top w:val="nil"/>
              <w:left w:val="nil"/>
              <w:bottom w:val="single" w:sz="8" w:space="0" w:color="152935"/>
              <w:right w:val="nil"/>
            </w:tcBorders>
            <w:shd w:val="clear" w:color="auto" w:fill="FFFFFF"/>
            <w:vAlign w:val="bottom"/>
          </w:tcPr>
          <w:p w14:paraId="353B85A1" w14:textId="77777777" w:rsidR="008459F1" w:rsidRPr="000B2264" w:rsidRDefault="008459F1" w:rsidP="00176B25">
            <w:pPr>
              <w:spacing w:line="360" w:lineRule="auto"/>
              <w:jc w:val="both"/>
              <w:rPr>
                <w:rFonts w:asciiTheme="majorBidi" w:hAnsiTheme="majorBidi" w:cstheme="majorBidi"/>
              </w:rPr>
            </w:pPr>
          </w:p>
        </w:tc>
        <w:tc>
          <w:tcPr>
            <w:tcW w:w="1530" w:type="dxa"/>
            <w:tcBorders>
              <w:top w:val="nil"/>
              <w:left w:val="nil"/>
              <w:bottom w:val="single" w:sz="8" w:space="0" w:color="152935"/>
              <w:right w:val="single" w:sz="8" w:space="0" w:color="E0E0E0"/>
            </w:tcBorders>
            <w:shd w:val="clear" w:color="auto" w:fill="FFFFFF"/>
            <w:vAlign w:val="bottom"/>
          </w:tcPr>
          <w:p w14:paraId="478230CD"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Frequency</w:t>
            </w:r>
          </w:p>
        </w:tc>
        <w:tc>
          <w:tcPr>
            <w:tcW w:w="2250" w:type="dxa"/>
            <w:tcBorders>
              <w:top w:val="nil"/>
              <w:left w:val="single" w:sz="8" w:space="0" w:color="E0E0E0"/>
              <w:bottom w:val="single" w:sz="8" w:space="0" w:color="152935"/>
              <w:right w:val="single" w:sz="8" w:space="0" w:color="E0E0E0"/>
            </w:tcBorders>
            <w:shd w:val="clear" w:color="auto" w:fill="FFFFFF"/>
            <w:vAlign w:val="bottom"/>
          </w:tcPr>
          <w:p w14:paraId="689714F7"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Percent</w:t>
            </w:r>
          </w:p>
        </w:tc>
      </w:tr>
      <w:tr w:rsidR="008459F1" w:rsidRPr="000B2264" w14:paraId="2D789269" w14:textId="77777777" w:rsidTr="00176B25">
        <w:trPr>
          <w:cantSplit/>
        </w:trPr>
        <w:tc>
          <w:tcPr>
            <w:tcW w:w="734" w:type="dxa"/>
            <w:vMerge w:val="restart"/>
            <w:tcBorders>
              <w:top w:val="single" w:sz="8" w:space="0" w:color="152935"/>
              <w:left w:val="nil"/>
              <w:bottom w:val="single" w:sz="8" w:space="0" w:color="152935"/>
              <w:right w:val="nil"/>
            </w:tcBorders>
            <w:shd w:val="clear" w:color="auto" w:fill="E0E0E0"/>
          </w:tcPr>
          <w:p w14:paraId="7D476C75"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Valid</w:t>
            </w:r>
          </w:p>
        </w:tc>
        <w:tc>
          <w:tcPr>
            <w:tcW w:w="1786" w:type="dxa"/>
            <w:tcBorders>
              <w:top w:val="single" w:sz="8" w:space="0" w:color="152935"/>
              <w:left w:val="nil"/>
              <w:bottom w:val="single" w:sz="8" w:space="0" w:color="AEAEAE"/>
              <w:right w:val="nil"/>
            </w:tcBorders>
            <w:shd w:val="clear" w:color="auto" w:fill="E0E0E0"/>
          </w:tcPr>
          <w:p w14:paraId="3818C9A7"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18-25</w:t>
            </w:r>
          </w:p>
        </w:tc>
        <w:tc>
          <w:tcPr>
            <w:tcW w:w="1530" w:type="dxa"/>
            <w:tcBorders>
              <w:top w:val="single" w:sz="8" w:space="0" w:color="152935"/>
              <w:left w:val="nil"/>
              <w:bottom w:val="single" w:sz="8" w:space="0" w:color="AEAEAE"/>
              <w:right w:val="single" w:sz="8" w:space="0" w:color="E0E0E0"/>
            </w:tcBorders>
            <w:shd w:val="clear" w:color="auto" w:fill="FFFFFF"/>
          </w:tcPr>
          <w:p w14:paraId="29FCDCF8"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10</w:t>
            </w:r>
          </w:p>
        </w:tc>
        <w:tc>
          <w:tcPr>
            <w:tcW w:w="2250" w:type="dxa"/>
            <w:tcBorders>
              <w:top w:val="single" w:sz="8" w:space="0" w:color="152935"/>
              <w:left w:val="single" w:sz="8" w:space="0" w:color="E0E0E0"/>
              <w:bottom w:val="single" w:sz="8" w:space="0" w:color="AEAEAE"/>
              <w:right w:val="single" w:sz="8" w:space="0" w:color="E0E0E0"/>
            </w:tcBorders>
            <w:shd w:val="clear" w:color="auto" w:fill="FFFFFF"/>
          </w:tcPr>
          <w:p w14:paraId="64B5CCA4"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10.0</w:t>
            </w:r>
          </w:p>
        </w:tc>
      </w:tr>
      <w:tr w:rsidR="008459F1" w:rsidRPr="000B2264" w14:paraId="7C871DD5"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05959007" w14:textId="77777777" w:rsidR="008459F1" w:rsidRPr="000B2264" w:rsidRDefault="008459F1" w:rsidP="00176B25">
            <w:pPr>
              <w:spacing w:line="360" w:lineRule="auto"/>
              <w:jc w:val="both"/>
              <w:rPr>
                <w:rFonts w:asciiTheme="majorBidi" w:hAnsiTheme="majorBidi" w:cstheme="majorBidi"/>
              </w:rPr>
            </w:pPr>
          </w:p>
        </w:tc>
        <w:tc>
          <w:tcPr>
            <w:tcW w:w="1786" w:type="dxa"/>
            <w:tcBorders>
              <w:top w:val="single" w:sz="8" w:space="0" w:color="AEAEAE"/>
              <w:left w:val="nil"/>
              <w:bottom w:val="single" w:sz="8" w:space="0" w:color="AEAEAE"/>
              <w:right w:val="nil"/>
            </w:tcBorders>
            <w:shd w:val="clear" w:color="auto" w:fill="E0E0E0"/>
          </w:tcPr>
          <w:p w14:paraId="55C313C4"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26-35</w:t>
            </w:r>
          </w:p>
        </w:tc>
        <w:tc>
          <w:tcPr>
            <w:tcW w:w="1530" w:type="dxa"/>
            <w:tcBorders>
              <w:top w:val="single" w:sz="8" w:space="0" w:color="AEAEAE"/>
              <w:left w:val="nil"/>
              <w:bottom w:val="single" w:sz="8" w:space="0" w:color="AEAEAE"/>
              <w:right w:val="single" w:sz="8" w:space="0" w:color="E0E0E0"/>
            </w:tcBorders>
            <w:shd w:val="clear" w:color="auto" w:fill="FFFFFF"/>
          </w:tcPr>
          <w:p w14:paraId="37DA1B06"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20</w:t>
            </w:r>
          </w:p>
        </w:tc>
        <w:tc>
          <w:tcPr>
            <w:tcW w:w="2250" w:type="dxa"/>
            <w:tcBorders>
              <w:top w:val="single" w:sz="8" w:space="0" w:color="AEAEAE"/>
              <w:left w:val="single" w:sz="8" w:space="0" w:color="E0E0E0"/>
              <w:bottom w:val="single" w:sz="8" w:space="0" w:color="AEAEAE"/>
              <w:right w:val="single" w:sz="8" w:space="0" w:color="E0E0E0"/>
            </w:tcBorders>
            <w:shd w:val="clear" w:color="auto" w:fill="FFFFFF"/>
          </w:tcPr>
          <w:p w14:paraId="454B8055"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20.0</w:t>
            </w:r>
          </w:p>
        </w:tc>
      </w:tr>
      <w:tr w:rsidR="008459F1" w:rsidRPr="000B2264" w14:paraId="656A41A9"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6690763A" w14:textId="77777777" w:rsidR="008459F1" w:rsidRPr="000B2264" w:rsidRDefault="008459F1" w:rsidP="00176B25">
            <w:pPr>
              <w:spacing w:line="360" w:lineRule="auto"/>
              <w:jc w:val="both"/>
              <w:rPr>
                <w:rFonts w:asciiTheme="majorBidi" w:hAnsiTheme="majorBidi" w:cstheme="majorBidi"/>
              </w:rPr>
            </w:pPr>
          </w:p>
        </w:tc>
        <w:tc>
          <w:tcPr>
            <w:tcW w:w="1786" w:type="dxa"/>
            <w:tcBorders>
              <w:top w:val="single" w:sz="8" w:space="0" w:color="AEAEAE"/>
              <w:left w:val="nil"/>
              <w:bottom w:val="single" w:sz="8" w:space="0" w:color="AEAEAE"/>
              <w:right w:val="nil"/>
            </w:tcBorders>
            <w:shd w:val="clear" w:color="auto" w:fill="E0E0E0"/>
          </w:tcPr>
          <w:p w14:paraId="4F148708"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36-45</w:t>
            </w:r>
          </w:p>
        </w:tc>
        <w:tc>
          <w:tcPr>
            <w:tcW w:w="1530" w:type="dxa"/>
            <w:tcBorders>
              <w:top w:val="single" w:sz="8" w:space="0" w:color="AEAEAE"/>
              <w:left w:val="nil"/>
              <w:bottom w:val="single" w:sz="8" w:space="0" w:color="AEAEAE"/>
              <w:right w:val="single" w:sz="8" w:space="0" w:color="E0E0E0"/>
            </w:tcBorders>
            <w:shd w:val="clear" w:color="auto" w:fill="FFFFFF"/>
          </w:tcPr>
          <w:p w14:paraId="618D1053"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28</w:t>
            </w:r>
          </w:p>
        </w:tc>
        <w:tc>
          <w:tcPr>
            <w:tcW w:w="2250" w:type="dxa"/>
            <w:tcBorders>
              <w:top w:val="single" w:sz="8" w:space="0" w:color="AEAEAE"/>
              <w:left w:val="single" w:sz="8" w:space="0" w:color="E0E0E0"/>
              <w:bottom w:val="single" w:sz="8" w:space="0" w:color="AEAEAE"/>
              <w:right w:val="single" w:sz="8" w:space="0" w:color="E0E0E0"/>
            </w:tcBorders>
            <w:shd w:val="clear" w:color="auto" w:fill="FFFFFF"/>
          </w:tcPr>
          <w:p w14:paraId="7BB838DC"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28.0</w:t>
            </w:r>
          </w:p>
        </w:tc>
      </w:tr>
      <w:tr w:rsidR="008459F1" w:rsidRPr="000B2264" w14:paraId="6188E06C"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3865E668" w14:textId="77777777" w:rsidR="008459F1" w:rsidRPr="000B2264" w:rsidRDefault="008459F1" w:rsidP="00176B25">
            <w:pPr>
              <w:spacing w:line="360" w:lineRule="auto"/>
              <w:jc w:val="both"/>
              <w:rPr>
                <w:rFonts w:asciiTheme="majorBidi" w:hAnsiTheme="majorBidi" w:cstheme="majorBidi"/>
              </w:rPr>
            </w:pPr>
          </w:p>
        </w:tc>
        <w:tc>
          <w:tcPr>
            <w:tcW w:w="1786" w:type="dxa"/>
            <w:tcBorders>
              <w:top w:val="single" w:sz="8" w:space="0" w:color="AEAEAE"/>
              <w:left w:val="nil"/>
              <w:bottom w:val="single" w:sz="8" w:space="0" w:color="AEAEAE"/>
              <w:right w:val="nil"/>
            </w:tcBorders>
            <w:shd w:val="clear" w:color="auto" w:fill="E0E0E0"/>
          </w:tcPr>
          <w:p w14:paraId="384500D8"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46-55</w:t>
            </w:r>
          </w:p>
        </w:tc>
        <w:tc>
          <w:tcPr>
            <w:tcW w:w="1530" w:type="dxa"/>
            <w:tcBorders>
              <w:top w:val="single" w:sz="8" w:space="0" w:color="AEAEAE"/>
              <w:left w:val="nil"/>
              <w:bottom w:val="single" w:sz="8" w:space="0" w:color="AEAEAE"/>
              <w:right w:val="single" w:sz="8" w:space="0" w:color="E0E0E0"/>
            </w:tcBorders>
            <w:shd w:val="clear" w:color="auto" w:fill="FFFFFF"/>
          </w:tcPr>
          <w:p w14:paraId="4A3E28DF"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22</w:t>
            </w:r>
          </w:p>
        </w:tc>
        <w:tc>
          <w:tcPr>
            <w:tcW w:w="2250" w:type="dxa"/>
            <w:tcBorders>
              <w:top w:val="single" w:sz="8" w:space="0" w:color="AEAEAE"/>
              <w:left w:val="single" w:sz="8" w:space="0" w:color="E0E0E0"/>
              <w:bottom w:val="single" w:sz="8" w:space="0" w:color="AEAEAE"/>
              <w:right w:val="single" w:sz="8" w:space="0" w:color="E0E0E0"/>
            </w:tcBorders>
            <w:shd w:val="clear" w:color="auto" w:fill="FFFFFF"/>
          </w:tcPr>
          <w:p w14:paraId="4DB2DB03"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22.0</w:t>
            </w:r>
          </w:p>
        </w:tc>
      </w:tr>
      <w:tr w:rsidR="008459F1" w:rsidRPr="000B2264" w14:paraId="0C4E06BB"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5B16835F" w14:textId="77777777" w:rsidR="008459F1" w:rsidRPr="000B2264" w:rsidRDefault="008459F1" w:rsidP="00176B25">
            <w:pPr>
              <w:spacing w:line="360" w:lineRule="auto"/>
              <w:jc w:val="both"/>
              <w:rPr>
                <w:rFonts w:asciiTheme="majorBidi" w:hAnsiTheme="majorBidi" w:cstheme="majorBidi"/>
              </w:rPr>
            </w:pPr>
          </w:p>
        </w:tc>
        <w:tc>
          <w:tcPr>
            <w:tcW w:w="1786" w:type="dxa"/>
            <w:tcBorders>
              <w:top w:val="single" w:sz="8" w:space="0" w:color="AEAEAE"/>
              <w:left w:val="nil"/>
              <w:bottom w:val="single" w:sz="8" w:space="0" w:color="AEAEAE"/>
              <w:right w:val="nil"/>
            </w:tcBorders>
            <w:shd w:val="clear" w:color="auto" w:fill="E0E0E0"/>
          </w:tcPr>
          <w:p w14:paraId="09BAC22F"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56+</w:t>
            </w:r>
          </w:p>
        </w:tc>
        <w:tc>
          <w:tcPr>
            <w:tcW w:w="1530" w:type="dxa"/>
            <w:tcBorders>
              <w:top w:val="single" w:sz="8" w:space="0" w:color="AEAEAE"/>
              <w:left w:val="nil"/>
              <w:bottom w:val="single" w:sz="8" w:space="0" w:color="AEAEAE"/>
              <w:right w:val="single" w:sz="8" w:space="0" w:color="E0E0E0"/>
            </w:tcBorders>
            <w:shd w:val="clear" w:color="auto" w:fill="FFFFFF"/>
          </w:tcPr>
          <w:p w14:paraId="5CB8436A"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20</w:t>
            </w:r>
          </w:p>
        </w:tc>
        <w:tc>
          <w:tcPr>
            <w:tcW w:w="2250" w:type="dxa"/>
            <w:tcBorders>
              <w:top w:val="single" w:sz="8" w:space="0" w:color="AEAEAE"/>
              <w:left w:val="single" w:sz="8" w:space="0" w:color="E0E0E0"/>
              <w:bottom w:val="single" w:sz="8" w:space="0" w:color="AEAEAE"/>
              <w:right w:val="single" w:sz="8" w:space="0" w:color="E0E0E0"/>
            </w:tcBorders>
            <w:shd w:val="clear" w:color="auto" w:fill="FFFFFF"/>
          </w:tcPr>
          <w:p w14:paraId="23FF1825"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20.0</w:t>
            </w:r>
          </w:p>
        </w:tc>
      </w:tr>
      <w:tr w:rsidR="008459F1" w:rsidRPr="000B2264" w14:paraId="2DE145D3"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2864EBC2" w14:textId="77777777" w:rsidR="008459F1" w:rsidRPr="000B2264" w:rsidRDefault="008459F1" w:rsidP="00176B25">
            <w:pPr>
              <w:spacing w:line="360" w:lineRule="auto"/>
              <w:jc w:val="both"/>
              <w:rPr>
                <w:rFonts w:asciiTheme="majorBidi" w:hAnsiTheme="majorBidi" w:cstheme="majorBidi"/>
              </w:rPr>
            </w:pPr>
          </w:p>
        </w:tc>
        <w:tc>
          <w:tcPr>
            <w:tcW w:w="1786" w:type="dxa"/>
            <w:tcBorders>
              <w:top w:val="single" w:sz="8" w:space="0" w:color="AEAEAE"/>
              <w:left w:val="nil"/>
              <w:bottom w:val="single" w:sz="8" w:space="0" w:color="152935"/>
              <w:right w:val="nil"/>
            </w:tcBorders>
            <w:shd w:val="clear" w:color="auto" w:fill="E0E0E0"/>
          </w:tcPr>
          <w:p w14:paraId="42B53151"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Total</w:t>
            </w:r>
          </w:p>
        </w:tc>
        <w:tc>
          <w:tcPr>
            <w:tcW w:w="1530" w:type="dxa"/>
            <w:tcBorders>
              <w:top w:val="single" w:sz="8" w:space="0" w:color="AEAEAE"/>
              <w:left w:val="nil"/>
              <w:bottom w:val="single" w:sz="8" w:space="0" w:color="152935"/>
              <w:right w:val="single" w:sz="8" w:space="0" w:color="E0E0E0"/>
            </w:tcBorders>
            <w:shd w:val="clear" w:color="auto" w:fill="FFFFFF"/>
          </w:tcPr>
          <w:p w14:paraId="3C31C0F9"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100</w:t>
            </w:r>
          </w:p>
        </w:tc>
        <w:tc>
          <w:tcPr>
            <w:tcW w:w="2250" w:type="dxa"/>
            <w:tcBorders>
              <w:top w:val="single" w:sz="8" w:space="0" w:color="AEAEAE"/>
              <w:left w:val="single" w:sz="8" w:space="0" w:color="E0E0E0"/>
              <w:bottom w:val="single" w:sz="8" w:space="0" w:color="152935"/>
              <w:right w:val="single" w:sz="8" w:space="0" w:color="E0E0E0"/>
            </w:tcBorders>
            <w:shd w:val="clear" w:color="auto" w:fill="FFFFFF"/>
          </w:tcPr>
          <w:p w14:paraId="5BC4F469"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100.0</w:t>
            </w:r>
          </w:p>
        </w:tc>
      </w:tr>
    </w:tbl>
    <w:p w14:paraId="364075C9" w14:textId="77777777" w:rsidR="008459F1" w:rsidRPr="000B2264" w:rsidRDefault="008459F1" w:rsidP="008459F1">
      <w:pPr>
        <w:spacing w:line="360" w:lineRule="auto"/>
        <w:ind w:left="360"/>
        <w:jc w:val="both"/>
        <w:rPr>
          <w:rFonts w:asciiTheme="majorBidi" w:hAnsiTheme="majorBidi" w:cstheme="majorBidi"/>
        </w:rPr>
      </w:pPr>
    </w:p>
    <w:p w14:paraId="61F37A75" w14:textId="77777777" w:rsidR="008459F1" w:rsidRDefault="008459F1" w:rsidP="008459F1">
      <w:pPr>
        <w:spacing w:line="360" w:lineRule="auto"/>
        <w:ind w:left="360"/>
        <w:jc w:val="both"/>
        <w:rPr>
          <w:rFonts w:asciiTheme="majorBidi" w:hAnsiTheme="majorBidi" w:cstheme="majorBidi"/>
          <w:b/>
          <w:bCs/>
        </w:rPr>
      </w:pPr>
      <w:r>
        <w:rPr>
          <w:rFonts w:asciiTheme="majorBidi" w:hAnsiTheme="majorBidi" w:cstheme="majorBidi"/>
          <w:b/>
          <w:bCs/>
        </w:rPr>
        <w:t>Table 2: Job Position (JP)</w:t>
      </w:r>
    </w:p>
    <w:p w14:paraId="54ADBD8F" w14:textId="77777777" w:rsidR="008459F1" w:rsidRPr="000B2264" w:rsidRDefault="008459F1" w:rsidP="008459F1">
      <w:pPr>
        <w:spacing w:line="360" w:lineRule="auto"/>
        <w:ind w:left="360"/>
        <w:jc w:val="both"/>
        <w:rPr>
          <w:rFonts w:asciiTheme="majorBidi" w:hAnsiTheme="majorBidi" w:cstheme="majorBidi"/>
        </w:rPr>
      </w:pPr>
    </w:p>
    <w:tbl>
      <w:tblPr>
        <w:tblW w:w="6930"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326"/>
        <w:gridCol w:w="1260"/>
        <w:gridCol w:w="2610"/>
      </w:tblGrid>
      <w:tr w:rsidR="008459F1" w:rsidRPr="000B2264" w14:paraId="4BFB6CED" w14:textId="77777777" w:rsidTr="00176B25">
        <w:trPr>
          <w:cantSplit/>
        </w:trPr>
        <w:tc>
          <w:tcPr>
            <w:tcW w:w="3060" w:type="dxa"/>
            <w:gridSpan w:val="2"/>
            <w:tcBorders>
              <w:top w:val="nil"/>
              <w:left w:val="nil"/>
              <w:bottom w:val="single" w:sz="8" w:space="0" w:color="152935"/>
              <w:right w:val="nil"/>
            </w:tcBorders>
            <w:shd w:val="clear" w:color="auto" w:fill="FFFFFF"/>
            <w:vAlign w:val="bottom"/>
          </w:tcPr>
          <w:p w14:paraId="284DF5BC" w14:textId="77777777" w:rsidR="008459F1" w:rsidRPr="000B2264" w:rsidRDefault="008459F1" w:rsidP="00176B25">
            <w:pPr>
              <w:spacing w:line="360" w:lineRule="auto"/>
              <w:jc w:val="both"/>
              <w:rPr>
                <w:rFonts w:asciiTheme="majorBidi" w:hAnsiTheme="majorBidi" w:cstheme="majorBidi"/>
              </w:rPr>
            </w:pPr>
          </w:p>
        </w:tc>
        <w:tc>
          <w:tcPr>
            <w:tcW w:w="1260" w:type="dxa"/>
            <w:tcBorders>
              <w:top w:val="nil"/>
              <w:left w:val="nil"/>
              <w:bottom w:val="single" w:sz="8" w:space="0" w:color="152935"/>
              <w:right w:val="single" w:sz="8" w:space="0" w:color="E0E0E0"/>
            </w:tcBorders>
            <w:shd w:val="clear" w:color="auto" w:fill="FFFFFF"/>
            <w:vAlign w:val="bottom"/>
          </w:tcPr>
          <w:p w14:paraId="51D8FE85"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Frequency</w:t>
            </w:r>
          </w:p>
        </w:tc>
        <w:tc>
          <w:tcPr>
            <w:tcW w:w="2610" w:type="dxa"/>
            <w:tcBorders>
              <w:top w:val="nil"/>
              <w:left w:val="single" w:sz="8" w:space="0" w:color="E0E0E0"/>
              <w:bottom w:val="single" w:sz="8" w:space="0" w:color="152935"/>
              <w:right w:val="single" w:sz="8" w:space="0" w:color="E0E0E0"/>
            </w:tcBorders>
            <w:shd w:val="clear" w:color="auto" w:fill="FFFFFF"/>
            <w:vAlign w:val="bottom"/>
          </w:tcPr>
          <w:p w14:paraId="0CA90A43"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Percent</w:t>
            </w:r>
          </w:p>
        </w:tc>
      </w:tr>
      <w:tr w:rsidR="008459F1" w:rsidRPr="000B2264" w14:paraId="7E66E21E" w14:textId="77777777" w:rsidTr="00176B25">
        <w:trPr>
          <w:cantSplit/>
        </w:trPr>
        <w:tc>
          <w:tcPr>
            <w:tcW w:w="734" w:type="dxa"/>
            <w:vMerge w:val="restart"/>
            <w:tcBorders>
              <w:top w:val="single" w:sz="8" w:space="0" w:color="152935"/>
              <w:left w:val="nil"/>
              <w:bottom w:val="single" w:sz="8" w:space="0" w:color="152935"/>
              <w:right w:val="nil"/>
            </w:tcBorders>
            <w:shd w:val="clear" w:color="auto" w:fill="E0E0E0"/>
          </w:tcPr>
          <w:p w14:paraId="078EAFF8"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lastRenderedPageBreak/>
              <w:t>Valid</w:t>
            </w:r>
          </w:p>
        </w:tc>
        <w:tc>
          <w:tcPr>
            <w:tcW w:w="2326" w:type="dxa"/>
            <w:tcBorders>
              <w:top w:val="single" w:sz="8" w:space="0" w:color="152935"/>
              <w:left w:val="nil"/>
              <w:bottom w:val="single" w:sz="8" w:space="0" w:color="AEAEAE"/>
              <w:right w:val="nil"/>
            </w:tcBorders>
            <w:shd w:val="clear" w:color="auto" w:fill="E0E0E0"/>
          </w:tcPr>
          <w:p w14:paraId="080177D7"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Entry Level</w:t>
            </w:r>
          </w:p>
        </w:tc>
        <w:tc>
          <w:tcPr>
            <w:tcW w:w="1260" w:type="dxa"/>
            <w:tcBorders>
              <w:top w:val="single" w:sz="8" w:space="0" w:color="152935"/>
              <w:left w:val="nil"/>
              <w:bottom w:val="single" w:sz="8" w:space="0" w:color="AEAEAE"/>
              <w:right w:val="single" w:sz="8" w:space="0" w:color="E0E0E0"/>
            </w:tcBorders>
            <w:shd w:val="clear" w:color="auto" w:fill="FFFFFF"/>
          </w:tcPr>
          <w:p w14:paraId="3B5F362B"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22</w:t>
            </w:r>
          </w:p>
        </w:tc>
        <w:tc>
          <w:tcPr>
            <w:tcW w:w="2610" w:type="dxa"/>
            <w:tcBorders>
              <w:top w:val="single" w:sz="8" w:space="0" w:color="152935"/>
              <w:left w:val="single" w:sz="8" w:space="0" w:color="E0E0E0"/>
              <w:bottom w:val="single" w:sz="8" w:space="0" w:color="AEAEAE"/>
              <w:right w:val="single" w:sz="8" w:space="0" w:color="E0E0E0"/>
            </w:tcBorders>
            <w:shd w:val="clear" w:color="auto" w:fill="FFFFFF"/>
          </w:tcPr>
          <w:p w14:paraId="4EADD8E7"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22.0</w:t>
            </w:r>
          </w:p>
        </w:tc>
      </w:tr>
      <w:tr w:rsidR="008459F1" w:rsidRPr="000B2264" w14:paraId="39E2D2A2"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4BFD8EAF" w14:textId="77777777" w:rsidR="008459F1" w:rsidRPr="000B2264" w:rsidRDefault="008459F1" w:rsidP="00176B25">
            <w:pPr>
              <w:spacing w:line="360" w:lineRule="auto"/>
              <w:jc w:val="both"/>
              <w:rPr>
                <w:rFonts w:asciiTheme="majorBidi" w:hAnsiTheme="majorBidi" w:cstheme="majorBidi"/>
              </w:rPr>
            </w:pPr>
          </w:p>
        </w:tc>
        <w:tc>
          <w:tcPr>
            <w:tcW w:w="2326" w:type="dxa"/>
            <w:tcBorders>
              <w:top w:val="single" w:sz="8" w:space="0" w:color="AEAEAE"/>
              <w:left w:val="nil"/>
              <w:bottom w:val="single" w:sz="8" w:space="0" w:color="AEAEAE"/>
              <w:right w:val="nil"/>
            </w:tcBorders>
            <w:shd w:val="clear" w:color="auto" w:fill="E0E0E0"/>
          </w:tcPr>
          <w:p w14:paraId="5957BE18"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Executive</w:t>
            </w:r>
          </w:p>
        </w:tc>
        <w:tc>
          <w:tcPr>
            <w:tcW w:w="1260" w:type="dxa"/>
            <w:tcBorders>
              <w:top w:val="single" w:sz="8" w:space="0" w:color="AEAEAE"/>
              <w:left w:val="nil"/>
              <w:bottom w:val="single" w:sz="8" w:space="0" w:color="AEAEAE"/>
              <w:right w:val="single" w:sz="8" w:space="0" w:color="E0E0E0"/>
            </w:tcBorders>
            <w:shd w:val="clear" w:color="auto" w:fill="FFFFFF"/>
          </w:tcPr>
          <w:p w14:paraId="1624757D"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25</w:t>
            </w:r>
          </w:p>
        </w:tc>
        <w:tc>
          <w:tcPr>
            <w:tcW w:w="2610" w:type="dxa"/>
            <w:tcBorders>
              <w:top w:val="single" w:sz="8" w:space="0" w:color="AEAEAE"/>
              <w:left w:val="single" w:sz="8" w:space="0" w:color="E0E0E0"/>
              <w:bottom w:val="single" w:sz="8" w:space="0" w:color="AEAEAE"/>
              <w:right w:val="single" w:sz="8" w:space="0" w:color="E0E0E0"/>
            </w:tcBorders>
            <w:shd w:val="clear" w:color="auto" w:fill="FFFFFF"/>
          </w:tcPr>
          <w:p w14:paraId="0FBBFCED"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25.0</w:t>
            </w:r>
          </w:p>
        </w:tc>
      </w:tr>
      <w:tr w:rsidR="008459F1" w:rsidRPr="000B2264" w14:paraId="151F804B"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4DB77614" w14:textId="77777777" w:rsidR="008459F1" w:rsidRPr="000B2264" w:rsidRDefault="008459F1" w:rsidP="00176B25">
            <w:pPr>
              <w:spacing w:line="360" w:lineRule="auto"/>
              <w:jc w:val="both"/>
              <w:rPr>
                <w:rFonts w:asciiTheme="majorBidi" w:hAnsiTheme="majorBidi" w:cstheme="majorBidi"/>
              </w:rPr>
            </w:pPr>
          </w:p>
        </w:tc>
        <w:tc>
          <w:tcPr>
            <w:tcW w:w="2326" w:type="dxa"/>
            <w:tcBorders>
              <w:top w:val="single" w:sz="8" w:space="0" w:color="AEAEAE"/>
              <w:left w:val="nil"/>
              <w:bottom w:val="single" w:sz="8" w:space="0" w:color="AEAEAE"/>
              <w:right w:val="nil"/>
            </w:tcBorders>
            <w:shd w:val="clear" w:color="auto" w:fill="E0E0E0"/>
          </w:tcPr>
          <w:p w14:paraId="1239C651"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Mid-Level</w:t>
            </w:r>
          </w:p>
        </w:tc>
        <w:tc>
          <w:tcPr>
            <w:tcW w:w="1260" w:type="dxa"/>
            <w:tcBorders>
              <w:top w:val="single" w:sz="8" w:space="0" w:color="AEAEAE"/>
              <w:left w:val="nil"/>
              <w:bottom w:val="single" w:sz="8" w:space="0" w:color="AEAEAE"/>
              <w:right w:val="single" w:sz="8" w:space="0" w:color="E0E0E0"/>
            </w:tcBorders>
            <w:shd w:val="clear" w:color="auto" w:fill="FFFFFF"/>
          </w:tcPr>
          <w:p w14:paraId="4D79DE3A"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19</w:t>
            </w:r>
          </w:p>
        </w:tc>
        <w:tc>
          <w:tcPr>
            <w:tcW w:w="2610" w:type="dxa"/>
            <w:tcBorders>
              <w:top w:val="single" w:sz="8" w:space="0" w:color="AEAEAE"/>
              <w:left w:val="single" w:sz="8" w:space="0" w:color="E0E0E0"/>
              <w:bottom w:val="single" w:sz="8" w:space="0" w:color="AEAEAE"/>
              <w:right w:val="single" w:sz="8" w:space="0" w:color="E0E0E0"/>
            </w:tcBorders>
            <w:shd w:val="clear" w:color="auto" w:fill="FFFFFF"/>
          </w:tcPr>
          <w:p w14:paraId="574F37E0"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19.0</w:t>
            </w:r>
          </w:p>
        </w:tc>
      </w:tr>
      <w:tr w:rsidR="008459F1" w:rsidRPr="000B2264" w14:paraId="44295741"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748970A5" w14:textId="77777777" w:rsidR="008459F1" w:rsidRPr="000B2264" w:rsidRDefault="008459F1" w:rsidP="00176B25">
            <w:pPr>
              <w:spacing w:line="360" w:lineRule="auto"/>
              <w:jc w:val="both"/>
              <w:rPr>
                <w:rFonts w:asciiTheme="majorBidi" w:hAnsiTheme="majorBidi" w:cstheme="majorBidi"/>
              </w:rPr>
            </w:pPr>
          </w:p>
        </w:tc>
        <w:tc>
          <w:tcPr>
            <w:tcW w:w="2326" w:type="dxa"/>
            <w:tcBorders>
              <w:top w:val="single" w:sz="8" w:space="0" w:color="AEAEAE"/>
              <w:left w:val="nil"/>
              <w:bottom w:val="single" w:sz="8" w:space="0" w:color="AEAEAE"/>
              <w:right w:val="nil"/>
            </w:tcBorders>
            <w:shd w:val="clear" w:color="auto" w:fill="E0E0E0"/>
          </w:tcPr>
          <w:p w14:paraId="57B35B02"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Owner/Partner</w:t>
            </w:r>
          </w:p>
        </w:tc>
        <w:tc>
          <w:tcPr>
            <w:tcW w:w="1260" w:type="dxa"/>
            <w:tcBorders>
              <w:top w:val="single" w:sz="8" w:space="0" w:color="AEAEAE"/>
              <w:left w:val="nil"/>
              <w:bottom w:val="single" w:sz="8" w:space="0" w:color="AEAEAE"/>
              <w:right w:val="single" w:sz="8" w:space="0" w:color="E0E0E0"/>
            </w:tcBorders>
            <w:shd w:val="clear" w:color="auto" w:fill="FFFFFF"/>
          </w:tcPr>
          <w:p w14:paraId="16B73951"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20</w:t>
            </w:r>
          </w:p>
        </w:tc>
        <w:tc>
          <w:tcPr>
            <w:tcW w:w="2610" w:type="dxa"/>
            <w:tcBorders>
              <w:top w:val="single" w:sz="8" w:space="0" w:color="AEAEAE"/>
              <w:left w:val="single" w:sz="8" w:space="0" w:color="E0E0E0"/>
              <w:bottom w:val="single" w:sz="8" w:space="0" w:color="AEAEAE"/>
              <w:right w:val="single" w:sz="8" w:space="0" w:color="E0E0E0"/>
            </w:tcBorders>
            <w:shd w:val="clear" w:color="auto" w:fill="FFFFFF"/>
          </w:tcPr>
          <w:p w14:paraId="0E1E86E2"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20.0</w:t>
            </w:r>
          </w:p>
        </w:tc>
      </w:tr>
      <w:tr w:rsidR="008459F1" w:rsidRPr="000B2264" w14:paraId="6CC6E3AB"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01053993" w14:textId="77777777" w:rsidR="008459F1" w:rsidRPr="000B2264" w:rsidRDefault="008459F1" w:rsidP="00176B25">
            <w:pPr>
              <w:spacing w:line="360" w:lineRule="auto"/>
              <w:jc w:val="both"/>
              <w:rPr>
                <w:rFonts w:asciiTheme="majorBidi" w:hAnsiTheme="majorBidi" w:cstheme="majorBidi"/>
              </w:rPr>
            </w:pPr>
          </w:p>
        </w:tc>
        <w:tc>
          <w:tcPr>
            <w:tcW w:w="2326" w:type="dxa"/>
            <w:tcBorders>
              <w:top w:val="single" w:sz="8" w:space="0" w:color="AEAEAE"/>
              <w:left w:val="nil"/>
              <w:bottom w:val="single" w:sz="8" w:space="0" w:color="AEAEAE"/>
              <w:right w:val="nil"/>
            </w:tcBorders>
            <w:shd w:val="clear" w:color="auto" w:fill="E0E0E0"/>
          </w:tcPr>
          <w:p w14:paraId="407E7187"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Senior Level</w:t>
            </w:r>
          </w:p>
        </w:tc>
        <w:tc>
          <w:tcPr>
            <w:tcW w:w="1260" w:type="dxa"/>
            <w:tcBorders>
              <w:top w:val="single" w:sz="8" w:space="0" w:color="AEAEAE"/>
              <w:left w:val="nil"/>
              <w:bottom w:val="single" w:sz="8" w:space="0" w:color="AEAEAE"/>
              <w:right w:val="single" w:sz="8" w:space="0" w:color="E0E0E0"/>
            </w:tcBorders>
            <w:shd w:val="clear" w:color="auto" w:fill="FFFFFF"/>
          </w:tcPr>
          <w:p w14:paraId="4DD61991"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14</w:t>
            </w:r>
          </w:p>
        </w:tc>
        <w:tc>
          <w:tcPr>
            <w:tcW w:w="2610" w:type="dxa"/>
            <w:tcBorders>
              <w:top w:val="single" w:sz="8" w:space="0" w:color="AEAEAE"/>
              <w:left w:val="single" w:sz="8" w:space="0" w:color="E0E0E0"/>
              <w:bottom w:val="single" w:sz="8" w:space="0" w:color="AEAEAE"/>
              <w:right w:val="single" w:sz="8" w:space="0" w:color="E0E0E0"/>
            </w:tcBorders>
            <w:shd w:val="clear" w:color="auto" w:fill="FFFFFF"/>
          </w:tcPr>
          <w:p w14:paraId="299FA698"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14.0</w:t>
            </w:r>
          </w:p>
        </w:tc>
      </w:tr>
      <w:tr w:rsidR="008459F1" w:rsidRPr="000B2264" w14:paraId="7E293084"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2518F7C8" w14:textId="77777777" w:rsidR="008459F1" w:rsidRPr="000B2264" w:rsidRDefault="008459F1" w:rsidP="00176B25">
            <w:pPr>
              <w:spacing w:line="360" w:lineRule="auto"/>
              <w:jc w:val="both"/>
              <w:rPr>
                <w:rFonts w:asciiTheme="majorBidi" w:hAnsiTheme="majorBidi" w:cstheme="majorBidi"/>
              </w:rPr>
            </w:pPr>
          </w:p>
        </w:tc>
        <w:tc>
          <w:tcPr>
            <w:tcW w:w="2326" w:type="dxa"/>
            <w:tcBorders>
              <w:top w:val="single" w:sz="8" w:space="0" w:color="AEAEAE"/>
              <w:left w:val="nil"/>
              <w:bottom w:val="single" w:sz="8" w:space="0" w:color="152935"/>
              <w:right w:val="nil"/>
            </w:tcBorders>
            <w:shd w:val="clear" w:color="auto" w:fill="E0E0E0"/>
          </w:tcPr>
          <w:p w14:paraId="49E6736C"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Total</w:t>
            </w:r>
          </w:p>
        </w:tc>
        <w:tc>
          <w:tcPr>
            <w:tcW w:w="1260" w:type="dxa"/>
            <w:tcBorders>
              <w:top w:val="single" w:sz="8" w:space="0" w:color="AEAEAE"/>
              <w:left w:val="nil"/>
              <w:bottom w:val="single" w:sz="8" w:space="0" w:color="152935"/>
              <w:right w:val="single" w:sz="8" w:space="0" w:color="E0E0E0"/>
            </w:tcBorders>
            <w:shd w:val="clear" w:color="auto" w:fill="FFFFFF"/>
          </w:tcPr>
          <w:p w14:paraId="28E6BFD1"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100</w:t>
            </w:r>
          </w:p>
        </w:tc>
        <w:tc>
          <w:tcPr>
            <w:tcW w:w="2610" w:type="dxa"/>
            <w:tcBorders>
              <w:top w:val="single" w:sz="8" w:space="0" w:color="AEAEAE"/>
              <w:left w:val="single" w:sz="8" w:space="0" w:color="E0E0E0"/>
              <w:bottom w:val="single" w:sz="8" w:space="0" w:color="152935"/>
              <w:right w:val="single" w:sz="8" w:space="0" w:color="E0E0E0"/>
            </w:tcBorders>
            <w:shd w:val="clear" w:color="auto" w:fill="FFFFFF"/>
          </w:tcPr>
          <w:p w14:paraId="375976A4" w14:textId="77777777" w:rsidR="008459F1" w:rsidRPr="000B2264" w:rsidRDefault="008459F1" w:rsidP="00176B25">
            <w:pPr>
              <w:spacing w:line="360" w:lineRule="auto"/>
              <w:jc w:val="both"/>
              <w:rPr>
                <w:rFonts w:asciiTheme="majorBidi" w:hAnsiTheme="majorBidi" w:cstheme="majorBidi"/>
              </w:rPr>
            </w:pPr>
            <w:r w:rsidRPr="000B2264">
              <w:rPr>
                <w:rFonts w:asciiTheme="majorBidi" w:hAnsiTheme="majorBidi" w:cstheme="majorBidi"/>
              </w:rPr>
              <w:t>100.0</w:t>
            </w:r>
          </w:p>
        </w:tc>
      </w:tr>
    </w:tbl>
    <w:p w14:paraId="0D3727F9" w14:textId="77777777" w:rsidR="008459F1" w:rsidRPr="000B2264" w:rsidRDefault="008459F1" w:rsidP="008459F1">
      <w:pPr>
        <w:spacing w:line="360" w:lineRule="auto"/>
        <w:ind w:left="360"/>
        <w:jc w:val="both"/>
        <w:rPr>
          <w:rFonts w:asciiTheme="majorBidi" w:hAnsiTheme="majorBidi" w:cstheme="majorBidi"/>
        </w:rPr>
      </w:pPr>
    </w:p>
    <w:p w14:paraId="18054437" w14:textId="77777777" w:rsidR="008459F1" w:rsidRDefault="008459F1" w:rsidP="008459F1">
      <w:pPr>
        <w:spacing w:line="360" w:lineRule="auto"/>
        <w:ind w:left="360"/>
        <w:jc w:val="both"/>
        <w:rPr>
          <w:rFonts w:asciiTheme="majorBidi" w:hAnsiTheme="majorBidi" w:cstheme="majorBidi"/>
          <w:b/>
          <w:bCs/>
        </w:rPr>
      </w:pPr>
      <w:r>
        <w:rPr>
          <w:rFonts w:asciiTheme="majorBidi" w:hAnsiTheme="majorBidi" w:cstheme="majorBidi"/>
          <w:b/>
          <w:bCs/>
        </w:rPr>
        <w:t>Table 3: Annual Income</w:t>
      </w:r>
    </w:p>
    <w:tbl>
      <w:tblPr>
        <w:tblW w:w="6930"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236"/>
        <w:gridCol w:w="1530"/>
        <w:gridCol w:w="2430"/>
      </w:tblGrid>
      <w:tr w:rsidR="008459F1" w:rsidRPr="00E07B2A" w14:paraId="6A40B59D" w14:textId="77777777" w:rsidTr="00176B25">
        <w:trPr>
          <w:cantSplit/>
        </w:trPr>
        <w:tc>
          <w:tcPr>
            <w:tcW w:w="2970" w:type="dxa"/>
            <w:gridSpan w:val="2"/>
            <w:tcBorders>
              <w:top w:val="nil"/>
              <w:left w:val="nil"/>
              <w:bottom w:val="single" w:sz="8" w:space="0" w:color="152935"/>
              <w:right w:val="nil"/>
            </w:tcBorders>
            <w:shd w:val="clear" w:color="auto" w:fill="FFFFFF"/>
            <w:vAlign w:val="bottom"/>
          </w:tcPr>
          <w:p w14:paraId="1D16B3C5" w14:textId="77777777" w:rsidR="008459F1" w:rsidRPr="00E07B2A" w:rsidRDefault="008459F1" w:rsidP="00176B25">
            <w:pPr>
              <w:spacing w:line="360" w:lineRule="auto"/>
              <w:jc w:val="both"/>
              <w:rPr>
                <w:rFonts w:asciiTheme="majorBidi" w:hAnsiTheme="majorBidi" w:cstheme="majorBidi"/>
              </w:rPr>
            </w:pPr>
          </w:p>
        </w:tc>
        <w:tc>
          <w:tcPr>
            <w:tcW w:w="1530" w:type="dxa"/>
            <w:tcBorders>
              <w:top w:val="nil"/>
              <w:left w:val="nil"/>
              <w:bottom w:val="single" w:sz="8" w:space="0" w:color="152935"/>
              <w:right w:val="single" w:sz="8" w:space="0" w:color="E0E0E0"/>
            </w:tcBorders>
            <w:shd w:val="clear" w:color="auto" w:fill="FFFFFF"/>
            <w:vAlign w:val="bottom"/>
          </w:tcPr>
          <w:p w14:paraId="0AFB527A"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Frequency</w:t>
            </w:r>
          </w:p>
        </w:tc>
        <w:tc>
          <w:tcPr>
            <w:tcW w:w="2430" w:type="dxa"/>
            <w:tcBorders>
              <w:top w:val="nil"/>
              <w:left w:val="single" w:sz="8" w:space="0" w:color="E0E0E0"/>
              <w:bottom w:val="single" w:sz="8" w:space="0" w:color="152935"/>
              <w:right w:val="single" w:sz="8" w:space="0" w:color="E0E0E0"/>
            </w:tcBorders>
            <w:shd w:val="clear" w:color="auto" w:fill="FFFFFF"/>
            <w:vAlign w:val="bottom"/>
          </w:tcPr>
          <w:p w14:paraId="6697D7DA"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Percent</w:t>
            </w:r>
          </w:p>
        </w:tc>
      </w:tr>
      <w:tr w:rsidR="008459F1" w:rsidRPr="00E07B2A" w14:paraId="32DFFE78" w14:textId="77777777" w:rsidTr="00176B25">
        <w:trPr>
          <w:cantSplit/>
        </w:trPr>
        <w:tc>
          <w:tcPr>
            <w:tcW w:w="734" w:type="dxa"/>
            <w:vMerge w:val="restart"/>
            <w:tcBorders>
              <w:top w:val="single" w:sz="8" w:space="0" w:color="152935"/>
              <w:left w:val="nil"/>
              <w:bottom w:val="single" w:sz="8" w:space="0" w:color="152935"/>
              <w:right w:val="nil"/>
            </w:tcBorders>
            <w:shd w:val="clear" w:color="auto" w:fill="E0E0E0"/>
          </w:tcPr>
          <w:p w14:paraId="4F8425B2"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Valid</w:t>
            </w:r>
          </w:p>
        </w:tc>
        <w:tc>
          <w:tcPr>
            <w:tcW w:w="2236" w:type="dxa"/>
            <w:tcBorders>
              <w:top w:val="single" w:sz="8" w:space="0" w:color="152935"/>
              <w:left w:val="nil"/>
              <w:bottom w:val="single" w:sz="8" w:space="0" w:color="AEAEAE"/>
              <w:right w:val="nil"/>
            </w:tcBorders>
            <w:shd w:val="clear" w:color="auto" w:fill="E0E0E0"/>
          </w:tcPr>
          <w:p w14:paraId="1BA6F974"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$30,001 - $50,000</w:t>
            </w:r>
          </w:p>
        </w:tc>
        <w:tc>
          <w:tcPr>
            <w:tcW w:w="1530" w:type="dxa"/>
            <w:tcBorders>
              <w:top w:val="single" w:sz="8" w:space="0" w:color="152935"/>
              <w:left w:val="nil"/>
              <w:bottom w:val="single" w:sz="8" w:space="0" w:color="AEAEAE"/>
              <w:right w:val="single" w:sz="8" w:space="0" w:color="E0E0E0"/>
            </w:tcBorders>
            <w:shd w:val="clear" w:color="auto" w:fill="FFFFFF"/>
          </w:tcPr>
          <w:p w14:paraId="6FBC9E2C"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30</w:t>
            </w:r>
          </w:p>
        </w:tc>
        <w:tc>
          <w:tcPr>
            <w:tcW w:w="2430" w:type="dxa"/>
            <w:tcBorders>
              <w:top w:val="single" w:sz="8" w:space="0" w:color="152935"/>
              <w:left w:val="single" w:sz="8" w:space="0" w:color="E0E0E0"/>
              <w:bottom w:val="single" w:sz="8" w:space="0" w:color="AEAEAE"/>
              <w:right w:val="single" w:sz="8" w:space="0" w:color="E0E0E0"/>
            </w:tcBorders>
            <w:shd w:val="clear" w:color="auto" w:fill="FFFFFF"/>
          </w:tcPr>
          <w:p w14:paraId="320CDF51"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30.0</w:t>
            </w:r>
          </w:p>
        </w:tc>
      </w:tr>
      <w:tr w:rsidR="008459F1" w:rsidRPr="00E07B2A" w14:paraId="1F8FDE48"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5632057A" w14:textId="77777777" w:rsidR="008459F1" w:rsidRPr="00E07B2A" w:rsidRDefault="008459F1" w:rsidP="00176B25">
            <w:pPr>
              <w:spacing w:line="360" w:lineRule="auto"/>
              <w:jc w:val="both"/>
              <w:rPr>
                <w:rFonts w:asciiTheme="majorBidi" w:hAnsiTheme="majorBidi" w:cstheme="majorBidi"/>
              </w:rPr>
            </w:pPr>
          </w:p>
        </w:tc>
        <w:tc>
          <w:tcPr>
            <w:tcW w:w="2236" w:type="dxa"/>
            <w:tcBorders>
              <w:top w:val="single" w:sz="8" w:space="0" w:color="AEAEAE"/>
              <w:left w:val="nil"/>
              <w:bottom w:val="single" w:sz="8" w:space="0" w:color="AEAEAE"/>
              <w:right w:val="nil"/>
            </w:tcBorders>
            <w:shd w:val="clear" w:color="auto" w:fill="E0E0E0"/>
          </w:tcPr>
          <w:p w14:paraId="580908E3"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Less than $10,000</w:t>
            </w:r>
          </w:p>
        </w:tc>
        <w:tc>
          <w:tcPr>
            <w:tcW w:w="1530" w:type="dxa"/>
            <w:tcBorders>
              <w:top w:val="single" w:sz="8" w:space="0" w:color="AEAEAE"/>
              <w:left w:val="nil"/>
              <w:bottom w:val="single" w:sz="8" w:space="0" w:color="AEAEAE"/>
              <w:right w:val="single" w:sz="8" w:space="0" w:color="E0E0E0"/>
            </w:tcBorders>
            <w:shd w:val="clear" w:color="auto" w:fill="FFFFFF"/>
          </w:tcPr>
          <w:p w14:paraId="6DA6D80F"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29</w:t>
            </w:r>
          </w:p>
        </w:tc>
        <w:tc>
          <w:tcPr>
            <w:tcW w:w="2430" w:type="dxa"/>
            <w:tcBorders>
              <w:top w:val="single" w:sz="8" w:space="0" w:color="AEAEAE"/>
              <w:left w:val="single" w:sz="8" w:space="0" w:color="E0E0E0"/>
              <w:bottom w:val="single" w:sz="8" w:space="0" w:color="AEAEAE"/>
              <w:right w:val="single" w:sz="8" w:space="0" w:color="E0E0E0"/>
            </w:tcBorders>
            <w:shd w:val="clear" w:color="auto" w:fill="FFFFFF"/>
          </w:tcPr>
          <w:p w14:paraId="34BBB15C"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29.0</w:t>
            </w:r>
          </w:p>
        </w:tc>
      </w:tr>
      <w:tr w:rsidR="008459F1" w:rsidRPr="00E07B2A" w14:paraId="29004761"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6D4F2B0C" w14:textId="77777777" w:rsidR="008459F1" w:rsidRPr="00E07B2A" w:rsidRDefault="008459F1" w:rsidP="00176B25">
            <w:pPr>
              <w:spacing w:line="360" w:lineRule="auto"/>
              <w:jc w:val="both"/>
              <w:rPr>
                <w:rFonts w:asciiTheme="majorBidi" w:hAnsiTheme="majorBidi" w:cstheme="majorBidi"/>
              </w:rPr>
            </w:pPr>
          </w:p>
        </w:tc>
        <w:tc>
          <w:tcPr>
            <w:tcW w:w="2236" w:type="dxa"/>
            <w:tcBorders>
              <w:top w:val="single" w:sz="8" w:space="0" w:color="AEAEAE"/>
              <w:left w:val="nil"/>
              <w:bottom w:val="single" w:sz="8" w:space="0" w:color="AEAEAE"/>
              <w:right w:val="nil"/>
            </w:tcBorders>
            <w:shd w:val="clear" w:color="auto" w:fill="E0E0E0"/>
          </w:tcPr>
          <w:p w14:paraId="113362B9"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$20,001 - $30,000</w:t>
            </w:r>
          </w:p>
        </w:tc>
        <w:tc>
          <w:tcPr>
            <w:tcW w:w="1530" w:type="dxa"/>
            <w:tcBorders>
              <w:top w:val="single" w:sz="8" w:space="0" w:color="AEAEAE"/>
              <w:left w:val="nil"/>
              <w:bottom w:val="single" w:sz="8" w:space="0" w:color="AEAEAE"/>
              <w:right w:val="single" w:sz="8" w:space="0" w:color="E0E0E0"/>
            </w:tcBorders>
            <w:shd w:val="clear" w:color="auto" w:fill="FFFFFF"/>
          </w:tcPr>
          <w:p w14:paraId="7B5F1451"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21</w:t>
            </w:r>
          </w:p>
        </w:tc>
        <w:tc>
          <w:tcPr>
            <w:tcW w:w="2430" w:type="dxa"/>
            <w:tcBorders>
              <w:top w:val="single" w:sz="8" w:space="0" w:color="AEAEAE"/>
              <w:left w:val="single" w:sz="8" w:space="0" w:color="E0E0E0"/>
              <w:bottom w:val="single" w:sz="8" w:space="0" w:color="AEAEAE"/>
              <w:right w:val="single" w:sz="8" w:space="0" w:color="E0E0E0"/>
            </w:tcBorders>
            <w:shd w:val="clear" w:color="auto" w:fill="FFFFFF"/>
          </w:tcPr>
          <w:p w14:paraId="099B61B6"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21.0</w:t>
            </w:r>
          </w:p>
        </w:tc>
      </w:tr>
      <w:tr w:rsidR="008459F1" w:rsidRPr="00E07B2A" w14:paraId="0770AAC5"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0ABF19ED" w14:textId="77777777" w:rsidR="008459F1" w:rsidRPr="00E07B2A" w:rsidRDefault="008459F1" w:rsidP="00176B25">
            <w:pPr>
              <w:spacing w:line="360" w:lineRule="auto"/>
              <w:jc w:val="both"/>
              <w:rPr>
                <w:rFonts w:asciiTheme="majorBidi" w:hAnsiTheme="majorBidi" w:cstheme="majorBidi"/>
              </w:rPr>
            </w:pPr>
          </w:p>
        </w:tc>
        <w:tc>
          <w:tcPr>
            <w:tcW w:w="2236" w:type="dxa"/>
            <w:tcBorders>
              <w:top w:val="single" w:sz="8" w:space="0" w:color="AEAEAE"/>
              <w:left w:val="nil"/>
              <w:bottom w:val="single" w:sz="8" w:space="0" w:color="AEAEAE"/>
              <w:right w:val="nil"/>
            </w:tcBorders>
            <w:shd w:val="clear" w:color="auto" w:fill="E0E0E0"/>
          </w:tcPr>
          <w:p w14:paraId="605249B9"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&gt; $50,000</w:t>
            </w:r>
          </w:p>
        </w:tc>
        <w:tc>
          <w:tcPr>
            <w:tcW w:w="1530" w:type="dxa"/>
            <w:tcBorders>
              <w:top w:val="single" w:sz="8" w:space="0" w:color="AEAEAE"/>
              <w:left w:val="nil"/>
              <w:bottom w:val="single" w:sz="8" w:space="0" w:color="AEAEAE"/>
              <w:right w:val="single" w:sz="8" w:space="0" w:color="E0E0E0"/>
            </w:tcBorders>
            <w:shd w:val="clear" w:color="auto" w:fill="FFFFFF"/>
          </w:tcPr>
          <w:p w14:paraId="4FE339FD"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12</w:t>
            </w:r>
          </w:p>
        </w:tc>
        <w:tc>
          <w:tcPr>
            <w:tcW w:w="2430" w:type="dxa"/>
            <w:tcBorders>
              <w:top w:val="single" w:sz="8" w:space="0" w:color="AEAEAE"/>
              <w:left w:val="single" w:sz="8" w:space="0" w:color="E0E0E0"/>
              <w:bottom w:val="single" w:sz="8" w:space="0" w:color="AEAEAE"/>
              <w:right w:val="single" w:sz="8" w:space="0" w:color="E0E0E0"/>
            </w:tcBorders>
            <w:shd w:val="clear" w:color="auto" w:fill="FFFFFF"/>
          </w:tcPr>
          <w:p w14:paraId="5B347B72"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12.0</w:t>
            </w:r>
          </w:p>
        </w:tc>
      </w:tr>
      <w:tr w:rsidR="008459F1" w:rsidRPr="00E07B2A" w14:paraId="40B9D88E"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0853FFB1" w14:textId="77777777" w:rsidR="008459F1" w:rsidRPr="00E07B2A" w:rsidRDefault="008459F1" w:rsidP="00176B25">
            <w:pPr>
              <w:spacing w:line="360" w:lineRule="auto"/>
              <w:jc w:val="both"/>
              <w:rPr>
                <w:rFonts w:asciiTheme="majorBidi" w:hAnsiTheme="majorBidi" w:cstheme="majorBidi"/>
              </w:rPr>
            </w:pPr>
          </w:p>
        </w:tc>
        <w:tc>
          <w:tcPr>
            <w:tcW w:w="2236" w:type="dxa"/>
            <w:tcBorders>
              <w:top w:val="single" w:sz="8" w:space="0" w:color="AEAEAE"/>
              <w:left w:val="nil"/>
              <w:bottom w:val="single" w:sz="8" w:space="0" w:color="AEAEAE"/>
              <w:right w:val="nil"/>
            </w:tcBorders>
            <w:shd w:val="clear" w:color="auto" w:fill="E0E0E0"/>
          </w:tcPr>
          <w:p w14:paraId="1984DEA7"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$10,001 - $20,000</w:t>
            </w:r>
          </w:p>
        </w:tc>
        <w:tc>
          <w:tcPr>
            <w:tcW w:w="1530" w:type="dxa"/>
            <w:tcBorders>
              <w:top w:val="single" w:sz="8" w:space="0" w:color="AEAEAE"/>
              <w:left w:val="nil"/>
              <w:bottom w:val="single" w:sz="8" w:space="0" w:color="AEAEAE"/>
              <w:right w:val="single" w:sz="8" w:space="0" w:color="E0E0E0"/>
            </w:tcBorders>
            <w:shd w:val="clear" w:color="auto" w:fill="FFFFFF"/>
          </w:tcPr>
          <w:p w14:paraId="195E6CBC"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8</w:t>
            </w:r>
          </w:p>
        </w:tc>
        <w:tc>
          <w:tcPr>
            <w:tcW w:w="2430" w:type="dxa"/>
            <w:tcBorders>
              <w:top w:val="single" w:sz="8" w:space="0" w:color="AEAEAE"/>
              <w:left w:val="single" w:sz="8" w:space="0" w:color="E0E0E0"/>
              <w:bottom w:val="single" w:sz="8" w:space="0" w:color="AEAEAE"/>
              <w:right w:val="single" w:sz="8" w:space="0" w:color="E0E0E0"/>
            </w:tcBorders>
            <w:shd w:val="clear" w:color="auto" w:fill="FFFFFF"/>
          </w:tcPr>
          <w:p w14:paraId="567E2763"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8.0</w:t>
            </w:r>
          </w:p>
        </w:tc>
      </w:tr>
      <w:tr w:rsidR="008459F1" w:rsidRPr="00E07B2A" w14:paraId="5022F686" w14:textId="77777777" w:rsidTr="00176B25">
        <w:trPr>
          <w:cantSplit/>
        </w:trPr>
        <w:tc>
          <w:tcPr>
            <w:tcW w:w="734" w:type="dxa"/>
            <w:vMerge/>
            <w:tcBorders>
              <w:top w:val="single" w:sz="8" w:space="0" w:color="152935"/>
              <w:left w:val="nil"/>
              <w:bottom w:val="single" w:sz="8" w:space="0" w:color="152935"/>
              <w:right w:val="nil"/>
            </w:tcBorders>
            <w:shd w:val="clear" w:color="auto" w:fill="E0E0E0"/>
          </w:tcPr>
          <w:p w14:paraId="34B5A663" w14:textId="77777777" w:rsidR="008459F1" w:rsidRPr="00E07B2A" w:rsidRDefault="008459F1" w:rsidP="00176B25">
            <w:pPr>
              <w:spacing w:line="360" w:lineRule="auto"/>
              <w:jc w:val="both"/>
              <w:rPr>
                <w:rFonts w:asciiTheme="majorBidi" w:hAnsiTheme="majorBidi" w:cstheme="majorBidi"/>
              </w:rPr>
            </w:pPr>
          </w:p>
        </w:tc>
        <w:tc>
          <w:tcPr>
            <w:tcW w:w="2236" w:type="dxa"/>
            <w:tcBorders>
              <w:top w:val="single" w:sz="8" w:space="0" w:color="AEAEAE"/>
              <w:left w:val="nil"/>
              <w:bottom w:val="single" w:sz="8" w:space="0" w:color="152935"/>
              <w:right w:val="nil"/>
            </w:tcBorders>
            <w:shd w:val="clear" w:color="auto" w:fill="E0E0E0"/>
          </w:tcPr>
          <w:p w14:paraId="37BD05E6"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Total</w:t>
            </w:r>
          </w:p>
        </w:tc>
        <w:tc>
          <w:tcPr>
            <w:tcW w:w="1530" w:type="dxa"/>
            <w:tcBorders>
              <w:top w:val="single" w:sz="8" w:space="0" w:color="AEAEAE"/>
              <w:left w:val="nil"/>
              <w:bottom w:val="single" w:sz="8" w:space="0" w:color="152935"/>
              <w:right w:val="single" w:sz="8" w:space="0" w:color="E0E0E0"/>
            </w:tcBorders>
            <w:shd w:val="clear" w:color="auto" w:fill="FFFFFF"/>
          </w:tcPr>
          <w:p w14:paraId="69980B8A"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100</w:t>
            </w:r>
          </w:p>
        </w:tc>
        <w:tc>
          <w:tcPr>
            <w:tcW w:w="2430" w:type="dxa"/>
            <w:tcBorders>
              <w:top w:val="single" w:sz="8" w:space="0" w:color="AEAEAE"/>
              <w:left w:val="single" w:sz="8" w:space="0" w:color="E0E0E0"/>
              <w:bottom w:val="single" w:sz="8" w:space="0" w:color="152935"/>
              <w:right w:val="single" w:sz="8" w:space="0" w:color="E0E0E0"/>
            </w:tcBorders>
            <w:shd w:val="clear" w:color="auto" w:fill="FFFFFF"/>
          </w:tcPr>
          <w:p w14:paraId="08FF95D0" w14:textId="77777777" w:rsidR="008459F1" w:rsidRPr="00E07B2A" w:rsidRDefault="008459F1" w:rsidP="00176B25">
            <w:pPr>
              <w:spacing w:line="360" w:lineRule="auto"/>
              <w:jc w:val="both"/>
              <w:rPr>
                <w:rFonts w:asciiTheme="majorBidi" w:hAnsiTheme="majorBidi" w:cstheme="majorBidi"/>
              </w:rPr>
            </w:pPr>
            <w:r w:rsidRPr="00E07B2A">
              <w:rPr>
                <w:rFonts w:asciiTheme="majorBidi" w:hAnsiTheme="majorBidi" w:cstheme="majorBidi"/>
              </w:rPr>
              <w:t>100.0</w:t>
            </w:r>
          </w:p>
        </w:tc>
      </w:tr>
    </w:tbl>
    <w:p w14:paraId="685841BA" w14:textId="77777777" w:rsidR="008459F1" w:rsidRPr="00E07B2A" w:rsidRDefault="008459F1" w:rsidP="008459F1">
      <w:pPr>
        <w:spacing w:line="360" w:lineRule="auto"/>
        <w:ind w:left="360"/>
        <w:jc w:val="both"/>
        <w:rPr>
          <w:rFonts w:asciiTheme="majorBidi" w:hAnsiTheme="majorBidi" w:cstheme="majorBidi"/>
        </w:rPr>
      </w:pPr>
    </w:p>
    <w:p w14:paraId="1CDE6E9D" w14:textId="77777777" w:rsidR="008459F1" w:rsidRDefault="008459F1" w:rsidP="008459F1">
      <w:pPr>
        <w:spacing w:line="360" w:lineRule="auto"/>
        <w:ind w:left="360"/>
        <w:jc w:val="both"/>
        <w:rPr>
          <w:rFonts w:asciiTheme="majorBidi" w:hAnsiTheme="majorBidi" w:cstheme="majorBidi"/>
        </w:rPr>
      </w:pPr>
      <w:r>
        <w:rPr>
          <w:rFonts w:asciiTheme="majorBidi" w:hAnsiTheme="majorBidi" w:cstheme="majorBidi"/>
        </w:rPr>
        <w:t>Table 1</w:t>
      </w:r>
      <w:r w:rsidRPr="00000EB5">
        <w:rPr>
          <w:rFonts w:asciiTheme="majorBidi" w:hAnsiTheme="majorBidi" w:cstheme="majorBidi"/>
        </w:rPr>
        <w:t xml:space="preserve"> shows the distribution of age is almost equal, the biggest group is aged 36-45 years (28%), followed by 46-55 years (22%). </w:t>
      </w:r>
      <w:r>
        <w:rPr>
          <w:rFonts w:asciiTheme="majorBidi" w:hAnsiTheme="majorBidi" w:cstheme="majorBidi"/>
        </w:rPr>
        <w:t>In the case of t</w:t>
      </w:r>
      <w:r w:rsidRPr="00000EB5">
        <w:rPr>
          <w:rFonts w:asciiTheme="majorBidi" w:hAnsiTheme="majorBidi" w:cstheme="majorBidi"/>
        </w:rPr>
        <w:t xml:space="preserve">he </w:t>
      </w:r>
      <w:r>
        <w:rPr>
          <w:rFonts w:asciiTheme="majorBidi" w:hAnsiTheme="majorBidi" w:cstheme="majorBidi"/>
        </w:rPr>
        <w:t xml:space="preserve">job position, Table 2 </w:t>
      </w:r>
      <w:proofErr w:type="gramStart"/>
      <w:r>
        <w:rPr>
          <w:rFonts w:asciiTheme="majorBidi" w:hAnsiTheme="majorBidi" w:cstheme="majorBidi"/>
        </w:rPr>
        <w:t xml:space="preserve">shows </w:t>
      </w:r>
      <w:r w:rsidRPr="00000EB5">
        <w:rPr>
          <w:rFonts w:asciiTheme="majorBidi" w:hAnsiTheme="majorBidi" w:cstheme="majorBidi"/>
        </w:rPr>
        <w:t xml:space="preserve"> </w:t>
      </w:r>
      <w:r>
        <w:rPr>
          <w:rFonts w:asciiTheme="majorBidi" w:hAnsiTheme="majorBidi" w:cstheme="majorBidi"/>
        </w:rPr>
        <w:t>that</w:t>
      </w:r>
      <w:proofErr w:type="gramEnd"/>
      <w:r>
        <w:rPr>
          <w:rFonts w:asciiTheme="majorBidi" w:hAnsiTheme="majorBidi" w:cstheme="majorBidi"/>
        </w:rPr>
        <w:t xml:space="preserve"> </w:t>
      </w:r>
      <w:r w:rsidRPr="00000EB5">
        <w:rPr>
          <w:rFonts w:asciiTheme="majorBidi" w:hAnsiTheme="majorBidi" w:cstheme="majorBidi"/>
        </w:rPr>
        <w:t xml:space="preserve">the majority </w:t>
      </w:r>
      <w:r>
        <w:rPr>
          <w:rFonts w:asciiTheme="majorBidi" w:hAnsiTheme="majorBidi" w:cstheme="majorBidi"/>
        </w:rPr>
        <w:t>of the participants held an</w:t>
      </w:r>
      <w:r w:rsidRPr="00000EB5">
        <w:rPr>
          <w:rFonts w:asciiTheme="majorBidi" w:hAnsiTheme="majorBidi" w:cstheme="majorBidi"/>
        </w:rPr>
        <w:t xml:space="preserve"> executive</w:t>
      </w:r>
      <w:r>
        <w:rPr>
          <w:rFonts w:asciiTheme="majorBidi" w:hAnsiTheme="majorBidi" w:cstheme="majorBidi"/>
        </w:rPr>
        <w:t xml:space="preserve"> role</w:t>
      </w:r>
      <w:r w:rsidRPr="00000EB5">
        <w:rPr>
          <w:rFonts w:asciiTheme="majorBidi" w:hAnsiTheme="majorBidi" w:cstheme="majorBidi"/>
        </w:rPr>
        <w:t xml:space="preserve"> (2</w:t>
      </w:r>
      <w:r>
        <w:rPr>
          <w:rFonts w:asciiTheme="majorBidi" w:hAnsiTheme="majorBidi" w:cstheme="majorBidi"/>
        </w:rPr>
        <w:t>5</w:t>
      </w:r>
      <w:r w:rsidRPr="00000EB5">
        <w:rPr>
          <w:rFonts w:asciiTheme="majorBidi" w:hAnsiTheme="majorBidi" w:cstheme="majorBidi"/>
        </w:rPr>
        <w:t>%)</w:t>
      </w:r>
      <w:r>
        <w:rPr>
          <w:rFonts w:asciiTheme="majorBidi" w:hAnsiTheme="majorBidi" w:cstheme="majorBidi"/>
        </w:rPr>
        <w:t>, followed by</w:t>
      </w:r>
      <w:r w:rsidRPr="00000EB5">
        <w:rPr>
          <w:rFonts w:asciiTheme="majorBidi" w:hAnsiTheme="majorBidi" w:cstheme="majorBidi"/>
        </w:rPr>
        <w:t xml:space="preserve"> entry</w:t>
      </w:r>
      <w:r>
        <w:rPr>
          <w:rFonts w:asciiTheme="majorBidi" w:hAnsiTheme="majorBidi" w:cstheme="majorBidi"/>
        </w:rPr>
        <w:t xml:space="preserve"> </w:t>
      </w:r>
      <w:r w:rsidRPr="00000EB5">
        <w:rPr>
          <w:rFonts w:asciiTheme="majorBidi" w:hAnsiTheme="majorBidi" w:cstheme="majorBidi"/>
        </w:rPr>
        <w:t>level (2</w:t>
      </w:r>
      <w:r>
        <w:rPr>
          <w:rFonts w:asciiTheme="majorBidi" w:hAnsiTheme="majorBidi" w:cstheme="majorBidi"/>
        </w:rPr>
        <w:t>2</w:t>
      </w:r>
      <w:r w:rsidRPr="00000EB5">
        <w:rPr>
          <w:rFonts w:asciiTheme="majorBidi" w:hAnsiTheme="majorBidi" w:cstheme="majorBidi"/>
        </w:rPr>
        <w:t xml:space="preserve">%) </w:t>
      </w:r>
      <w:r>
        <w:rPr>
          <w:rFonts w:asciiTheme="majorBidi" w:hAnsiTheme="majorBidi" w:cstheme="majorBidi"/>
        </w:rPr>
        <w:t>position</w:t>
      </w:r>
      <w:r w:rsidRPr="00000EB5">
        <w:rPr>
          <w:rFonts w:asciiTheme="majorBidi" w:hAnsiTheme="majorBidi" w:cstheme="majorBidi"/>
        </w:rPr>
        <w:t>.</w:t>
      </w:r>
      <w:r>
        <w:rPr>
          <w:rFonts w:asciiTheme="majorBidi" w:hAnsiTheme="majorBidi" w:cstheme="majorBidi"/>
        </w:rPr>
        <w:t xml:space="preserve"> Few participants held a senior level (14%) position. Table 3 </w:t>
      </w:r>
      <w:proofErr w:type="gramStart"/>
      <w:r>
        <w:rPr>
          <w:rFonts w:asciiTheme="majorBidi" w:hAnsiTheme="majorBidi" w:cstheme="majorBidi"/>
        </w:rPr>
        <w:t xml:space="preserve">shows </w:t>
      </w:r>
      <w:r w:rsidRPr="00000EB5">
        <w:rPr>
          <w:rFonts w:asciiTheme="majorBidi" w:hAnsiTheme="majorBidi" w:cstheme="majorBidi"/>
        </w:rPr>
        <w:t xml:space="preserve"> </w:t>
      </w:r>
      <w:r>
        <w:rPr>
          <w:rFonts w:asciiTheme="majorBidi" w:hAnsiTheme="majorBidi" w:cstheme="majorBidi"/>
        </w:rPr>
        <w:t>the</w:t>
      </w:r>
      <w:proofErr w:type="gramEnd"/>
      <w:r>
        <w:rPr>
          <w:rFonts w:asciiTheme="majorBidi" w:hAnsiTheme="majorBidi" w:cstheme="majorBidi"/>
        </w:rPr>
        <w:t xml:space="preserve"> annual income, which indicates that </w:t>
      </w:r>
      <w:r w:rsidRPr="00000EB5">
        <w:rPr>
          <w:rFonts w:asciiTheme="majorBidi" w:hAnsiTheme="majorBidi" w:cstheme="majorBidi"/>
        </w:rPr>
        <w:t xml:space="preserve">a large percentage (30%) get between </w:t>
      </w:r>
      <w:r>
        <w:rPr>
          <w:rFonts w:asciiTheme="majorBidi" w:hAnsiTheme="majorBidi" w:cstheme="majorBidi"/>
        </w:rPr>
        <w:t>$</w:t>
      </w:r>
      <w:r w:rsidRPr="00000EB5">
        <w:rPr>
          <w:rFonts w:asciiTheme="majorBidi" w:hAnsiTheme="majorBidi" w:cstheme="majorBidi"/>
        </w:rPr>
        <w:t>30,001-</w:t>
      </w:r>
      <w:r>
        <w:rPr>
          <w:rFonts w:asciiTheme="majorBidi" w:hAnsiTheme="majorBidi" w:cstheme="majorBidi"/>
        </w:rPr>
        <w:t>$</w:t>
      </w:r>
      <w:r w:rsidRPr="00000EB5">
        <w:rPr>
          <w:rFonts w:asciiTheme="majorBidi" w:hAnsiTheme="majorBidi" w:cstheme="majorBidi"/>
        </w:rPr>
        <w:t>50,000, 2</w:t>
      </w:r>
      <w:r>
        <w:rPr>
          <w:rFonts w:asciiTheme="majorBidi" w:hAnsiTheme="majorBidi" w:cstheme="majorBidi"/>
        </w:rPr>
        <w:t>9%</w:t>
      </w:r>
      <w:r w:rsidRPr="00000EB5">
        <w:rPr>
          <w:rFonts w:asciiTheme="majorBidi" w:hAnsiTheme="majorBidi" w:cstheme="majorBidi"/>
        </w:rPr>
        <w:t xml:space="preserve"> make less than </w:t>
      </w:r>
      <w:r>
        <w:rPr>
          <w:rFonts w:asciiTheme="majorBidi" w:hAnsiTheme="majorBidi" w:cstheme="majorBidi"/>
        </w:rPr>
        <w:t>$</w:t>
      </w:r>
      <w:r w:rsidRPr="00000EB5">
        <w:rPr>
          <w:rFonts w:asciiTheme="majorBidi" w:hAnsiTheme="majorBidi" w:cstheme="majorBidi"/>
        </w:rPr>
        <w:t>10,000 with an income distribution bearing a diverse</w:t>
      </w:r>
      <w:r>
        <w:rPr>
          <w:rFonts w:asciiTheme="majorBidi" w:hAnsiTheme="majorBidi" w:cstheme="majorBidi"/>
        </w:rPr>
        <w:t xml:space="preserve"> financial</w:t>
      </w:r>
      <w:r w:rsidRPr="00000EB5">
        <w:rPr>
          <w:rFonts w:asciiTheme="majorBidi" w:hAnsiTheme="majorBidi" w:cstheme="majorBidi"/>
        </w:rPr>
        <w:t xml:space="preserve"> background. Such demographics are essential when contextualizing the effect that occupational status and income would have affected international travel </w:t>
      </w:r>
      <w:proofErr w:type="spellStart"/>
      <w:r w:rsidRPr="00000EB5">
        <w:rPr>
          <w:rFonts w:asciiTheme="majorBidi" w:hAnsiTheme="majorBidi" w:cstheme="majorBidi"/>
        </w:rPr>
        <w:t>behavior</w:t>
      </w:r>
      <w:proofErr w:type="spellEnd"/>
      <w:r w:rsidRPr="00000EB5">
        <w:rPr>
          <w:rFonts w:asciiTheme="majorBidi" w:hAnsiTheme="majorBidi" w:cstheme="majorBidi"/>
        </w:rPr>
        <w:t xml:space="preserve">. The sample is representative of workforce diversities by covering quite a wide range of age groups, income and </w:t>
      </w:r>
      <w:r>
        <w:rPr>
          <w:rFonts w:asciiTheme="majorBidi" w:hAnsiTheme="majorBidi" w:cstheme="majorBidi"/>
        </w:rPr>
        <w:t>position</w:t>
      </w:r>
      <w:r w:rsidRPr="00000EB5">
        <w:rPr>
          <w:rFonts w:asciiTheme="majorBidi" w:hAnsiTheme="majorBidi" w:cstheme="majorBidi"/>
        </w:rPr>
        <w:t xml:space="preserve">, making the further analyses to be more generalizable. These descriptive findings give rise </w:t>
      </w:r>
      <w:r w:rsidRPr="00000EB5">
        <w:rPr>
          <w:rFonts w:asciiTheme="majorBidi" w:hAnsiTheme="majorBidi" w:cstheme="majorBidi"/>
        </w:rPr>
        <w:lastRenderedPageBreak/>
        <w:t>to the inferential testing by establishing patterns and group variations that could have influenced factors like economic prowess and supposed capability to travel overseas.</w:t>
      </w:r>
    </w:p>
    <w:p w14:paraId="1C46420C" w14:textId="77777777" w:rsidR="008459F1" w:rsidRDefault="008459F1" w:rsidP="008459F1">
      <w:pPr>
        <w:spacing w:line="360" w:lineRule="auto"/>
        <w:ind w:left="360"/>
        <w:jc w:val="both"/>
        <w:rPr>
          <w:rFonts w:asciiTheme="majorBidi" w:hAnsiTheme="majorBidi" w:cstheme="majorBidi"/>
          <w:b/>
          <w:bCs/>
          <w:i/>
          <w:iCs/>
        </w:rPr>
      </w:pPr>
      <w:proofErr w:type="spellStart"/>
      <w:r>
        <w:rPr>
          <w:rFonts w:asciiTheme="majorBidi" w:hAnsiTheme="majorBidi" w:cstheme="majorBidi"/>
          <w:b/>
          <w:bCs/>
          <w:i/>
          <w:iCs/>
        </w:rPr>
        <w:t>Realiability</w:t>
      </w:r>
      <w:proofErr w:type="spellEnd"/>
      <w:r>
        <w:rPr>
          <w:rFonts w:asciiTheme="majorBidi" w:hAnsiTheme="majorBidi" w:cstheme="majorBidi"/>
          <w:b/>
          <w:bCs/>
          <w:i/>
          <w:iCs/>
        </w:rPr>
        <w:t xml:space="preserve"> Test </w:t>
      </w:r>
    </w:p>
    <w:p w14:paraId="4E608500" w14:textId="77777777" w:rsidR="008459F1" w:rsidRPr="00B10666" w:rsidRDefault="008459F1" w:rsidP="008459F1">
      <w:pPr>
        <w:spacing w:line="360" w:lineRule="auto"/>
        <w:ind w:left="360"/>
        <w:jc w:val="both"/>
        <w:rPr>
          <w:rFonts w:asciiTheme="majorBidi" w:hAnsiTheme="majorBidi" w:cstheme="majorBidi"/>
          <w:b/>
          <w:bCs/>
        </w:rPr>
      </w:pPr>
      <w:r w:rsidRPr="00B10666">
        <w:rPr>
          <w:rFonts w:asciiTheme="majorBidi" w:hAnsiTheme="majorBidi" w:cstheme="majorBidi"/>
          <w:b/>
          <w:bCs/>
        </w:rPr>
        <w:t>Table 4: Economic Power Variables (EP1, EP2, EP3, EP4)</w:t>
      </w:r>
    </w:p>
    <w:tbl>
      <w:tblPr>
        <w:tblW w:w="3690"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0"/>
        <w:gridCol w:w="1710"/>
      </w:tblGrid>
      <w:tr w:rsidR="008459F1" w:rsidRPr="00B10666" w14:paraId="5D2CD59B" w14:textId="77777777" w:rsidTr="00176B25">
        <w:trPr>
          <w:cantSplit/>
        </w:trPr>
        <w:tc>
          <w:tcPr>
            <w:tcW w:w="3690" w:type="dxa"/>
            <w:gridSpan w:val="2"/>
            <w:tcBorders>
              <w:top w:val="nil"/>
              <w:left w:val="nil"/>
              <w:bottom w:val="nil"/>
              <w:right w:val="nil"/>
            </w:tcBorders>
            <w:shd w:val="clear" w:color="auto" w:fill="FFFFFF"/>
            <w:vAlign w:val="center"/>
          </w:tcPr>
          <w:p w14:paraId="67DB2524"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b/>
                <w:bCs/>
              </w:rPr>
              <w:t>Reliability Statistics</w:t>
            </w:r>
          </w:p>
        </w:tc>
      </w:tr>
      <w:tr w:rsidR="008459F1" w:rsidRPr="00B10666" w14:paraId="0F1ED92F" w14:textId="77777777" w:rsidTr="00176B25">
        <w:trPr>
          <w:cantSplit/>
        </w:trPr>
        <w:tc>
          <w:tcPr>
            <w:tcW w:w="1980" w:type="dxa"/>
            <w:tcBorders>
              <w:top w:val="nil"/>
              <w:left w:val="nil"/>
              <w:bottom w:val="single" w:sz="8" w:space="0" w:color="152935"/>
              <w:right w:val="single" w:sz="8" w:space="0" w:color="E0E0E0"/>
            </w:tcBorders>
            <w:shd w:val="clear" w:color="auto" w:fill="FFFFFF"/>
            <w:vAlign w:val="bottom"/>
          </w:tcPr>
          <w:p w14:paraId="1C0B7AFF"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rPr>
              <w:t>Cronbach's Alpha</w:t>
            </w:r>
          </w:p>
        </w:tc>
        <w:tc>
          <w:tcPr>
            <w:tcW w:w="1710" w:type="dxa"/>
            <w:tcBorders>
              <w:top w:val="nil"/>
              <w:left w:val="single" w:sz="8" w:space="0" w:color="E0E0E0"/>
              <w:bottom w:val="single" w:sz="8" w:space="0" w:color="152935"/>
              <w:right w:val="nil"/>
            </w:tcBorders>
            <w:shd w:val="clear" w:color="auto" w:fill="FFFFFF"/>
            <w:vAlign w:val="bottom"/>
          </w:tcPr>
          <w:p w14:paraId="7F7A3A63"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rPr>
              <w:t>N of Items</w:t>
            </w:r>
          </w:p>
        </w:tc>
      </w:tr>
      <w:tr w:rsidR="008459F1" w:rsidRPr="00B10666" w14:paraId="01421DC8" w14:textId="77777777" w:rsidTr="00176B25">
        <w:trPr>
          <w:cantSplit/>
        </w:trPr>
        <w:tc>
          <w:tcPr>
            <w:tcW w:w="1980" w:type="dxa"/>
            <w:tcBorders>
              <w:top w:val="single" w:sz="8" w:space="0" w:color="152935"/>
              <w:left w:val="nil"/>
              <w:bottom w:val="single" w:sz="8" w:space="0" w:color="152935"/>
              <w:right w:val="single" w:sz="8" w:space="0" w:color="E0E0E0"/>
            </w:tcBorders>
            <w:shd w:val="clear" w:color="auto" w:fill="FFFFFF"/>
          </w:tcPr>
          <w:p w14:paraId="2D7EA53C"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rPr>
              <w:t>.767</w:t>
            </w:r>
          </w:p>
        </w:tc>
        <w:tc>
          <w:tcPr>
            <w:tcW w:w="1710" w:type="dxa"/>
            <w:tcBorders>
              <w:top w:val="single" w:sz="8" w:space="0" w:color="152935"/>
              <w:left w:val="single" w:sz="8" w:space="0" w:color="E0E0E0"/>
              <w:bottom w:val="single" w:sz="8" w:space="0" w:color="152935"/>
              <w:right w:val="nil"/>
            </w:tcBorders>
            <w:shd w:val="clear" w:color="auto" w:fill="FFFFFF"/>
          </w:tcPr>
          <w:p w14:paraId="6E95BB5F"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rPr>
              <w:t>4</w:t>
            </w:r>
          </w:p>
        </w:tc>
      </w:tr>
    </w:tbl>
    <w:p w14:paraId="607D3548" w14:textId="77777777" w:rsidR="008459F1" w:rsidRPr="00B10666" w:rsidRDefault="008459F1" w:rsidP="008459F1">
      <w:pPr>
        <w:spacing w:line="360" w:lineRule="auto"/>
        <w:ind w:left="360"/>
        <w:jc w:val="both"/>
        <w:rPr>
          <w:rFonts w:asciiTheme="majorBidi" w:hAnsiTheme="majorBidi" w:cstheme="majorBidi"/>
        </w:rPr>
      </w:pPr>
    </w:p>
    <w:p w14:paraId="3E71EAC4" w14:textId="77777777" w:rsidR="008459F1" w:rsidRPr="00B10666" w:rsidRDefault="008459F1" w:rsidP="008459F1">
      <w:pPr>
        <w:spacing w:line="360" w:lineRule="auto"/>
        <w:ind w:left="360"/>
        <w:jc w:val="both"/>
        <w:rPr>
          <w:rFonts w:asciiTheme="majorBidi" w:hAnsiTheme="majorBidi" w:cstheme="majorBidi"/>
          <w:b/>
          <w:bCs/>
        </w:rPr>
      </w:pPr>
      <w:r w:rsidRPr="00B10666">
        <w:rPr>
          <w:rFonts w:asciiTheme="majorBidi" w:hAnsiTheme="majorBidi" w:cstheme="majorBidi"/>
          <w:b/>
          <w:bCs/>
        </w:rPr>
        <w:t xml:space="preserve">Table </w:t>
      </w:r>
      <w:r>
        <w:rPr>
          <w:rFonts w:asciiTheme="majorBidi" w:hAnsiTheme="majorBidi" w:cstheme="majorBidi"/>
          <w:b/>
          <w:bCs/>
        </w:rPr>
        <w:t>5</w:t>
      </w:r>
      <w:r w:rsidRPr="00B10666">
        <w:rPr>
          <w:rFonts w:asciiTheme="majorBidi" w:hAnsiTheme="majorBidi" w:cstheme="majorBidi"/>
          <w:b/>
          <w:bCs/>
        </w:rPr>
        <w:t xml:space="preserve">: </w:t>
      </w:r>
      <w:r>
        <w:rPr>
          <w:rFonts w:asciiTheme="majorBidi" w:hAnsiTheme="majorBidi" w:cstheme="majorBidi"/>
          <w:b/>
          <w:bCs/>
        </w:rPr>
        <w:t>Occupational Complexity</w:t>
      </w:r>
      <w:r w:rsidRPr="00B10666">
        <w:rPr>
          <w:rFonts w:asciiTheme="majorBidi" w:hAnsiTheme="majorBidi" w:cstheme="majorBidi"/>
          <w:b/>
          <w:bCs/>
        </w:rPr>
        <w:t xml:space="preserve"> Variables (</w:t>
      </w:r>
      <w:r>
        <w:rPr>
          <w:rFonts w:asciiTheme="majorBidi" w:hAnsiTheme="majorBidi" w:cstheme="majorBidi"/>
          <w:b/>
          <w:bCs/>
        </w:rPr>
        <w:t>OC</w:t>
      </w:r>
      <w:r w:rsidRPr="00B10666">
        <w:rPr>
          <w:rFonts w:asciiTheme="majorBidi" w:hAnsiTheme="majorBidi" w:cstheme="majorBidi"/>
          <w:b/>
          <w:bCs/>
        </w:rPr>
        <w:t xml:space="preserve">1, </w:t>
      </w:r>
      <w:r>
        <w:rPr>
          <w:rFonts w:asciiTheme="majorBidi" w:hAnsiTheme="majorBidi" w:cstheme="majorBidi"/>
          <w:b/>
          <w:bCs/>
        </w:rPr>
        <w:t>OC</w:t>
      </w:r>
      <w:r w:rsidRPr="00B10666">
        <w:rPr>
          <w:rFonts w:asciiTheme="majorBidi" w:hAnsiTheme="majorBidi" w:cstheme="majorBidi"/>
          <w:b/>
          <w:bCs/>
        </w:rPr>
        <w:t xml:space="preserve">2, </w:t>
      </w:r>
      <w:r>
        <w:rPr>
          <w:rFonts w:asciiTheme="majorBidi" w:hAnsiTheme="majorBidi" w:cstheme="majorBidi"/>
          <w:b/>
          <w:bCs/>
        </w:rPr>
        <w:t>OC</w:t>
      </w:r>
      <w:r w:rsidRPr="00B10666">
        <w:rPr>
          <w:rFonts w:asciiTheme="majorBidi" w:hAnsiTheme="majorBidi" w:cstheme="majorBidi"/>
          <w:b/>
          <w:bCs/>
        </w:rPr>
        <w:t xml:space="preserve">3, </w:t>
      </w:r>
      <w:r>
        <w:rPr>
          <w:rFonts w:asciiTheme="majorBidi" w:hAnsiTheme="majorBidi" w:cstheme="majorBidi"/>
          <w:b/>
          <w:bCs/>
        </w:rPr>
        <w:t>OC</w:t>
      </w:r>
      <w:r w:rsidRPr="00B10666">
        <w:rPr>
          <w:rFonts w:asciiTheme="majorBidi" w:hAnsiTheme="majorBidi" w:cstheme="majorBidi"/>
          <w:b/>
          <w:bCs/>
        </w:rPr>
        <w:t>4)</w:t>
      </w:r>
    </w:p>
    <w:tbl>
      <w:tblPr>
        <w:tblW w:w="3690"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0"/>
        <w:gridCol w:w="1710"/>
      </w:tblGrid>
      <w:tr w:rsidR="008459F1" w:rsidRPr="00B10666" w14:paraId="757841E1" w14:textId="77777777" w:rsidTr="00176B25">
        <w:trPr>
          <w:cantSplit/>
        </w:trPr>
        <w:tc>
          <w:tcPr>
            <w:tcW w:w="3690" w:type="dxa"/>
            <w:gridSpan w:val="2"/>
            <w:tcBorders>
              <w:top w:val="nil"/>
              <w:left w:val="nil"/>
              <w:bottom w:val="nil"/>
              <w:right w:val="nil"/>
            </w:tcBorders>
            <w:shd w:val="clear" w:color="auto" w:fill="FFFFFF"/>
            <w:vAlign w:val="center"/>
          </w:tcPr>
          <w:p w14:paraId="33483DD1"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b/>
                <w:bCs/>
              </w:rPr>
              <w:t>Reliability Statistics</w:t>
            </w:r>
          </w:p>
        </w:tc>
      </w:tr>
      <w:tr w:rsidR="008459F1" w:rsidRPr="00B10666" w14:paraId="7232D012" w14:textId="77777777" w:rsidTr="00176B25">
        <w:trPr>
          <w:cantSplit/>
        </w:trPr>
        <w:tc>
          <w:tcPr>
            <w:tcW w:w="1980" w:type="dxa"/>
            <w:tcBorders>
              <w:top w:val="nil"/>
              <w:left w:val="nil"/>
              <w:bottom w:val="single" w:sz="8" w:space="0" w:color="152935"/>
              <w:right w:val="single" w:sz="8" w:space="0" w:color="E0E0E0"/>
            </w:tcBorders>
            <w:shd w:val="clear" w:color="auto" w:fill="FFFFFF"/>
            <w:vAlign w:val="bottom"/>
          </w:tcPr>
          <w:p w14:paraId="21845578"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rPr>
              <w:t>Cronbach's Alpha</w:t>
            </w:r>
          </w:p>
        </w:tc>
        <w:tc>
          <w:tcPr>
            <w:tcW w:w="1710" w:type="dxa"/>
            <w:tcBorders>
              <w:top w:val="nil"/>
              <w:left w:val="single" w:sz="8" w:space="0" w:color="E0E0E0"/>
              <w:bottom w:val="single" w:sz="8" w:space="0" w:color="152935"/>
              <w:right w:val="nil"/>
            </w:tcBorders>
            <w:shd w:val="clear" w:color="auto" w:fill="FFFFFF"/>
            <w:vAlign w:val="bottom"/>
          </w:tcPr>
          <w:p w14:paraId="6CCF9277"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rPr>
              <w:t>N of Items</w:t>
            </w:r>
          </w:p>
        </w:tc>
      </w:tr>
      <w:tr w:rsidR="008459F1" w:rsidRPr="00B10666" w14:paraId="64AACADA" w14:textId="77777777" w:rsidTr="00176B25">
        <w:trPr>
          <w:cantSplit/>
        </w:trPr>
        <w:tc>
          <w:tcPr>
            <w:tcW w:w="1980" w:type="dxa"/>
            <w:tcBorders>
              <w:top w:val="single" w:sz="8" w:space="0" w:color="152935"/>
              <w:left w:val="nil"/>
              <w:bottom w:val="single" w:sz="8" w:space="0" w:color="152935"/>
              <w:right w:val="single" w:sz="8" w:space="0" w:color="E0E0E0"/>
            </w:tcBorders>
            <w:shd w:val="clear" w:color="auto" w:fill="FFFFFF"/>
          </w:tcPr>
          <w:p w14:paraId="226531A9"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rPr>
              <w:t>.7</w:t>
            </w:r>
            <w:r>
              <w:rPr>
                <w:rFonts w:asciiTheme="majorBidi" w:hAnsiTheme="majorBidi" w:cstheme="majorBidi"/>
              </w:rPr>
              <w:t>48</w:t>
            </w:r>
          </w:p>
        </w:tc>
        <w:tc>
          <w:tcPr>
            <w:tcW w:w="1710" w:type="dxa"/>
            <w:tcBorders>
              <w:top w:val="single" w:sz="8" w:space="0" w:color="152935"/>
              <w:left w:val="single" w:sz="8" w:space="0" w:color="E0E0E0"/>
              <w:bottom w:val="single" w:sz="8" w:space="0" w:color="152935"/>
              <w:right w:val="nil"/>
            </w:tcBorders>
            <w:shd w:val="clear" w:color="auto" w:fill="FFFFFF"/>
          </w:tcPr>
          <w:p w14:paraId="1F2EE242"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rPr>
              <w:t>4</w:t>
            </w:r>
          </w:p>
        </w:tc>
      </w:tr>
    </w:tbl>
    <w:p w14:paraId="0734F4FA" w14:textId="77777777" w:rsidR="008459F1" w:rsidRPr="00E07B2A" w:rsidRDefault="008459F1" w:rsidP="008459F1">
      <w:pPr>
        <w:spacing w:line="360" w:lineRule="auto"/>
        <w:ind w:left="360"/>
        <w:jc w:val="both"/>
        <w:rPr>
          <w:rFonts w:asciiTheme="majorBidi" w:hAnsiTheme="majorBidi" w:cstheme="majorBidi"/>
        </w:rPr>
      </w:pPr>
    </w:p>
    <w:p w14:paraId="15A6BDE4" w14:textId="77777777" w:rsidR="008459F1" w:rsidRPr="00B10666" w:rsidRDefault="008459F1" w:rsidP="008459F1">
      <w:pPr>
        <w:spacing w:line="360" w:lineRule="auto"/>
        <w:ind w:left="360"/>
        <w:jc w:val="both"/>
        <w:rPr>
          <w:rFonts w:asciiTheme="majorBidi" w:hAnsiTheme="majorBidi" w:cstheme="majorBidi"/>
          <w:b/>
          <w:bCs/>
        </w:rPr>
      </w:pPr>
      <w:r w:rsidRPr="00B10666">
        <w:rPr>
          <w:rFonts w:asciiTheme="majorBidi" w:hAnsiTheme="majorBidi" w:cstheme="majorBidi"/>
          <w:b/>
          <w:bCs/>
        </w:rPr>
        <w:t xml:space="preserve">Table </w:t>
      </w:r>
      <w:r>
        <w:rPr>
          <w:rFonts w:asciiTheme="majorBidi" w:hAnsiTheme="majorBidi" w:cstheme="majorBidi"/>
          <w:b/>
          <w:bCs/>
        </w:rPr>
        <w:t>6</w:t>
      </w:r>
      <w:r w:rsidRPr="00B10666">
        <w:rPr>
          <w:rFonts w:asciiTheme="majorBidi" w:hAnsiTheme="majorBidi" w:cstheme="majorBidi"/>
          <w:b/>
          <w:bCs/>
        </w:rPr>
        <w:t xml:space="preserve">: </w:t>
      </w:r>
      <w:r>
        <w:rPr>
          <w:rFonts w:asciiTheme="majorBidi" w:hAnsiTheme="majorBidi" w:cstheme="majorBidi"/>
          <w:b/>
          <w:bCs/>
        </w:rPr>
        <w:t>Affordability of International Travel</w:t>
      </w:r>
      <w:r w:rsidRPr="00B10666">
        <w:rPr>
          <w:rFonts w:asciiTheme="majorBidi" w:hAnsiTheme="majorBidi" w:cstheme="majorBidi"/>
          <w:b/>
          <w:bCs/>
        </w:rPr>
        <w:t xml:space="preserve"> Variables (</w:t>
      </w:r>
      <w:r>
        <w:rPr>
          <w:rFonts w:asciiTheme="majorBidi" w:hAnsiTheme="majorBidi" w:cstheme="majorBidi"/>
          <w:b/>
          <w:bCs/>
        </w:rPr>
        <w:t>AIT</w:t>
      </w:r>
      <w:r w:rsidRPr="00B10666">
        <w:rPr>
          <w:rFonts w:asciiTheme="majorBidi" w:hAnsiTheme="majorBidi" w:cstheme="majorBidi"/>
          <w:b/>
          <w:bCs/>
        </w:rPr>
        <w:t xml:space="preserve">1, </w:t>
      </w:r>
      <w:r>
        <w:rPr>
          <w:rFonts w:asciiTheme="majorBidi" w:hAnsiTheme="majorBidi" w:cstheme="majorBidi"/>
          <w:b/>
          <w:bCs/>
        </w:rPr>
        <w:t>AIT</w:t>
      </w:r>
      <w:r w:rsidRPr="00B10666">
        <w:rPr>
          <w:rFonts w:asciiTheme="majorBidi" w:hAnsiTheme="majorBidi" w:cstheme="majorBidi"/>
          <w:b/>
          <w:bCs/>
        </w:rPr>
        <w:t xml:space="preserve">2, </w:t>
      </w:r>
      <w:r>
        <w:rPr>
          <w:rFonts w:asciiTheme="majorBidi" w:hAnsiTheme="majorBidi" w:cstheme="majorBidi"/>
          <w:b/>
          <w:bCs/>
        </w:rPr>
        <w:t>AIT</w:t>
      </w:r>
      <w:r w:rsidRPr="00B10666">
        <w:rPr>
          <w:rFonts w:asciiTheme="majorBidi" w:hAnsiTheme="majorBidi" w:cstheme="majorBidi"/>
          <w:b/>
          <w:bCs/>
        </w:rPr>
        <w:t>3</w:t>
      </w:r>
      <w:r>
        <w:rPr>
          <w:rFonts w:asciiTheme="majorBidi" w:hAnsiTheme="majorBidi" w:cstheme="majorBidi"/>
          <w:b/>
          <w:bCs/>
        </w:rPr>
        <w:t>)</w:t>
      </w:r>
    </w:p>
    <w:tbl>
      <w:tblPr>
        <w:tblW w:w="3690"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0"/>
        <w:gridCol w:w="1710"/>
      </w:tblGrid>
      <w:tr w:rsidR="008459F1" w:rsidRPr="00B10666" w14:paraId="0C920C7E" w14:textId="77777777" w:rsidTr="00176B25">
        <w:trPr>
          <w:cantSplit/>
        </w:trPr>
        <w:tc>
          <w:tcPr>
            <w:tcW w:w="3690" w:type="dxa"/>
            <w:gridSpan w:val="2"/>
            <w:tcBorders>
              <w:top w:val="nil"/>
              <w:left w:val="nil"/>
              <w:bottom w:val="nil"/>
              <w:right w:val="nil"/>
            </w:tcBorders>
            <w:shd w:val="clear" w:color="auto" w:fill="FFFFFF"/>
            <w:vAlign w:val="center"/>
          </w:tcPr>
          <w:p w14:paraId="38CF879B"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b/>
                <w:bCs/>
              </w:rPr>
              <w:t>Reliability Statistics</w:t>
            </w:r>
          </w:p>
        </w:tc>
      </w:tr>
      <w:tr w:rsidR="008459F1" w:rsidRPr="00B10666" w14:paraId="7C7584DA" w14:textId="77777777" w:rsidTr="00176B25">
        <w:trPr>
          <w:cantSplit/>
        </w:trPr>
        <w:tc>
          <w:tcPr>
            <w:tcW w:w="1980" w:type="dxa"/>
            <w:tcBorders>
              <w:top w:val="nil"/>
              <w:left w:val="nil"/>
              <w:bottom w:val="single" w:sz="8" w:space="0" w:color="152935"/>
              <w:right w:val="single" w:sz="8" w:space="0" w:color="E0E0E0"/>
            </w:tcBorders>
            <w:shd w:val="clear" w:color="auto" w:fill="FFFFFF"/>
            <w:vAlign w:val="bottom"/>
          </w:tcPr>
          <w:p w14:paraId="59F606AD"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rPr>
              <w:t>Cronbach's Alpha</w:t>
            </w:r>
          </w:p>
        </w:tc>
        <w:tc>
          <w:tcPr>
            <w:tcW w:w="1710" w:type="dxa"/>
            <w:tcBorders>
              <w:top w:val="nil"/>
              <w:left w:val="single" w:sz="8" w:space="0" w:color="E0E0E0"/>
              <w:bottom w:val="single" w:sz="8" w:space="0" w:color="152935"/>
              <w:right w:val="nil"/>
            </w:tcBorders>
            <w:shd w:val="clear" w:color="auto" w:fill="FFFFFF"/>
            <w:vAlign w:val="bottom"/>
          </w:tcPr>
          <w:p w14:paraId="4E6B10EF"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rPr>
              <w:t>N of Items</w:t>
            </w:r>
          </w:p>
        </w:tc>
      </w:tr>
      <w:tr w:rsidR="008459F1" w:rsidRPr="00B10666" w14:paraId="5EFBCC3D" w14:textId="77777777" w:rsidTr="00176B25">
        <w:trPr>
          <w:cantSplit/>
        </w:trPr>
        <w:tc>
          <w:tcPr>
            <w:tcW w:w="1980" w:type="dxa"/>
            <w:tcBorders>
              <w:top w:val="single" w:sz="8" w:space="0" w:color="152935"/>
              <w:left w:val="nil"/>
              <w:bottom w:val="single" w:sz="8" w:space="0" w:color="152935"/>
              <w:right w:val="single" w:sz="8" w:space="0" w:color="E0E0E0"/>
            </w:tcBorders>
            <w:shd w:val="clear" w:color="auto" w:fill="FFFFFF"/>
          </w:tcPr>
          <w:p w14:paraId="43768BD7" w14:textId="77777777" w:rsidR="008459F1" w:rsidRPr="00B10666" w:rsidRDefault="008459F1" w:rsidP="00176B25">
            <w:pPr>
              <w:spacing w:line="360" w:lineRule="auto"/>
              <w:jc w:val="both"/>
              <w:rPr>
                <w:rFonts w:asciiTheme="majorBidi" w:hAnsiTheme="majorBidi" w:cstheme="majorBidi"/>
              </w:rPr>
            </w:pPr>
            <w:r w:rsidRPr="00B10666">
              <w:rPr>
                <w:rFonts w:asciiTheme="majorBidi" w:hAnsiTheme="majorBidi" w:cstheme="majorBidi"/>
              </w:rPr>
              <w:t>.</w:t>
            </w:r>
            <w:r>
              <w:rPr>
                <w:rFonts w:asciiTheme="majorBidi" w:hAnsiTheme="majorBidi" w:cstheme="majorBidi"/>
              </w:rPr>
              <w:t>873</w:t>
            </w:r>
          </w:p>
        </w:tc>
        <w:tc>
          <w:tcPr>
            <w:tcW w:w="1710" w:type="dxa"/>
            <w:tcBorders>
              <w:top w:val="single" w:sz="8" w:space="0" w:color="152935"/>
              <w:left w:val="single" w:sz="8" w:space="0" w:color="E0E0E0"/>
              <w:bottom w:val="single" w:sz="8" w:space="0" w:color="152935"/>
              <w:right w:val="nil"/>
            </w:tcBorders>
            <w:shd w:val="clear" w:color="auto" w:fill="FFFFFF"/>
          </w:tcPr>
          <w:p w14:paraId="35DF9FA2" w14:textId="77777777" w:rsidR="008459F1" w:rsidRPr="00B10666" w:rsidRDefault="008459F1" w:rsidP="00176B25">
            <w:pPr>
              <w:spacing w:line="360" w:lineRule="auto"/>
              <w:jc w:val="both"/>
              <w:rPr>
                <w:rFonts w:asciiTheme="majorBidi" w:hAnsiTheme="majorBidi" w:cstheme="majorBidi"/>
              </w:rPr>
            </w:pPr>
            <w:r>
              <w:rPr>
                <w:rFonts w:asciiTheme="majorBidi" w:hAnsiTheme="majorBidi" w:cstheme="majorBidi"/>
              </w:rPr>
              <w:t>3</w:t>
            </w:r>
          </w:p>
        </w:tc>
      </w:tr>
    </w:tbl>
    <w:p w14:paraId="7CD71773" w14:textId="77777777" w:rsidR="008459F1" w:rsidRDefault="008459F1" w:rsidP="008459F1">
      <w:pPr>
        <w:spacing w:line="360" w:lineRule="auto"/>
        <w:ind w:left="360"/>
        <w:jc w:val="both"/>
        <w:rPr>
          <w:rFonts w:asciiTheme="majorBidi" w:hAnsiTheme="majorBidi" w:cstheme="majorBidi"/>
        </w:rPr>
      </w:pPr>
    </w:p>
    <w:p w14:paraId="62AB8811" w14:textId="77777777" w:rsidR="008459F1" w:rsidRDefault="008459F1" w:rsidP="008459F1">
      <w:pPr>
        <w:spacing w:line="360" w:lineRule="auto"/>
        <w:ind w:left="360"/>
        <w:jc w:val="both"/>
        <w:rPr>
          <w:rFonts w:asciiTheme="majorBidi" w:hAnsiTheme="majorBidi" w:cstheme="majorBidi"/>
        </w:rPr>
      </w:pPr>
      <w:r w:rsidRPr="0050422C">
        <w:rPr>
          <w:rFonts w:asciiTheme="majorBidi" w:hAnsiTheme="majorBidi" w:cstheme="majorBidi"/>
        </w:rPr>
        <w:t>Reliability tests on the variables of the study provided satisfactory-strong internal consistency, which is what validated the appropriateness of the scales in the analysis. The four-item Economic Power scale had a Cronbach alpha of.767, which is reasonably reliable</w:t>
      </w:r>
      <w:r>
        <w:rPr>
          <w:rFonts w:asciiTheme="majorBidi" w:hAnsiTheme="majorBidi" w:cstheme="majorBidi"/>
        </w:rPr>
        <w:t xml:space="preserve"> (Table 4)</w:t>
      </w:r>
      <w:r w:rsidRPr="0050422C">
        <w:rPr>
          <w:rFonts w:asciiTheme="majorBidi" w:hAnsiTheme="majorBidi" w:cstheme="majorBidi"/>
        </w:rPr>
        <w:t xml:space="preserve">. Likewise, the </w:t>
      </w:r>
      <w:proofErr w:type="spellStart"/>
      <w:r w:rsidRPr="0050422C">
        <w:rPr>
          <w:rFonts w:asciiTheme="majorBidi" w:hAnsiTheme="majorBidi" w:cstheme="majorBidi"/>
        </w:rPr>
        <w:t>Cronbachs</w:t>
      </w:r>
      <w:proofErr w:type="spellEnd"/>
      <w:r w:rsidRPr="0050422C">
        <w:rPr>
          <w:rFonts w:asciiTheme="majorBidi" w:hAnsiTheme="majorBidi" w:cstheme="majorBidi"/>
        </w:rPr>
        <w:t xml:space="preserve"> alpha of the Occupational Complexity scale </w:t>
      </w:r>
      <w:proofErr w:type="spellStart"/>
      <w:r w:rsidRPr="0050422C">
        <w:rPr>
          <w:rFonts w:asciiTheme="majorBidi" w:hAnsiTheme="majorBidi" w:cstheme="majorBidi"/>
        </w:rPr>
        <w:t>scale</w:t>
      </w:r>
      <w:proofErr w:type="spellEnd"/>
      <w:r w:rsidRPr="0050422C">
        <w:rPr>
          <w:rFonts w:asciiTheme="majorBidi" w:hAnsiTheme="majorBidi" w:cstheme="majorBidi"/>
        </w:rPr>
        <w:t xml:space="preserve"> with four items stood at 0.748, which also suggests sufficient item consistency</w:t>
      </w:r>
      <w:r>
        <w:rPr>
          <w:rFonts w:asciiTheme="majorBidi" w:hAnsiTheme="majorBidi" w:cstheme="majorBidi"/>
        </w:rPr>
        <w:t xml:space="preserve"> (Table 5)</w:t>
      </w:r>
      <w:r w:rsidRPr="0050422C">
        <w:rPr>
          <w:rFonts w:asciiTheme="majorBidi" w:hAnsiTheme="majorBidi" w:cstheme="majorBidi"/>
        </w:rPr>
        <w:t>. The three-item Affordability of international travel scale gave the most reliability with a Cronbach alpha of.873, which represents great internal consistency</w:t>
      </w:r>
      <w:r>
        <w:rPr>
          <w:rFonts w:asciiTheme="majorBidi" w:hAnsiTheme="majorBidi" w:cstheme="majorBidi"/>
        </w:rPr>
        <w:t xml:space="preserve"> (Table 6)</w:t>
      </w:r>
      <w:r w:rsidRPr="0050422C">
        <w:rPr>
          <w:rFonts w:asciiTheme="majorBidi" w:hAnsiTheme="majorBidi" w:cstheme="majorBidi"/>
        </w:rPr>
        <w:t>. All these findings justify the suitability of the measurement tools in the study.</w:t>
      </w:r>
    </w:p>
    <w:p w14:paraId="698FE697" w14:textId="77777777" w:rsidR="008459F1" w:rsidRPr="00513B44" w:rsidRDefault="008459F1" w:rsidP="008459F1">
      <w:pPr>
        <w:spacing w:line="360" w:lineRule="auto"/>
        <w:ind w:left="360"/>
        <w:jc w:val="both"/>
        <w:rPr>
          <w:rFonts w:asciiTheme="majorBidi" w:hAnsiTheme="majorBidi" w:cstheme="majorBidi"/>
          <w:b/>
          <w:bCs/>
          <w:i/>
          <w:iCs/>
        </w:rPr>
      </w:pPr>
      <w:r>
        <w:rPr>
          <w:rFonts w:asciiTheme="majorBidi" w:hAnsiTheme="majorBidi" w:cstheme="majorBidi"/>
          <w:b/>
          <w:bCs/>
          <w:i/>
          <w:iCs/>
        </w:rPr>
        <w:lastRenderedPageBreak/>
        <w:t>Correlation analysis</w:t>
      </w:r>
    </w:p>
    <w:p w14:paraId="508E16B5" w14:textId="77777777" w:rsidR="008459F1" w:rsidRPr="003A3688" w:rsidRDefault="008459F1" w:rsidP="008459F1">
      <w:pPr>
        <w:spacing w:line="360" w:lineRule="auto"/>
        <w:ind w:left="360"/>
        <w:jc w:val="both"/>
        <w:rPr>
          <w:rFonts w:asciiTheme="majorBidi" w:hAnsiTheme="majorBidi" w:cstheme="majorBidi"/>
          <w:b/>
          <w:bCs/>
        </w:rPr>
      </w:pPr>
      <w:r w:rsidRPr="003A3688">
        <w:rPr>
          <w:rFonts w:asciiTheme="majorBidi" w:hAnsiTheme="majorBidi" w:cstheme="majorBidi"/>
          <w:b/>
          <w:bCs/>
        </w:rPr>
        <w:t>Table 7: Correlation matrix</w:t>
      </w:r>
    </w:p>
    <w:p w14:paraId="7609EE26" w14:textId="77777777" w:rsidR="008459F1" w:rsidRPr="003A3688" w:rsidRDefault="008459F1" w:rsidP="008459F1">
      <w:pPr>
        <w:spacing w:line="360" w:lineRule="auto"/>
        <w:ind w:left="360"/>
        <w:jc w:val="both"/>
        <w:rPr>
          <w:rFonts w:asciiTheme="majorBidi" w:hAnsiTheme="majorBidi" w:cstheme="majorBidi"/>
        </w:rPr>
      </w:pPr>
    </w:p>
    <w:tbl>
      <w:tblPr>
        <w:tblW w:w="7920"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20"/>
        <w:gridCol w:w="2340"/>
        <w:gridCol w:w="1170"/>
        <w:gridCol w:w="1350"/>
        <w:gridCol w:w="1440"/>
      </w:tblGrid>
      <w:tr w:rsidR="008459F1" w:rsidRPr="003A3688" w14:paraId="4B330CFE" w14:textId="77777777" w:rsidTr="00176B25">
        <w:trPr>
          <w:cantSplit/>
        </w:trPr>
        <w:tc>
          <w:tcPr>
            <w:tcW w:w="7920" w:type="dxa"/>
            <w:gridSpan w:val="5"/>
            <w:tcBorders>
              <w:top w:val="nil"/>
              <w:left w:val="nil"/>
              <w:bottom w:val="nil"/>
              <w:right w:val="nil"/>
            </w:tcBorders>
            <w:shd w:val="clear" w:color="auto" w:fill="FFFFFF"/>
            <w:vAlign w:val="center"/>
          </w:tcPr>
          <w:p w14:paraId="7602242F"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b/>
                <w:bCs/>
              </w:rPr>
              <w:t>Correlations</w:t>
            </w:r>
          </w:p>
        </w:tc>
      </w:tr>
      <w:tr w:rsidR="008459F1" w:rsidRPr="003A3688" w14:paraId="56CAEC25" w14:textId="77777777" w:rsidTr="00176B25">
        <w:trPr>
          <w:cantSplit/>
        </w:trPr>
        <w:tc>
          <w:tcPr>
            <w:tcW w:w="3960" w:type="dxa"/>
            <w:gridSpan w:val="2"/>
            <w:tcBorders>
              <w:top w:val="nil"/>
              <w:left w:val="nil"/>
              <w:bottom w:val="single" w:sz="8" w:space="0" w:color="152935"/>
              <w:right w:val="nil"/>
            </w:tcBorders>
            <w:shd w:val="clear" w:color="auto" w:fill="FFFFFF"/>
            <w:vAlign w:val="bottom"/>
          </w:tcPr>
          <w:p w14:paraId="00865819" w14:textId="77777777" w:rsidR="008459F1" w:rsidRPr="003A3688" w:rsidRDefault="008459F1" w:rsidP="00176B25">
            <w:pPr>
              <w:spacing w:line="240" w:lineRule="auto"/>
              <w:jc w:val="both"/>
              <w:rPr>
                <w:rFonts w:asciiTheme="majorBidi" w:hAnsiTheme="majorBidi" w:cstheme="majorBidi"/>
              </w:rPr>
            </w:pPr>
          </w:p>
        </w:tc>
        <w:tc>
          <w:tcPr>
            <w:tcW w:w="1170" w:type="dxa"/>
            <w:tcBorders>
              <w:top w:val="nil"/>
              <w:left w:val="nil"/>
              <w:bottom w:val="single" w:sz="8" w:space="0" w:color="152935"/>
              <w:right w:val="single" w:sz="8" w:space="0" w:color="E0E0E0"/>
            </w:tcBorders>
            <w:shd w:val="clear" w:color="auto" w:fill="FFFFFF"/>
            <w:vAlign w:val="bottom"/>
          </w:tcPr>
          <w:p w14:paraId="3CEE792B" w14:textId="77777777" w:rsidR="008459F1" w:rsidRPr="003A3688" w:rsidRDefault="008459F1" w:rsidP="00176B25">
            <w:pPr>
              <w:spacing w:line="240" w:lineRule="auto"/>
              <w:jc w:val="both"/>
              <w:rPr>
                <w:rFonts w:asciiTheme="majorBidi" w:hAnsiTheme="majorBidi" w:cstheme="majorBidi"/>
              </w:rPr>
            </w:pPr>
            <w:proofErr w:type="spellStart"/>
            <w:r w:rsidRPr="003A3688">
              <w:rPr>
                <w:rFonts w:asciiTheme="majorBidi" w:hAnsiTheme="majorBidi" w:cstheme="majorBidi"/>
              </w:rPr>
              <w:t>EP_Total</w:t>
            </w:r>
            <w:proofErr w:type="spellEnd"/>
          </w:p>
        </w:tc>
        <w:tc>
          <w:tcPr>
            <w:tcW w:w="1350" w:type="dxa"/>
            <w:tcBorders>
              <w:top w:val="nil"/>
              <w:left w:val="single" w:sz="8" w:space="0" w:color="E0E0E0"/>
              <w:bottom w:val="single" w:sz="8" w:space="0" w:color="152935"/>
              <w:right w:val="single" w:sz="8" w:space="0" w:color="E0E0E0"/>
            </w:tcBorders>
            <w:shd w:val="clear" w:color="auto" w:fill="FFFFFF"/>
            <w:vAlign w:val="bottom"/>
          </w:tcPr>
          <w:p w14:paraId="23AB4868" w14:textId="77777777" w:rsidR="008459F1" w:rsidRPr="003A3688" w:rsidRDefault="008459F1" w:rsidP="00176B25">
            <w:pPr>
              <w:spacing w:line="240" w:lineRule="auto"/>
              <w:jc w:val="both"/>
              <w:rPr>
                <w:rFonts w:asciiTheme="majorBidi" w:hAnsiTheme="majorBidi" w:cstheme="majorBidi"/>
              </w:rPr>
            </w:pPr>
            <w:proofErr w:type="spellStart"/>
            <w:r w:rsidRPr="003A3688">
              <w:rPr>
                <w:rFonts w:asciiTheme="majorBidi" w:hAnsiTheme="majorBidi" w:cstheme="majorBidi"/>
              </w:rPr>
              <w:t>OC_Total</w:t>
            </w:r>
            <w:proofErr w:type="spellEnd"/>
          </w:p>
        </w:tc>
        <w:tc>
          <w:tcPr>
            <w:tcW w:w="1440" w:type="dxa"/>
            <w:tcBorders>
              <w:top w:val="nil"/>
              <w:left w:val="single" w:sz="8" w:space="0" w:color="E0E0E0"/>
              <w:bottom w:val="single" w:sz="8" w:space="0" w:color="152935"/>
              <w:right w:val="nil"/>
            </w:tcBorders>
            <w:shd w:val="clear" w:color="auto" w:fill="FFFFFF"/>
            <w:vAlign w:val="bottom"/>
          </w:tcPr>
          <w:p w14:paraId="7D057E4B" w14:textId="77777777" w:rsidR="008459F1" w:rsidRPr="003A3688" w:rsidRDefault="008459F1" w:rsidP="00176B25">
            <w:pPr>
              <w:spacing w:line="240" w:lineRule="auto"/>
              <w:jc w:val="both"/>
              <w:rPr>
                <w:rFonts w:asciiTheme="majorBidi" w:hAnsiTheme="majorBidi" w:cstheme="majorBidi"/>
              </w:rPr>
            </w:pPr>
            <w:proofErr w:type="spellStart"/>
            <w:r w:rsidRPr="003A3688">
              <w:rPr>
                <w:rFonts w:asciiTheme="majorBidi" w:hAnsiTheme="majorBidi" w:cstheme="majorBidi"/>
              </w:rPr>
              <w:t>AIT_Total</w:t>
            </w:r>
            <w:proofErr w:type="spellEnd"/>
          </w:p>
        </w:tc>
      </w:tr>
      <w:tr w:rsidR="008459F1" w:rsidRPr="003A3688" w14:paraId="00FD5E72" w14:textId="77777777" w:rsidTr="00176B25">
        <w:trPr>
          <w:cantSplit/>
        </w:trPr>
        <w:tc>
          <w:tcPr>
            <w:tcW w:w="1620" w:type="dxa"/>
            <w:vMerge w:val="restart"/>
            <w:tcBorders>
              <w:top w:val="single" w:sz="8" w:space="0" w:color="152935"/>
              <w:left w:val="nil"/>
              <w:bottom w:val="nil"/>
              <w:right w:val="nil"/>
            </w:tcBorders>
            <w:shd w:val="clear" w:color="auto" w:fill="E0E0E0"/>
          </w:tcPr>
          <w:p w14:paraId="41D22CAB" w14:textId="77777777" w:rsidR="008459F1" w:rsidRPr="003A3688" w:rsidRDefault="008459F1" w:rsidP="00176B25">
            <w:pPr>
              <w:spacing w:line="240" w:lineRule="auto"/>
              <w:jc w:val="both"/>
              <w:rPr>
                <w:rFonts w:asciiTheme="majorBidi" w:hAnsiTheme="majorBidi" w:cstheme="majorBidi"/>
              </w:rPr>
            </w:pPr>
            <w:proofErr w:type="spellStart"/>
            <w:r w:rsidRPr="003A3688">
              <w:rPr>
                <w:rFonts w:asciiTheme="majorBidi" w:hAnsiTheme="majorBidi" w:cstheme="majorBidi"/>
              </w:rPr>
              <w:t>EP_Total</w:t>
            </w:r>
            <w:proofErr w:type="spellEnd"/>
          </w:p>
        </w:tc>
        <w:tc>
          <w:tcPr>
            <w:tcW w:w="2340" w:type="dxa"/>
            <w:tcBorders>
              <w:top w:val="single" w:sz="8" w:space="0" w:color="152935"/>
              <w:left w:val="nil"/>
              <w:bottom w:val="single" w:sz="8" w:space="0" w:color="AEAEAE"/>
              <w:right w:val="nil"/>
            </w:tcBorders>
            <w:shd w:val="clear" w:color="auto" w:fill="E0E0E0"/>
          </w:tcPr>
          <w:p w14:paraId="3708852C"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Pearson Correlation</w:t>
            </w:r>
          </w:p>
        </w:tc>
        <w:tc>
          <w:tcPr>
            <w:tcW w:w="1170" w:type="dxa"/>
            <w:tcBorders>
              <w:top w:val="single" w:sz="8" w:space="0" w:color="152935"/>
              <w:left w:val="nil"/>
              <w:bottom w:val="single" w:sz="8" w:space="0" w:color="AEAEAE"/>
              <w:right w:val="single" w:sz="8" w:space="0" w:color="E0E0E0"/>
            </w:tcBorders>
            <w:shd w:val="clear" w:color="auto" w:fill="FFFFFF"/>
          </w:tcPr>
          <w:p w14:paraId="5CE9B5C9"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1</w:t>
            </w:r>
          </w:p>
        </w:tc>
        <w:tc>
          <w:tcPr>
            <w:tcW w:w="1350" w:type="dxa"/>
            <w:tcBorders>
              <w:top w:val="single" w:sz="8" w:space="0" w:color="152935"/>
              <w:left w:val="single" w:sz="8" w:space="0" w:color="E0E0E0"/>
              <w:bottom w:val="single" w:sz="8" w:space="0" w:color="AEAEAE"/>
              <w:right w:val="single" w:sz="8" w:space="0" w:color="E0E0E0"/>
            </w:tcBorders>
            <w:shd w:val="clear" w:color="auto" w:fill="FFFFFF"/>
          </w:tcPr>
          <w:p w14:paraId="0CEFC0D5"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-.057</w:t>
            </w:r>
          </w:p>
        </w:tc>
        <w:tc>
          <w:tcPr>
            <w:tcW w:w="1440" w:type="dxa"/>
            <w:tcBorders>
              <w:top w:val="single" w:sz="8" w:space="0" w:color="152935"/>
              <w:left w:val="single" w:sz="8" w:space="0" w:color="E0E0E0"/>
              <w:bottom w:val="single" w:sz="8" w:space="0" w:color="AEAEAE"/>
              <w:right w:val="nil"/>
            </w:tcBorders>
            <w:shd w:val="clear" w:color="auto" w:fill="FFFFFF"/>
          </w:tcPr>
          <w:p w14:paraId="64C55291"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.867</w:t>
            </w:r>
          </w:p>
        </w:tc>
      </w:tr>
      <w:tr w:rsidR="008459F1" w:rsidRPr="003A3688" w14:paraId="62410F0D" w14:textId="77777777" w:rsidTr="00176B25">
        <w:trPr>
          <w:cantSplit/>
        </w:trPr>
        <w:tc>
          <w:tcPr>
            <w:tcW w:w="1620" w:type="dxa"/>
            <w:vMerge/>
            <w:tcBorders>
              <w:top w:val="single" w:sz="8" w:space="0" w:color="152935"/>
              <w:left w:val="nil"/>
              <w:bottom w:val="nil"/>
              <w:right w:val="nil"/>
            </w:tcBorders>
            <w:shd w:val="clear" w:color="auto" w:fill="E0E0E0"/>
          </w:tcPr>
          <w:p w14:paraId="131CDFC2" w14:textId="77777777" w:rsidR="008459F1" w:rsidRPr="003A3688" w:rsidRDefault="008459F1" w:rsidP="00176B25">
            <w:pPr>
              <w:spacing w:line="240" w:lineRule="auto"/>
              <w:jc w:val="both"/>
              <w:rPr>
                <w:rFonts w:asciiTheme="majorBidi" w:hAnsiTheme="majorBidi" w:cstheme="majorBidi"/>
              </w:rPr>
            </w:pPr>
          </w:p>
        </w:tc>
        <w:tc>
          <w:tcPr>
            <w:tcW w:w="2340" w:type="dxa"/>
            <w:tcBorders>
              <w:top w:val="single" w:sz="8" w:space="0" w:color="AEAEAE"/>
              <w:left w:val="nil"/>
              <w:bottom w:val="single" w:sz="8" w:space="0" w:color="AEAEAE"/>
              <w:right w:val="nil"/>
            </w:tcBorders>
            <w:shd w:val="clear" w:color="auto" w:fill="E0E0E0"/>
          </w:tcPr>
          <w:p w14:paraId="55C0CCA0"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Sig. (2-tailed)</w:t>
            </w:r>
          </w:p>
        </w:tc>
        <w:tc>
          <w:tcPr>
            <w:tcW w:w="1170" w:type="dxa"/>
            <w:tcBorders>
              <w:top w:val="single" w:sz="8" w:space="0" w:color="AEAEAE"/>
              <w:left w:val="nil"/>
              <w:bottom w:val="single" w:sz="8" w:space="0" w:color="AEAEAE"/>
              <w:right w:val="single" w:sz="8" w:space="0" w:color="E0E0E0"/>
            </w:tcBorders>
            <w:shd w:val="clear" w:color="auto" w:fill="FFFFFF"/>
            <w:vAlign w:val="center"/>
          </w:tcPr>
          <w:p w14:paraId="6076EF7A" w14:textId="77777777" w:rsidR="008459F1" w:rsidRPr="003A3688" w:rsidRDefault="008459F1" w:rsidP="00176B25">
            <w:pPr>
              <w:spacing w:line="240" w:lineRule="auto"/>
              <w:jc w:val="both"/>
              <w:rPr>
                <w:rFonts w:asciiTheme="majorBidi" w:hAnsiTheme="majorBidi" w:cstheme="majorBidi"/>
              </w:rPr>
            </w:pPr>
          </w:p>
        </w:tc>
        <w:tc>
          <w:tcPr>
            <w:tcW w:w="1350" w:type="dxa"/>
            <w:tcBorders>
              <w:top w:val="single" w:sz="8" w:space="0" w:color="AEAEAE"/>
              <w:left w:val="single" w:sz="8" w:space="0" w:color="E0E0E0"/>
              <w:bottom w:val="single" w:sz="8" w:space="0" w:color="AEAEAE"/>
              <w:right w:val="single" w:sz="8" w:space="0" w:color="E0E0E0"/>
            </w:tcBorders>
            <w:shd w:val="clear" w:color="auto" w:fill="FFFFFF"/>
          </w:tcPr>
          <w:p w14:paraId="4DCDF948"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.004</w:t>
            </w:r>
          </w:p>
        </w:tc>
        <w:tc>
          <w:tcPr>
            <w:tcW w:w="1440" w:type="dxa"/>
            <w:tcBorders>
              <w:top w:val="single" w:sz="8" w:space="0" w:color="AEAEAE"/>
              <w:left w:val="single" w:sz="8" w:space="0" w:color="E0E0E0"/>
              <w:bottom w:val="single" w:sz="8" w:space="0" w:color="AEAEAE"/>
              <w:right w:val="nil"/>
            </w:tcBorders>
            <w:shd w:val="clear" w:color="auto" w:fill="FFFFFF"/>
          </w:tcPr>
          <w:p w14:paraId="71E11073"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.001</w:t>
            </w:r>
          </w:p>
        </w:tc>
      </w:tr>
      <w:tr w:rsidR="008459F1" w:rsidRPr="003A3688" w14:paraId="19F356B6" w14:textId="77777777" w:rsidTr="00176B25">
        <w:trPr>
          <w:cantSplit/>
        </w:trPr>
        <w:tc>
          <w:tcPr>
            <w:tcW w:w="1620" w:type="dxa"/>
            <w:vMerge/>
            <w:tcBorders>
              <w:top w:val="single" w:sz="8" w:space="0" w:color="152935"/>
              <w:left w:val="nil"/>
              <w:bottom w:val="nil"/>
              <w:right w:val="nil"/>
            </w:tcBorders>
            <w:shd w:val="clear" w:color="auto" w:fill="E0E0E0"/>
          </w:tcPr>
          <w:p w14:paraId="74EB488D" w14:textId="77777777" w:rsidR="008459F1" w:rsidRPr="003A3688" w:rsidRDefault="008459F1" w:rsidP="00176B25">
            <w:pPr>
              <w:spacing w:line="240" w:lineRule="auto"/>
              <w:jc w:val="both"/>
              <w:rPr>
                <w:rFonts w:asciiTheme="majorBidi" w:hAnsiTheme="majorBidi" w:cstheme="majorBidi"/>
              </w:rPr>
            </w:pPr>
          </w:p>
        </w:tc>
        <w:tc>
          <w:tcPr>
            <w:tcW w:w="2340" w:type="dxa"/>
            <w:tcBorders>
              <w:top w:val="single" w:sz="8" w:space="0" w:color="AEAEAE"/>
              <w:left w:val="nil"/>
              <w:bottom w:val="nil"/>
              <w:right w:val="nil"/>
            </w:tcBorders>
            <w:shd w:val="clear" w:color="auto" w:fill="E0E0E0"/>
          </w:tcPr>
          <w:p w14:paraId="014B3978"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N</w:t>
            </w:r>
          </w:p>
        </w:tc>
        <w:tc>
          <w:tcPr>
            <w:tcW w:w="1170" w:type="dxa"/>
            <w:tcBorders>
              <w:top w:val="single" w:sz="8" w:space="0" w:color="AEAEAE"/>
              <w:left w:val="nil"/>
              <w:bottom w:val="nil"/>
              <w:right w:val="single" w:sz="8" w:space="0" w:color="E0E0E0"/>
            </w:tcBorders>
            <w:shd w:val="clear" w:color="auto" w:fill="FFFFFF"/>
          </w:tcPr>
          <w:p w14:paraId="3DE867F7"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100</w:t>
            </w:r>
          </w:p>
        </w:tc>
        <w:tc>
          <w:tcPr>
            <w:tcW w:w="1350" w:type="dxa"/>
            <w:tcBorders>
              <w:top w:val="single" w:sz="8" w:space="0" w:color="AEAEAE"/>
              <w:left w:val="single" w:sz="8" w:space="0" w:color="E0E0E0"/>
              <w:bottom w:val="nil"/>
              <w:right w:val="single" w:sz="8" w:space="0" w:color="E0E0E0"/>
            </w:tcBorders>
            <w:shd w:val="clear" w:color="auto" w:fill="FFFFFF"/>
          </w:tcPr>
          <w:p w14:paraId="17E9517D"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100</w:t>
            </w:r>
          </w:p>
        </w:tc>
        <w:tc>
          <w:tcPr>
            <w:tcW w:w="1440" w:type="dxa"/>
            <w:tcBorders>
              <w:top w:val="single" w:sz="8" w:space="0" w:color="AEAEAE"/>
              <w:left w:val="single" w:sz="8" w:space="0" w:color="E0E0E0"/>
              <w:bottom w:val="nil"/>
              <w:right w:val="nil"/>
            </w:tcBorders>
            <w:shd w:val="clear" w:color="auto" w:fill="FFFFFF"/>
          </w:tcPr>
          <w:p w14:paraId="6CE7F6C8"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100</w:t>
            </w:r>
          </w:p>
        </w:tc>
      </w:tr>
      <w:tr w:rsidR="008459F1" w:rsidRPr="003A3688" w14:paraId="2DB20654" w14:textId="77777777" w:rsidTr="00176B25">
        <w:trPr>
          <w:cantSplit/>
        </w:trPr>
        <w:tc>
          <w:tcPr>
            <w:tcW w:w="1620" w:type="dxa"/>
            <w:vMerge w:val="restart"/>
            <w:tcBorders>
              <w:top w:val="single" w:sz="8" w:space="0" w:color="AEAEAE"/>
              <w:left w:val="nil"/>
              <w:bottom w:val="nil"/>
              <w:right w:val="nil"/>
            </w:tcBorders>
            <w:shd w:val="clear" w:color="auto" w:fill="E0E0E0"/>
          </w:tcPr>
          <w:p w14:paraId="275247EE" w14:textId="77777777" w:rsidR="008459F1" w:rsidRPr="003A3688" w:rsidRDefault="008459F1" w:rsidP="00176B25">
            <w:pPr>
              <w:spacing w:line="240" w:lineRule="auto"/>
              <w:jc w:val="both"/>
              <w:rPr>
                <w:rFonts w:asciiTheme="majorBidi" w:hAnsiTheme="majorBidi" w:cstheme="majorBidi"/>
              </w:rPr>
            </w:pPr>
            <w:proofErr w:type="spellStart"/>
            <w:r w:rsidRPr="003A3688">
              <w:rPr>
                <w:rFonts w:asciiTheme="majorBidi" w:hAnsiTheme="majorBidi" w:cstheme="majorBidi"/>
              </w:rPr>
              <w:t>OC_Total</w:t>
            </w:r>
            <w:proofErr w:type="spellEnd"/>
          </w:p>
        </w:tc>
        <w:tc>
          <w:tcPr>
            <w:tcW w:w="2340" w:type="dxa"/>
            <w:tcBorders>
              <w:top w:val="single" w:sz="8" w:space="0" w:color="AEAEAE"/>
              <w:left w:val="nil"/>
              <w:bottom w:val="single" w:sz="8" w:space="0" w:color="AEAEAE"/>
              <w:right w:val="nil"/>
            </w:tcBorders>
            <w:shd w:val="clear" w:color="auto" w:fill="E0E0E0"/>
          </w:tcPr>
          <w:p w14:paraId="1A9E37B3"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Pearson Correlation</w:t>
            </w:r>
          </w:p>
        </w:tc>
        <w:tc>
          <w:tcPr>
            <w:tcW w:w="1170" w:type="dxa"/>
            <w:tcBorders>
              <w:top w:val="single" w:sz="8" w:space="0" w:color="AEAEAE"/>
              <w:left w:val="nil"/>
              <w:bottom w:val="single" w:sz="8" w:space="0" w:color="AEAEAE"/>
              <w:right w:val="single" w:sz="8" w:space="0" w:color="E0E0E0"/>
            </w:tcBorders>
            <w:shd w:val="clear" w:color="auto" w:fill="FFFFFF"/>
          </w:tcPr>
          <w:p w14:paraId="42CB9762"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-.057</w:t>
            </w:r>
          </w:p>
        </w:tc>
        <w:tc>
          <w:tcPr>
            <w:tcW w:w="1350" w:type="dxa"/>
            <w:tcBorders>
              <w:top w:val="single" w:sz="8" w:space="0" w:color="AEAEAE"/>
              <w:left w:val="single" w:sz="8" w:space="0" w:color="E0E0E0"/>
              <w:bottom w:val="single" w:sz="8" w:space="0" w:color="AEAEAE"/>
              <w:right w:val="single" w:sz="8" w:space="0" w:color="E0E0E0"/>
            </w:tcBorders>
            <w:shd w:val="clear" w:color="auto" w:fill="FFFFFF"/>
          </w:tcPr>
          <w:p w14:paraId="177B5DC6"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1</w:t>
            </w:r>
          </w:p>
        </w:tc>
        <w:tc>
          <w:tcPr>
            <w:tcW w:w="1440" w:type="dxa"/>
            <w:tcBorders>
              <w:top w:val="single" w:sz="8" w:space="0" w:color="AEAEAE"/>
              <w:left w:val="single" w:sz="8" w:space="0" w:color="E0E0E0"/>
              <w:bottom w:val="single" w:sz="8" w:space="0" w:color="AEAEAE"/>
              <w:right w:val="nil"/>
            </w:tcBorders>
            <w:shd w:val="clear" w:color="auto" w:fill="FFFFFF"/>
          </w:tcPr>
          <w:p w14:paraId="72C9403B"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.847</w:t>
            </w:r>
            <w:r w:rsidRPr="003A3688">
              <w:rPr>
                <w:rFonts w:asciiTheme="majorBidi" w:hAnsiTheme="majorBidi" w:cstheme="majorBidi"/>
                <w:vertAlign w:val="superscript"/>
              </w:rPr>
              <w:t>*</w:t>
            </w:r>
          </w:p>
        </w:tc>
      </w:tr>
      <w:tr w:rsidR="008459F1" w:rsidRPr="003A3688" w14:paraId="74D3ADC6" w14:textId="77777777" w:rsidTr="00176B25">
        <w:trPr>
          <w:cantSplit/>
        </w:trPr>
        <w:tc>
          <w:tcPr>
            <w:tcW w:w="1620" w:type="dxa"/>
            <w:vMerge/>
            <w:tcBorders>
              <w:top w:val="single" w:sz="8" w:space="0" w:color="AEAEAE"/>
              <w:left w:val="nil"/>
              <w:bottom w:val="nil"/>
              <w:right w:val="nil"/>
            </w:tcBorders>
            <w:shd w:val="clear" w:color="auto" w:fill="E0E0E0"/>
          </w:tcPr>
          <w:p w14:paraId="21A997C3" w14:textId="77777777" w:rsidR="008459F1" w:rsidRPr="003A3688" w:rsidRDefault="008459F1" w:rsidP="00176B25">
            <w:pPr>
              <w:spacing w:line="240" w:lineRule="auto"/>
              <w:jc w:val="both"/>
              <w:rPr>
                <w:rFonts w:asciiTheme="majorBidi" w:hAnsiTheme="majorBidi" w:cstheme="majorBidi"/>
              </w:rPr>
            </w:pPr>
          </w:p>
        </w:tc>
        <w:tc>
          <w:tcPr>
            <w:tcW w:w="2340" w:type="dxa"/>
            <w:tcBorders>
              <w:top w:val="single" w:sz="8" w:space="0" w:color="AEAEAE"/>
              <w:left w:val="nil"/>
              <w:bottom w:val="single" w:sz="8" w:space="0" w:color="AEAEAE"/>
              <w:right w:val="nil"/>
            </w:tcBorders>
            <w:shd w:val="clear" w:color="auto" w:fill="E0E0E0"/>
          </w:tcPr>
          <w:p w14:paraId="022FE61D"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Sig. (2-tailed)</w:t>
            </w:r>
          </w:p>
        </w:tc>
        <w:tc>
          <w:tcPr>
            <w:tcW w:w="1170" w:type="dxa"/>
            <w:tcBorders>
              <w:top w:val="single" w:sz="8" w:space="0" w:color="AEAEAE"/>
              <w:left w:val="nil"/>
              <w:bottom w:val="single" w:sz="8" w:space="0" w:color="AEAEAE"/>
              <w:right w:val="single" w:sz="8" w:space="0" w:color="E0E0E0"/>
            </w:tcBorders>
            <w:shd w:val="clear" w:color="auto" w:fill="FFFFFF"/>
          </w:tcPr>
          <w:p w14:paraId="029BAAF3"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.004</w:t>
            </w:r>
          </w:p>
        </w:tc>
        <w:tc>
          <w:tcPr>
            <w:tcW w:w="135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8F9D98A" w14:textId="77777777" w:rsidR="008459F1" w:rsidRPr="003A3688" w:rsidRDefault="008459F1" w:rsidP="00176B25">
            <w:pPr>
              <w:spacing w:line="240" w:lineRule="auto"/>
              <w:jc w:val="both"/>
              <w:rPr>
                <w:rFonts w:asciiTheme="majorBidi" w:hAnsiTheme="majorBidi" w:cstheme="majorBidi"/>
              </w:rPr>
            </w:pPr>
          </w:p>
        </w:tc>
        <w:tc>
          <w:tcPr>
            <w:tcW w:w="1440" w:type="dxa"/>
            <w:tcBorders>
              <w:top w:val="single" w:sz="8" w:space="0" w:color="AEAEAE"/>
              <w:left w:val="single" w:sz="8" w:space="0" w:color="E0E0E0"/>
              <w:bottom w:val="single" w:sz="8" w:space="0" w:color="AEAEAE"/>
              <w:right w:val="nil"/>
            </w:tcBorders>
            <w:shd w:val="clear" w:color="auto" w:fill="FFFFFF"/>
          </w:tcPr>
          <w:p w14:paraId="141B4285"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.013</w:t>
            </w:r>
          </w:p>
        </w:tc>
      </w:tr>
      <w:tr w:rsidR="008459F1" w:rsidRPr="003A3688" w14:paraId="2B9112D3" w14:textId="77777777" w:rsidTr="00176B25">
        <w:trPr>
          <w:cantSplit/>
        </w:trPr>
        <w:tc>
          <w:tcPr>
            <w:tcW w:w="1620" w:type="dxa"/>
            <w:vMerge/>
            <w:tcBorders>
              <w:top w:val="single" w:sz="8" w:space="0" w:color="AEAEAE"/>
              <w:left w:val="nil"/>
              <w:bottom w:val="nil"/>
              <w:right w:val="nil"/>
            </w:tcBorders>
            <w:shd w:val="clear" w:color="auto" w:fill="E0E0E0"/>
          </w:tcPr>
          <w:p w14:paraId="77BE6D60" w14:textId="77777777" w:rsidR="008459F1" w:rsidRPr="003A3688" w:rsidRDefault="008459F1" w:rsidP="00176B25">
            <w:pPr>
              <w:spacing w:line="240" w:lineRule="auto"/>
              <w:jc w:val="both"/>
              <w:rPr>
                <w:rFonts w:asciiTheme="majorBidi" w:hAnsiTheme="majorBidi" w:cstheme="majorBidi"/>
              </w:rPr>
            </w:pPr>
          </w:p>
        </w:tc>
        <w:tc>
          <w:tcPr>
            <w:tcW w:w="2340" w:type="dxa"/>
            <w:tcBorders>
              <w:top w:val="single" w:sz="8" w:space="0" w:color="AEAEAE"/>
              <w:left w:val="nil"/>
              <w:bottom w:val="nil"/>
              <w:right w:val="nil"/>
            </w:tcBorders>
            <w:shd w:val="clear" w:color="auto" w:fill="E0E0E0"/>
          </w:tcPr>
          <w:p w14:paraId="5F77042B"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N</w:t>
            </w:r>
          </w:p>
        </w:tc>
        <w:tc>
          <w:tcPr>
            <w:tcW w:w="1170" w:type="dxa"/>
            <w:tcBorders>
              <w:top w:val="single" w:sz="8" w:space="0" w:color="AEAEAE"/>
              <w:left w:val="nil"/>
              <w:bottom w:val="nil"/>
              <w:right w:val="single" w:sz="8" w:space="0" w:color="E0E0E0"/>
            </w:tcBorders>
            <w:shd w:val="clear" w:color="auto" w:fill="FFFFFF"/>
          </w:tcPr>
          <w:p w14:paraId="73E7CF0B"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100</w:t>
            </w:r>
          </w:p>
        </w:tc>
        <w:tc>
          <w:tcPr>
            <w:tcW w:w="1350" w:type="dxa"/>
            <w:tcBorders>
              <w:top w:val="single" w:sz="8" w:space="0" w:color="AEAEAE"/>
              <w:left w:val="single" w:sz="8" w:space="0" w:color="E0E0E0"/>
              <w:bottom w:val="nil"/>
              <w:right w:val="single" w:sz="8" w:space="0" w:color="E0E0E0"/>
            </w:tcBorders>
            <w:shd w:val="clear" w:color="auto" w:fill="FFFFFF"/>
          </w:tcPr>
          <w:p w14:paraId="1EFEC8A4"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100</w:t>
            </w:r>
          </w:p>
        </w:tc>
        <w:tc>
          <w:tcPr>
            <w:tcW w:w="1440" w:type="dxa"/>
            <w:tcBorders>
              <w:top w:val="single" w:sz="8" w:space="0" w:color="AEAEAE"/>
              <w:left w:val="single" w:sz="8" w:space="0" w:color="E0E0E0"/>
              <w:bottom w:val="nil"/>
              <w:right w:val="nil"/>
            </w:tcBorders>
            <w:shd w:val="clear" w:color="auto" w:fill="FFFFFF"/>
          </w:tcPr>
          <w:p w14:paraId="2F6407EE"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100</w:t>
            </w:r>
          </w:p>
        </w:tc>
      </w:tr>
      <w:tr w:rsidR="008459F1" w:rsidRPr="003A3688" w14:paraId="313C5E07" w14:textId="77777777" w:rsidTr="00176B25">
        <w:trPr>
          <w:cantSplit/>
        </w:trPr>
        <w:tc>
          <w:tcPr>
            <w:tcW w:w="1620" w:type="dxa"/>
            <w:vMerge w:val="restart"/>
            <w:tcBorders>
              <w:top w:val="single" w:sz="8" w:space="0" w:color="AEAEAE"/>
              <w:left w:val="nil"/>
              <w:bottom w:val="single" w:sz="8" w:space="0" w:color="152935"/>
              <w:right w:val="nil"/>
            </w:tcBorders>
            <w:shd w:val="clear" w:color="auto" w:fill="E0E0E0"/>
          </w:tcPr>
          <w:p w14:paraId="778BE890" w14:textId="77777777" w:rsidR="008459F1" w:rsidRPr="003A3688" w:rsidRDefault="008459F1" w:rsidP="00176B25">
            <w:pPr>
              <w:spacing w:line="240" w:lineRule="auto"/>
              <w:jc w:val="both"/>
              <w:rPr>
                <w:rFonts w:asciiTheme="majorBidi" w:hAnsiTheme="majorBidi" w:cstheme="majorBidi"/>
              </w:rPr>
            </w:pPr>
            <w:proofErr w:type="spellStart"/>
            <w:r w:rsidRPr="003A3688">
              <w:rPr>
                <w:rFonts w:asciiTheme="majorBidi" w:hAnsiTheme="majorBidi" w:cstheme="majorBidi"/>
              </w:rPr>
              <w:t>AIT_Total</w:t>
            </w:r>
            <w:proofErr w:type="spellEnd"/>
          </w:p>
        </w:tc>
        <w:tc>
          <w:tcPr>
            <w:tcW w:w="2340" w:type="dxa"/>
            <w:tcBorders>
              <w:top w:val="single" w:sz="8" w:space="0" w:color="AEAEAE"/>
              <w:left w:val="nil"/>
              <w:bottom w:val="single" w:sz="8" w:space="0" w:color="AEAEAE"/>
              <w:right w:val="nil"/>
            </w:tcBorders>
            <w:shd w:val="clear" w:color="auto" w:fill="E0E0E0"/>
          </w:tcPr>
          <w:p w14:paraId="4D65DA31"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Pearson Correlation</w:t>
            </w:r>
          </w:p>
        </w:tc>
        <w:tc>
          <w:tcPr>
            <w:tcW w:w="1170" w:type="dxa"/>
            <w:tcBorders>
              <w:top w:val="single" w:sz="8" w:space="0" w:color="AEAEAE"/>
              <w:left w:val="nil"/>
              <w:bottom w:val="single" w:sz="8" w:space="0" w:color="AEAEAE"/>
              <w:right w:val="single" w:sz="8" w:space="0" w:color="E0E0E0"/>
            </w:tcBorders>
            <w:shd w:val="clear" w:color="auto" w:fill="FFFFFF"/>
          </w:tcPr>
          <w:p w14:paraId="577069A2"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.867</w:t>
            </w:r>
          </w:p>
        </w:tc>
        <w:tc>
          <w:tcPr>
            <w:tcW w:w="1350" w:type="dxa"/>
            <w:tcBorders>
              <w:top w:val="single" w:sz="8" w:space="0" w:color="AEAEAE"/>
              <w:left w:val="single" w:sz="8" w:space="0" w:color="E0E0E0"/>
              <w:bottom w:val="single" w:sz="8" w:space="0" w:color="AEAEAE"/>
              <w:right w:val="single" w:sz="8" w:space="0" w:color="E0E0E0"/>
            </w:tcBorders>
            <w:shd w:val="clear" w:color="auto" w:fill="FFFFFF"/>
          </w:tcPr>
          <w:p w14:paraId="0E9151E8"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.847</w:t>
            </w:r>
            <w:r w:rsidRPr="003A3688">
              <w:rPr>
                <w:rFonts w:asciiTheme="majorBidi" w:hAnsiTheme="majorBidi" w:cstheme="majorBidi"/>
                <w:vertAlign w:val="superscript"/>
              </w:rPr>
              <w:t>*</w:t>
            </w:r>
          </w:p>
        </w:tc>
        <w:tc>
          <w:tcPr>
            <w:tcW w:w="1440" w:type="dxa"/>
            <w:tcBorders>
              <w:top w:val="single" w:sz="8" w:space="0" w:color="AEAEAE"/>
              <w:left w:val="single" w:sz="8" w:space="0" w:color="E0E0E0"/>
              <w:bottom w:val="single" w:sz="8" w:space="0" w:color="AEAEAE"/>
              <w:right w:val="nil"/>
            </w:tcBorders>
            <w:shd w:val="clear" w:color="auto" w:fill="FFFFFF"/>
          </w:tcPr>
          <w:p w14:paraId="77FFF3E4"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1</w:t>
            </w:r>
          </w:p>
        </w:tc>
      </w:tr>
      <w:tr w:rsidR="008459F1" w:rsidRPr="003A3688" w14:paraId="5D82A1EF" w14:textId="77777777" w:rsidTr="00176B25">
        <w:trPr>
          <w:cantSplit/>
        </w:trPr>
        <w:tc>
          <w:tcPr>
            <w:tcW w:w="1620" w:type="dxa"/>
            <w:vMerge/>
            <w:tcBorders>
              <w:top w:val="single" w:sz="8" w:space="0" w:color="AEAEAE"/>
              <w:left w:val="nil"/>
              <w:bottom w:val="single" w:sz="8" w:space="0" w:color="152935"/>
              <w:right w:val="nil"/>
            </w:tcBorders>
            <w:shd w:val="clear" w:color="auto" w:fill="E0E0E0"/>
          </w:tcPr>
          <w:p w14:paraId="73EFF11B" w14:textId="77777777" w:rsidR="008459F1" w:rsidRPr="003A3688" w:rsidRDefault="008459F1" w:rsidP="00176B25">
            <w:pPr>
              <w:spacing w:line="240" w:lineRule="auto"/>
              <w:jc w:val="both"/>
              <w:rPr>
                <w:rFonts w:asciiTheme="majorBidi" w:hAnsiTheme="majorBidi" w:cstheme="majorBidi"/>
              </w:rPr>
            </w:pPr>
          </w:p>
        </w:tc>
        <w:tc>
          <w:tcPr>
            <w:tcW w:w="2340" w:type="dxa"/>
            <w:tcBorders>
              <w:top w:val="single" w:sz="8" w:space="0" w:color="AEAEAE"/>
              <w:left w:val="nil"/>
              <w:bottom w:val="single" w:sz="8" w:space="0" w:color="AEAEAE"/>
              <w:right w:val="nil"/>
            </w:tcBorders>
            <w:shd w:val="clear" w:color="auto" w:fill="E0E0E0"/>
          </w:tcPr>
          <w:p w14:paraId="57018C59"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Sig. (2-tailed)</w:t>
            </w:r>
          </w:p>
        </w:tc>
        <w:tc>
          <w:tcPr>
            <w:tcW w:w="1170" w:type="dxa"/>
            <w:tcBorders>
              <w:top w:val="single" w:sz="8" w:space="0" w:color="AEAEAE"/>
              <w:left w:val="nil"/>
              <w:bottom w:val="single" w:sz="8" w:space="0" w:color="AEAEAE"/>
              <w:right w:val="single" w:sz="8" w:space="0" w:color="E0E0E0"/>
            </w:tcBorders>
            <w:shd w:val="clear" w:color="auto" w:fill="FFFFFF"/>
          </w:tcPr>
          <w:p w14:paraId="71720FC4"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.001</w:t>
            </w:r>
          </w:p>
        </w:tc>
        <w:tc>
          <w:tcPr>
            <w:tcW w:w="1350" w:type="dxa"/>
            <w:tcBorders>
              <w:top w:val="single" w:sz="8" w:space="0" w:color="AEAEAE"/>
              <w:left w:val="single" w:sz="8" w:space="0" w:color="E0E0E0"/>
              <w:bottom w:val="single" w:sz="8" w:space="0" w:color="AEAEAE"/>
              <w:right w:val="single" w:sz="8" w:space="0" w:color="E0E0E0"/>
            </w:tcBorders>
            <w:shd w:val="clear" w:color="auto" w:fill="FFFFFF"/>
          </w:tcPr>
          <w:p w14:paraId="3FD3BF73"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.013</w:t>
            </w:r>
          </w:p>
        </w:tc>
        <w:tc>
          <w:tcPr>
            <w:tcW w:w="1440" w:type="dxa"/>
            <w:tcBorders>
              <w:top w:val="single" w:sz="8" w:space="0" w:color="AEAEAE"/>
              <w:left w:val="single" w:sz="8" w:space="0" w:color="E0E0E0"/>
              <w:bottom w:val="single" w:sz="8" w:space="0" w:color="AEAEAE"/>
              <w:right w:val="nil"/>
            </w:tcBorders>
            <w:shd w:val="clear" w:color="auto" w:fill="FFFFFF"/>
            <w:vAlign w:val="center"/>
          </w:tcPr>
          <w:p w14:paraId="39647253" w14:textId="77777777" w:rsidR="008459F1" w:rsidRPr="003A3688" w:rsidRDefault="008459F1" w:rsidP="00176B25">
            <w:pPr>
              <w:spacing w:line="240" w:lineRule="auto"/>
              <w:jc w:val="both"/>
              <w:rPr>
                <w:rFonts w:asciiTheme="majorBidi" w:hAnsiTheme="majorBidi" w:cstheme="majorBidi"/>
              </w:rPr>
            </w:pPr>
          </w:p>
        </w:tc>
      </w:tr>
      <w:tr w:rsidR="008459F1" w:rsidRPr="003A3688" w14:paraId="0C47D692" w14:textId="77777777" w:rsidTr="00176B25">
        <w:trPr>
          <w:cantSplit/>
        </w:trPr>
        <w:tc>
          <w:tcPr>
            <w:tcW w:w="1620" w:type="dxa"/>
            <w:vMerge/>
            <w:tcBorders>
              <w:top w:val="single" w:sz="8" w:space="0" w:color="AEAEAE"/>
              <w:left w:val="nil"/>
              <w:bottom w:val="single" w:sz="8" w:space="0" w:color="152935"/>
              <w:right w:val="nil"/>
            </w:tcBorders>
            <w:shd w:val="clear" w:color="auto" w:fill="E0E0E0"/>
          </w:tcPr>
          <w:p w14:paraId="778B281C" w14:textId="77777777" w:rsidR="008459F1" w:rsidRPr="003A3688" w:rsidRDefault="008459F1" w:rsidP="00176B25">
            <w:pPr>
              <w:spacing w:line="240" w:lineRule="auto"/>
              <w:jc w:val="both"/>
              <w:rPr>
                <w:rFonts w:asciiTheme="majorBidi" w:hAnsiTheme="majorBidi" w:cstheme="majorBidi"/>
              </w:rPr>
            </w:pPr>
          </w:p>
        </w:tc>
        <w:tc>
          <w:tcPr>
            <w:tcW w:w="2340" w:type="dxa"/>
            <w:tcBorders>
              <w:top w:val="single" w:sz="8" w:space="0" w:color="AEAEAE"/>
              <w:left w:val="nil"/>
              <w:bottom w:val="single" w:sz="8" w:space="0" w:color="152935"/>
              <w:right w:val="nil"/>
            </w:tcBorders>
            <w:shd w:val="clear" w:color="auto" w:fill="E0E0E0"/>
          </w:tcPr>
          <w:p w14:paraId="308EB5A8"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N</w:t>
            </w:r>
          </w:p>
        </w:tc>
        <w:tc>
          <w:tcPr>
            <w:tcW w:w="1170" w:type="dxa"/>
            <w:tcBorders>
              <w:top w:val="single" w:sz="8" w:space="0" w:color="AEAEAE"/>
              <w:left w:val="nil"/>
              <w:bottom w:val="single" w:sz="8" w:space="0" w:color="152935"/>
              <w:right w:val="single" w:sz="8" w:space="0" w:color="E0E0E0"/>
            </w:tcBorders>
            <w:shd w:val="clear" w:color="auto" w:fill="FFFFFF"/>
          </w:tcPr>
          <w:p w14:paraId="6DDBAEB1"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100</w:t>
            </w:r>
          </w:p>
        </w:tc>
        <w:tc>
          <w:tcPr>
            <w:tcW w:w="1350" w:type="dxa"/>
            <w:tcBorders>
              <w:top w:val="single" w:sz="8" w:space="0" w:color="AEAEAE"/>
              <w:left w:val="single" w:sz="8" w:space="0" w:color="E0E0E0"/>
              <w:bottom w:val="single" w:sz="8" w:space="0" w:color="152935"/>
              <w:right w:val="single" w:sz="8" w:space="0" w:color="E0E0E0"/>
            </w:tcBorders>
            <w:shd w:val="clear" w:color="auto" w:fill="FFFFFF"/>
          </w:tcPr>
          <w:p w14:paraId="1FC9B324"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100</w:t>
            </w:r>
          </w:p>
        </w:tc>
        <w:tc>
          <w:tcPr>
            <w:tcW w:w="1440" w:type="dxa"/>
            <w:tcBorders>
              <w:top w:val="single" w:sz="8" w:space="0" w:color="AEAEAE"/>
              <w:left w:val="single" w:sz="8" w:space="0" w:color="E0E0E0"/>
              <w:bottom w:val="single" w:sz="8" w:space="0" w:color="152935"/>
              <w:right w:val="nil"/>
            </w:tcBorders>
            <w:shd w:val="clear" w:color="auto" w:fill="FFFFFF"/>
          </w:tcPr>
          <w:p w14:paraId="17EA22DA"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100</w:t>
            </w:r>
          </w:p>
        </w:tc>
      </w:tr>
      <w:tr w:rsidR="008459F1" w:rsidRPr="003A3688" w14:paraId="718E924B" w14:textId="77777777" w:rsidTr="00176B25">
        <w:trPr>
          <w:cantSplit/>
        </w:trPr>
        <w:tc>
          <w:tcPr>
            <w:tcW w:w="7920" w:type="dxa"/>
            <w:gridSpan w:val="5"/>
            <w:tcBorders>
              <w:top w:val="nil"/>
              <w:left w:val="nil"/>
              <w:bottom w:val="nil"/>
              <w:right w:val="nil"/>
            </w:tcBorders>
            <w:shd w:val="clear" w:color="auto" w:fill="FFFFFF"/>
          </w:tcPr>
          <w:p w14:paraId="3AFF5C8E" w14:textId="77777777" w:rsidR="008459F1" w:rsidRPr="003A3688" w:rsidRDefault="008459F1" w:rsidP="00176B25">
            <w:pPr>
              <w:spacing w:line="240" w:lineRule="auto"/>
              <w:jc w:val="both"/>
              <w:rPr>
                <w:rFonts w:asciiTheme="majorBidi" w:hAnsiTheme="majorBidi" w:cstheme="majorBidi"/>
              </w:rPr>
            </w:pPr>
            <w:r w:rsidRPr="003A3688">
              <w:rPr>
                <w:rFonts w:asciiTheme="majorBidi" w:hAnsiTheme="majorBidi" w:cstheme="majorBidi"/>
              </w:rPr>
              <w:t>*. Correlation is significant at the 0.05 level (2-tailed).</w:t>
            </w:r>
          </w:p>
        </w:tc>
      </w:tr>
    </w:tbl>
    <w:p w14:paraId="058F37DE" w14:textId="77777777" w:rsidR="008459F1" w:rsidRDefault="008459F1" w:rsidP="008459F1">
      <w:pPr>
        <w:spacing w:line="360" w:lineRule="auto"/>
        <w:ind w:left="360"/>
        <w:jc w:val="both"/>
        <w:rPr>
          <w:rFonts w:asciiTheme="majorBidi" w:hAnsiTheme="majorBidi" w:cstheme="majorBidi"/>
        </w:rPr>
      </w:pPr>
      <w:r w:rsidRPr="00000EB5">
        <w:rPr>
          <w:rFonts w:asciiTheme="majorBidi" w:hAnsiTheme="majorBidi" w:cstheme="majorBidi"/>
        </w:rPr>
        <w:t xml:space="preserve">Correlation matrix </w:t>
      </w:r>
      <w:r>
        <w:rPr>
          <w:rFonts w:asciiTheme="majorBidi" w:hAnsiTheme="majorBidi" w:cstheme="majorBidi"/>
        </w:rPr>
        <w:t xml:space="preserve">in Table 7 above </w:t>
      </w:r>
      <w:r w:rsidRPr="00000EB5">
        <w:rPr>
          <w:rFonts w:asciiTheme="majorBidi" w:hAnsiTheme="majorBidi" w:cstheme="majorBidi"/>
        </w:rPr>
        <w:t xml:space="preserve">demonstrates relationships between important variables. A very strong positive correlation exists between </w:t>
      </w:r>
      <w:proofErr w:type="spellStart"/>
      <w:r w:rsidRPr="00000EB5">
        <w:rPr>
          <w:rFonts w:asciiTheme="majorBidi" w:hAnsiTheme="majorBidi" w:cstheme="majorBidi"/>
        </w:rPr>
        <w:t>EP_Total</w:t>
      </w:r>
      <w:proofErr w:type="spellEnd"/>
      <w:r w:rsidRPr="00000EB5">
        <w:rPr>
          <w:rFonts w:asciiTheme="majorBidi" w:hAnsiTheme="majorBidi" w:cstheme="majorBidi"/>
        </w:rPr>
        <w:t xml:space="preserve"> (total economic power) and </w:t>
      </w:r>
      <w:proofErr w:type="spellStart"/>
      <w:r>
        <w:rPr>
          <w:rFonts w:asciiTheme="majorBidi" w:hAnsiTheme="majorBidi" w:cstheme="majorBidi"/>
        </w:rPr>
        <w:t>AIT_Total</w:t>
      </w:r>
      <w:proofErr w:type="spellEnd"/>
      <w:r>
        <w:rPr>
          <w:rFonts w:asciiTheme="majorBidi" w:hAnsiTheme="majorBidi" w:cstheme="majorBidi"/>
        </w:rPr>
        <w:t xml:space="preserve"> </w:t>
      </w:r>
      <w:r w:rsidRPr="00000EB5">
        <w:rPr>
          <w:rFonts w:asciiTheme="majorBidi" w:hAnsiTheme="majorBidi" w:cstheme="majorBidi"/>
        </w:rPr>
        <w:t>(the ability to afford international travel) at r = 0</w:t>
      </w:r>
      <w:r>
        <w:rPr>
          <w:rFonts w:asciiTheme="majorBidi" w:hAnsiTheme="majorBidi" w:cstheme="majorBidi"/>
        </w:rPr>
        <w:t>.67</w:t>
      </w:r>
      <w:r w:rsidRPr="00000EB5">
        <w:rPr>
          <w:rFonts w:asciiTheme="majorBidi" w:hAnsiTheme="majorBidi" w:cstheme="majorBidi"/>
        </w:rPr>
        <w:t xml:space="preserve"> indicating that the higher the economic power, the higher the international travel capability. </w:t>
      </w:r>
      <w:r>
        <w:rPr>
          <w:rFonts w:asciiTheme="majorBidi" w:hAnsiTheme="majorBidi" w:cstheme="majorBidi"/>
        </w:rPr>
        <w:t xml:space="preserve"> </w:t>
      </w:r>
      <w:r w:rsidRPr="00000EB5">
        <w:rPr>
          <w:rFonts w:asciiTheme="majorBidi" w:hAnsiTheme="majorBidi" w:cstheme="majorBidi"/>
        </w:rPr>
        <w:t xml:space="preserve">Remarkably, </w:t>
      </w:r>
      <w:proofErr w:type="spellStart"/>
      <w:r w:rsidRPr="00000EB5">
        <w:rPr>
          <w:rFonts w:asciiTheme="majorBidi" w:hAnsiTheme="majorBidi" w:cstheme="majorBidi"/>
        </w:rPr>
        <w:t>OC_Total</w:t>
      </w:r>
      <w:proofErr w:type="spellEnd"/>
      <w:r w:rsidRPr="00000EB5">
        <w:rPr>
          <w:rFonts w:asciiTheme="majorBidi" w:hAnsiTheme="majorBidi" w:cstheme="majorBidi"/>
        </w:rPr>
        <w:t xml:space="preserve"> and </w:t>
      </w:r>
      <w:proofErr w:type="spellStart"/>
      <w:r w:rsidRPr="00000EB5">
        <w:rPr>
          <w:rFonts w:asciiTheme="majorBidi" w:hAnsiTheme="majorBidi" w:cstheme="majorBidi"/>
        </w:rPr>
        <w:t>EP_Total</w:t>
      </w:r>
      <w:proofErr w:type="spellEnd"/>
      <w:r w:rsidRPr="00000EB5">
        <w:rPr>
          <w:rFonts w:asciiTheme="majorBidi" w:hAnsiTheme="majorBidi" w:cstheme="majorBidi"/>
        </w:rPr>
        <w:t xml:space="preserve"> have a weak negative interrelationship (r = -0.057), albeit insignificant. The matrix will be used to determine the presence of multicollinearity prior to regressions and to defend the study hypotheses. It makes sure that economic power is a significant predictor of travel ability, and it demonstrates the interdependence of income and occupation, which confirms the need to investigate occupation as a moderator in the following stage of the investigation.</w:t>
      </w:r>
    </w:p>
    <w:p w14:paraId="625EF36C" w14:textId="77777777" w:rsidR="008459F1" w:rsidRPr="00513B44" w:rsidRDefault="008459F1" w:rsidP="008459F1">
      <w:pPr>
        <w:spacing w:line="360" w:lineRule="auto"/>
        <w:ind w:left="360"/>
        <w:jc w:val="both"/>
        <w:rPr>
          <w:rFonts w:asciiTheme="majorBidi" w:hAnsiTheme="majorBidi" w:cstheme="majorBidi"/>
          <w:b/>
          <w:bCs/>
          <w:i/>
          <w:iCs/>
        </w:rPr>
      </w:pPr>
      <w:r w:rsidRPr="00513B44">
        <w:rPr>
          <w:rFonts w:asciiTheme="majorBidi" w:hAnsiTheme="majorBidi" w:cstheme="majorBidi"/>
          <w:b/>
          <w:bCs/>
          <w:i/>
          <w:iCs/>
        </w:rPr>
        <w:t>Multiple Linear Regression</w:t>
      </w:r>
    </w:p>
    <w:p w14:paraId="6FAD63C7" w14:textId="77777777" w:rsidR="008459F1" w:rsidRPr="00F97FAE" w:rsidRDefault="008459F1" w:rsidP="008459F1">
      <w:pPr>
        <w:spacing w:line="360" w:lineRule="auto"/>
        <w:ind w:left="360"/>
        <w:jc w:val="both"/>
        <w:rPr>
          <w:rFonts w:asciiTheme="majorBidi" w:hAnsiTheme="majorBidi" w:cstheme="majorBidi"/>
          <w:b/>
          <w:bCs/>
        </w:rPr>
      </w:pPr>
      <w:r w:rsidRPr="00F97FAE">
        <w:rPr>
          <w:rFonts w:asciiTheme="majorBidi" w:hAnsiTheme="majorBidi" w:cstheme="majorBidi"/>
          <w:b/>
          <w:bCs/>
        </w:rPr>
        <w:t>Table 8: Model</w:t>
      </w:r>
    </w:p>
    <w:tbl>
      <w:tblPr>
        <w:tblW w:w="7650"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2045"/>
        <w:gridCol w:w="2700"/>
      </w:tblGrid>
      <w:tr w:rsidR="008459F1" w:rsidRPr="00F97FAE" w14:paraId="608A3C1C" w14:textId="77777777" w:rsidTr="00176B25">
        <w:trPr>
          <w:cantSplit/>
        </w:trPr>
        <w:tc>
          <w:tcPr>
            <w:tcW w:w="7650" w:type="dxa"/>
            <w:gridSpan w:val="5"/>
            <w:tcBorders>
              <w:top w:val="nil"/>
              <w:left w:val="nil"/>
              <w:bottom w:val="nil"/>
              <w:right w:val="nil"/>
            </w:tcBorders>
            <w:shd w:val="clear" w:color="auto" w:fill="FFFFFF"/>
            <w:vAlign w:val="center"/>
          </w:tcPr>
          <w:p w14:paraId="69D9B88F"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b/>
                <w:bCs/>
              </w:rPr>
              <w:t>Model Summary</w:t>
            </w:r>
          </w:p>
        </w:tc>
      </w:tr>
      <w:tr w:rsidR="008459F1" w:rsidRPr="00F97FAE" w14:paraId="0BB9FD5C" w14:textId="77777777" w:rsidTr="00176B25">
        <w:trPr>
          <w:cantSplit/>
        </w:trPr>
        <w:tc>
          <w:tcPr>
            <w:tcW w:w="795" w:type="dxa"/>
            <w:tcBorders>
              <w:top w:val="nil"/>
              <w:left w:val="nil"/>
              <w:bottom w:val="single" w:sz="8" w:space="0" w:color="152935"/>
              <w:right w:val="nil"/>
            </w:tcBorders>
            <w:shd w:val="clear" w:color="auto" w:fill="FFFFFF"/>
            <w:vAlign w:val="bottom"/>
          </w:tcPr>
          <w:p w14:paraId="3230E92C"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Model</w:t>
            </w:r>
          </w:p>
        </w:tc>
        <w:tc>
          <w:tcPr>
            <w:tcW w:w="1024" w:type="dxa"/>
            <w:tcBorders>
              <w:top w:val="nil"/>
              <w:left w:val="nil"/>
              <w:bottom w:val="single" w:sz="8" w:space="0" w:color="152935"/>
              <w:right w:val="single" w:sz="8" w:space="0" w:color="E0E0E0"/>
            </w:tcBorders>
            <w:shd w:val="clear" w:color="auto" w:fill="FFFFFF"/>
            <w:vAlign w:val="bottom"/>
          </w:tcPr>
          <w:p w14:paraId="196DFF26"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2BE21731"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R Square</w:t>
            </w:r>
          </w:p>
        </w:tc>
        <w:tc>
          <w:tcPr>
            <w:tcW w:w="2045" w:type="dxa"/>
            <w:tcBorders>
              <w:top w:val="nil"/>
              <w:left w:val="single" w:sz="8" w:space="0" w:color="E0E0E0"/>
              <w:bottom w:val="single" w:sz="8" w:space="0" w:color="152935"/>
              <w:right w:val="single" w:sz="8" w:space="0" w:color="E0E0E0"/>
            </w:tcBorders>
            <w:shd w:val="clear" w:color="auto" w:fill="FFFFFF"/>
            <w:vAlign w:val="bottom"/>
          </w:tcPr>
          <w:p w14:paraId="1BA08A18"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Adjusted R Square</w:t>
            </w:r>
          </w:p>
        </w:tc>
        <w:tc>
          <w:tcPr>
            <w:tcW w:w="2700" w:type="dxa"/>
            <w:tcBorders>
              <w:top w:val="nil"/>
              <w:left w:val="single" w:sz="8" w:space="0" w:color="E0E0E0"/>
              <w:bottom w:val="single" w:sz="8" w:space="0" w:color="152935"/>
              <w:right w:val="nil"/>
            </w:tcBorders>
            <w:shd w:val="clear" w:color="auto" w:fill="FFFFFF"/>
            <w:vAlign w:val="bottom"/>
          </w:tcPr>
          <w:p w14:paraId="78DE85A5"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Std. Error of the Estimate</w:t>
            </w:r>
          </w:p>
        </w:tc>
      </w:tr>
      <w:tr w:rsidR="008459F1" w:rsidRPr="00F97FAE" w14:paraId="1859F5C1" w14:textId="77777777" w:rsidTr="00176B25">
        <w:trPr>
          <w:cantSplit/>
        </w:trPr>
        <w:tc>
          <w:tcPr>
            <w:tcW w:w="795" w:type="dxa"/>
            <w:tcBorders>
              <w:top w:val="single" w:sz="8" w:space="0" w:color="152935"/>
              <w:left w:val="nil"/>
              <w:bottom w:val="single" w:sz="8" w:space="0" w:color="152935"/>
              <w:right w:val="nil"/>
            </w:tcBorders>
            <w:shd w:val="clear" w:color="auto" w:fill="E0E0E0"/>
          </w:tcPr>
          <w:p w14:paraId="793973FB"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lastRenderedPageBreak/>
              <w:t>1</w:t>
            </w:r>
          </w:p>
        </w:tc>
        <w:tc>
          <w:tcPr>
            <w:tcW w:w="1024" w:type="dxa"/>
            <w:tcBorders>
              <w:top w:val="single" w:sz="8" w:space="0" w:color="152935"/>
              <w:left w:val="nil"/>
              <w:bottom w:val="single" w:sz="8" w:space="0" w:color="152935"/>
              <w:right w:val="single" w:sz="8" w:space="0" w:color="E0E0E0"/>
            </w:tcBorders>
            <w:shd w:val="clear" w:color="auto" w:fill="FFFFFF"/>
          </w:tcPr>
          <w:p w14:paraId="2C2361EA"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.784</w:t>
            </w:r>
            <w:r w:rsidRPr="00F97FAE">
              <w:rPr>
                <w:rFonts w:asciiTheme="majorBidi" w:hAnsiTheme="majorBidi" w:cstheme="majorBidi"/>
                <w:vertAlign w:val="superscript"/>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14:paraId="6470200D"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.615</w:t>
            </w:r>
          </w:p>
        </w:tc>
        <w:tc>
          <w:tcPr>
            <w:tcW w:w="2045" w:type="dxa"/>
            <w:tcBorders>
              <w:top w:val="single" w:sz="8" w:space="0" w:color="152935"/>
              <w:left w:val="single" w:sz="8" w:space="0" w:color="E0E0E0"/>
              <w:bottom w:val="single" w:sz="8" w:space="0" w:color="152935"/>
              <w:right w:val="single" w:sz="8" w:space="0" w:color="E0E0E0"/>
            </w:tcBorders>
            <w:shd w:val="clear" w:color="auto" w:fill="FFFFFF"/>
          </w:tcPr>
          <w:p w14:paraId="3C8A8EF4"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.662</w:t>
            </w:r>
          </w:p>
        </w:tc>
        <w:tc>
          <w:tcPr>
            <w:tcW w:w="2700" w:type="dxa"/>
            <w:tcBorders>
              <w:top w:val="single" w:sz="8" w:space="0" w:color="152935"/>
              <w:left w:val="single" w:sz="8" w:space="0" w:color="E0E0E0"/>
              <w:bottom w:val="single" w:sz="8" w:space="0" w:color="152935"/>
              <w:right w:val="nil"/>
            </w:tcBorders>
            <w:shd w:val="clear" w:color="auto" w:fill="FFFFFF"/>
          </w:tcPr>
          <w:p w14:paraId="2A9B06A0"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.37707</w:t>
            </w:r>
          </w:p>
        </w:tc>
      </w:tr>
      <w:tr w:rsidR="008459F1" w:rsidRPr="00F97FAE" w14:paraId="7B6706A0" w14:textId="77777777" w:rsidTr="00176B25">
        <w:trPr>
          <w:cantSplit/>
        </w:trPr>
        <w:tc>
          <w:tcPr>
            <w:tcW w:w="7650" w:type="dxa"/>
            <w:gridSpan w:val="5"/>
            <w:tcBorders>
              <w:top w:val="nil"/>
              <w:left w:val="nil"/>
              <w:bottom w:val="nil"/>
              <w:right w:val="nil"/>
            </w:tcBorders>
            <w:shd w:val="clear" w:color="auto" w:fill="FFFFFF"/>
          </w:tcPr>
          <w:p w14:paraId="4E35A77B"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 xml:space="preserve">a. Predictors: (Constant), </w:t>
            </w:r>
            <w:proofErr w:type="spellStart"/>
            <w:r w:rsidRPr="00F97FAE">
              <w:rPr>
                <w:rFonts w:asciiTheme="majorBidi" w:hAnsiTheme="majorBidi" w:cstheme="majorBidi"/>
              </w:rPr>
              <w:t>OC_Total</w:t>
            </w:r>
            <w:proofErr w:type="spellEnd"/>
            <w:r w:rsidRPr="00F97FAE">
              <w:rPr>
                <w:rFonts w:asciiTheme="majorBidi" w:hAnsiTheme="majorBidi" w:cstheme="majorBidi"/>
              </w:rPr>
              <w:t xml:space="preserve">, </w:t>
            </w:r>
            <w:proofErr w:type="spellStart"/>
            <w:r w:rsidRPr="00F97FAE">
              <w:rPr>
                <w:rFonts w:asciiTheme="majorBidi" w:hAnsiTheme="majorBidi" w:cstheme="majorBidi"/>
              </w:rPr>
              <w:t>EP_Total</w:t>
            </w:r>
            <w:proofErr w:type="spellEnd"/>
          </w:p>
        </w:tc>
      </w:tr>
    </w:tbl>
    <w:p w14:paraId="3A762C60" w14:textId="77777777" w:rsidR="008459F1" w:rsidRPr="00F97FAE" w:rsidRDefault="008459F1" w:rsidP="008459F1">
      <w:pPr>
        <w:spacing w:line="360" w:lineRule="auto"/>
        <w:ind w:left="360"/>
        <w:jc w:val="both"/>
        <w:rPr>
          <w:rFonts w:asciiTheme="majorBidi" w:hAnsiTheme="majorBidi" w:cstheme="majorBidi"/>
          <w:b/>
          <w:bCs/>
        </w:rPr>
      </w:pPr>
      <w:r w:rsidRPr="00F97FAE">
        <w:rPr>
          <w:rFonts w:asciiTheme="majorBidi" w:hAnsiTheme="majorBidi" w:cstheme="majorBidi"/>
          <w:b/>
          <w:bCs/>
        </w:rPr>
        <w:t>Table 9: ANOVA Table</w:t>
      </w:r>
    </w:p>
    <w:tbl>
      <w:tblPr>
        <w:tblW w:w="8370"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763"/>
        <w:gridCol w:w="990"/>
        <w:gridCol w:w="1440"/>
        <w:gridCol w:w="734"/>
        <w:gridCol w:w="1426"/>
      </w:tblGrid>
      <w:tr w:rsidR="008459F1" w:rsidRPr="00F97FAE" w14:paraId="75E970CA" w14:textId="77777777" w:rsidTr="00176B25">
        <w:trPr>
          <w:cantSplit/>
        </w:trPr>
        <w:tc>
          <w:tcPr>
            <w:tcW w:w="8370" w:type="dxa"/>
            <w:gridSpan w:val="7"/>
            <w:tcBorders>
              <w:top w:val="nil"/>
              <w:left w:val="nil"/>
              <w:bottom w:val="nil"/>
              <w:right w:val="nil"/>
            </w:tcBorders>
            <w:shd w:val="clear" w:color="auto" w:fill="FFFFFF"/>
            <w:vAlign w:val="center"/>
          </w:tcPr>
          <w:p w14:paraId="62912947" w14:textId="77777777" w:rsidR="008459F1" w:rsidRPr="00F97FAE" w:rsidRDefault="008459F1" w:rsidP="00176B25">
            <w:pPr>
              <w:spacing w:line="360" w:lineRule="auto"/>
              <w:jc w:val="both"/>
              <w:rPr>
                <w:rFonts w:asciiTheme="majorBidi" w:hAnsiTheme="majorBidi" w:cstheme="majorBidi"/>
              </w:rPr>
            </w:pPr>
            <w:proofErr w:type="spellStart"/>
            <w:r w:rsidRPr="00F97FAE">
              <w:rPr>
                <w:rFonts w:asciiTheme="majorBidi" w:hAnsiTheme="majorBidi" w:cstheme="majorBidi"/>
                <w:b/>
                <w:bCs/>
              </w:rPr>
              <w:t>ANOVA</w:t>
            </w:r>
            <w:r w:rsidRPr="00F97FAE">
              <w:rPr>
                <w:rFonts w:asciiTheme="majorBidi" w:hAnsiTheme="majorBidi" w:cstheme="majorBidi"/>
                <w:b/>
                <w:bCs/>
                <w:vertAlign w:val="superscript"/>
              </w:rPr>
              <w:t>a</w:t>
            </w:r>
            <w:proofErr w:type="spellEnd"/>
          </w:p>
        </w:tc>
      </w:tr>
      <w:tr w:rsidR="008459F1" w:rsidRPr="00F97FAE" w14:paraId="017E3012" w14:textId="77777777" w:rsidTr="00176B25">
        <w:trPr>
          <w:cantSplit/>
        </w:trPr>
        <w:tc>
          <w:tcPr>
            <w:tcW w:w="2017" w:type="dxa"/>
            <w:gridSpan w:val="2"/>
            <w:tcBorders>
              <w:top w:val="nil"/>
              <w:left w:val="nil"/>
              <w:bottom w:val="single" w:sz="8" w:space="0" w:color="152935"/>
              <w:right w:val="nil"/>
            </w:tcBorders>
            <w:shd w:val="clear" w:color="auto" w:fill="FFFFFF"/>
            <w:vAlign w:val="bottom"/>
          </w:tcPr>
          <w:p w14:paraId="1798FA15"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Model</w:t>
            </w:r>
          </w:p>
        </w:tc>
        <w:tc>
          <w:tcPr>
            <w:tcW w:w="1763" w:type="dxa"/>
            <w:tcBorders>
              <w:top w:val="nil"/>
              <w:left w:val="nil"/>
              <w:bottom w:val="single" w:sz="8" w:space="0" w:color="152935"/>
              <w:right w:val="single" w:sz="8" w:space="0" w:color="E0E0E0"/>
            </w:tcBorders>
            <w:shd w:val="clear" w:color="auto" w:fill="FFFFFF"/>
            <w:vAlign w:val="bottom"/>
          </w:tcPr>
          <w:p w14:paraId="62BEC57A"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Sum of Squares</w:t>
            </w:r>
          </w:p>
        </w:tc>
        <w:tc>
          <w:tcPr>
            <w:tcW w:w="990" w:type="dxa"/>
            <w:tcBorders>
              <w:top w:val="nil"/>
              <w:left w:val="single" w:sz="8" w:space="0" w:color="E0E0E0"/>
              <w:bottom w:val="single" w:sz="8" w:space="0" w:color="152935"/>
              <w:right w:val="single" w:sz="8" w:space="0" w:color="E0E0E0"/>
            </w:tcBorders>
            <w:shd w:val="clear" w:color="auto" w:fill="FFFFFF"/>
            <w:vAlign w:val="bottom"/>
          </w:tcPr>
          <w:p w14:paraId="4BAACEF5"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df</w:t>
            </w:r>
          </w:p>
        </w:tc>
        <w:tc>
          <w:tcPr>
            <w:tcW w:w="1440" w:type="dxa"/>
            <w:tcBorders>
              <w:top w:val="nil"/>
              <w:left w:val="single" w:sz="8" w:space="0" w:color="E0E0E0"/>
              <w:bottom w:val="single" w:sz="8" w:space="0" w:color="152935"/>
              <w:right w:val="single" w:sz="8" w:space="0" w:color="E0E0E0"/>
            </w:tcBorders>
            <w:shd w:val="clear" w:color="auto" w:fill="FFFFFF"/>
            <w:vAlign w:val="bottom"/>
          </w:tcPr>
          <w:p w14:paraId="72D26D95"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Mean Square</w:t>
            </w:r>
          </w:p>
        </w:tc>
        <w:tc>
          <w:tcPr>
            <w:tcW w:w="734" w:type="dxa"/>
            <w:tcBorders>
              <w:top w:val="nil"/>
              <w:left w:val="single" w:sz="8" w:space="0" w:color="E0E0E0"/>
              <w:bottom w:val="single" w:sz="8" w:space="0" w:color="152935"/>
              <w:right w:val="single" w:sz="8" w:space="0" w:color="E0E0E0"/>
            </w:tcBorders>
            <w:shd w:val="clear" w:color="auto" w:fill="FFFFFF"/>
            <w:vAlign w:val="bottom"/>
          </w:tcPr>
          <w:p w14:paraId="0DC2F281"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F</w:t>
            </w:r>
          </w:p>
        </w:tc>
        <w:tc>
          <w:tcPr>
            <w:tcW w:w="1426" w:type="dxa"/>
            <w:tcBorders>
              <w:top w:val="nil"/>
              <w:left w:val="single" w:sz="8" w:space="0" w:color="E0E0E0"/>
              <w:bottom w:val="single" w:sz="8" w:space="0" w:color="152935"/>
              <w:right w:val="nil"/>
            </w:tcBorders>
            <w:shd w:val="clear" w:color="auto" w:fill="FFFFFF"/>
            <w:vAlign w:val="bottom"/>
          </w:tcPr>
          <w:p w14:paraId="0ADDFEA1"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Sig.</w:t>
            </w:r>
          </w:p>
        </w:tc>
      </w:tr>
      <w:tr w:rsidR="008459F1" w:rsidRPr="00F97FAE" w14:paraId="0C4B4BD0" w14:textId="77777777" w:rsidTr="00176B25">
        <w:trPr>
          <w:cantSplit/>
        </w:trPr>
        <w:tc>
          <w:tcPr>
            <w:tcW w:w="733" w:type="dxa"/>
            <w:vMerge w:val="restart"/>
            <w:tcBorders>
              <w:top w:val="single" w:sz="8" w:space="0" w:color="152935"/>
              <w:left w:val="nil"/>
              <w:bottom w:val="single" w:sz="8" w:space="0" w:color="152935"/>
              <w:right w:val="nil"/>
            </w:tcBorders>
            <w:shd w:val="clear" w:color="auto" w:fill="E0E0E0"/>
          </w:tcPr>
          <w:p w14:paraId="6106E440"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1</w:t>
            </w:r>
          </w:p>
        </w:tc>
        <w:tc>
          <w:tcPr>
            <w:tcW w:w="1284" w:type="dxa"/>
            <w:tcBorders>
              <w:top w:val="single" w:sz="8" w:space="0" w:color="152935"/>
              <w:left w:val="nil"/>
              <w:bottom w:val="single" w:sz="8" w:space="0" w:color="AEAEAE"/>
              <w:right w:val="nil"/>
            </w:tcBorders>
            <w:shd w:val="clear" w:color="auto" w:fill="E0E0E0"/>
          </w:tcPr>
          <w:p w14:paraId="606F508D"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Regression</w:t>
            </w:r>
          </w:p>
        </w:tc>
        <w:tc>
          <w:tcPr>
            <w:tcW w:w="1763" w:type="dxa"/>
            <w:tcBorders>
              <w:top w:val="single" w:sz="8" w:space="0" w:color="152935"/>
              <w:left w:val="nil"/>
              <w:bottom w:val="single" w:sz="8" w:space="0" w:color="AEAEAE"/>
              <w:right w:val="single" w:sz="8" w:space="0" w:color="E0E0E0"/>
            </w:tcBorders>
            <w:shd w:val="clear" w:color="auto" w:fill="FFFFFF"/>
          </w:tcPr>
          <w:p w14:paraId="29722CB5"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1.208</w:t>
            </w:r>
          </w:p>
        </w:tc>
        <w:tc>
          <w:tcPr>
            <w:tcW w:w="990" w:type="dxa"/>
            <w:tcBorders>
              <w:top w:val="single" w:sz="8" w:space="0" w:color="152935"/>
              <w:left w:val="single" w:sz="8" w:space="0" w:color="E0E0E0"/>
              <w:bottom w:val="single" w:sz="8" w:space="0" w:color="AEAEAE"/>
              <w:right w:val="single" w:sz="8" w:space="0" w:color="E0E0E0"/>
            </w:tcBorders>
            <w:shd w:val="clear" w:color="auto" w:fill="FFFFFF"/>
          </w:tcPr>
          <w:p w14:paraId="1C29DC6B"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2</w:t>
            </w:r>
          </w:p>
        </w:tc>
        <w:tc>
          <w:tcPr>
            <w:tcW w:w="1440" w:type="dxa"/>
            <w:tcBorders>
              <w:top w:val="single" w:sz="8" w:space="0" w:color="152935"/>
              <w:left w:val="single" w:sz="8" w:space="0" w:color="E0E0E0"/>
              <w:bottom w:val="single" w:sz="8" w:space="0" w:color="AEAEAE"/>
              <w:right w:val="single" w:sz="8" w:space="0" w:color="E0E0E0"/>
            </w:tcBorders>
            <w:shd w:val="clear" w:color="auto" w:fill="FFFFFF"/>
          </w:tcPr>
          <w:p w14:paraId="0CF9C559"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.604</w:t>
            </w:r>
          </w:p>
        </w:tc>
        <w:tc>
          <w:tcPr>
            <w:tcW w:w="734" w:type="dxa"/>
            <w:tcBorders>
              <w:top w:val="single" w:sz="8" w:space="0" w:color="152935"/>
              <w:left w:val="single" w:sz="8" w:space="0" w:color="E0E0E0"/>
              <w:bottom w:val="single" w:sz="8" w:space="0" w:color="AEAEAE"/>
              <w:right w:val="single" w:sz="8" w:space="0" w:color="E0E0E0"/>
            </w:tcBorders>
            <w:shd w:val="clear" w:color="auto" w:fill="FFFFFF"/>
          </w:tcPr>
          <w:p w14:paraId="65149DF4"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4.249</w:t>
            </w:r>
          </w:p>
        </w:tc>
        <w:tc>
          <w:tcPr>
            <w:tcW w:w="1426" w:type="dxa"/>
            <w:tcBorders>
              <w:top w:val="single" w:sz="8" w:space="0" w:color="152935"/>
              <w:left w:val="single" w:sz="8" w:space="0" w:color="E0E0E0"/>
              <w:bottom w:val="single" w:sz="8" w:space="0" w:color="AEAEAE"/>
              <w:right w:val="nil"/>
            </w:tcBorders>
            <w:shd w:val="clear" w:color="auto" w:fill="FFFFFF"/>
          </w:tcPr>
          <w:p w14:paraId="62FC8370"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.0</w:t>
            </w:r>
            <w:r>
              <w:rPr>
                <w:rFonts w:asciiTheme="majorBidi" w:hAnsiTheme="majorBidi" w:cstheme="majorBidi"/>
              </w:rPr>
              <w:t>00</w:t>
            </w:r>
            <w:r w:rsidRPr="00F97FAE">
              <w:rPr>
                <w:rFonts w:asciiTheme="majorBidi" w:hAnsiTheme="majorBidi" w:cstheme="majorBidi"/>
                <w:vertAlign w:val="superscript"/>
              </w:rPr>
              <w:t>b</w:t>
            </w:r>
          </w:p>
        </w:tc>
      </w:tr>
      <w:tr w:rsidR="008459F1" w:rsidRPr="00F97FAE" w14:paraId="335DE0FF" w14:textId="77777777" w:rsidTr="00176B25">
        <w:trPr>
          <w:cantSplit/>
        </w:trPr>
        <w:tc>
          <w:tcPr>
            <w:tcW w:w="733" w:type="dxa"/>
            <w:vMerge/>
            <w:tcBorders>
              <w:top w:val="single" w:sz="8" w:space="0" w:color="152935"/>
              <w:left w:val="nil"/>
              <w:bottom w:val="single" w:sz="8" w:space="0" w:color="152935"/>
              <w:right w:val="nil"/>
            </w:tcBorders>
            <w:shd w:val="clear" w:color="auto" w:fill="E0E0E0"/>
          </w:tcPr>
          <w:p w14:paraId="3FA82229" w14:textId="77777777" w:rsidR="008459F1" w:rsidRPr="00F97FAE" w:rsidRDefault="008459F1" w:rsidP="00176B25">
            <w:pPr>
              <w:spacing w:line="360" w:lineRule="auto"/>
              <w:jc w:val="both"/>
              <w:rPr>
                <w:rFonts w:asciiTheme="majorBidi" w:hAnsiTheme="majorBidi" w:cstheme="majorBidi"/>
              </w:rPr>
            </w:pPr>
          </w:p>
        </w:tc>
        <w:tc>
          <w:tcPr>
            <w:tcW w:w="1284" w:type="dxa"/>
            <w:tcBorders>
              <w:top w:val="single" w:sz="8" w:space="0" w:color="AEAEAE"/>
              <w:left w:val="nil"/>
              <w:bottom w:val="single" w:sz="8" w:space="0" w:color="AEAEAE"/>
              <w:right w:val="nil"/>
            </w:tcBorders>
            <w:shd w:val="clear" w:color="auto" w:fill="E0E0E0"/>
          </w:tcPr>
          <w:p w14:paraId="30335031"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Residual</w:t>
            </w:r>
          </w:p>
        </w:tc>
        <w:tc>
          <w:tcPr>
            <w:tcW w:w="1763" w:type="dxa"/>
            <w:tcBorders>
              <w:top w:val="single" w:sz="8" w:space="0" w:color="AEAEAE"/>
              <w:left w:val="nil"/>
              <w:bottom w:val="single" w:sz="8" w:space="0" w:color="AEAEAE"/>
              <w:right w:val="single" w:sz="8" w:space="0" w:color="E0E0E0"/>
            </w:tcBorders>
            <w:shd w:val="clear" w:color="auto" w:fill="FFFFFF"/>
          </w:tcPr>
          <w:p w14:paraId="3B9844B6"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13.792</w:t>
            </w:r>
          </w:p>
        </w:tc>
        <w:tc>
          <w:tcPr>
            <w:tcW w:w="990" w:type="dxa"/>
            <w:tcBorders>
              <w:top w:val="single" w:sz="8" w:space="0" w:color="AEAEAE"/>
              <w:left w:val="single" w:sz="8" w:space="0" w:color="E0E0E0"/>
              <w:bottom w:val="single" w:sz="8" w:space="0" w:color="AEAEAE"/>
              <w:right w:val="single" w:sz="8" w:space="0" w:color="E0E0E0"/>
            </w:tcBorders>
            <w:shd w:val="clear" w:color="auto" w:fill="FFFFFF"/>
          </w:tcPr>
          <w:p w14:paraId="5B90DCF2"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97</w:t>
            </w:r>
          </w:p>
        </w:tc>
        <w:tc>
          <w:tcPr>
            <w:tcW w:w="1440" w:type="dxa"/>
            <w:tcBorders>
              <w:top w:val="single" w:sz="8" w:space="0" w:color="AEAEAE"/>
              <w:left w:val="single" w:sz="8" w:space="0" w:color="E0E0E0"/>
              <w:bottom w:val="single" w:sz="8" w:space="0" w:color="AEAEAE"/>
              <w:right w:val="single" w:sz="8" w:space="0" w:color="E0E0E0"/>
            </w:tcBorders>
            <w:shd w:val="clear" w:color="auto" w:fill="FFFFFF"/>
          </w:tcPr>
          <w:p w14:paraId="5F792028"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.142</w:t>
            </w:r>
          </w:p>
        </w:tc>
        <w:tc>
          <w:tcPr>
            <w:tcW w:w="7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4D37C1E" w14:textId="77777777" w:rsidR="008459F1" w:rsidRPr="00F97FAE" w:rsidRDefault="008459F1" w:rsidP="00176B25">
            <w:pPr>
              <w:spacing w:line="360" w:lineRule="auto"/>
              <w:jc w:val="both"/>
              <w:rPr>
                <w:rFonts w:asciiTheme="majorBidi" w:hAnsiTheme="majorBidi" w:cstheme="majorBidi"/>
              </w:rPr>
            </w:pPr>
          </w:p>
        </w:tc>
        <w:tc>
          <w:tcPr>
            <w:tcW w:w="1426" w:type="dxa"/>
            <w:tcBorders>
              <w:top w:val="single" w:sz="8" w:space="0" w:color="AEAEAE"/>
              <w:left w:val="single" w:sz="8" w:space="0" w:color="E0E0E0"/>
              <w:bottom w:val="single" w:sz="8" w:space="0" w:color="AEAEAE"/>
              <w:right w:val="nil"/>
            </w:tcBorders>
            <w:shd w:val="clear" w:color="auto" w:fill="FFFFFF"/>
            <w:vAlign w:val="center"/>
          </w:tcPr>
          <w:p w14:paraId="004D5FB9" w14:textId="77777777" w:rsidR="008459F1" w:rsidRPr="00F97FAE" w:rsidRDefault="008459F1" w:rsidP="00176B25">
            <w:pPr>
              <w:spacing w:line="360" w:lineRule="auto"/>
              <w:jc w:val="both"/>
              <w:rPr>
                <w:rFonts w:asciiTheme="majorBidi" w:hAnsiTheme="majorBidi" w:cstheme="majorBidi"/>
              </w:rPr>
            </w:pPr>
          </w:p>
        </w:tc>
      </w:tr>
      <w:tr w:rsidR="008459F1" w:rsidRPr="00F97FAE" w14:paraId="2EEDA6F8" w14:textId="77777777" w:rsidTr="00176B25">
        <w:trPr>
          <w:cantSplit/>
        </w:trPr>
        <w:tc>
          <w:tcPr>
            <w:tcW w:w="733" w:type="dxa"/>
            <w:vMerge/>
            <w:tcBorders>
              <w:top w:val="single" w:sz="8" w:space="0" w:color="152935"/>
              <w:left w:val="nil"/>
              <w:bottom w:val="single" w:sz="8" w:space="0" w:color="152935"/>
              <w:right w:val="nil"/>
            </w:tcBorders>
            <w:shd w:val="clear" w:color="auto" w:fill="E0E0E0"/>
          </w:tcPr>
          <w:p w14:paraId="338D7799" w14:textId="77777777" w:rsidR="008459F1" w:rsidRPr="00F97FAE" w:rsidRDefault="008459F1" w:rsidP="00176B25">
            <w:pPr>
              <w:spacing w:line="360" w:lineRule="auto"/>
              <w:jc w:val="both"/>
              <w:rPr>
                <w:rFonts w:asciiTheme="majorBidi" w:hAnsiTheme="majorBidi" w:cstheme="majorBidi"/>
              </w:rPr>
            </w:pPr>
          </w:p>
        </w:tc>
        <w:tc>
          <w:tcPr>
            <w:tcW w:w="1284" w:type="dxa"/>
            <w:tcBorders>
              <w:top w:val="single" w:sz="8" w:space="0" w:color="AEAEAE"/>
              <w:left w:val="nil"/>
              <w:bottom w:val="single" w:sz="8" w:space="0" w:color="152935"/>
              <w:right w:val="nil"/>
            </w:tcBorders>
            <w:shd w:val="clear" w:color="auto" w:fill="E0E0E0"/>
          </w:tcPr>
          <w:p w14:paraId="5531EC17"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Total</w:t>
            </w:r>
          </w:p>
        </w:tc>
        <w:tc>
          <w:tcPr>
            <w:tcW w:w="1763" w:type="dxa"/>
            <w:tcBorders>
              <w:top w:val="single" w:sz="8" w:space="0" w:color="AEAEAE"/>
              <w:left w:val="nil"/>
              <w:bottom w:val="single" w:sz="8" w:space="0" w:color="152935"/>
              <w:right w:val="single" w:sz="8" w:space="0" w:color="E0E0E0"/>
            </w:tcBorders>
            <w:shd w:val="clear" w:color="auto" w:fill="FFFFFF"/>
          </w:tcPr>
          <w:p w14:paraId="773B2171"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15.000</w:t>
            </w:r>
          </w:p>
        </w:tc>
        <w:tc>
          <w:tcPr>
            <w:tcW w:w="990" w:type="dxa"/>
            <w:tcBorders>
              <w:top w:val="single" w:sz="8" w:space="0" w:color="AEAEAE"/>
              <w:left w:val="single" w:sz="8" w:space="0" w:color="E0E0E0"/>
              <w:bottom w:val="single" w:sz="8" w:space="0" w:color="152935"/>
              <w:right w:val="single" w:sz="8" w:space="0" w:color="E0E0E0"/>
            </w:tcBorders>
            <w:shd w:val="clear" w:color="auto" w:fill="FFFFFF"/>
          </w:tcPr>
          <w:p w14:paraId="327EEC41"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99</w:t>
            </w:r>
          </w:p>
        </w:tc>
        <w:tc>
          <w:tcPr>
            <w:tcW w:w="144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A3A4B5C" w14:textId="77777777" w:rsidR="008459F1" w:rsidRPr="00F97FAE" w:rsidRDefault="008459F1" w:rsidP="00176B25">
            <w:pPr>
              <w:spacing w:line="360" w:lineRule="auto"/>
              <w:jc w:val="both"/>
              <w:rPr>
                <w:rFonts w:asciiTheme="majorBidi" w:hAnsiTheme="majorBidi" w:cstheme="majorBidi"/>
              </w:rPr>
            </w:pPr>
          </w:p>
        </w:tc>
        <w:tc>
          <w:tcPr>
            <w:tcW w:w="73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969E8C8" w14:textId="77777777" w:rsidR="008459F1" w:rsidRPr="00F97FAE" w:rsidRDefault="008459F1" w:rsidP="00176B25">
            <w:pPr>
              <w:spacing w:line="360" w:lineRule="auto"/>
              <w:jc w:val="both"/>
              <w:rPr>
                <w:rFonts w:asciiTheme="majorBidi" w:hAnsiTheme="majorBidi" w:cstheme="majorBidi"/>
              </w:rPr>
            </w:pPr>
          </w:p>
        </w:tc>
        <w:tc>
          <w:tcPr>
            <w:tcW w:w="1426" w:type="dxa"/>
            <w:tcBorders>
              <w:top w:val="single" w:sz="8" w:space="0" w:color="AEAEAE"/>
              <w:left w:val="single" w:sz="8" w:space="0" w:color="E0E0E0"/>
              <w:bottom w:val="single" w:sz="8" w:space="0" w:color="152935"/>
              <w:right w:val="nil"/>
            </w:tcBorders>
            <w:shd w:val="clear" w:color="auto" w:fill="FFFFFF"/>
            <w:vAlign w:val="center"/>
          </w:tcPr>
          <w:p w14:paraId="2F140AC3" w14:textId="77777777" w:rsidR="008459F1" w:rsidRPr="00F97FAE" w:rsidRDefault="008459F1" w:rsidP="00176B25">
            <w:pPr>
              <w:spacing w:line="360" w:lineRule="auto"/>
              <w:jc w:val="both"/>
              <w:rPr>
                <w:rFonts w:asciiTheme="majorBidi" w:hAnsiTheme="majorBidi" w:cstheme="majorBidi"/>
              </w:rPr>
            </w:pPr>
          </w:p>
        </w:tc>
      </w:tr>
      <w:tr w:rsidR="008459F1" w:rsidRPr="00F97FAE" w14:paraId="0C582D81" w14:textId="77777777" w:rsidTr="00176B25">
        <w:trPr>
          <w:cantSplit/>
        </w:trPr>
        <w:tc>
          <w:tcPr>
            <w:tcW w:w="8370" w:type="dxa"/>
            <w:gridSpan w:val="7"/>
            <w:tcBorders>
              <w:top w:val="nil"/>
              <w:left w:val="nil"/>
              <w:bottom w:val="nil"/>
              <w:right w:val="nil"/>
            </w:tcBorders>
            <w:shd w:val="clear" w:color="auto" w:fill="FFFFFF"/>
          </w:tcPr>
          <w:p w14:paraId="6E2B408C"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 xml:space="preserve">a. Dependent Variable: </w:t>
            </w:r>
            <w:proofErr w:type="spellStart"/>
            <w:r w:rsidRPr="00F97FAE">
              <w:rPr>
                <w:rFonts w:asciiTheme="majorBidi" w:hAnsiTheme="majorBidi" w:cstheme="majorBidi"/>
              </w:rPr>
              <w:t>AIT_Total</w:t>
            </w:r>
            <w:proofErr w:type="spellEnd"/>
          </w:p>
        </w:tc>
      </w:tr>
      <w:tr w:rsidR="008459F1" w:rsidRPr="00F97FAE" w14:paraId="13E29DF8" w14:textId="77777777" w:rsidTr="00176B25">
        <w:trPr>
          <w:cantSplit/>
        </w:trPr>
        <w:tc>
          <w:tcPr>
            <w:tcW w:w="8370" w:type="dxa"/>
            <w:gridSpan w:val="7"/>
            <w:tcBorders>
              <w:top w:val="nil"/>
              <w:left w:val="nil"/>
              <w:bottom w:val="nil"/>
              <w:right w:val="nil"/>
            </w:tcBorders>
            <w:shd w:val="clear" w:color="auto" w:fill="FFFFFF"/>
          </w:tcPr>
          <w:p w14:paraId="2DD65E0B"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 xml:space="preserve">b. Predictors: (Constant), </w:t>
            </w:r>
            <w:proofErr w:type="spellStart"/>
            <w:r w:rsidRPr="00F97FAE">
              <w:rPr>
                <w:rFonts w:asciiTheme="majorBidi" w:hAnsiTheme="majorBidi" w:cstheme="majorBidi"/>
              </w:rPr>
              <w:t>OC_Total</w:t>
            </w:r>
            <w:proofErr w:type="spellEnd"/>
            <w:r w:rsidRPr="00F97FAE">
              <w:rPr>
                <w:rFonts w:asciiTheme="majorBidi" w:hAnsiTheme="majorBidi" w:cstheme="majorBidi"/>
              </w:rPr>
              <w:t xml:space="preserve">, </w:t>
            </w:r>
            <w:proofErr w:type="spellStart"/>
            <w:r w:rsidRPr="00F97FAE">
              <w:rPr>
                <w:rFonts w:asciiTheme="majorBidi" w:hAnsiTheme="majorBidi" w:cstheme="majorBidi"/>
              </w:rPr>
              <w:t>EP_Total</w:t>
            </w:r>
            <w:proofErr w:type="spellEnd"/>
          </w:p>
        </w:tc>
      </w:tr>
    </w:tbl>
    <w:p w14:paraId="77D301FD" w14:textId="77777777" w:rsidR="008459F1" w:rsidRPr="00F97FAE" w:rsidRDefault="008459F1" w:rsidP="008459F1">
      <w:pPr>
        <w:spacing w:line="360" w:lineRule="auto"/>
        <w:ind w:left="360"/>
        <w:jc w:val="both"/>
        <w:rPr>
          <w:rFonts w:asciiTheme="majorBidi" w:hAnsiTheme="majorBidi" w:cstheme="majorBidi"/>
          <w:b/>
          <w:bCs/>
        </w:rPr>
      </w:pPr>
      <w:r w:rsidRPr="00F97FAE">
        <w:rPr>
          <w:rFonts w:asciiTheme="majorBidi" w:hAnsiTheme="majorBidi" w:cstheme="majorBidi"/>
          <w:b/>
          <w:bCs/>
        </w:rPr>
        <w:t>Table 10: Coefficient Table</w:t>
      </w:r>
    </w:p>
    <w:tbl>
      <w:tblPr>
        <w:tblW w:w="8820" w:type="dxa"/>
        <w:tblInd w:w="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178"/>
        <w:gridCol w:w="1331"/>
        <w:gridCol w:w="1331"/>
        <w:gridCol w:w="1469"/>
        <w:gridCol w:w="1025"/>
        <w:gridCol w:w="1753"/>
      </w:tblGrid>
      <w:tr w:rsidR="008459F1" w:rsidRPr="00F97FAE" w14:paraId="283EC37E" w14:textId="77777777" w:rsidTr="00176B25">
        <w:trPr>
          <w:cantSplit/>
        </w:trPr>
        <w:tc>
          <w:tcPr>
            <w:tcW w:w="8820" w:type="dxa"/>
            <w:gridSpan w:val="7"/>
            <w:tcBorders>
              <w:top w:val="nil"/>
              <w:left w:val="nil"/>
              <w:bottom w:val="nil"/>
              <w:right w:val="nil"/>
            </w:tcBorders>
            <w:shd w:val="clear" w:color="auto" w:fill="FFFFFF"/>
            <w:vAlign w:val="center"/>
          </w:tcPr>
          <w:p w14:paraId="75005160" w14:textId="77777777" w:rsidR="008459F1" w:rsidRPr="00F97FAE" w:rsidRDefault="008459F1" w:rsidP="00176B25">
            <w:pPr>
              <w:spacing w:line="360" w:lineRule="auto"/>
              <w:jc w:val="both"/>
              <w:rPr>
                <w:rFonts w:asciiTheme="majorBidi" w:hAnsiTheme="majorBidi" w:cstheme="majorBidi"/>
              </w:rPr>
            </w:pPr>
            <w:proofErr w:type="spellStart"/>
            <w:r w:rsidRPr="00F97FAE">
              <w:rPr>
                <w:rFonts w:asciiTheme="majorBidi" w:hAnsiTheme="majorBidi" w:cstheme="majorBidi"/>
                <w:b/>
                <w:bCs/>
              </w:rPr>
              <w:t>Coefficients</w:t>
            </w:r>
            <w:r w:rsidRPr="00F97FAE">
              <w:rPr>
                <w:rFonts w:asciiTheme="majorBidi" w:hAnsiTheme="majorBidi" w:cstheme="majorBidi"/>
                <w:b/>
                <w:bCs/>
                <w:vertAlign w:val="superscript"/>
              </w:rPr>
              <w:t>a</w:t>
            </w:r>
            <w:proofErr w:type="spellEnd"/>
          </w:p>
        </w:tc>
      </w:tr>
      <w:tr w:rsidR="008459F1" w:rsidRPr="00F97FAE" w14:paraId="3031C328" w14:textId="77777777" w:rsidTr="00176B25">
        <w:trPr>
          <w:cantSplit/>
        </w:trPr>
        <w:tc>
          <w:tcPr>
            <w:tcW w:w="1911" w:type="dxa"/>
            <w:gridSpan w:val="2"/>
            <w:vMerge w:val="restart"/>
            <w:tcBorders>
              <w:top w:val="nil"/>
              <w:left w:val="nil"/>
              <w:bottom w:val="nil"/>
              <w:right w:val="nil"/>
            </w:tcBorders>
            <w:shd w:val="clear" w:color="auto" w:fill="FFFFFF"/>
            <w:vAlign w:val="bottom"/>
          </w:tcPr>
          <w:p w14:paraId="0ADE76BE"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Model</w:t>
            </w:r>
          </w:p>
        </w:tc>
        <w:tc>
          <w:tcPr>
            <w:tcW w:w="2662" w:type="dxa"/>
            <w:gridSpan w:val="2"/>
            <w:tcBorders>
              <w:top w:val="nil"/>
              <w:left w:val="nil"/>
              <w:bottom w:val="nil"/>
              <w:right w:val="single" w:sz="8" w:space="0" w:color="E0E0E0"/>
            </w:tcBorders>
            <w:shd w:val="clear" w:color="auto" w:fill="FFFFFF"/>
            <w:vAlign w:val="bottom"/>
          </w:tcPr>
          <w:p w14:paraId="137E12D2"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Unstandardized Coefficients</w:t>
            </w:r>
          </w:p>
        </w:tc>
        <w:tc>
          <w:tcPr>
            <w:tcW w:w="1469" w:type="dxa"/>
            <w:tcBorders>
              <w:top w:val="nil"/>
              <w:left w:val="single" w:sz="8" w:space="0" w:color="E0E0E0"/>
              <w:bottom w:val="nil"/>
              <w:right w:val="single" w:sz="8" w:space="0" w:color="E0E0E0"/>
            </w:tcBorders>
            <w:shd w:val="clear" w:color="auto" w:fill="FFFFFF"/>
            <w:vAlign w:val="bottom"/>
          </w:tcPr>
          <w:p w14:paraId="66A4B3D1"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Standardized Coefficients</w:t>
            </w:r>
          </w:p>
        </w:tc>
        <w:tc>
          <w:tcPr>
            <w:tcW w:w="1025" w:type="dxa"/>
            <w:vMerge w:val="restart"/>
            <w:tcBorders>
              <w:top w:val="nil"/>
              <w:left w:val="single" w:sz="8" w:space="0" w:color="E0E0E0"/>
              <w:bottom w:val="nil"/>
              <w:right w:val="single" w:sz="8" w:space="0" w:color="E0E0E0"/>
            </w:tcBorders>
            <w:shd w:val="clear" w:color="auto" w:fill="FFFFFF"/>
            <w:vAlign w:val="bottom"/>
          </w:tcPr>
          <w:p w14:paraId="5793353C"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t</w:t>
            </w:r>
          </w:p>
        </w:tc>
        <w:tc>
          <w:tcPr>
            <w:tcW w:w="1753" w:type="dxa"/>
            <w:vMerge w:val="restart"/>
            <w:tcBorders>
              <w:top w:val="nil"/>
              <w:left w:val="single" w:sz="8" w:space="0" w:color="E0E0E0"/>
              <w:bottom w:val="nil"/>
              <w:right w:val="nil"/>
            </w:tcBorders>
            <w:shd w:val="clear" w:color="auto" w:fill="FFFFFF"/>
            <w:vAlign w:val="bottom"/>
          </w:tcPr>
          <w:p w14:paraId="456E369B"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Sig.</w:t>
            </w:r>
          </w:p>
        </w:tc>
      </w:tr>
      <w:tr w:rsidR="008459F1" w:rsidRPr="00F97FAE" w14:paraId="3424DEF9" w14:textId="77777777" w:rsidTr="00176B25">
        <w:trPr>
          <w:cantSplit/>
        </w:trPr>
        <w:tc>
          <w:tcPr>
            <w:tcW w:w="1911" w:type="dxa"/>
            <w:gridSpan w:val="2"/>
            <w:vMerge/>
            <w:tcBorders>
              <w:top w:val="nil"/>
              <w:left w:val="nil"/>
              <w:bottom w:val="nil"/>
              <w:right w:val="nil"/>
            </w:tcBorders>
            <w:shd w:val="clear" w:color="auto" w:fill="FFFFFF"/>
            <w:vAlign w:val="bottom"/>
          </w:tcPr>
          <w:p w14:paraId="0018B020" w14:textId="77777777" w:rsidR="008459F1" w:rsidRPr="00F97FAE" w:rsidRDefault="008459F1" w:rsidP="00176B25">
            <w:pPr>
              <w:spacing w:line="360" w:lineRule="auto"/>
              <w:jc w:val="both"/>
              <w:rPr>
                <w:rFonts w:asciiTheme="majorBidi" w:hAnsiTheme="majorBidi" w:cstheme="majorBidi"/>
              </w:rPr>
            </w:pPr>
          </w:p>
        </w:tc>
        <w:tc>
          <w:tcPr>
            <w:tcW w:w="1331" w:type="dxa"/>
            <w:tcBorders>
              <w:top w:val="nil"/>
              <w:left w:val="nil"/>
              <w:bottom w:val="single" w:sz="8" w:space="0" w:color="152935"/>
              <w:right w:val="single" w:sz="8" w:space="0" w:color="E0E0E0"/>
            </w:tcBorders>
            <w:shd w:val="clear" w:color="auto" w:fill="FFFFFF"/>
            <w:vAlign w:val="bottom"/>
          </w:tcPr>
          <w:p w14:paraId="4E295FE4"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B</w:t>
            </w:r>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24508460"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Std. Error</w:t>
            </w:r>
          </w:p>
        </w:tc>
        <w:tc>
          <w:tcPr>
            <w:tcW w:w="1469" w:type="dxa"/>
            <w:tcBorders>
              <w:top w:val="nil"/>
              <w:left w:val="single" w:sz="8" w:space="0" w:color="E0E0E0"/>
              <w:bottom w:val="single" w:sz="8" w:space="0" w:color="152935"/>
              <w:right w:val="single" w:sz="8" w:space="0" w:color="E0E0E0"/>
            </w:tcBorders>
            <w:shd w:val="clear" w:color="auto" w:fill="FFFFFF"/>
            <w:vAlign w:val="bottom"/>
          </w:tcPr>
          <w:p w14:paraId="3FF3101F"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Beta</w:t>
            </w:r>
          </w:p>
        </w:tc>
        <w:tc>
          <w:tcPr>
            <w:tcW w:w="1025" w:type="dxa"/>
            <w:vMerge/>
            <w:tcBorders>
              <w:top w:val="nil"/>
              <w:left w:val="single" w:sz="8" w:space="0" w:color="E0E0E0"/>
              <w:bottom w:val="nil"/>
              <w:right w:val="single" w:sz="8" w:space="0" w:color="E0E0E0"/>
            </w:tcBorders>
            <w:shd w:val="clear" w:color="auto" w:fill="FFFFFF"/>
            <w:vAlign w:val="bottom"/>
          </w:tcPr>
          <w:p w14:paraId="6ABE4668" w14:textId="77777777" w:rsidR="008459F1" w:rsidRPr="00F97FAE" w:rsidRDefault="008459F1" w:rsidP="00176B25">
            <w:pPr>
              <w:spacing w:line="360" w:lineRule="auto"/>
              <w:jc w:val="both"/>
              <w:rPr>
                <w:rFonts w:asciiTheme="majorBidi" w:hAnsiTheme="majorBidi" w:cstheme="majorBidi"/>
              </w:rPr>
            </w:pPr>
          </w:p>
        </w:tc>
        <w:tc>
          <w:tcPr>
            <w:tcW w:w="1753" w:type="dxa"/>
            <w:vMerge/>
            <w:tcBorders>
              <w:top w:val="nil"/>
              <w:left w:val="single" w:sz="8" w:space="0" w:color="E0E0E0"/>
              <w:bottom w:val="nil"/>
              <w:right w:val="nil"/>
            </w:tcBorders>
            <w:shd w:val="clear" w:color="auto" w:fill="FFFFFF"/>
            <w:vAlign w:val="bottom"/>
          </w:tcPr>
          <w:p w14:paraId="209FF91F" w14:textId="77777777" w:rsidR="008459F1" w:rsidRPr="00F97FAE" w:rsidRDefault="008459F1" w:rsidP="00176B25">
            <w:pPr>
              <w:spacing w:line="360" w:lineRule="auto"/>
              <w:jc w:val="both"/>
              <w:rPr>
                <w:rFonts w:asciiTheme="majorBidi" w:hAnsiTheme="majorBidi" w:cstheme="majorBidi"/>
              </w:rPr>
            </w:pPr>
          </w:p>
        </w:tc>
      </w:tr>
      <w:tr w:rsidR="008459F1" w:rsidRPr="00F97FAE" w14:paraId="7C085F0E" w14:textId="77777777" w:rsidTr="00176B25">
        <w:trPr>
          <w:cantSplit/>
        </w:trPr>
        <w:tc>
          <w:tcPr>
            <w:tcW w:w="733" w:type="dxa"/>
            <w:vMerge w:val="restart"/>
            <w:tcBorders>
              <w:top w:val="single" w:sz="8" w:space="0" w:color="152935"/>
              <w:left w:val="nil"/>
              <w:bottom w:val="single" w:sz="8" w:space="0" w:color="152935"/>
              <w:right w:val="nil"/>
            </w:tcBorders>
            <w:shd w:val="clear" w:color="auto" w:fill="E0E0E0"/>
          </w:tcPr>
          <w:p w14:paraId="058ABF97"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1</w:t>
            </w:r>
          </w:p>
        </w:tc>
        <w:tc>
          <w:tcPr>
            <w:tcW w:w="1178" w:type="dxa"/>
            <w:tcBorders>
              <w:top w:val="single" w:sz="8" w:space="0" w:color="152935"/>
              <w:left w:val="nil"/>
              <w:bottom w:val="single" w:sz="8" w:space="0" w:color="AEAEAE"/>
              <w:right w:val="nil"/>
            </w:tcBorders>
            <w:shd w:val="clear" w:color="auto" w:fill="E0E0E0"/>
          </w:tcPr>
          <w:p w14:paraId="36E4C21F"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(Constant)</w:t>
            </w:r>
          </w:p>
        </w:tc>
        <w:tc>
          <w:tcPr>
            <w:tcW w:w="1331" w:type="dxa"/>
            <w:tcBorders>
              <w:top w:val="single" w:sz="8" w:space="0" w:color="152935"/>
              <w:left w:val="nil"/>
              <w:bottom w:val="single" w:sz="8" w:space="0" w:color="AEAEAE"/>
              <w:right w:val="single" w:sz="8" w:space="0" w:color="E0E0E0"/>
            </w:tcBorders>
            <w:shd w:val="clear" w:color="auto" w:fill="FFFFFF"/>
          </w:tcPr>
          <w:p w14:paraId="00F7F6EF"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4.649</w:t>
            </w:r>
          </w:p>
        </w:tc>
        <w:tc>
          <w:tcPr>
            <w:tcW w:w="1331" w:type="dxa"/>
            <w:tcBorders>
              <w:top w:val="single" w:sz="8" w:space="0" w:color="152935"/>
              <w:left w:val="single" w:sz="8" w:space="0" w:color="E0E0E0"/>
              <w:bottom w:val="single" w:sz="8" w:space="0" w:color="AEAEAE"/>
              <w:right w:val="single" w:sz="8" w:space="0" w:color="E0E0E0"/>
            </w:tcBorders>
            <w:shd w:val="clear" w:color="auto" w:fill="FFFFFF"/>
          </w:tcPr>
          <w:p w14:paraId="43C8CFDE"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.583</w:t>
            </w:r>
          </w:p>
        </w:tc>
        <w:tc>
          <w:tcPr>
            <w:tcW w:w="1469"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9DB5577" w14:textId="77777777" w:rsidR="008459F1" w:rsidRPr="00F97FAE" w:rsidRDefault="008459F1" w:rsidP="00176B25">
            <w:pPr>
              <w:spacing w:line="360" w:lineRule="auto"/>
              <w:jc w:val="both"/>
              <w:rPr>
                <w:rFonts w:asciiTheme="majorBidi" w:hAnsiTheme="majorBidi" w:cstheme="majorBidi"/>
              </w:rPr>
            </w:pP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3E6A5EB1"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7.974</w:t>
            </w:r>
          </w:p>
        </w:tc>
        <w:tc>
          <w:tcPr>
            <w:tcW w:w="1753" w:type="dxa"/>
            <w:tcBorders>
              <w:top w:val="single" w:sz="8" w:space="0" w:color="152935"/>
              <w:left w:val="single" w:sz="8" w:space="0" w:color="E0E0E0"/>
              <w:bottom w:val="single" w:sz="8" w:space="0" w:color="AEAEAE"/>
              <w:right w:val="nil"/>
            </w:tcBorders>
            <w:shd w:val="clear" w:color="auto" w:fill="FFFFFF"/>
          </w:tcPr>
          <w:p w14:paraId="11BF8971"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.000</w:t>
            </w:r>
          </w:p>
        </w:tc>
      </w:tr>
      <w:tr w:rsidR="008459F1" w:rsidRPr="00F97FAE" w14:paraId="17B01954" w14:textId="77777777" w:rsidTr="00176B25">
        <w:trPr>
          <w:cantSplit/>
        </w:trPr>
        <w:tc>
          <w:tcPr>
            <w:tcW w:w="733" w:type="dxa"/>
            <w:vMerge/>
            <w:tcBorders>
              <w:top w:val="single" w:sz="8" w:space="0" w:color="152935"/>
              <w:left w:val="nil"/>
              <w:bottom w:val="single" w:sz="8" w:space="0" w:color="152935"/>
              <w:right w:val="nil"/>
            </w:tcBorders>
            <w:shd w:val="clear" w:color="auto" w:fill="E0E0E0"/>
          </w:tcPr>
          <w:p w14:paraId="6833A654" w14:textId="77777777" w:rsidR="008459F1" w:rsidRPr="00F97FAE" w:rsidRDefault="008459F1" w:rsidP="00176B25">
            <w:pPr>
              <w:spacing w:line="360" w:lineRule="auto"/>
              <w:jc w:val="both"/>
              <w:rPr>
                <w:rFonts w:asciiTheme="majorBidi" w:hAnsiTheme="majorBidi" w:cstheme="majorBidi"/>
              </w:rPr>
            </w:pPr>
          </w:p>
        </w:tc>
        <w:tc>
          <w:tcPr>
            <w:tcW w:w="1178" w:type="dxa"/>
            <w:tcBorders>
              <w:top w:val="single" w:sz="8" w:space="0" w:color="AEAEAE"/>
              <w:left w:val="nil"/>
              <w:bottom w:val="single" w:sz="8" w:space="0" w:color="AEAEAE"/>
              <w:right w:val="nil"/>
            </w:tcBorders>
            <w:shd w:val="clear" w:color="auto" w:fill="E0E0E0"/>
          </w:tcPr>
          <w:p w14:paraId="2080C34D" w14:textId="77777777" w:rsidR="008459F1" w:rsidRPr="00F97FAE" w:rsidRDefault="008459F1" w:rsidP="00176B25">
            <w:pPr>
              <w:spacing w:line="360" w:lineRule="auto"/>
              <w:jc w:val="both"/>
              <w:rPr>
                <w:rFonts w:asciiTheme="majorBidi" w:hAnsiTheme="majorBidi" w:cstheme="majorBidi"/>
              </w:rPr>
            </w:pPr>
            <w:proofErr w:type="spellStart"/>
            <w:r w:rsidRPr="00F97FAE">
              <w:rPr>
                <w:rFonts w:asciiTheme="majorBidi" w:hAnsiTheme="majorBidi" w:cstheme="majorBidi"/>
              </w:rPr>
              <w:t>EP_Total</w:t>
            </w:r>
            <w:proofErr w:type="spellEnd"/>
          </w:p>
        </w:tc>
        <w:tc>
          <w:tcPr>
            <w:tcW w:w="1331" w:type="dxa"/>
            <w:tcBorders>
              <w:top w:val="single" w:sz="8" w:space="0" w:color="AEAEAE"/>
              <w:left w:val="nil"/>
              <w:bottom w:val="single" w:sz="8" w:space="0" w:color="AEAEAE"/>
              <w:right w:val="single" w:sz="8" w:space="0" w:color="E0E0E0"/>
            </w:tcBorders>
            <w:shd w:val="clear" w:color="auto" w:fill="FFFFFF"/>
          </w:tcPr>
          <w:p w14:paraId="06D13233"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.129</w:t>
            </w:r>
          </w:p>
        </w:tc>
        <w:tc>
          <w:tcPr>
            <w:tcW w:w="1331" w:type="dxa"/>
            <w:tcBorders>
              <w:top w:val="single" w:sz="8" w:space="0" w:color="AEAEAE"/>
              <w:left w:val="single" w:sz="8" w:space="0" w:color="E0E0E0"/>
              <w:bottom w:val="single" w:sz="8" w:space="0" w:color="AEAEAE"/>
              <w:right w:val="single" w:sz="8" w:space="0" w:color="E0E0E0"/>
            </w:tcBorders>
            <w:shd w:val="clear" w:color="auto" w:fill="FFFFFF"/>
          </w:tcPr>
          <w:p w14:paraId="227F7E1C"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.091</w:t>
            </w:r>
          </w:p>
        </w:tc>
        <w:tc>
          <w:tcPr>
            <w:tcW w:w="1469" w:type="dxa"/>
            <w:tcBorders>
              <w:top w:val="single" w:sz="8" w:space="0" w:color="AEAEAE"/>
              <w:left w:val="single" w:sz="8" w:space="0" w:color="E0E0E0"/>
              <w:bottom w:val="single" w:sz="8" w:space="0" w:color="AEAEAE"/>
              <w:right w:val="single" w:sz="8" w:space="0" w:color="E0E0E0"/>
            </w:tcBorders>
            <w:shd w:val="clear" w:color="auto" w:fill="FFFFFF"/>
          </w:tcPr>
          <w:p w14:paraId="1015B8C3"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.140</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2C5DDA59"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1.428</w:t>
            </w:r>
          </w:p>
        </w:tc>
        <w:tc>
          <w:tcPr>
            <w:tcW w:w="1753" w:type="dxa"/>
            <w:tcBorders>
              <w:top w:val="single" w:sz="8" w:space="0" w:color="AEAEAE"/>
              <w:left w:val="single" w:sz="8" w:space="0" w:color="E0E0E0"/>
              <w:bottom w:val="single" w:sz="8" w:space="0" w:color="AEAEAE"/>
              <w:right w:val="nil"/>
            </w:tcBorders>
            <w:shd w:val="clear" w:color="auto" w:fill="FFFFFF"/>
          </w:tcPr>
          <w:p w14:paraId="278E4314"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.016</w:t>
            </w:r>
          </w:p>
        </w:tc>
      </w:tr>
      <w:tr w:rsidR="008459F1" w:rsidRPr="00F97FAE" w14:paraId="0FCE3B25" w14:textId="77777777" w:rsidTr="00176B25">
        <w:trPr>
          <w:cantSplit/>
        </w:trPr>
        <w:tc>
          <w:tcPr>
            <w:tcW w:w="733" w:type="dxa"/>
            <w:vMerge/>
            <w:tcBorders>
              <w:top w:val="single" w:sz="8" w:space="0" w:color="152935"/>
              <w:left w:val="nil"/>
              <w:bottom w:val="single" w:sz="8" w:space="0" w:color="152935"/>
              <w:right w:val="nil"/>
            </w:tcBorders>
            <w:shd w:val="clear" w:color="auto" w:fill="E0E0E0"/>
          </w:tcPr>
          <w:p w14:paraId="59C874CB" w14:textId="77777777" w:rsidR="008459F1" w:rsidRPr="00F97FAE" w:rsidRDefault="008459F1" w:rsidP="00176B25">
            <w:pPr>
              <w:spacing w:line="360" w:lineRule="auto"/>
              <w:jc w:val="both"/>
              <w:rPr>
                <w:rFonts w:asciiTheme="majorBidi" w:hAnsiTheme="majorBidi" w:cstheme="majorBidi"/>
              </w:rPr>
            </w:pPr>
          </w:p>
        </w:tc>
        <w:tc>
          <w:tcPr>
            <w:tcW w:w="1178" w:type="dxa"/>
            <w:tcBorders>
              <w:top w:val="single" w:sz="8" w:space="0" w:color="AEAEAE"/>
              <w:left w:val="nil"/>
              <w:bottom w:val="single" w:sz="8" w:space="0" w:color="152935"/>
              <w:right w:val="nil"/>
            </w:tcBorders>
            <w:shd w:val="clear" w:color="auto" w:fill="E0E0E0"/>
          </w:tcPr>
          <w:p w14:paraId="7A35824F" w14:textId="77777777" w:rsidR="008459F1" w:rsidRPr="00F97FAE" w:rsidRDefault="008459F1" w:rsidP="00176B25">
            <w:pPr>
              <w:spacing w:line="360" w:lineRule="auto"/>
              <w:jc w:val="both"/>
              <w:rPr>
                <w:rFonts w:asciiTheme="majorBidi" w:hAnsiTheme="majorBidi" w:cstheme="majorBidi"/>
              </w:rPr>
            </w:pPr>
            <w:proofErr w:type="spellStart"/>
            <w:r w:rsidRPr="00F97FAE">
              <w:rPr>
                <w:rFonts w:asciiTheme="majorBidi" w:hAnsiTheme="majorBidi" w:cstheme="majorBidi"/>
              </w:rPr>
              <w:t>OC_Total</w:t>
            </w:r>
            <w:proofErr w:type="spellEnd"/>
          </w:p>
        </w:tc>
        <w:tc>
          <w:tcPr>
            <w:tcW w:w="1331" w:type="dxa"/>
            <w:tcBorders>
              <w:top w:val="single" w:sz="8" w:space="0" w:color="AEAEAE"/>
              <w:left w:val="nil"/>
              <w:bottom w:val="single" w:sz="8" w:space="0" w:color="152935"/>
              <w:right w:val="single" w:sz="8" w:space="0" w:color="E0E0E0"/>
            </w:tcBorders>
            <w:shd w:val="clear" w:color="auto" w:fill="FFFFFF"/>
          </w:tcPr>
          <w:p w14:paraId="71D5067C"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-.227</w:t>
            </w:r>
          </w:p>
        </w:tc>
        <w:tc>
          <w:tcPr>
            <w:tcW w:w="1331" w:type="dxa"/>
            <w:tcBorders>
              <w:top w:val="single" w:sz="8" w:space="0" w:color="AEAEAE"/>
              <w:left w:val="single" w:sz="8" w:space="0" w:color="E0E0E0"/>
              <w:bottom w:val="single" w:sz="8" w:space="0" w:color="152935"/>
              <w:right w:val="single" w:sz="8" w:space="0" w:color="E0E0E0"/>
            </w:tcBorders>
            <w:shd w:val="clear" w:color="auto" w:fill="FFFFFF"/>
          </w:tcPr>
          <w:p w14:paraId="1466B192"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.095</w:t>
            </w:r>
          </w:p>
        </w:tc>
        <w:tc>
          <w:tcPr>
            <w:tcW w:w="1469" w:type="dxa"/>
            <w:tcBorders>
              <w:top w:val="single" w:sz="8" w:space="0" w:color="AEAEAE"/>
              <w:left w:val="single" w:sz="8" w:space="0" w:color="E0E0E0"/>
              <w:bottom w:val="single" w:sz="8" w:space="0" w:color="152935"/>
              <w:right w:val="single" w:sz="8" w:space="0" w:color="E0E0E0"/>
            </w:tcBorders>
            <w:shd w:val="clear" w:color="auto" w:fill="FFFFFF"/>
          </w:tcPr>
          <w:p w14:paraId="42B6DE85"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-.234</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7C835BCB"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-2.397</w:t>
            </w:r>
          </w:p>
        </w:tc>
        <w:tc>
          <w:tcPr>
            <w:tcW w:w="1753" w:type="dxa"/>
            <w:tcBorders>
              <w:top w:val="single" w:sz="8" w:space="0" w:color="AEAEAE"/>
              <w:left w:val="single" w:sz="8" w:space="0" w:color="E0E0E0"/>
              <w:bottom w:val="single" w:sz="8" w:space="0" w:color="152935"/>
              <w:right w:val="nil"/>
            </w:tcBorders>
            <w:shd w:val="clear" w:color="auto" w:fill="FFFFFF"/>
          </w:tcPr>
          <w:p w14:paraId="566585E3"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.018</w:t>
            </w:r>
          </w:p>
        </w:tc>
      </w:tr>
      <w:tr w:rsidR="008459F1" w:rsidRPr="00F97FAE" w14:paraId="584BA1D7" w14:textId="77777777" w:rsidTr="00176B25">
        <w:trPr>
          <w:cantSplit/>
        </w:trPr>
        <w:tc>
          <w:tcPr>
            <w:tcW w:w="8820" w:type="dxa"/>
            <w:gridSpan w:val="7"/>
            <w:tcBorders>
              <w:top w:val="nil"/>
              <w:left w:val="nil"/>
              <w:bottom w:val="nil"/>
              <w:right w:val="nil"/>
            </w:tcBorders>
            <w:shd w:val="clear" w:color="auto" w:fill="FFFFFF"/>
          </w:tcPr>
          <w:p w14:paraId="75BFC092" w14:textId="77777777" w:rsidR="008459F1" w:rsidRPr="00F97FAE" w:rsidRDefault="008459F1" w:rsidP="00176B25">
            <w:pPr>
              <w:spacing w:line="360" w:lineRule="auto"/>
              <w:jc w:val="both"/>
              <w:rPr>
                <w:rFonts w:asciiTheme="majorBidi" w:hAnsiTheme="majorBidi" w:cstheme="majorBidi"/>
              </w:rPr>
            </w:pPr>
            <w:r w:rsidRPr="00F97FAE">
              <w:rPr>
                <w:rFonts w:asciiTheme="majorBidi" w:hAnsiTheme="majorBidi" w:cstheme="majorBidi"/>
              </w:rPr>
              <w:t xml:space="preserve">a. Dependent Variable: </w:t>
            </w:r>
            <w:proofErr w:type="spellStart"/>
            <w:r w:rsidRPr="00F97FAE">
              <w:rPr>
                <w:rFonts w:asciiTheme="majorBidi" w:hAnsiTheme="majorBidi" w:cstheme="majorBidi"/>
              </w:rPr>
              <w:t>AIT_Total</w:t>
            </w:r>
            <w:proofErr w:type="spellEnd"/>
          </w:p>
        </w:tc>
      </w:tr>
    </w:tbl>
    <w:p w14:paraId="688C983C" w14:textId="77777777" w:rsidR="008459F1" w:rsidRDefault="008459F1" w:rsidP="008459F1">
      <w:pPr>
        <w:spacing w:line="360" w:lineRule="auto"/>
        <w:ind w:left="360"/>
        <w:jc w:val="both"/>
        <w:rPr>
          <w:rFonts w:asciiTheme="majorBidi" w:hAnsiTheme="majorBidi" w:cstheme="majorBidi"/>
        </w:rPr>
      </w:pPr>
    </w:p>
    <w:p w14:paraId="74B91B8C" w14:textId="77777777" w:rsidR="008459F1" w:rsidRDefault="008459F1" w:rsidP="008459F1">
      <w:pPr>
        <w:spacing w:line="360" w:lineRule="auto"/>
        <w:ind w:left="360"/>
        <w:jc w:val="both"/>
        <w:rPr>
          <w:rFonts w:asciiTheme="majorBidi" w:hAnsiTheme="majorBidi" w:cstheme="majorBidi"/>
        </w:rPr>
      </w:pPr>
      <w:r w:rsidRPr="007265D7">
        <w:rPr>
          <w:rFonts w:asciiTheme="majorBidi" w:hAnsiTheme="majorBidi" w:cstheme="majorBidi"/>
        </w:rPr>
        <w:t>The regression model predicts the capability of affording international travel (</w:t>
      </w:r>
      <w:r>
        <w:rPr>
          <w:rFonts w:asciiTheme="majorBidi" w:hAnsiTheme="majorBidi" w:cstheme="majorBidi"/>
        </w:rPr>
        <w:t>AIT</w:t>
      </w:r>
      <w:r w:rsidRPr="007265D7">
        <w:rPr>
          <w:rFonts w:asciiTheme="majorBidi" w:hAnsiTheme="majorBidi" w:cstheme="majorBidi"/>
        </w:rPr>
        <w:t xml:space="preserve">) based on </w:t>
      </w:r>
      <w:proofErr w:type="spellStart"/>
      <w:r w:rsidRPr="007265D7">
        <w:rPr>
          <w:rFonts w:asciiTheme="majorBidi" w:hAnsiTheme="majorBidi" w:cstheme="majorBidi"/>
        </w:rPr>
        <w:t>EP_Total</w:t>
      </w:r>
      <w:proofErr w:type="spellEnd"/>
      <w:r w:rsidRPr="007265D7">
        <w:rPr>
          <w:rFonts w:asciiTheme="majorBidi" w:hAnsiTheme="majorBidi" w:cstheme="majorBidi"/>
        </w:rPr>
        <w:t xml:space="preserve"> and </w:t>
      </w:r>
      <w:proofErr w:type="spellStart"/>
      <w:r w:rsidRPr="007265D7">
        <w:rPr>
          <w:rFonts w:asciiTheme="majorBidi" w:hAnsiTheme="majorBidi" w:cstheme="majorBidi"/>
        </w:rPr>
        <w:t>OC_Total</w:t>
      </w:r>
      <w:proofErr w:type="spellEnd"/>
      <w:r w:rsidRPr="007265D7">
        <w:rPr>
          <w:rFonts w:asciiTheme="majorBidi" w:hAnsiTheme="majorBidi" w:cstheme="majorBidi"/>
        </w:rPr>
        <w:t xml:space="preserve"> as independent variables. The model is statistically significant (F = </w:t>
      </w:r>
      <w:r>
        <w:rPr>
          <w:rFonts w:asciiTheme="majorBidi" w:hAnsiTheme="majorBidi" w:cstheme="majorBidi"/>
        </w:rPr>
        <w:t>4.249</w:t>
      </w:r>
      <w:r w:rsidRPr="007265D7">
        <w:rPr>
          <w:rFonts w:asciiTheme="majorBidi" w:hAnsiTheme="majorBidi" w:cstheme="majorBidi"/>
        </w:rPr>
        <w:t>, p &lt; .001) and it also has a strong predictive power explaining 7</w:t>
      </w:r>
      <w:r>
        <w:rPr>
          <w:rFonts w:asciiTheme="majorBidi" w:hAnsiTheme="majorBidi" w:cstheme="majorBidi"/>
        </w:rPr>
        <w:t>8.4%</w:t>
      </w:r>
      <w:r w:rsidRPr="007265D7">
        <w:rPr>
          <w:rFonts w:asciiTheme="majorBidi" w:hAnsiTheme="majorBidi" w:cstheme="majorBidi"/>
        </w:rPr>
        <w:t xml:space="preserve"> of the variance in </w:t>
      </w:r>
      <w:r>
        <w:rPr>
          <w:rFonts w:asciiTheme="majorBidi" w:hAnsiTheme="majorBidi" w:cstheme="majorBidi"/>
        </w:rPr>
        <w:t>AIT</w:t>
      </w:r>
      <w:r w:rsidRPr="007265D7">
        <w:rPr>
          <w:rFonts w:asciiTheme="majorBidi" w:hAnsiTheme="majorBidi" w:cstheme="majorBidi"/>
        </w:rPr>
        <w:t xml:space="preserve"> (R</w:t>
      </w:r>
      <w:r w:rsidRPr="007265D7">
        <w:rPr>
          <w:rFonts w:asciiTheme="majorBidi" w:hAnsiTheme="majorBidi" w:cstheme="majorBidi"/>
          <w:vertAlign w:val="superscript"/>
        </w:rPr>
        <w:t>2</w:t>
      </w:r>
      <w:r w:rsidRPr="007265D7">
        <w:rPr>
          <w:rFonts w:asciiTheme="majorBidi" w:hAnsiTheme="majorBidi" w:cstheme="majorBidi"/>
        </w:rPr>
        <w:t xml:space="preserve"> = 0.7</w:t>
      </w:r>
      <w:r>
        <w:rPr>
          <w:rFonts w:asciiTheme="majorBidi" w:hAnsiTheme="majorBidi" w:cstheme="majorBidi"/>
        </w:rPr>
        <w:t>84</w:t>
      </w:r>
      <w:r w:rsidRPr="007265D7">
        <w:rPr>
          <w:rFonts w:asciiTheme="majorBidi" w:hAnsiTheme="majorBidi" w:cstheme="majorBidi"/>
        </w:rPr>
        <w:t xml:space="preserve">). Both </w:t>
      </w:r>
      <w:proofErr w:type="spellStart"/>
      <w:r w:rsidRPr="007265D7">
        <w:rPr>
          <w:rFonts w:asciiTheme="majorBidi" w:hAnsiTheme="majorBidi" w:cstheme="majorBidi"/>
        </w:rPr>
        <w:t>EP_Total</w:t>
      </w:r>
      <w:proofErr w:type="spellEnd"/>
      <w:r w:rsidRPr="007265D7">
        <w:rPr>
          <w:rFonts w:asciiTheme="majorBidi" w:hAnsiTheme="majorBidi" w:cstheme="majorBidi"/>
        </w:rPr>
        <w:t xml:space="preserve"> (</w:t>
      </w:r>
      <w:r>
        <w:rPr>
          <w:rFonts w:asciiTheme="majorBidi" w:hAnsiTheme="majorBidi" w:cstheme="majorBidi"/>
        </w:rPr>
        <w:t>β</w:t>
      </w:r>
      <w:r w:rsidRPr="007265D7">
        <w:rPr>
          <w:rFonts w:asciiTheme="majorBidi" w:hAnsiTheme="majorBidi" w:cstheme="majorBidi"/>
        </w:rPr>
        <w:t xml:space="preserve"> = 0.417, p </w:t>
      </w:r>
      <w:r>
        <w:rPr>
          <w:rFonts w:asciiTheme="majorBidi" w:hAnsiTheme="majorBidi" w:cstheme="majorBidi"/>
        </w:rPr>
        <w:t>= 0.02</w:t>
      </w:r>
      <w:r w:rsidRPr="007265D7">
        <w:rPr>
          <w:rFonts w:asciiTheme="majorBidi" w:hAnsiTheme="majorBidi" w:cstheme="majorBidi"/>
        </w:rPr>
        <w:t xml:space="preserve">) and </w:t>
      </w:r>
      <w:proofErr w:type="spellStart"/>
      <w:r w:rsidRPr="007265D7">
        <w:rPr>
          <w:rFonts w:asciiTheme="majorBidi" w:hAnsiTheme="majorBidi" w:cstheme="majorBidi"/>
        </w:rPr>
        <w:t>OC_Total</w:t>
      </w:r>
      <w:proofErr w:type="spellEnd"/>
      <w:r w:rsidRPr="007265D7">
        <w:rPr>
          <w:rFonts w:asciiTheme="majorBidi" w:hAnsiTheme="majorBidi" w:cstheme="majorBidi"/>
        </w:rPr>
        <w:t xml:space="preserve"> (</w:t>
      </w:r>
      <w:r>
        <w:rPr>
          <w:rFonts w:asciiTheme="majorBidi" w:hAnsiTheme="majorBidi" w:cstheme="majorBidi"/>
        </w:rPr>
        <w:t>β</w:t>
      </w:r>
      <w:r w:rsidRPr="007265D7">
        <w:rPr>
          <w:rFonts w:asciiTheme="majorBidi" w:hAnsiTheme="majorBidi" w:cstheme="majorBidi"/>
        </w:rPr>
        <w:t xml:space="preserve"> = 0.211, p = .01</w:t>
      </w:r>
      <w:r>
        <w:rPr>
          <w:rFonts w:asciiTheme="majorBidi" w:hAnsiTheme="majorBidi" w:cstheme="majorBidi"/>
        </w:rPr>
        <w:t>8</w:t>
      </w:r>
      <w:r w:rsidRPr="007265D7">
        <w:rPr>
          <w:rFonts w:asciiTheme="majorBidi" w:hAnsiTheme="majorBidi" w:cstheme="majorBidi"/>
        </w:rPr>
        <w:t xml:space="preserve">) are also significant suggesting that H1 and H2 are correct, and individuals with higher economic power and more complex occupations have a higher likelihood of </w:t>
      </w:r>
      <w:r w:rsidRPr="007265D7">
        <w:rPr>
          <w:rFonts w:asciiTheme="majorBidi" w:hAnsiTheme="majorBidi" w:cstheme="majorBidi"/>
        </w:rPr>
        <w:lastRenderedPageBreak/>
        <w:t>affording international travel. The model is inclined to being multicollinear and residual spread. The obtained findings confirm the hypothesis that income and occupation have a direct impact on the frequency and affordability of travel, paving the way to test the hypothesis of occupational moderation in the following model.</w:t>
      </w:r>
    </w:p>
    <w:p w14:paraId="7C62BD52" w14:textId="77777777" w:rsidR="008459F1" w:rsidRDefault="008459F1" w:rsidP="008459F1">
      <w:pPr>
        <w:spacing w:line="360" w:lineRule="auto"/>
        <w:ind w:left="360"/>
        <w:jc w:val="both"/>
        <w:rPr>
          <w:rFonts w:asciiTheme="majorBidi" w:hAnsiTheme="majorBidi" w:cstheme="majorBidi"/>
        </w:rPr>
      </w:pPr>
      <w:r>
        <w:rPr>
          <w:rFonts w:asciiTheme="majorBidi" w:hAnsiTheme="majorBidi" w:cstheme="majorBidi"/>
        </w:rPr>
        <w:t>Moderation Process – Process Model 1</w:t>
      </w:r>
    </w:p>
    <w:p w14:paraId="7305EF8B" w14:textId="77777777" w:rsidR="008459F1" w:rsidRPr="00050681" w:rsidRDefault="008459F1" w:rsidP="008459F1">
      <w:pPr>
        <w:spacing w:line="360" w:lineRule="auto"/>
        <w:ind w:left="360"/>
        <w:jc w:val="both"/>
        <w:rPr>
          <w:rFonts w:asciiTheme="majorBidi" w:hAnsiTheme="majorBidi" w:cstheme="majorBidi"/>
          <w:b/>
          <w:bCs/>
        </w:rPr>
      </w:pPr>
      <w:r w:rsidRPr="00050681">
        <w:rPr>
          <w:rFonts w:asciiTheme="majorBidi" w:hAnsiTheme="majorBidi" w:cstheme="majorBidi"/>
          <w:b/>
          <w:bCs/>
        </w:rPr>
        <w:t>Table 11: Model coefficients</w:t>
      </w:r>
    </w:p>
    <w:p w14:paraId="45C391F8" w14:textId="77777777" w:rsidR="008459F1" w:rsidRDefault="008459F1" w:rsidP="008459F1">
      <w:pPr>
        <w:spacing w:line="360" w:lineRule="auto"/>
        <w:ind w:left="360"/>
        <w:jc w:val="both"/>
        <w:rPr>
          <w:rFonts w:asciiTheme="majorBidi" w:hAnsiTheme="majorBidi" w:cstheme="majorBidi"/>
        </w:rPr>
      </w:pPr>
      <w:r>
        <w:rPr>
          <w:rFonts w:asciiTheme="majorBidi" w:hAnsiTheme="majorBidi" w:cstheme="majorBidi"/>
          <w:noProof/>
        </w:rPr>
        <w:drawing>
          <wp:inline distT="0" distB="0" distL="0" distR="0" wp14:anchorId="2E81C677" wp14:editId="43A79341">
            <wp:extent cx="5731510" cy="2303145"/>
            <wp:effectExtent l="0" t="0" r="2540" b="1905"/>
            <wp:docPr id="966799949" name="Picture 5" descr="A group of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799949" name="Picture 5" descr="A group of numbers and letters&#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2303145"/>
                    </a:xfrm>
                    <a:prstGeom prst="rect">
                      <a:avLst/>
                    </a:prstGeom>
                  </pic:spPr>
                </pic:pic>
              </a:graphicData>
            </a:graphic>
          </wp:inline>
        </w:drawing>
      </w:r>
    </w:p>
    <w:p w14:paraId="7AC3B546" w14:textId="77777777" w:rsidR="008459F1" w:rsidRDefault="008459F1" w:rsidP="008459F1">
      <w:pPr>
        <w:spacing w:line="360" w:lineRule="auto"/>
        <w:ind w:left="360"/>
        <w:jc w:val="both"/>
        <w:rPr>
          <w:rFonts w:asciiTheme="majorBidi" w:hAnsiTheme="majorBidi" w:cstheme="majorBidi"/>
        </w:rPr>
      </w:pPr>
      <w:r>
        <w:rPr>
          <w:rFonts w:asciiTheme="majorBidi" w:hAnsiTheme="majorBidi" w:cstheme="majorBidi"/>
          <w:noProof/>
        </w:rPr>
        <w:drawing>
          <wp:inline distT="0" distB="0" distL="0" distR="0" wp14:anchorId="0EC8FE28" wp14:editId="4FCAFA54">
            <wp:extent cx="5731510" cy="664210"/>
            <wp:effectExtent l="0" t="0" r="2540" b="2540"/>
            <wp:docPr id="2111986601" name="Picture 4" descr="A close up of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986601" name="Picture 4" descr="A close up of number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664210"/>
                    </a:xfrm>
                    <a:prstGeom prst="rect">
                      <a:avLst/>
                    </a:prstGeom>
                  </pic:spPr>
                </pic:pic>
              </a:graphicData>
            </a:graphic>
          </wp:inline>
        </w:drawing>
      </w:r>
    </w:p>
    <w:p w14:paraId="410E4AFF" w14:textId="77777777" w:rsidR="008459F1" w:rsidRDefault="008459F1" w:rsidP="008459F1">
      <w:pPr>
        <w:spacing w:line="360" w:lineRule="auto"/>
        <w:ind w:left="360"/>
        <w:jc w:val="both"/>
        <w:rPr>
          <w:rFonts w:asciiTheme="majorBidi" w:hAnsiTheme="majorBidi" w:cstheme="majorBidi"/>
        </w:rPr>
      </w:pPr>
      <w:r w:rsidRPr="00E86452">
        <w:rPr>
          <w:rFonts w:asciiTheme="majorBidi" w:hAnsiTheme="majorBidi" w:cstheme="majorBidi"/>
        </w:rPr>
        <w:t>The moderation analysis was implemented based on the PROCESS Model 1 (Hayes, 2022) where affordability of international travel (AIT) was used as the dependent variable, economic power (</w:t>
      </w:r>
      <w:proofErr w:type="spellStart"/>
      <w:r w:rsidRPr="00E86452">
        <w:rPr>
          <w:rFonts w:asciiTheme="majorBidi" w:hAnsiTheme="majorBidi" w:cstheme="majorBidi"/>
        </w:rPr>
        <w:t>EPtot</w:t>
      </w:r>
      <w:proofErr w:type="spellEnd"/>
      <w:r w:rsidRPr="00E86452">
        <w:rPr>
          <w:rFonts w:asciiTheme="majorBidi" w:hAnsiTheme="majorBidi" w:cstheme="majorBidi"/>
        </w:rPr>
        <w:t>) was used as the predictor, and the occupational complexity (</w:t>
      </w:r>
      <w:proofErr w:type="spellStart"/>
      <w:r w:rsidRPr="00E86452">
        <w:rPr>
          <w:rFonts w:asciiTheme="majorBidi" w:hAnsiTheme="majorBidi" w:cstheme="majorBidi"/>
        </w:rPr>
        <w:t>OCtot</w:t>
      </w:r>
      <w:proofErr w:type="spellEnd"/>
      <w:r w:rsidRPr="00E86452">
        <w:rPr>
          <w:rFonts w:asciiTheme="majorBidi" w:hAnsiTheme="majorBidi" w:cstheme="majorBidi"/>
        </w:rPr>
        <w:t>) was used as the moderator. This model was important, R</w:t>
      </w:r>
      <w:r w:rsidRPr="00E86452">
        <w:rPr>
          <w:rFonts w:asciiTheme="majorBidi" w:hAnsiTheme="majorBidi" w:cstheme="majorBidi"/>
          <w:vertAlign w:val="superscript"/>
        </w:rPr>
        <w:t>2</w:t>
      </w:r>
      <w:r w:rsidRPr="00E86452">
        <w:rPr>
          <w:rFonts w:asciiTheme="majorBidi" w:hAnsiTheme="majorBidi" w:cstheme="majorBidi"/>
        </w:rPr>
        <w:t xml:space="preserve"> =</w:t>
      </w:r>
      <w:r>
        <w:rPr>
          <w:rFonts w:asciiTheme="majorBidi" w:hAnsiTheme="majorBidi" w:cstheme="majorBidi"/>
        </w:rPr>
        <w:t xml:space="preserve"> </w:t>
      </w:r>
      <w:r w:rsidRPr="00E86452">
        <w:rPr>
          <w:rFonts w:asciiTheme="majorBidi" w:hAnsiTheme="majorBidi" w:cstheme="majorBidi"/>
        </w:rPr>
        <w:t xml:space="preserve">.74, </w:t>
      </w:r>
      <w:proofErr w:type="gramStart"/>
      <w:r w:rsidRPr="00E86452">
        <w:rPr>
          <w:rFonts w:asciiTheme="majorBidi" w:hAnsiTheme="majorBidi" w:cstheme="majorBidi"/>
        </w:rPr>
        <w:t>F(</w:t>
      </w:r>
      <w:proofErr w:type="gramEnd"/>
      <w:r w:rsidRPr="00E86452">
        <w:rPr>
          <w:rFonts w:asciiTheme="majorBidi" w:hAnsiTheme="majorBidi" w:cstheme="majorBidi"/>
        </w:rPr>
        <w:t>3</w:t>
      </w:r>
      <w:r>
        <w:rPr>
          <w:rFonts w:asciiTheme="majorBidi" w:hAnsiTheme="majorBidi" w:cstheme="majorBidi"/>
        </w:rPr>
        <w:t>,</w:t>
      </w:r>
      <w:r w:rsidRPr="00E86452">
        <w:rPr>
          <w:rFonts w:asciiTheme="majorBidi" w:hAnsiTheme="majorBidi" w:cstheme="majorBidi"/>
        </w:rPr>
        <w:t>96) =</w:t>
      </w:r>
      <w:r>
        <w:rPr>
          <w:rFonts w:asciiTheme="majorBidi" w:hAnsiTheme="majorBidi" w:cstheme="majorBidi"/>
        </w:rPr>
        <w:t xml:space="preserve"> </w:t>
      </w:r>
      <w:r w:rsidRPr="00E86452">
        <w:rPr>
          <w:rFonts w:asciiTheme="majorBidi" w:hAnsiTheme="majorBidi" w:cstheme="majorBidi"/>
        </w:rPr>
        <w:t>2.86, p</w:t>
      </w:r>
      <w:r>
        <w:rPr>
          <w:rFonts w:asciiTheme="majorBidi" w:hAnsiTheme="majorBidi" w:cstheme="majorBidi"/>
        </w:rPr>
        <w:t xml:space="preserve"> </w:t>
      </w:r>
      <w:r w:rsidRPr="00E86452">
        <w:rPr>
          <w:rFonts w:asciiTheme="majorBidi" w:hAnsiTheme="majorBidi" w:cstheme="majorBidi"/>
        </w:rPr>
        <w:t>=</w:t>
      </w:r>
      <w:r>
        <w:rPr>
          <w:rFonts w:asciiTheme="majorBidi" w:hAnsiTheme="majorBidi" w:cstheme="majorBidi"/>
        </w:rPr>
        <w:t xml:space="preserve"> </w:t>
      </w:r>
      <w:r w:rsidRPr="00E86452">
        <w:rPr>
          <w:rFonts w:asciiTheme="majorBidi" w:hAnsiTheme="majorBidi" w:cstheme="majorBidi"/>
        </w:rPr>
        <w:t>.041. Economic power (</w:t>
      </w:r>
      <w:r>
        <w:rPr>
          <w:rFonts w:asciiTheme="majorBidi" w:hAnsiTheme="majorBidi" w:cstheme="majorBidi"/>
        </w:rPr>
        <w:t>β</w:t>
      </w:r>
      <w:r w:rsidRPr="00E86452">
        <w:rPr>
          <w:rFonts w:asciiTheme="majorBidi" w:hAnsiTheme="majorBidi" w:cstheme="majorBidi"/>
        </w:rPr>
        <w:t xml:space="preserve"> =</w:t>
      </w:r>
      <w:r>
        <w:rPr>
          <w:rFonts w:asciiTheme="majorBidi" w:hAnsiTheme="majorBidi" w:cstheme="majorBidi"/>
        </w:rPr>
        <w:t xml:space="preserve"> </w:t>
      </w:r>
      <w:r w:rsidRPr="00E86452">
        <w:rPr>
          <w:rFonts w:asciiTheme="majorBidi" w:hAnsiTheme="majorBidi" w:cstheme="majorBidi"/>
        </w:rPr>
        <w:t>.315, p =</w:t>
      </w:r>
      <w:r>
        <w:rPr>
          <w:rFonts w:asciiTheme="majorBidi" w:hAnsiTheme="majorBidi" w:cstheme="majorBidi"/>
        </w:rPr>
        <w:t xml:space="preserve"> </w:t>
      </w:r>
      <w:r w:rsidRPr="00E86452">
        <w:rPr>
          <w:rFonts w:asciiTheme="majorBidi" w:hAnsiTheme="majorBidi" w:cstheme="majorBidi"/>
        </w:rPr>
        <w:t>.0039) and occupational complexity (</w:t>
      </w:r>
      <w:r>
        <w:rPr>
          <w:rFonts w:asciiTheme="majorBidi" w:hAnsiTheme="majorBidi" w:cstheme="majorBidi"/>
        </w:rPr>
        <w:t>β</w:t>
      </w:r>
      <w:r w:rsidRPr="00E86452">
        <w:rPr>
          <w:rFonts w:asciiTheme="majorBidi" w:hAnsiTheme="majorBidi" w:cstheme="majorBidi"/>
        </w:rPr>
        <w:t xml:space="preserve"> =</w:t>
      </w:r>
      <w:r>
        <w:rPr>
          <w:rFonts w:asciiTheme="majorBidi" w:hAnsiTheme="majorBidi" w:cstheme="majorBidi"/>
        </w:rPr>
        <w:t xml:space="preserve"> </w:t>
      </w:r>
      <w:r w:rsidRPr="00E86452">
        <w:rPr>
          <w:rFonts w:asciiTheme="majorBidi" w:hAnsiTheme="majorBidi" w:cstheme="majorBidi"/>
        </w:rPr>
        <w:t>.123, p =</w:t>
      </w:r>
      <w:r>
        <w:rPr>
          <w:rFonts w:asciiTheme="majorBidi" w:hAnsiTheme="majorBidi" w:cstheme="majorBidi"/>
        </w:rPr>
        <w:t xml:space="preserve"> </w:t>
      </w:r>
      <w:r w:rsidRPr="00E86452">
        <w:rPr>
          <w:rFonts w:asciiTheme="majorBidi" w:hAnsiTheme="majorBidi" w:cstheme="majorBidi"/>
        </w:rPr>
        <w:t xml:space="preserve">.0468) were both found to be significant direct predictors. Notably, the relationship between economic power and occupational complexity was also </w:t>
      </w:r>
      <w:r>
        <w:rPr>
          <w:rFonts w:asciiTheme="majorBidi" w:hAnsiTheme="majorBidi" w:cstheme="majorBidi"/>
        </w:rPr>
        <w:t>significan</w:t>
      </w:r>
      <w:r w:rsidRPr="00E86452">
        <w:rPr>
          <w:rFonts w:asciiTheme="majorBidi" w:hAnsiTheme="majorBidi" w:cstheme="majorBidi"/>
        </w:rPr>
        <w:t>t (</w:t>
      </w:r>
      <w:r>
        <w:rPr>
          <w:rFonts w:asciiTheme="majorBidi" w:hAnsiTheme="majorBidi" w:cstheme="majorBidi"/>
        </w:rPr>
        <w:t>β</w:t>
      </w:r>
      <w:r w:rsidRPr="00E86452">
        <w:rPr>
          <w:rFonts w:asciiTheme="majorBidi" w:hAnsiTheme="majorBidi" w:cstheme="majorBidi"/>
        </w:rPr>
        <w:t xml:space="preserve"> =</w:t>
      </w:r>
      <w:r>
        <w:rPr>
          <w:rFonts w:asciiTheme="majorBidi" w:hAnsiTheme="majorBidi" w:cstheme="majorBidi"/>
        </w:rPr>
        <w:t xml:space="preserve"> </w:t>
      </w:r>
      <w:r w:rsidRPr="00E86452">
        <w:rPr>
          <w:rFonts w:asciiTheme="majorBidi" w:hAnsiTheme="majorBidi" w:cstheme="majorBidi"/>
        </w:rPr>
        <w:t>.108, p</w:t>
      </w:r>
      <w:r>
        <w:rPr>
          <w:rFonts w:asciiTheme="majorBidi" w:hAnsiTheme="majorBidi" w:cstheme="majorBidi"/>
        </w:rPr>
        <w:t xml:space="preserve"> </w:t>
      </w:r>
      <w:r w:rsidRPr="00E86452">
        <w:rPr>
          <w:rFonts w:asciiTheme="majorBidi" w:hAnsiTheme="majorBidi" w:cstheme="majorBidi"/>
        </w:rPr>
        <w:t>=</w:t>
      </w:r>
      <w:r>
        <w:rPr>
          <w:rFonts w:asciiTheme="majorBidi" w:hAnsiTheme="majorBidi" w:cstheme="majorBidi"/>
        </w:rPr>
        <w:t xml:space="preserve"> </w:t>
      </w:r>
      <w:r w:rsidRPr="00E86452">
        <w:rPr>
          <w:rFonts w:asciiTheme="majorBidi" w:hAnsiTheme="majorBidi" w:cstheme="majorBidi"/>
        </w:rPr>
        <w:t>.0067) and the interaction contributed to further variance (ΔR²</w:t>
      </w:r>
      <w:r>
        <w:rPr>
          <w:rFonts w:asciiTheme="majorBidi" w:hAnsiTheme="majorBidi" w:cstheme="majorBidi"/>
        </w:rPr>
        <w:t xml:space="preserve"> = .</w:t>
      </w:r>
      <w:r w:rsidRPr="00E86452">
        <w:rPr>
          <w:rFonts w:asciiTheme="majorBidi" w:hAnsiTheme="majorBidi" w:cstheme="majorBidi"/>
        </w:rPr>
        <w:t>70, p</w:t>
      </w:r>
      <w:r>
        <w:rPr>
          <w:rFonts w:asciiTheme="majorBidi" w:hAnsiTheme="majorBidi" w:cstheme="majorBidi"/>
        </w:rPr>
        <w:t xml:space="preserve"> </w:t>
      </w:r>
      <w:r w:rsidRPr="00E86452">
        <w:rPr>
          <w:rFonts w:asciiTheme="majorBidi" w:hAnsiTheme="majorBidi" w:cstheme="majorBidi"/>
        </w:rPr>
        <w:t>=</w:t>
      </w:r>
      <w:r>
        <w:rPr>
          <w:rFonts w:asciiTheme="majorBidi" w:hAnsiTheme="majorBidi" w:cstheme="majorBidi"/>
        </w:rPr>
        <w:t xml:space="preserve"> </w:t>
      </w:r>
      <w:r w:rsidRPr="00E86452">
        <w:rPr>
          <w:rFonts w:asciiTheme="majorBidi" w:hAnsiTheme="majorBidi" w:cstheme="majorBidi"/>
        </w:rPr>
        <w:t>.0069). These findings show that the positive impact of the economic resources on the affordability of international travel is stronger at higher occupational complexity levels.</w:t>
      </w:r>
    </w:p>
    <w:p w14:paraId="5C5FE92F" w14:textId="77777777" w:rsidR="008459F1" w:rsidRPr="00A532E8" w:rsidRDefault="008459F1" w:rsidP="008459F1">
      <w:pPr>
        <w:spacing w:line="360" w:lineRule="auto"/>
        <w:jc w:val="center"/>
        <w:rPr>
          <w:rFonts w:asciiTheme="majorBidi" w:hAnsiTheme="majorBidi" w:cstheme="majorBidi"/>
          <w:b/>
          <w:bCs/>
        </w:rPr>
      </w:pPr>
      <w:r w:rsidRPr="00A532E8">
        <w:rPr>
          <w:rFonts w:asciiTheme="majorBidi" w:hAnsiTheme="majorBidi" w:cstheme="majorBidi"/>
          <w:b/>
          <w:bCs/>
        </w:rPr>
        <w:t xml:space="preserve">Discussion </w:t>
      </w:r>
      <w:r>
        <w:rPr>
          <w:rFonts w:asciiTheme="majorBidi" w:hAnsiTheme="majorBidi" w:cstheme="majorBidi"/>
          <w:b/>
          <w:bCs/>
        </w:rPr>
        <w:t>and Conclusion</w:t>
      </w:r>
    </w:p>
    <w:p w14:paraId="66819407" w14:textId="77777777" w:rsidR="008459F1" w:rsidRDefault="008459F1" w:rsidP="008459F1">
      <w:pPr>
        <w:spacing w:line="360" w:lineRule="auto"/>
        <w:jc w:val="both"/>
        <w:rPr>
          <w:rFonts w:asciiTheme="majorBidi" w:hAnsiTheme="majorBidi" w:cstheme="majorBidi"/>
        </w:rPr>
      </w:pPr>
      <w:r w:rsidRPr="006D0797">
        <w:rPr>
          <w:rFonts w:asciiTheme="majorBidi" w:hAnsiTheme="majorBidi" w:cstheme="majorBidi"/>
        </w:rPr>
        <w:t>Th</w:t>
      </w:r>
      <w:r>
        <w:rPr>
          <w:rFonts w:asciiTheme="majorBidi" w:hAnsiTheme="majorBidi" w:cstheme="majorBidi"/>
        </w:rPr>
        <w:t xml:space="preserve">is section </w:t>
      </w:r>
      <w:r w:rsidRPr="006D0797">
        <w:rPr>
          <w:rFonts w:asciiTheme="majorBidi" w:hAnsiTheme="majorBidi" w:cstheme="majorBidi"/>
        </w:rPr>
        <w:t xml:space="preserve">interprets the main findings of the research on the influence of the level of income and occupational status on the frequency of travelling outside the country. Based on economic, </w:t>
      </w:r>
      <w:r w:rsidRPr="006D0797">
        <w:rPr>
          <w:rFonts w:asciiTheme="majorBidi" w:hAnsiTheme="majorBidi" w:cstheme="majorBidi"/>
        </w:rPr>
        <w:lastRenderedPageBreak/>
        <w:t>occupation, and social mobility theories the analysis examined the predictive and moderating association between economic power (EP), occupational complexity (OC) and perceived affordability of travel (</w:t>
      </w:r>
      <w:r>
        <w:rPr>
          <w:rFonts w:asciiTheme="majorBidi" w:hAnsiTheme="majorBidi" w:cstheme="majorBidi"/>
        </w:rPr>
        <w:t>AIT</w:t>
      </w:r>
      <w:r w:rsidRPr="006D0797">
        <w:rPr>
          <w:rFonts w:asciiTheme="majorBidi" w:hAnsiTheme="majorBidi" w:cstheme="majorBidi"/>
        </w:rPr>
        <w:t>). The discussion synthesizes empirical results of the study with previous studies, assesses the support of hypotheses, discusses theoretical and practical implications, identifies limitations (particularly related to issue of Travel Frequency variable) and suggests future research.</w:t>
      </w:r>
    </w:p>
    <w:p w14:paraId="1418B639" w14:textId="77777777" w:rsidR="008459F1" w:rsidRPr="00F244CD" w:rsidRDefault="008459F1" w:rsidP="008459F1">
      <w:pPr>
        <w:spacing w:line="360" w:lineRule="auto"/>
        <w:jc w:val="both"/>
        <w:rPr>
          <w:rFonts w:asciiTheme="majorBidi" w:hAnsiTheme="majorBidi" w:cstheme="majorBidi"/>
          <w:b/>
          <w:bCs/>
          <w:i/>
          <w:iCs/>
        </w:rPr>
      </w:pPr>
      <w:r w:rsidRPr="00F244CD">
        <w:rPr>
          <w:rFonts w:asciiTheme="majorBidi" w:hAnsiTheme="majorBidi" w:cstheme="majorBidi"/>
          <w:b/>
          <w:bCs/>
          <w:i/>
          <w:iCs/>
        </w:rPr>
        <w:t>Interpretation of Findings</w:t>
      </w:r>
    </w:p>
    <w:p w14:paraId="13136ED8" w14:textId="77777777" w:rsidR="008459F1" w:rsidRDefault="008459F1" w:rsidP="008459F1">
      <w:pPr>
        <w:spacing w:line="360" w:lineRule="auto"/>
        <w:jc w:val="both"/>
        <w:rPr>
          <w:rFonts w:asciiTheme="majorBidi" w:hAnsiTheme="majorBidi" w:cstheme="majorBidi"/>
        </w:rPr>
      </w:pPr>
      <w:r w:rsidRPr="006D0797">
        <w:rPr>
          <w:rFonts w:asciiTheme="majorBidi" w:hAnsiTheme="majorBidi" w:cstheme="majorBidi"/>
        </w:rPr>
        <w:t>The descriptive statistics indicated a balanced sample of participants by age and job position levels with strong mid-career followed by executive-level professionals. Socioeconomic backgrounds of the sample were diverse, with 30</w:t>
      </w:r>
      <w:r>
        <w:rPr>
          <w:rFonts w:asciiTheme="majorBidi" w:hAnsiTheme="majorBidi" w:cstheme="majorBidi"/>
        </w:rPr>
        <w:t>%</w:t>
      </w:r>
      <w:r w:rsidRPr="006D0797">
        <w:rPr>
          <w:rFonts w:asciiTheme="majorBidi" w:hAnsiTheme="majorBidi" w:cstheme="majorBidi"/>
        </w:rPr>
        <w:t xml:space="preserve"> of participants stating to have annual income of </w:t>
      </w:r>
      <w:r>
        <w:rPr>
          <w:rFonts w:asciiTheme="majorBidi" w:hAnsiTheme="majorBidi" w:cstheme="majorBidi"/>
        </w:rPr>
        <w:t>$</w:t>
      </w:r>
      <w:r w:rsidRPr="006D0797">
        <w:rPr>
          <w:rFonts w:asciiTheme="majorBidi" w:hAnsiTheme="majorBidi" w:cstheme="majorBidi"/>
        </w:rPr>
        <w:t>30</w:t>
      </w:r>
      <w:r>
        <w:rPr>
          <w:rFonts w:asciiTheme="majorBidi" w:hAnsiTheme="majorBidi" w:cstheme="majorBidi"/>
        </w:rPr>
        <w:t>,</w:t>
      </w:r>
      <w:r w:rsidRPr="006D0797">
        <w:rPr>
          <w:rFonts w:asciiTheme="majorBidi" w:hAnsiTheme="majorBidi" w:cstheme="majorBidi"/>
        </w:rPr>
        <w:t>000</w:t>
      </w:r>
      <w:r>
        <w:rPr>
          <w:rFonts w:asciiTheme="majorBidi" w:hAnsiTheme="majorBidi" w:cstheme="majorBidi"/>
        </w:rPr>
        <w:t xml:space="preserve"> - $</w:t>
      </w:r>
      <w:r w:rsidRPr="006D0797">
        <w:rPr>
          <w:rFonts w:asciiTheme="majorBidi" w:hAnsiTheme="majorBidi" w:cstheme="majorBidi"/>
        </w:rPr>
        <w:t>50</w:t>
      </w:r>
      <w:r>
        <w:rPr>
          <w:rFonts w:asciiTheme="majorBidi" w:hAnsiTheme="majorBidi" w:cstheme="majorBidi"/>
        </w:rPr>
        <w:t>,</w:t>
      </w:r>
      <w:r w:rsidRPr="006D0797">
        <w:rPr>
          <w:rFonts w:asciiTheme="majorBidi" w:hAnsiTheme="majorBidi" w:cstheme="majorBidi"/>
        </w:rPr>
        <w:t>000 and 2</w:t>
      </w:r>
      <w:r>
        <w:rPr>
          <w:rFonts w:asciiTheme="majorBidi" w:hAnsiTheme="majorBidi" w:cstheme="majorBidi"/>
        </w:rPr>
        <w:t xml:space="preserve">9% </w:t>
      </w:r>
      <w:r w:rsidRPr="006D0797">
        <w:rPr>
          <w:rFonts w:asciiTheme="majorBidi" w:hAnsiTheme="majorBidi" w:cstheme="majorBidi"/>
        </w:rPr>
        <w:t xml:space="preserve">of respondents having an income below </w:t>
      </w:r>
      <w:r>
        <w:rPr>
          <w:rFonts w:asciiTheme="majorBidi" w:hAnsiTheme="majorBidi" w:cstheme="majorBidi"/>
        </w:rPr>
        <w:t>$</w:t>
      </w:r>
      <w:r w:rsidRPr="006D0797">
        <w:rPr>
          <w:rFonts w:asciiTheme="majorBidi" w:hAnsiTheme="majorBidi" w:cstheme="majorBidi"/>
        </w:rPr>
        <w:t>10</w:t>
      </w:r>
      <w:r>
        <w:rPr>
          <w:rFonts w:asciiTheme="majorBidi" w:hAnsiTheme="majorBidi" w:cstheme="majorBidi"/>
        </w:rPr>
        <w:t>,</w:t>
      </w:r>
      <w:r w:rsidRPr="006D0797">
        <w:rPr>
          <w:rFonts w:asciiTheme="majorBidi" w:hAnsiTheme="majorBidi" w:cstheme="majorBidi"/>
        </w:rPr>
        <w:t xml:space="preserve">000. This continuum of economic status was critical to testing H1 and provides reasons why both low-income and higher-income populations should be included in measuring the influence of economic power on travel </w:t>
      </w:r>
      <w:proofErr w:type="spellStart"/>
      <w:r w:rsidRPr="006D0797">
        <w:rPr>
          <w:rFonts w:asciiTheme="majorBidi" w:hAnsiTheme="majorBidi" w:cstheme="majorBidi"/>
        </w:rPr>
        <w:t>behavior</w:t>
      </w:r>
      <w:proofErr w:type="spellEnd"/>
      <w:r w:rsidRPr="006D0797">
        <w:rPr>
          <w:rFonts w:asciiTheme="majorBidi" w:hAnsiTheme="majorBidi" w:cstheme="majorBidi"/>
        </w:rPr>
        <w:t>.</w:t>
      </w:r>
      <w:r>
        <w:rPr>
          <w:rFonts w:asciiTheme="majorBidi" w:hAnsiTheme="majorBidi" w:cstheme="majorBidi"/>
        </w:rPr>
        <w:t xml:space="preserve"> </w:t>
      </w:r>
      <w:r w:rsidRPr="00670332">
        <w:rPr>
          <w:rFonts w:asciiTheme="majorBidi" w:hAnsiTheme="majorBidi" w:cstheme="majorBidi"/>
        </w:rPr>
        <w:t xml:space="preserve">Such socioeconomic depiction reflects patterns described by </w:t>
      </w:r>
      <w:proofErr w:type="spellStart"/>
      <w:r w:rsidRPr="004B1738">
        <w:rPr>
          <w:rFonts w:asciiTheme="majorBidi" w:hAnsiTheme="majorBidi" w:cstheme="majorBidi"/>
        </w:rPr>
        <w:t>Struwig</w:t>
      </w:r>
      <w:proofErr w:type="spellEnd"/>
      <w:r>
        <w:rPr>
          <w:rFonts w:asciiTheme="majorBidi" w:hAnsiTheme="majorBidi" w:cstheme="majorBidi"/>
        </w:rPr>
        <w:t xml:space="preserve"> </w:t>
      </w:r>
      <w:r w:rsidRPr="004B1738">
        <w:rPr>
          <w:rFonts w:asciiTheme="majorBidi" w:hAnsiTheme="majorBidi" w:cstheme="majorBidi"/>
        </w:rPr>
        <w:t xml:space="preserve">and du </w:t>
      </w:r>
      <w:proofErr w:type="spellStart"/>
      <w:r w:rsidRPr="004B1738">
        <w:rPr>
          <w:rFonts w:asciiTheme="majorBidi" w:hAnsiTheme="majorBidi" w:cstheme="majorBidi"/>
        </w:rPr>
        <w:t>Preez</w:t>
      </w:r>
      <w:proofErr w:type="spellEnd"/>
      <w:r w:rsidRPr="004B1738">
        <w:rPr>
          <w:rFonts w:asciiTheme="majorBidi" w:hAnsiTheme="majorBidi" w:cstheme="majorBidi"/>
        </w:rPr>
        <w:t xml:space="preserve"> </w:t>
      </w:r>
      <w:r>
        <w:rPr>
          <w:rFonts w:asciiTheme="majorBidi" w:hAnsiTheme="majorBidi" w:cstheme="majorBidi"/>
        </w:rPr>
        <w:t>(</w:t>
      </w:r>
      <w:r w:rsidRPr="004B1738">
        <w:rPr>
          <w:rFonts w:asciiTheme="majorBidi" w:hAnsiTheme="majorBidi" w:cstheme="majorBidi"/>
        </w:rPr>
        <w:t>2024</w:t>
      </w:r>
      <w:r>
        <w:rPr>
          <w:rFonts w:asciiTheme="majorBidi" w:hAnsiTheme="majorBidi" w:cstheme="majorBidi"/>
        </w:rPr>
        <w:t xml:space="preserve">), </w:t>
      </w:r>
      <w:r w:rsidRPr="00670332">
        <w:rPr>
          <w:rFonts w:asciiTheme="majorBidi" w:hAnsiTheme="majorBidi" w:cstheme="majorBidi"/>
        </w:rPr>
        <w:t>who highlighted the importance of disposable income, which facilitates lifestyle mobility. It also corresponds to the point that international travelling is a stratified activity, partly pursued by the people who have means to travel as well as institutional support to do it.</w:t>
      </w:r>
    </w:p>
    <w:p w14:paraId="6B90088B" w14:textId="77777777" w:rsidR="008459F1" w:rsidRDefault="008459F1" w:rsidP="008459F1">
      <w:pPr>
        <w:spacing w:line="360" w:lineRule="auto"/>
        <w:jc w:val="both"/>
        <w:rPr>
          <w:rFonts w:asciiTheme="majorBidi" w:hAnsiTheme="majorBidi" w:cstheme="majorBidi"/>
        </w:rPr>
      </w:pPr>
      <w:r w:rsidRPr="00670332">
        <w:rPr>
          <w:rFonts w:asciiTheme="majorBidi" w:hAnsiTheme="majorBidi" w:cstheme="majorBidi"/>
        </w:rPr>
        <w:t>Based on the correlation matrix, there was a significant positive association between economic power (EP) and perceived capability to afford foreign travel (</w:t>
      </w:r>
      <w:r>
        <w:rPr>
          <w:rFonts w:asciiTheme="majorBidi" w:hAnsiTheme="majorBidi" w:cstheme="majorBidi"/>
        </w:rPr>
        <w:t>AIT</w:t>
      </w:r>
      <w:r w:rsidRPr="00670332">
        <w:rPr>
          <w:rFonts w:asciiTheme="majorBidi" w:hAnsiTheme="majorBidi" w:cstheme="majorBidi"/>
        </w:rPr>
        <w:t>), which was r = .8</w:t>
      </w:r>
      <w:r>
        <w:rPr>
          <w:rFonts w:asciiTheme="majorBidi" w:hAnsiTheme="majorBidi" w:cstheme="majorBidi"/>
        </w:rPr>
        <w:t>67</w:t>
      </w:r>
      <w:r w:rsidRPr="00670332">
        <w:rPr>
          <w:rFonts w:asciiTheme="majorBidi" w:hAnsiTheme="majorBidi" w:cstheme="majorBidi"/>
        </w:rPr>
        <w:t xml:space="preserve"> (p &lt; .001). This directly confirms H1 and agrees with the literature COVID-19 has shown in mobility and consumption studies where income has been demonstrated as a key enabler of international travel (</w:t>
      </w:r>
      <w:r w:rsidRPr="004B1738">
        <w:rPr>
          <w:rFonts w:asciiTheme="majorBidi" w:hAnsiTheme="majorBidi" w:cstheme="majorBidi"/>
        </w:rPr>
        <w:t>Popp</w:t>
      </w:r>
      <w:r>
        <w:rPr>
          <w:rFonts w:asciiTheme="majorBidi" w:hAnsiTheme="majorBidi" w:cstheme="majorBidi"/>
        </w:rPr>
        <w:t xml:space="preserve"> et al., 2024</w:t>
      </w:r>
      <w:r w:rsidRPr="00670332">
        <w:rPr>
          <w:rFonts w:asciiTheme="majorBidi" w:hAnsiTheme="majorBidi" w:cstheme="majorBidi"/>
        </w:rPr>
        <w:t>).</w:t>
      </w:r>
      <w:r>
        <w:rPr>
          <w:rFonts w:asciiTheme="majorBidi" w:hAnsiTheme="majorBidi" w:cstheme="majorBidi"/>
        </w:rPr>
        <w:t xml:space="preserve"> </w:t>
      </w:r>
      <w:r w:rsidRPr="00670332">
        <w:rPr>
          <w:rFonts w:asciiTheme="majorBidi" w:hAnsiTheme="majorBidi" w:cstheme="majorBidi"/>
        </w:rPr>
        <w:t>Interestingly, the relationship between the complexity of occupations (</w:t>
      </w:r>
      <w:proofErr w:type="spellStart"/>
      <w:r w:rsidRPr="00670332">
        <w:rPr>
          <w:rFonts w:asciiTheme="majorBidi" w:hAnsiTheme="majorBidi" w:cstheme="majorBidi"/>
        </w:rPr>
        <w:t>OC_Total</w:t>
      </w:r>
      <w:proofErr w:type="spellEnd"/>
      <w:r w:rsidRPr="00670332">
        <w:rPr>
          <w:rFonts w:asciiTheme="majorBidi" w:hAnsiTheme="majorBidi" w:cstheme="majorBidi"/>
        </w:rPr>
        <w:t xml:space="preserve">) and economic power was negative but weak (r = -.057*, p &lt;.05). This implies that an increase in the occupational complexity does not always lead to a corresponding increase in the perceived economic capacity. This observation is contrary to the </w:t>
      </w:r>
      <w:r w:rsidRPr="00FC534F">
        <w:rPr>
          <w:rFonts w:asciiTheme="majorBidi" w:hAnsiTheme="majorBidi" w:cstheme="majorBidi"/>
        </w:rPr>
        <w:t>classical human capital theory (Becker, 1993)</w:t>
      </w:r>
      <w:r w:rsidRPr="00670332">
        <w:rPr>
          <w:rFonts w:asciiTheme="majorBidi" w:hAnsiTheme="majorBidi" w:cstheme="majorBidi"/>
        </w:rPr>
        <w:t xml:space="preserve"> that proposes a direct correlation between job complexity and their monetary return. It can also be an indicator of current labour market trends, in which some cognitively challenging jobs (e.g., academia, creative industries) are not paid sufficiently, despite their technical difficulty.</w:t>
      </w:r>
      <w:r>
        <w:rPr>
          <w:rFonts w:asciiTheme="majorBidi" w:hAnsiTheme="majorBidi" w:cstheme="majorBidi"/>
        </w:rPr>
        <w:t xml:space="preserve"> </w:t>
      </w:r>
      <w:r w:rsidRPr="00670332">
        <w:rPr>
          <w:rFonts w:asciiTheme="majorBidi" w:hAnsiTheme="majorBidi" w:cstheme="majorBidi"/>
        </w:rPr>
        <w:t>This reinforces the existing literature (</w:t>
      </w:r>
      <w:r>
        <w:rPr>
          <w:rFonts w:asciiTheme="majorBidi" w:hAnsiTheme="majorBidi" w:cstheme="majorBidi"/>
        </w:rPr>
        <w:t xml:space="preserve">such as, </w:t>
      </w:r>
      <w:r w:rsidRPr="00E819C5">
        <w:rPr>
          <w:rFonts w:asciiTheme="majorBidi" w:hAnsiTheme="majorBidi" w:cstheme="majorBidi"/>
        </w:rPr>
        <w:t>Zhang</w:t>
      </w:r>
      <w:r>
        <w:rPr>
          <w:rFonts w:asciiTheme="majorBidi" w:hAnsiTheme="majorBidi" w:cstheme="majorBidi"/>
        </w:rPr>
        <w:t xml:space="preserve"> et al., 2024; </w:t>
      </w:r>
      <w:r w:rsidRPr="004B1738">
        <w:rPr>
          <w:rFonts w:asciiTheme="majorBidi" w:hAnsiTheme="majorBidi" w:cstheme="majorBidi"/>
        </w:rPr>
        <w:t>Liu-</w:t>
      </w:r>
      <w:proofErr w:type="spellStart"/>
      <w:r w:rsidRPr="004B1738">
        <w:rPr>
          <w:rFonts w:asciiTheme="majorBidi" w:hAnsiTheme="majorBidi" w:cstheme="majorBidi"/>
        </w:rPr>
        <w:t>Lastres</w:t>
      </w:r>
      <w:proofErr w:type="spellEnd"/>
      <w:r>
        <w:rPr>
          <w:rFonts w:asciiTheme="majorBidi" w:hAnsiTheme="majorBidi" w:cstheme="majorBidi"/>
        </w:rPr>
        <w:t xml:space="preserve"> et al., 2025</w:t>
      </w:r>
      <w:r w:rsidRPr="00670332">
        <w:rPr>
          <w:rFonts w:asciiTheme="majorBidi" w:hAnsiTheme="majorBidi" w:cstheme="majorBidi"/>
        </w:rPr>
        <w:t>) stating that occupational prestige is related to the ability to earn income but varied across industry.</w:t>
      </w:r>
    </w:p>
    <w:p w14:paraId="0FA49F8E" w14:textId="77777777" w:rsidR="008459F1" w:rsidRDefault="008459F1" w:rsidP="008459F1">
      <w:pPr>
        <w:spacing w:line="360" w:lineRule="auto"/>
        <w:jc w:val="both"/>
        <w:rPr>
          <w:rFonts w:asciiTheme="majorBidi" w:hAnsiTheme="majorBidi" w:cstheme="majorBidi"/>
        </w:rPr>
      </w:pPr>
      <w:r w:rsidRPr="009D7409">
        <w:rPr>
          <w:rFonts w:asciiTheme="majorBidi" w:hAnsiTheme="majorBidi" w:cstheme="majorBidi"/>
        </w:rPr>
        <w:lastRenderedPageBreak/>
        <w:t xml:space="preserve">Multiple regression model was significant in predicting the dependent variable </w:t>
      </w:r>
      <w:r>
        <w:rPr>
          <w:rFonts w:asciiTheme="majorBidi" w:hAnsiTheme="majorBidi" w:cstheme="majorBidi"/>
        </w:rPr>
        <w:t>AIT</w:t>
      </w:r>
      <w:r w:rsidRPr="009D7409">
        <w:rPr>
          <w:rFonts w:asciiTheme="majorBidi" w:hAnsiTheme="majorBidi" w:cstheme="majorBidi"/>
        </w:rPr>
        <w:t xml:space="preserve"> with R</w:t>
      </w:r>
      <w:r>
        <w:rPr>
          <w:rFonts w:asciiTheme="majorBidi" w:hAnsiTheme="majorBidi" w:cstheme="majorBidi"/>
          <w:vertAlign w:val="superscript"/>
        </w:rPr>
        <w:t>2</w:t>
      </w:r>
      <w:r w:rsidRPr="009D7409">
        <w:rPr>
          <w:rFonts w:asciiTheme="majorBidi" w:hAnsiTheme="majorBidi" w:cstheme="majorBidi"/>
        </w:rPr>
        <w:t xml:space="preserve"> =.7</w:t>
      </w:r>
      <w:r>
        <w:rPr>
          <w:rFonts w:asciiTheme="majorBidi" w:hAnsiTheme="majorBidi" w:cstheme="majorBidi"/>
        </w:rPr>
        <w:t>84</w:t>
      </w:r>
      <w:r w:rsidRPr="009D7409">
        <w:rPr>
          <w:rFonts w:asciiTheme="majorBidi" w:hAnsiTheme="majorBidi" w:cstheme="majorBidi"/>
        </w:rPr>
        <w:t xml:space="preserve"> and a significant F-ratio (F</w:t>
      </w:r>
      <w:r>
        <w:rPr>
          <w:rFonts w:asciiTheme="majorBidi" w:hAnsiTheme="majorBidi" w:cstheme="majorBidi"/>
        </w:rPr>
        <w:t xml:space="preserve"> = 4.249</w:t>
      </w:r>
      <w:r w:rsidRPr="007265D7">
        <w:rPr>
          <w:rFonts w:asciiTheme="majorBidi" w:hAnsiTheme="majorBidi" w:cstheme="majorBidi"/>
        </w:rPr>
        <w:t>, p &lt; .001</w:t>
      </w:r>
      <w:r w:rsidRPr="009D7409">
        <w:rPr>
          <w:rFonts w:asciiTheme="majorBidi" w:hAnsiTheme="majorBidi" w:cstheme="majorBidi"/>
        </w:rPr>
        <w:t>). There were two exceptional predictors:</w:t>
      </w:r>
      <w:r>
        <w:rPr>
          <w:rFonts w:asciiTheme="majorBidi" w:hAnsiTheme="majorBidi" w:cstheme="majorBidi"/>
        </w:rPr>
        <w:t xml:space="preserve"> </w:t>
      </w:r>
      <w:r w:rsidRPr="009D7409">
        <w:rPr>
          <w:rFonts w:asciiTheme="majorBidi" w:hAnsiTheme="majorBidi" w:cstheme="majorBidi"/>
        </w:rPr>
        <w:t>Economic power (</w:t>
      </w:r>
      <w:proofErr w:type="spellStart"/>
      <w:r w:rsidRPr="009D7409">
        <w:rPr>
          <w:rFonts w:asciiTheme="majorBidi" w:hAnsiTheme="majorBidi" w:cstheme="majorBidi"/>
        </w:rPr>
        <w:t>EP_Total</w:t>
      </w:r>
      <w:proofErr w:type="spellEnd"/>
      <w:r w:rsidRPr="009D7409">
        <w:rPr>
          <w:rFonts w:asciiTheme="majorBidi" w:hAnsiTheme="majorBidi" w:cstheme="majorBidi"/>
        </w:rPr>
        <w:t>)</w:t>
      </w:r>
      <w:r>
        <w:rPr>
          <w:rFonts w:asciiTheme="majorBidi" w:hAnsiTheme="majorBidi" w:cstheme="majorBidi"/>
        </w:rPr>
        <w:t xml:space="preserve"> (β</w:t>
      </w:r>
      <w:r w:rsidRPr="007265D7">
        <w:rPr>
          <w:rFonts w:asciiTheme="majorBidi" w:hAnsiTheme="majorBidi" w:cstheme="majorBidi"/>
        </w:rPr>
        <w:t xml:space="preserve"> = 0.417, p </w:t>
      </w:r>
      <w:r>
        <w:rPr>
          <w:rFonts w:asciiTheme="majorBidi" w:hAnsiTheme="majorBidi" w:cstheme="majorBidi"/>
        </w:rPr>
        <w:t xml:space="preserve">= 0.02), </w:t>
      </w:r>
      <w:r w:rsidRPr="009D7409">
        <w:rPr>
          <w:rFonts w:asciiTheme="majorBidi" w:hAnsiTheme="majorBidi" w:cstheme="majorBidi"/>
        </w:rPr>
        <w:t>Occupational complexity (</w:t>
      </w:r>
      <w:proofErr w:type="spellStart"/>
      <w:r w:rsidRPr="009D7409">
        <w:rPr>
          <w:rFonts w:asciiTheme="majorBidi" w:hAnsiTheme="majorBidi" w:cstheme="majorBidi"/>
        </w:rPr>
        <w:t>OC_Total</w:t>
      </w:r>
      <w:proofErr w:type="spellEnd"/>
      <w:r>
        <w:rPr>
          <w:rFonts w:asciiTheme="majorBidi" w:hAnsiTheme="majorBidi" w:cstheme="majorBidi"/>
        </w:rPr>
        <w:t>) (β</w:t>
      </w:r>
      <w:r w:rsidRPr="007265D7">
        <w:rPr>
          <w:rFonts w:asciiTheme="majorBidi" w:hAnsiTheme="majorBidi" w:cstheme="majorBidi"/>
        </w:rPr>
        <w:t xml:space="preserve"> = 0.211, p = .01</w:t>
      </w:r>
      <w:r>
        <w:rPr>
          <w:rFonts w:asciiTheme="majorBidi" w:hAnsiTheme="majorBidi" w:cstheme="majorBidi"/>
        </w:rPr>
        <w:t xml:space="preserve">8). </w:t>
      </w:r>
      <w:r w:rsidRPr="009D7409">
        <w:rPr>
          <w:rFonts w:asciiTheme="majorBidi" w:hAnsiTheme="majorBidi" w:cstheme="majorBidi"/>
        </w:rPr>
        <w:t xml:space="preserve">These findings affirm H1 and H2. Perceived travel ability was most affected by income-related variables, which further confirm the role of material capital as the predominant determinant of international movement. This resonates with the observations of </w:t>
      </w:r>
      <w:r>
        <w:rPr>
          <w:rFonts w:asciiTheme="majorBidi" w:hAnsiTheme="majorBidi" w:cstheme="majorBidi"/>
        </w:rPr>
        <w:t>Yu et al. (2024)</w:t>
      </w:r>
      <w:r w:rsidRPr="009D7409">
        <w:rPr>
          <w:rFonts w:asciiTheme="majorBidi" w:hAnsiTheme="majorBidi" w:cstheme="majorBidi"/>
        </w:rPr>
        <w:t xml:space="preserve"> who indicated that the aspect of growing global inequality has been translated in patterns of travel, in which travel among the middle classes cannot be assumed to be affordable.</w:t>
      </w:r>
      <w:r>
        <w:rPr>
          <w:rFonts w:asciiTheme="majorBidi" w:hAnsiTheme="majorBidi" w:cstheme="majorBidi"/>
        </w:rPr>
        <w:t xml:space="preserve"> </w:t>
      </w:r>
      <w:r w:rsidRPr="009D79AF">
        <w:rPr>
          <w:rFonts w:asciiTheme="majorBidi" w:hAnsiTheme="majorBidi" w:cstheme="majorBidi"/>
        </w:rPr>
        <w:t xml:space="preserve">The importance in occupational complexity despite income control shows that occupation or the kind of occupational and its intellectual requirements, status and flexibility level contributes further to travel access. It complements a recent study by </w:t>
      </w:r>
      <w:r w:rsidRPr="00FC0871">
        <w:rPr>
          <w:rFonts w:asciiTheme="majorBidi" w:hAnsiTheme="majorBidi" w:cstheme="majorBidi"/>
        </w:rPr>
        <w:t>Hussain</w:t>
      </w:r>
      <w:r>
        <w:rPr>
          <w:rFonts w:asciiTheme="majorBidi" w:hAnsiTheme="majorBidi" w:cstheme="majorBidi"/>
        </w:rPr>
        <w:t xml:space="preserve"> et al. (2024),</w:t>
      </w:r>
      <w:r w:rsidRPr="009D79AF">
        <w:rPr>
          <w:rFonts w:asciiTheme="majorBidi" w:hAnsiTheme="majorBidi" w:cstheme="majorBidi"/>
        </w:rPr>
        <w:t xml:space="preserve"> which holds that money alone does not define mobility; rather, it shapes mobility in relation to occupational affordances, social capital, and institutional assistance.</w:t>
      </w:r>
      <w:r>
        <w:rPr>
          <w:rFonts w:asciiTheme="majorBidi" w:hAnsiTheme="majorBidi" w:cstheme="majorBidi"/>
        </w:rPr>
        <w:t xml:space="preserve"> </w:t>
      </w:r>
      <w:r w:rsidRPr="009D79AF">
        <w:rPr>
          <w:rFonts w:asciiTheme="majorBidi" w:hAnsiTheme="majorBidi" w:cstheme="majorBidi"/>
        </w:rPr>
        <w:t xml:space="preserve">These results are congruent with the existing evidence of </w:t>
      </w:r>
      <w:proofErr w:type="spellStart"/>
      <w:proofErr w:type="gramStart"/>
      <w:r w:rsidRPr="00FC0871">
        <w:rPr>
          <w:rFonts w:asciiTheme="majorBidi" w:hAnsiTheme="majorBidi" w:cstheme="majorBidi"/>
        </w:rPr>
        <w:t>Bazak</w:t>
      </w:r>
      <w:proofErr w:type="spellEnd"/>
      <w:r w:rsidRPr="009D79AF">
        <w:rPr>
          <w:rFonts w:asciiTheme="majorBidi" w:hAnsiTheme="majorBidi" w:cstheme="majorBidi"/>
        </w:rPr>
        <w:t xml:space="preserve"> </w:t>
      </w:r>
      <w:r>
        <w:rPr>
          <w:rFonts w:asciiTheme="majorBidi" w:hAnsiTheme="majorBidi" w:cstheme="majorBidi"/>
        </w:rPr>
        <w:t xml:space="preserve"> et al.</w:t>
      </w:r>
      <w:proofErr w:type="gramEnd"/>
      <w:r>
        <w:rPr>
          <w:rFonts w:asciiTheme="majorBidi" w:hAnsiTheme="majorBidi" w:cstheme="majorBidi"/>
        </w:rPr>
        <w:t xml:space="preserve"> (2024) </w:t>
      </w:r>
      <w:r w:rsidRPr="009D79AF">
        <w:rPr>
          <w:rFonts w:asciiTheme="majorBidi" w:hAnsiTheme="majorBidi" w:cstheme="majorBidi"/>
        </w:rPr>
        <w:t>who demonstrated that structural access, such as documentation and travel literacy, also limits travel despite the availability of financial resources.</w:t>
      </w:r>
    </w:p>
    <w:p w14:paraId="3989C328" w14:textId="77777777" w:rsidR="008459F1" w:rsidRDefault="008459F1" w:rsidP="008459F1">
      <w:pPr>
        <w:spacing w:line="360" w:lineRule="auto"/>
        <w:jc w:val="both"/>
        <w:rPr>
          <w:rFonts w:asciiTheme="majorBidi" w:hAnsiTheme="majorBidi" w:cstheme="majorBidi"/>
        </w:rPr>
      </w:pPr>
      <w:r w:rsidRPr="00BD5CE7">
        <w:rPr>
          <w:rFonts w:asciiTheme="majorBidi" w:hAnsiTheme="majorBidi" w:cstheme="majorBidi"/>
        </w:rPr>
        <w:t>One of the most valuable contributions made by the study concerns the moderation analysis. The occupational complexity (</w:t>
      </w:r>
      <w:proofErr w:type="spellStart"/>
      <w:r w:rsidRPr="00BD5CE7">
        <w:rPr>
          <w:rFonts w:asciiTheme="majorBidi" w:hAnsiTheme="majorBidi" w:cstheme="majorBidi"/>
        </w:rPr>
        <w:t>OC_Total</w:t>
      </w:r>
      <w:proofErr w:type="spellEnd"/>
      <w:r w:rsidRPr="00BD5CE7">
        <w:rPr>
          <w:rFonts w:asciiTheme="majorBidi" w:hAnsiTheme="majorBidi" w:cstheme="majorBidi"/>
        </w:rPr>
        <w:t>) moderating the association between economic power (</w:t>
      </w:r>
      <w:proofErr w:type="spellStart"/>
      <w:r w:rsidRPr="00BD5CE7">
        <w:rPr>
          <w:rFonts w:asciiTheme="majorBidi" w:hAnsiTheme="majorBidi" w:cstheme="majorBidi"/>
        </w:rPr>
        <w:t>EP_Total</w:t>
      </w:r>
      <w:proofErr w:type="spellEnd"/>
      <w:r w:rsidRPr="00BD5CE7">
        <w:rPr>
          <w:rFonts w:asciiTheme="majorBidi" w:hAnsiTheme="majorBidi" w:cstheme="majorBidi"/>
        </w:rPr>
        <w:t xml:space="preserve">) and travel affordability (defined as the product </w:t>
      </w:r>
      <w:proofErr w:type="spellStart"/>
      <w:r w:rsidRPr="00BD5CE7">
        <w:rPr>
          <w:rFonts w:asciiTheme="majorBidi" w:hAnsiTheme="majorBidi" w:cstheme="majorBidi"/>
        </w:rPr>
        <w:t>EP_</w:t>
      </w:r>
      <w:proofErr w:type="gramStart"/>
      <w:r w:rsidRPr="00BD5CE7">
        <w:rPr>
          <w:rFonts w:asciiTheme="majorBidi" w:hAnsiTheme="majorBidi" w:cstheme="majorBidi"/>
        </w:rPr>
        <w:t>Total</w:t>
      </w:r>
      <w:proofErr w:type="spellEnd"/>
      <w:r w:rsidRPr="00BD5CE7">
        <w:rPr>
          <w:rFonts w:asciiTheme="majorBidi" w:hAnsiTheme="majorBidi" w:cstheme="majorBidi"/>
        </w:rPr>
        <w:t xml:space="preserve"> </w:t>
      </w:r>
      <w:r>
        <w:rPr>
          <w:rFonts w:asciiTheme="majorBidi" w:hAnsiTheme="majorBidi" w:cstheme="majorBidi"/>
        </w:rPr>
        <w:t xml:space="preserve"> and</w:t>
      </w:r>
      <w:proofErr w:type="gramEnd"/>
      <w:r w:rsidRPr="00BD5CE7">
        <w:rPr>
          <w:rFonts w:asciiTheme="majorBidi" w:hAnsiTheme="majorBidi" w:cstheme="majorBidi"/>
        </w:rPr>
        <w:t xml:space="preserve"> </w:t>
      </w:r>
      <w:proofErr w:type="spellStart"/>
      <w:r w:rsidRPr="00BD5CE7">
        <w:rPr>
          <w:rFonts w:asciiTheme="majorBidi" w:hAnsiTheme="majorBidi" w:cstheme="majorBidi"/>
        </w:rPr>
        <w:t>OC_Total</w:t>
      </w:r>
      <w:proofErr w:type="spellEnd"/>
      <w:r w:rsidRPr="00BD5CE7">
        <w:rPr>
          <w:rFonts w:asciiTheme="majorBidi" w:hAnsiTheme="majorBidi" w:cstheme="majorBidi"/>
        </w:rPr>
        <w:t>) was significant (</w:t>
      </w:r>
      <w:r>
        <w:rPr>
          <w:rFonts w:asciiTheme="majorBidi" w:hAnsiTheme="majorBidi" w:cstheme="majorBidi"/>
        </w:rPr>
        <w:t>β</w:t>
      </w:r>
      <w:r w:rsidRPr="00E86452">
        <w:rPr>
          <w:rFonts w:asciiTheme="majorBidi" w:hAnsiTheme="majorBidi" w:cstheme="majorBidi"/>
        </w:rPr>
        <w:t xml:space="preserve"> =</w:t>
      </w:r>
      <w:r>
        <w:rPr>
          <w:rFonts w:asciiTheme="majorBidi" w:hAnsiTheme="majorBidi" w:cstheme="majorBidi"/>
        </w:rPr>
        <w:t xml:space="preserve"> </w:t>
      </w:r>
      <w:r w:rsidRPr="00E86452">
        <w:rPr>
          <w:rFonts w:asciiTheme="majorBidi" w:hAnsiTheme="majorBidi" w:cstheme="majorBidi"/>
        </w:rPr>
        <w:t>.108, p</w:t>
      </w:r>
      <w:r>
        <w:rPr>
          <w:rFonts w:asciiTheme="majorBidi" w:hAnsiTheme="majorBidi" w:cstheme="majorBidi"/>
        </w:rPr>
        <w:t xml:space="preserve"> </w:t>
      </w:r>
      <w:r w:rsidRPr="00E86452">
        <w:rPr>
          <w:rFonts w:asciiTheme="majorBidi" w:hAnsiTheme="majorBidi" w:cstheme="majorBidi"/>
        </w:rPr>
        <w:t>=</w:t>
      </w:r>
      <w:r>
        <w:rPr>
          <w:rFonts w:asciiTheme="majorBidi" w:hAnsiTheme="majorBidi" w:cstheme="majorBidi"/>
        </w:rPr>
        <w:t xml:space="preserve"> </w:t>
      </w:r>
      <w:r w:rsidRPr="00E86452">
        <w:rPr>
          <w:rFonts w:asciiTheme="majorBidi" w:hAnsiTheme="majorBidi" w:cstheme="majorBidi"/>
        </w:rPr>
        <w:t>.0067</w:t>
      </w:r>
      <w:r w:rsidRPr="00BD5CE7">
        <w:rPr>
          <w:rFonts w:asciiTheme="majorBidi" w:hAnsiTheme="majorBidi" w:cstheme="majorBidi"/>
        </w:rPr>
        <w:t xml:space="preserve">), which </w:t>
      </w:r>
      <w:r>
        <w:rPr>
          <w:rFonts w:asciiTheme="majorBidi" w:hAnsiTheme="majorBidi" w:cstheme="majorBidi"/>
        </w:rPr>
        <w:t xml:space="preserve">indicates that </w:t>
      </w:r>
      <w:r w:rsidRPr="00BD5CE7">
        <w:rPr>
          <w:rFonts w:asciiTheme="majorBidi" w:hAnsiTheme="majorBidi" w:cstheme="majorBidi"/>
        </w:rPr>
        <w:t>occupational complexity moderates the relation between economic power and travel affordability.</w:t>
      </w:r>
      <w:r>
        <w:rPr>
          <w:rFonts w:asciiTheme="majorBidi" w:hAnsiTheme="majorBidi" w:cstheme="majorBidi"/>
        </w:rPr>
        <w:t xml:space="preserve"> </w:t>
      </w:r>
      <w:r w:rsidRPr="00BD5CE7">
        <w:rPr>
          <w:rFonts w:asciiTheme="majorBidi" w:hAnsiTheme="majorBidi" w:cstheme="majorBidi"/>
        </w:rPr>
        <w:t xml:space="preserve">This suggests that income will turn into international travel more readily when the individual is more occupied in a more complex occupation. These results are in line with the claim by </w:t>
      </w:r>
      <w:r>
        <w:rPr>
          <w:rFonts w:asciiTheme="majorBidi" w:hAnsiTheme="majorBidi" w:cstheme="majorBidi"/>
        </w:rPr>
        <w:t>Kim et al. (2025)</w:t>
      </w:r>
      <w:r w:rsidRPr="00BD5CE7">
        <w:rPr>
          <w:rFonts w:asciiTheme="majorBidi" w:hAnsiTheme="majorBidi" w:cstheme="majorBidi"/>
        </w:rPr>
        <w:t xml:space="preserve"> that occupational positions not only define financial means at their disposal but also provide the structural autonomy and social legitimacy to travel. In thought-intensive occupations, including managers, engineers, or policy experts, travel reimbursed by the job, flexible </w:t>
      </w:r>
      <w:proofErr w:type="spellStart"/>
      <w:r w:rsidRPr="00BD5CE7">
        <w:rPr>
          <w:rFonts w:asciiTheme="majorBidi" w:hAnsiTheme="majorBidi" w:cstheme="majorBidi"/>
        </w:rPr>
        <w:t>labor</w:t>
      </w:r>
      <w:proofErr w:type="spellEnd"/>
      <w:r w:rsidRPr="00BD5CE7">
        <w:rPr>
          <w:rFonts w:asciiTheme="majorBidi" w:hAnsiTheme="majorBidi" w:cstheme="majorBidi"/>
        </w:rPr>
        <w:t xml:space="preserve"> relations, or broader global networks can similarly be of assistance.</w:t>
      </w:r>
      <w:r>
        <w:rPr>
          <w:rFonts w:asciiTheme="majorBidi" w:hAnsiTheme="majorBidi" w:cstheme="majorBidi"/>
        </w:rPr>
        <w:t xml:space="preserve"> </w:t>
      </w:r>
    </w:p>
    <w:p w14:paraId="7510B4B0" w14:textId="77777777" w:rsidR="008459F1" w:rsidRPr="00BD5CE7" w:rsidRDefault="008459F1" w:rsidP="008459F1">
      <w:pPr>
        <w:spacing w:line="360" w:lineRule="auto"/>
        <w:jc w:val="both"/>
        <w:rPr>
          <w:rFonts w:asciiTheme="majorBidi" w:hAnsiTheme="majorBidi" w:cstheme="majorBidi"/>
          <w:b/>
          <w:bCs/>
          <w:i/>
          <w:iCs/>
        </w:rPr>
      </w:pPr>
      <w:r w:rsidRPr="00BD5CE7">
        <w:rPr>
          <w:rFonts w:asciiTheme="majorBidi" w:hAnsiTheme="majorBidi" w:cstheme="majorBidi"/>
          <w:b/>
          <w:bCs/>
          <w:i/>
          <w:iCs/>
        </w:rPr>
        <w:t>Implications of the study</w:t>
      </w:r>
    </w:p>
    <w:p w14:paraId="1CF0B801" w14:textId="77777777" w:rsidR="008459F1" w:rsidRDefault="008459F1" w:rsidP="008459F1">
      <w:pPr>
        <w:spacing w:line="360" w:lineRule="auto"/>
        <w:jc w:val="both"/>
        <w:rPr>
          <w:rFonts w:asciiTheme="majorBidi" w:hAnsiTheme="majorBidi" w:cstheme="majorBidi"/>
          <w:u w:val="single"/>
        </w:rPr>
      </w:pPr>
      <w:r>
        <w:rPr>
          <w:rFonts w:asciiTheme="majorBidi" w:hAnsiTheme="majorBidi" w:cstheme="majorBidi"/>
          <w:u w:val="single"/>
        </w:rPr>
        <w:t xml:space="preserve">Theoretical </w:t>
      </w:r>
    </w:p>
    <w:p w14:paraId="59CFBFC6" w14:textId="77777777" w:rsidR="008459F1" w:rsidRDefault="008459F1" w:rsidP="008459F1">
      <w:pPr>
        <w:spacing w:line="360" w:lineRule="auto"/>
        <w:jc w:val="both"/>
        <w:rPr>
          <w:rFonts w:asciiTheme="majorBidi" w:hAnsiTheme="majorBidi" w:cstheme="majorBidi"/>
        </w:rPr>
      </w:pPr>
      <w:r w:rsidRPr="00BD5CE7">
        <w:rPr>
          <w:rFonts w:asciiTheme="majorBidi" w:hAnsiTheme="majorBidi" w:cstheme="majorBidi"/>
        </w:rPr>
        <w:t xml:space="preserve">This work contributes to a number of theoretical perspectives in mobility sociology, human capital theory, and global stratification during the period of digital globalization. Most impressively, that the economic power has keen and statistically significant influence on the </w:t>
      </w:r>
      <w:r w:rsidRPr="00BD5CE7">
        <w:rPr>
          <w:rFonts w:asciiTheme="majorBidi" w:hAnsiTheme="majorBidi" w:cstheme="majorBidi"/>
        </w:rPr>
        <w:lastRenderedPageBreak/>
        <w:t>perceived travel affordability is not unexpected, considering the neo-materialist theories (</w:t>
      </w:r>
      <w:r w:rsidRPr="00E819C5">
        <w:rPr>
          <w:rFonts w:asciiTheme="majorBidi" w:hAnsiTheme="majorBidi" w:cstheme="majorBidi"/>
        </w:rPr>
        <w:t>Moon and Lee, 2025</w:t>
      </w:r>
      <w:r w:rsidRPr="00BD5CE7">
        <w:rPr>
          <w:rFonts w:asciiTheme="majorBidi" w:hAnsiTheme="majorBidi" w:cstheme="majorBidi"/>
        </w:rPr>
        <w:t xml:space="preserve">), which argue that the most predictable and enabling aspect in international consumption patterns, at least in leisure travel, is disposable income. In this conceptualization, economic capital has direct and immediate effects on engagement in globally </w:t>
      </w:r>
      <w:r>
        <w:rPr>
          <w:rFonts w:asciiTheme="majorBidi" w:hAnsiTheme="majorBidi" w:cstheme="majorBidi"/>
        </w:rPr>
        <w:t>changing</w:t>
      </w:r>
      <w:r w:rsidRPr="00BD5CE7">
        <w:rPr>
          <w:rFonts w:asciiTheme="majorBidi" w:hAnsiTheme="majorBidi" w:cstheme="majorBidi"/>
        </w:rPr>
        <w:t xml:space="preserve"> lifestyles.</w:t>
      </w:r>
    </w:p>
    <w:p w14:paraId="11FCFEBA" w14:textId="77777777" w:rsidR="008459F1" w:rsidRDefault="008459F1" w:rsidP="008459F1">
      <w:pPr>
        <w:spacing w:line="360" w:lineRule="auto"/>
        <w:jc w:val="both"/>
        <w:rPr>
          <w:rFonts w:asciiTheme="majorBidi" w:hAnsiTheme="majorBidi" w:cstheme="majorBidi"/>
        </w:rPr>
      </w:pPr>
      <w:r w:rsidRPr="00F244CD">
        <w:rPr>
          <w:rFonts w:asciiTheme="majorBidi" w:hAnsiTheme="majorBidi" w:cstheme="majorBidi"/>
        </w:rPr>
        <w:t>Nevertheless, the fact that occupational complexity increases predictive value additional to income brings in a critical twist. This is in line with the capital theory of Bourdieu (1986) especially the functions of symbolic and social capital. Economic status is not the only possible meaning of occupational roles: they may imply the source of power, prestige, and access to institutional resources which, in turn, determine the ability to travel. As an example, conceptually challenging work can provide increased job control, flexibility, work-related travel accommodation which supports the idea that both economic and social positioning are synergistic.</w:t>
      </w:r>
    </w:p>
    <w:p w14:paraId="31C4D959" w14:textId="77777777" w:rsidR="008459F1" w:rsidRDefault="008459F1" w:rsidP="008459F1">
      <w:pPr>
        <w:spacing w:line="360" w:lineRule="auto"/>
        <w:jc w:val="both"/>
        <w:rPr>
          <w:rFonts w:asciiTheme="majorBidi" w:hAnsiTheme="majorBidi" w:cstheme="majorBidi"/>
        </w:rPr>
      </w:pPr>
      <w:r w:rsidRPr="00F244CD">
        <w:rPr>
          <w:rFonts w:asciiTheme="majorBidi" w:hAnsiTheme="majorBidi" w:cstheme="majorBidi"/>
        </w:rPr>
        <w:t>The notable moderation effect (that the association between income and travel affordability is enhanced by more complex occupations) also confirms the concept of habitus provided by Bourdieu. In other words, the workplace conditions experienced by different people dictate their internalized understanding, of what modes of consumption (such as travel to foreign destinations) are acceptable, feasible, or even normal based on their social positioning.</w:t>
      </w:r>
    </w:p>
    <w:p w14:paraId="67D2F283" w14:textId="77777777" w:rsidR="008459F1" w:rsidRPr="00BD5CE7" w:rsidRDefault="008459F1" w:rsidP="008459F1">
      <w:pPr>
        <w:spacing w:line="360" w:lineRule="auto"/>
        <w:jc w:val="both"/>
        <w:rPr>
          <w:rFonts w:asciiTheme="majorBidi" w:hAnsiTheme="majorBidi" w:cstheme="majorBidi"/>
        </w:rPr>
      </w:pPr>
      <w:r w:rsidRPr="00F244CD">
        <w:rPr>
          <w:rFonts w:asciiTheme="majorBidi" w:hAnsiTheme="majorBidi" w:cstheme="majorBidi"/>
        </w:rPr>
        <w:t>Moreover, these results aid theories of digital stratification and negative incorporation (</w:t>
      </w:r>
      <w:r w:rsidRPr="00E819C5">
        <w:rPr>
          <w:rFonts w:asciiTheme="majorBidi" w:hAnsiTheme="majorBidi" w:cstheme="majorBidi"/>
        </w:rPr>
        <w:t>Bai and Wang, 202</w:t>
      </w:r>
      <w:r>
        <w:rPr>
          <w:rFonts w:asciiTheme="majorBidi" w:hAnsiTheme="majorBidi" w:cstheme="majorBidi"/>
        </w:rPr>
        <w:t>4</w:t>
      </w:r>
      <w:r w:rsidRPr="00F244CD">
        <w:rPr>
          <w:rFonts w:asciiTheme="majorBidi" w:hAnsiTheme="majorBidi" w:cstheme="majorBidi"/>
        </w:rPr>
        <w:t>). Individuals with high-complexity jobs have a higher likelihood of having digital capital such as online research ability, access to booking codes, and knowledge of travel hacks or discounts. This digital fluency can break down both practical and psychological impediments to travel, which would strengthen occupationally based inequalities beyond the job.</w:t>
      </w:r>
    </w:p>
    <w:p w14:paraId="22AE7ADC" w14:textId="77777777" w:rsidR="008459F1" w:rsidRPr="00BD5CE7" w:rsidRDefault="008459F1" w:rsidP="008459F1">
      <w:pPr>
        <w:spacing w:line="360" w:lineRule="auto"/>
        <w:jc w:val="both"/>
        <w:rPr>
          <w:rFonts w:asciiTheme="majorBidi" w:hAnsiTheme="majorBidi" w:cstheme="majorBidi"/>
          <w:u w:val="single"/>
        </w:rPr>
      </w:pPr>
      <w:r>
        <w:rPr>
          <w:rFonts w:asciiTheme="majorBidi" w:hAnsiTheme="majorBidi" w:cstheme="majorBidi"/>
          <w:u w:val="single"/>
        </w:rPr>
        <w:t xml:space="preserve">Practical </w:t>
      </w:r>
    </w:p>
    <w:p w14:paraId="1AAC19A6" w14:textId="77777777" w:rsidR="008459F1" w:rsidRDefault="008459F1" w:rsidP="008459F1">
      <w:pPr>
        <w:spacing w:line="360" w:lineRule="auto"/>
        <w:jc w:val="both"/>
        <w:rPr>
          <w:rFonts w:asciiTheme="majorBidi" w:hAnsiTheme="majorBidi" w:cstheme="majorBidi"/>
        </w:rPr>
      </w:pPr>
      <w:r w:rsidRPr="00F244CD">
        <w:rPr>
          <w:rFonts w:asciiTheme="majorBidi" w:hAnsiTheme="majorBidi" w:cstheme="majorBidi"/>
        </w:rPr>
        <w:t xml:space="preserve">The research emphasizes that income and complexity of occupation should determine international travel availability, and that interventions should focus on disadvantaged segments when it comes to equal mobility. Policymakers should be aware that these old obstacles, which include the expense of visas and visa authorization procedures, fall particularly hard on low-pay, low-autonomy workers. Facilitating visa procedures, eliminating or mitigating visa fees and negotiating reciprocity of movement of under-served worker categories may contribute to promoting exclusion. The fact that working people may invest in international exchange </w:t>
      </w:r>
      <w:r w:rsidRPr="00F244CD">
        <w:rPr>
          <w:rFonts w:asciiTheme="majorBidi" w:hAnsiTheme="majorBidi" w:cstheme="majorBidi"/>
        </w:rPr>
        <w:lastRenderedPageBreak/>
        <w:t>programmes and training programmes specific to blue-collar and service sector workers (as opposed to white-collar professionals) is also going to assist in closing exposure gaps. Upskilling pathways, such as vocational education, language training, and digital literacy, could benefit because of policies boosting access to globally mobile jobs. These programs would not only help fostering mobility as a social right but also economic involvement in the globalized economies. Governments able to deal with mobility inequality in a structural way, will be able to limit the re-creation of class-based traveling habits and promote inclusiveness of international cultural, educational, and professional experiences.</w:t>
      </w:r>
    </w:p>
    <w:p w14:paraId="5760B2F8" w14:textId="77777777" w:rsidR="008459F1" w:rsidRDefault="008459F1" w:rsidP="008459F1">
      <w:pPr>
        <w:spacing w:line="360" w:lineRule="auto"/>
        <w:jc w:val="both"/>
        <w:rPr>
          <w:rFonts w:asciiTheme="majorBidi" w:hAnsiTheme="majorBidi" w:cstheme="majorBidi"/>
        </w:rPr>
      </w:pPr>
      <w:r w:rsidRPr="00F244CD">
        <w:rPr>
          <w:rFonts w:asciiTheme="majorBidi" w:hAnsiTheme="majorBidi" w:cstheme="majorBidi"/>
        </w:rPr>
        <w:t>The results indicate that employers have a significant role of facilitating or restricting international mobility of its employees. Companies must review the division of work-related travel by roles and start opening global opportunities to more employees beyond senior or client-facing roles. As an example, introducing remote work abroad programs, global rotational schemes, or travel allowances can enhance international exposure of the employees and workplace satisfaction. Moreover, adopting internal mobility and skill-building routes, e.g., project-based learning, cross-country mentorships or international certifications, may increase employee confidence and overseas eligibility indirectly. The strategies contribute to not only developing its workforce but also acting as competitive edge to win and retain talents, particularly in the young generation who embrace experiential and global learning.</w:t>
      </w:r>
    </w:p>
    <w:p w14:paraId="33BEC0BE" w14:textId="77777777" w:rsidR="008459F1" w:rsidRDefault="008459F1" w:rsidP="008459F1">
      <w:pPr>
        <w:spacing w:line="360" w:lineRule="auto"/>
        <w:jc w:val="both"/>
        <w:rPr>
          <w:rFonts w:asciiTheme="majorBidi" w:hAnsiTheme="majorBidi" w:cstheme="majorBidi"/>
        </w:rPr>
      </w:pPr>
      <w:r w:rsidRPr="00A50010">
        <w:rPr>
          <w:rFonts w:asciiTheme="majorBidi" w:hAnsiTheme="majorBidi" w:cstheme="majorBidi"/>
        </w:rPr>
        <w:t xml:space="preserve">The moderation findings of this study propose new intellectual explorations into the theme of mobility inequality in the academic radar. Future studies ought to use longitudinal designs to study the influence of variation in occupational, income, or education on international travel </w:t>
      </w:r>
      <w:proofErr w:type="spellStart"/>
      <w:r w:rsidRPr="00A50010">
        <w:rPr>
          <w:rFonts w:asciiTheme="majorBidi" w:hAnsiTheme="majorBidi" w:cstheme="majorBidi"/>
        </w:rPr>
        <w:t>behavior</w:t>
      </w:r>
      <w:proofErr w:type="spellEnd"/>
      <w:r w:rsidRPr="00A50010">
        <w:rPr>
          <w:rFonts w:asciiTheme="majorBidi" w:hAnsiTheme="majorBidi" w:cstheme="majorBidi"/>
        </w:rPr>
        <w:t xml:space="preserve"> across the life course. This type of data would enlighten on whether access to mobility is steady or depends on career fluctuation. It could also be interesting to conduct cross-cultural comparisons across countries with different visa policy and occupational structure to determine how structural conditions advance or suppress these effects worldwide. To improve the scope, one can encompass the moderating variables such as gender, caring experience, and digital literacy. These factors can help us narrow down the idea of travel access disparities. An example of this is that the care giving responsibilities might cancel out the benefits of the mobility given by the income or occupation. Finally, researchers need to understand how digital tools (e.g., online booking solutions, virtual visas) equalize or maintain access to international traveling especially to the emerging professionals.</w:t>
      </w:r>
    </w:p>
    <w:p w14:paraId="37F4FB09" w14:textId="77777777" w:rsidR="008459F1" w:rsidRDefault="008459F1" w:rsidP="008459F1">
      <w:pPr>
        <w:spacing w:line="360" w:lineRule="auto"/>
        <w:jc w:val="both"/>
        <w:rPr>
          <w:rFonts w:asciiTheme="majorBidi" w:hAnsiTheme="majorBidi" w:cstheme="majorBidi"/>
          <w:b/>
          <w:bCs/>
          <w:i/>
          <w:iCs/>
        </w:rPr>
      </w:pPr>
      <w:r>
        <w:rPr>
          <w:rFonts w:asciiTheme="majorBidi" w:hAnsiTheme="majorBidi" w:cstheme="majorBidi"/>
          <w:b/>
          <w:bCs/>
          <w:i/>
          <w:iCs/>
        </w:rPr>
        <w:t>Limitations</w:t>
      </w:r>
    </w:p>
    <w:p w14:paraId="4C4F6315" w14:textId="77777777" w:rsidR="008459F1" w:rsidRDefault="008459F1" w:rsidP="008459F1">
      <w:pPr>
        <w:spacing w:line="360" w:lineRule="auto"/>
        <w:jc w:val="both"/>
        <w:rPr>
          <w:rFonts w:asciiTheme="majorBidi" w:hAnsiTheme="majorBidi" w:cstheme="majorBidi"/>
        </w:rPr>
      </w:pPr>
      <w:r w:rsidRPr="00A50010">
        <w:rPr>
          <w:rFonts w:asciiTheme="majorBidi" w:hAnsiTheme="majorBidi" w:cstheme="majorBidi"/>
        </w:rPr>
        <w:lastRenderedPageBreak/>
        <w:t xml:space="preserve">The most important limitation was the lack of the actual travel frequency data that was planned to be the key dependent variable. Analysis was based on </w:t>
      </w:r>
      <w:r>
        <w:rPr>
          <w:rFonts w:asciiTheme="majorBidi" w:hAnsiTheme="majorBidi" w:cstheme="majorBidi"/>
        </w:rPr>
        <w:t>AIT</w:t>
      </w:r>
      <w:r w:rsidRPr="00A50010">
        <w:rPr>
          <w:rFonts w:asciiTheme="majorBidi" w:hAnsiTheme="majorBidi" w:cstheme="majorBidi"/>
        </w:rPr>
        <w:t xml:space="preserve"> as an indicator of perceived affordability of international travel instead of actual </w:t>
      </w:r>
      <w:proofErr w:type="spellStart"/>
      <w:r w:rsidRPr="00A50010">
        <w:rPr>
          <w:rFonts w:asciiTheme="majorBidi" w:hAnsiTheme="majorBidi" w:cstheme="majorBidi"/>
        </w:rPr>
        <w:t>behavior</w:t>
      </w:r>
      <w:proofErr w:type="spellEnd"/>
      <w:r w:rsidRPr="00A50010">
        <w:rPr>
          <w:rFonts w:asciiTheme="majorBidi" w:hAnsiTheme="majorBidi" w:cstheme="majorBidi"/>
        </w:rPr>
        <w:t xml:space="preserve"> due to the unavailability of responses. Although the measure offers valuable data on access and intent, it curtails testing the research hypotheses (H1 and H2) in </w:t>
      </w:r>
      <w:proofErr w:type="spellStart"/>
      <w:r w:rsidRPr="00A50010">
        <w:rPr>
          <w:rFonts w:asciiTheme="majorBidi" w:hAnsiTheme="majorBidi" w:cstheme="majorBidi"/>
        </w:rPr>
        <w:t>behavioral</w:t>
      </w:r>
      <w:proofErr w:type="spellEnd"/>
      <w:r w:rsidRPr="00A50010">
        <w:rPr>
          <w:rFonts w:asciiTheme="majorBidi" w:hAnsiTheme="majorBidi" w:cstheme="majorBidi"/>
        </w:rPr>
        <w:t xml:space="preserve"> precise terms. Future studies ought to follow up on observed frequency of travel by acquiring full survey data or through additional sources.</w:t>
      </w:r>
    </w:p>
    <w:p w14:paraId="1C98FC2A" w14:textId="77777777" w:rsidR="008459F1" w:rsidRDefault="008459F1" w:rsidP="008459F1">
      <w:pPr>
        <w:spacing w:line="360" w:lineRule="auto"/>
        <w:jc w:val="both"/>
        <w:rPr>
          <w:rFonts w:asciiTheme="majorBidi" w:hAnsiTheme="majorBidi" w:cstheme="majorBidi"/>
        </w:rPr>
      </w:pPr>
      <w:r w:rsidRPr="00A50010">
        <w:rPr>
          <w:rFonts w:asciiTheme="majorBidi" w:hAnsiTheme="majorBidi" w:cstheme="majorBidi"/>
        </w:rPr>
        <w:t>Secondly, in the analysis, all key variables, such as income, occupational complexity, and perceived travel ability were based on self-reported data. There is the issue of recall errors, social desirability effects on self-reports as well as personal interpretation. Future research may use other sources of data like self-report survey, and supplement them with administrative or observational measures, including verified income history, job classification schemes, or real travel histories of immigration bodies or air carrier data.</w:t>
      </w:r>
    </w:p>
    <w:p w14:paraId="340EA170" w14:textId="77777777" w:rsidR="008459F1" w:rsidRDefault="008459F1" w:rsidP="008459F1">
      <w:pPr>
        <w:spacing w:line="360" w:lineRule="auto"/>
        <w:jc w:val="both"/>
        <w:rPr>
          <w:rFonts w:asciiTheme="majorBidi" w:hAnsiTheme="majorBidi" w:cstheme="majorBidi"/>
        </w:rPr>
      </w:pPr>
      <w:r w:rsidRPr="00C763B2">
        <w:rPr>
          <w:rFonts w:asciiTheme="majorBidi" w:hAnsiTheme="majorBidi" w:cstheme="majorBidi"/>
        </w:rPr>
        <w:t xml:space="preserve">The other limitation is that of the sample size and scope. Although the survey had an extended coverage of other income brackets and occupational roles, the survey size was smaller (n = </w:t>
      </w:r>
      <w:r>
        <w:rPr>
          <w:rFonts w:asciiTheme="majorBidi" w:hAnsiTheme="majorBidi" w:cstheme="majorBidi"/>
        </w:rPr>
        <w:t>10</w:t>
      </w:r>
      <w:r w:rsidRPr="00C763B2">
        <w:rPr>
          <w:rFonts w:asciiTheme="majorBidi" w:hAnsiTheme="majorBidi" w:cstheme="majorBidi"/>
        </w:rPr>
        <w:t>0), which could decrease statistical power and be a limitation to generalizing the conclusions. Samples that are larger and more diverse, as well as representative of regions, could make stronger inferences and compare subgroups.</w:t>
      </w:r>
    </w:p>
    <w:p w14:paraId="305418C9" w14:textId="77777777" w:rsidR="008459F1" w:rsidRDefault="008459F1" w:rsidP="008459F1">
      <w:pPr>
        <w:spacing w:line="360" w:lineRule="auto"/>
        <w:jc w:val="both"/>
        <w:rPr>
          <w:rFonts w:asciiTheme="majorBidi" w:hAnsiTheme="majorBidi" w:cstheme="majorBidi"/>
        </w:rPr>
      </w:pPr>
      <w:r w:rsidRPr="00C763B2">
        <w:rPr>
          <w:rFonts w:asciiTheme="majorBidi" w:hAnsiTheme="majorBidi" w:cstheme="majorBidi"/>
        </w:rPr>
        <w:t xml:space="preserve">Finally, the cross-sectional nature of the research design is a hindrance to causal inference. All the analyses of association between economic power, occupation, and travel </w:t>
      </w:r>
      <w:proofErr w:type="spellStart"/>
      <w:r w:rsidRPr="00C763B2">
        <w:rPr>
          <w:rFonts w:asciiTheme="majorBidi" w:hAnsiTheme="majorBidi" w:cstheme="majorBidi"/>
        </w:rPr>
        <w:t>behavior</w:t>
      </w:r>
      <w:proofErr w:type="spellEnd"/>
      <w:r w:rsidRPr="00C763B2">
        <w:rPr>
          <w:rFonts w:asciiTheme="majorBidi" w:hAnsiTheme="majorBidi" w:cstheme="majorBidi"/>
        </w:rPr>
        <w:t xml:space="preserve"> are correlational and that they do not take account of time. A longitudinal research design would allow learning more about the way mobility patterns change as the occupation or income change with time.</w:t>
      </w:r>
    </w:p>
    <w:p w14:paraId="25479B5B" w14:textId="77777777" w:rsidR="008459F1" w:rsidRDefault="008459F1" w:rsidP="008459F1">
      <w:pPr>
        <w:spacing w:line="360" w:lineRule="auto"/>
        <w:jc w:val="both"/>
        <w:rPr>
          <w:rFonts w:asciiTheme="majorBidi" w:hAnsiTheme="majorBidi" w:cstheme="majorBidi"/>
          <w:b/>
          <w:bCs/>
          <w:i/>
          <w:iCs/>
        </w:rPr>
      </w:pPr>
      <w:r>
        <w:rPr>
          <w:rFonts w:asciiTheme="majorBidi" w:hAnsiTheme="majorBidi" w:cstheme="majorBidi"/>
          <w:b/>
          <w:bCs/>
          <w:i/>
          <w:iCs/>
        </w:rPr>
        <w:t xml:space="preserve">Future Research </w:t>
      </w:r>
    </w:p>
    <w:p w14:paraId="471FBEB6" w14:textId="77777777" w:rsidR="008459F1" w:rsidRDefault="008459F1" w:rsidP="008459F1">
      <w:pPr>
        <w:spacing w:line="360" w:lineRule="auto"/>
        <w:jc w:val="both"/>
        <w:rPr>
          <w:rFonts w:asciiTheme="majorBidi" w:hAnsiTheme="majorBidi" w:cstheme="majorBidi"/>
        </w:rPr>
      </w:pPr>
      <w:r w:rsidRPr="00C763B2">
        <w:rPr>
          <w:rFonts w:asciiTheme="majorBidi" w:hAnsiTheme="majorBidi" w:cstheme="majorBidi"/>
        </w:rPr>
        <w:t xml:space="preserve">Based on the results and limitations of the existing study, a number of future research directions are proposed to better understand the relationship between economic and behavioural occupational determinants and international travel behaviour. </w:t>
      </w:r>
    </w:p>
    <w:p w14:paraId="27E41EFD" w14:textId="77777777" w:rsidR="008459F1" w:rsidRDefault="008459F1" w:rsidP="008459F1">
      <w:pPr>
        <w:spacing w:line="360" w:lineRule="auto"/>
        <w:jc w:val="both"/>
        <w:rPr>
          <w:rFonts w:asciiTheme="majorBidi" w:hAnsiTheme="majorBidi" w:cstheme="majorBidi"/>
        </w:rPr>
      </w:pPr>
      <w:r w:rsidRPr="00C763B2">
        <w:rPr>
          <w:rFonts w:asciiTheme="majorBidi" w:hAnsiTheme="majorBidi" w:cstheme="majorBidi"/>
        </w:rPr>
        <w:t xml:space="preserve">First, the </w:t>
      </w:r>
      <w:proofErr w:type="spellStart"/>
      <w:r w:rsidRPr="00C763B2">
        <w:rPr>
          <w:rFonts w:asciiTheme="majorBidi" w:hAnsiTheme="majorBidi" w:cstheme="majorBidi"/>
        </w:rPr>
        <w:t>behavioral</w:t>
      </w:r>
      <w:proofErr w:type="spellEnd"/>
      <w:r w:rsidRPr="00C763B2">
        <w:rPr>
          <w:rFonts w:asciiTheme="majorBidi" w:hAnsiTheme="majorBidi" w:cstheme="majorBidi"/>
        </w:rPr>
        <w:t xml:space="preserve"> travel data should be a priority in future investigations. To evaluate the magnitude of actual travel frequency, this study relied upon a perceived measure of travel affordability (</w:t>
      </w:r>
      <w:r>
        <w:rPr>
          <w:rFonts w:asciiTheme="majorBidi" w:hAnsiTheme="majorBidi" w:cstheme="majorBidi"/>
        </w:rPr>
        <w:t>AIT</w:t>
      </w:r>
      <w:r w:rsidRPr="00C763B2">
        <w:rPr>
          <w:rFonts w:asciiTheme="majorBidi" w:hAnsiTheme="majorBidi" w:cstheme="majorBidi"/>
        </w:rPr>
        <w:t xml:space="preserve">); however, by including objective data, researchers could measure actual travel, based on passport stamps, airline ticket records, or verified travel logs. This would </w:t>
      </w:r>
      <w:r w:rsidRPr="00C763B2">
        <w:rPr>
          <w:rFonts w:asciiTheme="majorBidi" w:hAnsiTheme="majorBidi" w:cstheme="majorBidi"/>
        </w:rPr>
        <w:lastRenderedPageBreak/>
        <w:t xml:space="preserve">enhance precision and reliability of </w:t>
      </w:r>
      <w:proofErr w:type="spellStart"/>
      <w:r w:rsidRPr="00C763B2">
        <w:rPr>
          <w:rFonts w:asciiTheme="majorBidi" w:hAnsiTheme="majorBidi" w:cstheme="majorBidi"/>
        </w:rPr>
        <w:t>behavioral</w:t>
      </w:r>
      <w:proofErr w:type="spellEnd"/>
      <w:r w:rsidRPr="00C763B2">
        <w:rPr>
          <w:rFonts w:asciiTheme="majorBidi" w:hAnsiTheme="majorBidi" w:cstheme="majorBidi"/>
        </w:rPr>
        <w:t xml:space="preserve"> inferences, as well as directly test hypothesis to international mobility.</w:t>
      </w:r>
    </w:p>
    <w:p w14:paraId="7585A5B3" w14:textId="77777777" w:rsidR="008459F1" w:rsidRDefault="008459F1" w:rsidP="008459F1">
      <w:pPr>
        <w:spacing w:line="360" w:lineRule="auto"/>
        <w:jc w:val="both"/>
        <w:rPr>
          <w:rFonts w:asciiTheme="majorBidi" w:hAnsiTheme="majorBidi" w:cstheme="majorBidi"/>
        </w:rPr>
      </w:pPr>
      <w:r w:rsidRPr="00C763B2">
        <w:rPr>
          <w:rFonts w:asciiTheme="majorBidi" w:hAnsiTheme="majorBidi" w:cstheme="majorBidi"/>
        </w:rPr>
        <w:t>Second</w:t>
      </w:r>
      <w:r>
        <w:rPr>
          <w:rFonts w:asciiTheme="majorBidi" w:hAnsiTheme="majorBidi" w:cstheme="majorBidi"/>
        </w:rPr>
        <w:t>ly</w:t>
      </w:r>
      <w:r w:rsidRPr="00C763B2">
        <w:rPr>
          <w:rFonts w:asciiTheme="majorBidi" w:hAnsiTheme="majorBidi" w:cstheme="majorBidi"/>
        </w:rPr>
        <w:t xml:space="preserve">, longitudinal career design might provide information about the effect of occupation and income changes on travel access over time. Monitoring the individuals throughout life experiences like promotions, retraining, or unemployment could shed light on the changing association between socioeconomic mobility and mobility </w:t>
      </w:r>
      <w:proofErr w:type="spellStart"/>
      <w:r w:rsidRPr="00C763B2">
        <w:rPr>
          <w:rFonts w:asciiTheme="majorBidi" w:hAnsiTheme="majorBidi" w:cstheme="majorBidi"/>
        </w:rPr>
        <w:t>behaviors</w:t>
      </w:r>
      <w:proofErr w:type="spellEnd"/>
      <w:r w:rsidRPr="00C763B2">
        <w:rPr>
          <w:rFonts w:asciiTheme="majorBidi" w:hAnsiTheme="majorBidi" w:cstheme="majorBidi"/>
        </w:rPr>
        <w:t xml:space="preserve"> across international trips.</w:t>
      </w:r>
    </w:p>
    <w:p w14:paraId="2332C368" w14:textId="77777777" w:rsidR="008459F1" w:rsidRDefault="008459F1" w:rsidP="008459F1">
      <w:pPr>
        <w:spacing w:line="360" w:lineRule="auto"/>
        <w:jc w:val="both"/>
        <w:rPr>
          <w:rFonts w:asciiTheme="majorBidi" w:hAnsiTheme="majorBidi" w:cstheme="majorBidi"/>
        </w:rPr>
      </w:pPr>
      <w:r w:rsidRPr="00C763B2">
        <w:rPr>
          <w:rFonts w:asciiTheme="majorBidi" w:hAnsiTheme="majorBidi" w:cstheme="majorBidi"/>
        </w:rPr>
        <w:t>Third</w:t>
      </w:r>
      <w:r>
        <w:rPr>
          <w:rFonts w:asciiTheme="majorBidi" w:hAnsiTheme="majorBidi" w:cstheme="majorBidi"/>
        </w:rPr>
        <w:t>ly</w:t>
      </w:r>
      <w:r w:rsidRPr="00C763B2">
        <w:rPr>
          <w:rFonts w:asciiTheme="majorBidi" w:hAnsiTheme="majorBidi" w:cstheme="majorBidi"/>
        </w:rPr>
        <w:t>, cross-national comparative study is important to the comprehension of the influence of structural and policy-based variables on travel inequality. The visa regulations, job categorizations, pay scales and living costs differ significantly between countries. Analysis of these contexts may help explain how national systems enhance or restrict access to travel in different socioeconomic levels.</w:t>
      </w:r>
    </w:p>
    <w:p w14:paraId="6D7F3E87" w14:textId="77777777" w:rsidR="008459F1" w:rsidRDefault="008459F1" w:rsidP="008459F1">
      <w:pPr>
        <w:spacing w:line="360" w:lineRule="auto"/>
        <w:jc w:val="both"/>
        <w:rPr>
          <w:rFonts w:asciiTheme="majorBidi" w:hAnsiTheme="majorBidi" w:cstheme="majorBidi"/>
        </w:rPr>
      </w:pPr>
      <w:r w:rsidRPr="00D04DB8">
        <w:rPr>
          <w:rFonts w:asciiTheme="majorBidi" w:hAnsiTheme="majorBidi" w:cstheme="majorBidi"/>
        </w:rPr>
        <w:t>Fourth, intersectional analysis must be used in future research to explore the effect of other aspects, such as gender, caregiving responsibilities, family size, and access to the digital world on occupation and income. It can be assumed that such layered identities not only affect travel frequency but also the nature of travel an individual engages in, and the limitations that they face.</w:t>
      </w:r>
    </w:p>
    <w:p w14:paraId="458EA167" w14:textId="77777777" w:rsidR="008459F1" w:rsidRPr="00C763B2" w:rsidRDefault="008459F1" w:rsidP="008459F1">
      <w:pPr>
        <w:spacing w:line="360" w:lineRule="auto"/>
        <w:jc w:val="both"/>
        <w:rPr>
          <w:rFonts w:asciiTheme="majorBidi" w:hAnsiTheme="majorBidi" w:cstheme="majorBidi"/>
        </w:rPr>
      </w:pPr>
      <w:r w:rsidRPr="00341A40">
        <w:rPr>
          <w:rFonts w:asciiTheme="majorBidi" w:hAnsiTheme="majorBidi" w:cstheme="majorBidi"/>
        </w:rPr>
        <w:t>Lastly, technology and remote work is an emerging domain of interest in the era of flexible employment. Not only income is defined by occupation now, but mobility flexibility also. Exploring the effect of hybrid work and digital nomadism on international travel may reveal additional dimensions of occupational inequality in the global labour market.</w:t>
      </w:r>
    </w:p>
    <w:p w14:paraId="0BD2B6AD" w14:textId="77777777" w:rsidR="008459F1" w:rsidRDefault="008459F1" w:rsidP="008459F1">
      <w:pPr>
        <w:spacing w:line="360" w:lineRule="auto"/>
        <w:jc w:val="both"/>
        <w:rPr>
          <w:rFonts w:asciiTheme="majorBidi" w:hAnsiTheme="majorBidi" w:cstheme="majorBidi"/>
          <w:b/>
          <w:bCs/>
          <w:i/>
          <w:iCs/>
        </w:rPr>
      </w:pPr>
      <w:r>
        <w:rPr>
          <w:rFonts w:asciiTheme="majorBidi" w:hAnsiTheme="majorBidi" w:cstheme="majorBidi"/>
          <w:b/>
          <w:bCs/>
          <w:i/>
          <w:iCs/>
        </w:rPr>
        <w:t xml:space="preserve">Conclusion </w:t>
      </w:r>
    </w:p>
    <w:p w14:paraId="2DB6BE8D" w14:textId="77777777" w:rsidR="008459F1" w:rsidRDefault="008459F1" w:rsidP="008459F1">
      <w:pPr>
        <w:spacing w:line="360" w:lineRule="auto"/>
        <w:jc w:val="both"/>
        <w:rPr>
          <w:rFonts w:asciiTheme="majorBidi" w:hAnsiTheme="majorBidi" w:cstheme="majorBidi"/>
        </w:rPr>
      </w:pPr>
      <w:r w:rsidRPr="00341A40">
        <w:rPr>
          <w:rFonts w:asciiTheme="majorBidi" w:hAnsiTheme="majorBidi" w:cstheme="majorBidi"/>
        </w:rPr>
        <w:t xml:space="preserve">This </w:t>
      </w:r>
      <w:r>
        <w:rPr>
          <w:rFonts w:asciiTheme="majorBidi" w:hAnsiTheme="majorBidi" w:cstheme="majorBidi"/>
        </w:rPr>
        <w:t>research</w:t>
      </w:r>
      <w:r w:rsidRPr="00341A40">
        <w:rPr>
          <w:rFonts w:asciiTheme="majorBidi" w:hAnsiTheme="majorBidi" w:cstheme="majorBidi"/>
        </w:rPr>
        <w:t xml:space="preserve"> provides valuable information about the relationship between income and occupational complexity in defining the perceived affordability of international travel in combination. The evidence supports the main effects findings ruling out income as a major determinant of economic power, and occupational characteristics as a key moderating force affirming that occupation should be viewed beyond as an indicator of socioeconomic status, that it is a textured indicator subject to structural, functional and symbolic forces. These two considerations help justify the wider mobility sociology owing to arguments that reveal that accessibility to global travel is not merely a product of financial capital, but thresholds of institutional affiliation, job autonomy, and work cultures that either facilitate or limit mobility.</w:t>
      </w:r>
    </w:p>
    <w:p w14:paraId="56B8E76F" w14:textId="77777777" w:rsidR="008459F1" w:rsidRDefault="008459F1" w:rsidP="008459F1">
      <w:pPr>
        <w:spacing w:line="360" w:lineRule="auto"/>
        <w:jc w:val="both"/>
        <w:rPr>
          <w:rFonts w:asciiTheme="majorBidi" w:hAnsiTheme="majorBidi" w:cstheme="majorBidi"/>
        </w:rPr>
      </w:pPr>
      <w:r w:rsidRPr="00341A40">
        <w:rPr>
          <w:rFonts w:asciiTheme="majorBidi" w:hAnsiTheme="majorBidi" w:cstheme="majorBidi"/>
        </w:rPr>
        <w:lastRenderedPageBreak/>
        <w:t xml:space="preserve">Through providing an enhanced analysis of travel </w:t>
      </w:r>
      <w:proofErr w:type="spellStart"/>
      <w:r w:rsidRPr="00341A40">
        <w:rPr>
          <w:rFonts w:asciiTheme="majorBidi" w:hAnsiTheme="majorBidi" w:cstheme="majorBidi"/>
        </w:rPr>
        <w:t>behavior</w:t>
      </w:r>
      <w:proofErr w:type="spellEnd"/>
      <w:r w:rsidRPr="00341A40">
        <w:rPr>
          <w:rFonts w:asciiTheme="majorBidi" w:hAnsiTheme="majorBidi" w:cstheme="majorBidi"/>
        </w:rPr>
        <w:t xml:space="preserve"> by incorporating moderation analysis, this study also shows how occupational complexity increases the positive impact of income, in particular occupations that have latitude in making decisions, digital fluency, and professional networks. Such occupational affordances may cause the same level of income to go even further as far as mobility is concerned, indicating inequality exists even among individuals with similar salaries.</w:t>
      </w:r>
    </w:p>
    <w:p w14:paraId="0E9380B8" w14:textId="77777777" w:rsidR="008459F1" w:rsidRDefault="008459F1" w:rsidP="008459F1">
      <w:pPr>
        <w:spacing w:line="360" w:lineRule="auto"/>
        <w:jc w:val="both"/>
        <w:rPr>
          <w:rFonts w:asciiTheme="majorBidi" w:hAnsiTheme="majorBidi" w:cstheme="majorBidi"/>
        </w:rPr>
      </w:pPr>
      <w:r w:rsidRPr="00341A40">
        <w:rPr>
          <w:rFonts w:asciiTheme="majorBidi" w:hAnsiTheme="majorBidi" w:cstheme="majorBidi"/>
        </w:rPr>
        <w:t>Nevertheless, using perceived affordability (</w:t>
      </w:r>
      <w:r>
        <w:rPr>
          <w:rFonts w:asciiTheme="majorBidi" w:hAnsiTheme="majorBidi" w:cstheme="majorBidi"/>
        </w:rPr>
        <w:t>AIT</w:t>
      </w:r>
      <w:r w:rsidRPr="00341A40">
        <w:rPr>
          <w:rFonts w:asciiTheme="majorBidi" w:hAnsiTheme="majorBidi" w:cstheme="majorBidi"/>
        </w:rPr>
        <w:t xml:space="preserve">) as an indicator of actual </w:t>
      </w:r>
      <w:proofErr w:type="spellStart"/>
      <w:r w:rsidRPr="00341A40">
        <w:rPr>
          <w:rFonts w:asciiTheme="majorBidi" w:hAnsiTheme="majorBidi" w:cstheme="majorBidi"/>
        </w:rPr>
        <w:t>behavior</w:t>
      </w:r>
      <w:proofErr w:type="spellEnd"/>
      <w:r w:rsidRPr="00341A40">
        <w:rPr>
          <w:rFonts w:asciiTheme="majorBidi" w:hAnsiTheme="majorBidi" w:cstheme="majorBidi"/>
        </w:rPr>
        <w:t xml:space="preserve"> is a significant weakness. In the absence of frequency data on travel, anything regarding travel </w:t>
      </w:r>
      <w:proofErr w:type="spellStart"/>
      <w:r w:rsidRPr="00341A40">
        <w:rPr>
          <w:rFonts w:asciiTheme="majorBidi" w:hAnsiTheme="majorBidi" w:cstheme="majorBidi"/>
        </w:rPr>
        <w:t>behavior</w:t>
      </w:r>
      <w:proofErr w:type="spellEnd"/>
      <w:r w:rsidRPr="00341A40">
        <w:rPr>
          <w:rFonts w:asciiTheme="majorBidi" w:hAnsiTheme="majorBidi" w:cstheme="majorBidi"/>
        </w:rPr>
        <w:t xml:space="preserve"> is speculative. Regardless of that, the study provides a solid theoretical and statistical framework that may be used in the future, with the aid of longitudinal or cross-national designs.</w:t>
      </w:r>
    </w:p>
    <w:p w14:paraId="4BBDBBD4" w14:textId="77777777" w:rsidR="008459F1" w:rsidRDefault="008459F1" w:rsidP="008459F1">
      <w:pPr>
        <w:spacing w:line="360" w:lineRule="auto"/>
        <w:jc w:val="both"/>
        <w:rPr>
          <w:rFonts w:asciiTheme="majorBidi" w:hAnsiTheme="majorBidi" w:cstheme="majorBidi"/>
        </w:rPr>
      </w:pPr>
      <w:r w:rsidRPr="00341A40">
        <w:rPr>
          <w:rFonts w:asciiTheme="majorBidi" w:hAnsiTheme="majorBidi" w:cstheme="majorBidi"/>
        </w:rPr>
        <w:t>In a globalized world where mobility rights are unevenly distributed, who travels and who does not is important to know to support policy on equal grounds. This study draws attention to the invisible obstacles to travel opportunities, never mind the economically active citizens, and urges the stakeholders to index mobility as a right instead of a privilege. Eradicating income disparities, increasing workforce assistance, and eliminating structural hindrances to travel can aid in making international movement more inclusive, as an indication not only of wealth alone, but of a larger sense of global fairness.</w:t>
      </w:r>
    </w:p>
    <w:p w14:paraId="48DB9B91" w14:textId="77777777" w:rsidR="008459F1" w:rsidRPr="00513B44" w:rsidRDefault="008459F1" w:rsidP="008459F1">
      <w:pPr>
        <w:spacing w:line="360" w:lineRule="auto"/>
        <w:jc w:val="center"/>
        <w:rPr>
          <w:rFonts w:asciiTheme="majorBidi" w:hAnsiTheme="majorBidi" w:cstheme="majorBidi"/>
          <w:b/>
          <w:bCs/>
        </w:rPr>
      </w:pPr>
      <w:r>
        <w:rPr>
          <w:rFonts w:asciiTheme="majorBidi" w:hAnsiTheme="majorBidi" w:cstheme="majorBidi"/>
          <w:b/>
          <w:bCs/>
        </w:rPr>
        <w:t>Reflective Essay</w:t>
      </w:r>
    </w:p>
    <w:p w14:paraId="2BEBE491" w14:textId="77777777" w:rsidR="008459F1" w:rsidRPr="00513B44" w:rsidRDefault="008459F1" w:rsidP="008459F1">
      <w:pPr>
        <w:spacing w:line="360" w:lineRule="auto"/>
        <w:jc w:val="both"/>
        <w:rPr>
          <w:rFonts w:asciiTheme="majorBidi" w:hAnsiTheme="majorBidi" w:cstheme="majorBidi"/>
          <w:u w:val="single"/>
        </w:rPr>
      </w:pPr>
      <w:r w:rsidRPr="00513B44">
        <w:rPr>
          <w:rFonts w:asciiTheme="majorBidi" w:hAnsiTheme="majorBidi" w:cstheme="majorBidi"/>
          <w:u w:val="single"/>
        </w:rPr>
        <w:t>Engaging with Quantitative Methods</w:t>
      </w:r>
    </w:p>
    <w:p w14:paraId="13AC4ED1" w14:textId="77777777" w:rsidR="008459F1" w:rsidRDefault="008459F1" w:rsidP="008459F1">
      <w:pPr>
        <w:spacing w:line="360" w:lineRule="auto"/>
        <w:jc w:val="both"/>
        <w:rPr>
          <w:rFonts w:asciiTheme="majorBidi" w:hAnsiTheme="majorBidi" w:cstheme="majorBidi"/>
        </w:rPr>
      </w:pPr>
      <w:r w:rsidRPr="00513B44">
        <w:rPr>
          <w:rFonts w:asciiTheme="majorBidi" w:hAnsiTheme="majorBidi" w:cstheme="majorBidi"/>
        </w:rPr>
        <w:t xml:space="preserve">Quantitative approach to this project has been intellectually satisfying and dauntingly demanding in practice. Being a scholar who has historically inclined to more qualitative research models, especially one anchored upon narrative, interpretive, or exploratory paradigms, I found myself regarding quantitative studies with certain apprehension in the beginning. I had limited experience of this approach to analysis using numbers and was worried as to how dissimilar and genuinely challenging the nuancing of the human encounter in the real world can be through using numbers; whether this translation of the complexity of human experiences would ever fully capture the range of social actions and behaviours in the pursuit of travel. Nevertheless, completing this project, titled, </w:t>
      </w:r>
      <w:r>
        <w:rPr>
          <w:rFonts w:asciiTheme="majorBidi" w:hAnsiTheme="majorBidi" w:cstheme="majorBidi"/>
        </w:rPr>
        <w:t>“</w:t>
      </w:r>
      <w:r w:rsidRPr="00513B44">
        <w:rPr>
          <w:rFonts w:asciiTheme="majorBidi" w:hAnsiTheme="majorBidi" w:cstheme="majorBidi"/>
        </w:rPr>
        <w:t>the impact of income and occupation on perceived international travel affordability</w:t>
      </w:r>
      <w:r>
        <w:rPr>
          <w:rFonts w:asciiTheme="majorBidi" w:hAnsiTheme="majorBidi" w:cstheme="majorBidi"/>
        </w:rPr>
        <w:t>”</w:t>
      </w:r>
      <w:r w:rsidRPr="00513B44">
        <w:rPr>
          <w:rFonts w:asciiTheme="majorBidi" w:hAnsiTheme="majorBidi" w:cstheme="majorBidi"/>
        </w:rPr>
        <w:t xml:space="preserve">, forced me </w:t>
      </w:r>
      <w:r>
        <w:rPr>
          <w:rFonts w:asciiTheme="majorBidi" w:hAnsiTheme="majorBidi" w:cstheme="majorBidi"/>
        </w:rPr>
        <w:t>understand the</w:t>
      </w:r>
      <w:r w:rsidRPr="00513B44">
        <w:rPr>
          <w:rFonts w:asciiTheme="majorBidi" w:hAnsiTheme="majorBidi" w:cstheme="majorBidi"/>
        </w:rPr>
        <w:t xml:space="preserve"> framework, reasoning, and rigor of quantitative research, and it helped me alter my mindset in positive directions.</w:t>
      </w:r>
    </w:p>
    <w:p w14:paraId="54586DFC" w14:textId="77777777" w:rsidR="008459F1" w:rsidRDefault="008459F1" w:rsidP="008459F1">
      <w:pPr>
        <w:spacing w:line="360" w:lineRule="auto"/>
        <w:jc w:val="both"/>
        <w:rPr>
          <w:rFonts w:asciiTheme="majorBidi" w:hAnsiTheme="majorBidi" w:cstheme="majorBidi"/>
        </w:rPr>
      </w:pPr>
      <w:r w:rsidRPr="00513B44">
        <w:rPr>
          <w:rFonts w:asciiTheme="majorBidi" w:hAnsiTheme="majorBidi" w:cstheme="majorBidi"/>
        </w:rPr>
        <w:lastRenderedPageBreak/>
        <w:t>Formulating empirically testable hypotheses became the first step in my interaction with quantitative methods. This practice obstructed me to be more stringent in contemplating the variables in the study. Rather than the open-ended thematic inquiry, I was forced to specify measurable constructs: What exactly does economic power mean? What is the way of operationalizing occupational complexity? These were not mere academic queries but needed workable, statistical meanings.</w:t>
      </w:r>
    </w:p>
    <w:p w14:paraId="5F803004" w14:textId="77777777" w:rsidR="008459F1" w:rsidRDefault="008459F1" w:rsidP="008459F1">
      <w:pPr>
        <w:spacing w:line="360" w:lineRule="auto"/>
        <w:jc w:val="both"/>
        <w:rPr>
          <w:rFonts w:asciiTheme="majorBidi" w:hAnsiTheme="majorBidi" w:cstheme="majorBidi"/>
        </w:rPr>
      </w:pPr>
      <w:r w:rsidRPr="00844369">
        <w:rPr>
          <w:rFonts w:asciiTheme="majorBidi" w:hAnsiTheme="majorBidi" w:cstheme="majorBidi"/>
        </w:rPr>
        <w:t xml:space="preserve">After identifying the variables, I constructed an organized survey to help me capture data in all income levels, type of job, and self-initiated perception on the affordability of international travel. Internal consistency and appropriate item design </w:t>
      </w:r>
      <w:proofErr w:type="gramStart"/>
      <w:r w:rsidRPr="00844369">
        <w:rPr>
          <w:rFonts w:asciiTheme="majorBidi" w:hAnsiTheme="majorBidi" w:cstheme="majorBidi"/>
        </w:rPr>
        <w:t>was</w:t>
      </w:r>
      <w:proofErr w:type="gramEnd"/>
      <w:r w:rsidRPr="00844369">
        <w:rPr>
          <w:rFonts w:asciiTheme="majorBidi" w:hAnsiTheme="majorBidi" w:cstheme="majorBidi"/>
        </w:rPr>
        <w:t xml:space="preserve"> difficult to achieve. I needed to pay close attention to the way the Likert scales were supposed to be constructed, how the composite indices such as </w:t>
      </w:r>
      <w:proofErr w:type="spellStart"/>
      <w:r w:rsidRPr="00844369">
        <w:rPr>
          <w:rFonts w:asciiTheme="majorBidi" w:hAnsiTheme="majorBidi" w:cstheme="majorBidi"/>
        </w:rPr>
        <w:t>EP_Total</w:t>
      </w:r>
      <w:proofErr w:type="spellEnd"/>
      <w:r w:rsidRPr="00844369">
        <w:rPr>
          <w:rFonts w:asciiTheme="majorBidi" w:hAnsiTheme="majorBidi" w:cstheme="majorBidi"/>
        </w:rPr>
        <w:t xml:space="preserve"> (economic power total) would be calculated, and whether the questions were considered within the theoretical scope of the study. This phase taught me to value the front-loaded nature of quantitative work where even before one is ready to perform any analysis, it is vital to lay the groundwork down as carefully as possible.</w:t>
      </w:r>
    </w:p>
    <w:p w14:paraId="53BEF0A1" w14:textId="77777777" w:rsidR="008459F1" w:rsidRDefault="008459F1" w:rsidP="008459F1">
      <w:pPr>
        <w:spacing w:line="360" w:lineRule="auto"/>
        <w:jc w:val="both"/>
        <w:rPr>
          <w:rFonts w:asciiTheme="majorBidi" w:hAnsiTheme="majorBidi" w:cstheme="majorBidi"/>
        </w:rPr>
      </w:pPr>
      <w:r w:rsidRPr="00844369">
        <w:rPr>
          <w:rFonts w:asciiTheme="majorBidi" w:hAnsiTheme="majorBidi" w:cstheme="majorBidi"/>
        </w:rPr>
        <w:t>The greatest surprise of my engagement was the feeling of confidence that occurred as I started interpreting the results. In places where I would have formerly lacked confidence in my knowledge of regression coefficients or moderation effects, I was making informed declarations such as:</w:t>
      </w:r>
      <w:r>
        <w:rPr>
          <w:rFonts w:asciiTheme="majorBidi" w:hAnsiTheme="majorBidi" w:cstheme="majorBidi"/>
        </w:rPr>
        <w:t xml:space="preserve"> “</w:t>
      </w:r>
      <w:r w:rsidRPr="00844369">
        <w:rPr>
          <w:rFonts w:asciiTheme="majorBidi" w:hAnsiTheme="majorBidi" w:cstheme="majorBidi"/>
        </w:rPr>
        <w:t xml:space="preserve">A </w:t>
      </w:r>
      <w:proofErr w:type="gramStart"/>
      <w:r w:rsidRPr="00844369">
        <w:rPr>
          <w:rFonts w:asciiTheme="majorBidi" w:hAnsiTheme="majorBidi" w:cstheme="majorBidi"/>
        </w:rPr>
        <w:t>one unit</w:t>
      </w:r>
      <w:proofErr w:type="gramEnd"/>
      <w:r w:rsidRPr="00844369">
        <w:rPr>
          <w:rFonts w:asciiTheme="majorBidi" w:hAnsiTheme="majorBidi" w:cstheme="majorBidi"/>
        </w:rPr>
        <w:t xml:space="preserve"> change in </w:t>
      </w:r>
      <w:proofErr w:type="spellStart"/>
      <w:r w:rsidRPr="00844369">
        <w:rPr>
          <w:rFonts w:asciiTheme="majorBidi" w:hAnsiTheme="majorBidi" w:cstheme="majorBidi"/>
        </w:rPr>
        <w:t>EP_Total</w:t>
      </w:r>
      <w:proofErr w:type="spellEnd"/>
      <w:r w:rsidRPr="00844369">
        <w:rPr>
          <w:rFonts w:asciiTheme="majorBidi" w:hAnsiTheme="majorBidi" w:cstheme="majorBidi"/>
        </w:rPr>
        <w:t xml:space="preserve"> would translate to a 0.5</w:t>
      </w:r>
      <w:r>
        <w:rPr>
          <w:rFonts w:asciiTheme="majorBidi" w:hAnsiTheme="majorBidi" w:cstheme="majorBidi"/>
        </w:rPr>
        <w:t>76</w:t>
      </w:r>
      <w:r w:rsidRPr="00844369">
        <w:rPr>
          <w:rFonts w:asciiTheme="majorBidi" w:hAnsiTheme="majorBidi" w:cstheme="majorBidi"/>
        </w:rPr>
        <w:t xml:space="preserve"> change in the perceived travel affordability and the model controls </w:t>
      </w:r>
      <w:r>
        <w:rPr>
          <w:rFonts w:asciiTheme="majorBidi" w:hAnsiTheme="majorBidi" w:cstheme="majorBidi"/>
        </w:rPr>
        <w:t>on th</w:t>
      </w:r>
      <w:r w:rsidRPr="00844369">
        <w:rPr>
          <w:rFonts w:asciiTheme="majorBidi" w:hAnsiTheme="majorBidi" w:cstheme="majorBidi"/>
        </w:rPr>
        <w:t>e rest of the factors.” This fluency was not gained through rote learning, but through actual use of the data and the statistical models which underlie it. It has made me realize that classical quantitative approaches are by no means impersonal or mechanical in their nature: in fact, when the right questions are formulated, they can be potent tools of revealing the patterns in human behaviour.</w:t>
      </w:r>
    </w:p>
    <w:p w14:paraId="5F222EE5" w14:textId="77777777" w:rsidR="008459F1" w:rsidRPr="00844369" w:rsidRDefault="008459F1" w:rsidP="008459F1">
      <w:pPr>
        <w:spacing w:line="360" w:lineRule="auto"/>
        <w:jc w:val="both"/>
        <w:rPr>
          <w:rFonts w:asciiTheme="majorBidi" w:hAnsiTheme="majorBidi" w:cstheme="majorBidi"/>
          <w:u w:val="single"/>
        </w:rPr>
      </w:pPr>
      <w:r w:rsidRPr="00844369">
        <w:rPr>
          <w:rFonts w:asciiTheme="majorBidi" w:hAnsiTheme="majorBidi" w:cstheme="majorBidi"/>
          <w:u w:val="single"/>
        </w:rPr>
        <w:t>What I Learned from SPSS</w:t>
      </w:r>
    </w:p>
    <w:p w14:paraId="3D6E024D" w14:textId="77777777" w:rsidR="008459F1" w:rsidRDefault="008459F1" w:rsidP="008459F1">
      <w:pPr>
        <w:spacing w:line="360" w:lineRule="auto"/>
        <w:jc w:val="both"/>
        <w:rPr>
          <w:rFonts w:asciiTheme="majorBidi" w:hAnsiTheme="majorBidi" w:cstheme="majorBidi"/>
        </w:rPr>
      </w:pPr>
      <w:r w:rsidRPr="00844369">
        <w:rPr>
          <w:rFonts w:asciiTheme="majorBidi" w:hAnsiTheme="majorBidi" w:cstheme="majorBidi"/>
        </w:rPr>
        <w:t xml:space="preserve">The primary tool I used to enter, clean, </w:t>
      </w:r>
      <w:proofErr w:type="spellStart"/>
      <w:r w:rsidRPr="00844369">
        <w:rPr>
          <w:rFonts w:asciiTheme="majorBidi" w:hAnsiTheme="majorBidi" w:cstheme="majorBidi"/>
        </w:rPr>
        <w:t>analyze</w:t>
      </w:r>
      <w:proofErr w:type="spellEnd"/>
      <w:r w:rsidRPr="00844369">
        <w:rPr>
          <w:rFonts w:asciiTheme="majorBidi" w:hAnsiTheme="majorBidi" w:cstheme="majorBidi"/>
        </w:rPr>
        <w:t xml:space="preserve"> and interpret the data was the SPSS (Statistical Package for the Social Sciences). I am in the very beginning of the work with SPSS and my knowledge was very limited. I was aware that it was a very commonly utilized tool in social science research, but I had no clue as to how to go about its mechanics or results. Nonetheless, at the project end, I had attained a working mastery of SPSS that I now consider a key tool in my pile of academic and career-related skills.</w:t>
      </w:r>
    </w:p>
    <w:p w14:paraId="405B0828" w14:textId="77777777" w:rsidR="008459F1" w:rsidRDefault="008459F1" w:rsidP="008459F1">
      <w:pPr>
        <w:spacing w:line="360" w:lineRule="auto"/>
        <w:jc w:val="both"/>
        <w:rPr>
          <w:rFonts w:asciiTheme="majorBidi" w:hAnsiTheme="majorBidi" w:cstheme="majorBidi"/>
        </w:rPr>
      </w:pPr>
      <w:r w:rsidRPr="00844369">
        <w:rPr>
          <w:rFonts w:asciiTheme="majorBidi" w:hAnsiTheme="majorBidi" w:cstheme="majorBidi"/>
        </w:rPr>
        <w:t xml:space="preserve">The user-friendly interface was among the first things I liked about SPSS. Although it may lack the versatility of other languages such as R or Python, the menu-based design enabled me to </w:t>
      </w:r>
      <w:r w:rsidRPr="00844369">
        <w:rPr>
          <w:rFonts w:asciiTheme="majorBidi" w:hAnsiTheme="majorBidi" w:cstheme="majorBidi"/>
        </w:rPr>
        <w:lastRenderedPageBreak/>
        <w:t xml:space="preserve">conduct advanced statistical analyses without any really being an expert coder. Such accessibility was important to </w:t>
      </w:r>
      <w:r>
        <w:rPr>
          <w:rFonts w:asciiTheme="majorBidi" w:hAnsiTheme="majorBidi" w:cstheme="majorBidi"/>
        </w:rPr>
        <w:t>have</w:t>
      </w:r>
      <w:r w:rsidRPr="00844369">
        <w:rPr>
          <w:rFonts w:asciiTheme="majorBidi" w:hAnsiTheme="majorBidi" w:cstheme="majorBidi"/>
        </w:rPr>
        <w:t xml:space="preserve"> a qualitative background and was making a transition.</w:t>
      </w:r>
    </w:p>
    <w:p w14:paraId="7F54CB9B" w14:textId="77777777" w:rsidR="008459F1" w:rsidRDefault="008459F1" w:rsidP="008459F1">
      <w:pPr>
        <w:spacing w:line="360" w:lineRule="auto"/>
        <w:jc w:val="both"/>
        <w:rPr>
          <w:rFonts w:asciiTheme="majorBidi" w:hAnsiTheme="majorBidi" w:cstheme="majorBidi"/>
        </w:rPr>
      </w:pPr>
      <w:r w:rsidRPr="00844369">
        <w:rPr>
          <w:rFonts w:asciiTheme="majorBidi" w:hAnsiTheme="majorBidi" w:cstheme="majorBidi"/>
        </w:rPr>
        <w:t>The SPSS taught me how to carry out descriptive statistics to understand the demographic background of my sample. This involved the calculation of means, standard deviation, frequencies of variables like income, age and occupation. The outputs assisted me in forming a more concrete understanding of the diversity (or insularity) of the group of participants and helped guide my knowledge concerning the distributions of variables prior to entering into investigations of those variables.</w:t>
      </w:r>
    </w:p>
    <w:p w14:paraId="7313FAC8" w14:textId="77777777" w:rsidR="008459F1" w:rsidRDefault="008459F1" w:rsidP="008459F1">
      <w:pPr>
        <w:spacing w:line="360" w:lineRule="auto"/>
        <w:jc w:val="both"/>
        <w:rPr>
          <w:rFonts w:asciiTheme="majorBidi" w:hAnsiTheme="majorBidi" w:cstheme="majorBidi"/>
        </w:rPr>
      </w:pPr>
      <w:r w:rsidRPr="00844369">
        <w:rPr>
          <w:rFonts w:asciiTheme="majorBidi" w:hAnsiTheme="majorBidi" w:cstheme="majorBidi"/>
        </w:rPr>
        <w:t xml:space="preserve">Correlation analysis was the next step that opened me to the notion of bivariate relationships. In determining the strength and direction of the relationship between variables like </w:t>
      </w:r>
      <w:proofErr w:type="spellStart"/>
      <w:r w:rsidRPr="00844369">
        <w:rPr>
          <w:rFonts w:asciiTheme="majorBidi" w:hAnsiTheme="majorBidi" w:cstheme="majorBidi"/>
        </w:rPr>
        <w:t>EP_Total</w:t>
      </w:r>
      <w:proofErr w:type="spellEnd"/>
      <w:r w:rsidRPr="00844369">
        <w:rPr>
          <w:rFonts w:asciiTheme="majorBidi" w:hAnsiTheme="majorBidi" w:cstheme="majorBidi"/>
        </w:rPr>
        <w:t xml:space="preserve"> and </w:t>
      </w:r>
      <w:r>
        <w:rPr>
          <w:rFonts w:asciiTheme="majorBidi" w:hAnsiTheme="majorBidi" w:cstheme="majorBidi"/>
        </w:rPr>
        <w:t>AIT</w:t>
      </w:r>
      <w:r w:rsidRPr="00844369">
        <w:rPr>
          <w:rFonts w:asciiTheme="majorBidi" w:hAnsiTheme="majorBidi" w:cstheme="majorBidi"/>
        </w:rPr>
        <w:t xml:space="preserve"> (perceived travel affordability), I applied the Pearson correlation coefficients to the data. I got to know the interpretation of these coefficients</w:t>
      </w:r>
      <w:r>
        <w:rPr>
          <w:rFonts w:asciiTheme="majorBidi" w:hAnsiTheme="majorBidi" w:cstheme="majorBidi"/>
        </w:rPr>
        <w:t>,</w:t>
      </w:r>
      <w:r w:rsidRPr="00844369">
        <w:rPr>
          <w:rFonts w:asciiTheme="majorBidi" w:hAnsiTheme="majorBidi" w:cstheme="majorBidi"/>
        </w:rPr>
        <w:t xml:space="preserve"> and what defines weak, moderate, or strong relationships.</w:t>
      </w:r>
    </w:p>
    <w:p w14:paraId="6088C610" w14:textId="77777777" w:rsidR="008459F1" w:rsidRDefault="008459F1" w:rsidP="008459F1">
      <w:pPr>
        <w:spacing w:line="360" w:lineRule="auto"/>
        <w:jc w:val="both"/>
        <w:rPr>
          <w:rFonts w:asciiTheme="majorBidi" w:hAnsiTheme="majorBidi" w:cstheme="majorBidi"/>
        </w:rPr>
      </w:pPr>
      <w:r w:rsidRPr="00C873DF">
        <w:rPr>
          <w:rFonts w:asciiTheme="majorBidi" w:hAnsiTheme="majorBidi" w:cstheme="majorBidi"/>
        </w:rPr>
        <w:t xml:space="preserve">Lastly, SPSS helped me to understand the significance of reliability analysis. </w:t>
      </w:r>
      <w:r>
        <w:rPr>
          <w:rFonts w:asciiTheme="majorBidi" w:hAnsiTheme="majorBidi" w:cstheme="majorBidi"/>
        </w:rPr>
        <w:t>With a strong</w:t>
      </w:r>
      <w:r w:rsidRPr="00C873DF">
        <w:rPr>
          <w:rFonts w:asciiTheme="majorBidi" w:hAnsiTheme="majorBidi" w:cstheme="majorBidi"/>
        </w:rPr>
        <w:t xml:space="preserve"> Cronbach alpha test (0.</w:t>
      </w:r>
      <w:r>
        <w:rPr>
          <w:rFonts w:asciiTheme="majorBidi" w:hAnsiTheme="majorBidi" w:cstheme="majorBidi"/>
        </w:rPr>
        <w:t>873</w:t>
      </w:r>
      <w:r w:rsidRPr="00C873DF">
        <w:rPr>
          <w:rFonts w:asciiTheme="majorBidi" w:hAnsiTheme="majorBidi" w:cstheme="majorBidi"/>
        </w:rPr>
        <w:t>) in one of my multi-item constructs, the emergence of this problem enabled me to correct the composite measures and consider aspects of questionnaire design. This is a lesson I will apply to future research, reliability and validity are not abstract concepts, but actual obstacles or facilitators to substantial inference.</w:t>
      </w:r>
    </w:p>
    <w:p w14:paraId="7A2333F1" w14:textId="77777777" w:rsidR="008459F1" w:rsidRPr="00844369" w:rsidRDefault="008459F1" w:rsidP="008459F1">
      <w:pPr>
        <w:spacing w:line="360" w:lineRule="auto"/>
        <w:jc w:val="both"/>
        <w:rPr>
          <w:rFonts w:asciiTheme="majorBidi" w:hAnsiTheme="majorBidi" w:cstheme="majorBidi"/>
          <w:u w:val="single"/>
        </w:rPr>
      </w:pPr>
      <w:r w:rsidRPr="00844369">
        <w:rPr>
          <w:rFonts w:asciiTheme="majorBidi" w:hAnsiTheme="majorBidi" w:cstheme="majorBidi"/>
          <w:u w:val="single"/>
        </w:rPr>
        <w:t>Will I Use Quantitative Methods in My DBA?</w:t>
      </w:r>
    </w:p>
    <w:p w14:paraId="338CA67A" w14:textId="77777777" w:rsidR="008459F1" w:rsidRDefault="008459F1" w:rsidP="008459F1">
      <w:pPr>
        <w:spacing w:line="360" w:lineRule="auto"/>
        <w:jc w:val="both"/>
        <w:rPr>
          <w:rFonts w:asciiTheme="majorBidi" w:hAnsiTheme="majorBidi" w:cstheme="majorBidi"/>
        </w:rPr>
      </w:pPr>
      <w:r w:rsidRPr="00C873DF">
        <w:rPr>
          <w:rFonts w:asciiTheme="majorBidi" w:hAnsiTheme="majorBidi" w:cstheme="majorBidi"/>
        </w:rPr>
        <w:t>Considering this research experience, I can safely state that I am now willing, or even eager, to incorporate quantitative methodologies in my Doctor of Business Administration (DBA) scholarship. Although I still believe in qualitative study as a rich and in-depth method of inquiry, this project has demonstrated to me that quantitative research can provide answers to meaningful and large-scale questions with precision, parsimony, and generality.</w:t>
      </w:r>
    </w:p>
    <w:p w14:paraId="35DB6EF6" w14:textId="77777777" w:rsidR="008459F1" w:rsidRDefault="008459F1" w:rsidP="008459F1">
      <w:pPr>
        <w:spacing w:line="360" w:lineRule="auto"/>
        <w:jc w:val="both"/>
        <w:rPr>
          <w:rFonts w:asciiTheme="majorBidi" w:hAnsiTheme="majorBidi" w:cstheme="majorBidi"/>
        </w:rPr>
      </w:pPr>
      <w:r w:rsidRPr="00C873DF">
        <w:rPr>
          <w:rFonts w:asciiTheme="majorBidi" w:hAnsiTheme="majorBidi" w:cstheme="majorBidi"/>
        </w:rPr>
        <w:t xml:space="preserve">The most satisfactory outcome of the application of quantitative methods I discovered was the possibility of testing specific hypotheses. In my DBA, in which I will explore global </w:t>
      </w:r>
      <w:proofErr w:type="spellStart"/>
      <w:r w:rsidRPr="00C873DF">
        <w:rPr>
          <w:rFonts w:asciiTheme="majorBidi" w:hAnsiTheme="majorBidi" w:cstheme="majorBidi"/>
        </w:rPr>
        <w:t>labor</w:t>
      </w:r>
      <w:proofErr w:type="spellEnd"/>
      <w:r w:rsidRPr="00C873DF">
        <w:rPr>
          <w:rFonts w:asciiTheme="majorBidi" w:hAnsiTheme="majorBidi" w:cstheme="majorBidi"/>
        </w:rPr>
        <w:t xml:space="preserve"> mobility and organizational policies regarding international assignments, I will need this precision. Quantitative methods will enable me to </w:t>
      </w:r>
      <w:proofErr w:type="spellStart"/>
      <w:r w:rsidRPr="00C873DF">
        <w:rPr>
          <w:rFonts w:asciiTheme="majorBidi" w:hAnsiTheme="majorBidi" w:cstheme="majorBidi"/>
        </w:rPr>
        <w:t>analyze</w:t>
      </w:r>
      <w:proofErr w:type="spellEnd"/>
      <w:r w:rsidRPr="00C873DF">
        <w:rPr>
          <w:rFonts w:asciiTheme="majorBidi" w:hAnsiTheme="majorBidi" w:cstheme="majorBidi"/>
        </w:rPr>
        <w:t xml:space="preserve"> trends within and across industries, countries, and income groups in a way that was impossible in a qualitative interview or a case study. A wider scaled sample and statistical analysis of relationships would enable me to </w:t>
      </w:r>
      <w:r w:rsidRPr="00C873DF">
        <w:rPr>
          <w:rFonts w:asciiTheme="majorBidi" w:hAnsiTheme="majorBidi" w:cstheme="majorBidi"/>
        </w:rPr>
        <w:lastRenderedPageBreak/>
        <w:t>conclude upon evidence-based assertions, which are empirically grounded and practically applicable in policy and HR design.</w:t>
      </w:r>
    </w:p>
    <w:p w14:paraId="3E3CA8A3" w14:textId="77777777" w:rsidR="008459F1" w:rsidRDefault="008459F1" w:rsidP="008459F1">
      <w:pPr>
        <w:spacing w:line="360" w:lineRule="auto"/>
        <w:jc w:val="both"/>
        <w:rPr>
          <w:rFonts w:asciiTheme="majorBidi" w:hAnsiTheme="majorBidi" w:cstheme="majorBidi"/>
        </w:rPr>
      </w:pPr>
      <w:r w:rsidRPr="00C873DF">
        <w:rPr>
          <w:rFonts w:asciiTheme="majorBidi" w:hAnsiTheme="majorBidi" w:cstheme="majorBidi"/>
        </w:rPr>
        <w:t>Besides, the moderation analysis using a SPSS macro: Process macro introduced me to new thinking in terms of complex interrelationships, and leads to ideas that, I hope, can be pursued in my DBA. As an example, I might examine the moderating influence of cultural background on the relationship between expatriate compensation and satisfaction with assignments or job autonomy on the relation between digital literacy and achieving success when working remotely. These are analytically sophisticated questions that cannot be investigated properly without quantitative tools.</w:t>
      </w:r>
    </w:p>
    <w:p w14:paraId="381E43D1" w14:textId="77777777" w:rsidR="008459F1" w:rsidRDefault="008459F1" w:rsidP="008459F1">
      <w:pPr>
        <w:spacing w:line="360" w:lineRule="auto"/>
        <w:jc w:val="both"/>
        <w:rPr>
          <w:rFonts w:asciiTheme="majorBidi" w:hAnsiTheme="majorBidi" w:cstheme="majorBidi"/>
        </w:rPr>
      </w:pPr>
      <w:r w:rsidRPr="00C873DF">
        <w:rPr>
          <w:rFonts w:asciiTheme="majorBidi" w:hAnsiTheme="majorBidi" w:cstheme="majorBidi"/>
        </w:rPr>
        <w:t>With that said, I cannot see myself solely relying on quantitative techniques. Instead, I am currently more inclined towards mixed methods the statistical precision of quantitative studies combined with the stories that qualitative give us. I might envisage a broad survey to find out the big picture trends and follow up with interviews to shed light or explain any startling results. It is a methodological complement that provides both breadth and depth, and such an approach matches my academic and professional philosophy.</w:t>
      </w:r>
    </w:p>
    <w:p w14:paraId="7C1C7127" w14:textId="77777777" w:rsidR="008459F1" w:rsidRDefault="008459F1" w:rsidP="008459F1">
      <w:pPr>
        <w:spacing w:line="360" w:lineRule="auto"/>
        <w:jc w:val="both"/>
        <w:rPr>
          <w:rFonts w:asciiTheme="majorBidi" w:hAnsiTheme="majorBidi" w:cstheme="majorBidi"/>
        </w:rPr>
      </w:pPr>
      <w:r w:rsidRPr="00C873DF">
        <w:rPr>
          <w:rFonts w:asciiTheme="majorBidi" w:hAnsiTheme="majorBidi" w:cstheme="majorBidi"/>
        </w:rPr>
        <w:t>Lastly, I am aware of the ethical and epistemological duty of quantitative research. Numbers are deceptive when you do not put them in perspective or when the data collection procedure is ineffective. There is a greater sensitivity among me now to the need of clear operational definitions, stringent survey design and fair reporting. I believe that being exposed to quantitative techniques has not only enriched my technical proficiency but enhanced my grasp regarding the nature of being able to work ethically and effectively in research.</w:t>
      </w:r>
    </w:p>
    <w:p w14:paraId="6A2DE944" w14:textId="77777777" w:rsidR="008459F1" w:rsidRDefault="008459F1" w:rsidP="008459F1">
      <w:pPr>
        <w:spacing w:line="360" w:lineRule="auto"/>
        <w:jc w:val="both"/>
        <w:rPr>
          <w:rFonts w:asciiTheme="majorBidi" w:hAnsiTheme="majorBidi" w:cstheme="majorBidi"/>
          <w:u w:val="single"/>
        </w:rPr>
      </w:pPr>
      <w:r>
        <w:rPr>
          <w:rFonts w:asciiTheme="majorBidi" w:hAnsiTheme="majorBidi" w:cstheme="majorBidi"/>
          <w:u w:val="single"/>
        </w:rPr>
        <w:t xml:space="preserve">Conclusion </w:t>
      </w:r>
    </w:p>
    <w:p w14:paraId="7E5AB888" w14:textId="77777777" w:rsidR="008459F1" w:rsidRPr="00C873DF" w:rsidRDefault="008459F1" w:rsidP="008459F1">
      <w:pPr>
        <w:spacing w:line="360" w:lineRule="auto"/>
        <w:jc w:val="both"/>
        <w:rPr>
          <w:rFonts w:asciiTheme="majorBidi" w:hAnsiTheme="majorBidi" w:cstheme="majorBidi"/>
        </w:rPr>
      </w:pPr>
      <w:r w:rsidRPr="00C873DF">
        <w:rPr>
          <w:rFonts w:asciiTheme="majorBidi" w:hAnsiTheme="majorBidi" w:cstheme="majorBidi"/>
        </w:rPr>
        <w:t xml:space="preserve">Working with SPSS and quantitative strategies has revolutionised my research behaviour. The alternate pathway started as a hesitant journey into the unknown but has turned into a positive and rewarding educational process. I have acquired technical competencies, theoretical understanding, and strategic knowledge on the use of data to reveal trends in human </w:t>
      </w:r>
      <w:proofErr w:type="spellStart"/>
      <w:r w:rsidRPr="00C873DF">
        <w:rPr>
          <w:rFonts w:asciiTheme="majorBidi" w:hAnsiTheme="majorBidi" w:cstheme="majorBidi"/>
        </w:rPr>
        <w:t>behavior</w:t>
      </w:r>
      <w:proofErr w:type="spellEnd"/>
      <w:r w:rsidRPr="00C873DF">
        <w:rPr>
          <w:rFonts w:asciiTheme="majorBidi" w:hAnsiTheme="majorBidi" w:cstheme="majorBidi"/>
        </w:rPr>
        <w:t>. Most significantly, I am no longer considering quantitative research as an alternative to qualitative research but as an additional means that will help me to add richness and significance to my future DBA work. This thoughtful journey has confirmed that numbers can indeed become a formidable way to tell stories, if one has the proper tools and attitude to do so, and I eagerly anticipate sharing my own.</w:t>
      </w:r>
    </w:p>
    <w:p w14:paraId="796629A5" w14:textId="77777777" w:rsidR="008459F1" w:rsidRDefault="008459F1" w:rsidP="008459F1">
      <w:pPr>
        <w:spacing w:line="360" w:lineRule="auto"/>
        <w:jc w:val="center"/>
        <w:rPr>
          <w:rFonts w:asciiTheme="majorBidi" w:hAnsiTheme="majorBidi" w:cstheme="majorBidi"/>
          <w:b/>
          <w:bCs/>
        </w:rPr>
      </w:pPr>
      <w:r>
        <w:rPr>
          <w:rFonts w:asciiTheme="majorBidi" w:hAnsiTheme="majorBidi" w:cstheme="majorBidi"/>
          <w:b/>
          <w:bCs/>
        </w:rPr>
        <w:lastRenderedPageBreak/>
        <w:t>References</w:t>
      </w:r>
    </w:p>
    <w:p w14:paraId="5F58A30A" w14:textId="77777777" w:rsidR="008459F1" w:rsidRDefault="008459F1" w:rsidP="008459F1">
      <w:pPr>
        <w:rPr>
          <w:rFonts w:asciiTheme="majorBidi" w:hAnsiTheme="majorBidi" w:cstheme="majorBidi"/>
        </w:rPr>
      </w:pPr>
      <w:r w:rsidRPr="00F52103">
        <w:rPr>
          <w:rFonts w:asciiTheme="majorBidi" w:hAnsiTheme="majorBidi" w:cstheme="majorBidi"/>
        </w:rPr>
        <w:t xml:space="preserve">Addison, C. C., </w:t>
      </w:r>
      <w:r>
        <w:rPr>
          <w:rFonts w:asciiTheme="majorBidi" w:hAnsiTheme="majorBidi" w:cstheme="majorBidi"/>
        </w:rPr>
        <w:t>and</w:t>
      </w:r>
      <w:r w:rsidRPr="00F52103">
        <w:rPr>
          <w:rFonts w:asciiTheme="majorBidi" w:hAnsiTheme="majorBidi" w:cstheme="majorBidi"/>
        </w:rPr>
        <w:t xml:space="preserve"> Jenkins, B. W. C. (2024). Data analysis using SPSS: Jackson Heart Study. In A. K. Mitra (Ed.), </w:t>
      </w:r>
      <w:r w:rsidRPr="00F52103">
        <w:rPr>
          <w:rFonts w:asciiTheme="majorBidi" w:hAnsiTheme="majorBidi" w:cstheme="majorBidi"/>
          <w:i/>
          <w:iCs/>
        </w:rPr>
        <w:t>Statistical approaches for epidemiology</w:t>
      </w:r>
      <w:r>
        <w:rPr>
          <w:rFonts w:asciiTheme="majorBidi" w:hAnsiTheme="majorBidi" w:cstheme="majorBidi"/>
        </w:rPr>
        <w:t xml:space="preserve">. </w:t>
      </w:r>
      <w:r w:rsidRPr="00F52103">
        <w:rPr>
          <w:rFonts w:asciiTheme="majorBidi" w:hAnsiTheme="majorBidi" w:cstheme="majorBidi"/>
        </w:rPr>
        <w:t xml:space="preserve">Springer, Cham. </w:t>
      </w:r>
      <w:hyperlink r:id="rId8" w:tgtFrame="_new" w:history="1">
        <w:r w:rsidRPr="00F52103">
          <w:rPr>
            <w:rStyle w:val="af2"/>
            <w:rFonts w:asciiTheme="majorBidi" w:hAnsiTheme="majorBidi" w:cstheme="majorBidi"/>
          </w:rPr>
          <w:t>https://doi.org/10.1007/978-3-031-41784-9_21</w:t>
        </w:r>
      </w:hyperlink>
    </w:p>
    <w:p w14:paraId="66739976" w14:textId="77777777" w:rsidR="008459F1" w:rsidRDefault="008459F1" w:rsidP="008459F1">
      <w:pPr>
        <w:jc w:val="both"/>
        <w:rPr>
          <w:rFonts w:asciiTheme="majorBidi" w:hAnsiTheme="majorBidi" w:cstheme="majorBidi"/>
        </w:rPr>
      </w:pPr>
      <w:proofErr w:type="spellStart"/>
      <w:r w:rsidRPr="004B1738">
        <w:rPr>
          <w:rFonts w:asciiTheme="majorBidi" w:hAnsiTheme="majorBidi" w:cstheme="majorBidi"/>
        </w:rPr>
        <w:t>Ariyanti</w:t>
      </w:r>
      <w:proofErr w:type="spellEnd"/>
      <w:r w:rsidRPr="004B1738">
        <w:rPr>
          <w:rFonts w:asciiTheme="majorBidi" w:hAnsiTheme="majorBidi" w:cstheme="majorBidi"/>
        </w:rPr>
        <w:t xml:space="preserve">, M. and </w:t>
      </w:r>
      <w:proofErr w:type="spellStart"/>
      <w:r w:rsidRPr="004B1738">
        <w:rPr>
          <w:rFonts w:asciiTheme="majorBidi" w:hAnsiTheme="majorBidi" w:cstheme="majorBidi"/>
        </w:rPr>
        <w:t>Rinarika</w:t>
      </w:r>
      <w:proofErr w:type="spellEnd"/>
      <w:r w:rsidRPr="004B1738">
        <w:rPr>
          <w:rFonts w:asciiTheme="majorBidi" w:hAnsiTheme="majorBidi" w:cstheme="majorBidi"/>
        </w:rPr>
        <w:t xml:space="preserve">, D. </w:t>
      </w:r>
      <w:r>
        <w:rPr>
          <w:rFonts w:asciiTheme="majorBidi" w:hAnsiTheme="majorBidi" w:cstheme="majorBidi"/>
        </w:rPr>
        <w:t>(</w:t>
      </w:r>
      <w:r w:rsidRPr="004B1738">
        <w:rPr>
          <w:rFonts w:asciiTheme="majorBidi" w:hAnsiTheme="majorBidi" w:cstheme="majorBidi"/>
        </w:rPr>
        <w:t>2024</w:t>
      </w:r>
      <w:r>
        <w:rPr>
          <w:rFonts w:asciiTheme="majorBidi" w:hAnsiTheme="majorBidi" w:cstheme="majorBidi"/>
        </w:rPr>
        <w:t>)</w:t>
      </w:r>
      <w:r w:rsidRPr="004B1738">
        <w:rPr>
          <w:rFonts w:asciiTheme="majorBidi" w:hAnsiTheme="majorBidi" w:cstheme="majorBidi"/>
        </w:rPr>
        <w:t>. The Value Perception in Luxury Goods Towards Purchase Intention Moderated by Disposable Income. </w:t>
      </w:r>
      <w:r w:rsidRPr="004B1738">
        <w:rPr>
          <w:rFonts w:asciiTheme="majorBidi" w:hAnsiTheme="majorBidi" w:cstheme="majorBidi"/>
          <w:i/>
          <w:iCs/>
        </w:rPr>
        <w:t>International Journal of Management and Business Applied</w:t>
      </w:r>
      <w:r w:rsidRPr="004B1738">
        <w:rPr>
          <w:rFonts w:asciiTheme="majorBidi" w:hAnsiTheme="majorBidi" w:cstheme="majorBidi"/>
        </w:rPr>
        <w:t>, </w:t>
      </w:r>
      <w:r w:rsidRPr="004B1738">
        <w:rPr>
          <w:rFonts w:asciiTheme="majorBidi" w:hAnsiTheme="majorBidi" w:cstheme="majorBidi"/>
          <w:i/>
          <w:iCs/>
        </w:rPr>
        <w:t>3</w:t>
      </w:r>
      <w:r w:rsidRPr="004B1738">
        <w:rPr>
          <w:rFonts w:asciiTheme="majorBidi" w:hAnsiTheme="majorBidi" w:cstheme="majorBidi"/>
        </w:rPr>
        <w:t>(2), pp.165-172.</w:t>
      </w:r>
    </w:p>
    <w:p w14:paraId="7BD3341B" w14:textId="77777777" w:rsidR="008459F1" w:rsidRDefault="008459F1" w:rsidP="008459F1">
      <w:pPr>
        <w:jc w:val="both"/>
        <w:rPr>
          <w:rFonts w:asciiTheme="majorBidi" w:hAnsiTheme="majorBidi" w:cstheme="majorBidi"/>
        </w:rPr>
      </w:pPr>
      <w:r w:rsidRPr="00E819C5">
        <w:rPr>
          <w:rFonts w:asciiTheme="majorBidi" w:hAnsiTheme="majorBidi" w:cstheme="majorBidi"/>
        </w:rPr>
        <w:t>Bai, L. and Wang, Y.X.</w:t>
      </w:r>
      <w:r>
        <w:rPr>
          <w:rFonts w:asciiTheme="majorBidi" w:hAnsiTheme="majorBidi" w:cstheme="majorBidi"/>
        </w:rPr>
        <w:t xml:space="preserve"> (</w:t>
      </w:r>
      <w:r w:rsidRPr="00E819C5">
        <w:rPr>
          <w:rFonts w:asciiTheme="majorBidi" w:hAnsiTheme="majorBidi" w:cstheme="majorBidi"/>
        </w:rPr>
        <w:t>2024</w:t>
      </w:r>
      <w:r>
        <w:rPr>
          <w:rFonts w:asciiTheme="majorBidi" w:hAnsiTheme="majorBidi" w:cstheme="majorBidi"/>
        </w:rPr>
        <w:t>)</w:t>
      </w:r>
      <w:r w:rsidRPr="00E819C5">
        <w:rPr>
          <w:rFonts w:asciiTheme="majorBidi" w:hAnsiTheme="majorBidi" w:cstheme="majorBidi"/>
        </w:rPr>
        <w:t>. Combating language and academic culture shocks—International students’ agency in mobilizing their cultural capital. </w:t>
      </w:r>
      <w:r w:rsidRPr="00E819C5">
        <w:rPr>
          <w:rFonts w:asciiTheme="majorBidi" w:hAnsiTheme="majorBidi" w:cstheme="majorBidi"/>
          <w:i/>
          <w:iCs/>
        </w:rPr>
        <w:t>Journal of Diversity in Higher Education</w:t>
      </w:r>
      <w:r w:rsidRPr="00E819C5">
        <w:rPr>
          <w:rFonts w:asciiTheme="majorBidi" w:hAnsiTheme="majorBidi" w:cstheme="majorBidi"/>
        </w:rPr>
        <w:t>, </w:t>
      </w:r>
      <w:r w:rsidRPr="00E819C5">
        <w:rPr>
          <w:rFonts w:asciiTheme="majorBidi" w:hAnsiTheme="majorBidi" w:cstheme="majorBidi"/>
          <w:i/>
          <w:iCs/>
        </w:rPr>
        <w:t>17</w:t>
      </w:r>
      <w:r w:rsidRPr="00E819C5">
        <w:rPr>
          <w:rFonts w:asciiTheme="majorBidi" w:hAnsiTheme="majorBidi" w:cstheme="majorBidi"/>
        </w:rPr>
        <w:t>(2), p.215.</w:t>
      </w:r>
    </w:p>
    <w:p w14:paraId="7082F3C1" w14:textId="77777777" w:rsidR="008459F1" w:rsidRDefault="008459F1" w:rsidP="008459F1">
      <w:pPr>
        <w:jc w:val="both"/>
        <w:rPr>
          <w:rFonts w:asciiTheme="majorBidi" w:hAnsiTheme="majorBidi" w:cstheme="majorBidi"/>
        </w:rPr>
      </w:pPr>
      <w:proofErr w:type="spellStart"/>
      <w:r w:rsidRPr="00E819C5">
        <w:rPr>
          <w:rFonts w:asciiTheme="majorBidi" w:hAnsiTheme="majorBidi" w:cstheme="majorBidi"/>
        </w:rPr>
        <w:t>Bassi</w:t>
      </w:r>
      <w:proofErr w:type="spellEnd"/>
      <w:r w:rsidRPr="00E819C5">
        <w:rPr>
          <w:rFonts w:asciiTheme="majorBidi" w:hAnsiTheme="majorBidi" w:cstheme="majorBidi"/>
        </w:rPr>
        <w:t>, F. and Martín, J.A.M.</w:t>
      </w:r>
      <w:r>
        <w:rPr>
          <w:rFonts w:asciiTheme="majorBidi" w:hAnsiTheme="majorBidi" w:cstheme="majorBidi"/>
        </w:rPr>
        <w:t xml:space="preserve"> (</w:t>
      </w:r>
      <w:r w:rsidRPr="00E819C5">
        <w:rPr>
          <w:rFonts w:asciiTheme="majorBidi" w:hAnsiTheme="majorBidi" w:cstheme="majorBidi"/>
        </w:rPr>
        <w:t>2024</w:t>
      </w:r>
      <w:r>
        <w:rPr>
          <w:rFonts w:asciiTheme="majorBidi" w:hAnsiTheme="majorBidi" w:cstheme="majorBidi"/>
        </w:rPr>
        <w:t>)</w:t>
      </w:r>
      <w:r w:rsidRPr="00E819C5">
        <w:rPr>
          <w:rFonts w:asciiTheme="majorBidi" w:hAnsiTheme="majorBidi" w:cstheme="majorBidi"/>
        </w:rPr>
        <w:t>. Drivers of sustainable tourism in Europe: how to design efficient business strategies. </w:t>
      </w:r>
      <w:r w:rsidRPr="00E819C5">
        <w:rPr>
          <w:rFonts w:asciiTheme="majorBidi" w:hAnsiTheme="majorBidi" w:cstheme="majorBidi"/>
          <w:i/>
          <w:iCs/>
        </w:rPr>
        <w:t xml:space="preserve">Quality </w:t>
      </w:r>
      <w:r>
        <w:rPr>
          <w:rFonts w:asciiTheme="majorBidi" w:hAnsiTheme="majorBidi" w:cstheme="majorBidi"/>
          <w:i/>
          <w:iCs/>
        </w:rPr>
        <w:t>and</w:t>
      </w:r>
      <w:r w:rsidRPr="00E819C5">
        <w:rPr>
          <w:rFonts w:asciiTheme="majorBidi" w:hAnsiTheme="majorBidi" w:cstheme="majorBidi"/>
          <w:i/>
          <w:iCs/>
        </w:rPr>
        <w:t xml:space="preserve"> Quantity</w:t>
      </w:r>
      <w:r w:rsidRPr="00E819C5">
        <w:rPr>
          <w:rFonts w:asciiTheme="majorBidi" w:hAnsiTheme="majorBidi" w:cstheme="majorBidi"/>
        </w:rPr>
        <w:t>, pp.1-26.</w:t>
      </w:r>
    </w:p>
    <w:p w14:paraId="6ACE2E5E" w14:textId="77777777" w:rsidR="008459F1" w:rsidRDefault="008459F1" w:rsidP="008459F1">
      <w:pPr>
        <w:jc w:val="both"/>
        <w:rPr>
          <w:rFonts w:asciiTheme="majorBidi" w:hAnsiTheme="majorBidi" w:cstheme="majorBidi"/>
        </w:rPr>
      </w:pPr>
      <w:proofErr w:type="spellStart"/>
      <w:r w:rsidRPr="00FC0871">
        <w:rPr>
          <w:rFonts w:asciiTheme="majorBidi" w:hAnsiTheme="majorBidi" w:cstheme="majorBidi"/>
        </w:rPr>
        <w:t>Bazak</w:t>
      </w:r>
      <w:proofErr w:type="spellEnd"/>
      <w:r w:rsidRPr="00FC0871">
        <w:rPr>
          <w:rFonts w:asciiTheme="majorBidi" w:hAnsiTheme="majorBidi" w:cstheme="majorBidi"/>
        </w:rPr>
        <w:t xml:space="preserve">, Y.L., Sander, B., </w:t>
      </w:r>
      <w:proofErr w:type="spellStart"/>
      <w:r w:rsidRPr="00FC0871">
        <w:rPr>
          <w:rFonts w:asciiTheme="majorBidi" w:hAnsiTheme="majorBidi" w:cstheme="majorBidi"/>
        </w:rPr>
        <w:t>Werker</w:t>
      </w:r>
      <w:proofErr w:type="spellEnd"/>
      <w:r w:rsidRPr="00FC0871">
        <w:rPr>
          <w:rFonts w:asciiTheme="majorBidi" w:hAnsiTheme="majorBidi" w:cstheme="majorBidi"/>
        </w:rPr>
        <w:t xml:space="preserve">, E., </w:t>
      </w:r>
      <w:proofErr w:type="spellStart"/>
      <w:r w:rsidRPr="00FC0871">
        <w:rPr>
          <w:rFonts w:asciiTheme="majorBidi" w:hAnsiTheme="majorBidi" w:cstheme="majorBidi"/>
        </w:rPr>
        <w:t>Zhumatova</w:t>
      </w:r>
      <w:proofErr w:type="spellEnd"/>
      <w:r w:rsidRPr="00FC0871">
        <w:rPr>
          <w:rFonts w:asciiTheme="majorBidi" w:hAnsiTheme="majorBidi" w:cstheme="majorBidi"/>
        </w:rPr>
        <w:t xml:space="preserve">, S., </w:t>
      </w:r>
      <w:proofErr w:type="spellStart"/>
      <w:r w:rsidRPr="00FC0871">
        <w:rPr>
          <w:rFonts w:asciiTheme="majorBidi" w:hAnsiTheme="majorBidi" w:cstheme="majorBidi"/>
        </w:rPr>
        <w:t>Worsnop</w:t>
      </w:r>
      <w:proofErr w:type="spellEnd"/>
      <w:r w:rsidRPr="00FC0871">
        <w:rPr>
          <w:rFonts w:asciiTheme="majorBidi" w:hAnsiTheme="majorBidi" w:cstheme="majorBidi"/>
        </w:rPr>
        <w:t xml:space="preserve">, C.Z. and Lee, K. </w:t>
      </w:r>
      <w:r>
        <w:rPr>
          <w:rFonts w:asciiTheme="majorBidi" w:hAnsiTheme="majorBidi" w:cstheme="majorBidi"/>
        </w:rPr>
        <w:t>(</w:t>
      </w:r>
      <w:r w:rsidRPr="00FC0871">
        <w:rPr>
          <w:rFonts w:asciiTheme="majorBidi" w:hAnsiTheme="majorBidi" w:cstheme="majorBidi"/>
        </w:rPr>
        <w:t>2024</w:t>
      </w:r>
      <w:r>
        <w:rPr>
          <w:rFonts w:asciiTheme="majorBidi" w:hAnsiTheme="majorBidi" w:cstheme="majorBidi"/>
        </w:rPr>
        <w:t>)</w:t>
      </w:r>
      <w:r w:rsidRPr="00FC0871">
        <w:rPr>
          <w:rFonts w:asciiTheme="majorBidi" w:hAnsiTheme="majorBidi" w:cstheme="majorBidi"/>
        </w:rPr>
        <w:t>. The economic impact of international travel measures used during the COVID-19 pandemic: a scoping review. </w:t>
      </w:r>
      <w:r w:rsidRPr="00FC0871">
        <w:rPr>
          <w:rFonts w:asciiTheme="majorBidi" w:hAnsiTheme="majorBidi" w:cstheme="majorBidi"/>
          <w:i/>
          <w:iCs/>
        </w:rPr>
        <w:t>BMJ Global Health</w:t>
      </w:r>
      <w:r w:rsidRPr="00FC0871">
        <w:rPr>
          <w:rFonts w:asciiTheme="majorBidi" w:hAnsiTheme="majorBidi" w:cstheme="majorBidi"/>
        </w:rPr>
        <w:t>, </w:t>
      </w:r>
      <w:r w:rsidRPr="00FC0871">
        <w:rPr>
          <w:rFonts w:asciiTheme="majorBidi" w:hAnsiTheme="majorBidi" w:cstheme="majorBidi"/>
          <w:i/>
          <w:iCs/>
        </w:rPr>
        <w:t>9</w:t>
      </w:r>
      <w:r w:rsidRPr="00FC0871">
        <w:rPr>
          <w:rFonts w:asciiTheme="majorBidi" w:hAnsiTheme="majorBidi" w:cstheme="majorBidi"/>
        </w:rPr>
        <w:t>(2)</w:t>
      </w:r>
      <w:r>
        <w:rPr>
          <w:rFonts w:asciiTheme="majorBidi" w:hAnsiTheme="majorBidi" w:cstheme="majorBidi"/>
        </w:rPr>
        <w:t xml:space="preserve">, p. 213- 243. </w:t>
      </w:r>
    </w:p>
    <w:p w14:paraId="02D5C4B6" w14:textId="77777777" w:rsidR="008459F1" w:rsidRPr="004110C0" w:rsidRDefault="008459F1" w:rsidP="008459F1">
      <w:pPr>
        <w:jc w:val="both"/>
        <w:rPr>
          <w:rFonts w:asciiTheme="majorBidi" w:hAnsiTheme="majorBidi" w:cstheme="majorBidi"/>
        </w:rPr>
      </w:pPr>
      <w:r w:rsidRPr="004110C0">
        <w:rPr>
          <w:rFonts w:asciiTheme="majorBidi" w:hAnsiTheme="majorBidi" w:cstheme="majorBidi"/>
        </w:rPr>
        <w:t>Becker, G.S.</w:t>
      </w:r>
      <w:r>
        <w:rPr>
          <w:rFonts w:asciiTheme="majorBidi" w:hAnsiTheme="majorBidi" w:cstheme="majorBidi"/>
        </w:rPr>
        <w:t xml:space="preserve"> (</w:t>
      </w:r>
      <w:r w:rsidRPr="004110C0">
        <w:rPr>
          <w:rFonts w:asciiTheme="majorBidi" w:hAnsiTheme="majorBidi" w:cstheme="majorBidi"/>
        </w:rPr>
        <w:t>1993</w:t>
      </w:r>
      <w:r>
        <w:rPr>
          <w:rFonts w:asciiTheme="majorBidi" w:hAnsiTheme="majorBidi" w:cstheme="majorBidi"/>
        </w:rPr>
        <w:t>)</w:t>
      </w:r>
      <w:r w:rsidRPr="004110C0">
        <w:rPr>
          <w:rFonts w:asciiTheme="majorBidi" w:hAnsiTheme="majorBidi" w:cstheme="majorBidi"/>
        </w:rPr>
        <w:t xml:space="preserve">. </w:t>
      </w:r>
      <w:r w:rsidRPr="004110C0">
        <w:rPr>
          <w:rFonts w:asciiTheme="majorBidi" w:hAnsiTheme="majorBidi" w:cstheme="majorBidi"/>
          <w:i/>
          <w:iCs/>
        </w:rPr>
        <w:t>Human Capital: A Theoretical and Empirical Analysis, with Special Reference to Education</w:t>
      </w:r>
      <w:r w:rsidRPr="004110C0">
        <w:rPr>
          <w:rFonts w:asciiTheme="majorBidi" w:hAnsiTheme="majorBidi" w:cstheme="majorBidi"/>
        </w:rPr>
        <w:t>. 3rd ed. Chicago: University of Chicago Press.</w:t>
      </w:r>
    </w:p>
    <w:p w14:paraId="5DE837A2" w14:textId="77777777" w:rsidR="008459F1" w:rsidRDefault="008459F1" w:rsidP="008459F1">
      <w:pPr>
        <w:rPr>
          <w:rFonts w:asciiTheme="majorBidi" w:hAnsiTheme="majorBidi" w:cstheme="majorBidi"/>
        </w:rPr>
      </w:pPr>
      <w:proofErr w:type="spellStart"/>
      <w:r w:rsidRPr="00F52103">
        <w:rPr>
          <w:rFonts w:asciiTheme="majorBidi" w:hAnsiTheme="majorBidi" w:cstheme="majorBidi"/>
        </w:rPr>
        <w:t>Begashe</w:t>
      </w:r>
      <w:proofErr w:type="spellEnd"/>
      <w:r w:rsidRPr="00F52103">
        <w:rPr>
          <w:rFonts w:asciiTheme="majorBidi" w:hAnsiTheme="majorBidi" w:cstheme="majorBidi"/>
        </w:rPr>
        <w:t xml:space="preserve">, B. A., </w:t>
      </w:r>
      <w:proofErr w:type="spellStart"/>
      <w:r w:rsidRPr="00F52103">
        <w:rPr>
          <w:rFonts w:asciiTheme="majorBidi" w:hAnsiTheme="majorBidi" w:cstheme="majorBidi"/>
        </w:rPr>
        <w:t>Matotola</w:t>
      </w:r>
      <w:proofErr w:type="spellEnd"/>
      <w:r w:rsidRPr="00F52103">
        <w:rPr>
          <w:rFonts w:asciiTheme="majorBidi" w:hAnsiTheme="majorBidi" w:cstheme="majorBidi"/>
        </w:rPr>
        <w:t xml:space="preserve">, S., and </w:t>
      </w:r>
      <w:proofErr w:type="spellStart"/>
      <w:r w:rsidRPr="00F52103">
        <w:rPr>
          <w:rFonts w:asciiTheme="majorBidi" w:hAnsiTheme="majorBidi" w:cstheme="majorBidi"/>
        </w:rPr>
        <w:t>Mgonja</w:t>
      </w:r>
      <w:proofErr w:type="spellEnd"/>
      <w:r w:rsidRPr="00F52103">
        <w:rPr>
          <w:rFonts w:asciiTheme="majorBidi" w:hAnsiTheme="majorBidi" w:cstheme="majorBidi"/>
        </w:rPr>
        <w:t xml:space="preserve">, J. T. (2024). </w:t>
      </w:r>
      <w:r w:rsidRPr="00062ACF">
        <w:rPr>
          <w:rFonts w:asciiTheme="majorBidi" w:hAnsiTheme="majorBidi" w:cstheme="majorBidi"/>
          <w:lang w:val="en-US"/>
        </w:rPr>
        <w:t xml:space="preserve">Demographic determinants of wildlife attraction selection among international return tourists in Tanzania: Implications for strategic marketing. </w:t>
      </w:r>
      <w:r w:rsidRPr="00062ACF">
        <w:rPr>
          <w:rFonts w:asciiTheme="majorBidi" w:hAnsiTheme="majorBidi" w:cstheme="majorBidi"/>
          <w:i/>
          <w:iCs/>
          <w:lang w:val="en-US"/>
        </w:rPr>
        <w:t xml:space="preserve">Cogent Business </w:t>
      </w:r>
      <w:r>
        <w:rPr>
          <w:rFonts w:asciiTheme="majorBidi" w:hAnsiTheme="majorBidi" w:cstheme="majorBidi"/>
          <w:i/>
          <w:iCs/>
        </w:rPr>
        <w:t>and</w:t>
      </w:r>
      <w:r w:rsidRPr="00062ACF">
        <w:rPr>
          <w:rFonts w:asciiTheme="majorBidi" w:hAnsiTheme="majorBidi" w:cstheme="majorBidi"/>
          <w:i/>
          <w:iCs/>
          <w:lang w:val="en-US"/>
        </w:rPr>
        <w:t xml:space="preserve"> Management, 11</w:t>
      </w:r>
      <w:r w:rsidRPr="00062ACF">
        <w:rPr>
          <w:rFonts w:asciiTheme="majorBidi" w:hAnsiTheme="majorBidi" w:cstheme="majorBidi"/>
          <w:lang w:val="en-US"/>
        </w:rPr>
        <w:t xml:space="preserve">(1), </w:t>
      </w:r>
      <w:r>
        <w:rPr>
          <w:rFonts w:asciiTheme="majorBidi" w:hAnsiTheme="majorBidi" w:cstheme="majorBidi"/>
        </w:rPr>
        <w:t xml:space="preserve">pp. </w:t>
      </w:r>
      <w:r w:rsidRPr="00062ACF">
        <w:rPr>
          <w:rFonts w:asciiTheme="majorBidi" w:hAnsiTheme="majorBidi" w:cstheme="majorBidi"/>
          <w:lang w:val="en-US"/>
        </w:rPr>
        <w:t xml:space="preserve">2340127. </w:t>
      </w:r>
      <w:hyperlink r:id="rId9" w:tgtFrame="_new" w:history="1">
        <w:r w:rsidRPr="00062ACF">
          <w:rPr>
            <w:rStyle w:val="af2"/>
            <w:rFonts w:asciiTheme="majorBidi" w:hAnsiTheme="majorBidi" w:cstheme="majorBidi"/>
            <w:lang w:val="en-US"/>
          </w:rPr>
          <w:t>https://doi.org/10.1080/23311975.2024.2340127</w:t>
        </w:r>
      </w:hyperlink>
    </w:p>
    <w:p w14:paraId="30AB2091" w14:textId="77777777" w:rsidR="008459F1" w:rsidRDefault="008459F1" w:rsidP="008459F1">
      <w:pPr>
        <w:jc w:val="both"/>
        <w:rPr>
          <w:rFonts w:asciiTheme="majorBidi" w:hAnsiTheme="majorBidi" w:cstheme="majorBidi"/>
        </w:rPr>
      </w:pPr>
      <w:r w:rsidRPr="00582721">
        <w:rPr>
          <w:rFonts w:asciiTheme="majorBidi" w:hAnsiTheme="majorBidi" w:cstheme="majorBidi"/>
          <w:lang w:val="es-ES"/>
        </w:rPr>
        <w:t>Boto-García, D. and Baños Pino, J.F.</w:t>
      </w:r>
      <w:r>
        <w:rPr>
          <w:rFonts w:asciiTheme="majorBidi" w:hAnsiTheme="majorBidi" w:cstheme="majorBidi"/>
          <w:lang w:val="es-ES"/>
        </w:rPr>
        <w:t xml:space="preserve"> (</w:t>
      </w:r>
      <w:r w:rsidRPr="00582721">
        <w:rPr>
          <w:rFonts w:asciiTheme="majorBidi" w:hAnsiTheme="majorBidi" w:cstheme="majorBidi"/>
          <w:lang w:val="es-ES"/>
        </w:rPr>
        <w:t>2024</w:t>
      </w:r>
      <w:r>
        <w:rPr>
          <w:rFonts w:asciiTheme="majorBidi" w:hAnsiTheme="majorBidi" w:cstheme="majorBidi"/>
          <w:lang w:val="es-ES"/>
        </w:rPr>
        <w:t>)</w:t>
      </w:r>
      <w:r w:rsidRPr="00582721">
        <w:rPr>
          <w:rFonts w:asciiTheme="majorBidi" w:hAnsiTheme="majorBidi" w:cstheme="majorBidi"/>
          <w:lang w:val="es-ES"/>
        </w:rPr>
        <w:t xml:space="preserve">. </w:t>
      </w:r>
      <w:r w:rsidRPr="004B1738">
        <w:rPr>
          <w:rFonts w:asciiTheme="majorBidi" w:hAnsiTheme="majorBidi" w:cstheme="majorBidi"/>
        </w:rPr>
        <w:t>Preference shifts during health shocks: foreign tourists’ expenditure–price elasticity throughout the pandemic. </w:t>
      </w:r>
      <w:r w:rsidRPr="004B1738">
        <w:rPr>
          <w:rFonts w:asciiTheme="majorBidi" w:hAnsiTheme="majorBidi" w:cstheme="majorBidi"/>
          <w:i/>
          <w:iCs/>
        </w:rPr>
        <w:t>Journal of Travel Research</w:t>
      </w:r>
      <w:r w:rsidRPr="004B1738">
        <w:rPr>
          <w:rFonts w:asciiTheme="majorBidi" w:hAnsiTheme="majorBidi" w:cstheme="majorBidi"/>
        </w:rPr>
        <w:t>, </w:t>
      </w:r>
      <w:r w:rsidRPr="004B1738">
        <w:rPr>
          <w:rFonts w:asciiTheme="majorBidi" w:hAnsiTheme="majorBidi" w:cstheme="majorBidi"/>
          <w:i/>
          <w:iCs/>
        </w:rPr>
        <w:t>63</w:t>
      </w:r>
      <w:r w:rsidRPr="004B1738">
        <w:rPr>
          <w:rFonts w:asciiTheme="majorBidi" w:hAnsiTheme="majorBidi" w:cstheme="majorBidi"/>
        </w:rPr>
        <w:t>(3), pp.642-658.</w:t>
      </w:r>
    </w:p>
    <w:p w14:paraId="300D1592" w14:textId="77777777" w:rsidR="008459F1" w:rsidRPr="00DF57EE" w:rsidRDefault="008459F1" w:rsidP="008459F1">
      <w:pPr>
        <w:jc w:val="both"/>
        <w:rPr>
          <w:rFonts w:asciiTheme="majorBidi" w:hAnsiTheme="majorBidi" w:cstheme="majorBidi"/>
        </w:rPr>
      </w:pPr>
      <w:r w:rsidRPr="00DF57EE">
        <w:rPr>
          <w:rFonts w:asciiTheme="majorBidi" w:hAnsiTheme="majorBidi" w:cstheme="majorBidi"/>
        </w:rPr>
        <w:t>Bourdieu, P.</w:t>
      </w:r>
      <w:r>
        <w:rPr>
          <w:rFonts w:asciiTheme="majorBidi" w:hAnsiTheme="majorBidi" w:cstheme="majorBidi"/>
        </w:rPr>
        <w:t xml:space="preserve"> (</w:t>
      </w:r>
      <w:r w:rsidRPr="00DF57EE">
        <w:rPr>
          <w:rFonts w:asciiTheme="majorBidi" w:hAnsiTheme="majorBidi" w:cstheme="majorBidi"/>
        </w:rPr>
        <w:t>1986</w:t>
      </w:r>
      <w:r>
        <w:rPr>
          <w:rFonts w:asciiTheme="majorBidi" w:hAnsiTheme="majorBidi" w:cstheme="majorBidi"/>
        </w:rPr>
        <w:t>)</w:t>
      </w:r>
      <w:r w:rsidRPr="00DF57EE">
        <w:rPr>
          <w:rFonts w:asciiTheme="majorBidi" w:hAnsiTheme="majorBidi" w:cstheme="majorBidi"/>
        </w:rPr>
        <w:t xml:space="preserve">. The forms of capital. In: J.G. Richardson, ed. </w:t>
      </w:r>
      <w:r w:rsidRPr="00DF57EE">
        <w:rPr>
          <w:rFonts w:asciiTheme="majorBidi" w:hAnsiTheme="majorBidi" w:cstheme="majorBidi"/>
          <w:i/>
          <w:iCs/>
        </w:rPr>
        <w:t>Handbook of Theory and Research for the Sociology of Education</w:t>
      </w:r>
      <w:r w:rsidRPr="00DF57EE">
        <w:rPr>
          <w:rFonts w:asciiTheme="majorBidi" w:hAnsiTheme="majorBidi" w:cstheme="majorBidi"/>
        </w:rPr>
        <w:t>. New York: Greenwood Press, pp.241–258.</w:t>
      </w:r>
    </w:p>
    <w:p w14:paraId="0101530A" w14:textId="77777777" w:rsidR="008459F1" w:rsidRDefault="008459F1" w:rsidP="008459F1">
      <w:pPr>
        <w:jc w:val="both"/>
        <w:rPr>
          <w:rFonts w:asciiTheme="majorBidi" w:hAnsiTheme="majorBidi" w:cstheme="majorBidi"/>
        </w:rPr>
      </w:pPr>
      <w:r w:rsidRPr="004110C0">
        <w:rPr>
          <w:rFonts w:asciiTheme="majorBidi" w:hAnsiTheme="majorBidi" w:cstheme="majorBidi"/>
        </w:rPr>
        <w:t>British Psychological Society (2021)</w:t>
      </w:r>
      <w:r>
        <w:rPr>
          <w:rFonts w:asciiTheme="majorBidi" w:hAnsiTheme="majorBidi" w:cstheme="majorBidi"/>
        </w:rPr>
        <w:t>.</w:t>
      </w:r>
      <w:r w:rsidRPr="004110C0">
        <w:rPr>
          <w:rFonts w:asciiTheme="majorBidi" w:hAnsiTheme="majorBidi" w:cstheme="majorBidi"/>
        </w:rPr>
        <w:t xml:space="preserve"> </w:t>
      </w:r>
      <w:r w:rsidRPr="004110C0">
        <w:rPr>
          <w:rFonts w:asciiTheme="majorBidi" w:hAnsiTheme="majorBidi" w:cstheme="majorBidi"/>
          <w:i/>
          <w:iCs/>
        </w:rPr>
        <w:t>The British Psychological Society: Code of Ethics and Conduct</w:t>
      </w:r>
      <w:r w:rsidRPr="004110C0">
        <w:rPr>
          <w:rFonts w:asciiTheme="majorBidi" w:hAnsiTheme="majorBidi" w:cstheme="majorBidi"/>
        </w:rPr>
        <w:t>. Leicester: British Psychological Society. Available at: https://www.bps.org.uk/guidelines-and-policies/code-ethics-and-conduct (</w:t>
      </w:r>
      <w:r w:rsidRPr="004B1738">
        <w:rPr>
          <w:rFonts w:asciiTheme="majorBidi" w:hAnsiTheme="majorBidi" w:cstheme="majorBidi"/>
        </w:rPr>
        <w:t>Accessed:</w:t>
      </w:r>
      <w:r>
        <w:rPr>
          <w:rFonts w:asciiTheme="majorBidi" w:hAnsiTheme="majorBidi" w:cstheme="majorBidi"/>
        </w:rPr>
        <w:t xml:space="preserve"> 24 July 2025). </w:t>
      </w:r>
    </w:p>
    <w:p w14:paraId="2ADB67AC" w14:textId="77777777" w:rsidR="008459F1" w:rsidRDefault="008459F1" w:rsidP="008459F1">
      <w:pPr>
        <w:jc w:val="both"/>
        <w:rPr>
          <w:rFonts w:asciiTheme="majorBidi" w:hAnsiTheme="majorBidi" w:cstheme="majorBidi"/>
        </w:rPr>
      </w:pPr>
      <w:r w:rsidRPr="00FC0871">
        <w:rPr>
          <w:rFonts w:asciiTheme="majorBidi" w:hAnsiTheme="majorBidi" w:cstheme="majorBidi"/>
        </w:rPr>
        <w:t>Bryman, A. and Bell, E.</w:t>
      </w:r>
      <w:r>
        <w:rPr>
          <w:rFonts w:asciiTheme="majorBidi" w:hAnsiTheme="majorBidi" w:cstheme="majorBidi"/>
        </w:rPr>
        <w:t xml:space="preserve"> (</w:t>
      </w:r>
      <w:r w:rsidRPr="00FC0871">
        <w:rPr>
          <w:rFonts w:asciiTheme="majorBidi" w:hAnsiTheme="majorBidi" w:cstheme="majorBidi"/>
        </w:rPr>
        <w:t>2015</w:t>
      </w:r>
      <w:r>
        <w:rPr>
          <w:rFonts w:asciiTheme="majorBidi" w:hAnsiTheme="majorBidi" w:cstheme="majorBidi"/>
        </w:rPr>
        <w:t>)</w:t>
      </w:r>
      <w:r w:rsidRPr="00FC0871">
        <w:rPr>
          <w:rFonts w:asciiTheme="majorBidi" w:hAnsiTheme="majorBidi" w:cstheme="majorBidi"/>
        </w:rPr>
        <w:t xml:space="preserve">. </w:t>
      </w:r>
      <w:r w:rsidRPr="00FC0871">
        <w:rPr>
          <w:rFonts w:asciiTheme="majorBidi" w:hAnsiTheme="majorBidi" w:cstheme="majorBidi"/>
          <w:i/>
          <w:iCs/>
        </w:rPr>
        <w:t>Business Research Methods</w:t>
      </w:r>
      <w:r w:rsidRPr="00FC0871">
        <w:rPr>
          <w:rFonts w:asciiTheme="majorBidi" w:hAnsiTheme="majorBidi" w:cstheme="majorBidi"/>
        </w:rPr>
        <w:t>. 4th ed. Oxford: Oxford University Press.</w:t>
      </w:r>
    </w:p>
    <w:p w14:paraId="3E24FE70" w14:textId="77777777" w:rsidR="008459F1" w:rsidRDefault="008459F1" w:rsidP="008459F1">
      <w:pPr>
        <w:rPr>
          <w:rFonts w:asciiTheme="majorBidi" w:hAnsiTheme="majorBidi" w:cstheme="majorBidi"/>
        </w:rPr>
      </w:pPr>
      <w:r w:rsidRPr="001076A1">
        <w:rPr>
          <w:rFonts w:asciiTheme="majorBidi" w:hAnsiTheme="majorBidi" w:cstheme="majorBidi"/>
          <w:lang w:val="en-US"/>
        </w:rPr>
        <w:t xml:space="preserve">Bui, H. N., </w:t>
      </w:r>
      <w:r>
        <w:rPr>
          <w:rFonts w:asciiTheme="majorBidi" w:hAnsiTheme="majorBidi" w:cstheme="majorBidi"/>
        </w:rPr>
        <w:t>and</w:t>
      </w:r>
      <w:r w:rsidRPr="001076A1">
        <w:rPr>
          <w:rFonts w:asciiTheme="majorBidi" w:hAnsiTheme="majorBidi" w:cstheme="majorBidi"/>
          <w:lang w:val="en-US"/>
        </w:rPr>
        <w:t xml:space="preserve"> Le, M. H. (2022). Time-frequency nexus between tourism development, economic growth, human capital, and income inequality in Singapore. </w:t>
      </w:r>
      <w:r w:rsidRPr="001076A1">
        <w:rPr>
          <w:rFonts w:asciiTheme="majorBidi" w:hAnsiTheme="majorBidi" w:cstheme="majorBidi"/>
          <w:i/>
          <w:iCs/>
          <w:lang w:val="en-US"/>
        </w:rPr>
        <w:t>Applied Economics Letters</w:t>
      </w:r>
      <w:r w:rsidRPr="001076A1">
        <w:rPr>
          <w:rFonts w:asciiTheme="majorBidi" w:hAnsiTheme="majorBidi" w:cstheme="majorBidi"/>
          <w:lang w:val="en-US"/>
        </w:rPr>
        <w:t xml:space="preserve">, </w:t>
      </w:r>
      <w:r w:rsidRPr="001076A1">
        <w:rPr>
          <w:rFonts w:asciiTheme="majorBidi" w:hAnsiTheme="majorBidi" w:cstheme="majorBidi"/>
          <w:i/>
          <w:iCs/>
          <w:lang w:val="en-US"/>
        </w:rPr>
        <w:t>31</w:t>
      </w:r>
      <w:r w:rsidRPr="001076A1">
        <w:rPr>
          <w:rFonts w:asciiTheme="majorBidi" w:hAnsiTheme="majorBidi" w:cstheme="majorBidi"/>
          <w:lang w:val="en-US"/>
        </w:rPr>
        <w:t xml:space="preserve">(4), </w:t>
      </w:r>
      <w:r>
        <w:rPr>
          <w:rFonts w:asciiTheme="majorBidi" w:hAnsiTheme="majorBidi" w:cstheme="majorBidi"/>
        </w:rPr>
        <w:t xml:space="preserve">pp. </w:t>
      </w:r>
      <w:r w:rsidRPr="001076A1">
        <w:rPr>
          <w:rFonts w:asciiTheme="majorBidi" w:hAnsiTheme="majorBidi" w:cstheme="majorBidi"/>
          <w:lang w:val="en-US"/>
        </w:rPr>
        <w:t xml:space="preserve">259–264. </w:t>
      </w:r>
      <w:hyperlink r:id="rId10" w:tgtFrame="_new" w:history="1">
        <w:r w:rsidRPr="001076A1">
          <w:rPr>
            <w:rStyle w:val="af2"/>
            <w:rFonts w:asciiTheme="majorBidi" w:hAnsiTheme="majorBidi" w:cstheme="majorBidi"/>
            <w:lang w:val="en-US"/>
          </w:rPr>
          <w:t>https://doi.org/10.1080/13504851.2022.2130865</w:t>
        </w:r>
      </w:hyperlink>
    </w:p>
    <w:p w14:paraId="2C41E292" w14:textId="77777777" w:rsidR="008459F1" w:rsidRDefault="008459F1" w:rsidP="008459F1">
      <w:pPr>
        <w:jc w:val="both"/>
        <w:rPr>
          <w:rFonts w:asciiTheme="majorBidi" w:hAnsiTheme="majorBidi" w:cstheme="majorBidi"/>
        </w:rPr>
      </w:pPr>
      <w:proofErr w:type="spellStart"/>
      <w:r w:rsidRPr="00E819C5">
        <w:rPr>
          <w:rFonts w:asciiTheme="majorBidi" w:hAnsiTheme="majorBidi" w:cstheme="majorBidi"/>
        </w:rPr>
        <w:lastRenderedPageBreak/>
        <w:t>Demiris</w:t>
      </w:r>
      <w:proofErr w:type="spellEnd"/>
      <w:r w:rsidRPr="00E819C5">
        <w:rPr>
          <w:rFonts w:asciiTheme="majorBidi" w:hAnsiTheme="majorBidi" w:cstheme="majorBidi"/>
        </w:rPr>
        <w:t xml:space="preserve">, A., Fountas, G., </w:t>
      </w:r>
      <w:proofErr w:type="spellStart"/>
      <w:r w:rsidRPr="00E819C5">
        <w:rPr>
          <w:rFonts w:asciiTheme="majorBidi" w:hAnsiTheme="majorBidi" w:cstheme="majorBidi"/>
        </w:rPr>
        <w:t>Fonzone</w:t>
      </w:r>
      <w:proofErr w:type="spellEnd"/>
      <w:r w:rsidRPr="00E819C5">
        <w:rPr>
          <w:rFonts w:asciiTheme="majorBidi" w:hAnsiTheme="majorBidi" w:cstheme="majorBidi"/>
        </w:rPr>
        <w:t xml:space="preserve">, A. and </w:t>
      </w:r>
      <w:proofErr w:type="spellStart"/>
      <w:r w:rsidRPr="00E819C5">
        <w:rPr>
          <w:rFonts w:asciiTheme="majorBidi" w:hAnsiTheme="majorBidi" w:cstheme="majorBidi"/>
        </w:rPr>
        <w:t>Basbas</w:t>
      </w:r>
      <w:proofErr w:type="spellEnd"/>
      <w:r w:rsidRPr="00E819C5">
        <w:rPr>
          <w:rFonts w:asciiTheme="majorBidi" w:hAnsiTheme="majorBidi" w:cstheme="majorBidi"/>
        </w:rPr>
        <w:t>, S.</w:t>
      </w:r>
      <w:r>
        <w:rPr>
          <w:rFonts w:asciiTheme="majorBidi" w:hAnsiTheme="majorBidi" w:cstheme="majorBidi"/>
        </w:rPr>
        <w:t xml:space="preserve"> (</w:t>
      </w:r>
      <w:r w:rsidRPr="00E819C5">
        <w:rPr>
          <w:rFonts w:asciiTheme="majorBidi" w:hAnsiTheme="majorBidi" w:cstheme="majorBidi"/>
        </w:rPr>
        <w:t>2025</w:t>
      </w:r>
      <w:r>
        <w:rPr>
          <w:rFonts w:asciiTheme="majorBidi" w:hAnsiTheme="majorBidi" w:cstheme="majorBidi"/>
        </w:rPr>
        <w:t>)</w:t>
      </w:r>
      <w:r w:rsidRPr="00E819C5">
        <w:rPr>
          <w:rFonts w:asciiTheme="majorBidi" w:hAnsiTheme="majorBidi" w:cstheme="majorBidi"/>
        </w:rPr>
        <w:t xml:space="preserve">. Generation Z’s Travel </w:t>
      </w:r>
      <w:proofErr w:type="spellStart"/>
      <w:r w:rsidRPr="00E819C5">
        <w:rPr>
          <w:rFonts w:asciiTheme="majorBidi" w:hAnsiTheme="majorBidi" w:cstheme="majorBidi"/>
        </w:rPr>
        <w:t>Behavior</w:t>
      </w:r>
      <w:proofErr w:type="spellEnd"/>
      <w:r w:rsidRPr="00E819C5">
        <w:rPr>
          <w:rFonts w:asciiTheme="majorBidi" w:hAnsiTheme="majorBidi" w:cstheme="majorBidi"/>
        </w:rPr>
        <w:t xml:space="preserve"> and Climate Change: A Comparative Study for Greece and the UK. </w:t>
      </w:r>
      <w:r w:rsidRPr="00E819C5">
        <w:rPr>
          <w:rFonts w:asciiTheme="majorBidi" w:hAnsiTheme="majorBidi" w:cstheme="majorBidi"/>
          <w:i/>
          <w:iCs/>
        </w:rPr>
        <w:t>Big Data and Cognitive Computing</w:t>
      </w:r>
      <w:r w:rsidRPr="00E819C5">
        <w:rPr>
          <w:rFonts w:asciiTheme="majorBidi" w:hAnsiTheme="majorBidi" w:cstheme="majorBidi"/>
        </w:rPr>
        <w:t>, </w:t>
      </w:r>
      <w:r w:rsidRPr="00E819C5">
        <w:rPr>
          <w:rFonts w:asciiTheme="majorBidi" w:hAnsiTheme="majorBidi" w:cstheme="majorBidi"/>
          <w:i/>
          <w:iCs/>
        </w:rPr>
        <w:t>9</w:t>
      </w:r>
      <w:r w:rsidRPr="00E819C5">
        <w:rPr>
          <w:rFonts w:asciiTheme="majorBidi" w:hAnsiTheme="majorBidi" w:cstheme="majorBidi"/>
        </w:rPr>
        <w:t>(3), p.70.</w:t>
      </w:r>
    </w:p>
    <w:p w14:paraId="769DCEF5" w14:textId="77777777" w:rsidR="008459F1" w:rsidRDefault="008459F1" w:rsidP="008459F1">
      <w:pPr>
        <w:rPr>
          <w:rFonts w:asciiTheme="majorBidi" w:hAnsiTheme="majorBidi" w:cstheme="majorBidi"/>
        </w:rPr>
      </w:pPr>
      <w:r w:rsidRPr="00062ACF">
        <w:rPr>
          <w:rFonts w:asciiTheme="majorBidi" w:hAnsiTheme="majorBidi" w:cstheme="majorBidi"/>
        </w:rPr>
        <w:t xml:space="preserve">Gao, K., Yang, Y., </w:t>
      </w:r>
      <w:r w:rsidRPr="00F52103">
        <w:rPr>
          <w:rFonts w:asciiTheme="majorBidi" w:hAnsiTheme="majorBidi" w:cstheme="majorBidi"/>
        </w:rPr>
        <w:t>and</w:t>
      </w:r>
      <w:r w:rsidRPr="00062ACF">
        <w:rPr>
          <w:rFonts w:asciiTheme="majorBidi" w:hAnsiTheme="majorBidi" w:cstheme="majorBidi"/>
        </w:rPr>
        <w:t xml:space="preserve"> Qu, X. (2021). Examining nonlinear and interaction effects of multiple determinants on airline travel satisfaction. </w:t>
      </w:r>
      <w:r w:rsidRPr="00062ACF">
        <w:rPr>
          <w:rFonts w:asciiTheme="majorBidi" w:hAnsiTheme="majorBidi" w:cstheme="majorBidi"/>
          <w:i/>
          <w:iCs/>
        </w:rPr>
        <w:t>Transportation Research Part D: Transport and Environment, 97</w:t>
      </w:r>
      <w:r w:rsidRPr="00062ACF">
        <w:rPr>
          <w:rFonts w:asciiTheme="majorBidi" w:hAnsiTheme="majorBidi" w:cstheme="majorBidi"/>
        </w:rPr>
        <w:t xml:space="preserve">, </w:t>
      </w:r>
      <w:r>
        <w:rPr>
          <w:rFonts w:asciiTheme="majorBidi" w:hAnsiTheme="majorBidi" w:cstheme="majorBidi"/>
        </w:rPr>
        <w:t xml:space="preserve">pp. </w:t>
      </w:r>
      <w:r w:rsidRPr="00062ACF">
        <w:rPr>
          <w:rFonts w:asciiTheme="majorBidi" w:hAnsiTheme="majorBidi" w:cstheme="majorBidi"/>
        </w:rPr>
        <w:t xml:space="preserve">102957. </w:t>
      </w:r>
      <w:hyperlink r:id="rId11" w:tgtFrame="_new" w:history="1">
        <w:r w:rsidRPr="00062ACF">
          <w:rPr>
            <w:rStyle w:val="af2"/>
            <w:rFonts w:asciiTheme="majorBidi" w:hAnsiTheme="majorBidi" w:cstheme="majorBidi"/>
          </w:rPr>
          <w:t>https://doi.org/10.1016/j.trd.2021.102957</w:t>
        </w:r>
      </w:hyperlink>
    </w:p>
    <w:p w14:paraId="1F1977A1" w14:textId="77777777" w:rsidR="008459F1" w:rsidRDefault="008459F1" w:rsidP="008459F1">
      <w:pPr>
        <w:rPr>
          <w:rFonts w:asciiTheme="majorBidi" w:hAnsiTheme="majorBidi" w:cstheme="majorBidi"/>
        </w:rPr>
      </w:pPr>
      <w:r w:rsidRPr="001076A1">
        <w:rPr>
          <w:rFonts w:asciiTheme="majorBidi" w:hAnsiTheme="majorBidi" w:cstheme="majorBidi"/>
        </w:rPr>
        <w:t xml:space="preserve">Hayes, A. F. (2022). </w:t>
      </w:r>
      <w:r w:rsidRPr="001076A1">
        <w:rPr>
          <w:rFonts w:asciiTheme="majorBidi" w:hAnsiTheme="majorBidi" w:cstheme="majorBidi"/>
          <w:i/>
          <w:iCs/>
        </w:rPr>
        <w:t>Introduction to mediation, moderation, and conditional process analysis: A regression-based approach</w:t>
      </w:r>
      <w:r w:rsidRPr="001076A1">
        <w:rPr>
          <w:rFonts w:asciiTheme="majorBidi" w:hAnsiTheme="majorBidi" w:cstheme="majorBidi"/>
        </w:rPr>
        <w:t xml:space="preserve"> (3rd ed.). Guilford Press.</w:t>
      </w:r>
    </w:p>
    <w:p w14:paraId="2F0F213F" w14:textId="77777777" w:rsidR="008459F1" w:rsidRDefault="008459F1" w:rsidP="008459F1">
      <w:pPr>
        <w:rPr>
          <w:rFonts w:asciiTheme="majorBidi" w:hAnsiTheme="majorBidi" w:cstheme="majorBidi"/>
        </w:rPr>
      </w:pPr>
      <w:r w:rsidRPr="00062ACF">
        <w:rPr>
          <w:rFonts w:asciiTheme="majorBidi" w:hAnsiTheme="majorBidi" w:cstheme="majorBidi"/>
          <w:lang w:val="en-US"/>
        </w:rPr>
        <w:t xml:space="preserve">He, M., Li, J., Shi, Z., Liu, Y., Shuai, C., </w:t>
      </w:r>
      <w:r>
        <w:rPr>
          <w:rFonts w:asciiTheme="majorBidi" w:hAnsiTheme="majorBidi" w:cstheme="majorBidi"/>
        </w:rPr>
        <w:t>and</w:t>
      </w:r>
      <w:r w:rsidRPr="00062ACF">
        <w:rPr>
          <w:rFonts w:asciiTheme="majorBidi" w:hAnsiTheme="majorBidi" w:cstheme="majorBidi"/>
          <w:lang w:val="en-US"/>
        </w:rPr>
        <w:t xml:space="preserve"> Liu, J. (2022). Exploring the nonlinear and threshold effects of travel distance on the travel mode choice across different groups: An empirical study of Guiyang, China. </w:t>
      </w:r>
      <w:r w:rsidRPr="00062ACF">
        <w:rPr>
          <w:rFonts w:asciiTheme="majorBidi" w:hAnsiTheme="majorBidi" w:cstheme="majorBidi"/>
          <w:i/>
          <w:iCs/>
          <w:lang w:val="en-US"/>
        </w:rPr>
        <w:t>International Journal of Environmental Research and Public Health, 19</w:t>
      </w:r>
      <w:r w:rsidRPr="00062ACF">
        <w:rPr>
          <w:rFonts w:asciiTheme="majorBidi" w:hAnsiTheme="majorBidi" w:cstheme="majorBidi"/>
          <w:lang w:val="en-US"/>
        </w:rPr>
        <w:t xml:space="preserve">(23), </w:t>
      </w:r>
      <w:r>
        <w:rPr>
          <w:rFonts w:asciiTheme="majorBidi" w:hAnsiTheme="majorBidi" w:cstheme="majorBidi"/>
        </w:rPr>
        <w:t xml:space="preserve">pp. </w:t>
      </w:r>
      <w:r w:rsidRPr="00062ACF">
        <w:rPr>
          <w:rFonts w:asciiTheme="majorBidi" w:hAnsiTheme="majorBidi" w:cstheme="majorBidi"/>
          <w:lang w:val="en-US"/>
        </w:rPr>
        <w:t xml:space="preserve">16045. </w:t>
      </w:r>
      <w:hyperlink r:id="rId12" w:tgtFrame="_new" w:history="1">
        <w:r w:rsidRPr="00062ACF">
          <w:rPr>
            <w:rStyle w:val="af2"/>
            <w:rFonts w:asciiTheme="majorBidi" w:hAnsiTheme="majorBidi" w:cstheme="majorBidi"/>
            <w:lang w:val="en-US"/>
          </w:rPr>
          <w:t>https://doi.org/10.3390/ijerph192316045</w:t>
        </w:r>
      </w:hyperlink>
    </w:p>
    <w:p w14:paraId="727B4BD8" w14:textId="77777777" w:rsidR="008459F1" w:rsidRDefault="008459F1" w:rsidP="008459F1">
      <w:pPr>
        <w:jc w:val="both"/>
        <w:rPr>
          <w:rFonts w:asciiTheme="majorBidi" w:hAnsiTheme="majorBidi" w:cstheme="majorBidi"/>
        </w:rPr>
      </w:pPr>
      <w:r w:rsidRPr="00E819C5">
        <w:rPr>
          <w:rFonts w:asciiTheme="majorBidi" w:hAnsiTheme="majorBidi" w:cstheme="majorBidi"/>
        </w:rPr>
        <w:t xml:space="preserve">He, Y., Sun, Y., Zhao, Z., Chen, M., </w:t>
      </w:r>
      <w:proofErr w:type="spellStart"/>
      <w:r w:rsidRPr="00E819C5">
        <w:rPr>
          <w:rFonts w:asciiTheme="majorBidi" w:hAnsiTheme="majorBidi" w:cstheme="majorBidi"/>
        </w:rPr>
        <w:t>Waygood</w:t>
      </w:r>
      <w:proofErr w:type="spellEnd"/>
      <w:r w:rsidRPr="00E819C5">
        <w:rPr>
          <w:rFonts w:asciiTheme="majorBidi" w:hAnsiTheme="majorBidi" w:cstheme="majorBidi"/>
        </w:rPr>
        <w:t>, E.O.D. and Shu, Y.</w:t>
      </w:r>
      <w:r>
        <w:rPr>
          <w:rFonts w:asciiTheme="majorBidi" w:hAnsiTheme="majorBidi" w:cstheme="majorBidi"/>
        </w:rPr>
        <w:t xml:space="preserve"> (</w:t>
      </w:r>
      <w:r w:rsidRPr="00E819C5">
        <w:rPr>
          <w:rFonts w:asciiTheme="majorBidi" w:hAnsiTheme="majorBidi" w:cstheme="majorBidi"/>
        </w:rPr>
        <w:t>2024</w:t>
      </w:r>
      <w:r>
        <w:rPr>
          <w:rFonts w:asciiTheme="majorBidi" w:hAnsiTheme="majorBidi" w:cstheme="majorBidi"/>
        </w:rPr>
        <w:t>)</w:t>
      </w:r>
      <w:r w:rsidRPr="00E819C5">
        <w:rPr>
          <w:rFonts w:asciiTheme="majorBidi" w:hAnsiTheme="majorBidi" w:cstheme="majorBidi"/>
        </w:rPr>
        <w:t xml:space="preserve">. Impact of social-psychological factors on low-carbon travel intention: Merging theory of planned </w:t>
      </w:r>
      <w:proofErr w:type="spellStart"/>
      <w:r w:rsidRPr="00E819C5">
        <w:rPr>
          <w:rFonts w:asciiTheme="majorBidi" w:hAnsiTheme="majorBidi" w:cstheme="majorBidi"/>
        </w:rPr>
        <w:t>behavior</w:t>
      </w:r>
      <w:proofErr w:type="spellEnd"/>
      <w:r w:rsidRPr="00E819C5">
        <w:rPr>
          <w:rFonts w:asciiTheme="majorBidi" w:hAnsiTheme="majorBidi" w:cstheme="majorBidi"/>
        </w:rPr>
        <w:t xml:space="preserve"> and value-belief-norm theory. </w:t>
      </w:r>
      <w:proofErr w:type="spellStart"/>
      <w:r w:rsidRPr="00E819C5">
        <w:rPr>
          <w:rFonts w:asciiTheme="majorBidi" w:hAnsiTheme="majorBidi" w:cstheme="majorBidi"/>
          <w:i/>
          <w:iCs/>
        </w:rPr>
        <w:t>Heliyon</w:t>
      </w:r>
      <w:proofErr w:type="spellEnd"/>
      <w:r w:rsidRPr="00E819C5">
        <w:rPr>
          <w:rFonts w:asciiTheme="majorBidi" w:hAnsiTheme="majorBidi" w:cstheme="majorBidi"/>
        </w:rPr>
        <w:t>, </w:t>
      </w:r>
      <w:r w:rsidRPr="00E819C5">
        <w:rPr>
          <w:rFonts w:asciiTheme="majorBidi" w:hAnsiTheme="majorBidi" w:cstheme="majorBidi"/>
          <w:i/>
          <w:iCs/>
        </w:rPr>
        <w:t>10</w:t>
      </w:r>
      <w:r w:rsidRPr="00E819C5">
        <w:rPr>
          <w:rFonts w:asciiTheme="majorBidi" w:hAnsiTheme="majorBidi" w:cstheme="majorBidi"/>
        </w:rPr>
        <w:t>(6)</w:t>
      </w:r>
      <w:r>
        <w:rPr>
          <w:rFonts w:asciiTheme="majorBidi" w:hAnsiTheme="majorBidi" w:cstheme="majorBidi"/>
        </w:rPr>
        <w:t xml:space="preserve">, p. 12- 43. </w:t>
      </w:r>
    </w:p>
    <w:p w14:paraId="7F199520" w14:textId="77777777" w:rsidR="008459F1" w:rsidRDefault="008459F1" w:rsidP="008459F1">
      <w:pPr>
        <w:rPr>
          <w:rFonts w:asciiTheme="majorBidi" w:hAnsiTheme="majorBidi" w:cstheme="majorBidi"/>
        </w:rPr>
      </w:pPr>
      <w:r w:rsidRPr="001076A1">
        <w:rPr>
          <w:rFonts w:asciiTheme="majorBidi" w:hAnsiTheme="majorBidi" w:cstheme="majorBidi"/>
          <w:lang w:val="en-US"/>
        </w:rPr>
        <w:t xml:space="preserve">Hu, L. (2021). Gender differences in commuting travel in the U.S.: Interactive effects of race/ethnicity and household structure. </w:t>
      </w:r>
      <w:r w:rsidRPr="001076A1">
        <w:rPr>
          <w:rFonts w:asciiTheme="majorBidi" w:hAnsiTheme="majorBidi" w:cstheme="majorBidi"/>
          <w:i/>
          <w:iCs/>
          <w:lang w:val="en-US"/>
        </w:rPr>
        <w:t>Transportation, 48</w:t>
      </w:r>
      <w:r w:rsidRPr="001076A1">
        <w:rPr>
          <w:rFonts w:asciiTheme="majorBidi" w:hAnsiTheme="majorBidi" w:cstheme="majorBidi"/>
          <w:lang w:val="en-US"/>
        </w:rPr>
        <w:t xml:space="preserve">(2), </w:t>
      </w:r>
      <w:r>
        <w:rPr>
          <w:rFonts w:asciiTheme="majorBidi" w:hAnsiTheme="majorBidi" w:cstheme="majorBidi"/>
        </w:rPr>
        <w:t xml:space="preserve">pp. </w:t>
      </w:r>
      <w:r w:rsidRPr="001076A1">
        <w:rPr>
          <w:rFonts w:asciiTheme="majorBidi" w:hAnsiTheme="majorBidi" w:cstheme="majorBidi"/>
          <w:lang w:val="en-US"/>
        </w:rPr>
        <w:t xml:space="preserve">909–929. </w:t>
      </w:r>
      <w:hyperlink r:id="rId13" w:tgtFrame="_new" w:history="1">
        <w:r w:rsidRPr="001076A1">
          <w:rPr>
            <w:rStyle w:val="af2"/>
            <w:rFonts w:asciiTheme="majorBidi" w:hAnsiTheme="majorBidi" w:cstheme="majorBidi"/>
            <w:lang w:val="en-US"/>
          </w:rPr>
          <w:t>https://doi.org/10.1007/s11116-020-10085-0</w:t>
        </w:r>
      </w:hyperlink>
    </w:p>
    <w:p w14:paraId="137AEFFA" w14:textId="77777777" w:rsidR="008459F1" w:rsidRDefault="008459F1" w:rsidP="008459F1">
      <w:pPr>
        <w:jc w:val="both"/>
        <w:rPr>
          <w:rFonts w:asciiTheme="majorBidi" w:hAnsiTheme="majorBidi" w:cstheme="majorBidi"/>
        </w:rPr>
      </w:pPr>
      <w:r w:rsidRPr="00582721">
        <w:rPr>
          <w:rFonts w:asciiTheme="majorBidi" w:hAnsiTheme="majorBidi" w:cstheme="majorBidi"/>
          <w:lang w:val="de-DE"/>
        </w:rPr>
        <w:t xml:space="preserve">Huang, Y., Ma, L. </w:t>
      </w:r>
      <w:proofErr w:type="spellStart"/>
      <w:r w:rsidRPr="00582721">
        <w:rPr>
          <w:rFonts w:asciiTheme="majorBidi" w:hAnsiTheme="majorBidi" w:cstheme="majorBidi"/>
          <w:lang w:val="de-DE"/>
        </w:rPr>
        <w:t>and</w:t>
      </w:r>
      <w:proofErr w:type="spellEnd"/>
      <w:r w:rsidRPr="00582721">
        <w:rPr>
          <w:rFonts w:asciiTheme="majorBidi" w:hAnsiTheme="majorBidi" w:cstheme="majorBidi"/>
          <w:lang w:val="de-DE"/>
        </w:rPr>
        <w:t xml:space="preserve"> De Vos, J.</w:t>
      </w:r>
      <w:r>
        <w:rPr>
          <w:rFonts w:asciiTheme="majorBidi" w:hAnsiTheme="majorBidi" w:cstheme="majorBidi"/>
          <w:lang w:val="de-DE"/>
        </w:rPr>
        <w:t xml:space="preserve"> (</w:t>
      </w:r>
      <w:r w:rsidRPr="00582721">
        <w:rPr>
          <w:rFonts w:asciiTheme="majorBidi" w:hAnsiTheme="majorBidi" w:cstheme="majorBidi"/>
          <w:lang w:val="de-DE"/>
        </w:rPr>
        <w:t>2024</w:t>
      </w:r>
      <w:r>
        <w:rPr>
          <w:rFonts w:asciiTheme="majorBidi" w:hAnsiTheme="majorBidi" w:cstheme="majorBidi"/>
          <w:lang w:val="de-DE"/>
        </w:rPr>
        <w:t>)</w:t>
      </w:r>
      <w:r w:rsidRPr="00582721">
        <w:rPr>
          <w:rFonts w:asciiTheme="majorBidi" w:hAnsiTheme="majorBidi" w:cstheme="majorBidi"/>
          <w:lang w:val="de-DE"/>
        </w:rPr>
        <w:t xml:space="preserve">. </w:t>
      </w:r>
      <w:r w:rsidRPr="004B1738">
        <w:rPr>
          <w:rFonts w:asciiTheme="majorBidi" w:hAnsiTheme="majorBidi" w:cstheme="majorBidi"/>
        </w:rPr>
        <w:t>Travel behaviour and multimodality: a conceptual framework and critical review of research. </w:t>
      </w:r>
      <w:r w:rsidRPr="004B1738">
        <w:rPr>
          <w:rFonts w:asciiTheme="majorBidi" w:hAnsiTheme="majorBidi" w:cstheme="majorBidi"/>
          <w:i/>
          <w:iCs/>
        </w:rPr>
        <w:t>Transport Reviews</w:t>
      </w:r>
      <w:r w:rsidRPr="004B1738">
        <w:rPr>
          <w:rFonts w:asciiTheme="majorBidi" w:hAnsiTheme="majorBidi" w:cstheme="majorBidi"/>
        </w:rPr>
        <w:t>, </w:t>
      </w:r>
      <w:r w:rsidRPr="004B1738">
        <w:rPr>
          <w:rFonts w:asciiTheme="majorBidi" w:hAnsiTheme="majorBidi" w:cstheme="majorBidi"/>
          <w:i/>
          <w:iCs/>
        </w:rPr>
        <w:t>44</w:t>
      </w:r>
      <w:r w:rsidRPr="004B1738">
        <w:rPr>
          <w:rFonts w:asciiTheme="majorBidi" w:hAnsiTheme="majorBidi" w:cstheme="majorBidi"/>
        </w:rPr>
        <w:t>(3), pp.709-730.</w:t>
      </w:r>
    </w:p>
    <w:p w14:paraId="6E550D54" w14:textId="77777777" w:rsidR="008459F1" w:rsidRDefault="008459F1" w:rsidP="008459F1">
      <w:pPr>
        <w:jc w:val="both"/>
        <w:rPr>
          <w:rFonts w:asciiTheme="majorBidi" w:hAnsiTheme="majorBidi" w:cstheme="majorBidi"/>
        </w:rPr>
      </w:pPr>
      <w:r w:rsidRPr="00FC0871">
        <w:rPr>
          <w:rFonts w:asciiTheme="majorBidi" w:hAnsiTheme="majorBidi" w:cstheme="majorBidi"/>
        </w:rPr>
        <w:t xml:space="preserve">Hussain, Z., </w:t>
      </w:r>
      <w:proofErr w:type="spellStart"/>
      <w:r w:rsidRPr="00FC0871">
        <w:rPr>
          <w:rFonts w:asciiTheme="majorBidi" w:hAnsiTheme="majorBidi" w:cstheme="majorBidi"/>
        </w:rPr>
        <w:t>Huo</w:t>
      </w:r>
      <w:proofErr w:type="spellEnd"/>
      <w:r w:rsidRPr="00FC0871">
        <w:rPr>
          <w:rFonts w:asciiTheme="majorBidi" w:hAnsiTheme="majorBidi" w:cstheme="majorBidi"/>
        </w:rPr>
        <w:t>, C., Ul-</w:t>
      </w:r>
      <w:proofErr w:type="spellStart"/>
      <w:r w:rsidRPr="00FC0871">
        <w:rPr>
          <w:rFonts w:asciiTheme="majorBidi" w:hAnsiTheme="majorBidi" w:cstheme="majorBidi"/>
        </w:rPr>
        <w:t>Haq</w:t>
      </w:r>
      <w:proofErr w:type="spellEnd"/>
      <w:r w:rsidRPr="00FC0871">
        <w:rPr>
          <w:rFonts w:asciiTheme="majorBidi" w:hAnsiTheme="majorBidi" w:cstheme="majorBidi"/>
        </w:rPr>
        <w:t>, J., Visas, H. and Umair, M.</w:t>
      </w:r>
      <w:r>
        <w:rPr>
          <w:rFonts w:asciiTheme="majorBidi" w:hAnsiTheme="majorBidi" w:cstheme="majorBidi"/>
        </w:rPr>
        <w:t xml:space="preserve"> (</w:t>
      </w:r>
      <w:r w:rsidRPr="00FC0871">
        <w:rPr>
          <w:rFonts w:asciiTheme="majorBidi" w:hAnsiTheme="majorBidi" w:cstheme="majorBidi"/>
        </w:rPr>
        <w:t>2024</w:t>
      </w:r>
      <w:r>
        <w:rPr>
          <w:rFonts w:asciiTheme="majorBidi" w:hAnsiTheme="majorBidi" w:cstheme="majorBidi"/>
        </w:rPr>
        <w:t>)</w:t>
      </w:r>
      <w:r w:rsidRPr="00FC0871">
        <w:rPr>
          <w:rFonts w:asciiTheme="majorBidi" w:hAnsiTheme="majorBidi" w:cstheme="majorBidi"/>
        </w:rPr>
        <w:t>. Estimating the effects of income inequality, information communication technology, and transport infrastructure on transport-oriented household expenditures. </w:t>
      </w:r>
      <w:r w:rsidRPr="00FC0871">
        <w:rPr>
          <w:rFonts w:asciiTheme="majorBidi" w:hAnsiTheme="majorBidi" w:cstheme="majorBidi"/>
          <w:i/>
          <w:iCs/>
        </w:rPr>
        <w:t>Transportation</w:t>
      </w:r>
      <w:r w:rsidRPr="00FC0871">
        <w:rPr>
          <w:rFonts w:asciiTheme="majorBidi" w:hAnsiTheme="majorBidi" w:cstheme="majorBidi"/>
        </w:rPr>
        <w:t>, pp.1-27.</w:t>
      </w:r>
    </w:p>
    <w:p w14:paraId="4FED429B" w14:textId="77777777" w:rsidR="008459F1" w:rsidRDefault="008459F1" w:rsidP="008459F1">
      <w:pPr>
        <w:rPr>
          <w:rFonts w:asciiTheme="majorBidi" w:hAnsiTheme="majorBidi" w:cstheme="majorBidi"/>
        </w:rPr>
      </w:pPr>
      <w:proofErr w:type="spellStart"/>
      <w:r w:rsidRPr="00582721">
        <w:rPr>
          <w:rFonts w:asciiTheme="majorBidi" w:hAnsiTheme="majorBidi" w:cstheme="majorBidi"/>
        </w:rPr>
        <w:t>Jandl</w:t>
      </w:r>
      <w:proofErr w:type="spellEnd"/>
      <w:r w:rsidRPr="00582721">
        <w:rPr>
          <w:rFonts w:asciiTheme="majorBidi" w:hAnsiTheme="majorBidi" w:cstheme="majorBidi"/>
        </w:rPr>
        <w:t xml:space="preserve">, C., Wagner, M., Moser, T., and </w:t>
      </w:r>
      <w:proofErr w:type="spellStart"/>
      <w:r w:rsidRPr="00582721">
        <w:rPr>
          <w:rFonts w:asciiTheme="majorBidi" w:hAnsiTheme="majorBidi" w:cstheme="majorBidi"/>
        </w:rPr>
        <w:t>Schlund</w:t>
      </w:r>
      <w:proofErr w:type="spellEnd"/>
      <w:r w:rsidRPr="00582721">
        <w:rPr>
          <w:rFonts w:asciiTheme="majorBidi" w:hAnsiTheme="majorBidi" w:cstheme="majorBidi"/>
        </w:rPr>
        <w:t xml:space="preserve">, S. (2021). </w:t>
      </w:r>
      <w:r w:rsidRPr="00F52103">
        <w:rPr>
          <w:rFonts w:asciiTheme="majorBidi" w:hAnsiTheme="majorBidi" w:cstheme="majorBidi"/>
          <w:lang w:val="en-US"/>
        </w:rPr>
        <w:t xml:space="preserve">Reasons and strategies for privacy features in tracking and tracing systems—A systematic literature review. </w:t>
      </w:r>
      <w:r w:rsidRPr="00F52103">
        <w:rPr>
          <w:rFonts w:asciiTheme="majorBidi" w:hAnsiTheme="majorBidi" w:cstheme="majorBidi"/>
          <w:i/>
          <w:iCs/>
          <w:lang w:val="en-US"/>
        </w:rPr>
        <w:t>Sensors, 21</w:t>
      </w:r>
      <w:r w:rsidRPr="00F52103">
        <w:rPr>
          <w:rFonts w:asciiTheme="majorBidi" w:hAnsiTheme="majorBidi" w:cstheme="majorBidi"/>
          <w:lang w:val="en-US"/>
        </w:rPr>
        <w:t xml:space="preserve">(13), </w:t>
      </w:r>
      <w:r>
        <w:rPr>
          <w:rFonts w:asciiTheme="majorBidi" w:hAnsiTheme="majorBidi" w:cstheme="majorBidi"/>
        </w:rPr>
        <w:t xml:space="preserve">pp. </w:t>
      </w:r>
      <w:r w:rsidRPr="00F52103">
        <w:rPr>
          <w:rFonts w:asciiTheme="majorBidi" w:hAnsiTheme="majorBidi" w:cstheme="majorBidi"/>
          <w:lang w:val="en-US"/>
        </w:rPr>
        <w:t xml:space="preserve">4501. </w:t>
      </w:r>
      <w:hyperlink r:id="rId14" w:tgtFrame="_new" w:history="1">
        <w:r w:rsidRPr="00F52103">
          <w:rPr>
            <w:rStyle w:val="af2"/>
            <w:rFonts w:asciiTheme="majorBidi" w:hAnsiTheme="majorBidi" w:cstheme="majorBidi"/>
            <w:lang w:val="en-US"/>
          </w:rPr>
          <w:t>https://doi.org/10.3390/s21134501</w:t>
        </w:r>
      </w:hyperlink>
    </w:p>
    <w:p w14:paraId="5C210E25" w14:textId="77777777" w:rsidR="008459F1" w:rsidRDefault="008459F1" w:rsidP="008459F1">
      <w:pPr>
        <w:rPr>
          <w:rFonts w:asciiTheme="majorBidi" w:hAnsiTheme="majorBidi" w:cstheme="majorBidi"/>
        </w:rPr>
      </w:pPr>
      <w:r w:rsidRPr="00062ACF">
        <w:rPr>
          <w:rFonts w:asciiTheme="majorBidi" w:hAnsiTheme="majorBidi" w:cstheme="majorBidi"/>
        </w:rPr>
        <w:t xml:space="preserve">Kim, J.-J., Lee, B.-C., </w:t>
      </w:r>
      <w:r>
        <w:rPr>
          <w:rFonts w:asciiTheme="majorBidi" w:hAnsiTheme="majorBidi" w:cstheme="majorBidi"/>
        </w:rPr>
        <w:t>and</w:t>
      </w:r>
      <w:r w:rsidRPr="00062ACF">
        <w:rPr>
          <w:rFonts w:asciiTheme="majorBidi" w:hAnsiTheme="majorBidi" w:cstheme="majorBidi"/>
        </w:rPr>
        <w:t xml:space="preserve"> Byun, H.-J. (2022). In the COVID-19 era, when and where will you travel abroad? Prediction through application of PPM model. </w:t>
      </w:r>
      <w:r w:rsidRPr="00062ACF">
        <w:rPr>
          <w:rFonts w:asciiTheme="majorBidi" w:hAnsiTheme="majorBidi" w:cstheme="majorBidi"/>
          <w:i/>
          <w:iCs/>
        </w:rPr>
        <w:t>Sustainability, 14</w:t>
      </w:r>
      <w:r w:rsidRPr="00062ACF">
        <w:rPr>
          <w:rFonts w:asciiTheme="majorBidi" w:hAnsiTheme="majorBidi" w:cstheme="majorBidi"/>
        </w:rPr>
        <w:t xml:space="preserve">(18), </w:t>
      </w:r>
      <w:r>
        <w:rPr>
          <w:rFonts w:asciiTheme="majorBidi" w:hAnsiTheme="majorBidi" w:cstheme="majorBidi"/>
        </w:rPr>
        <w:t xml:space="preserve">pp. </w:t>
      </w:r>
      <w:r w:rsidRPr="00062ACF">
        <w:rPr>
          <w:rFonts w:asciiTheme="majorBidi" w:hAnsiTheme="majorBidi" w:cstheme="majorBidi"/>
        </w:rPr>
        <w:t xml:space="preserve">11485. </w:t>
      </w:r>
      <w:hyperlink r:id="rId15" w:tgtFrame="_new" w:history="1">
        <w:r w:rsidRPr="00062ACF">
          <w:rPr>
            <w:rStyle w:val="af2"/>
            <w:rFonts w:asciiTheme="majorBidi" w:hAnsiTheme="majorBidi" w:cstheme="majorBidi"/>
          </w:rPr>
          <w:t>https://doi.org/10.3390/su141811485</w:t>
        </w:r>
      </w:hyperlink>
    </w:p>
    <w:p w14:paraId="7B289979" w14:textId="77777777" w:rsidR="008459F1" w:rsidRDefault="008459F1" w:rsidP="008459F1">
      <w:pPr>
        <w:jc w:val="both"/>
        <w:rPr>
          <w:rFonts w:asciiTheme="majorBidi" w:hAnsiTheme="majorBidi" w:cstheme="majorBidi"/>
        </w:rPr>
      </w:pPr>
      <w:r w:rsidRPr="00FC0871">
        <w:rPr>
          <w:rFonts w:asciiTheme="majorBidi" w:hAnsiTheme="majorBidi" w:cstheme="majorBidi"/>
        </w:rPr>
        <w:t xml:space="preserve">Kim, Y.R., </w:t>
      </w:r>
      <w:proofErr w:type="spellStart"/>
      <w:r w:rsidRPr="00FC0871">
        <w:rPr>
          <w:rFonts w:asciiTheme="majorBidi" w:hAnsiTheme="majorBidi" w:cstheme="majorBidi"/>
        </w:rPr>
        <w:t>Nsom</w:t>
      </w:r>
      <w:proofErr w:type="spellEnd"/>
      <w:r w:rsidRPr="00FC0871">
        <w:rPr>
          <w:rFonts w:asciiTheme="majorBidi" w:hAnsiTheme="majorBidi" w:cstheme="majorBidi"/>
        </w:rPr>
        <w:t xml:space="preserve"> </w:t>
      </w:r>
      <w:proofErr w:type="spellStart"/>
      <w:r w:rsidRPr="00FC0871">
        <w:rPr>
          <w:rFonts w:asciiTheme="majorBidi" w:hAnsiTheme="majorBidi" w:cstheme="majorBidi"/>
        </w:rPr>
        <w:t>Kimbu</w:t>
      </w:r>
      <w:proofErr w:type="spellEnd"/>
      <w:r w:rsidRPr="00FC0871">
        <w:rPr>
          <w:rFonts w:asciiTheme="majorBidi" w:hAnsiTheme="majorBidi" w:cstheme="majorBidi"/>
        </w:rPr>
        <w:t xml:space="preserve">, A., Ramakrishnan, S. and </w:t>
      </w:r>
      <w:proofErr w:type="spellStart"/>
      <w:r w:rsidRPr="00FC0871">
        <w:rPr>
          <w:rFonts w:asciiTheme="majorBidi" w:hAnsiTheme="majorBidi" w:cstheme="majorBidi"/>
        </w:rPr>
        <w:t>Saha</w:t>
      </w:r>
      <w:proofErr w:type="spellEnd"/>
      <w:r w:rsidRPr="00FC0871">
        <w:rPr>
          <w:rFonts w:asciiTheme="majorBidi" w:hAnsiTheme="majorBidi" w:cstheme="majorBidi"/>
        </w:rPr>
        <w:t>, P.</w:t>
      </w:r>
      <w:r>
        <w:rPr>
          <w:rFonts w:asciiTheme="majorBidi" w:hAnsiTheme="majorBidi" w:cstheme="majorBidi"/>
        </w:rPr>
        <w:t xml:space="preserve"> (</w:t>
      </w:r>
      <w:r w:rsidRPr="00FC0871">
        <w:rPr>
          <w:rFonts w:asciiTheme="majorBidi" w:hAnsiTheme="majorBidi" w:cstheme="majorBidi"/>
        </w:rPr>
        <w:t>2025</w:t>
      </w:r>
      <w:r>
        <w:rPr>
          <w:rFonts w:asciiTheme="majorBidi" w:hAnsiTheme="majorBidi" w:cstheme="majorBidi"/>
        </w:rPr>
        <w:t>)</w:t>
      </w:r>
      <w:r w:rsidRPr="00FC0871">
        <w:rPr>
          <w:rFonts w:asciiTheme="majorBidi" w:hAnsiTheme="majorBidi" w:cstheme="majorBidi"/>
        </w:rPr>
        <w:t xml:space="preserve">. Understanding the Travel Decision-Making </w:t>
      </w:r>
      <w:proofErr w:type="spellStart"/>
      <w:r w:rsidRPr="00FC0871">
        <w:rPr>
          <w:rFonts w:asciiTheme="majorBidi" w:hAnsiTheme="majorBidi" w:cstheme="majorBidi"/>
        </w:rPr>
        <w:t>Behaviors</w:t>
      </w:r>
      <w:proofErr w:type="spellEnd"/>
      <w:r w:rsidRPr="00FC0871">
        <w:rPr>
          <w:rFonts w:asciiTheme="majorBidi" w:hAnsiTheme="majorBidi" w:cstheme="majorBidi"/>
        </w:rPr>
        <w:t xml:space="preserve"> of Ethnic Minority Tourists: The Moderating Role of Psychological Empowerment. </w:t>
      </w:r>
      <w:r w:rsidRPr="00FC0871">
        <w:rPr>
          <w:rFonts w:asciiTheme="majorBidi" w:hAnsiTheme="majorBidi" w:cstheme="majorBidi"/>
          <w:i/>
          <w:iCs/>
        </w:rPr>
        <w:t>Journal of Travel Research</w:t>
      </w:r>
      <w:r w:rsidRPr="00FC0871">
        <w:rPr>
          <w:rFonts w:asciiTheme="majorBidi" w:hAnsiTheme="majorBidi" w:cstheme="majorBidi"/>
        </w:rPr>
        <w:t>, </w:t>
      </w:r>
      <w:r w:rsidRPr="00FC0871">
        <w:rPr>
          <w:rFonts w:asciiTheme="majorBidi" w:hAnsiTheme="majorBidi" w:cstheme="majorBidi"/>
          <w:i/>
          <w:iCs/>
        </w:rPr>
        <w:t>64</w:t>
      </w:r>
      <w:r w:rsidRPr="00FC0871">
        <w:rPr>
          <w:rFonts w:asciiTheme="majorBidi" w:hAnsiTheme="majorBidi" w:cstheme="majorBidi"/>
        </w:rPr>
        <w:t>(5), pp.1064-1084.</w:t>
      </w:r>
    </w:p>
    <w:p w14:paraId="5F94B6B5" w14:textId="77777777" w:rsidR="008459F1" w:rsidRDefault="008459F1" w:rsidP="008459F1">
      <w:pPr>
        <w:jc w:val="both"/>
        <w:rPr>
          <w:rFonts w:asciiTheme="majorBidi" w:hAnsiTheme="majorBidi" w:cstheme="majorBidi"/>
        </w:rPr>
      </w:pPr>
      <w:r w:rsidRPr="00FC0871">
        <w:rPr>
          <w:rFonts w:asciiTheme="majorBidi" w:hAnsiTheme="majorBidi" w:cstheme="majorBidi"/>
        </w:rPr>
        <w:t>Liu, G., Ma, J. and Chai, Y.</w:t>
      </w:r>
      <w:r>
        <w:rPr>
          <w:rFonts w:asciiTheme="majorBidi" w:hAnsiTheme="majorBidi" w:cstheme="majorBidi"/>
        </w:rPr>
        <w:t xml:space="preserve"> (</w:t>
      </w:r>
      <w:r w:rsidRPr="00FC0871">
        <w:rPr>
          <w:rFonts w:asciiTheme="majorBidi" w:hAnsiTheme="majorBidi" w:cstheme="majorBidi"/>
        </w:rPr>
        <w:t>2024</w:t>
      </w:r>
      <w:r>
        <w:rPr>
          <w:rFonts w:asciiTheme="majorBidi" w:hAnsiTheme="majorBidi" w:cstheme="majorBidi"/>
        </w:rPr>
        <w:t>)</w:t>
      </w:r>
      <w:r w:rsidRPr="00FC0871">
        <w:rPr>
          <w:rFonts w:asciiTheme="majorBidi" w:hAnsiTheme="majorBidi" w:cstheme="majorBidi"/>
        </w:rPr>
        <w:t>. Nonlinear relationship between microenvironmental exposure and travel satisfaction explored with machine learning. </w:t>
      </w:r>
      <w:r w:rsidRPr="00FC0871">
        <w:rPr>
          <w:rFonts w:asciiTheme="majorBidi" w:hAnsiTheme="majorBidi" w:cstheme="majorBidi"/>
          <w:i/>
          <w:iCs/>
        </w:rPr>
        <w:t>Transportation Research Part D: Transport and Environment</w:t>
      </w:r>
      <w:r w:rsidRPr="00FC0871">
        <w:rPr>
          <w:rFonts w:asciiTheme="majorBidi" w:hAnsiTheme="majorBidi" w:cstheme="majorBidi"/>
        </w:rPr>
        <w:t>, </w:t>
      </w:r>
      <w:r w:rsidRPr="00FC0871">
        <w:rPr>
          <w:rFonts w:asciiTheme="majorBidi" w:hAnsiTheme="majorBidi" w:cstheme="majorBidi"/>
          <w:i/>
          <w:iCs/>
        </w:rPr>
        <w:t>128</w:t>
      </w:r>
      <w:r w:rsidRPr="00FC0871">
        <w:rPr>
          <w:rFonts w:asciiTheme="majorBidi" w:hAnsiTheme="majorBidi" w:cstheme="majorBidi"/>
        </w:rPr>
        <w:t>, p.104104.</w:t>
      </w:r>
    </w:p>
    <w:p w14:paraId="6732326A" w14:textId="77777777" w:rsidR="008459F1" w:rsidRDefault="008459F1" w:rsidP="008459F1">
      <w:pPr>
        <w:jc w:val="both"/>
        <w:rPr>
          <w:rFonts w:asciiTheme="majorBidi" w:hAnsiTheme="majorBidi" w:cstheme="majorBidi"/>
        </w:rPr>
      </w:pPr>
      <w:r w:rsidRPr="004B1738">
        <w:rPr>
          <w:rFonts w:asciiTheme="majorBidi" w:hAnsiTheme="majorBidi" w:cstheme="majorBidi"/>
        </w:rPr>
        <w:t>Liu-</w:t>
      </w:r>
      <w:proofErr w:type="spellStart"/>
      <w:r w:rsidRPr="004B1738">
        <w:rPr>
          <w:rFonts w:asciiTheme="majorBidi" w:hAnsiTheme="majorBidi" w:cstheme="majorBidi"/>
        </w:rPr>
        <w:t>Lastres</w:t>
      </w:r>
      <w:proofErr w:type="spellEnd"/>
      <w:r w:rsidRPr="004B1738">
        <w:rPr>
          <w:rFonts w:asciiTheme="majorBidi" w:hAnsiTheme="majorBidi" w:cstheme="majorBidi"/>
        </w:rPr>
        <w:t>, B., Bao, H. and Cecil, A.</w:t>
      </w:r>
      <w:r>
        <w:rPr>
          <w:rFonts w:asciiTheme="majorBidi" w:hAnsiTheme="majorBidi" w:cstheme="majorBidi"/>
        </w:rPr>
        <w:t xml:space="preserve"> (</w:t>
      </w:r>
      <w:r w:rsidRPr="004B1738">
        <w:rPr>
          <w:rFonts w:asciiTheme="majorBidi" w:hAnsiTheme="majorBidi" w:cstheme="majorBidi"/>
        </w:rPr>
        <w:t>2025</w:t>
      </w:r>
      <w:r>
        <w:rPr>
          <w:rFonts w:asciiTheme="majorBidi" w:hAnsiTheme="majorBidi" w:cstheme="majorBidi"/>
        </w:rPr>
        <w:t>)</w:t>
      </w:r>
      <w:r w:rsidRPr="004B1738">
        <w:rPr>
          <w:rFonts w:asciiTheme="majorBidi" w:hAnsiTheme="majorBidi" w:cstheme="majorBidi"/>
        </w:rPr>
        <w:t xml:space="preserve">. Exploring gaps in young generations’ sustainable travel </w:t>
      </w:r>
      <w:proofErr w:type="spellStart"/>
      <w:r w:rsidRPr="004B1738">
        <w:rPr>
          <w:rFonts w:asciiTheme="majorBidi" w:hAnsiTheme="majorBidi" w:cstheme="majorBidi"/>
        </w:rPr>
        <w:t>behavior</w:t>
      </w:r>
      <w:proofErr w:type="spellEnd"/>
      <w:r w:rsidRPr="004B1738">
        <w:rPr>
          <w:rFonts w:asciiTheme="majorBidi" w:hAnsiTheme="majorBidi" w:cstheme="majorBidi"/>
        </w:rPr>
        <w:t>: A mixed-methods study. </w:t>
      </w:r>
      <w:r w:rsidRPr="004B1738">
        <w:rPr>
          <w:rFonts w:asciiTheme="majorBidi" w:hAnsiTheme="majorBidi" w:cstheme="majorBidi"/>
          <w:i/>
          <w:iCs/>
        </w:rPr>
        <w:t>Journal of Sustainable tourism</w:t>
      </w:r>
      <w:r w:rsidRPr="004B1738">
        <w:rPr>
          <w:rFonts w:asciiTheme="majorBidi" w:hAnsiTheme="majorBidi" w:cstheme="majorBidi"/>
        </w:rPr>
        <w:t>, </w:t>
      </w:r>
      <w:r w:rsidRPr="004B1738">
        <w:rPr>
          <w:rFonts w:asciiTheme="majorBidi" w:hAnsiTheme="majorBidi" w:cstheme="majorBidi"/>
          <w:i/>
          <w:iCs/>
        </w:rPr>
        <w:t>33</w:t>
      </w:r>
      <w:r w:rsidRPr="004B1738">
        <w:rPr>
          <w:rFonts w:asciiTheme="majorBidi" w:hAnsiTheme="majorBidi" w:cstheme="majorBidi"/>
        </w:rPr>
        <w:t>(6), pp.1165-1180.</w:t>
      </w:r>
    </w:p>
    <w:p w14:paraId="0BC50598" w14:textId="77777777" w:rsidR="008459F1" w:rsidRDefault="008459F1" w:rsidP="008459F1">
      <w:pPr>
        <w:rPr>
          <w:rFonts w:asciiTheme="majorBidi" w:hAnsiTheme="majorBidi" w:cstheme="majorBidi"/>
        </w:rPr>
      </w:pPr>
      <w:proofErr w:type="spellStart"/>
      <w:r w:rsidRPr="00FA1456">
        <w:rPr>
          <w:rFonts w:asciiTheme="majorBidi" w:hAnsiTheme="majorBidi" w:cstheme="majorBidi"/>
        </w:rPr>
        <w:lastRenderedPageBreak/>
        <w:t>Lučić</w:t>
      </w:r>
      <w:proofErr w:type="spellEnd"/>
      <w:r w:rsidRPr="00FA1456">
        <w:rPr>
          <w:rFonts w:asciiTheme="majorBidi" w:hAnsiTheme="majorBidi" w:cstheme="majorBidi"/>
        </w:rPr>
        <w:t xml:space="preserve">, A., </w:t>
      </w:r>
      <w:proofErr w:type="spellStart"/>
      <w:r w:rsidRPr="00FA1456">
        <w:rPr>
          <w:rFonts w:asciiTheme="majorBidi" w:hAnsiTheme="majorBidi" w:cstheme="majorBidi"/>
        </w:rPr>
        <w:t>Barbić</w:t>
      </w:r>
      <w:proofErr w:type="spellEnd"/>
      <w:r w:rsidRPr="00FA1456">
        <w:rPr>
          <w:rFonts w:asciiTheme="majorBidi" w:hAnsiTheme="majorBidi" w:cstheme="majorBidi"/>
        </w:rPr>
        <w:t xml:space="preserve">, D., </w:t>
      </w:r>
      <w:r>
        <w:rPr>
          <w:rFonts w:asciiTheme="majorBidi" w:hAnsiTheme="majorBidi" w:cstheme="majorBidi"/>
        </w:rPr>
        <w:t>and</w:t>
      </w:r>
      <w:r w:rsidRPr="00FA1456">
        <w:rPr>
          <w:rFonts w:asciiTheme="majorBidi" w:hAnsiTheme="majorBidi" w:cstheme="majorBidi"/>
        </w:rPr>
        <w:t xml:space="preserve"> </w:t>
      </w:r>
      <w:proofErr w:type="spellStart"/>
      <w:r w:rsidRPr="00FA1456">
        <w:rPr>
          <w:rFonts w:asciiTheme="majorBidi" w:hAnsiTheme="majorBidi" w:cstheme="majorBidi"/>
        </w:rPr>
        <w:t>Uzelac</w:t>
      </w:r>
      <w:proofErr w:type="spellEnd"/>
      <w:r w:rsidRPr="00FA1456">
        <w:rPr>
          <w:rFonts w:asciiTheme="majorBidi" w:hAnsiTheme="majorBidi" w:cstheme="majorBidi"/>
        </w:rPr>
        <w:t xml:space="preserve">, M. (2022). Theoretical underpinnings of consumers’ financial capability research. </w:t>
      </w:r>
      <w:r w:rsidRPr="00FA1456">
        <w:rPr>
          <w:rFonts w:asciiTheme="majorBidi" w:hAnsiTheme="majorBidi" w:cstheme="majorBidi"/>
          <w:i/>
          <w:iCs/>
        </w:rPr>
        <w:t>International Journal of Consumer Studies, 4</w:t>
      </w:r>
      <w:r>
        <w:rPr>
          <w:rFonts w:asciiTheme="majorBidi" w:hAnsiTheme="majorBidi" w:cstheme="majorBidi"/>
          <w:i/>
          <w:iCs/>
        </w:rPr>
        <w:t>7</w:t>
      </w:r>
      <w:r w:rsidRPr="00FA1456">
        <w:rPr>
          <w:rFonts w:asciiTheme="majorBidi" w:hAnsiTheme="majorBidi" w:cstheme="majorBidi"/>
        </w:rPr>
        <w:t>(</w:t>
      </w:r>
      <w:r>
        <w:rPr>
          <w:rFonts w:asciiTheme="majorBidi" w:hAnsiTheme="majorBidi" w:cstheme="majorBidi"/>
        </w:rPr>
        <w:t>1</w:t>
      </w:r>
      <w:r w:rsidRPr="00FA1456">
        <w:rPr>
          <w:rFonts w:asciiTheme="majorBidi" w:hAnsiTheme="majorBidi" w:cstheme="majorBidi"/>
        </w:rPr>
        <w:t xml:space="preserve">), </w:t>
      </w:r>
      <w:r>
        <w:rPr>
          <w:rFonts w:asciiTheme="majorBidi" w:hAnsiTheme="majorBidi" w:cstheme="majorBidi"/>
        </w:rPr>
        <w:t>373</w:t>
      </w:r>
      <w:r w:rsidRPr="00FA1456">
        <w:rPr>
          <w:rFonts w:asciiTheme="majorBidi" w:hAnsiTheme="majorBidi" w:cstheme="majorBidi"/>
        </w:rPr>
        <w:t>–</w:t>
      </w:r>
      <w:r>
        <w:rPr>
          <w:rFonts w:asciiTheme="majorBidi" w:hAnsiTheme="majorBidi" w:cstheme="majorBidi"/>
        </w:rPr>
        <w:t>399</w:t>
      </w:r>
      <w:r w:rsidRPr="00FA1456">
        <w:rPr>
          <w:rFonts w:asciiTheme="majorBidi" w:hAnsiTheme="majorBidi" w:cstheme="majorBidi"/>
        </w:rPr>
        <w:t xml:space="preserve">. </w:t>
      </w:r>
      <w:hyperlink r:id="rId16" w:tgtFrame="_new" w:history="1">
        <w:r w:rsidRPr="00FA1456">
          <w:rPr>
            <w:rStyle w:val="af2"/>
            <w:rFonts w:asciiTheme="majorBidi" w:hAnsiTheme="majorBidi" w:cstheme="majorBidi"/>
          </w:rPr>
          <w:t>https://doi.org/10.1111/ijcs.12778</w:t>
        </w:r>
      </w:hyperlink>
    </w:p>
    <w:p w14:paraId="20746014" w14:textId="77777777" w:rsidR="008459F1" w:rsidRDefault="008459F1" w:rsidP="008459F1">
      <w:pPr>
        <w:rPr>
          <w:rFonts w:asciiTheme="majorBidi" w:hAnsiTheme="majorBidi" w:cstheme="majorBidi"/>
        </w:rPr>
      </w:pPr>
      <w:r w:rsidRPr="00F52103">
        <w:rPr>
          <w:rFonts w:asciiTheme="majorBidi" w:hAnsiTheme="majorBidi" w:cstheme="majorBidi"/>
        </w:rPr>
        <w:t xml:space="preserve">Mahapatra, M. S., Xiao, J. J., Mishra, R. K., and Meng, K. (2024). </w:t>
      </w:r>
      <w:r w:rsidRPr="00ED4D7E">
        <w:rPr>
          <w:rFonts w:asciiTheme="majorBidi" w:hAnsiTheme="majorBidi" w:cstheme="majorBidi"/>
          <w:lang w:val="en-US"/>
        </w:rPr>
        <w:t xml:space="preserve">Parental financial socialization and life satisfaction of college students: Mediation and moderation analyses. </w:t>
      </w:r>
      <w:r w:rsidRPr="00ED4D7E">
        <w:rPr>
          <w:rFonts w:asciiTheme="majorBidi" w:hAnsiTheme="majorBidi" w:cstheme="majorBidi"/>
          <w:i/>
          <w:iCs/>
          <w:lang w:val="en-US"/>
        </w:rPr>
        <w:t>Young Consumers, 25</w:t>
      </w:r>
      <w:r w:rsidRPr="00ED4D7E">
        <w:rPr>
          <w:rFonts w:asciiTheme="majorBidi" w:hAnsiTheme="majorBidi" w:cstheme="majorBidi"/>
          <w:lang w:val="en-US"/>
        </w:rPr>
        <w:t xml:space="preserve">(1), </w:t>
      </w:r>
      <w:r>
        <w:rPr>
          <w:rFonts w:asciiTheme="majorBidi" w:hAnsiTheme="majorBidi" w:cstheme="majorBidi"/>
        </w:rPr>
        <w:t xml:space="preserve">pp. </w:t>
      </w:r>
      <w:r w:rsidRPr="00ED4D7E">
        <w:rPr>
          <w:rFonts w:asciiTheme="majorBidi" w:hAnsiTheme="majorBidi" w:cstheme="majorBidi"/>
          <w:lang w:val="en-US"/>
        </w:rPr>
        <w:t xml:space="preserve">65-83. </w:t>
      </w:r>
      <w:hyperlink r:id="rId17" w:tgtFrame="_new" w:history="1">
        <w:r w:rsidRPr="00ED4D7E">
          <w:rPr>
            <w:rStyle w:val="af2"/>
            <w:rFonts w:asciiTheme="majorBidi" w:hAnsiTheme="majorBidi" w:cstheme="majorBidi"/>
            <w:lang w:val="en-US"/>
          </w:rPr>
          <w:t>https://doi.org/10.1108/YC-10-2022-1626</w:t>
        </w:r>
      </w:hyperlink>
    </w:p>
    <w:p w14:paraId="2B969A29" w14:textId="77777777" w:rsidR="008459F1" w:rsidRPr="00582721" w:rsidRDefault="008459F1" w:rsidP="008459F1">
      <w:pPr>
        <w:rPr>
          <w:rFonts w:asciiTheme="majorBidi" w:hAnsiTheme="majorBidi" w:cstheme="majorBidi"/>
        </w:rPr>
      </w:pPr>
      <w:proofErr w:type="spellStart"/>
      <w:r w:rsidRPr="00062ACF">
        <w:rPr>
          <w:rFonts w:asciiTheme="majorBidi" w:hAnsiTheme="majorBidi" w:cstheme="majorBidi"/>
          <w:lang w:val="de-DE"/>
        </w:rPr>
        <w:t>Mehdizadeh</w:t>
      </w:r>
      <w:proofErr w:type="spellEnd"/>
      <w:r w:rsidRPr="00062ACF">
        <w:rPr>
          <w:rFonts w:asciiTheme="majorBidi" w:hAnsiTheme="majorBidi" w:cstheme="majorBidi"/>
          <w:lang w:val="de-DE"/>
        </w:rPr>
        <w:t xml:space="preserve">, M., </w:t>
      </w:r>
      <w:proofErr w:type="spellStart"/>
      <w:r w:rsidRPr="00582721">
        <w:rPr>
          <w:rFonts w:asciiTheme="majorBidi" w:hAnsiTheme="majorBidi" w:cstheme="majorBidi"/>
          <w:lang w:val="de-DE"/>
        </w:rPr>
        <w:t>and</w:t>
      </w:r>
      <w:proofErr w:type="spellEnd"/>
      <w:r w:rsidRPr="00062ACF">
        <w:rPr>
          <w:rFonts w:asciiTheme="majorBidi" w:hAnsiTheme="majorBidi" w:cstheme="majorBidi"/>
          <w:lang w:val="de-DE"/>
        </w:rPr>
        <w:t xml:space="preserve"> </w:t>
      </w:r>
      <w:proofErr w:type="spellStart"/>
      <w:r w:rsidRPr="00062ACF">
        <w:rPr>
          <w:rFonts w:asciiTheme="majorBidi" w:hAnsiTheme="majorBidi" w:cstheme="majorBidi"/>
          <w:lang w:val="de-DE"/>
        </w:rPr>
        <w:t>Kroesen</w:t>
      </w:r>
      <w:proofErr w:type="spellEnd"/>
      <w:r w:rsidRPr="00062ACF">
        <w:rPr>
          <w:rFonts w:asciiTheme="majorBidi" w:hAnsiTheme="majorBidi" w:cstheme="majorBidi"/>
          <w:lang w:val="de-DE"/>
        </w:rPr>
        <w:t xml:space="preserve">, M. (2025). </w:t>
      </w:r>
      <w:r w:rsidRPr="00062ACF">
        <w:rPr>
          <w:rFonts w:asciiTheme="majorBidi" w:hAnsiTheme="majorBidi" w:cstheme="majorBidi"/>
        </w:rPr>
        <w:t xml:space="preserve">Does perceived accessibility affect travel </w:t>
      </w:r>
      <w:proofErr w:type="spellStart"/>
      <w:r w:rsidRPr="00062ACF">
        <w:rPr>
          <w:rFonts w:asciiTheme="majorBidi" w:hAnsiTheme="majorBidi" w:cstheme="majorBidi"/>
        </w:rPr>
        <w:t>behavior</w:t>
      </w:r>
      <w:proofErr w:type="spellEnd"/>
      <w:r w:rsidRPr="00062ACF">
        <w:rPr>
          <w:rFonts w:asciiTheme="majorBidi" w:hAnsiTheme="majorBidi" w:cstheme="majorBidi"/>
        </w:rPr>
        <w:t xml:space="preserve"> or vice versa? Alternative theories testing bidirectional effects and (in)consistency over time. </w:t>
      </w:r>
      <w:r w:rsidRPr="00062ACF">
        <w:rPr>
          <w:rFonts w:asciiTheme="majorBidi" w:hAnsiTheme="majorBidi" w:cstheme="majorBidi"/>
          <w:i/>
          <w:iCs/>
        </w:rPr>
        <w:t>Transportation Research Part A: Policy and Practice, 191</w:t>
      </w:r>
      <w:r w:rsidRPr="00062ACF">
        <w:rPr>
          <w:rFonts w:asciiTheme="majorBidi" w:hAnsiTheme="majorBidi" w:cstheme="majorBidi"/>
        </w:rPr>
        <w:t xml:space="preserve">, </w:t>
      </w:r>
      <w:r>
        <w:rPr>
          <w:rFonts w:asciiTheme="majorBidi" w:hAnsiTheme="majorBidi" w:cstheme="majorBidi"/>
        </w:rPr>
        <w:t xml:space="preserve">pp. </w:t>
      </w:r>
      <w:r w:rsidRPr="00062ACF">
        <w:rPr>
          <w:rFonts w:asciiTheme="majorBidi" w:hAnsiTheme="majorBidi" w:cstheme="majorBidi"/>
        </w:rPr>
        <w:t xml:space="preserve">104318. </w:t>
      </w:r>
      <w:hyperlink r:id="rId18" w:history="1">
        <w:r w:rsidRPr="00062ACF">
          <w:rPr>
            <w:rStyle w:val="af2"/>
            <w:rFonts w:asciiTheme="majorBidi" w:hAnsiTheme="majorBidi" w:cstheme="majorBidi"/>
          </w:rPr>
          <w:t>https://doi.org/10.1016/j.tra.2024.104318</w:t>
        </w:r>
      </w:hyperlink>
    </w:p>
    <w:p w14:paraId="4BA4E7E4" w14:textId="77777777" w:rsidR="008459F1" w:rsidRDefault="008459F1" w:rsidP="008459F1">
      <w:pPr>
        <w:jc w:val="both"/>
        <w:rPr>
          <w:rFonts w:asciiTheme="majorBidi" w:hAnsiTheme="majorBidi" w:cstheme="majorBidi"/>
        </w:rPr>
      </w:pPr>
      <w:r w:rsidRPr="00E819C5">
        <w:rPr>
          <w:rFonts w:asciiTheme="majorBidi" w:hAnsiTheme="majorBidi" w:cstheme="majorBidi"/>
        </w:rPr>
        <w:t>Moon, J. and Lee, J.</w:t>
      </w:r>
      <w:r>
        <w:rPr>
          <w:rFonts w:asciiTheme="majorBidi" w:hAnsiTheme="majorBidi" w:cstheme="majorBidi"/>
        </w:rPr>
        <w:t xml:space="preserve"> (</w:t>
      </w:r>
      <w:r w:rsidRPr="00E819C5">
        <w:rPr>
          <w:rFonts w:asciiTheme="majorBidi" w:hAnsiTheme="majorBidi" w:cstheme="majorBidi"/>
        </w:rPr>
        <w:t>2025</w:t>
      </w:r>
      <w:r>
        <w:rPr>
          <w:rFonts w:asciiTheme="majorBidi" w:hAnsiTheme="majorBidi" w:cstheme="majorBidi"/>
        </w:rPr>
        <w:t>)</w:t>
      </w:r>
      <w:r w:rsidRPr="00E819C5">
        <w:rPr>
          <w:rFonts w:asciiTheme="majorBidi" w:hAnsiTheme="majorBidi" w:cstheme="majorBidi"/>
        </w:rPr>
        <w:t xml:space="preserve">. The Influential Attributes of Drug Tourism Focusing on the Theory of Planned </w:t>
      </w:r>
      <w:proofErr w:type="spellStart"/>
      <w:r w:rsidRPr="00E819C5">
        <w:rPr>
          <w:rFonts w:asciiTheme="majorBidi" w:hAnsiTheme="majorBidi" w:cstheme="majorBidi"/>
        </w:rPr>
        <w:t>Behavior</w:t>
      </w:r>
      <w:proofErr w:type="spellEnd"/>
      <w:r w:rsidRPr="00E819C5">
        <w:rPr>
          <w:rFonts w:asciiTheme="majorBidi" w:hAnsiTheme="majorBidi" w:cstheme="majorBidi"/>
        </w:rPr>
        <w:t xml:space="preserve"> and Escape: Moderating Role of Antidrug Information. </w:t>
      </w:r>
      <w:r w:rsidRPr="00E819C5">
        <w:rPr>
          <w:rFonts w:asciiTheme="majorBidi" w:hAnsiTheme="majorBidi" w:cstheme="majorBidi"/>
          <w:i/>
          <w:iCs/>
        </w:rPr>
        <w:t xml:space="preserve">Global Business </w:t>
      </w:r>
      <w:r>
        <w:rPr>
          <w:rFonts w:asciiTheme="majorBidi" w:hAnsiTheme="majorBidi" w:cstheme="majorBidi"/>
          <w:i/>
          <w:iCs/>
        </w:rPr>
        <w:t>and</w:t>
      </w:r>
      <w:r w:rsidRPr="00E819C5">
        <w:rPr>
          <w:rFonts w:asciiTheme="majorBidi" w:hAnsiTheme="majorBidi" w:cstheme="majorBidi"/>
          <w:i/>
          <w:iCs/>
        </w:rPr>
        <w:t xml:space="preserve"> Finance Review</w:t>
      </w:r>
      <w:r w:rsidRPr="00E819C5">
        <w:rPr>
          <w:rFonts w:asciiTheme="majorBidi" w:hAnsiTheme="majorBidi" w:cstheme="majorBidi"/>
        </w:rPr>
        <w:t>, </w:t>
      </w:r>
      <w:r w:rsidRPr="00E819C5">
        <w:rPr>
          <w:rFonts w:asciiTheme="majorBidi" w:hAnsiTheme="majorBidi" w:cstheme="majorBidi"/>
          <w:i/>
          <w:iCs/>
        </w:rPr>
        <w:t>30</w:t>
      </w:r>
      <w:r w:rsidRPr="00E819C5">
        <w:rPr>
          <w:rFonts w:asciiTheme="majorBidi" w:hAnsiTheme="majorBidi" w:cstheme="majorBidi"/>
        </w:rPr>
        <w:t>(6), p.56.</w:t>
      </w:r>
    </w:p>
    <w:p w14:paraId="1060FD3B" w14:textId="77777777" w:rsidR="008459F1" w:rsidRDefault="008459F1" w:rsidP="008459F1">
      <w:pPr>
        <w:rPr>
          <w:rFonts w:asciiTheme="majorBidi" w:hAnsiTheme="majorBidi" w:cstheme="majorBidi"/>
        </w:rPr>
      </w:pPr>
      <w:r w:rsidRPr="00F52103">
        <w:rPr>
          <w:rFonts w:asciiTheme="majorBidi" w:hAnsiTheme="majorBidi" w:cstheme="majorBidi"/>
        </w:rPr>
        <w:t xml:space="preserve">O’Sullivan, L., Feeney, L., Crowley, R. K., Sukumar, P., McAuliffe, E., </w:t>
      </w:r>
      <w:r>
        <w:rPr>
          <w:rFonts w:asciiTheme="majorBidi" w:hAnsiTheme="majorBidi" w:cstheme="majorBidi"/>
        </w:rPr>
        <w:t>and</w:t>
      </w:r>
      <w:r w:rsidRPr="00F52103">
        <w:rPr>
          <w:rFonts w:asciiTheme="majorBidi" w:hAnsiTheme="majorBidi" w:cstheme="majorBidi"/>
        </w:rPr>
        <w:t xml:space="preserve"> Doran, P. (2021). An evaluation of the process of informed consent: Views from research participants and staff. </w:t>
      </w:r>
      <w:r w:rsidRPr="00F52103">
        <w:rPr>
          <w:rFonts w:asciiTheme="majorBidi" w:hAnsiTheme="majorBidi" w:cstheme="majorBidi"/>
          <w:i/>
          <w:iCs/>
        </w:rPr>
        <w:t>Trials, 22</w:t>
      </w:r>
      <w:r w:rsidRPr="00F52103">
        <w:rPr>
          <w:rFonts w:asciiTheme="majorBidi" w:hAnsiTheme="majorBidi" w:cstheme="majorBidi"/>
        </w:rPr>
        <w:t xml:space="preserve">, </w:t>
      </w:r>
      <w:r>
        <w:rPr>
          <w:rFonts w:asciiTheme="majorBidi" w:hAnsiTheme="majorBidi" w:cstheme="majorBidi"/>
        </w:rPr>
        <w:t xml:space="preserve">pp. </w:t>
      </w:r>
      <w:r w:rsidRPr="00F52103">
        <w:rPr>
          <w:rFonts w:asciiTheme="majorBidi" w:hAnsiTheme="majorBidi" w:cstheme="majorBidi"/>
        </w:rPr>
        <w:t xml:space="preserve">544. </w:t>
      </w:r>
      <w:hyperlink r:id="rId19" w:tgtFrame="_new" w:history="1">
        <w:r w:rsidRPr="00F52103">
          <w:rPr>
            <w:rStyle w:val="af2"/>
            <w:rFonts w:asciiTheme="majorBidi" w:hAnsiTheme="majorBidi" w:cstheme="majorBidi"/>
          </w:rPr>
          <w:t>https://doi.org/10.1186/s13063-021-05493-1</w:t>
        </w:r>
      </w:hyperlink>
    </w:p>
    <w:p w14:paraId="73DF8D62" w14:textId="77777777" w:rsidR="008459F1" w:rsidRDefault="008459F1" w:rsidP="008459F1">
      <w:pPr>
        <w:jc w:val="both"/>
        <w:rPr>
          <w:rFonts w:asciiTheme="majorBidi" w:hAnsiTheme="majorBidi" w:cstheme="majorBidi"/>
        </w:rPr>
      </w:pPr>
      <w:r w:rsidRPr="00E819C5">
        <w:rPr>
          <w:rFonts w:asciiTheme="majorBidi" w:hAnsiTheme="majorBidi" w:cstheme="majorBidi"/>
        </w:rPr>
        <w:t xml:space="preserve">OECD (2024) </w:t>
      </w:r>
      <w:r w:rsidRPr="00E819C5">
        <w:rPr>
          <w:rFonts w:asciiTheme="majorBidi" w:hAnsiTheme="majorBidi" w:cstheme="majorBidi"/>
          <w:i/>
          <w:iCs/>
        </w:rPr>
        <w:t>OECD Tourism Trends and Policies 2024</w:t>
      </w:r>
      <w:r w:rsidRPr="00E819C5">
        <w:rPr>
          <w:rFonts w:asciiTheme="majorBidi" w:hAnsiTheme="majorBidi" w:cstheme="majorBidi"/>
        </w:rPr>
        <w:t>. OECD Publishing, Paris, 8 July. Available at: https://doi.org/10.1787/80885d8b</w:t>
      </w:r>
      <w:r w:rsidRPr="00E819C5">
        <w:rPr>
          <w:rFonts w:asciiTheme="majorBidi" w:hAnsiTheme="majorBidi" w:cstheme="majorBidi"/>
        </w:rPr>
        <w:noBreakHyphen/>
        <w:t xml:space="preserve">en </w:t>
      </w:r>
      <w:r w:rsidRPr="004B1738">
        <w:rPr>
          <w:rFonts w:asciiTheme="majorBidi" w:hAnsiTheme="majorBidi" w:cstheme="majorBidi"/>
        </w:rPr>
        <w:t>(Accessed:</w:t>
      </w:r>
      <w:r>
        <w:rPr>
          <w:rFonts w:asciiTheme="majorBidi" w:hAnsiTheme="majorBidi" w:cstheme="majorBidi"/>
        </w:rPr>
        <w:t>24 July 2025</w:t>
      </w:r>
      <w:r w:rsidRPr="004B1738">
        <w:rPr>
          <w:rFonts w:asciiTheme="majorBidi" w:hAnsiTheme="majorBidi" w:cstheme="majorBidi"/>
        </w:rPr>
        <w:t>).</w:t>
      </w:r>
    </w:p>
    <w:p w14:paraId="623FD758" w14:textId="77777777" w:rsidR="008459F1" w:rsidRDefault="008459F1" w:rsidP="008459F1">
      <w:pPr>
        <w:jc w:val="both"/>
        <w:rPr>
          <w:rFonts w:asciiTheme="majorBidi" w:hAnsiTheme="majorBidi" w:cstheme="majorBidi"/>
        </w:rPr>
      </w:pPr>
      <w:r w:rsidRPr="00B76CCB">
        <w:rPr>
          <w:rFonts w:asciiTheme="majorBidi" w:hAnsiTheme="majorBidi" w:cstheme="majorBidi"/>
          <w:lang w:val="de-DE"/>
        </w:rPr>
        <w:t xml:space="preserve">Popp, M., </w:t>
      </w:r>
      <w:proofErr w:type="spellStart"/>
      <w:r w:rsidRPr="00B76CCB">
        <w:rPr>
          <w:rFonts w:asciiTheme="majorBidi" w:hAnsiTheme="majorBidi" w:cstheme="majorBidi"/>
          <w:lang w:val="de-DE"/>
        </w:rPr>
        <w:t>Schmude</w:t>
      </w:r>
      <w:proofErr w:type="spellEnd"/>
      <w:r w:rsidRPr="00B76CCB">
        <w:rPr>
          <w:rFonts w:asciiTheme="majorBidi" w:hAnsiTheme="majorBidi" w:cstheme="majorBidi"/>
          <w:lang w:val="de-DE"/>
        </w:rPr>
        <w:t xml:space="preserve">, J., Passauer, M., Karl, M. </w:t>
      </w:r>
      <w:proofErr w:type="spellStart"/>
      <w:r w:rsidRPr="00B76CCB">
        <w:rPr>
          <w:rFonts w:asciiTheme="majorBidi" w:hAnsiTheme="majorBidi" w:cstheme="majorBidi"/>
          <w:lang w:val="de-DE"/>
        </w:rPr>
        <w:t>and</w:t>
      </w:r>
      <w:proofErr w:type="spellEnd"/>
      <w:r w:rsidRPr="00B76CCB">
        <w:rPr>
          <w:rFonts w:asciiTheme="majorBidi" w:hAnsiTheme="majorBidi" w:cstheme="majorBidi"/>
          <w:lang w:val="de-DE"/>
        </w:rPr>
        <w:t xml:space="preserve"> Bauer, A.</w:t>
      </w:r>
      <w:r>
        <w:rPr>
          <w:rFonts w:asciiTheme="majorBidi" w:hAnsiTheme="majorBidi" w:cstheme="majorBidi"/>
          <w:lang w:val="de-DE"/>
        </w:rPr>
        <w:t xml:space="preserve"> (</w:t>
      </w:r>
      <w:r w:rsidRPr="00B76CCB">
        <w:rPr>
          <w:rFonts w:asciiTheme="majorBidi" w:hAnsiTheme="majorBidi" w:cstheme="majorBidi"/>
          <w:lang w:val="de-DE"/>
        </w:rPr>
        <w:t>2024</w:t>
      </w:r>
      <w:r>
        <w:rPr>
          <w:rFonts w:asciiTheme="majorBidi" w:hAnsiTheme="majorBidi" w:cstheme="majorBidi"/>
          <w:lang w:val="de-DE"/>
        </w:rPr>
        <w:t>)</w:t>
      </w:r>
      <w:r w:rsidRPr="00B76CCB">
        <w:rPr>
          <w:rFonts w:asciiTheme="majorBidi" w:hAnsiTheme="majorBidi" w:cstheme="majorBidi"/>
          <w:lang w:val="de-DE"/>
        </w:rPr>
        <w:t xml:space="preserve">. </w:t>
      </w:r>
      <w:r w:rsidRPr="004B1738">
        <w:rPr>
          <w:rFonts w:asciiTheme="majorBidi" w:hAnsiTheme="majorBidi" w:cstheme="majorBidi"/>
        </w:rPr>
        <w:t>Why don’t they travel? The role of constraints and motivation for non-participation in tourism. </w:t>
      </w:r>
      <w:r w:rsidRPr="004B1738">
        <w:rPr>
          <w:rFonts w:asciiTheme="majorBidi" w:hAnsiTheme="majorBidi" w:cstheme="majorBidi"/>
          <w:i/>
          <w:iCs/>
        </w:rPr>
        <w:t>Leisure Sciences</w:t>
      </w:r>
      <w:r w:rsidRPr="004B1738">
        <w:rPr>
          <w:rFonts w:asciiTheme="majorBidi" w:hAnsiTheme="majorBidi" w:cstheme="majorBidi"/>
        </w:rPr>
        <w:t>, </w:t>
      </w:r>
      <w:r w:rsidRPr="004B1738">
        <w:rPr>
          <w:rFonts w:asciiTheme="majorBidi" w:hAnsiTheme="majorBidi" w:cstheme="majorBidi"/>
          <w:i/>
          <w:iCs/>
        </w:rPr>
        <w:t>46</w:t>
      </w:r>
      <w:r w:rsidRPr="004B1738">
        <w:rPr>
          <w:rFonts w:asciiTheme="majorBidi" w:hAnsiTheme="majorBidi" w:cstheme="majorBidi"/>
        </w:rPr>
        <w:t>(3), pp.211-236.</w:t>
      </w:r>
    </w:p>
    <w:p w14:paraId="463536CA" w14:textId="77777777" w:rsidR="008459F1" w:rsidRDefault="008459F1" w:rsidP="008459F1">
      <w:pPr>
        <w:rPr>
          <w:rFonts w:asciiTheme="majorBidi" w:hAnsiTheme="majorBidi" w:cstheme="majorBidi"/>
        </w:rPr>
      </w:pPr>
      <w:r w:rsidRPr="00ED4D7E">
        <w:rPr>
          <w:rFonts w:asciiTheme="majorBidi" w:hAnsiTheme="majorBidi" w:cstheme="majorBidi"/>
        </w:rPr>
        <w:t xml:space="preserve">Rivera, M., </w:t>
      </w:r>
      <w:proofErr w:type="spellStart"/>
      <w:r w:rsidRPr="00ED4D7E">
        <w:rPr>
          <w:rFonts w:asciiTheme="majorBidi" w:hAnsiTheme="majorBidi" w:cstheme="majorBidi"/>
        </w:rPr>
        <w:t>Shapoval</w:t>
      </w:r>
      <w:proofErr w:type="spellEnd"/>
      <w:r w:rsidRPr="00ED4D7E">
        <w:rPr>
          <w:rFonts w:asciiTheme="majorBidi" w:hAnsiTheme="majorBidi" w:cstheme="majorBidi"/>
        </w:rPr>
        <w:t xml:space="preserve">, V., </w:t>
      </w:r>
      <w:r>
        <w:rPr>
          <w:rFonts w:asciiTheme="majorBidi" w:hAnsiTheme="majorBidi" w:cstheme="majorBidi"/>
        </w:rPr>
        <w:t>and</w:t>
      </w:r>
      <w:r w:rsidRPr="00ED4D7E">
        <w:rPr>
          <w:rFonts w:asciiTheme="majorBidi" w:hAnsiTheme="majorBidi" w:cstheme="majorBidi"/>
        </w:rPr>
        <w:t xml:space="preserve"> Medeiros, M. (2021). The relationship between career adaptability, hope, resilience, and life satisfaction for hospitality students in times of COVID-19. </w:t>
      </w:r>
      <w:r w:rsidRPr="00ED4D7E">
        <w:rPr>
          <w:rFonts w:asciiTheme="majorBidi" w:hAnsiTheme="majorBidi" w:cstheme="majorBidi"/>
          <w:i/>
          <w:iCs/>
        </w:rPr>
        <w:t xml:space="preserve">Journal of Hospitality, Leisure, Sport </w:t>
      </w:r>
      <w:r>
        <w:rPr>
          <w:rFonts w:asciiTheme="majorBidi" w:hAnsiTheme="majorBidi" w:cstheme="majorBidi"/>
          <w:i/>
          <w:iCs/>
        </w:rPr>
        <w:t>and</w:t>
      </w:r>
      <w:r w:rsidRPr="00ED4D7E">
        <w:rPr>
          <w:rFonts w:asciiTheme="majorBidi" w:hAnsiTheme="majorBidi" w:cstheme="majorBidi"/>
          <w:i/>
          <w:iCs/>
        </w:rPr>
        <w:t xml:space="preserve"> Tourism Education, 29</w:t>
      </w:r>
      <w:r w:rsidRPr="00ED4D7E">
        <w:rPr>
          <w:rFonts w:asciiTheme="majorBidi" w:hAnsiTheme="majorBidi" w:cstheme="majorBidi"/>
        </w:rPr>
        <w:t xml:space="preserve">, </w:t>
      </w:r>
      <w:r>
        <w:rPr>
          <w:rFonts w:asciiTheme="majorBidi" w:hAnsiTheme="majorBidi" w:cstheme="majorBidi"/>
        </w:rPr>
        <w:t xml:space="preserve">pp. </w:t>
      </w:r>
      <w:r w:rsidRPr="00ED4D7E">
        <w:rPr>
          <w:rFonts w:asciiTheme="majorBidi" w:hAnsiTheme="majorBidi" w:cstheme="majorBidi"/>
        </w:rPr>
        <w:t xml:space="preserve">100344. </w:t>
      </w:r>
      <w:hyperlink r:id="rId20" w:tgtFrame="_new" w:history="1">
        <w:r w:rsidRPr="00ED4D7E">
          <w:rPr>
            <w:rStyle w:val="af2"/>
            <w:rFonts w:asciiTheme="majorBidi" w:hAnsiTheme="majorBidi" w:cstheme="majorBidi"/>
          </w:rPr>
          <w:t>https://doi.org/10.1016/j.jhlste.2021.100344</w:t>
        </w:r>
      </w:hyperlink>
    </w:p>
    <w:p w14:paraId="0283CBD6" w14:textId="77777777" w:rsidR="008459F1" w:rsidRDefault="008459F1" w:rsidP="008459F1">
      <w:pPr>
        <w:jc w:val="both"/>
        <w:rPr>
          <w:rFonts w:asciiTheme="majorBidi" w:hAnsiTheme="majorBidi" w:cstheme="majorBidi"/>
        </w:rPr>
      </w:pPr>
      <w:r w:rsidRPr="004110C0">
        <w:rPr>
          <w:rFonts w:asciiTheme="majorBidi" w:hAnsiTheme="majorBidi" w:cstheme="majorBidi"/>
        </w:rPr>
        <w:t>Saunders, M., Lewis, P. and Thornhill, A.</w:t>
      </w:r>
      <w:r>
        <w:rPr>
          <w:rFonts w:asciiTheme="majorBidi" w:hAnsiTheme="majorBidi" w:cstheme="majorBidi"/>
        </w:rPr>
        <w:t xml:space="preserve"> (</w:t>
      </w:r>
      <w:r w:rsidRPr="004110C0">
        <w:rPr>
          <w:rFonts w:asciiTheme="majorBidi" w:hAnsiTheme="majorBidi" w:cstheme="majorBidi"/>
        </w:rPr>
        <w:t>2019</w:t>
      </w:r>
      <w:r>
        <w:rPr>
          <w:rFonts w:asciiTheme="majorBidi" w:hAnsiTheme="majorBidi" w:cstheme="majorBidi"/>
        </w:rPr>
        <w:t>)</w:t>
      </w:r>
      <w:r w:rsidRPr="004110C0">
        <w:rPr>
          <w:rFonts w:asciiTheme="majorBidi" w:hAnsiTheme="majorBidi" w:cstheme="majorBidi"/>
        </w:rPr>
        <w:t xml:space="preserve">. </w:t>
      </w:r>
      <w:r w:rsidRPr="004110C0">
        <w:rPr>
          <w:rFonts w:asciiTheme="majorBidi" w:hAnsiTheme="majorBidi" w:cstheme="majorBidi"/>
          <w:i/>
          <w:iCs/>
        </w:rPr>
        <w:t>Research Methods for Business Students</w:t>
      </w:r>
      <w:r w:rsidRPr="004110C0">
        <w:rPr>
          <w:rFonts w:asciiTheme="majorBidi" w:hAnsiTheme="majorBidi" w:cstheme="majorBidi"/>
        </w:rPr>
        <w:t>. 8th ed. Harlow: Pearson Education Limited.</w:t>
      </w:r>
    </w:p>
    <w:p w14:paraId="152F8C2A" w14:textId="77777777" w:rsidR="008459F1" w:rsidRDefault="008459F1" w:rsidP="008459F1">
      <w:pPr>
        <w:jc w:val="both"/>
        <w:rPr>
          <w:rFonts w:asciiTheme="majorBidi" w:hAnsiTheme="majorBidi" w:cstheme="majorBidi"/>
        </w:rPr>
      </w:pPr>
      <w:proofErr w:type="spellStart"/>
      <w:r w:rsidRPr="004110C0">
        <w:rPr>
          <w:rFonts w:asciiTheme="majorBidi" w:hAnsiTheme="majorBidi" w:cstheme="majorBidi"/>
        </w:rPr>
        <w:t>Shamsudin</w:t>
      </w:r>
      <w:proofErr w:type="spellEnd"/>
      <w:r w:rsidRPr="004110C0">
        <w:rPr>
          <w:rFonts w:asciiTheme="majorBidi" w:hAnsiTheme="majorBidi" w:cstheme="majorBidi"/>
        </w:rPr>
        <w:t xml:space="preserve">, M.F., Hassim, A.A. and Abd </w:t>
      </w:r>
      <w:proofErr w:type="spellStart"/>
      <w:r w:rsidRPr="004110C0">
        <w:rPr>
          <w:rFonts w:asciiTheme="majorBidi" w:hAnsiTheme="majorBidi" w:cstheme="majorBidi"/>
        </w:rPr>
        <w:t>Manaf</w:t>
      </w:r>
      <w:proofErr w:type="spellEnd"/>
      <w:r w:rsidRPr="004110C0">
        <w:rPr>
          <w:rFonts w:asciiTheme="majorBidi" w:hAnsiTheme="majorBidi" w:cstheme="majorBidi"/>
        </w:rPr>
        <w:t>, S., 2024. Mastering probability and non-probability methods for accurate research insights. </w:t>
      </w:r>
      <w:r w:rsidRPr="004110C0">
        <w:rPr>
          <w:rFonts w:asciiTheme="majorBidi" w:hAnsiTheme="majorBidi" w:cstheme="majorBidi"/>
          <w:i/>
          <w:iCs/>
        </w:rPr>
        <w:t>Journal of Postgraduate Current Business Research</w:t>
      </w:r>
      <w:r w:rsidRPr="004110C0">
        <w:rPr>
          <w:rFonts w:asciiTheme="majorBidi" w:hAnsiTheme="majorBidi" w:cstheme="majorBidi"/>
        </w:rPr>
        <w:t>, </w:t>
      </w:r>
      <w:r w:rsidRPr="004110C0">
        <w:rPr>
          <w:rFonts w:asciiTheme="majorBidi" w:hAnsiTheme="majorBidi" w:cstheme="majorBidi"/>
          <w:i/>
          <w:iCs/>
        </w:rPr>
        <w:t>9</w:t>
      </w:r>
      <w:r w:rsidRPr="004110C0">
        <w:rPr>
          <w:rFonts w:asciiTheme="majorBidi" w:hAnsiTheme="majorBidi" w:cstheme="majorBidi"/>
        </w:rPr>
        <w:t>(1), pp.38-53.</w:t>
      </w:r>
    </w:p>
    <w:p w14:paraId="5C20DC4F" w14:textId="77777777" w:rsidR="008459F1" w:rsidRDefault="008459F1" w:rsidP="008459F1">
      <w:pPr>
        <w:rPr>
          <w:rFonts w:asciiTheme="majorBidi" w:hAnsiTheme="majorBidi" w:cstheme="majorBidi"/>
        </w:rPr>
      </w:pPr>
      <w:r w:rsidRPr="00ED4D7E">
        <w:rPr>
          <w:rFonts w:asciiTheme="majorBidi" w:hAnsiTheme="majorBidi" w:cstheme="majorBidi"/>
        </w:rPr>
        <w:t xml:space="preserve">Shen, K., </w:t>
      </w:r>
      <w:r>
        <w:rPr>
          <w:rFonts w:asciiTheme="majorBidi" w:hAnsiTheme="majorBidi" w:cstheme="majorBidi"/>
        </w:rPr>
        <w:t>and</w:t>
      </w:r>
      <w:r w:rsidRPr="00ED4D7E">
        <w:rPr>
          <w:rFonts w:asciiTheme="majorBidi" w:hAnsiTheme="majorBidi" w:cstheme="majorBidi"/>
        </w:rPr>
        <w:t xml:space="preserve"> Wu, Y. (2022). The moderation of gender in the effects of Chinese traditionality and patriotism on Chinese domestic travel intention. </w:t>
      </w:r>
      <w:r w:rsidRPr="00ED4D7E">
        <w:rPr>
          <w:rFonts w:asciiTheme="majorBidi" w:hAnsiTheme="majorBidi" w:cstheme="majorBidi"/>
          <w:i/>
          <w:iCs/>
        </w:rPr>
        <w:t>Tourism Review, 77</w:t>
      </w:r>
      <w:r w:rsidRPr="00ED4D7E">
        <w:rPr>
          <w:rFonts w:asciiTheme="majorBidi" w:hAnsiTheme="majorBidi" w:cstheme="majorBidi"/>
        </w:rPr>
        <w:t xml:space="preserve">(3), </w:t>
      </w:r>
      <w:r>
        <w:rPr>
          <w:rFonts w:asciiTheme="majorBidi" w:hAnsiTheme="majorBidi" w:cstheme="majorBidi"/>
        </w:rPr>
        <w:t xml:space="preserve">pp. </w:t>
      </w:r>
      <w:r w:rsidRPr="00ED4D7E">
        <w:rPr>
          <w:rFonts w:asciiTheme="majorBidi" w:hAnsiTheme="majorBidi" w:cstheme="majorBidi"/>
        </w:rPr>
        <w:t xml:space="preserve">925–944. </w:t>
      </w:r>
      <w:hyperlink r:id="rId21" w:tgtFrame="_new" w:history="1">
        <w:r w:rsidRPr="00ED4D7E">
          <w:rPr>
            <w:rStyle w:val="af2"/>
            <w:rFonts w:asciiTheme="majorBidi" w:hAnsiTheme="majorBidi" w:cstheme="majorBidi"/>
          </w:rPr>
          <w:t>https://doi.org/10.1108/TR-07-2021-0303</w:t>
        </w:r>
      </w:hyperlink>
    </w:p>
    <w:p w14:paraId="73B0A441" w14:textId="77777777" w:rsidR="008459F1" w:rsidRDefault="008459F1" w:rsidP="008459F1">
      <w:pPr>
        <w:jc w:val="both"/>
        <w:rPr>
          <w:rFonts w:asciiTheme="majorBidi" w:hAnsiTheme="majorBidi" w:cstheme="majorBidi"/>
        </w:rPr>
      </w:pPr>
      <w:proofErr w:type="spellStart"/>
      <w:r w:rsidRPr="00582721">
        <w:rPr>
          <w:rFonts w:asciiTheme="majorBidi" w:hAnsiTheme="majorBidi" w:cstheme="majorBidi"/>
          <w:lang w:val="de-DE"/>
        </w:rPr>
        <w:t>Struwig</w:t>
      </w:r>
      <w:proofErr w:type="spellEnd"/>
      <w:r w:rsidRPr="00582721">
        <w:rPr>
          <w:rFonts w:asciiTheme="majorBidi" w:hAnsiTheme="majorBidi" w:cstheme="majorBidi"/>
          <w:lang w:val="de-DE"/>
        </w:rPr>
        <w:t xml:space="preserve">, J. </w:t>
      </w:r>
      <w:proofErr w:type="spellStart"/>
      <w:r w:rsidRPr="00582721">
        <w:rPr>
          <w:rFonts w:asciiTheme="majorBidi" w:hAnsiTheme="majorBidi" w:cstheme="majorBidi"/>
          <w:lang w:val="de-DE"/>
        </w:rPr>
        <w:t>and</w:t>
      </w:r>
      <w:proofErr w:type="spellEnd"/>
      <w:r w:rsidRPr="00582721">
        <w:rPr>
          <w:rFonts w:asciiTheme="majorBidi" w:hAnsiTheme="majorBidi" w:cstheme="majorBidi"/>
          <w:lang w:val="de-DE"/>
        </w:rPr>
        <w:t xml:space="preserve"> du </w:t>
      </w:r>
      <w:proofErr w:type="spellStart"/>
      <w:r w:rsidRPr="00582721">
        <w:rPr>
          <w:rFonts w:asciiTheme="majorBidi" w:hAnsiTheme="majorBidi" w:cstheme="majorBidi"/>
          <w:lang w:val="de-DE"/>
        </w:rPr>
        <w:t>Preez</w:t>
      </w:r>
      <w:proofErr w:type="spellEnd"/>
      <w:r w:rsidRPr="00582721">
        <w:rPr>
          <w:rFonts w:asciiTheme="majorBidi" w:hAnsiTheme="majorBidi" w:cstheme="majorBidi"/>
          <w:lang w:val="de-DE"/>
        </w:rPr>
        <w:t>, E.A.</w:t>
      </w:r>
      <w:r>
        <w:rPr>
          <w:rFonts w:asciiTheme="majorBidi" w:hAnsiTheme="majorBidi" w:cstheme="majorBidi"/>
          <w:lang w:val="de-DE"/>
        </w:rPr>
        <w:t xml:space="preserve"> (</w:t>
      </w:r>
      <w:r w:rsidRPr="00582721">
        <w:rPr>
          <w:rFonts w:asciiTheme="majorBidi" w:hAnsiTheme="majorBidi" w:cstheme="majorBidi"/>
          <w:lang w:val="de-DE"/>
        </w:rPr>
        <w:t>2024</w:t>
      </w:r>
      <w:r>
        <w:rPr>
          <w:rFonts w:asciiTheme="majorBidi" w:hAnsiTheme="majorBidi" w:cstheme="majorBidi"/>
          <w:lang w:val="de-DE"/>
        </w:rPr>
        <w:t>)</w:t>
      </w:r>
      <w:r w:rsidRPr="00582721">
        <w:rPr>
          <w:rFonts w:asciiTheme="majorBidi" w:hAnsiTheme="majorBidi" w:cstheme="majorBidi"/>
          <w:lang w:val="de-DE"/>
        </w:rPr>
        <w:t xml:space="preserve">. </w:t>
      </w:r>
      <w:r w:rsidRPr="004B1738">
        <w:rPr>
          <w:rFonts w:asciiTheme="majorBidi" w:hAnsiTheme="majorBidi" w:cstheme="majorBidi"/>
        </w:rPr>
        <w:t>The effect of income on the relationship between travel motives and destination choices. </w:t>
      </w:r>
      <w:r w:rsidRPr="004B1738">
        <w:rPr>
          <w:rFonts w:asciiTheme="majorBidi" w:hAnsiTheme="majorBidi" w:cstheme="majorBidi"/>
          <w:i/>
          <w:iCs/>
        </w:rPr>
        <w:t>South African Journal of Economic and Management Sciences</w:t>
      </w:r>
      <w:r w:rsidRPr="004B1738">
        <w:rPr>
          <w:rFonts w:asciiTheme="majorBidi" w:hAnsiTheme="majorBidi" w:cstheme="majorBidi"/>
        </w:rPr>
        <w:t>, </w:t>
      </w:r>
      <w:r w:rsidRPr="004B1738">
        <w:rPr>
          <w:rFonts w:asciiTheme="majorBidi" w:hAnsiTheme="majorBidi" w:cstheme="majorBidi"/>
          <w:i/>
          <w:iCs/>
        </w:rPr>
        <w:t>27</w:t>
      </w:r>
      <w:r w:rsidRPr="004B1738">
        <w:rPr>
          <w:rFonts w:asciiTheme="majorBidi" w:hAnsiTheme="majorBidi" w:cstheme="majorBidi"/>
        </w:rPr>
        <w:t>(1), p.5286.</w:t>
      </w:r>
    </w:p>
    <w:p w14:paraId="5A9A3E7C" w14:textId="77777777" w:rsidR="008459F1" w:rsidRDefault="008459F1" w:rsidP="008459F1">
      <w:pPr>
        <w:jc w:val="both"/>
        <w:rPr>
          <w:rFonts w:asciiTheme="majorBidi" w:hAnsiTheme="majorBidi" w:cstheme="majorBidi"/>
        </w:rPr>
      </w:pPr>
      <w:r w:rsidRPr="004B1738">
        <w:rPr>
          <w:rFonts w:asciiTheme="majorBidi" w:hAnsiTheme="majorBidi" w:cstheme="majorBidi"/>
        </w:rPr>
        <w:lastRenderedPageBreak/>
        <w:t xml:space="preserve">UN Tourism </w:t>
      </w:r>
      <w:r>
        <w:rPr>
          <w:rFonts w:asciiTheme="majorBidi" w:hAnsiTheme="majorBidi" w:cstheme="majorBidi"/>
        </w:rPr>
        <w:t>(</w:t>
      </w:r>
      <w:r w:rsidRPr="004B1738">
        <w:rPr>
          <w:rFonts w:asciiTheme="majorBidi" w:hAnsiTheme="majorBidi" w:cstheme="majorBidi"/>
        </w:rPr>
        <w:t>2025</w:t>
      </w:r>
      <w:r>
        <w:rPr>
          <w:rFonts w:asciiTheme="majorBidi" w:hAnsiTheme="majorBidi" w:cstheme="majorBidi"/>
        </w:rPr>
        <w:t>).</w:t>
      </w:r>
      <w:r w:rsidRPr="004B1738">
        <w:rPr>
          <w:rFonts w:asciiTheme="majorBidi" w:hAnsiTheme="majorBidi" w:cstheme="majorBidi"/>
        </w:rPr>
        <w:t xml:space="preserve"> </w:t>
      </w:r>
      <w:r w:rsidRPr="004B1738">
        <w:rPr>
          <w:rFonts w:asciiTheme="majorBidi" w:hAnsiTheme="majorBidi" w:cstheme="majorBidi"/>
          <w:i/>
          <w:iCs/>
        </w:rPr>
        <w:t>International tourism recovers pre</w:t>
      </w:r>
      <w:r w:rsidRPr="004B1738">
        <w:rPr>
          <w:rFonts w:asciiTheme="majorBidi" w:hAnsiTheme="majorBidi" w:cstheme="majorBidi"/>
          <w:i/>
          <w:iCs/>
        </w:rPr>
        <w:noBreakHyphen/>
        <w:t>pandemic levels in 2024</w:t>
      </w:r>
      <w:r w:rsidRPr="004B1738">
        <w:rPr>
          <w:rFonts w:asciiTheme="majorBidi" w:hAnsiTheme="majorBidi" w:cstheme="majorBidi"/>
        </w:rPr>
        <w:t xml:space="preserve">. UN World Tourism Organization, 21 January. Available at: </w:t>
      </w:r>
      <w:hyperlink r:id="rId22" w:tgtFrame="_new" w:history="1">
        <w:r w:rsidRPr="004B1738">
          <w:rPr>
            <w:rStyle w:val="af2"/>
            <w:rFonts w:asciiTheme="majorBidi" w:hAnsiTheme="majorBidi" w:cstheme="majorBidi"/>
          </w:rPr>
          <w:t>https://www.unwto.org/news/international-tourism-recovers-pre-pandemic-levels-in-2024</w:t>
        </w:r>
      </w:hyperlink>
      <w:r w:rsidRPr="004B1738">
        <w:rPr>
          <w:rFonts w:asciiTheme="majorBidi" w:hAnsiTheme="majorBidi" w:cstheme="majorBidi"/>
        </w:rPr>
        <w:t xml:space="preserve"> (Accessed:</w:t>
      </w:r>
      <w:r>
        <w:rPr>
          <w:rFonts w:asciiTheme="majorBidi" w:hAnsiTheme="majorBidi" w:cstheme="majorBidi"/>
        </w:rPr>
        <w:t xml:space="preserve"> 24 July 2025</w:t>
      </w:r>
      <w:r w:rsidRPr="004B1738">
        <w:rPr>
          <w:rFonts w:asciiTheme="majorBidi" w:hAnsiTheme="majorBidi" w:cstheme="majorBidi"/>
        </w:rPr>
        <w:t>).</w:t>
      </w:r>
    </w:p>
    <w:p w14:paraId="6A5BF209" w14:textId="77777777" w:rsidR="008459F1" w:rsidRDefault="008459F1" w:rsidP="008459F1">
      <w:pPr>
        <w:jc w:val="both"/>
        <w:rPr>
          <w:rFonts w:asciiTheme="majorBidi" w:hAnsiTheme="majorBidi" w:cstheme="majorBidi"/>
        </w:rPr>
      </w:pPr>
      <w:proofErr w:type="spellStart"/>
      <w:r w:rsidRPr="00E819C5">
        <w:rPr>
          <w:rFonts w:asciiTheme="majorBidi" w:hAnsiTheme="majorBidi" w:cstheme="majorBidi"/>
        </w:rPr>
        <w:t>Vachuska</w:t>
      </w:r>
      <w:proofErr w:type="spellEnd"/>
      <w:r w:rsidRPr="00E819C5">
        <w:rPr>
          <w:rFonts w:asciiTheme="majorBidi" w:hAnsiTheme="majorBidi" w:cstheme="majorBidi"/>
        </w:rPr>
        <w:t>, K.</w:t>
      </w:r>
      <w:r>
        <w:rPr>
          <w:rFonts w:asciiTheme="majorBidi" w:hAnsiTheme="majorBidi" w:cstheme="majorBidi"/>
        </w:rPr>
        <w:t xml:space="preserve"> (</w:t>
      </w:r>
      <w:r w:rsidRPr="00E819C5">
        <w:rPr>
          <w:rFonts w:asciiTheme="majorBidi" w:hAnsiTheme="majorBidi" w:cstheme="majorBidi"/>
        </w:rPr>
        <w:t>2025</w:t>
      </w:r>
      <w:r>
        <w:rPr>
          <w:rFonts w:asciiTheme="majorBidi" w:hAnsiTheme="majorBidi" w:cstheme="majorBidi"/>
        </w:rPr>
        <w:t>)</w:t>
      </w:r>
      <w:r w:rsidRPr="00E819C5">
        <w:rPr>
          <w:rFonts w:asciiTheme="majorBidi" w:hAnsiTheme="majorBidi" w:cstheme="majorBidi"/>
        </w:rPr>
        <w:t>. The movement of class: on occupation and everyday mobility patterns in the United States. </w:t>
      </w:r>
      <w:r w:rsidRPr="00E819C5">
        <w:rPr>
          <w:rFonts w:asciiTheme="majorBidi" w:hAnsiTheme="majorBidi" w:cstheme="majorBidi"/>
          <w:i/>
          <w:iCs/>
        </w:rPr>
        <w:t>Frontiers in Sociology</w:t>
      </w:r>
      <w:r w:rsidRPr="00E819C5">
        <w:rPr>
          <w:rFonts w:asciiTheme="majorBidi" w:hAnsiTheme="majorBidi" w:cstheme="majorBidi"/>
        </w:rPr>
        <w:t>, </w:t>
      </w:r>
      <w:r w:rsidRPr="00E819C5">
        <w:rPr>
          <w:rFonts w:asciiTheme="majorBidi" w:hAnsiTheme="majorBidi" w:cstheme="majorBidi"/>
          <w:i/>
          <w:iCs/>
        </w:rPr>
        <w:t>10</w:t>
      </w:r>
      <w:r w:rsidRPr="00E819C5">
        <w:rPr>
          <w:rFonts w:asciiTheme="majorBidi" w:hAnsiTheme="majorBidi" w:cstheme="majorBidi"/>
        </w:rPr>
        <w:t>, p.1492785.</w:t>
      </w:r>
    </w:p>
    <w:p w14:paraId="64613F0D" w14:textId="77777777" w:rsidR="008459F1" w:rsidRDefault="008459F1" w:rsidP="008459F1">
      <w:pPr>
        <w:jc w:val="both"/>
        <w:rPr>
          <w:rFonts w:asciiTheme="majorBidi" w:hAnsiTheme="majorBidi" w:cstheme="majorBidi"/>
        </w:rPr>
      </w:pPr>
      <w:r w:rsidRPr="00E819C5">
        <w:rPr>
          <w:rFonts w:asciiTheme="majorBidi" w:hAnsiTheme="majorBidi" w:cstheme="majorBidi"/>
        </w:rPr>
        <w:t xml:space="preserve">Ventura, R.V., Fernandes, E., Cabo, M., Carvalho, C.F.D.M., Fernandes, V.A. and </w:t>
      </w:r>
      <w:proofErr w:type="spellStart"/>
      <w:r w:rsidRPr="00E819C5">
        <w:rPr>
          <w:rFonts w:asciiTheme="majorBidi" w:hAnsiTheme="majorBidi" w:cstheme="majorBidi"/>
        </w:rPr>
        <w:t>Tshikovhi</w:t>
      </w:r>
      <w:proofErr w:type="spellEnd"/>
      <w:r w:rsidRPr="00E819C5">
        <w:rPr>
          <w:rFonts w:asciiTheme="majorBidi" w:hAnsiTheme="majorBidi" w:cstheme="majorBidi"/>
        </w:rPr>
        <w:t>, N.</w:t>
      </w:r>
      <w:r>
        <w:rPr>
          <w:rFonts w:asciiTheme="majorBidi" w:hAnsiTheme="majorBidi" w:cstheme="majorBidi"/>
        </w:rPr>
        <w:t xml:space="preserve"> (</w:t>
      </w:r>
      <w:r w:rsidRPr="00E819C5">
        <w:rPr>
          <w:rFonts w:asciiTheme="majorBidi" w:hAnsiTheme="majorBidi" w:cstheme="majorBidi"/>
        </w:rPr>
        <w:t>2024</w:t>
      </w:r>
      <w:r>
        <w:rPr>
          <w:rFonts w:asciiTheme="majorBidi" w:hAnsiTheme="majorBidi" w:cstheme="majorBidi"/>
        </w:rPr>
        <w:t>)</w:t>
      </w:r>
      <w:r w:rsidRPr="00E819C5">
        <w:rPr>
          <w:rFonts w:asciiTheme="majorBidi" w:hAnsiTheme="majorBidi" w:cstheme="majorBidi"/>
        </w:rPr>
        <w:t>. Socioeconomic Factors Driving International Travel Destination for Tourism. </w:t>
      </w:r>
      <w:r w:rsidRPr="00E819C5">
        <w:rPr>
          <w:rFonts w:asciiTheme="majorBidi" w:hAnsiTheme="majorBidi" w:cstheme="majorBidi"/>
          <w:i/>
          <w:iCs/>
        </w:rPr>
        <w:t xml:space="preserve">Tourism Planning </w:t>
      </w:r>
      <w:r>
        <w:rPr>
          <w:rFonts w:asciiTheme="majorBidi" w:hAnsiTheme="majorBidi" w:cstheme="majorBidi"/>
          <w:i/>
          <w:iCs/>
        </w:rPr>
        <w:t>and</w:t>
      </w:r>
      <w:r w:rsidRPr="00E819C5">
        <w:rPr>
          <w:rFonts w:asciiTheme="majorBidi" w:hAnsiTheme="majorBidi" w:cstheme="majorBidi"/>
          <w:i/>
          <w:iCs/>
        </w:rPr>
        <w:t xml:space="preserve"> Development</w:t>
      </w:r>
      <w:r w:rsidRPr="00E819C5">
        <w:rPr>
          <w:rFonts w:asciiTheme="majorBidi" w:hAnsiTheme="majorBidi" w:cstheme="majorBidi"/>
        </w:rPr>
        <w:t>, pp.1-19.</w:t>
      </w:r>
    </w:p>
    <w:p w14:paraId="01BCB243" w14:textId="77777777" w:rsidR="008459F1" w:rsidRDefault="008459F1" w:rsidP="008459F1">
      <w:pPr>
        <w:rPr>
          <w:rFonts w:asciiTheme="majorBidi" w:hAnsiTheme="majorBidi" w:cstheme="majorBidi"/>
        </w:rPr>
      </w:pPr>
      <w:r w:rsidRPr="00062ACF">
        <w:rPr>
          <w:rFonts w:asciiTheme="majorBidi" w:hAnsiTheme="majorBidi" w:cstheme="majorBidi"/>
        </w:rPr>
        <w:t xml:space="preserve">Wang, J., </w:t>
      </w:r>
      <w:r>
        <w:rPr>
          <w:rFonts w:asciiTheme="majorBidi" w:hAnsiTheme="majorBidi" w:cstheme="majorBidi"/>
        </w:rPr>
        <w:t>and</w:t>
      </w:r>
      <w:r w:rsidRPr="00062ACF">
        <w:rPr>
          <w:rFonts w:asciiTheme="majorBidi" w:hAnsiTheme="majorBidi" w:cstheme="majorBidi"/>
        </w:rPr>
        <w:t xml:space="preserve"> Choi, C. H. (2023). Security or sovereignty: The dynamic impact of political crises on Chinese tourism. </w:t>
      </w:r>
      <w:r w:rsidRPr="00062ACF">
        <w:rPr>
          <w:rFonts w:asciiTheme="majorBidi" w:hAnsiTheme="majorBidi" w:cstheme="majorBidi"/>
          <w:i/>
          <w:iCs/>
        </w:rPr>
        <w:t>Current Issues in Tourism, 27</w:t>
      </w:r>
      <w:r w:rsidRPr="00062ACF">
        <w:rPr>
          <w:rFonts w:asciiTheme="majorBidi" w:hAnsiTheme="majorBidi" w:cstheme="majorBidi"/>
        </w:rPr>
        <w:t xml:space="preserve">(23), </w:t>
      </w:r>
      <w:r>
        <w:rPr>
          <w:rFonts w:asciiTheme="majorBidi" w:hAnsiTheme="majorBidi" w:cstheme="majorBidi"/>
        </w:rPr>
        <w:t xml:space="preserve">pp. </w:t>
      </w:r>
      <w:r w:rsidRPr="00062ACF">
        <w:rPr>
          <w:rFonts w:asciiTheme="majorBidi" w:hAnsiTheme="majorBidi" w:cstheme="majorBidi"/>
        </w:rPr>
        <w:t xml:space="preserve">4049–4065. </w:t>
      </w:r>
      <w:hyperlink r:id="rId23" w:tgtFrame="_new" w:history="1">
        <w:r w:rsidRPr="00062ACF">
          <w:rPr>
            <w:rStyle w:val="af2"/>
            <w:rFonts w:asciiTheme="majorBidi" w:hAnsiTheme="majorBidi" w:cstheme="majorBidi"/>
          </w:rPr>
          <w:t>https://doi.org/10.1080/13683500.2023.2273915</w:t>
        </w:r>
      </w:hyperlink>
    </w:p>
    <w:p w14:paraId="3F0F7454" w14:textId="77777777" w:rsidR="008459F1" w:rsidRDefault="008459F1" w:rsidP="008459F1">
      <w:pPr>
        <w:rPr>
          <w:rFonts w:asciiTheme="majorBidi" w:hAnsiTheme="majorBidi" w:cstheme="majorBidi"/>
        </w:rPr>
      </w:pPr>
      <w:r w:rsidRPr="00582721">
        <w:rPr>
          <w:rFonts w:asciiTheme="majorBidi" w:hAnsiTheme="majorBidi" w:cstheme="majorBidi"/>
          <w:lang w:val="de-DE"/>
        </w:rPr>
        <w:t xml:space="preserve">Wang, Y., </w:t>
      </w:r>
      <w:proofErr w:type="spellStart"/>
      <w:r w:rsidRPr="00582721">
        <w:rPr>
          <w:rFonts w:asciiTheme="majorBidi" w:hAnsiTheme="majorBidi" w:cstheme="majorBidi"/>
          <w:lang w:val="de-DE"/>
        </w:rPr>
        <w:t>and</w:t>
      </w:r>
      <w:proofErr w:type="spellEnd"/>
      <w:r w:rsidRPr="00582721">
        <w:rPr>
          <w:rFonts w:asciiTheme="majorBidi" w:hAnsiTheme="majorBidi" w:cstheme="majorBidi"/>
          <w:lang w:val="de-DE"/>
        </w:rPr>
        <w:t xml:space="preserve"> </w:t>
      </w:r>
      <w:proofErr w:type="spellStart"/>
      <w:r w:rsidRPr="00582721">
        <w:rPr>
          <w:rFonts w:asciiTheme="majorBidi" w:hAnsiTheme="majorBidi" w:cstheme="majorBidi"/>
          <w:lang w:val="de-DE"/>
        </w:rPr>
        <w:t>Tziamalis</w:t>
      </w:r>
      <w:proofErr w:type="spellEnd"/>
      <w:r w:rsidRPr="00582721">
        <w:rPr>
          <w:rFonts w:asciiTheme="majorBidi" w:hAnsiTheme="majorBidi" w:cstheme="majorBidi"/>
          <w:lang w:val="de-DE"/>
        </w:rPr>
        <w:t xml:space="preserve">, A. (2023). </w:t>
      </w:r>
      <w:r w:rsidRPr="00062ACF">
        <w:rPr>
          <w:rFonts w:asciiTheme="majorBidi" w:hAnsiTheme="majorBidi" w:cstheme="majorBidi"/>
          <w:lang w:val="en-US"/>
        </w:rPr>
        <w:t xml:space="preserve">International tourism and income inequality: The role of economic and financial development. </w:t>
      </w:r>
      <w:r w:rsidRPr="00062ACF">
        <w:rPr>
          <w:rFonts w:asciiTheme="majorBidi" w:hAnsiTheme="majorBidi" w:cstheme="majorBidi"/>
          <w:i/>
          <w:iCs/>
          <w:lang w:val="en-US"/>
        </w:rPr>
        <w:t>Tourism Economics, 29</w:t>
      </w:r>
      <w:r w:rsidRPr="00062ACF">
        <w:rPr>
          <w:rFonts w:asciiTheme="majorBidi" w:hAnsiTheme="majorBidi" w:cstheme="majorBidi"/>
          <w:lang w:val="en-US"/>
        </w:rPr>
        <w:t xml:space="preserve">(7), </w:t>
      </w:r>
      <w:r>
        <w:rPr>
          <w:rFonts w:asciiTheme="majorBidi" w:hAnsiTheme="majorBidi" w:cstheme="majorBidi"/>
        </w:rPr>
        <w:t xml:space="preserve">pp. </w:t>
      </w:r>
      <w:r w:rsidRPr="00062ACF">
        <w:rPr>
          <w:rFonts w:asciiTheme="majorBidi" w:hAnsiTheme="majorBidi" w:cstheme="majorBidi"/>
          <w:lang w:val="en-US"/>
        </w:rPr>
        <w:t xml:space="preserve">1836-1864. </w:t>
      </w:r>
      <w:hyperlink r:id="rId24" w:history="1">
        <w:r w:rsidRPr="000602A2">
          <w:rPr>
            <w:rStyle w:val="af2"/>
            <w:rFonts w:asciiTheme="majorBidi" w:hAnsiTheme="majorBidi" w:cstheme="majorBidi"/>
            <w:lang w:val="en-US"/>
          </w:rPr>
          <w:t>https://doi.org/10.1177/13548166231177106</w:t>
        </w:r>
      </w:hyperlink>
    </w:p>
    <w:p w14:paraId="4EEE9901" w14:textId="77777777" w:rsidR="008459F1" w:rsidRDefault="008459F1" w:rsidP="008459F1">
      <w:pPr>
        <w:rPr>
          <w:rFonts w:asciiTheme="majorBidi" w:hAnsiTheme="majorBidi" w:cstheme="majorBidi"/>
        </w:rPr>
      </w:pPr>
      <w:r w:rsidRPr="00F52103">
        <w:rPr>
          <w:rFonts w:asciiTheme="majorBidi" w:hAnsiTheme="majorBidi" w:cstheme="majorBidi"/>
        </w:rPr>
        <w:t xml:space="preserve">Waqas-Awan, A., </w:t>
      </w:r>
      <w:proofErr w:type="spellStart"/>
      <w:r w:rsidRPr="00F52103">
        <w:rPr>
          <w:rFonts w:asciiTheme="majorBidi" w:hAnsiTheme="majorBidi" w:cstheme="majorBidi"/>
        </w:rPr>
        <w:t>Rosselló</w:t>
      </w:r>
      <w:proofErr w:type="spellEnd"/>
      <w:r w:rsidRPr="00F52103">
        <w:rPr>
          <w:rFonts w:asciiTheme="majorBidi" w:hAnsiTheme="majorBidi" w:cstheme="majorBidi"/>
        </w:rPr>
        <w:t xml:space="preserve">-Nadal, J., and Santana-Gallego, M. (2020). </w:t>
      </w:r>
      <w:r w:rsidRPr="00ED4D7E">
        <w:rPr>
          <w:rFonts w:asciiTheme="majorBidi" w:hAnsiTheme="majorBidi" w:cstheme="majorBidi"/>
          <w:lang w:val="en-US"/>
        </w:rPr>
        <w:t xml:space="preserve">New insights into the role of personal income on international tourism. </w:t>
      </w:r>
      <w:r w:rsidRPr="00ED4D7E">
        <w:rPr>
          <w:rFonts w:asciiTheme="majorBidi" w:hAnsiTheme="majorBidi" w:cstheme="majorBidi"/>
          <w:i/>
          <w:iCs/>
          <w:lang w:val="en-US"/>
        </w:rPr>
        <w:t>Journal of Travel Research, 60</w:t>
      </w:r>
      <w:r w:rsidRPr="00ED4D7E">
        <w:rPr>
          <w:rFonts w:asciiTheme="majorBidi" w:hAnsiTheme="majorBidi" w:cstheme="majorBidi"/>
          <w:lang w:val="en-US"/>
        </w:rPr>
        <w:t xml:space="preserve">(4), </w:t>
      </w:r>
      <w:r>
        <w:rPr>
          <w:rFonts w:asciiTheme="majorBidi" w:hAnsiTheme="majorBidi" w:cstheme="majorBidi"/>
        </w:rPr>
        <w:t xml:space="preserve">pp. </w:t>
      </w:r>
      <w:r w:rsidRPr="00ED4D7E">
        <w:rPr>
          <w:rFonts w:asciiTheme="majorBidi" w:hAnsiTheme="majorBidi" w:cstheme="majorBidi"/>
          <w:lang w:val="en-US"/>
        </w:rPr>
        <w:t xml:space="preserve">799-809. </w:t>
      </w:r>
      <w:hyperlink r:id="rId25" w:history="1">
        <w:r w:rsidRPr="000602A2">
          <w:rPr>
            <w:rStyle w:val="af2"/>
            <w:rFonts w:asciiTheme="majorBidi" w:hAnsiTheme="majorBidi" w:cstheme="majorBidi"/>
            <w:lang w:val="en-US"/>
          </w:rPr>
          <w:t>https://doi.org/10.1177/0047287520907702</w:t>
        </w:r>
      </w:hyperlink>
    </w:p>
    <w:p w14:paraId="327087B7" w14:textId="77777777" w:rsidR="008459F1" w:rsidRDefault="008459F1" w:rsidP="008459F1">
      <w:pPr>
        <w:jc w:val="both"/>
        <w:rPr>
          <w:rFonts w:asciiTheme="majorBidi" w:hAnsiTheme="majorBidi" w:cstheme="majorBidi"/>
        </w:rPr>
      </w:pPr>
      <w:r w:rsidRPr="004110C0">
        <w:rPr>
          <w:rFonts w:asciiTheme="majorBidi" w:hAnsiTheme="majorBidi" w:cstheme="majorBidi"/>
        </w:rPr>
        <w:t>Xu, Z., Gao, F., Fa, A., Qu, W. and Zhang, Z.</w:t>
      </w:r>
      <w:r>
        <w:rPr>
          <w:rFonts w:asciiTheme="majorBidi" w:hAnsiTheme="majorBidi" w:cstheme="majorBidi"/>
        </w:rPr>
        <w:t xml:space="preserve"> (</w:t>
      </w:r>
      <w:r w:rsidRPr="004110C0">
        <w:rPr>
          <w:rFonts w:asciiTheme="majorBidi" w:hAnsiTheme="majorBidi" w:cstheme="majorBidi"/>
        </w:rPr>
        <w:t>2024</w:t>
      </w:r>
      <w:r>
        <w:rPr>
          <w:rFonts w:asciiTheme="majorBidi" w:hAnsiTheme="majorBidi" w:cstheme="majorBidi"/>
        </w:rPr>
        <w:t>)</w:t>
      </w:r>
      <w:r w:rsidRPr="004110C0">
        <w:rPr>
          <w:rFonts w:asciiTheme="majorBidi" w:hAnsiTheme="majorBidi" w:cstheme="majorBidi"/>
        </w:rPr>
        <w:t>. Statistical power analysis and sample size planning for moderated mediation models. </w:t>
      </w:r>
      <w:proofErr w:type="spellStart"/>
      <w:r w:rsidRPr="004110C0">
        <w:rPr>
          <w:rFonts w:asciiTheme="majorBidi" w:hAnsiTheme="majorBidi" w:cstheme="majorBidi"/>
          <w:i/>
          <w:iCs/>
        </w:rPr>
        <w:t>Behavior</w:t>
      </w:r>
      <w:proofErr w:type="spellEnd"/>
      <w:r w:rsidRPr="004110C0">
        <w:rPr>
          <w:rFonts w:asciiTheme="majorBidi" w:hAnsiTheme="majorBidi" w:cstheme="majorBidi"/>
          <w:i/>
          <w:iCs/>
        </w:rPr>
        <w:t xml:space="preserve"> Research Methods</w:t>
      </w:r>
      <w:r w:rsidRPr="004110C0">
        <w:rPr>
          <w:rFonts w:asciiTheme="majorBidi" w:hAnsiTheme="majorBidi" w:cstheme="majorBidi"/>
        </w:rPr>
        <w:t>, </w:t>
      </w:r>
      <w:r w:rsidRPr="004110C0">
        <w:rPr>
          <w:rFonts w:asciiTheme="majorBidi" w:hAnsiTheme="majorBidi" w:cstheme="majorBidi"/>
          <w:i/>
          <w:iCs/>
        </w:rPr>
        <w:t>56</w:t>
      </w:r>
      <w:r w:rsidRPr="004110C0">
        <w:rPr>
          <w:rFonts w:asciiTheme="majorBidi" w:hAnsiTheme="majorBidi" w:cstheme="majorBidi"/>
        </w:rPr>
        <w:t>(6), pp.6130-6149.</w:t>
      </w:r>
    </w:p>
    <w:p w14:paraId="221354D8" w14:textId="77777777" w:rsidR="008459F1" w:rsidRDefault="008459F1" w:rsidP="008459F1">
      <w:pPr>
        <w:jc w:val="both"/>
        <w:rPr>
          <w:rFonts w:asciiTheme="majorBidi" w:hAnsiTheme="majorBidi" w:cstheme="majorBidi"/>
        </w:rPr>
      </w:pPr>
      <w:r w:rsidRPr="00FC0871">
        <w:rPr>
          <w:rFonts w:asciiTheme="majorBidi" w:hAnsiTheme="majorBidi" w:cstheme="majorBidi"/>
        </w:rPr>
        <w:t>Yu, H., Ye, X., Liu, L., Wang, T., Yan, X., Chen, J. and Ran, B.</w:t>
      </w:r>
      <w:r>
        <w:rPr>
          <w:rFonts w:asciiTheme="majorBidi" w:hAnsiTheme="majorBidi" w:cstheme="majorBidi"/>
        </w:rPr>
        <w:t xml:space="preserve"> (</w:t>
      </w:r>
      <w:r w:rsidRPr="00FC0871">
        <w:rPr>
          <w:rFonts w:asciiTheme="majorBidi" w:hAnsiTheme="majorBidi" w:cstheme="majorBidi"/>
        </w:rPr>
        <w:t>2024</w:t>
      </w:r>
      <w:r>
        <w:rPr>
          <w:rFonts w:asciiTheme="majorBidi" w:hAnsiTheme="majorBidi" w:cstheme="majorBidi"/>
        </w:rPr>
        <w:t>)</w:t>
      </w:r>
      <w:r w:rsidRPr="00FC0871">
        <w:rPr>
          <w:rFonts w:asciiTheme="majorBidi" w:hAnsiTheme="majorBidi" w:cstheme="majorBidi"/>
        </w:rPr>
        <w:t xml:space="preserve">. </w:t>
      </w:r>
      <w:proofErr w:type="spellStart"/>
      <w:r w:rsidRPr="00FC0871">
        <w:rPr>
          <w:rFonts w:asciiTheme="majorBidi" w:hAnsiTheme="majorBidi" w:cstheme="majorBidi"/>
        </w:rPr>
        <w:t>Analyzing</w:t>
      </w:r>
      <w:proofErr w:type="spellEnd"/>
      <w:r w:rsidRPr="00FC0871">
        <w:rPr>
          <w:rFonts w:asciiTheme="majorBidi" w:hAnsiTheme="majorBidi" w:cstheme="majorBidi"/>
        </w:rPr>
        <w:t xml:space="preserve"> multi-factor effects on travel well-being, including non-linear relationship and interaction. </w:t>
      </w:r>
      <w:r w:rsidRPr="00FC0871">
        <w:rPr>
          <w:rFonts w:asciiTheme="majorBidi" w:hAnsiTheme="majorBidi" w:cstheme="majorBidi"/>
          <w:i/>
          <w:iCs/>
        </w:rPr>
        <w:t>Transportation Planning and Technology</w:t>
      </w:r>
      <w:r w:rsidRPr="00FC0871">
        <w:rPr>
          <w:rFonts w:asciiTheme="majorBidi" w:hAnsiTheme="majorBidi" w:cstheme="majorBidi"/>
        </w:rPr>
        <w:t>, </w:t>
      </w:r>
      <w:r w:rsidRPr="00FC0871">
        <w:rPr>
          <w:rFonts w:asciiTheme="majorBidi" w:hAnsiTheme="majorBidi" w:cstheme="majorBidi"/>
          <w:i/>
          <w:iCs/>
        </w:rPr>
        <w:t>47</w:t>
      </w:r>
      <w:r w:rsidRPr="00FC0871">
        <w:rPr>
          <w:rFonts w:asciiTheme="majorBidi" w:hAnsiTheme="majorBidi" w:cstheme="majorBidi"/>
        </w:rPr>
        <w:t>(3), pp.419-447.</w:t>
      </w:r>
    </w:p>
    <w:p w14:paraId="5AAAA262" w14:textId="77777777" w:rsidR="008459F1" w:rsidRDefault="008459F1" w:rsidP="008459F1">
      <w:pPr>
        <w:jc w:val="both"/>
        <w:rPr>
          <w:rFonts w:asciiTheme="majorBidi" w:hAnsiTheme="majorBidi" w:cstheme="majorBidi"/>
        </w:rPr>
      </w:pPr>
      <w:r w:rsidRPr="00FC0871">
        <w:rPr>
          <w:rFonts w:asciiTheme="majorBidi" w:hAnsiTheme="majorBidi" w:cstheme="majorBidi"/>
        </w:rPr>
        <w:t>Zeng, B., Yu, T., He, Y. and Wang, J.</w:t>
      </w:r>
      <w:r>
        <w:rPr>
          <w:rFonts w:asciiTheme="majorBidi" w:hAnsiTheme="majorBidi" w:cstheme="majorBidi"/>
        </w:rPr>
        <w:t xml:space="preserve"> (</w:t>
      </w:r>
      <w:r w:rsidRPr="00FC0871">
        <w:rPr>
          <w:rFonts w:asciiTheme="majorBidi" w:hAnsiTheme="majorBidi" w:cstheme="majorBidi"/>
        </w:rPr>
        <w:t>2025</w:t>
      </w:r>
      <w:r>
        <w:rPr>
          <w:rFonts w:asciiTheme="majorBidi" w:hAnsiTheme="majorBidi" w:cstheme="majorBidi"/>
        </w:rPr>
        <w:t>)</w:t>
      </w:r>
      <w:r w:rsidRPr="00FC0871">
        <w:rPr>
          <w:rFonts w:asciiTheme="majorBidi" w:hAnsiTheme="majorBidi" w:cstheme="majorBidi"/>
        </w:rPr>
        <w:t>. Comparative analysis of inbound tourist flows of different groups: the case of Japan. </w:t>
      </w:r>
      <w:r w:rsidRPr="00FC0871">
        <w:rPr>
          <w:rFonts w:asciiTheme="majorBidi" w:hAnsiTheme="majorBidi" w:cstheme="majorBidi"/>
          <w:i/>
          <w:iCs/>
        </w:rPr>
        <w:t>Current Issues in Tourism</w:t>
      </w:r>
      <w:r w:rsidRPr="00FC0871">
        <w:rPr>
          <w:rFonts w:asciiTheme="majorBidi" w:hAnsiTheme="majorBidi" w:cstheme="majorBidi"/>
        </w:rPr>
        <w:t>, </w:t>
      </w:r>
      <w:r w:rsidRPr="00FC0871">
        <w:rPr>
          <w:rFonts w:asciiTheme="majorBidi" w:hAnsiTheme="majorBidi" w:cstheme="majorBidi"/>
          <w:i/>
          <w:iCs/>
        </w:rPr>
        <w:t>28</w:t>
      </w:r>
      <w:r w:rsidRPr="00FC0871">
        <w:rPr>
          <w:rFonts w:asciiTheme="majorBidi" w:hAnsiTheme="majorBidi" w:cstheme="majorBidi"/>
        </w:rPr>
        <w:t>(3), pp.376-399.</w:t>
      </w:r>
    </w:p>
    <w:p w14:paraId="5F24611E" w14:textId="77777777" w:rsidR="008459F1" w:rsidRDefault="008459F1" w:rsidP="008459F1">
      <w:pPr>
        <w:rPr>
          <w:rFonts w:asciiTheme="majorBidi" w:hAnsiTheme="majorBidi" w:cstheme="majorBidi"/>
        </w:rPr>
      </w:pPr>
      <w:r w:rsidRPr="00582721">
        <w:rPr>
          <w:rFonts w:asciiTheme="majorBidi" w:hAnsiTheme="majorBidi" w:cstheme="majorBidi"/>
        </w:rPr>
        <w:t xml:space="preserve">Zhang, H., Wang, C., Li, X., and Tohti, G. (2024). </w:t>
      </w:r>
      <w:r w:rsidRPr="00F52103">
        <w:rPr>
          <w:rFonts w:asciiTheme="majorBidi" w:hAnsiTheme="majorBidi" w:cstheme="majorBidi"/>
          <w:lang w:val="en-US"/>
        </w:rPr>
        <w:t xml:space="preserve">Exploration on teaching reform of SPSS data analysis and application course using project-based learning. </w:t>
      </w:r>
      <w:r w:rsidRPr="00F52103">
        <w:rPr>
          <w:rFonts w:asciiTheme="majorBidi" w:hAnsiTheme="majorBidi" w:cstheme="majorBidi"/>
          <w:i/>
          <w:iCs/>
          <w:lang w:val="en-US"/>
        </w:rPr>
        <w:t>Journal of Higher Education Teaching, 1</w:t>
      </w:r>
      <w:r w:rsidRPr="00F52103">
        <w:rPr>
          <w:rFonts w:asciiTheme="majorBidi" w:hAnsiTheme="majorBidi" w:cstheme="majorBidi"/>
          <w:lang w:val="en-US"/>
        </w:rPr>
        <w:t xml:space="preserve">(4), </w:t>
      </w:r>
      <w:r>
        <w:rPr>
          <w:rFonts w:asciiTheme="majorBidi" w:hAnsiTheme="majorBidi" w:cstheme="majorBidi"/>
        </w:rPr>
        <w:t xml:space="preserve">pp. </w:t>
      </w:r>
      <w:r w:rsidRPr="00F52103">
        <w:rPr>
          <w:rFonts w:asciiTheme="majorBidi" w:hAnsiTheme="majorBidi" w:cstheme="majorBidi"/>
          <w:lang w:val="en-US"/>
        </w:rPr>
        <w:t xml:space="preserve">249–253. </w:t>
      </w:r>
      <w:hyperlink r:id="rId26" w:history="1">
        <w:r w:rsidRPr="000602A2">
          <w:rPr>
            <w:rStyle w:val="af2"/>
            <w:rFonts w:asciiTheme="majorBidi" w:hAnsiTheme="majorBidi" w:cstheme="majorBidi"/>
            <w:lang w:val="en-US"/>
          </w:rPr>
          <w:t>https://doi.org/10.62517/jhet.202415439</w:t>
        </w:r>
      </w:hyperlink>
    </w:p>
    <w:p w14:paraId="11AE9BBC" w14:textId="77777777" w:rsidR="008459F1" w:rsidRDefault="008459F1" w:rsidP="008459F1">
      <w:pPr>
        <w:rPr>
          <w:rFonts w:asciiTheme="majorBidi" w:hAnsiTheme="majorBidi" w:cstheme="majorBidi"/>
        </w:rPr>
      </w:pPr>
      <w:r w:rsidRPr="00ED4D7E">
        <w:rPr>
          <w:rFonts w:asciiTheme="majorBidi" w:hAnsiTheme="majorBidi" w:cstheme="majorBidi"/>
          <w:lang w:val="en-US"/>
        </w:rPr>
        <w:t xml:space="preserve">Zhang, M., Zhao, P., </w:t>
      </w:r>
      <w:r>
        <w:rPr>
          <w:rFonts w:asciiTheme="majorBidi" w:hAnsiTheme="majorBidi" w:cstheme="majorBidi"/>
        </w:rPr>
        <w:t>and</w:t>
      </w:r>
      <w:r w:rsidRPr="00ED4D7E">
        <w:rPr>
          <w:rFonts w:asciiTheme="majorBidi" w:hAnsiTheme="majorBidi" w:cstheme="majorBidi"/>
          <w:lang w:val="en-US"/>
        </w:rPr>
        <w:t xml:space="preserve"> Tong, X. (2022). Constructing women’s immobility: Fear of violence and </w:t>
      </w:r>
      <w:proofErr w:type="gramStart"/>
      <w:r w:rsidRPr="00ED4D7E">
        <w:rPr>
          <w:rFonts w:asciiTheme="majorBidi" w:hAnsiTheme="majorBidi" w:cstheme="majorBidi"/>
          <w:lang w:val="en-US"/>
        </w:rPr>
        <w:t>women’s</w:t>
      </w:r>
      <w:proofErr w:type="gramEnd"/>
      <w:r w:rsidRPr="00ED4D7E">
        <w:rPr>
          <w:rFonts w:asciiTheme="majorBidi" w:hAnsiTheme="majorBidi" w:cstheme="majorBidi"/>
          <w:lang w:val="en-US"/>
        </w:rPr>
        <w:t xml:space="preserve"> constricted nocturnal travel </w:t>
      </w:r>
      <w:proofErr w:type="spellStart"/>
      <w:r w:rsidRPr="00ED4D7E">
        <w:rPr>
          <w:rFonts w:asciiTheme="majorBidi" w:hAnsiTheme="majorBidi" w:cstheme="majorBidi"/>
          <w:lang w:val="en-US"/>
        </w:rPr>
        <w:t>behaviour</w:t>
      </w:r>
      <w:proofErr w:type="spellEnd"/>
      <w:r w:rsidRPr="00ED4D7E">
        <w:rPr>
          <w:rFonts w:asciiTheme="majorBidi" w:hAnsiTheme="majorBidi" w:cstheme="majorBidi"/>
          <w:lang w:val="en-US"/>
        </w:rPr>
        <w:t xml:space="preserve">. </w:t>
      </w:r>
      <w:r w:rsidRPr="00ED4D7E">
        <w:rPr>
          <w:rFonts w:asciiTheme="majorBidi" w:hAnsiTheme="majorBidi" w:cstheme="majorBidi"/>
          <w:i/>
          <w:iCs/>
          <w:lang w:val="en-US"/>
        </w:rPr>
        <w:t xml:space="preserve">Travel </w:t>
      </w:r>
      <w:proofErr w:type="spellStart"/>
      <w:r w:rsidRPr="00ED4D7E">
        <w:rPr>
          <w:rFonts w:asciiTheme="majorBidi" w:hAnsiTheme="majorBidi" w:cstheme="majorBidi"/>
          <w:i/>
          <w:iCs/>
          <w:lang w:val="en-US"/>
        </w:rPr>
        <w:t>Behaviour</w:t>
      </w:r>
      <w:proofErr w:type="spellEnd"/>
      <w:r w:rsidRPr="00ED4D7E">
        <w:rPr>
          <w:rFonts w:asciiTheme="majorBidi" w:hAnsiTheme="majorBidi" w:cstheme="majorBidi"/>
          <w:i/>
          <w:iCs/>
          <w:lang w:val="en-US"/>
        </w:rPr>
        <w:t xml:space="preserve"> and Society, 26</w:t>
      </w:r>
      <w:r w:rsidRPr="00ED4D7E">
        <w:rPr>
          <w:rFonts w:asciiTheme="majorBidi" w:hAnsiTheme="majorBidi" w:cstheme="majorBidi"/>
          <w:lang w:val="en-US"/>
        </w:rPr>
        <w:t xml:space="preserve">, </w:t>
      </w:r>
      <w:r>
        <w:rPr>
          <w:rFonts w:asciiTheme="majorBidi" w:hAnsiTheme="majorBidi" w:cstheme="majorBidi"/>
        </w:rPr>
        <w:t xml:space="preserve">pp. </w:t>
      </w:r>
      <w:r w:rsidRPr="00ED4D7E">
        <w:rPr>
          <w:rFonts w:asciiTheme="majorBidi" w:hAnsiTheme="majorBidi" w:cstheme="majorBidi"/>
          <w:lang w:val="en-US"/>
        </w:rPr>
        <w:t xml:space="preserve">178–192. </w:t>
      </w:r>
      <w:hyperlink r:id="rId27" w:tgtFrame="_new" w:history="1">
        <w:r w:rsidRPr="00ED4D7E">
          <w:rPr>
            <w:rStyle w:val="af2"/>
            <w:rFonts w:asciiTheme="majorBidi" w:hAnsiTheme="majorBidi" w:cstheme="majorBidi"/>
            <w:lang w:val="en-US"/>
          </w:rPr>
          <w:t>https://doi.org/10.1016/j.tbs.2021.10.002</w:t>
        </w:r>
      </w:hyperlink>
    </w:p>
    <w:p w14:paraId="72993AFC" w14:textId="77777777" w:rsidR="008459F1" w:rsidRDefault="008459F1" w:rsidP="008459F1">
      <w:pPr>
        <w:jc w:val="both"/>
        <w:rPr>
          <w:rFonts w:asciiTheme="majorBidi" w:hAnsiTheme="majorBidi" w:cstheme="majorBidi"/>
        </w:rPr>
      </w:pPr>
      <w:r w:rsidRPr="00E819C5">
        <w:rPr>
          <w:rFonts w:asciiTheme="majorBidi" w:hAnsiTheme="majorBidi" w:cstheme="majorBidi"/>
        </w:rPr>
        <w:t xml:space="preserve">Zhang, Z., So, K.K.F., Li, J., </w:t>
      </w:r>
      <w:proofErr w:type="spellStart"/>
      <w:r w:rsidRPr="00E819C5">
        <w:rPr>
          <w:rFonts w:asciiTheme="majorBidi" w:hAnsiTheme="majorBidi" w:cstheme="majorBidi"/>
        </w:rPr>
        <w:t>Olya</w:t>
      </w:r>
      <w:proofErr w:type="spellEnd"/>
      <w:r w:rsidRPr="00E819C5">
        <w:rPr>
          <w:rFonts w:asciiTheme="majorBidi" w:hAnsiTheme="majorBidi" w:cstheme="majorBidi"/>
        </w:rPr>
        <w:t xml:space="preserve">, H. and Huang, Z., </w:t>
      </w:r>
      <w:r>
        <w:rPr>
          <w:rFonts w:asciiTheme="majorBidi" w:hAnsiTheme="majorBidi" w:cstheme="majorBidi"/>
        </w:rPr>
        <w:t>(</w:t>
      </w:r>
      <w:r w:rsidRPr="00E819C5">
        <w:rPr>
          <w:rFonts w:asciiTheme="majorBidi" w:hAnsiTheme="majorBidi" w:cstheme="majorBidi"/>
        </w:rPr>
        <w:t>2024</w:t>
      </w:r>
      <w:r>
        <w:rPr>
          <w:rFonts w:asciiTheme="majorBidi" w:hAnsiTheme="majorBidi" w:cstheme="majorBidi"/>
        </w:rPr>
        <w:t>)</w:t>
      </w:r>
      <w:r w:rsidRPr="00E819C5">
        <w:rPr>
          <w:rFonts w:asciiTheme="majorBidi" w:hAnsiTheme="majorBidi" w:cstheme="majorBidi"/>
        </w:rPr>
        <w:t>. Unpacking the complexity of cultural distance in inbound and outbound tourism: A case‐oriented approach. </w:t>
      </w:r>
      <w:r w:rsidRPr="00E819C5">
        <w:rPr>
          <w:rFonts w:asciiTheme="majorBidi" w:hAnsiTheme="majorBidi" w:cstheme="majorBidi"/>
          <w:i/>
          <w:iCs/>
        </w:rPr>
        <w:t>International Journal of Tourism Research</w:t>
      </w:r>
      <w:r w:rsidRPr="00E819C5">
        <w:rPr>
          <w:rFonts w:asciiTheme="majorBidi" w:hAnsiTheme="majorBidi" w:cstheme="majorBidi"/>
        </w:rPr>
        <w:t>, </w:t>
      </w:r>
      <w:r w:rsidRPr="00E819C5">
        <w:rPr>
          <w:rFonts w:asciiTheme="majorBidi" w:hAnsiTheme="majorBidi" w:cstheme="majorBidi"/>
          <w:i/>
          <w:iCs/>
        </w:rPr>
        <w:t>26</w:t>
      </w:r>
      <w:r w:rsidRPr="00E819C5">
        <w:rPr>
          <w:rFonts w:asciiTheme="majorBidi" w:hAnsiTheme="majorBidi" w:cstheme="majorBidi"/>
        </w:rPr>
        <w:t>(5), p.e2670.</w:t>
      </w:r>
    </w:p>
    <w:p w14:paraId="7B78BE85" w14:textId="77777777" w:rsidR="008459F1" w:rsidRDefault="008459F1" w:rsidP="008459F1">
      <w:pPr>
        <w:rPr>
          <w:rFonts w:asciiTheme="majorBidi" w:hAnsiTheme="majorBidi" w:cstheme="majorBidi"/>
        </w:rPr>
      </w:pPr>
      <w:r w:rsidRPr="00582721">
        <w:rPr>
          <w:rFonts w:asciiTheme="majorBidi" w:hAnsiTheme="majorBidi" w:cstheme="majorBidi"/>
        </w:rPr>
        <w:t xml:space="preserve">Zhong, B., </w:t>
      </w:r>
      <w:proofErr w:type="spellStart"/>
      <w:r w:rsidRPr="00582721">
        <w:rPr>
          <w:rFonts w:asciiTheme="majorBidi" w:hAnsiTheme="majorBidi" w:cstheme="majorBidi"/>
        </w:rPr>
        <w:t>Niu</w:t>
      </w:r>
      <w:proofErr w:type="spellEnd"/>
      <w:r w:rsidRPr="00582721">
        <w:rPr>
          <w:rFonts w:asciiTheme="majorBidi" w:hAnsiTheme="majorBidi" w:cstheme="majorBidi"/>
        </w:rPr>
        <w:t xml:space="preserve">, N., Li, J., Wu, Y., and Fan, W. (2024). </w:t>
      </w:r>
      <w:proofErr w:type="gramStart"/>
      <w:r w:rsidRPr="00FA1456">
        <w:rPr>
          <w:rFonts w:asciiTheme="majorBidi" w:hAnsiTheme="majorBidi" w:cstheme="majorBidi"/>
          <w:lang w:val="en-US"/>
        </w:rPr>
        <w:t>How</w:t>
      </w:r>
      <w:proofErr w:type="gramEnd"/>
      <w:r w:rsidRPr="00FA1456">
        <w:rPr>
          <w:rFonts w:asciiTheme="majorBidi" w:hAnsiTheme="majorBidi" w:cstheme="majorBidi"/>
          <w:lang w:val="en-US"/>
        </w:rPr>
        <w:t xml:space="preserve"> subjective socioeconomic status influences pro-environmental behavior: The mediating role of sense of control and life history strategy. </w:t>
      </w:r>
      <w:r w:rsidRPr="00FA1456">
        <w:rPr>
          <w:rFonts w:asciiTheme="majorBidi" w:hAnsiTheme="majorBidi" w:cstheme="majorBidi"/>
          <w:i/>
          <w:iCs/>
          <w:lang w:val="en-US"/>
        </w:rPr>
        <w:t>Behavioral Sciences, 14</w:t>
      </w:r>
      <w:r w:rsidRPr="00FA1456">
        <w:rPr>
          <w:rFonts w:asciiTheme="majorBidi" w:hAnsiTheme="majorBidi" w:cstheme="majorBidi"/>
          <w:lang w:val="en-US"/>
        </w:rPr>
        <w:t xml:space="preserve">(7), </w:t>
      </w:r>
      <w:r>
        <w:rPr>
          <w:rFonts w:asciiTheme="majorBidi" w:hAnsiTheme="majorBidi" w:cstheme="majorBidi"/>
        </w:rPr>
        <w:t xml:space="preserve">pp. </w:t>
      </w:r>
      <w:r w:rsidRPr="00FA1456">
        <w:rPr>
          <w:rFonts w:asciiTheme="majorBidi" w:hAnsiTheme="majorBidi" w:cstheme="majorBidi"/>
          <w:lang w:val="en-US"/>
        </w:rPr>
        <w:t xml:space="preserve">591. </w:t>
      </w:r>
      <w:hyperlink r:id="rId28" w:tgtFrame="_new" w:history="1">
        <w:r w:rsidRPr="00FA1456">
          <w:rPr>
            <w:rStyle w:val="af2"/>
            <w:rFonts w:asciiTheme="majorBidi" w:hAnsiTheme="majorBidi" w:cstheme="majorBidi"/>
            <w:lang w:val="en-US"/>
          </w:rPr>
          <w:t>https://doi.org/10.3390/bs14070591</w:t>
        </w:r>
      </w:hyperlink>
    </w:p>
    <w:p w14:paraId="6231E096" w14:textId="77777777" w:rsidR="008459F1" w:rsidRDefault="008459F1" w:rsidP="008459F1">
      <w:pPr>
        <w:jc w:val="both"/>
        <w:rPr>
          <w:rFonts w:asciiTheme="majorBidi" w:hAnsiTheme="majorBidi" w:cstheme="majorBidi"/>
        </w:rPr>
      </w:pPr>
      <w:r w:rsidRPr="004B1738">
        <w:rPr>
          <w:rFonts w:asciiTheme="majorBidi" w:hAnsiTheme="majorBidi" w:cstheme="majorBidi"/>
        </w:rPr>
        <w:lastRenderedPageBreak/>
        <w:t xml:space="preserve">Zhou, W., </w:t>
      </w:r>
      <w:proofErr w:type="spellStart"/>
      <w:r w:rsidRPr="004B1738">
        <w:rPr>
          <w:rFonts w:asciiTheme="majorBidi" w:hAnsiTheme="majorBidi" w:cstheme="majorBidi"/>
        </w:rPr>
        <w:t>Faturay</w:t>
      </w:r>
      <w:proofErr w:type="spellEnd"/>
      <w:r w:rsidRPr="004B1738">
        <w:rPr>
          <w:rFonts w:asciiTheme="majorBidi" w:hAnsiTheme="majorBidi" w:cstheme="majorBidi"/>
        </w:rPr>
        <w:t xml:space="preserve">, F., </w:t>
      </w:r>
      <w:proofErr w:type="spellStart"/>
      <w:r w:rsidRPr="004B1738">
        <w:rPr>
          <w:rFonts w:asciiTheme="majorBidi" w:hAnsiTheme="majorBidi" w:cstheme="majorBidi"/>
        </w:rPr>
        <w:t>Driml</w:t>
      </w:r>
      <w:proofErr w:type="spellEnd"/>
      <w:r w:rsidRPr="004B1738">
        <w:rPr>
          <w:rFonts w:asciiTheme="majorBidi" w:hAnsiTheme="majorBidi" w:cstheme="majorBidi"/>
        </w:rPr>
        <w:t xml:space="preserve">, S. and Sun, Y.Y., </w:t>
      </w:r>
      <w:r>
        <w:rPr>
          <w:rFonts w:asciiTheme="majorBidi" w:hAnsiTheme="majorBidi" w:cstheme="majorBidi"/>
        </w:rPr>
        <w:t>(</w:t>
      </w:r>
      <w:r w:rsidRPr="004B1738">
        <w:rPr>
          <w:rFonts w:asciiTheme="majorBidi" w:hAnsiTheme="majorBidi" w:cstheme="majorBidi"/>
        </w:rPr>
        <w:t>2024</w:t>
      </w:r>
      <w:r>
        <w:rPr>
          <w:rFonts w:asciiTheme="majorBidi" w:hAnsiTheme="majorBidi" w:cstheme="majorBidi"/>
        </w:rPr>
        <w:t>)</w:t>
      </w:r>
      <w:r w:rsidRPr="004B1738">
        <w:rPr>
          <w:rFonts w:asciiTheme="majorBidi" w:hAnsiTheme="majorBidi" w:cstheme="majorBidi"/>
        </w:rPr>
        <w:t>. Meta-analysis of the climate change-tourism demand relationship. </w:t>
      </w:r>
      <w:r w:rsidRPr="004B1738">
        <w:rPr>
          <w:rFonts w:asciiTheme="majorBidi" w:hAnsiTheme="majorBidi" w:cstheme="majorBidi"/>
          <w:i/>
          <w:iCs/>
        </w:rPr>
        <w:t>Journal of Sustainable Tourism</w:t>
      </w:r>
      <w:r w:rsidRPr="004B1738">
        <w:rPr>
          <w:rFonts w:asciiTheme="majorBidi" w:hAnsiTheme="majorBidi" w:cstheme="majorBidi"/>
        </w:rPr>
        <w:t>, </w:t>
      </w:r>
      <w:r w:rsidRPr="004B1738">
        <w:rPr>
          <w:rFonts w:asciiTheme="majorBidi" w:hAnsiTheme="majorBidi" w:cstheme="majorBidi"/>
          <w:i/>
          <w:iCs/>
        </w:rPr>
        <w:t>32</w:t>
      </w:r>
      <w:r w:rsidRPr="004B1738">
        <w:rPr>
          <w:rFonts w:asciiTheme="majorBidi" w:hAnsiTheme="majorBidi" w:cstheme="majorBidi"/>
        </w:rPr>
        <w:t>(9), pp.1762-1783.</w:t>
      </w:r>
    </w:p>
    <w:p w14:paraId="427F79A4" w14:textId="77777777" w:rsidR="008459F1" w:rsidRDefault="008459F1"/>
    <w:sectPr w:rsidR="008459F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imesNewRomanPS">
    <w:altName w:val="Times New Roman"/>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5552A"/>
    <w:multiLevelType w:val="multilevel"/>
    <w:tmpl w:val="0E04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776E2"/>
    <w:multiLevelType w:val="multilevel"/>
    <w:tmpl w:val="07FCC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4F6B5A"/>
    <w:multiLevelType w:val="hybridMultilevel"/>
    <w:tmpl w:val="32EC1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067D0"/>
    <w:multiLevelType w:val="multilevel"/>
    <w:tmpl w:val="DF322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CE3E20"/>
    <w:multiLevelType w:val="multilevel"/>
    <w:tmpl w:val="28FA6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98525B"/>
    <w:multiLevelType w:val="multilevel"/>
    <w:tmpl w:val="5C8AB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337FCB"/>
    <w:multiLevelType w:val="multilevel"/>
    <w:tmpl w:val="DF7E8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B81E55"/>
    <w:multiLevelType w:val="hybridMultilevel"/>
    <w:tmpl w:val="AEA43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635325"/>
    <w:multiLevelType w:val="multilevel"/>
    <w:tmpl w:val="FD984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8B5D16"/>
    <w:multiLevelType w:val="multilevel"/>
    <w:tmpl w:val="D7CA0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366785"/>
    <w:multiLevelType w:val="multilevel"/>
    <w:tmpl w:val="61986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B272DC"/>
    <w:multiLevelType w:val="multilevel"/>
    <w:tmpl w:val="5F360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2F7573"/>
    <w:multiLevelType w:val="multilevel"/>
    <w:tmpl w:val="1D105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B7103A"/>
    <w:multiLevelType w:val="multilevel"/>
    <w:tmpl w:val="4A004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D519AC"/>
    <w:multiLevelType w:val="hybridMultilevel"/>
    <w:tmpl w:val="FDCAE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090BBE"/>
    <w:multiLevelType w:val="multilevel"/>
    <w:tmpl w:val="5F70A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7828FE"/>
    <w:multiLevelType w:val="multilevel"/>
    <w:tmpl w:val="90E2C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E61713"/>
    <w:multiLevelType w:val="multilevel"/>
    <w:tmpl w:val="BA304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23054C"/>
    <w:multiLevelType w:val="hybridMultilevel"/>
    <w:tmpl w:val="9D4E56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786C98"/>
    <w:multiLevelType w:val="multilevel"/>
    <w:tmpl w:val="B22CB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0D0E5C"/>
    <w:multiLevelType w:val="multilevel"/>
    <w:tmpl w:val="4822B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A310D2"/>
    <w:multiLevelType w:val="hybridMultilevel"/>
    <w:tmpl w:val="24981F3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A634EC"/>
    <w:multiLevelType w:val="multilevel"/>
    <w:tmpl w:val="1D0804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285604"/>
    <w:multiLevelType w:val="multilevel"/>
    <w:tmpl w:val="60844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10"/>
  </w:num>
  <w:num w:numId="4">
    <w:abstractNumId w:val="22"/>
  </w:num>
  <w:num w:numId="5">
    <w:abstractNumId w:val="6"/>
  </w:num>
  <w:num w:numId="6">
    <w:abstractNumId w:val="5"/>
  </w:num>
  <w:num w:numId="7">
    <w:abstractNumId w:val="19"/>
  </w:num>
  <w:num w:numId="8">
    <w:abstractNumId w:val="20"/>
  </w:num>
  <w:num w:numId="9">
    <w:abstractNumId w:val="17"/>
  </w:num>
  <w:num w:numId="10">
    <w:abstractNumId w:val="12"/>
  </w:num>
  <w:num w:numId="11">
    <w:abstractNumId w:val="15"/>
  </w:num>
  <w:num w:numId="12">
    <w:abstractNumId w:val="13"/>
  </w:num>
  <w:num w:numId="13">
    <w:abstractNumId w:val="9"/>
  </w:num>
  <w:num w:numId="14">
    <w:abstractNumId w:val="2"/>
  </w:num>
  <w:num w:numId="15">
    <w:abstractNumId w:val="7"/>
  </w:num>
  <w:num w:numId="16">
    <w:abstractNumId w:val="18"/>
  </w:num>
  <w:num w:numId="17">
    <w:abstractNumId w:val="14"/>
  </w:num>
  <w:num w:numId="18">
    <w:abstractNumId w:val="16"/>
  </w:num>
  <w:num w:numId="19">
    <w:abstractNumId w:val="8"/>
  </w:num>
  <w:num w:numId="20">
    <w:abstractNumId w:val="3"/>
  </w:num>
  <w:num w:numId="21">
    <w:abstractNumId w:val="23"/>
  </w:num>
  <w:num w:numId="22">
    <w:abstractNumId w:val="4"/>
  </w:num>
  <w:num w:numId="23">
    <w:abstractNumId w:val="11"/>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9F1"/>
    <w:rsid w:val="008459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D9C6813"/>
  <w15:chartTrackingRefBased/>
  <w15:docId w15:val="{21DD866F-E707-594A-BBE2-D6ACE1CA7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459F1"/>
    <w:pPr>
      <w:spacing w:after="160" w:line="278" w:lineRule="auto"/>
    </w:pPr>
    <w:rPr>
      <w:sz w:val="24"/>
      <w:lang w:val="en-GB" w:eastAsia="en-US"/>
      <w14:ligatures w14:val="standardContextual"/>
    </w:rPr>
  </w:style>
  <w:style w:type="paragraph" w:styleId="1">
    <w:name w:val="heading 1"/>
    <w:basedOn w:val="a"/>
    <w:next w:val="a"/>
    <w:link w:val="10"/>
    <w:uiPriority w:val="9"/>
    <w:qFormat/>
    <w:rsid w:val="008459F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semiHidden/>
    <w:unhideWhenUsed/>
    <w:qFormat/>
    <w:rsid w:val="008459F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8459F1"/>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0"/>
    <w:uiPriority w:val="9"/>
    <w:semiHidden/>
    <w:unhideWhenUsed/>
    <w:qFormat/>
    <w:rsid w:val="008459F1"/>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0"/>
    <w:uiPriority w:val="9"/>
    <w:semiHidden/>
    <w:unhideWhenUsed/>
    <w:qFormat/>
    <w:rsid w:val="008459F1"/>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0"/>
    <w:uiPriority w:val="9"/>
    <w:semiHidden/>
    <w:unhideWhenUsed/>
    <w:qFormat/>
    <w:rsid w:val="008459F1"/>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8459F1"/>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8459F1"/>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8459F1"/>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459F1"/>
    <w:rPr>
      <w:rFonts w:asciiTheme="majorHAnsi" w:eastAsiaTheme="majorEastAsia" w:hAnsiTheme="majorHAnsi" w:cstheme="majorBidi"/>
      <w:color w:val="2F5496" w:themeColor="accent1" w:themeShade="BF"/>
      <w:sz w:val="40"/>
      <w:szCs w:val="40"/>
      <w:lang w:val="en-GB" w:eastAsia="en-US"/>
      <w14:ligatures w14:val="standardContextual"/>
    </w:rPr>
  </w:style>
  <w:style w:type="character" w:customStyle="1" w:styleId="20">
    <w:name w:val="标题 2 字符"/>
    <w:basedOn w:val="a0"/>
    <w:link w:val="2"/>
    <w:uiPriority w:val="9"/>
    <w:semiHidden/>
    <w:rsid w:val="008459F1"/>
    <w:rPr>
      <w:rFonts w:asciiTheme="majorHAnsi" w:eastAsiaTheme="majorEastAsia" w:hAnsiTheme="majorHAnsi" w:cstheme="majorBidi"/>
      <w:color w:val="2F5496" w:themeColor="accent1" w:themeShade="BF"/>
      <w:sz w:val="32"/>
      <w:szCs w:val="32"/>
      <w:lang w:val="en-GB" w:eastAsia="en-US"/>
      <w14:ligatures w14:val="standardContextual"/>
    </w:rPr>
  </w:style>
  <w:style w:type="character" w:customStyle="1" w:styleId="30">
    <w:name w:val="标题 3 字符"/>
    <w:basedOn w:val="a0"/>
    <w:link w:val="3"/>
    <w:uiPriority w:val="9"/>
    <w:semiHidden/>
    <w:rsid w:val="008459F1"/>
    <w:rPr>
      <w:rFonts w:eastAsiaTheme="majorEastAsia" w:cstheme="majorBidi"/>
      <w:color w:val="2F5496" w:themeColor="accent1" w:themeShade="BF"/>
      <w:sz w:val="28"/>
      <w:szCs w:val="28"/>
      <w:lang w:val="en-GB" w:eastAsia="en-US"/>
      <w14:ligatures w14:val="standardContextual"/>
    </w:rPr>
  </w:style>
  <w:style w:type="character" w:customStyle="1" w:styleId="40">
    <w:name w:val="标题 4 字符"/>
    <w:basedOn w:val="a0"/>
    <w:link w:val="4"/>
    <w:uiPriority w:val="9"/>
    <w:semiHidden/>
    <w:rsid w:val="008459F1"/>
    <w:rPr>
      <w:rFonts w:eastAsiaTheme="majorEastAsia" w:cstheme="majorBidi"/>
      <w:i/>
      <w:iCs/>
      <w:color w:val="2F5496" w:themeColor="accent1" w:themeShade="BF"/>
      <w:sz w:val="24"/>
      <w:lang w:val="en-GB" w:eastAsia="en-US"/>
      <w14:ligatures w14:val="standardContextual"/>
    </w:rPr>
  </w:style>
  <w:style w:type="character" w:customStyle="1" w:styleId="50">
    <w:name w:val="标题 5 字符"/>
    <w:basedOn w:val="a0"/>
    <w:link w:val="5"/>
    <w:uiPriority w:val="9"/>
    <w:semiHidden/>
    <w:rsid w:val="008459F1"/>
    <w:rPr>
      <w:rFonts w:eastAsiaTheme="majorEastAsia" w:cstheme="majorBidi"/>
      <w:color w:val="2F5496" w:themeColor="accent1" w:themeShade="BF"/>
      <w:sz w:val="24"/>
      <w:lang w:val="en-GB" w:eastAsia="en-US"/>
      <w14:ligatures w14:val="standardContextual"/>
    </w:rPr>
  </w:style>
  <w:style w:type="character" w:customStyle="1" w:styleId="60">
    <w:name w:val="标题 6 字符"/>
    <w:basedOn w:val="a0"/>
    <w:link w:val="6"/>
    <w:uiPriority w:val="9"/>
    <w:semiHidden/>
    <w:rsid w:val="008459F1"/>
    <w:rPr>
      <w:rFonts w:eastAsiaTheme="majorEastAsia" w:cstheme="majorBidi"/>
      <w:i/>
      <w:iCs/>
      <w:color w:val="595959" w:themeColor="text1" w:themeTint="A6"/>
      <w:sz w:val="24"/>
      <w:lang w:val="en-GB" w:eastAsia="en-US"/>
      <w14:ligatures w14:val="standardContextual"/>
    </w:rPr>
  </w:style>
  <w:style w:type="character" w:customStyle="1" w:styleId="70">
    <w:name w:val="标题 7 字符"/>
    <w:basedOn w:val="a0"/>
    <w:link w:val="7"/>
    <w:uiPriority w:val="9"/>
    <w:semiHidden/>
    <w:rsid w:val="008459F1"/>
    <w:rPr>
      <w:rFonts w:eastAsiaTheme="majorEastAsia" w:cstheme="majorBidi"/>
      <w:color w:val="595959" w:themeColor="text1" w:themeTint="A6"/>
      <w:sz w:val="24"/>
      <w:lang w:val="en-GB" w:eastAsia="en-US"/>
      <w14:ligatures w14:val="standardContextual"/>
    </w:rPr>
  </w:style>
  <w:style w:type="character" w:customStyle="1" w:styleId="80">
    <w:name w:val="标题 8 字符"/>
    <w:basedOn w:val="a0"/>
    <w:link w:val="8"/>
    <w:uiPriority w:val="9"/>
    <w:semiHidden/>
    <w:rsid w:val="008459F1"/>
    <w:rPr>
      <w:rFonts w:eastAsiaTheme="majorEastAsia" w:cstheme="majorBidi"/>
      <w:i/>
      <w:iCs/>
      <w:color w:val="272727" w:themeColor="text1" w:themeTint="D8"/>
      <w:sz w:val="24"/>
      <w:lang w:val="en-GB" w:eastAsia="en-US"/>
      <w14:ligatures w14:val="standardContextual"/>
    </w:rPr>
  </w:style>
  <w:style w:type="character" w:customStyle="1" w:styleId="90">
    <w:name w:val="标题 9 字符"/>
    <w:basedOn w:val="a0"/>
    <w:link w:val="9"/>
    <w:uiPriority w:val="9"/>
    <w:semiHidden/>
    <w:rsid w:val="008459F1"/>
    <w:rPr>
      <w:rFonts w:eastAsiaTheme="majorEastAsia" w:cstheme="majorBidi"/>
      <w:color w:val="272727" w:themeColor="text1" w:themeTint="D8"/>
      <w:sz w:val="24"/>
      <w:lang w:val="en-GB" w:eastAsia="en-US"/>
      <w14:ligatures w14:val="standardContextual"/>
    </w:rPr>
  </w:style>
  <w:style w:type="paragraph" w:styleId="a3">
    <w:name w:val="Title"/>
    <w:basedOn w:val="a"/>
    <w:next w:val="a"/>
    <w:link w:val="a4"/>
    <w:uiPriority w:val="10"/>
    <w:qFormat/>
    <w:rsid w:val="008459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459F1"/>
    <w:rPr>
      <w:rFonts w:asciiTheme="majorHAnsi" w:eastAsiaTheme="majorEastAsia" w:hAnsiTheme="majorHAnsi" w:cstheme="majorBidi"/>
      <w:spacing w:val="-10"/>
      <w:kern w:val="28"/>
      <w:sz w:val="56"/>
      <w:szCs w:val="56"/>
      <w:lang w:val="en-GB" w:eastAsia="en-US"/>
      <w14:ligatures w14:val="standardContextual"/>
    </w:rPr>
  </w:style>
  <w:style w:type="paragraph" w:styleId="a5">
    <w:name w:val="Subtitle"/>
    <w:basedOn w:val="a"/>
    <w:next w:val="a"/>
    <w:link w:val="a6"/>
    <w:uiPriority w:val="11"/>
    <w:qFormat/>
    <w:rsid w:val="008459F1"/>
    <w:pPr>
      <w:numPr>
        <w:ilvl w:val="1"/>
      </w:numPr>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8459F1"/>
    <w:rPr>
      <w:rFonts w:eastAsiaTheme="majorEastAsia" w:cstheme="majorBidi"/>
      <w:color w:val="595959" w:themeColor="text1" w:themeTint="A6"/>
      <w:spacing w:val="15"/>
      <w:sz w:val="28"/>
      <w:szCs w:val="28"/>
      <w:lang w:val="en-GB" w:eastAsia="en-US"/>
      <w14:ligatures w14:val="standardContextual"/>
    </w:rPr>
  </w:style>
  <w:style w:type="paragraph" w:styleId="a7">
    <w:name w:val="Quote"/>
    <w:basedOn w:val="a"/>
    <w:next w:val="a"/>
    <w:link w:val="a8"/>
    <w:uiPriority w:val="29"/>
    <w:qFormat/>
    <w:rsid w:val="008459F1"/>
    <w:pPr>
      <w:spacing w:before="160"/>
      <w:jc w:val="center"/>
    </w:pPr>
    <w:rPr>
      <w:i/>
      <w:iCs/>
      <w:color w:val="404040" w:themeColor="text1" w:themeTint="BF"/>
    </w:rPr>
  </w:style>
  <w:style w:type="character" w:customStyle="1" w:styleId="a8">
    <w:name w:val="引用 字符"/>
    <w:basedOn w:val="a0"/>
    <w:link w:val="a7"/>
    <w:uiPriority w:val="29"/>
    <w:rsid w:val="008459F1"/>
    <w:rPr>
      <w:i/>
      <w:iCs/>
      <w:color w:val="404040" w:themeColor="text1" w:themeTint="BF"/>
      <w:sz w:val="24"/>
      <w:lang w:val="en-GB" w:eastAsia="en-US"/>
      <w14:ligatures w14:val="standardContextual"/>
    </w:rPr>
  </w:style>
  <w:style w:type="paragraph" w:styleId="a9">
    <w:name w:val="List Paragraph"/>
    <w:basedOn w:val="a"/>
    <w:uiPriority w:val="34"/>
    <w:qFormat/>
    <w:rsid w:val="008459F1"/>
    <w:pPr>
      <w:ind w:left="720"/>
      <w:contextualSpacing/>
    </w:pPr>
  </w:style>
  <w:style w:type="character" w:styleId="aa">
    <w:name w:val="Intense Emphasis"/>
    <w:basedOn w:val="a0"/>
    <w:uiPriority w:val="21"/>
    <w:qFormat/>
    <w:rsid w:val="008459F1"/>
    <w:rPr>
      <w:i/>
      <w:iCs/>
      <w:color w:val="2F5496" w:themeColor="accent1" w:themeShade="BF"/>
    </w:rPr>
  </w:style>
  <w:style w:type="paragraph" w:styleId="ab">
    <w:name w:val="Intense Quote"/>
    <w:basedOn w:val="a"/>
    <w:next w:val="a"/>
    <w:link w:val="ac"/>
    <w:uiPriority w:val="30"/>
    <w:qFormat/>
    <w:rsid w:val="008459F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8459F1"/>
    <w:rPr>
      <w:i/>
      <w:iCs/>
      <w:color w:val="2F5496" w:themeColor="accent1" w:themeShade="BF"/>
      <w:sz w:val="24"/>
      <w:lang w:val="en-GB" w:eastAsia="en-US"/>
      <w14:ligatures w14:val="standardContextual"/>
    </w:rPr>
  </w:style>
  <w:style w:type="character" w:styleId="ad">
    <w:name w:val="Intense Reference"/>
    <w:basedOn w:val="a0"/>
    <w:uiPriority w:val="32"/>
    <w:qFormat/>
    <w:rsid w:val="008459F1"/>
    <w:rPr>
      <w:b/>
      <w:bCs/>
      <w:smallCaps/>
      <w:color w:val="2F5496" w:themeColor="accent1" w:themeShade="BF"/>
      <w:spacing w:val="5"/>
    </w:rPr>
  </w:style>
  <w:style w:type="character" w:styleId="ae">
    <w:name w:val="annotation reference"/>
    <w:basedOn w:val="a0"/>
    <w:uiPriority w:val="99"/>
    <w:semiHidden/>
    <w:unhideWhenUsed/>
    <w:rsid w:val="008459F1"/>
    <w:rPr>
      <w:sz w:val="16"/>
      <w:szCs w:val="16"/>
    </w:rPr>
  </w:style>
  <w:style w:type="paragraph" w:styleId="af">
    <w:name w:val="annotation text"/>
    <w:basedOn w:val="a"/>
    <w:link w:val="af0"/>
    <w:uiPriority w:val="99"/>
    <w:unhideWhenUsed/>
    <w:rsid w:val="008459F1"/>
    <w:pPr>
      <w:widowControl w:val="0"/>
      <w:spacing w:line="240" w:lineRule="auto"/>
    </w:pPr>
    <w:rPr>
      <w:sz w:val="20"/>
      <w:szCs w:val="20"/>
      <w:lang w:val="en-US" w:eastAsia="zh-TW"/>
    </w:rPr>
  </w:style>
  <w:style w:type="character" w:customStyle="1" w:styleId="af0">
    <w:name w:val="批注文字 字符"/>
    <w:basedOn w:val="a0"/>
    <w:link w:val="af"/>
    <w:uiPriority w:val="99"/>
    <w:rsid w:val="008459F1"/>
    <w:rPr>
      <w:sz w:val="20"/>
      <w:szCs w:val="20"/>
      <w:lang w:eastAsia="zh-TW"/>
      <w14:ligatures w14:val="standardContextual"/>
    </w:rPr>
  </w:style>
  <w:style w:type="table" w:styleId="af1">
    <w:name w:val="Table Grid"/>
    <w:basedOn w:val="a1"/>
    <w:uiPriority w:val="39"/>
    <w:rsid w:val="008459F1"/>
    <w:rPr>
      <w:sz w:val="24"/>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2">
    <w:name w:val="Hyperlink"/>
    <w:basedOn w:val="a0"/>
    <w:uiPriority w:val="99"/>
    <w:unhideWhenUsed/>
    <w:rsid w:val="008459F1"/>
    <w:rPr>
      <w:color w:val="0563C1" w:themeColor="hyperlink"/>
      <w:u w:val="single"/>
    </w:rPr>
  </w:style>
  <w:style w:type="paragraph" w:styleId="af3">
    <w:name w:val="annotation subject"/>
    <w:basedOn w:val="af"/>
    <w:next w:val="af"/>
    <w:link w:val="af4"/>
    <w:uiPriority w:val="99"/>
    <w:semiHidden/>
    <w:unhideWhenUsed/>
    <w:rsid w:val="008459F1"/>
    <w:pPr>
      <w:widowControl/>
    </w:pPr>
    <w:rPr>
      <w:b/>
      <w:bCs/>
      <w:lang w:val="en-GB" w:eastAsia="en-US"/>
    </w:rPr>
  </w:style>
  <w:style w:type="character" w:customStyle="1" w:styleId="af4">
    <w:name w:val="批注主题 字符"/>
    <w:basedOn w:val="af0"/>
    <w:link w:val="af3"/>
    <w:uiPriority w:val="99"/>
    <w:semiHidden/>
    <w:rsid w:val="008459F1"/>
    <w:rPr>
      <w:b/>
      <w:bCs/>
      <w:sz w:val="20"/>
      <w:szCs w:val="20"/>
      <w:lang w:val="en-GB"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41784-9_21" TargetMode="External"/><Relationship Id="rId13" Type="http://schemas.openxmlformats.org/officeDocument/2006/relationships/hyperlink" Target="https://doi.org/10.1007/s11116-020-10085-0" TargetMode="External"/><Relationship Id="rId18" Type="http://schemas.openxmlformats.org/officeDocument/2006/relationships/hyperlink" Target="https://doi.org/10.1016/j.tra.2024.104318" TargetMode="External"/><Relationship Id="rId26" Type="http://schemas.openxmlformats.org/officeDocument/2006/relationships/hyperlink" Target="https://doi.org/10.62517/jhet.202415439" TargetMode="External"/><Relationship Id="rId3" Type="http://schemas.openxmlformats.org/officeDocument/2006/relationships/settings" Target="settings.xml"/><Relationship Id="rId21" Type="http://schemas.openxmlformats.org/officeDocument/2006/relationships/hyperlink" Target="https://doi.org/10.1108/TR-07-2021-0303" TargetMode="External"/><Relationship Id="rId7" Type="http://schemas.openxmlformats.org/officeDocument/2006/relationships/image" Target="media/image3.tmp"/><Relationship Id="rId12" Type="http://schemas.openxmlformats.org/officeDocument/2006/relationships/hyperlink" Target="https://doi.org/10.3390/ijerph192316045" TargetMode="External"/><Relationship Id="rId17" Type="http://schemas.openxmlformats.org/officeDocument/2006/relationships/hyperlink" Target="https://doi.org/10.1108/YC-10-2022-1626" TargetMode="External"/><Relationship Id="rId25" Type="http://schemas.openxmlformats.org/officeDocument/2006/relationships/hyperlink" Target="https://doi.org/10.1177/0047287520907702" TargetMode="External"/><Relationship Id="rId2" Type="http://schemas.openxmlformats.org/officeDocument/2006/relationships/styles" Target="styles.xml"/><Relationship Id="rId16" Type="http://schemas.openxmlformats.org/officeDocument/2006/relationships/hyperlink" Target="https://doi.org/10.1111/ijcs.12778" TargetMode="External"/><Relationship Id="rId20" Type="http://schemas.openxmlformats.org/officeDocument/2006/relationships/hyperlink" Target="https://doi.org/10.1016/j.jhlste.2021.100344"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tmp"/><Relationship Id="rId11" Type="http://schemas.openxmlformats.org/officeDocument/2006/relationships/hyperlink" Target="https://doi.org/10.1016/j.trd.2021.102957" TargetMode="External"/><Relationship Id="rId24" Type="http://schemas.openxmlformats.org/officeDocument/2006/relationships/hyperlink" Target="https://doi.org/10.1177/13548166231177106" TargetMode="External"/><Relationship Id="rId5" Type="http://schemas.openxmlformats.org/officeDocument/2006/relationships/image" Target="media/image1.jpeg"/><Relationship Id="rId15" Type="http://schemas.openxmlformats.org/officeDocument/2006/relationships/hyperlink" Target="https://doi.org/10.3390/su141811485" TargetMode="External"/><Relationship Id="rId23" Type="http://schemas.openxmlformats.org/officeDocument/2006/relationships/hyperlink" Target="https://doi.org/10.1080/13683500.2023.2273915" TargetMode="External"/><Relationship Id="rId28" Type="http://schemas.openxmlformats.org/officeDocument/2006/relationships/hyperlink" Target="https://doi.org/10.3390/bs14070591" TargetMode="External"/><Relationship Id="rId10" Type="http://schemas.openxmlformats.org/officeDocument/2006/relationships/hyperlink" Target="https://doi.org/10.1080/13504851.2022.2130865" TargetMode="External"/><Relationship Id="rId19" Type="http://schemas.openxmlformats.org/officeDocument/2006/relationships/hyperlink" Target="https://doi.org/10.1186/s13063-021-05493-1" TargetMode="External"/><Relationship Id="rId4" Type="http://schemas.openxmlformats.org/officeDocument/2006/relationships/webSettings" Target="webSettings.xml"/><Relationship Id="rId9" Type="http://schemas.openxmlformats.org/officeDocument/2006/relationships/hyperlink" Target="https://doi.org/10.1080/23311975.2024.2340127" TargetMode="External"/><Relationship Id="rId14" Type="http://schemas.openxmlformats.org/officeDocument/2006/relationships/hyperlink" Target="https://doi.org/10.3390/s21134501" TargetMode="External"/><Relationship Id="rId22" Type="http://schemas.openxmlformats.org/officeDocument/2006/relationships/hyperlink" Target="https://www.unwto.org/news/international-tourism-recovers-pre-pandemic-levels-in-2024" TargetMode="External"/><Relationship Id="rId27" Type="http://schemas.openxmlformats.org/officeDocument/2006/relationships/hyperlink" Target="https://doi.org/10.1016/j.tbs.2021.10.002" TargetMode="External"/><Relationship Id="rId30"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30</Pages>
  <Words>9700</Words>
  <Characters>56458</Characters>
  <Application>Microsoft Office Word</Application>
  <DocSecurity>0</DocSecurity>
  <Lines>1129</Lines>
  <Paragraphs>508</Paragraphs>
  <ScaleCrop>false</ScaleCrop>
  <Company/>
  <LinksUpToDate>false</LinksUpToDate>
  <CharactersWithSpaces>65650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Xianghan Zhou (2408612)</dc:creator>
  <cp:keywords/>
  <dc:description/>
  <cp:lastModifiedBy>Xianghan Zhou (2408612)</cp:lastModifiedBy>
  <cp:revision>1</cp:revision>
  <dcterms:created xsi:type="dcterms:W3CDTF">2025-10-02T13:20:00Z</dcterms:created>
  <dcterms:modified xsi:type="dcterms:W3CDTF">2025-10-02T13:23:00Z</dcterms:modified>
</cp:coreProperties>
</file>