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079C8" w14:textId="77777777" w:rsidR="00C81C68" w:rsidRDefault="00C81C68" w:rsidP="00C81C68">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12A2EF6D" wp14:editId="0FC7E5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4B21AF66">
        <w:rPr>
          <w:rFonts w:ascii="Arial" w:hAnsi="Arial" w:cs="Arial"/>
          <w:b/>
          <w:bCs/>
          <w:sz w:val="28"/>
          <w:szCs w:val="28"/>
        </w:rPr>
        <w:t>APPENDIX GA36c</w:t>
      </w:r>
    </w:p>
    <w:p w14:paraId="6813C513" w14:textId="77777777" w:rsidR="00C81C68" w:rsidRPr="00A85BFE" w:rsidRDefault="00C81C68" w:rsidP="00C81C68">
      <w:pPr>
        <w:pStyle w:val="Header"/>
        <w:tabs>
          <w:tab w:val="clear" w:pos="4153"/>
          <w:tab w:val="clear" w:pos="8306"/>
        </w:tabs>
        <w:jc w:val="right"/>
        <w:rPr>
          <w:rFonts w:ascii="Arial" w:hAnsi="Arial" w:cs="Arial"/>
          <w:b/>
          <w:bCs/>
          <w:sz w:val="28"/>
          <w:szCs w:val="28"/>
        </w:rPr>
      </w:pPr>
    </w:p>
    <w:p w14:paraId="17ECB271" w14:textId="77777777" w:rsidR="00C81C68" w:rsidRDefault="00C81C68" w:rsidP="00C81C68">
      <w:pPr>
        <w:rPr>
          <w:rFonts w:ascii="Arial" w:hAnsi="Arial" w:cs="Arial"/>
        </w:rPr>
      </w:pPr>
    </w:p>
    <w:p w14:paraId="12813C32" w14:textId="77777777" w:rsidR="00C81C68" w:rsidRDefault="00C81C68" w:rsidP="00C81C68">
      <w:pPr>
        <w:rPr>
          <w:rFonts w:ascii="Arial" w:hAnsi="Arial" w:cs="Arial"/>
        </w:rPr>
      </w:pPr>
    </w:p>
    <w:p w14:paraId="2493D91E" w14:textId="77777777" w:rsidR="00C81C68" w:rsidRPr="00A406E5" w:rsidRDefault="00C81C68" w:rsidP="00C81C6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81C68" w:rsidRPr="00A406E5" w14:paraId="357CB750" w14:textId="77777777" w:rsidTr="00D84B5F">
        <w:tc>
          <w:tcPr>
            <w:tcW w:w="9922" w:type="dxa"/>
            <w:shd w:val="clear" w:color="auto" w:fill="C0C0C0"/>
          </w:tcPr>
          <w:p w14:paraId="6E866926" w14:textId="77777777" w:rsidR="00C81C68" w:rsidRPr="00A406E5" w:rsidRDefault="00C81C68" w:rsidP="00D84B5F">
            <w:pPr>
              <w:pStyle w:val="Heading4"/>
              <w:rPr>
                <w:rFonts w:ascii="Arial" w:hAnsi="Arial" w:cs="Arial"/>
                <w:b/>
              </w:rPr>
            </w:pPr>
            <w:r w:rsidRPr="00A406E5">
              <w:rPr>
                <w:rFonts w:ascii="Arial" w:hAnsi="Arial" w:cs="Arial"/>
                <w:b/>
              </w:rPr>
              <w:t xml:space="preserve">LEVEL 6 ASSESSMENT SPECIFICATION </w:t>
            </w:r>
          </w:p>
        </w:tc>
      </w:tr>
    </w:tbl>
    <w:p w14:paraId="0C91501B" w14:textId="77777777" w:rsidR="00C81C68" w:rsidRDefault="00C81C68" w:rsidP="00C81C68">
      <w:pPr>
        <w:jc w:val="center"/>
        <w:rPr>
          <w:rFonts w:ascii="Arial" w:hAnsi="Arial" w:cs="Arial"/>
          <w:b/>
          <w:i/>
          <w:sz w:val="32"/>
        </w:rPr>
      </w:pPr>
    </w:p>
    <w:p w14:paraId="442215C6" w14:textId="77777777" w:rsidR="00C81C68" w:rsidRDefault="00C81C68" w:rsidP="00C81C68">
      <w:pPr>
        <w:jc w:val="center"/>
        <w:rPr>
          <w:rFonts w:ascii="Arial" w:hAnsi="Arial" w:cs="Arial"/>
          <w:b/>
          <w:i/>
          <w:sz w:val="32"/>
        </w:rPr>
      </w:pPr>
    </w:p>
    <w:p w14:paraId="1D3C3E21" w14:textId="77777777" w:rsidR="00C81C68" w:rsidRPr="00A406E5" w:rsidRDefault="00C81C68" w:rsidP="00C81C68">
      <w:pPr>
        <w:jc w:val="center"/>
        <w:rPr>
          <w:rFonts w:ascii="Arial" w:hAnsi="Arial" w:cs="Arial"/>
          <w:b/>
          <w:i/>
          <w:sz w:val="32"/>
        </w:rPr>
      </w:pPr>
    </w:p>
    <w:tbl>
      <w:tblPr>
        <w:tblW w:w="93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730"/>
      </w:tblGrid>
      <w:tr w:rsidR="00C81C68" w:rsidRPr="00A406E5" w14:paraId="4076261B" w14:textId="77777777" w:rsidTr="00C81C68">
        <w:tc>
          <w:tcPr>
            <w:tcW w:w="2093" w:type="dxa"/>
          </w:tcPr>
          <w:p w14:paraId="3DBADFB2"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2478DE" w14:textId="3F8E209A"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hemeFill="background1" w:themeFillShade="D9"/>
          </w:tcPr>
          <w:p w14:paraId="233DC83F"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730" w:type="dxa"/>
          </w:tcPr>
          <w:p w14:paraId="1437EC6F" w14:textId="7EB93FF5"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2315599</w:t>
            </w:r>
          </w:p>
        </w:tc>
      </w:tr>
      <w:tr w:rsidR="00C81C68" w:rsidRPr="00A406E5" w14:paraId="1C23A38E" w14:textId="77777777" w:rsidTr="00C81C68">
        <w:tc>
          <w:tcPr>
            <w:tcW w:w="2093" w:type="dxa"/>
          </w:tcPr>
          <w:p w14:paraId="0FA0B41A"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Programme:</w:t>
            </w:r>
          </w:p>
        </w:tc>
        <w:tc>
          <w:tcPr>
            <w:tcW w:w="7291" w:type="dxa"/>
            <w:gridSpan w:val="3"/>
          </w:tcPr>
          <w:p w14:paraId="2329F834" w14:textId="4A857DD3" w:rsidR="00C81C68" w:rsidRPr="00A406E5" w:rsidRDefault="00C81C68" w:rsidP="00D84B5F">
            <w:pPr>
              <w:spacing w:before="120" w:after="120"/>
              <w:jc w:val="both"/>
              <w:rPr>
                <w:rFonts w:ascii="Arial" w:hAnsi="Arial" w:cs="Arial"/>
                <w:b/>
                <w:bCs/>
                <w:sz w:val="22"/>
                <w:szCs w:val="22"/>
              </w:rPr>
            </w:pPr>
            <w:r w:rsidRPr="5EE4746A">
              <w:rPr>
                <w:rFonts w:ascii="Arial" w:hAnsi="Arial" w:cs="Arial"/>
                <w:b/>
                <w:bCs/>
                <w:sz w:val="22"/>
                <w:szCs w:val="22"/>
              </w:rPr>
              <w:t>Law &amp; Legal Practice (LLB), Law and Criminology (BA)</w:t>
            </w:r>
          </w:p>
        </w:tc>
      </w:tr>
      <w:tr w:rsidR="00C81C68" w:rsidRPr="00A406E5" w14:paraId="4C49BF1F" w14:textId="77777777" w:rsidTr="00C81C68">
        <w:tc>
          <w:tcPr>
            <w:tcW w:w="2093" w:type="dxa"/>
          </w:tcPr>
          <w:p w14:paraId="1E464F10"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Module:</w:t>
            </w:r>
          </w:p>
        </w:tc>
        <w:tc>
          <w:tcPr>
            <w:tcW w:w="7291" w:type="dxa"/>
            <w:gridSpan w:val="3"/>
          </w:tcPr>
          <w:p w14:paraId="0A53CF70"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Land Law</w:t>
            </w:r>
          </w:p>
        </w:tc>
      </w:tr>
      <w:tr w:rsidR="00C81C68" w:rsidRPr="00A406E5" w14:paraId="0FD7A1F6" w14:textId="77777777" w:rsidTr="00C81C68">
        <w:tc>
          <w:tcPr>
            <w:tcW w:w="2093" w:type="dxa"/>
          </w:tcPr>
          <w:p w14:paraId="4435F462"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ED318F"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BMLC6008</w:t>
            </w:r>
          </w:p>
        </w:tc>
        <w:tc>
          <w:tcPr>
            <w:tcW w:w="2268" w:type="dxa"/>
            <w:shd w:val="clear" w:color="auto" w:fill="D9D9D9" w:themeFill="background1" w:themeFillShade="D9"/>
          </w:tcPr>
          <w:p w14:paraId="7A93329B" w14:textId="77777777" w:rsidR="00C81C68" w:rsidRPr="004D5E9B" w:rsidRDefault="00C81C68" w:rsidP="00D84B5F">
            <w:pPr>
              <w:pStyle w:val="Heading2"/>
              <w:rPr>
                <w:rFonts w:ascii="Arial" w:hAnsi="Arial" w:cs="Arial"/>
                <w:sz w:val="22"/>
                <w:szCs w:val="22"/>
              </w:rPr>
            </w:pPr>
            <w:r w:rsidRPr="00A406E5">
              <w:rPr>
                <w:rFonts w:ascii="Arial" w:hAnsi="Arial" w:cs="Arial"/>
                <w:sz w:val="22"/>
                <w:szCs w:val="22"/>
              </w:rPr>
              <w:t>Contribution to Overall Module Assessment (%):</w:t>
            </w:r>
          </w:p>
        </w:tc>
        <w:tc>
          <w:tcPr>
            <w:tcW w:w="1730" w:type="dxa"/>
          </w:tcPr>
          <w:p w14:paraId="7C096794"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100%</w:t>
            </w:r>
          </w:p>
        </w:tc>
      </w:tr>
      <w:tr w:rsidR="00C81C68" w:rsidRPr="00A406E5" w14:paraId="2F3A9E7A" w14:textId="77777777" w:rsidTr="00C81C68">
        <w:tc>
          <w:tcPr>
            <w:tcW w:w="2093" w:type="dxa"/>
          </w:tcPr>
          <w:p w14:paraId="7722CDE7" w14:textId="77777777" w:rsidR="00C81C68" w:rsidRPr="00A406E5" w:rsidRDefault="00C81C68" w:rsidP="00D84B5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4210AE"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Advocacy assessment</w:t>
            </w:r>
          </w:p>
        </w:tc>
        <w:tc>
          <w:tcPr>
            <w:tcW w:w="2268" w:type="dxa"/>
          </w:tcPr>
          <w:p w14:paraId="3A869D22"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Word count (or equivalent):</w:t>
            </w:r>
          </w:p>
        </w:tc>
        <w:tc>
          <w:tcPr>
            <w:tcW w:w="1730" w:type="dxa"/>
          </w:tcPr>
          <w:p w14:paraId="5946E47C" w14:textId="77777777" w:rsidR="00C81C68" w:rsidRDefault="00C81C68" w:rsidP="00D84B5F">
            <w:pPr>
              <w:spacing w:before="120" w:after="120"/>
              <w:jc w:val="both"/>
              <w:rPr>
                <w:rFonts w:ascii="Arial" w:hAnsi="Arial" w:cs="Arial"/>
                <w:b/>
                <w:sz w:val="22"/>
                <w:szCs w:val="22"/>
              </w:rPr>
            </w:pPr>
            <w:r>
              <w:rPr>
                <w:rFonts w:ascii="Arial" w:hAnsi="Arial" w:cs="Arial"/>
                <w:b/>
                <w:sz w:val="22"/>
                <w:szCs w:val="22"/>
              </w:rPr>
              <w:t xml:space="preserve">15 minutes oral advocacy </w:t>
            </w:r>
          </w:p>
          <w:p w14:paraId="0FB85FA9" w14:textId="77777777" w:rsidR="00C81C68" w:rsidRPr="00A406E5" w:rsidRDefault="00C81C68" w:rsidP="00D84B5F">
            <w:pPr>
              <w:spacing w:before="120" w:after="120"/>
              <w:jc w:val="both"/>
              <w:rPr>
                <w:rFonts w:ascii="Arial" w:hAnsi="Arial" w:cs="Arial"/>
                <w:b/>
                <w:sz w:val="22"/>
                <w:szCs w:val="22"/>
              </w:rPr>
            </w:pPr>
            <w:r>
              <w:rPr>
                <w:rFonts w:ascii="Arial" w:hAnsi="Arial" w:cs="Arial"/>
                <w:b/>
                <w:sz w:val="22"/>
                <w:szCs w:val="22"/>
              </w:rPr>
              <w:t xml:space="preserve">2000 words written advocacy </w:t>
            </w:r>
          </w:p>
        </w:tc>
      </w:tr>
    </w:tbl>
    <w:p w14:paraId="29083E15" w14:textId="77777777" w:rsidR="00FE2856" w:rsidRDefault="00FE2856" w:rsidP="00FE2856">
      <w:pPr>
        <w:spacing w:after="160" w:line="278" w:lineRule="auto"/>
        <w:rPr>
          <w:rFonts w:ascii="Arial" w:hAnsi="Arial" w:cs="Arial"/>
          <w:sz w:val="32"/>
        </w:rPr>
      </w:pPr>
    </w:p>
    <w:p w14:paraId="2A50BF23" w14:textId="3C427416" w:rsidR="00C81C68" w:rsidRDefault="00FE2856" w:rsidP="00FE2856">
      <w:pPr>
        <w:spacing w:after="160" w:line="278" w:lineRule="auto"/>
        <w:rPr>
          <w:rFonts w:ascii="Arial" w:hAnsi="Arial" w:cs="Arial"/>
          <w:bCs/>
        </w:rPr>
      </w:pPr>
      <w:r w:rsidRPr="00CF5046">
        <w:rPr>
          <w:rFonts w:ascii="Arial" w:hAnsi="Arial" w:cs="Arial"/>
          <w:sz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C81C68">
        <w:rPr>
          <w:rFonts w:ascii="Arial" w:hAnsi="Arial" w:cs="Arial"/>
          <w:bCs/>
        </w:rPr>
        <w:br w:type="page"/>
      </w:r>
    </w:p>
    <w:p w14:paraId="458A94B3" w14:textId="58D5C638" w:rsidR="00C81C68" w:rsidRPr="00C81C68" w:rsidRDefault="00C81C68" w:rsidP="00C81C68">
      <w:pPr>
        <w:spacing w:line="360" w:lineRule="auto"/>
        <w:rPr>
          <w:rFonts w:asciiTheme="minorHAnsi" w:hAnsiTheme="minorHAnsi" w:cs="Arial"/>
          <w:bCs/>
          <w:sz w:val="28"/>
          <w:szCs w:val="28"/>
        </w:rPr>
      </w:pPr>
      <w:r w:rsidRPr="00C81C68">
        <w:rPr>
          <w:rFonts w:asciiTheme="minorHAnsi" w:hAnsiTheme="minorHAnsi" w:cs="Arial"/>
          <w:bCs/>
          <w:sz w:val="28"/>
          <w:szCs w:val="28"/>
        </w:rPr>
        <w:lastRenderedPageBreak/>
        <w:t xml:space="preserve">IN THE HIGH COURT OF ENGLAND AND WALES </w:t>
      </w:r>
    </w:p>
    <w:p w14:paraId="70776553" w14:textId="77777777" w:rsidR="00C81C68" w:rsidRPr="00C81C68" w:rsidRDefault="00C81C68" w:rsidP="00C81C68">
      <w:pPr>
        <w:spacing w:line="360" w:lineRule="auto"/>
        <w:rPr>
          <w:rFonts w:asciiTheme="minorHAnsi" w:hAnsiTheme="minorHAnsi" w:cs="Arial"/>
          <w:bCs/>
          <w:sz w:val="28"/>
          <w:szCs w:val="28"/>
        </w:rPr>
      </w:pPr>
      <w:r w:rsidRPr="00C81C68">
        <w:rPr>
          <w:rFonts w:asciiTheme="minorHAnsi" w:hAnsiTheme="minorHAnsi" w:cs="Arial"/>
          <w:bCs/>
          <w:sz w:val="28"/>
          <w:szCs w:val="28"/>
        </w:rPr>
        <w:t>(CHANCERY DIVISION)</w:t>
      </w:r>
    </w:p>
    <w:p w14:paraId="2F771A3D" w14:textId="77777777" w:rsidR="00C81C68" w:rsidRPr="00C81C68" w:rsidRDefault="00C81C68" w:rsidP="00C81C68">
      <w:pPr>
        <w:spacing w:line="360" w:lineRule="auto"/>
        <w:jc w:val="right"/>
        <w:rPr>
          <w:rFonts w:asciiTheme="minorHAnsi" w:hAnsiTheme="minorHAnsi" w:cs="Arial"/>
          <w:bCs/>
          <w:sz w:val="28"/>
          <w:szCs w:val="28"/>
        </w:rPr>
      </w:pPr>
      <w:r w:rsidRPr="00C81C68">
        <w:rPr>
          <w:rFonts w:asciiTheme="minorHAnsi" w:hAnsiTheme="minorHAnsi" w:cs="Arial"/>
          <w:bCs/>
          <w:sz w:val="28"/>
          <w:szCs w:val="28"/>
        </w:rPr>
        <w:t>CLAIM NUMBER: 2024/840A3</w:t>
      </w:r>
    </w:p>
    <w:p w14:paraId="07365E05" w14:textId="77777777" w:rsidR="00C81C68" w:rsidRPr="00C81C68" w:rsidRDefault="00C81C68" w:rsidP="00C81C68">
      <w:pPr>
        <w:spacing w:line="360" w:lineRule="auto"/>
        <w:rPr>
          <w:rFonts w:asciiTheme="minorHAnsi" w:hAnsiTheme="minorHAnsi" w:cs="Arial"/>
          <w:bCs/>
          <w:sz w:val="28"/>
          <w:szCs w:val="28"/>
        </w:rPr>
      </w:pPr>
      <w:r w:rsidRPr="00C81C68">
        <w:rPr>
          <w:rFonts w:asciiTheme="minorHAnsi" w:hAnsiTheme="minorHAnsi" w:cs="Arial"/>
          <w:bCs/>
          <w:sz w:val="28"/>
          <w:szCs w:val="28"/>
        </w:rPr>
        <w:t>BETWEEN:</w:t>
      </w:r>
    </w:p>
    <w:tbl>
      <w:tblPr>
        <w:tblW w:w="9639" w:type="dxa"/>
        <w:tblLayout w:type="fixed"/>
        <w:tblLook w:val="04A0" w:firstRow="1" w:lastRow="0" w:firstColumn="1" w:lastColumn="0" w:noHBand="0" w:noVBand="1"/>
      </w:tblPr>
      <w:tblGrid>
        <w:gridCol w:w="1418"/>
        <w:gridCol w:w="6237"/>
        <w:gridCol w:w="1984"/>
      </w:tblGrid>
      <w:tr w:rsidR="00C81C68" w:rsidRPr="00C81C68" w14:paraId="340BD624" w14:textId="77777777" w:rsidTr="00C81C68">
        <w:trPr>
          <w:trHeight w:val="757"/>
        </w:trPr>
        <w:tc>
          <w:tcPr>
            <w:tcW w:w="1418" w:type="dxa"/>
          </w:tcPr>
          <w:p w14:paraId="4BC1A0B6" w14:textId="77777777" w:rsidR="00C81C68" w:rsidRPr="00C81C68" w:rsidRDefault="00C81C68" w:rsidP="00D84B5F">
            <w:pPr>
              <w:spacing w:line="360" w:lineRule="auto"/>
              <w:jc w:val="center"/>
              <w:rPr>
                <w:rFonts w:asciiTheme="minorHAnsi" w:hAnsiTheme="minorHAnsi" w:cs="Arial"/>
                <w:sz w:val="28"/>
                <w:szCs w:val="28"/>
                <w:lang w:eastAsia="zh-CN" w:bidi="ta-IN"/>
              </w:rPr>
            </w:pPr>
          </w:p>
        </w:tc>
        <w:tc>
          <w:tcPr>
            <w:tcW w:w="6237" w:type="dxa"/>
          </w:tcPr>
          <w:p w14:paraId="5E3F371D" w14:textId="77777777" w:rsidR="00C81C68" w:rsidRPr="00C81C68" w:rsidRDefault="00C81C68" w:rsidP="00D84B5F">
            <w:pPr>
              <w:spacing w:line="360" w:lineRule="auto"/>
              <w:jc w:val="center"/>
              <w:rPr>
                <w:rFonts w:asciiTheme="minorHAnsi" w:eastAsia="PMingLiU" w:hAnsiTheme="minorHAnsi" w:cs="Arial"/>
                <w:sz w:val="28"/>
                <w:szCs w:val="28"/>
                <w:lang w:eastAsia="zh-CN" w:bidi="ta-IN"/>
              </w:rPr>
            </w:pPr>
            <w:r w:rsidRPr="00C81C68">
              <w:rPr>
                <w:rFonts w:asciiTheme="minorHAnsi" w:eastAsia="PMingLiU" w:hAnsiTheme="minorHAnsi" w:cs="Arial"/>
                <w:sz w:val="28"/>
                <w:szCs w:val="28"/>
                <w:lang w:eastAsia="zh-CN" w:bidi="ta-IN"/>
              </w:rPr>
              <w:t>SARAH MORGAN</w:t>
            </w:r>
          </w:p>
        </w:tc>
        <w:tc>
          <w:tcPr>
            <w:tcW w:w="1984" w:type="dxa"/>
          </w:tcPr>
          <w:p w14:paraId="3A323AF0" w14:textId="77777777" w:rsidR="00C81C68" w:rsidRPr="00C81C68" w:rsidRDefault="00C81C68" w:rsidP="00D84B5F">
            <w:pPr>
              <w:spacing w:line="360" w:lineRule="auto"/>
              <w:jc w:val="right"/>
              <w:rPr>
                <w:rFonts w:asciiTheme="minorHAnsi" w:eastAsia="PMingLiU" w:hAnsiTheme="minorHAnsi" w:cs="Arial"/>
                <w:sz w:val="28"/>
                <w:szCs w:val="28"/>
                <w:u w:val="single"/>
                <w:lang w:eastAsia="zh-CN" w:bidi="ta-IN"/>
              </w:rPr>
            </w:pPr>
            <w:r w:rsidRPr="00C81C68">
              <w:rPr>
                <w:rFonts w:asciiTheme="minorHAnsi" w:eastAsia="PMingLiU" w:hAnsiTheme="minorHAnsi" w:cs="Arial"/>
                <w:sz w:val="28"/>
                <w:szCs w:val="28"/>
                <w:u w:val="single"/>
                <w:lang w:eastAsia="zh-CN" w:bidi="ta-IN"/>
              </w:rPr>
              <w:t xml:space="preserve">Claimant </w:t>
            </w:r>
          </w:p>
        </w:tc>
      </w:tr>
      <w:tr w:rsidR="00C81C68" w:rsidRPr="00C81C68" w14:paraId="7EAFC4F1" w14:textId="77777777" w:rsidTr="00C81C68">
        <w:trPr>
          <w:trHeight w:val="757"/>
        </w:trPr>
        <w:tc>
          <w:tcPr>
            <w:tcW w:w="1418" w:type="dxa"/>
          </w:tcPr>
          <w:p w14:paraId="4522EB75" w14:textId="77777777" w:rsidR="00C81C68" w:rsidRPr="00C81C68" w:rsidRDefault="00C81C68" w:rsidP="00D84B5F">
            <w:pPr>
              <w:spacing w:line="360" w:lineRule="auto"/>
              <w:jc w:val="center"/>
              <w:rPr>
                <w:rFonts w:asciiTheme="minorHAnsi" w:hAnsiTheme="minorHAnsi" w:cs="Arial"/>
                <w:sz w:val="28"/>
                <w:szCs w:val="28"/>
                <w:lang w:eastAsia="zh-CN" w:bidi="ta-IN"/>
              </w:rPr>
            </w:pPr>
          </w:p>
        </w:tc>
        <w:tc>
          <w:tcPr>
            <w:tcW w:w="6237" w:type="dxa"/>
          </w:tcPr>
          <w:p w14:paraId="67AFD32C" w14:textId="77777777" w:rsidR="00C81C68" w:rsidRPr="00C81C68" w:rsidRDefault="00C81C68" w:rsidP="00D84B5F">
            <w:pPr>
              <w:spacing w:line="360" w:lineRule="auto"/>
              <w:jc w:val="center"/>
              <w:rPr>
                <w:rFonts w:asciiTheme="minorHAnsi" w:eastAsia="PMingLiU" w:hAnsiTheme="minorHAnsi" w:cs="Arial"/>
                <w:sz w:val="28"/>
                <w:szCs w:val="28"/>
                <w:lang w:eastAsia="zh-CN" w:bidi="ta-IN"/>
              </w:rPr>
            </w:pPr>
            <w:r w:rsidRPr="00C81C68">
              <w:rPr>
                <w:rFonts w:asciiTheme="minorHAnsi" w:eastAsia="PMingLiU" w:hAnsiTheme="minorHAnsi" w:cs="Arial"/>
                <w:sz w:val="28"/>
                <w:szCs w:val="28"/>
                <w:lang w:eastAsia="zh-CN" w:bidi="ta-IN"/>
              </w:rPr>
              <w:t>-and-</w:t>
            </w:r>
          </w:p>
        </w:tc>
        <w:tc>
          <w:tcPr>
            <w:tcW w:w="1984" w:type="dxa"/>
          </w:tcPr>
          <w:p w14:paraId="5F453FDC" w14:textId="77777777" w:rsidR="00C81C68" w:rsidRPr="00C81C68" w:rsidRDefault="00C81C68" w:rsidP="00D84B5F">
            <w:pPr>
              <w:spacing w:line="360" w:lineRule="auto"/>
              <w:jc w:val="right"/>
              <w:rPr>
                <w:rFonts w:asciiTheme="minorHAnsi" w:eastAsia="PMingLiU" w:hAnsiTheme="minorHAnsi" w:cs="Arial"/>
                <w:sz w:val="28"/>
                <w:szCs w:val="28"/>
                <w:lang w:eastAsia="zh-CN" w:bidi="ta-IN"/>
              </w:rPr>
            </w:pPr>
          </w:p>
        </w:tc>
      </w:tr>
      <w:tr w:rsidR="00C81C68" w:rsidRPr="00C81C68" w14:paraId="75A3E261" w14:textId="77777777" w:rsidTr="00C81C68">
        <w:trPr>
          <w:trHeight w:val="757"/>
        </w:trPr>
        <w:tc>
          <w:tcPr>
            <w:tcW w:w="1418" w:type="dxa"/>
          </w:tcPr>
          <w:p w14:paraId="38235294" w14:textId="77777777" w:rsidR="00C81C68" w:rsidRPr="00C81C68" w:rsidRDefault="00C81C68" w:rsidP="00D84B5F">
            <w:pPr>
              <w:spacing w:line="360" w:lineRule="auto"/>
              <w:jc w:val="center"/>
              <w:rPr>
                <w:rFonts w:asciiTheme="minorHAnsi" w:hAnsiTheme="minorHAnsi" w:cs="Arial"/>
                <w:sz w:val="28"/>
                <w:szCs w:val="28"/>
                <w:lang w:eastAsia="zh-CN" w:bidi="ta-IN"/>
              </w:rPr>
            </w:pPr>
          </w:p>
        </w:tc>
        <w:tc>
          <w:tcPr>
            <w:tcW w:w="6237" w:type="dxa"/>
          </w:tcPr>
          <w:p w14:paraId="3E23C983" w14:textId="77777777" w:rsidR="00C81C68" w:rsidRPr="00C81C68" w:rsidRDefault="00C81C68" w:rsidP="00D84B5F">
            <w:pPr>
              <w:spacing w:line="360" w:lineRule="auto"/>
              <w:jc w:val="center"/>
              <w:rPr>
                <w:rFonts w:asciiTheme="minorHAnsi" w:eastAsia="PMingLiU" w:hAnsiTheme="minorHAnsi" w:cs="Arial"/>
                <w:sz w:val="28"/>
                <w:szCs w:val="28"/>
                <w:lang w:eastAsia="zh-CN" w:bidi="ta-IN"/>
              </w:rPr>
            </w:pPr>
            <w:r w:rsidRPr="00C81C68">
              <w:rPr>
                <w:rFonts w:asciiTheme="minorHAnsi" w:eastAsia="PMingLiU" w:hAnsiTheme="minorHAnsi" w:cs="Arial"/>
                <w:sz w:val="28"/>
                <w:szCs w:val="28"/>
                <w:lang w:eastAsia="zh-CN" w:bidi="ta-IN"/>
              </w:rPr>
              <w:t>JENNIFER WILLIAMS</w:t>
            </w:r>
          </w:p>
        </w:tc>
        <w:tc>
          <w:tcPr>
            <w:tcW w:w="1984" w:type="dxa"/>
          </w:tcPr>
          <w:p w14:paraId="7DF686F2" w14:textId="77777777" w:rsidR="00C81C68" w:rsidRPr="00C81C68" w:rsidRDefault="00C81C68" w:rsidP="00D84B5F">
            <w:pPr>
              <w:spacing w:line="360" w:lineRule="auto"/>
              <w:jc w:val="right"/>
              <w:rPr>
                <w:rFonts w:asciiTheme="minorHAnsi" w:eastAsia="PMingLiU" w:hAnsiTheme="minorHAnsi" w:cs="Arial"/>
                <w:sz w:val="28"/>
                <w:szCs w:val="28"/>
                <w:lang w:eastAsia="zh-CN" w:bidi="ta-IN"/>
              </w:rPr>
            </w:pPr>
            <w:r w:rsidRPr="00C81C68">
              <w:rPr>
                <w:rFonts w:asciiTheme="minorHAnsi" w:eastAsia="PMingLiU" w:hAnsiTheme="minorHAnsi" w:cs="Arial"/>
                <w:sz w:val="28"/>
                <w:szCs w:val="28"/>
                <w:u w:val="single"/>
                <w:lang w:eastAsia="zh-CN" w:bidi="ta-IN"/>
              </w:rPr>
              <w:t>Defendant</w:t>
            </w:r>
          </w:p>
        </w:tc>
      </w:tr>
    </w:tbl>
    <w:p w14:paraId="2B3095CE" w14:textId="77777777" w:rsidR="00C81C68" w:rsidRPr="00C81C68" w:rsidRDefault="00C81C68" w:rsidP="00C81C68">
      <w:pPr>
        <w:tabs>
          <w:tab w:val="left" w:pos="2656"/>
        </w:tabs>
        <w:autoSpaceDE w:val="0"/>
        <w:autoSpaceDN w:val="0"/>
        <w:adjustRightInd w:val="0"/>
        <w:spacing w:line="360" w:lineRule="auto"/>
        <w:rPr>
          <w:rFonts w:asciiTheme="minorHAnsi" w:hAnsiTheme="minorHAnsi" w:cs="Arial"/>
          <w:b/>
          <w:bCs/>
          <w:sz w:val="28"/>
          <w:szCs w:val="28"/>
          <w:lang w:bidi="ta-IN"/>
        </w:rPr>
      </w:pPr>
      <w:r w:rsidRPr="00C81C68">
        <w:rPr>
          <w:rFonts w:asciiTheme="minorHAnsi" w:hAnsiTheme="minorHAnsi" w:cs="Arial"/>
          <w:b/>
          <w:bCs/>
          <w:sz w:val="28"/>
          <w:szCs w:val="28"/>
          <w:lang w:bidi="ta-IN"/>
        </w:rPr>
        <w:tab/>
      </w:r>
    </w:p>
    <w:p w14:paraId="01EFCF57" w14:textId="77777777" w:rsidR="00C81C68" w:rsidRPr="00C81C68" w:rsidRDefault="00C81C68" w:rsidP="00C81C68">
      <w:pPr>
        <w:pBdr>
          <w:top w:val="single" w:sz="4" w:space="1" w:color="auto"/>
          <w:bottom w:val="single" w:sz="4" w:space="1" w:color="auto"/>
        </w:pBdr>
        <w:autoSpaceDE w:val="0"/>
        <w:autoSpaceDN w:val="0"/>
        <w:adjustRightInd w:val="0"/>
        <w:spacing w:line="360" w:lineRule="auto"/>
        <w:jc w:val="center"/>
        <w:rPr>
          <w:rFonts w:asciiTheme="minorHAnsi" w:hAnsiTheme="minorHAnsi" w:cs="Arial"/>
          <w:b/>
          <w:bCs/>
          <w:sz w:val="28"/>
          <w:szCs w:val="28"/>
          <w:lang w:bidi="ta-IN"/>
        </w:rPr>
      </w:pPr>
    </w:p>
    <w:p w14:paraId="67F1E55D" w14:textId="3F82D1A8" w:rsidR="00C81C68" w:rsidRPr="00C81C68" w:rsidRDefault="00C81C68" w:rsidP="00C81C68">
      <w:pPr>
        <w:pBdr>
          <w:top w:val="single" w:sz="4" w:space="1" w:color="auto"/>
          <w:bottom w:val="single" w:sz="4" w:space="1" w:color="auto"/>
        </w:pBdr>
        <w:autoSpaceDE w:val="0"/>
        <w:autoSpaceDN w:val="0"/>
        <w:adjustRightInd w:val="0"/>
        <w:spacing w:line="360" w:lineRule="auto"/>
        <w:jc w:val="center"/>
        <w:rPr>
          <w:rFonts w:asciiTheme="minorHAnsi" w:eastAsiaTheme="majorEastAsia" w:hAnsiTheme="minorHAnsi" w:cs="Arial"/>
          <w:b/>
          <w:bCs/>
          <w:sz w:val="28"/>
          <w:szCs w:val="28"/>
          <w:lang w:bidi="ta-IN"/>
        </w:rPr>
      </w:pPr>
      <w:r w:rsidRPr="00C81C68">
        <w:rPr>
          <w:rFonts w:asciiTheme="minorHAnsi" w:hAnsiTheme="minorHAnsi" w:cs="Arial"/>
          <w:b/>
          <w:bCs/>
          <w:sz w:val="28"/>
          <w:szCs w:val="28"/>
          <w:lang w:bidi="ta-IN"/>
        </w:rPr>
        <w:t>Skeleton argument on behalf of</w:t>
      </w:r>
      <w:r w:rsidR="00654355">
        <w:rPr>
          <w:rFonts w:asciiTheme="minorHAnsi" w:hAnsiTheme="minorHAnsi" w:cs="Arial"/>
          <w:b/>
          <w:bCs/>
          <w:sz w:val="28"/>
          <w:szCs w:val="28"/>
          <w:lang w:bidi="ta-IN"/>
        </w:rPr>
        <w:t xml:space="preserve"> JENNIFER WILLIAMS / DEFENDANT</w:t>
      </w:r>
      <w:r w:rsidRPr="00C81C68">
        <w:rPr>
          <w:rFonts w:asciiTheme="minorHAnsi" w:hAnsiTheme="minorHAnsi" w:cs="Arial"/>
          <w:b/>
          <w:bCs/>
          <w:sz w:val="28"/>
          <w:szCs w:val="28"/>
          <w:lang w:bidi="ta-IN"/>
        </w:rPr>
        <w:t xml:space="preserve"> </w:t>
      </w:r>
    </w:p>
    <w:p w14:paraId="45F919CC" w14:textId="77777777" w:rsidR="00C81C68" w:rsidRPr="00C81C68" w:rsidRDefault="00C81C68" w:rsidP="00C81C68">
      <w:pPr>
        <w:pBdr>
          <w:top w:val="single" w:sz="4" w:space="1" w:color="auto"/>
          <w:bottom w:val="single" w:sz="4" w:space="1" w:color="auto"/>
        </w:pBdr>
        <w:autoSpaceDE w:val="0"/>
        <w:autoSpaceDN w:val="0"/>
        <w:adjustRightInd w:val="0"/>
        <w:jc w:val="center"/>
        <w:rPr>
          <w:rFonts w:asciiTheme="minorHAnsi" w:hAnsiTheme="minorHAnsi" w:cs="Arial"/>
          <w:b/>
          <w:bCs/>
          <w:sz w:val="28"/>
          <w:szCs w:val="28"/>
          <w:lang w:bidi="ta-IN"/>
        </w:rPr>
      </w:pPr>
    </w:p>
    <w:p w14:paraId="7BE7670C" w14:textId="77777777" w:rsidR="0085198D" w:rsidRDefault="0085198D">
      <w:pPr>
        <w:spacing w:after="160" w:line="278" w:lineRule="auto"/>
        <w:rPr>
          <w:rFonts w:asciiTheme="minorHAnsi" w:eastAsiaTheme="majorEastAsia" w:hAnsiTheme="minorHAnsi" w:cstheme="majorBidi"/>
          <w:color w:val="0F4761" w:themeColor="accent1" w:themeShade="BF"/>
          <w:sz w:val="28"/>
          <w:szCs w:val="28"/>
        </w:rPr>
      </w:pPr>
      <w:r>
        <w:rPr>
          <w:rFonts w:asciiTheme="minorHAnsi" w:hAnsiTheme="minorHAnsi"/>
          <w:sz w:val="28"/>
          <w:szCs w:val="28"/>
        </w:rPr>
        <w:br w:type="page"/>
      </w:r>
    </w:p>
    <w:p w14:paraId="005F7F01" w14:textId="17D25A85" w:rsidR="00C81C68" w:rsidRPr="00F95E78" w:rsidRDefault="00C81C68" w:rsidP="00F95E78">
      <w:pPr>
        <w:pStyle w:val="Heading1"/>
      </w:pPr>
      <w:r w:rsidRPr="00F95E78">
        <w:lastRenderedPageBreak/>
        <w:t>Introduction</w:t>
      </w:r>
    </w:p>
    <w:p w14:paraId="19825695" w14:textId="6FFFE037" w:rsidR="0085198D" w:rsidRDefault="00983160" w:rsidP="00F95E78">
      <w:pPr>
        <w:jc w:val="both"/>
        <w:rPr>
          <w:rFonts w:asciiTheme="minorHAnsi" w:hAnsiTheme="minorHAnsi"/>
          <w:sz w:val="28"/>
          <w:szCs w:val="28"/>
        </w:rPr>
      </w:pPr>
      <w:r>
        <w:rPr>
          <w:rFonts w:asciiTheme="minorHAnsi" w:hAnsiTheme="minorHAnsi"/>
          <w:sz w:val="28"/>
          <w:szCs w:val="28"/>
        </w:rPr>
        <w:t xml:space="preserve">Good morning </w:t>
      </w:r>
      <w:r w:rsidR="0085198D" w:rsidRPr="0085198D">
        <w:rPr>
          <w:rFonts w:asciiTheme="minorHAnsi" w:hAnsiTheme="minorHAnsi"/>
          <w:sz w:val="28"/>
          <w:szCs w:val="28"/>
        </w:rPr>
        <w:t>My Lady</w:t>
      </w:r>
      <w:r>
        <w:rPr>
          <w:rFonts w:asciiTheme="minorHAnsi" w:hAnsiTheme="minorHAnsi"/>
          <w:sz w:val="28"/>
          <w:szCs w:val="28"/>
        </w:rPr>
        <w:t xml:space="preserve">. My name is Sarah </w:t>
      </w:r>
      <w:proofErr w:type="gramStart"/>
      <w:r>
        <w:rPr>
          <w:rFonts w:asciiTheme="minorHAnsi" w:hAnsiTheme="minorHAnsi"/>
          <w:sz w:val="28"/>
          <w:szCs w:val="28"/>
        </w:rPr>
        <w:t>Hoffmann</w:t>
      </w:r>
      <w:proofErr w:type="gramEnd"/>
      <w:r>
        <w:rPr>
          <w:rFonts w:asciiTheme="minorHAnsi" w:hAnsiTheme="minorHAnsi"/>
          <w:sz w:val="28"/>
          <w:szCs w:val="28"/>
        </w:rPr>
        <w:t xml:space="preserve"> and </w:t>
      </w:r>
      <w:r w:rsidR="0085198D" w:rsidRPr="0085198D">
        <w:rPr>
          <w:rFonts w:asciiTheme="minorHAnsi" w:hAnsiTheme="minorHAnsi"/>
          <w:sz w:val="28"/>
          <w:szCs w:val="28"/>
        </w:rPr>
        <w:t>I appear for the Defendant, Jennifer Williams. These submissions draw together the evidence and the relevant legal principles to show why the Claimant has not established any basis for a beneficial interest in the Property. The same evidence also undermines her alternative claim in proprietary estoppel: there was no assurance, no reliance, and nothing approaching the kind of unconscionability that would justify interfering with the Defendant’s sole ownership.</w:t>
      </w:r>
    </w:p>
    <w:p w14:paraId="17BD7A53" w14:textId="77777777" w:rsidR="0085198D" w:rsidRPr="00E27F96" w:rsidRDefault="0085198D" w:rsidP="0085198D">
      <w:pPr>
        <w:rPr>
          <w:rFonts w:asciiTheme="minorHAnsi" w:hAnsiTheme="minorHAnsi"/>
          <w:sz w:val="28"/>
          <w:szCs w:val="28"/>
        </w:rPr>
      </w:pPr>
    </w:p>
    <w:p w14:paraId="0B0F696A" w14:textId="384059B0" w:rsidR="00C81C68" w:rsidRPr="00E27F96" w:rsidRDefault="00C81C68" w:rsidP="00E27F96">
      <w:pPr>
        <w:rPr>
          <w:rFonts w:asciiTheme="minorHAnsi" w:hAnsiTheme="minorHAnsi"/>
          <w:sz w:val="28"/>
          <w:szCs w:val="28"/>
        </w:rPr>
      </w:pPr>
      <w:r w:rsidRPr="00E27F96">
        <w:rPr>
          <w:rFonts w:asciiTheme="minorHAnsi" w:hAnsiTheme="minorHAnsi"/>
          <w:sz w:val="28"/>
          <w:szCs w:val="28"/>
          <w:highlight w:val="yellow"/>
        </w:rPr>
        <w:t>The issues</w:t>
      </w:r>
    </w:p>
    <w:p w14:paraId="3C74A5F8" w14:textId="77777777" w:rsidR="0085198D" w:rsidRDefault="0085198D" w:rsidP="0085198D">
      <w:pPr>
        <w:rPr>
          <w:rFonts w:asciiTheme="minorHAnsi" w:hAnsiTheme="minorHAnsi"/>
          <w:sz w:val="28"/>
          <w:szCs w:val="28"/>
        </w:rPr>
      </w:pPr>
    </w:p>
    <w:p w14:paraId="5ED29521" w14:textId="77777777" w:rsidR="008B6AD0" w:rsidRDefault="0085198D" w:rsidP="008B6AD0">
      <w:pPr>
        <w:jc w:val="both"/>
        <w:rPr>
          <w:rFonts w:asciiTheme="minorHAnsi" w:hAnsiTheme="minorHAnsi"/>
          <w:sz w:val="28"/>
          <w:szCs w:val="28"/>
        </w:rPr>
      </w:pPr>
      <w:r w:rsidRPr="0085198D">
        <w:rPr>
          <w:rFonts w:asciiTheme="minorHAnsi" w:hAnsiTheme="minorHAnsi"/>
          <w:sz w:val="28"/>
          <w:szCs w:val="28"/>
        </w:rPr>
        <w:t xml:space="preserve">The Property was bought by Jennifer with inherited funds before the relationship, with no contribution or agreement from Sarah about sharing ownership. The solicitor’s advice letter confirmed Jennifer’s sole title and recommended a declaration of trust, which both </w:t>
      </w:r>
      <w:proofErr w:type="gramStart"/>
      <w:r w:rsidRPr="0085198D">
        <w:rPr>
          <w:rFonts w:asciiTheme="minorHAnsi" w:hAnsiTheme="minorHAnsi"/>
          <w:sz w:val="28"/>
          <w:szCs w:val="28"/>
        </w:rPr>
        <w:t>declined</w:t>
      </w:r>
      <w:proofErr w:type="gramEnd"/>
      <w:r w:rsidRPr="0085198D">
        <w:rPr>
          <w:rFonts w:asciiTheme="minorHAnsi" w:hAnsiTheme="minorHAnsi"/>
          <w:sz w:val="28"/>
          <w:szCs w:val="28"/>
        </w:rPr>
        <w:t xml:space="preserve"> and Sarah never revisited. Any “50/50” comments related to fairness in the relationship, not the house. Sarah lived rent</w:t>
      </w:r>
      <w:r w:rsidRPr="0085198D">
        <w:rPr>
          <w:rFonts w:asciiTheme="minorHAnsi" w:hAnsiTheme="minorHAnsi"/>
          <w:sz w:val="28"/>
          <w:szCs w:val="28"/>
        </w:rPr>
        <w:noBreakHyphen/>
        <w:t>free for 15 years, and her later £60,000 contribution was voluntary. Jennifer supported Sarah financially during her studies, reflecting mutual support rather than ownership intention. No assurance of a share was ever given or discussed.</w:t>
      </w:r>
    </w:p>
    <w:p w14:paraId="2F6A4128" w14:textId="77777777" w:rsidR="008B6AD0" w:rsidRDefault="008B6AD0" w:rsidP="008B6AD0">
      <w:pPr>
        <w:jc w:val="both"/>
        <w:rPr>
          <w:rFonts w:asciiTheme="minorHAnsi" w:hAnsiTheme="minorHAnsi"/>
          <w:sz w:val="28"/>
          <w:szCs w:val="28"/>
        </w:rPr>
      </w:pPr>
    </w:p>
    <w:p w14:paraId="183EECA0" w14:textId="4FB00986" w:rsidR="00C81C68" w:rsidRPr="00E27F96" w:rsidRDefault="00C81C68" w:rsidP="00E27F96">
      <w:pPr>
        <w:rPr>
          <w:rFonts w:asciiTheme="minorHAnsi" w:hAnsiTheme="minorHAnsi"/>
          <w:sz w:val="28"/>
          <w:szCs w:val="28"/>
        </w:rPr>
      </w:pPr>
      <w:r w:rsidRPr="00E27F96">
        <w:rPr>
          <w:rFonts w:asciiTheme="minorHAnsi" w:hAnsiTheme="minorHAnsi"/>
          <w:sz w:val="28"/>
          <w:szCs w:val="28"/>
          <w:highlight w:val="yellow"/>
        </w:rPr>
        <w:t>The facts</w:t>
      </w:r>
    </w:p>
    <w:p w14:paraId="6BD5AB3C" w14:textId="77777777" w:rsidR="008B6AD0" w:rsidRDefault="0085198D" w:rsidP="008B6AD0">
      <w:pPr>
        <w:pStyle w:val="Heading2"/>
        <w:jc w:val="both"/>
        <w:rPr>
          <w:rFonts w:asciiTheme="minorHAnsi" w:hAnsiTheme="minorHAnsi"/>
          <w:color w:val="auto"/>
          <w:sz w:val="28"/>
          <w:szCs w:val="28"/>
        </w:rPr>
      </w:pPr>
      <w:r w:rsidRPr="0085198D">
        <w:rPr>
          <w:rFonts w:asciiTheme="minorHAnsi" w:hAnsiTheme="minorHAnsi"/>
          <w:color w:val="auto"/>
          <w:sz w:val="28"/>
          <w:szCs w:val="28"/>
        </w:rPr>
        <w:t>The Gatehouse was acquired by the Defendant in 1995, a considerable period—eight years—before she and the Claimant formed a relationship. The purchase was funded entirely from money the Defendant inherited from her late father, enabling her to buy the property outright without the need for a mortgage or any external financial assistance. At no stage during or after the purchase did the Claimant provide any financial contribution toward the acquisition, nor was there ever any discussion, indication, or understanding that the Defendant intended to share the ownership of the property with her or with anyone else. The house remained, in every respect, the Defendant’s sole asset.</w:t>
      </w:r>
    </w:p>
    <w:p w14:paraId="762CE34D" w14:textId="77777777" w:rsidR="00E27F96" w:rsidRPr="00E27F96" w:rsidRDefault="00E27F96" w:rsidP="00E27F96"/>
    <w:p w14:paraId="3E7E6845" w14:textId="7F171A13" w:rsidR="00C81C68" w:rsidRPr="00E27F96" w:rsidRDefault="00C81C68" w:rsidP="00E27F96">
      <w:pPr>
        <w:rPr>
          <w:rFonts w:asciiTheme="minorHAnsi" w:hAnsiTheme="minorHAnsi"/>
          <w:sz w:val="28"/>
          <w:szCs w:val="28"/>
        </w:rPr>
      </w:pPr>
      <w:r w:rsidRPr="00E27F96">
        <w:rPr>
          <w:rFonts w:asciiTheme="minorHAnsi" w:hAnsiTheme="minorHAnsi"/>
          <w:sz w:val="28"/>
          <w:szCs w:val="28"/>
          <w:highlight w:val="yellow"/>
        </w:rPr>
        <w:t>The law</w:t>
      </w:r>
      <w:r w:rsidRPr="00E27F96">
        <w:rPr>
          <w:rFonts w:asciiTheme="minorHAnsi" w:hAnsiTheme="minorHAnsi"/>
          <w:sz w:val="28"/>
          <w:szCs w:val="28"/>
        </w:rPr>
        <w:t xml:space="preserve"> </w:t>
      </w:r>
    </w:p>
    <w:p w14:paraId="0AA0CBC8" w14:textId="2A32E5BB" w:rsidR="008B6AD0" w:rsidRDefault="008B6AD0" w:rsidP="008B6AD0">
      <w:pPr>
        <w:jc w:val="both"/>
        <w:rPr>
          <w:rFonts w:asciiTheme="minorHAnsi" w:hAnsiTheme="minorHAnsi"/>
          <w:sz w:val="28"/>
          <w:szCs w:val="28"/>
        </w:rPr>
      </w:pPr>
      <w:r w:rsidRPr="008B6AD0">
        <w:rPr>
          <w:rFonts w:asciiTheme="minorHAnsi" w:hAnsiTheme="minorHAnsi"/>
          <w:sz w:val="28"/>
          <w:szCs w:val="28"/>
        </w:rPr>
        <w:t>The principles governing a constructive trust in the domestic context are well established and not in dispute. The starting point is that the legal owner is presumed to be the beneficial owner, unless the non</w:t>
      </w:r>
      <w:r w:rsidRPr="008B6AD0">
        <w:rPr>
          <w:rFonts w:asciiTheme="minorHAnsi" w:hAnsiTheme="minorHAnsi"/>
          <w:sz w:val="28"/>
          <w:szCs w:val="28"/>
        </w:rPr>
        <w:noBreakHyphen/>
        <w:t xml:space="preserve">owner can demonstrate a common intention that they should have a share, together </w:t>
      </w:r>
      <w:r w:rsidRPr="008B6AD0">
        <w:rPr>
          <w:rFonts w:asciiTheme="minorHAnsi" w:hAnsiTheme="minorHAnsi"/>
          <w:sz w:val="28"/>
          <w:szCs w:val="28"/>
        </w:rPr>
        <w:lastRenderedPageBreak/>
        <w:t xml:space="preserve">with detrimental reliance on that intention. The leading </w:t>
      </w:r>
      <w:r w:rsidR="003A47EE">
        <w:rPr>
          <w:rFonts w:asciiTheme="minorHAnsi" w:hAnsiTheme="minorHAnsi"/>
          <w:sz w:val="28"/>
          <w:szCs w:val="28"/>
        </w:rPr>
        <w:t xml:space="preserve">cases of </w:t>
      </w:r>
      <w:r w:rsidRPr="008B6AD0">
        <w:rPr>
          <w:rFonts w:asciiTheme="minorHAnsi" w:hAnsiTheme="minorHAnsi"/>
          <w:i/>
          <w:iCs/>
          <w:sz w:val="28"/>
          <w:szCs w:val="28"/>
        </w:rPr>
        <w:t>Lloyds Bank v Rosset</w:t>
      </w:r>
      <w:r w:rsidRPr="008B6AD0">
        <w:rPr>
          <w:rFonts w:asciiTheme="minorHAnsi" w:hAnsiTheme="minorHAnsi"/>
          <w:sz w:val="28"/>
          <w:szCs w:val="28"/>
        </w:rPr>
        <w:t xml:space="preserve">, </w:t>
      </w:r>
      <w:r w:rsidRPr="008B6AD0">
        <w:rPr>
          <w:rFonts w:asciiTheme="minorHAnsi" w:hAnsiTheme="minorHAnsi"/>
          <w:i/>
          <w:iCs/>
          <w:sz w:val="28"/>
          <w:szCs w:val="28"/>
        </w:rPr>
        <w:t>Stack v Dowden</w:t>
      </w:r>
      <w:r w:rsidRPr="008B6AD0">
        <w:rPr>
          <w:rFonts w:asciiTheme="minorHAnsi" w:hAnsiTheme="minorHAnsi"/>
          <w:sz w:val="28"/>
          <w:szCs w:val="28"/>
        </w:rPr>
        <w:t xml:space="preserve">, and </w:t>
      </w:r>
      <w:r w:rsidRPr="008B6AD0">
        <w:rPr>
          <w:rFonts w:asciiTheme="minorHAnsi" w:hAnsiTheme="minorHAnsi"/>
          <w:i/>
          <w:iCs/>
          <w:sz w:val="28"/>
          <w:szCs w:val="28"/>
        </w:rPr>
        <w:t>Jones v Kernott</w:t>
      </w:r>
      <w:r w:rsidRPr="008B6AD0">
        <w:rPr>
          <w:rFonts w:asciiTheme="minorHAnsi" w:hAnsiTheme="minorHAnsi"/>
          <w:sz w:val="28"/>
          <w:szCs w:val="28"/>
        </w:rPr>
        <w:t>.</w:t>
      </w:r>
    </w:p>
    <w:p w14:paraId="46082181" w14:textId="77777777" w:rsidR="003A47EE" w:rsidRPr="008B6AD0" w:rsidRDefault="003A47EE" w:rsidP="008B6AD0">
      <w:pPr>
        <w:jc w:val="both"/>
        <w:rPr>
          <w:rFonts w:asciiTheme="minorHAnsi" w:hAnsiTheme="minorHAnsi"/>
          <w:sz w:val="28"/>
          <w:szCs w:val="28"/>
        </w:rPr>
      </w:pPr>
    </w:p>
    <w:p w14:paraId="55B67AB7" w14:textId="77777777" w:rsidR="008B6AD0" w:rsidRDefault="008B6AD0" w:rsidP="008B6AD0">
      <w:pPr>
        <w:jc w:val="both"/>
        <w:rPr>
          <w:rFonts w:asciiTheme="minorHAnsi" w:hAnsiTheme="minorHAnsi"/>
          <w:sz w:val="28"/>
          <w:szCs w:val="28"/>
        </w:rPr>
      </w:pPr>
      <w:r w:rsidRPr="008B6AD0">
        <w:rPr>
          <w:rFonts w:asciiTheme="minorHAnsi" w:hAnsiTheme="minorHAnsi"/>
          <w:sz w:val="28"/>
          <w:szCs w:val="28"/>
        </w:rPr>
        <w:t xml:space="preserve">The courts recognise two routes to establishing the necessary intention: an express agreement, however informal, or an intention inferred from conduct. The threshold for inference is high. As emphasised in </w:t>
      </w:r>
      <w:r w:rsidRPr="008B6AD0">
        <w:rPr>
          <w:rFonts w:asciiTheme="minorHAnsi" w:hAnsiTheme="minorHAnsi"/>
          <w:i/>
          <w:iCs/>
          <w:sz w:val="28"/>
          <w:szCs w:val="28"/>
        </w:rPr>
        <w:t>Geary v Rankine</w:t>
      </w:r>
      <w:r w:rsidRPr="008B6AD0">
        <w:rPr>
          <w:rFonts w:asciiTheme="minorHAnsi" w:hAnsiTheme="minorHAnsi"/>
          <w:sz w:val="28"/>
          <w:szCs w:val="28"/>
        </w:rPr>
        <w:t xml:space="preserve">, domestic arrangements such as shared living expenses, joint accounts, or childcare responsibilities do not, without more, demonstrate an intention to share ownership. The focus is on what the parties </w:t>
      </w:r>
      <w:proofErr w:type="gramStart"/>
      <w:r w:rsidRPr="008B6AD0">
        <w:rPr>
          <w:rFonts w:asciiTheme="minorHAnsi" w:hAnsiTheme="minorHAnsi"/>
          <w:sz w:val="28"/>
          <w:szCs w:val="28"/>
        </w:rPr>
        <w:t>actually intended</w:t>
      </w:r>
      <w:proofErr w:type="gramEnd"/>
      <w:r w:rsidRPr="008B6AD0">
        <w:rPr>
          <w:rFonts w:asciiTheme="minorHAnsi" w:hAnsiTheme="minorHAnsi"/>
          <w:sz w:val="28"/>
          <w:szCs w:val="28"/>
        </w:rPr>
        <w:t>, not what might appear fair with hindsight.</w:t>
      </w:r>
    </w:p>
    <w:p w14:paraId="3B461BED" w14:textId="77777777" w:rsidR="003A47EE" w:rsidRPr="008B6AD0" w:rsidRDefault="003A47EE" w:rsidP="008B6AD0">
      <w:pPr>
        <w:jc w:val="both"/>
        <w:rPr>
          <w:rFonts w:asciiTheme="minorHAnsi" w:hAnsiTheme="minorHAnsi"/>
          <w:sz w:val="28"/>
          <w:szCs w:val="28"/>
        </w:rPr>
      </w:pPr>
    </w:p>
    <w:p w14:paraId="548EAE1F" w14:textId="77777777" w:rsidR="008B6AD0" w:rsidRDefault="008B6AD0" w:rsidP="008B6AD0">
      <w:pPr>
        <w:jc w:val="both"/>
        <w:rPr>
          <w:rFonts w:asciiTheme="minorHAnsi" w:hAnsiTheme="minorHAnsi"/>
          <w:sz w:val="28"/>
          <w:szCs w:val="28"/>
        </w:rPr>
      </w:pPr>
      <w:r w:rsidRPr="008B6AD0">
        <w:rPr>
          <w:rFonts w:asciiTheme="minorHAnsi" w:hAnsiTheme="minorHAnsi"/>
          <w:sz w:val="28"/>
          <w:szCs w:val="28"/>
        </w:rPr>
        <w:t>Where the evidence shows that the parties received legal advice about formalising shared ownership and chose not to act on it, the courts treat this as strong evidence against any common intention.</w:t>
      </w:r>
    </w:p>
    <w:p w14:paraId="1BEC54F4" w14:textId="77777777" w:rsidR="003A47EE" w:rsidRPr="008B6AD0" w:rsidRDefault="003A47EE" w:rsidP="008B6AD0">
      <w:pPr>
        <w:jc w:val="both"/>
        <w:rPr>
          <w:rFonts w:asciiTheme="minorHAnsi" w:hAnsiTheme="minorHAnsi"/>
          <w:sz w:val="28"/>
          <w:szCs w:val="28"/>
        </w:rPr>
      </w:pPr>
    </w:p>
    <w:p w14:paraId="00BACDD5" w14:textId="697E32D4" w:rsidR="008B6AD0" w:rsidRDefault="003A47EE" w:rsidP="008B6AD0">
      <w:pPr>
        <w:jc w:val="both"/>
        <w:rPr>
          <w:rFonts w:asciiTheme="minorHAnsi" w:hAnsiTheme="minorHAnsi"/>
          <w:sz w:val="28"/>
          <w:szCs w:val="28"/>
        </w:rPr>
      </w:pPr>
      <w:r>
        <w:rPr>
          <w:rFonts w:asciiTheme="minorHAnsi" w:hAnsiTheme="minorHAnsi"/>
          <w:sz w:val="28"/>
          <w:szCs w:val="28"/>
        </w:rPr>
        <w:t>Cases</w:t>
      </w:r>
      <w:r w:rsidR="008B6AD0" w:rsidRPr="008B6AD0">
        <w:rPr>
          <w:rFonts w:asciiTheme="minorHAnsi" w:hAnsiTheme="minorHAnsi"/>
          <w:sz w:val="28"/>
          <w:szCs w:val="28"/>
        </w:rPr>
        <w:t xml:space="preserve"> such as </w:t>
      </w:r>
      <w:r w:rsidR="008B6AD0" w:rsidRPr="008B6AD0">
        <w:rPr>
          <w:rFonts w:asciiTheme="minorHAnsi" w:hAnsiTheme="minorHAnsi"/>
          <w:i/>
          <w:iCs/>
          <w:sz w:val="28"/>
          <w:szCs w:val="28"/>
        </w:rPr>
        <w:t>Grant v Edwards</w:t>
      </w:r>
      <w:r w:rsidR="008B6AD0" w:rsidRPr="008B6AD0">
        <w:rPr>
          <w:rFonts w:asciiTheme="minorHAnsi" w:hAnsiTheme="minorHAnsi"/>
          <w:sz w:val="28"/>
          <w:szCs w:val="28"/>
        </w:rPr>
        <w:t xml:space="preserve"> and </w:t>
      </w:r>
      <w:r w:rsidR="008B6AD0" w:rsidRPr="008B6AD0">
        <w:rPr>
          <w:rFonts w:asciiTheme="minorHAnsi" w:hAnsiTheme="minorHAnsi"/>
          <w:i/>
          <w:iCs/>
          <w:sz w:val="28"/>
          <w:szCs w:val="28"/>
        </w:rPr>
        <w:t>Eves v Eves</w:t>
      </w:r>
      <w:r w:rsidR="008B6AD0" w:rsidRPr="008B6AD0">
        <w:rPr>
          <w:rFonts w:asciiTheme="minorHAnsi" w:hAnsiTheme="minorHAnsi"/>
          <w:sz w:val="28"/>
          <w:szCs w:val="28"/>
        </w:rPr>
        <w:t xml:space="preserve"> show that constructive trusts can arise in cohabitation cases, but only where there is clear evidence of an intention to share and conduct that can properly be described as detrimental reliance.</w:t>
      </w:r>
    </w:p>
    <w:p w14:paraId="6316253A" w14:textId="77777777" w:rsidR="003A47EE" w:rsidRPr="008B6AD0" w:rsidRDefault="003A47EE" w:rsidP="008B6AD0">
      <w:pPr>
        <w:jc w:val="both"/>
        <w:rPr>
          <w:rFonts w:asciiTheme="minorHAnsi" w:hAnsiTheme="minorHAnsi"/>
          <w:sz w:val="28"/>
          <w:szCs w:val="28"/>
        </w:rPr>
      </w:pPr>
    </w:p>
    <w:p w14:paraId="19770D71" w14:textId="77777777" w:rsidR="008B6AD0" w:rsidRPr="008B6AD0" w:rsidRDefault="008B6AD0" w:rsidP="008B6AD0">
      <w:pPr>
        <w:jc w:val="both"/>
        <w:rPr>
          <w:rFonts w:asciiTheme="minorHAnsi" w:hAnsiTheme="minorHAnsi"/>
          <w:sz w:val="28"/>
          <w:szCs w:val="28"/>
        </w:rPr>
      </w:pPr>
      <w:r w:rsidRPr="008B6AD0">
        <w:rPr>
          <w:rFonts w:asciiTheme="minorHAnsi" w:hAnsiTheme="minorHAnsi"/>
          <w:sz w:val="28"/>
          <w:szCs w:val="28"/>
        </w:rPr>
        <w:t>The dispute here concerns application, not the legal test.</w:t>
      </w:r>
    </w:p>
    <w:p w14:paraId="72B6BB3D" w14:textId="77777777" w:rsidR="00C81C68" w:rsidRPr="00C81C68" w:rsidRDefault="00C81C68" w:rsidP="00C81C68">
      <w:pPr>
        <w:spacing w:line="360" w:lineRule="auto"/>
        <w:rPr>
          <w:rFonts w:asciiTheme="minorHAnsi" w:hAnsiTheme="minorHAnsi"/>
          <w:sz w:val="28"/>
          <w:szCs w:val="28"/>
        </w:rPr>
      </w:pPr>
    </w:p>
    <w:p w14:paraId="38F774B0" w14:textId="77777777" w:rsidR="00C81C68" w:rsidRPr="008B6AD0" w:rsidRDefault="00C81C68" w:rsidP="008B6AD0">
      <w:pPr>
        <w:pStyle w:val="Heading1"/>
      </w:pPr>
      <w:r w:rsidRPr="008B6AD0">
        <w:lastRenderedPageBreak/>
        <w:t xml:space="preserve">Submissions </w:t>
      </w:r>
    </w:p>
    <w:p w14:paraId="35D070C3" w14:textId="0E4105B0"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My Lady, the Defendant’s case can be put shortly. When the legal principles governing constructive trusts are applied to the facts, it becomes clear that the Claimant cannot establish either a common intention to share ownership or any detriment capable of supporting such an intention.</w:t>
      </w:r>
    </w:p>
    <w:p w14:paraId="1882C814" w14:textId="334B97C2"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First</w:t>
      </w:r>
      <w:r w:rsidR="00983160">
        <w:rPr>
          <w:rFonts w:asciiTheme="minorHAnsi" w:hAnsiTheme="minorHAnsi"/>
          <w:color w:val="auto"/>
          <w:sz w:val="28"/>
          <w:szCs w:val="28"/>
        </w:rPr>
        <w:t>ly</w:t>
      </w:r>
      <w:r w:rsidRPr="000E64DB">
        <w:rPr>
          <w:rFonts w:asciiTheme="minorHAnsi" w:hAnsiTheme="minorHAnsi"/>
          <w:color w:val="auto"/>
          <w:sz w:val="28"/>
          <w:szCs w:val="28"/>
        </w:rPr>
        <w:t>, the strongest and most decisive point is the solicitor’s advice letter. Both parties were expressly told that the Property belonged solely to the Defendant and that any intention to share ownership required a declaration of trust. They did not execute one. That omission was not accidental; it followed clear legal advice and a discussion between them. The Claimant’s failure to pursue the matter again, despite knowing the legal position, is wholly inconsistent with her present assertion that there was a shared understanding of joint ownership. This single piece of evidence is fundamentally incompatible with any alleged common intention.</w:t>
      </w:r>
    </w:p>
    <w:p w14:paraId="6C425592" w14:textId="6C702B4A"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Second</w:t>
      </w:r>
      <w:r w:rsidR="00983160">
        <w:rPr>
          <w:rFonts w:asciiTheme="minorHAnsi" w:hAnsiTheme="minorHAnsi"/>
          <w:color w:val="auto"/>
          <w:sz w:val="28"/>
          <w:szCs w:val="28"/>
        </w:rPr>
        <w:t>ly</w:t>
      </w:r>
      <w:r w:rsidRPr="000E64DB">
        <w:rPr>
          <w:rFonts w:asciiTheme="minorHAnsi" w:hAnsiTheme="minorHAnsi"/>
          <w:color w:val="auto"/>
          <w:sz w:val="28"/>
          <w:szCs w:val="28"/>
        </w:rPr>
        <w:t>, the Claimant cannot point to any express agreement or discussion about sharing the Property. The alleged “50/50” remark, even if made, was not tied to the Property and cannot reasonably be interpreted as a promise of a half share in a home purchased years before the relationship began. The context of the remark, as explained by the Defendant, was fairness within the relationship, not property rights. The law requires clarity of intention, not broad sentiments.</w:t>
      </w:r>
    </w:p>
    <w:p w14:paraId="47D9A59E" w14:textId="0E47C489"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Third</w:t>
      </w:r>
      <w:r w:rsidR="00983160">
        <w:rPr>
          <w:rFonts w:asciiTheme="minorHAnsi" w:hAnsiTheme="minorHAnsi"/>
          <w:color w:val="auto"/>
          <w:sz w:val="28"/>
          <w:szCs w:val="28"/>
        </w:rPr>
        <w:t>ly</w:t>
      </w:r>
      <w:r w:rsidRPr="000E64DB">
        <w:rPr>
          <w:rFonts w:asciiTheme="minorHAnsi" w:hAnsiTheme="minorHAnsi"/>
          <w:color w:val="auto"/>
          <w:sz w:val="28"/>
          <w:szCs w:val="28"/>
        </w:rPr>
        <w:t>, the Claimant’s reliance on domestic arrangements—joint accounts, shared bills, childcare responsibilities—does not assist her. These are ordinary features of cohabitation and do not, without more, demonstrate an intention to share ownership. The courts have repeatedly emphasised that shared domestic life cannot be used to infer a proprietary agreement.</w:t>
      </w:r>
    </w:p>
    <w:p w14:paraId="03B387AD" w14:textId="55B21622"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Fourth</w:t>
      </w:r>
      <w:r w:rsidR="00983160">
        <w:rPr>
          <w:rFonts w:asciiTheme="minorHAnsi" w:hAnsiTheme="minorHAnsi"/>
          <w:color w:val="auto"/>
          <w:sz w:val="28"/>
          <w:szCs w:val="28"/>
        </w:rPr>
        <w:t>ly</w:t>
      </w:r>
      <w:r w:rsidRPr="000E64DB">
        <w:rPr>
          <w:rFonts w:asciiTheme="minorHAnsi" w:hAnsiTheme="minorHAnsi"/>
          <w:color w:val="auto"/>
          <w:sz w:val="28"/>
          <w:szCs w:val="28"/>
        </w:rPr>
        <w:t>, the Claimant’s alleged detriment does not support her case. She lived in the Property rent</w:t>
      </w:r>
      <w:r w:rsidRPr="000E64DB">
        <w:rPr>
          <w:rFonts w:asciiTheme="minorHAnsi" w:hAnsiTheme="minorHAnsi"/>
          <w:color w:val="auto"/>
          <w:sz w:val="28"/>
          <w:szCs w:val="28"/>
        </w:rPr>
        <w:noBreakHyphen/>
        <w:t>free for fifteen years. The Defendant supported her financially during her nursing degree, covering household expenses and contributing to tuition fees. The later £60,000 contribution towards repairs and improvements was voluntary and arose from the practical need to make the home habitable after storm damage. It was not made in reliance on any belief that she owned part of the Property. There is no evidence that she linked her expenditure to any promise of ownership at the time.</w:t>
      </w:r>
    </w:p>
    <w:p w14:paraId="1968B332" w14:textId="77777777"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lastRenderedPageBreak/>
        <w:t>Finally, turning to the Claimant’s case, it rests on vague statements, ordinary domestic arrangements, and a retrospective attempt to recast the relationship as a joint venture. None of these matters meet the legal threshold for a constructive trust.</w:t>
      </w:r>
    </w:p>
    <w:p w14:paraId="60AF333E" w14:textId="77777777"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For these reasons, the Claimant’s constructive trust claim must fail.</w:t>
      </w:r>
    </w:p>
    <w:p w14:paraId="312FB5D7" w14:textId="32CD8B0C" w:rsidR="00C81C68" w:rsidRPr="00C81C68" w:rsidRDefault="00C81C68" w:rsidP="00C81C68">
      <w:pPr>
        <w:pStyle w:val="Heading1"/>
        <w:rPr>
          <w:rFonts w:asciiTheme="minorHAnsi" w:hAnsiTheme="minorHAnsi"/>
          <w:sz w:val="28"/>
          <w:szCs w:val="28"/>
        </w:rPr>
      </w:pPr>
      <w:r w:rsidRPr="003A47EE">
        <w:rPr>
          <w:rFonts w:asciiTheme="minorHAnsi" w:hAnsiTheme="minorHAnsi"/>
          <w:sz w:val="28"/>
          <w:szCs w:val="28"/>
          <w:highlight w:val="yellow"/>
        </w:rPr>
        <w:t>Conclusions</w:t>
      </w:r>
      <w:r w:rsidRPr="00C81C68">
        <w:rPr>
          <w:rFonts w:asciiTheme="minorHAnsi" w:hAnsiTheme="minorHAnsi"/>
          <w:sz w:val="28"/>
          <w:szCs w:val="28"/>
        </w:rPr>
        <w:t xml:space="preserve"> </w:t>
      </w:r>
    </w:p>
    <w:p w14:paraId="0D0FA0E2" w14:textId="330647F8" w:rsidR="00C81C68" w:rsidRPr="00A7388D" w:rsidRDefault="00A7388D" w:rsidP="00A7388D">
      <w:pPr>
        <w:pStyle w:val="Heading2"/>
        <w:rPr>
          <w:rFonts w:asciiTheme="minorHAnsi" w:hAnsiTheme="minorHAnsi"/>
          <w:color w:val="auto"/>
          <w:sz w:val="28"/>
          <w:szCs w:val="28"/>
        </w:rPr>
      </w:pPr>
      <w:r w:rsidRPr="00A7388D">
        <w:rPr>
          <w:rFonts w:asciiTheme="minorHAnsi" w:hAnsiTheme="minorHAnsi"/>
          <w:color w:val="auto"/>
          <w:sz w:val="28"/>
          <w:szCs w:val="28"/>
        </w:rPr>
        <w:t xml:space="preserve">The evidence shows no common intention, no reliance, and no detriment supporting a constructive trust. The Defendant’s sole ownership remains intact, and the constructive trust claim fails. </w:t>
      </w:r>
    </w:p>
    <w:p w14:paraId="2B9BB3FA" w14:textId="77777777" w:rsidR="00C81C68" w:rsidRPr="00770748" w:rsidRDefault="00C81C68" w:rsidP="00C81C68">
      <w:pPr>
        <w:pStyle w:val="Heading1"/>
        <w:ind w:left="680" w:hanging="680"/>
        <w:rPr>
          <w:rStyle w:val="SubtleEmphasis"/>
          <w:rFonts w:asciiTheme="minorHAnsi" w:hAnsiTheme="minorHAnsi"/>
          <w:bCs/>
          <w:iCs w:val="0"/>
          <w:sz w:val="28"/>
          <w:szCs w:val="28"/>
        </w:rPr>
      </w:pPr>
      <w:r w:rsidRPr="003A47EE">
        <w:rPr>
          <w:rStyle w:val="SubtleEmphasis"/>
          <w:rFonts w:asciiTheme="minorHAnsi" w:hAnsiTheme="minorHAnsi"/>
          <w:bCs/>
          <w:sz w:val="28"/>
          <w:szCs w:val="28"/>
          <w:highlight w:val="yellow"/>
        </w:rPr>
        <w:t>Claim arising under a proprietary estoppel</w:t>
      </w:r>
      <w:r w:rsidRPr="00770748">
        <w:rPr>
          <w:rStyle w:val="SubtleEmphasis"/>
          <w:rFonts w:asciiTheme="minorHAnsi" w:hAnsiTheme="minorHAnsi"/>
          <w:bCs/>
          <w:sz w:val="28"/>
          <w:szCs w:val="28"/>
        </w:rPr>
        <w:t xml:space="preserve"> </w:t>
      </w:r>
    </w:p>
    <w:p w14:paraId="4FD92C8D" w14:textId="598EFEB4" w:rsidR="00770748" w:rsidRDefault="00C81C68" w:rsidP="00C81C68">
      <w:pPr>
        <w:pStyle w:val="Heading1"/>
        <w:rPr>
          <w:rFonts w:asciiTheme="minorHAnsi" w:hAnsiTheme="minorHAnsi"/>
          <w:sz w:val="28"/>
          <w:szCs w:val="28"/>
        </w:rPr>
      </w:pPr>
      <w:r w:rsidRPr="003A47EE">
        <w:rPr>
          <w:rFonts w:asciiTheme="minorHAnsi" w:hAnsiTheme="minorHAnsi"/>
          <w:sz w:val="28"/>
          <w:szCs w:val="28"/>
          <w:highlight w:val="yellow"/>
        </w:rPr>
        <w:t>The law</w:t>
      </w:r>
      <w:r w:rsidRPr="00C81C68">
        <w:rPr>
          <w:rFonts w:asciiTheme="minorHAnsi" w:hAnsiTheme="minorHAnsi"/>
          <w:sz w:val="28"/>
          <w:szCs w:val="28"/>
        </w:rPr>
        <w:t xml:space="preserve"> </w:t>
      </w:r>
    </w:p>
    <w:p w14:paraId="6F370BDD" w14:textId="2EEB93F3" w:rsidR="00770748" w:rsidRDefault="00770748" w:rsidP="00770748">
      <w:pPr>
        <w:jc w:val="both"/>
        <w:rPr>
          <w:rFonts w:asciiTheme="minorHAnsi" w:hAnsiTheme="minorHAnsi"/>
          <w:sz w:val="28"/>
          <w:szCs w:val="28"/>
        </w:rPr>
      </w:pPr>
      <w:r w:rsidRPr="00770748">
        <w:rPr>
          <w:rFonts w:asciiTheme="minorHAnsi" w:hAnsiTheme="minorHAnsi"/>
          <w:sz w:val="28"/>
          <w:szCs w:val="28"/>
        </w:rPr>
        <w:t>The principles governing proprietary estoppel are well established and not in dispute. A claimant must demonstrate three essential elements: assurance, reliance, and detriment, followed by an overall assessment of unconscionability. These elements operate together, and the court considers them as part of a broad equitable judgment rather than as rigid hurdles.</w:t>
      </w:r>
    </w:p>
    <w:p w14:paraId="3802F84F" w14:textId="77777777" w:rsidR="003A47EE" w:rsidRPr="00770748" w:rsidRDefault="003A47EE" w:rsidP="00770748">
      <w:pPr>
        <w:jc w:val="both"/>
        <w:rPr>
          <w:rFonts w:asciiTheme="minorHAnsi" w:hAnsiTheme="minorHAnsi"/>
          <w:sz w:val="28"/>
          <w:szCs w:val="28"/>
        </w:rPr>
      </w:pPr>
    </w:p>
    <w:p w14:paraId="2DCF1F4A" w14:textId="77777777" w:rsidR="00770748" w:rsidRPr="00770748" w:rsidRDefault="00770748" w:rsidP="00770748">
      <w:pPr>
        <w:jc w:val="both"/>
        <w:rPr>
          <w:rFonts w:asciiTheme="minorHAnsi" w:hAnsiTheme="minorHAnsi"/>
          <w:sz w:val="28"/>
          <w:szCs w:val="28"/>
        </w:rPr>
      </w:pPr>
      <w:r w:rsidRPr="00770748">
        <w:rPr>
          <w:rFonts w:asciiTheme="minorHAnsi" w:hAnsiTheme="minorHAnsi"/>
          <w:sz w:val="28"/>
          <w:szCs w:val="28"/>
        </w:rPr>
        <w:t>An assurance must be sufficiently clear that the claimant could reasonably understand it as indicating that they would obtain some right or benefit in relation to the property. The courts distinguish between genuine assurances and the kind of vague, affectionate statements that commonly arise in personal relationships. Only the former can support an estoppel.</w:t>
      </w:r>
    </w:p>
    <w:p w14:paraId="7DF0130D" w14:textId="77777777" w:rsidR="00770748" w:rsidRDefault="00770748" w:rsidP="00770748">
      <w:pPr>
        <w:jc w:val="both"/>
        <w:rPr>
          <w:rFonts w:asciiTheme="minorHAnsi" w:hAnsiTheme="minorHAnsi"/>
          <w:sz w:val="28"/>
          <w:szCs w:val="28"/>
        </w:rPr>
      </w:pPr>
      <w:r w:rsidRPr="00770748">
        <w:rPr>
          <w:rFonts w:asciiTheme="minorHAnsi" w:hAnsiTheme="minorHAnsi"/>
          <w:sz w:val="28"/>
          <w:szCs w:val="28"/>
        </w:rPr>
        <w:t>Reliance requires the claimant to show that they acted in a way they would not otherwise have done, and that their conduct was influenced by the assurance. The court looks for a causal link between what was said and what the claimant did.</w:t>
      </w:r>
    </w:p>
    <w:p w14:paraId="4FA65350" w14:textId="77777777" w:rsidR="003A47EE" w:rsidRPr="00770748" w:rsidRDefault="003A47EE" w:rsidP="00770748">
      <w:pPr>
        <w:jc w:val="both"/>
        <w:rPr>
          <w:rFonts w:asciiTheme="minorHAnsi" w:hAnsiTheme="minorHAnsi"/>
          <w:sz w:val="28"/>
          <w:szCs w:val="28"/>
        </w:rPr>
      </w:pPr>
    </w:p>
    <w:p w14:paraId="7E17CA43" w14:textId="77777777" w:rsidR="00770748" w:rsidRDefault="00770748" w:rsidP="00770748">
      <w:pPr>
        <w:jc w:val="both"/>
        <w:rPr>
          <w:rFonts w:asciiTheme="minorHAnsi" w:hAnsiTheme="minorHAnsi"/>
          <w:sz w:val="28"/>
          <w:szCs w:val="28"/>
        </w:rPr>
      </w:pPr>
      <w:r w:rsidRPr="00770748">
        <w:rPr>
          <w:rFonts w:asciiTheme="minorHAnsi" w:hAnsiTheme="minorHAnsi"/>
          <w:sz w:val="28"/>
          <w:szCs w:val="28"/>
        </w:rPr>
        <w:t>Detriment must be substantial and assessed in context. It is not enough that the claimant incurred expenses or made contributions typical of cohabitation; the detriment must be connected to the belief that they held or would acquire rights in the property.</w:t>
      </w:r>
    </w:p>
    <w:p w14:paraId="67FF143F" w14:textId="77777777" w:rsidR="003A47EE" w:rsidRPr="00770748" w:rsidRDefault="003A47EE" w:rsidP="00770748">
      <w:pPr>
        <w:jc w:val="both"/>
        <w:rPr>
          <w:rFonts w:asciiTheme="minorHAnsi" w:hAnsiTheme="minorHAnsi"/>
          <w:sz w:val="28"/>
          <w:szCs w:val="28"/>
        </w:rPr>
      </w:pPr>
    </w:p>
    <w:p w14:paraId="48EDEFFA" w14:textId="77777777" w:rsidR="003A47EE" w:rsidRDefault="00770748" w:rsidP="003A47EE">
      <w:pPr>
        <w:jc w:val="both"/>
        <w:rPr>
          <w:rFonts w:asciiTheme="minorHAnsi" w:hAnsiTheme="minorHAnsi"/>
          <w:sz w:val="28"/>
          <w:szCs w:val="28"/>
        </w:rPr>
      </w:pPr>
      <w:r w:rsidRPr="00770748">
        <w:rPr>
          <w:rFonts w:asciiTheme="minorHAnsi" w:hAnsiTheme="minorHAnsi"/>
          <w:sz w:val="28"/>
          <w:szCs w:val="28"/>
        </w:rPr>
        <w:lastRenderedPageBreak/>
        <w:t>Finally, the court asks whether, in all the circumstances, it would be unconscionable for the legal owner to deny the claimant the promised benefit.</w:t>
      </w:r>
    </w:p>
    <w:p w14:paraId="2FE76F35" w14:textId="77777777" w:rsidR="003A47EE" w:rsidRDefault="003A47EE" w:rsidP="003A47EE">
      <w:pPr>
        <w:jc w:val="both"/>
        <w:rPr>
          <w:rFonts w:asciiTheme="minorHAnsi" w:hAnsiTheme="minorHAnsi"/>
          <w:sz w:val="28"/>
          <w:szCs w:val="28"/>
        </w:rPr>
      </w:pPr>
    </w:p>
    <w:p w14:paraId="0DD6BBD8" w14:textId="77777777" w:rsidR="003A47EE" w:rsidRDefault="00C81C68" w:rsidP="003A47EE">
      <w:pPr>
        <w:jc w:val="both"/>
        <w:rPr>
          <w:rFonts w:asciiTheme="minorHAnsi" w:hAnsiTheme="minorHAnsi"/>
          <w:sz w:val="28"/>
          <w:szCs w:val="28"/>
        </w:rPr>
      </w:pPr>
      <w:r w:rsidRPr="003A47EE">
        <w:rPr>
          <w:rFonts w:asciiTheme="minorHAnsi" w:hAnsiTheme="minorHAnsi"/>
          <w:sz w:val="28"/>
          <w:szCs w:val="28"/>
          <w:highlight w:val="yellow"/>
        </w:rPr>
        <w:t>Submissions</w:t>
      </w:r>
      <w:r w:rsidRPr="00C81C68">
        <w:rPr>
          <w:rFonts w:asciiTheme="minorHAnsi" w:hAnsiTheme="minorHAnsi"/>
          <w:sz w:val="28"/>
          <w:szCs w:val="28"/>
        </w:rPr>
        <w:t xml:space="preserve"> </w:t>
      </w:r>
    </w:p>
    <w:p w14:paraId="637CCE77" w14:textId="77777777" w:rsidR="003A47EE" w:rsidRDefault="000E64DB" w:rsidP="003A47EE">
      <w:pPr>
        <w:jc w:val="both"/>
        <w:rPr>
          <w:rFonts w:asciiTheme="minorHAnsi" w:eastAsiaTheme="majorEastAsia" w:hAnsiTheme="minorHAnsi" w:cstheme="majorBidi"/>
          <w:sz w:val="28"/>
          <w:szCs w:val="28"/>
        </w:rPr>
      </w:pPr>
      <w:r w:rsidRPr="000E64DB">
        <w:rPr>
          <w:rFonts w:asciiTheme="minorHAnsi" w:eastAsiaTheme="majorEastAsia" w:hAnsiTheme="minorHAnsi" w:cstheme="majorBidi"/>
          <w:sz w:val="28"/>
          <w:szCs w:val="28"/>
        </w:rPr>
        <w:t>My Lady, turning to the alternative claim in proprietary estoppel, the Defendant’s position is that the Claimant cannot satisfy any of the essential elements: there was no assurance, no reliance, and no detriment linked to any belief in ownership. When the evidence is examined carefully, the claim falls away at every stage.</w:t>
      </w:r>
    </w:p>
    <w:p w14:paraId="768AB1FA" w14:textId="77777777" w:rsidR="003A47EE" w:rsidRDefault="003A47EE" w:rsidP="003A47EE">
      <w:pPr>
        <w:jc w:val="both"/>
        <w:rPr>
          <w:rFonts w:asciiTheme="minorHAnsi" w:eastAsiaTheme="majorEastAsia" w:hAnsiTheme="minorHAnsi" w:cstheme="majorBidi"/>
          <w:sz w:val="28"/>
          <w:szCs w:val="28"/>
        </w:rPr>
      </w:pPr>
    </w:p>
    <w:p w14:paraId="239EF85D" w14:textId="77777777" w:rsidR="003A47EE" w:rsidRDefault="000E64DB" w:rsidP="003A47EE">
      <w:pPr>
        <w:jc w:val="both"/>
        <w:rPr>
          <w:rFonts w:asciiTheme="minorHAnsi" w:eastAsiaTheme="majorEastAsia" w:hAnsiTheme="minorHAnsi" w:cstheme="majorBidi"/>
          <w:sz w:val="28"/>
          <w:szCs w:val="28"/>
        </w:rPr>
      </w:pPr>
      <w:r w:rsidRPr="000E64DB">
        <w:rPr>
          <w:rFonts w:asciiTheme="minorHAnsi" w:eastAsiaTheme="majorEastAsia" w:hAnsiTheme="minorHAnsi" w:cstheme="majorBidi"/>
          <w:sz w:val="28"/>
          <w:szCs w:val="28"/>
        </w:rPr>
        <w:t>First</w:t>
      </w:r>
      <w:r w:rsidR="00624ECF">
        <w:rPr>
          <w:rFonts w:asciiTheme="minorHAnsi" w:hAnsiTheme="minorHAnsi"/>
          <w:sz w:val="28"/>
          <w:szCs w:val="28"/>
        </w:rPr>
        <w:t>ly</w:t>
      </w:r>
      <w:r w:rsidRPr="000E64DB">
        <w:rPr>
          <w:rFonts w:asciiTheme="minorHAnsi" w:eastAsiaTheme="majorEastAsia" w:hAnsiTheme="minorHAnsi" w:cstheme="majorBidi"/>
          <w:sz w:val="28"/>
          <w:szCs w:val="28"/>
        </w:rPr>
        <w:t>, there was no assurance capable of founding an estoppel. The Claimant relies on general expressions of equality and reassurance—phrases such as “we are equals” or “don’t worry”—but none of these statements were directed at the Property or at ownership. They were the sort of broad, supportive comments that arise naturally within a long</w:t>
      </w:r>
      <w:r w:rsidRPr="000E64DB">
        <w:rPr>
          <w:rFonts w:asciiTheme="minorHAnsi" w:eastAsiaTheme="majorEastAsia" w:hAnsiTheme="minorHAnsi" w:cstheme="majorBidi"/>
          <w:sz w:val="28"/>
          <w:szCs w:val="28"/>
        </w:rPr>
        <w:noBreakHyphen/>
        <w:t>term relationship. They do not amount to a promise of a proprietary interest, nor would a reasonable person interpret them as such. The Defendant’s evidence is clear: she never told the Claimant that she would own part of the Property, and there was never any discussion about altering the ownership position.</w:t>
      </w:r>
    </w:p>
    <w:p w14:paraId="44DECB03" w14:textId="77777777" w:rsidR="003A47EE" w:rsidRDefault="003A47EE" w:rsidP="003A47EE">
      <w:pPr>
        <w:jc w:val="both"/>
        <w:rPr>
          <w:rFonts w:asciiTheme="minorHAnsi" w:eastAsiaTheme="majorEastAsia" w:hAnsiTheme="minorHAnsi" w:cstheme="majorBidi"/>
          <w:sz w:val="28"/>
          <w:szCs w:val="28"/>
        </w:rPr>
      </w:pPr>
    </w:p>
    <w:p w14:paraId="12EF2566" w14:textId="77777777" w:rsidR="003A47EE" w:rsidRDefault="000E64DB" w:rsidP="003A47EE">
      <w:pPr>
        <w:jc w:val="both"/>
        <w:rPr>
          <w:rFonts w:asciiTheme="minorHAnsi" w:eastAsiaTheme="majorEastAsia" w:hAnsiTheme="minorHAnsi" w:cstheme="majorBidi"/>
          <w:sz w:val="28"/>
          <w:szCs w:val="28"/>
        </w:rPr>
      </w:pPr>
      <w:r w:rsidRPr="000E64DB">
        <w:rPr>
          <w:rFonts w:asciiTheme="minorHAnsi" w:eastAsiaTheme="majorEastAsia" w:hAnsiTheme="minorHAnsi" w:cstheme="majorBidi"/>
          <w:sz w:val="28"/>
          <w:szCs w:val="28"/>
        </w:rPr>
        <w:t>Second</w:t>
      </w:r>
      <w:r w:rsidR="00624ECF">
        <w:rPr>
          <w:rFonts w:asciiTheme="minorHAnsi" w:hAnsiTheme="minorHAnsi"/>
          <w:sz w:val="28"/>
          <w:szCs w:val="28"/>
        </w:rPr>
        <w:t>ly</w:t>
      </w:r>
      <w:r w:rsidRPr="000E64DB">
        <w:rPr>
          <w:rFonts w:asciiTheme="minorHAnsi" w:eastAsiaTheme="majorEastAsia" w:hAnsiTheme="minorHAnsi" w:cstheme="majorBidi"/>
          <w:sz w:val="28"/>
          <w:szCs w:val="28"/>
        </w:rPr>
        <w:t>, even if the Claimant believed she had some form of entitlement, there is no evidence that she acted in reliance on any assurance. The Claimant did not ask to be added to the title, did not revisit the solicitor’s advice, and did not behave as someone who thought she had a share. Her conduct over many years is entirely inconsistent with the belief she now asserts. The £60,000 contribution towards repairs was made because the house needed urgent work after storm damage, not because she thought she was acquiring an interest. She never linked her expenditure to any promise of ownership at the time.</w:t>
      </w:r>
    </w:p>
    <w:p w14:paraId="2677A1A9" w14:textId="77777777" w:rsidR="003A47EE" w:rsidRDefault="003A47EE" w:rsidP="003A47EE">
      <w:pPr>
        <w:jc w:val="both"/>
        <w:rPr>
          <w:rFonts w:asciiTheme="minorHAnsi" w:eastAsiaTheme="majorEastAsia" w:hAnsiTheme="minorHAnsi" w:cstheme="majorBidi"/>
          <w:sz w:val="28"/>
          <w:szCs w:val="28"/>
        </w:rPr>
      </w:pPr>
    </w:p>
    <w:p w14:paraId="5CB1ACF6" w14:textId="7B7A861B" w:rsidR="000E64DB" w:rsidRPr="000E64DB" w:rsidRDefault="000E64DB" w:rsidP="003A47EE">
      <w:pPr>
        <w:jc w:val="both"/>
        <w:rPr>
          <w:rFonts w:asciiTheme="minorHAnsi" w:eastAsiaTheme="majorEastAsia" w:hAnsiTheme="minorHAnsi" w:cstheme="majorBidi"/>
          <w:sz w:val="28"/>
          <w:szCs w:val="28"/>
        </w:rPr>
      </w:pPr>
      <w:r w:rsidRPr="000E64DB">
        <w:rPr>
          <w:rFonts w:asciiTheme="minorHAnsi" w:eastAsiaTheme="majorEastAsia" w:hAnsiTheme="minorHAnsi" w:cstheme="majorBidi"/>
          <w:sz w:val="28"/>
          <w:szCs w:val="28"/>
        </w:rPr>
        <w:t>Third</w:t>
      </w:r>
      <w:r w:rsidR="00624ECF">
        <w:rPr>
          <w:rFonts w:asciiTheme="minorHAnsi" w:hAnsiTheme="minorHAnsi"/>
          <w:sz w:val="28"/>
          <w:szCs w:val="28"/>
        </w:rPr>
        <w:t>ly</w:t>
      </w:r>
      <w:r w:rsidRPr="000E64DB">
        <w:rPr>
          <w:rFonts w:asciiTheme="minorHAnsi" w:eastAsiaTheme="majorEastAsia" w:hAnsiTheme="minorHAnsi" w:cstheme="majorBidi"/>
          <w:sz w:val="28"/>
          <w:szCs w:val="28"/>
        </w:rPr>
        <w:t>, the Claimant cannot show detriment of the kind required for estoppel. She lived in the Property rent</w:t>
      </w:r>
      <w:r w:rsidRPr="000E64DB">
        <w:rPr>
          <w:rFonts w:asciiTheme="minorHAnsi" w:eastAsiaTheme="majorEastAsia" w:hAnsiTheme="minorHAnsi" w:cstheme="majorBidi"/>
          <w:sz w:val="28"/>
          <w:szCs w:val="28"/>
        </w:rPr>
        <w:noBreakHyphen/>
        <w:t>free for fifteen years. The Defendant supported her financially during her nursing degree, covering household expenses and contributing to tuition fees. The later contribution to repairs must be viewed in that wider context. It was a voluntary act within a domestic relationship, not a sacrifice made in reliance on a promise of future ownership.</w:t>
      </w:r>
    </w:p>
    <w:p w14:paraId="27453A40" w14:textId="77777777"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lastRenderedPageBreak/>
        <w:t>Finally, there is no unconscionability. The Defendant bought the Property with inherited funds long before the relationship. She allowed the Claimant to live there without paying rent, supported her education, and never suggested that ownership would be shared. It cannot be unconscionable for her to retain the home she purchased outright.</w:t>
      </w:r>
    </w:p>
    <w:p w14:paraId="25D87DC5" w14:textId="77777777" w:rsidR="000E64DB" w:rsidRPr="000E64DB" w:rsidRDefault="000E64DB" w:rsidP="000E64DB">
      <w:pPr>
        <w:pStyle w:val="Heading1"/>
        <w:jc w:val="both"/>
        <w:rPr>
          <w:rFonts w:asciiTheme="minorHAnsi" w:hAnsiTheme="minorHAnsi"/>
          <w:color w:val="auto"/>
          <w:sz w:val="28"/>
          <w:szCs w:val="28"/>
        </w:rPr>
      </w:pPr>
      <w:r w:rsidRPr="000E64DB">
        <w:rPr>
          <w:rFonts w:asciiTheme="minorHAnsi" w:hAnsiTheme="minorHAnsi"/>
          <w:color w:val="auto"/>
          <w:sz w:val="28"/>
          <w:szCs w:val="28"/>
        </w:rPr>
        <w:t>For these reasons, the proprietary estoppel claim must also fail.</w:t>
      </w:r>
    </w:p>
    <w:p w14:paraId="0D4960CF" w14:textId="77777777" w:rsidR="001D180A" w:rsidRDefault="00C81C68" w:rsidP="00C81C68">
      <w:pPr>
        <w:pStyle w:val="Heading1"/>
        <w:rPr>
          <w:rFonts w:asciiTheme="minorHAnsi" w:hAnsiTheme="minorHAnsi"/>
          <w:sz w:val="28"/>
          <w:szCs w:val="28"/>
        </w:rPr>
      </w:pPr>
      <w:r w:rsidRPr="003A47EE">
        <w:rPr>
          <w:rFonts w:asciiTheme="minorHAnsi" w:hAnsiTheme="minorHAnsi"/>
          <w:sz w:val="28"/>
          <w:szCs w:val="28"/>
          <w:highlight w:val="yellow"/>
        </w:rPr>
        <w:t>Conclusions</w:t>
      </w:r>
      <w:r w:rsidRPr="00C81C68">
        <w:rPr>
          <w:rFonts w:asciiTheme="minorHAnsi" w:hAnsiTheme="minorHAnsi"/>
          <w:sz w:val="28"/>
          <w:szCs w:val="28"/>
        </w:rPr>
        <w:t xml:space="preserve"> </w:t>
      </w:r>
    </w:p>
    <w:p w14:paraId="5377188F" w14:textId="092937AB" w:rsidR="00A7388D" w:rsidRPr="001D180A" w:rsidRDefault="00A7388D" w:rsidP="00C81C68">
      <w:pPr>
        <w:pStyle w:val="Heading1"/>
        <w:rPr>
          <w:rFonts w:asciiTheme="minorHAnsi" w:hAnsiTheme="minorHAnsi"/>
          <w:sz w:val="28"/>
          <w:szCs w:val="28"/>
        </w:rPr>
      </w:pPr>
      <w:r w:rsidRPr="00A7388D">
        <w:rPr>
          <w:rFonts w:asciiTheme="minorHAnsi" w:hAnsiTheme="minorHAnsi"/>
          <w:color w:val="auto"/>
          <w:sz w:val="28"/>
          <w:szCs w:val="28"/>
        </w:rPr>
        <w:t>The Claimant has shown no assurance, reliance, detriment, or unfairness. The evidence supports the Defendant throughout, and the proprietary estoppel claim cannot succeed on any element</w:t>
      </w:r>
    </w:p>
    <w:p w14:paraId="2ECC351C" w14:textId="0A1B46C8" w:rsidR="00C81C68" w:rsidRDefault="00C81C68" w:rsidP="00C81C68">
      <w:pPr>
        <w:pStyle w:val="Heading1"/>
        <w:rPr>
          <w:rFonts w:asciiTheme="minorHAnsi" w:hAnsiTheme="minorHAnsi"/>
          <w:sz w:val="28"/>
          <w:szCs w:val="28"/>
        </w:rPr>
      </w:pPr>
      <w:r w:rsidRPr="003A47EE">
        <w:rPr>
          <w:rFonts w:asciiTheme="minorHAnsi" w:hAnsiTheme="minorHAnsi"/>
          <w:sz w:val="28"/>
          <w:szCs w:val="28"/>
          <w:highlight w:val="yellow"/>
        </w:rPr>
        <w:t>Overall conclusions</w:t>
      </w:r>
      <w:r w:rsidRPr="00C81C68">
        <w:rPr>
          <w:rFonts w:asciiTheme="minorHAnsi" w:hAnsiTheme="minorHAnsi"/>
          <w:sz w:val="28"/>
          <w:szCs w:val="28"/>
        </w:rPr>
        <w:t xml:space="preserve"> </w:t>
      </w:r>
    </w:p>
    <w:p w14:paraId="2E1B4063" w14:textId="77777777" w:rsidR="00A7388D" w:rsidRPr="00A7388D" w:rsidRDefault="00A7388D" w:rsidP="00A7388D">
      <w:pPr>
        <w:jc w:val="both"/>
        <w:rPr>
          <w:rFonts w:asciiTheme="minorHAnsi" w:hAnsiTheme="minorHAnsi"/>
          <w:sz w:val="28"/>
          <w:szCs w:val="28"/>
        </w:rPr>
      </w:pPr>
      <w:r w:rsidRPr="00A7388D">
        <w:rPr>
          <w:rFonts w:asciiTheme="minorHAnsi" w:hAnsiTheme="minorHAnsi"/>
          <w:sz w:val="28"/>
          <w:szCs w:val="28"/>
        </w:rPr>
        <w:t>The Defendant’s position is that neither claim has any foundation in the evidence or the law. On the constructive trust ground, there was no common intention to share ownership and no conduct capable of creating one. The solicitor’s advice letter, the absence of any agreement, and the Claimant’s long</w:t>
      </w:r>
      <w:r w:rsidRPr="00A7388D">
        <w:rPr>
          <w:rFonts w:asciiTheme="minorHAnsi" w:hAnsiTheme="minorHAnsi"/>
          <w:sz w:val="28"/>
          <w:szCs w:val="28"/>
        </w:rPr>
        <w:noBreakHyphen/>
        <w:t>term rent</w:t>
      </w:r>
      <w:r w:rsidRPr="00A7388D">
        <w:rPr>
          <w:rFonts w:asciiTheme="minorHAnsi" w:hAnsiTheme="minorHAnsi"/>
          <w:sz w:val="28"/>
          <w:szCs w:val="28"/>
        </w:rPr>
        <w:noBreakHyphen/>
        <w:t>free occupation all point firmly against a beneficial interest.</w:t>
      </w:r>
    </w:p>
    <w:p w14:paraId="6681D0C8" w14:textId="77777777" w:rsidR="00A7388D" w:rsidRDefault="00A7388D" w:rsidP="00A7388D">
      <w:pPr>
        <w:jc w:val="both"/>
        <w:rPr>
          <w:rFonts w:asciiTheme="minorHAnsi" w:hAnsiTheme="minorHAnsi"/>
          <w:sz w:val="28"/>
          <w:szCs w:val="28"/>
        </w:rPr>
      </w:pPr>
      <w:r w:rsidRPr="00A7388D">
        <w:rPr>
          <w:rFonts w:asciiTheme="minorHAnsi" w:hAnsiTheme="minorHAnsi"/>
          <w:sz w:val="28"/>
          <w:szCs w:val="28"/>
        </w:rPr>
        <w:t>On the proprietary estoppel ground, the Claimant cannot show a clear assurance, any reliance linked to ownership, or detriment beyond what is typical in a domestic relationship. Nothing in the circumstances makes it unfair or unconscionable for the Defendant to retain the Property she purchased outright.</w:t>
      </w:r>
    </w:p>
    <w:p w14:paraId="7696EE5C" w14:textId="77777777" w:rsidR="001D180A" w:rsidRPr="00A7388D" w:rsidRDefault="001D180A" w:rsidP="00A7388D">
      <w:pPr>
        <w:jc w:val="both"/>
        <w:rPr>
          <w:rFonts w:asciiTheme="minorHAnsi" w:hAnsiTheme="minorHAnsi"/>
          <w:sz w:val="28"/>
          <w:szCs w:val="28"/>
        </w:rPr>
      </w:pPr>
    </w:p>
    <w:p w14:paraId="1D33790D" w14:textId="77777777" w:rsidR="00A7388D" w:rsidRPr="00A7388D" w:rsidRDefault="00A7388D" w:rsidP="00A7388D">
      <w:pPr>
        <w:jc w:val="both"/>
        <w:rPr>
          <w:rFonts w:asciiTheme="minorHAnsi" w:hAnsiTheme="minorHAnsi"/>
          <w:sz w:val="28"/>
          <w:szCs w:val="28"/>
        </w:rPr>
      </w:pPr>
      <w:r w:rsidRPr="00A7388D">
        <w:rPr>
          <w:rFonts w:asciiTheme="minorHAnsi" w:hAnsiTheme="minorHAnsi"/>
          <w:sz w:val="28"/>
          <w:szCs w:val="28"/>
        </w:rPr>
        <w:t>The Defendant therefore invites the Court to dismiss both claims in their entirety.</w:t>
      </w:r>
    </w:p>
    <w:p w14:paraId="6B9C1161" w14:textId="77777777" w:rsidR="00A7388D" w:rsidRPr="00A7388D" w:rsidRDefault="00A7388D" w:rsidP="00A7388D"/>
    <w:p w14:paraId="2AAE8001" w14:textId="4601C141" w:rsidR="00C81C68" w:rsidRPr="00C81C68" w:rsidRDefault="009536FD" w:rsidP="00C81C68">
      <w:pPr>
        <w:spacing w:line="360" w:lineRule="auto"/>
        <w:jc w:val="right"/>
        <w:rPr>
          <w:rFonts w:asciiTheme="minorHAnsi" w:hAnsiTheme="minorHAnsi" w:cstheme="majorHAnsi"/>
          <w:b/>
          <w:bCs/>
          <w:sz w:val="28"/>
          <w:szCs w:val="28"/>
        </w:rPr>
      </w:pPr>
      <w:r>
        <w:rPr>
          <w:rFonts w:asciiTheme="minorHAnsi" w:hAnsiTheme="minorHAnsi" w:cstheme="majorHAnsi"/>
          <w:b/>
          <w:bCs/>
          <w:sz w:val="28"/>
          <w:szCs w:val="28"/>
        </w:rPr>
        <w:t>Sarah Hoffmann</w:t>
      </w:r>
    </w:p>
    <w:p w14:paraId="037161DD" w14:textId="5BB6262A" w:rsidR="00C81C68" w:rsidRPr="00C81C68" w:rsidRDefault="009536FD" w:rsidP="00C81C68">
      <w:pPr>
        <w:spacing w:line="360" w:lineRule="auto"/>
        <w:jc w:val="right"/>
        <w:rPr>
          <w:rFonts w:asciiTheme="minorHAnsi" w:hAnsiTheme="minorHAnsi" w:cstheme="majorHAnsi"/>
          <w:b/>
          <w:bCs/>
          <w:sz w:val="28"/>
          <w:szCs w:val="28"/>
        </w:rPr>
      </w:pPr>
      <w:r>
        <w:rPr>
          <w:rFonts w:asciiTheme="minorHAnsi" w:hAnsiTheme="minorHAnsi" w:cstheme="majorHAnsi"/>
          <w:b/>
          <w:bCs/>
          <w:sz w:val="28"/>
          <w:szCs w:val="28"/>
        </w:rPr>
        <w:t>Trainee Solicitor</w:t>
      </w:r>
    </w:p>
    <w:p w14:paraId="2FC407F2" w14:textId="2A0ED81C" w:rsidR="00C81C68" w:rsidRPr="00C81C68" w:rsidRDefault="009536FD" w:rsidP="00C81C68">
      <w:pPr>
        <w:spacing w:line="360" w:lineRule="auto"/>
        <w:jc w:val="right"/>
        <w:rPr>
          <w:rFonts w:asciiTheme="minorHAnsi" w:hAnsiTheme="minorHAnsi" w:cstheme="majorHAnsi"/>
          <w:b/>
          <w:bCs/>
          <w:sz w:val="28"/>
          <w:szCs w:val="28"/>
        </w:rPr>
      </w:pPr>
      <w:r>
        <w:rPr>
          <w:rFonts w:asciiTheme="minorHAnsi" w:hAnsiTheme="minorHAnsi" w:cstheme="majorHAnsi"/>
          <w:b/>
          <w:bCs/>
          <w:sz w:val="28"/>
          <w:szCs w:val="28"/>
        </w:rPr>
        <w:t>Trinity Law</w:t>
      </w:r>
    </w:p>
    <w:p w14:paraId="0E718C49" w14:textId="60B16E8D" w:rsidR="00C81C68" w:rsidRPr="00C81C68" w:rsidRDefault="00C81C68" w:rsidP="00C81C68">
      <w:pPr>
        <w:spacing w:line="360" w:lineRule="auto"/>
        <w:jc w:val="right"/>
        <w:rPr>
          <w:rFonts w:asciiTheme="minorHAnsi" w:hAnsiTheme="minorHAnsi" w:cstheme="majorHAnsi"/>
          <w:b/>
          <w:bCs/>
          <w:sz w:val="28"/>
          <w:szCs w:val="28"/>
        </w:rPr>
      </w:pPr>
      <w:r w:rsidRPr="00C81C68">
        <w:rPr>
          <w:rFonts w:asciiTheme="minorHAnsi" w:hAnsiTheme="minorHAnsi" w:cstheme="majorHAnsi"/>
          <w:b/>
          <w:bCs/>
          <w:sz w:val="28"/>
          <w:szCs w:val="28"/>
        </w:rPr>
        <w:t>Date</w:t>
      </w:r>
      <w:r w:rsidR="002D7BC7">
        <w:rPr>
          <w:rFonts w:asciiTheme="minorHAnsi" w:hAnsiTheme="minorHAnsi" w:cstheme="majorHAnsi"/>
          <w:b/>
          <w:bCs/>
          <w:sz w:val="28"/>
          <w:szCs w:val="28"/>
        </w:rPr>
        <w:t xml:space="preserve"> </w:t>
      </w:r>
      <w:r w:rsidR="009536FD">
        <w:rPr>
          <w:rFonts w:asciiTheme="minorHAnsi" w:hAnsiTheme="minorHAnsi" w:cstheme="majorHAnsi"/>
          <w:b/>
          <w:bCs/>
          <w:sz w:val="28"/>
          <w:szCs w:val="28"/>
        </w:rPr>
        <w:t>06.01.2026</w:t>
      </w:r>
    </w:p>
    <w:p w14:paraId="351F76EE" w14:textId="77777777" w:rsidR="00C81C68" w:rsidRPr="00C81C68" w:rsidRDefault="00C81C68" w:rsidP="00C81C68">
      <w:pPr>
        <w:spacing w:line="360" w:lineRule="auto"/>
        <w:rPr>
          <w:rFonts w:asciiTheme="minorHAnsi" w:hAnsiTheme="minorHAnsi"/>
          <w:sz w:val="28"/>
          <w:szCs w:val="28"/>
        </w:rPr>
      </w:pPr>
    </w:p>
    <w:p w14:paraId="13225AF6" w14:textId="77777777" w:rsidR="00C81C68" w:rsidRPr="00C81C68" w:rsidRDefault="00C81C68" w:rsidP="00C81C68">
      <w:pPr>
        <w:spacing w:line="360" w:lineRule="auto"/>
        <w:rPr>
          <w:rFonts w:asciiTheme="minorHAnsi" w:hAnsiTheme="minorHAnsi"/>
          <w:sz w:val="28"/>
          <w:szCs w:val="28"/>
        </w:rPr>
      </w:pPr>
    </w:p>
    <w:p w14:paraId="28084252" w14:textId="77777777" w:rsidR="00C81C68" w:rsidRPr="00C81C68" w:rsidRDefault="00C81C68" w:rsidP="00C81C68">
      <w:pPr>
        <w:spacing w:line="360" w:lineRule="auto"/>
        <w:rPr>
          <w:rFonts w:asciiTheme="minorHAnsi" w:hAnsiTheme="minorHAnsi" w:cs="Arial"/>
          <w:sz w:val="28"/>
          <w:szCs w:val="28"/>
        </w:rPr>
      </w:pPr>
      <w:r w:rsidRPr="00C81C68">
        <w:rPr>
          <w:rFonts w:asciiTheme="minorHAnsi" w:hAnsiTheme="minorHAnsi" w:cs="Arial"/>
          <w:sz w:val="28"/>
          <w:szCs w:val="28"/>
        </w:rPr>
        <w:br w:type="page"/>
      </w:r>
    </w:p>
    <w:p w14:paraId="5FE50B0B" w14:textId="298D243B" w:rsidR="00C81C68" w:rsidRPr="00C81C68" w:rsidRDefault="00C81C68" w:rsidP="00A24251">
      <w:pPr>
        <w:pStyle w:val="Heading1"/>
      </w:pPr>
      <w:r w:rsidRPr="00C81C68">
        <w:lastRenderedPageBreak/>
        <w:t xml:space="preserve">Case </w:t>
      </w:r>
      <w:r w:rsidR="00A24251">
        <w:t>N</w:t>
      </w:r>
      <w:r w:rsidRPr="00C81C68">
        <w:t>ote</w:t>
      </w:r>
    </w:p>
    <w:p w14:paraId="70E59B3B" w14:textId="77777777" w:rsidR="00C81C68" w:rsidRPr="00C81C68" w:rsidRDefault="00C81C68" w:rsidP="00C81C68">
      <w:pPr>
        <w:rPr>
          <w:rFonts w:asciiTheme="minorHAnsi" w:hAnsiTheme="minorHAnsi" w:cstheme="minorHAnsi"/>
          <w:b/>
          <w:bCs/>
          <w:sz w:val="28"/>
          <w:szCs w:val="28"/>
        </w:rPr>
      </w:pPr>
    </w:p>
    <w:p w14:paraId="06EB0C5D" w14:textId="77777777" w:rsidR="00A24251" w:rsidRPr="00A24251" w:rsidRDefault="00A24251" w:rsidP="00A24251">
      <w:pPr>
        <w:jc w:val="center"/>
        <w:rPr>
          <w:rFonts w:asciiTheme="minorHAnsi" w:hAnsiTheme="minorHAnsi"/>
          <w:b/>
          <w:bCs/>
          <w:sz w:val="28"/>
          <w:szCs w:val="28"/>
        </w:rPr>
      </w:pPr>
      <w:r w:rsidRPr="00A24251">
        <w:rPr>
          <w:rFonts w:asciiTheme="minorHAnsi" w:hAnsiTheme="minorHAnsi"/>
          <w:b/>
          <w:bCs/>
          <w:sz w:val="28"/>
          <w:szCs w:val="28"/>
        </w:rPr>
        <w:t>Case Note</w:t>
      </w:r>
    </w:p>
    <w:p w14:paraId="0246088E" w14:textId="77777777" w:rsidR="00A24251" w:rsidRPr="00A24251" w:rsidRDefault="00A24251" w:rsidP="00A24251">
      <w:pPr>
        <w:jc w:val="center"/>
        <w:rPr>
          <w:rFonts w:asciiTheme="minorHAnsi" w:hAnsiTheme="minorHAnsi"/>
          <w:b/>
          <w:bCs/>
          <w:sz w:val="28"/>
          <w:szCs w:val="28"/>
        </w:rPr>
      </w:pPr>
      <w:r w:rsidRPr="00A24251">
        <w:rPr>
          <w:rFonts w:asciiTheme="minorHAnsi" w:hAnsiTheme="minorHAnsi"/>
          <w:b/>
          <w:bCs/>
          <w:sz w:val="28"/>
          <w:szCs w:val="28"/>
        </w:rPr>
        <w:t>Case Name</w:t>
      </w:r>
    </w:p>
    <w:p w14:paraId="53C2EEF9" w14:textId="77777777" w:rsidR="00A24251" w:rsidRPr="00A24251" w:rsidRDefault="00A24251" w:rsidP="00A24251">
      <w:pPr>
        <w:jc w:val="center"/>
        <w:rPr>
          <w:rFonts w:asciiTheme="minorHAnsi" w:hAnsiTheme="minorHAnsi"/>
          <w:sz w:val="28"/>
          <w:szCs w:val="28"/>
        </w:rPr>
      </w:pPr>
      <w:r w:rsidRPr="00A24251">
        <w:rPr>
          <w:rFonts w:asciiTheme="minorHAnsi" w:hAnsiTheme="minorHAnsi"/>
          <w:i/>
          <w:iCs/>
          <w:sz w:val="28"/>
          <w:szCs w:val="28"/>
        </w:rPr>
        <w:t>Ali v Khan</w:t>
      </w:r>
    </w:p>
    <w:p w14:paraId="7856B9EC" w14:textId="77777777" w:rsidR="00A24251" w:rsidRPr="00A24251" w:rsidRDefault="00A24251" w:rsidP="00A24251">
      <w:pPr>
        <w:jc w:val="center"/>
        <w:rPr>
          <w:rFonts w:asciiTheme="minorHAnsi" w:hAnsiTheme="minorHAnsi"/>
          <w:b/>
          <w:bCs/>
          <w:sz w:val="28"/>
          <w:szCs w:val="28"/>
        </w:rPr>
      </w:pPr>
      <w:r w:rsidRPr="00A24251">
        <w:rPr>
          <w:rFonts w:asciiTheme="minorHAnsi" w:hAnsiTheme="minorHAnsi"/>
          <w:b/>
          <w:bCs/>
          <w:sz w:val="28"/>
          <w:szCs w:val="28"/>
        </w:rPr>
        <w:t>Citation</w:t>
      </w:r>
    </w:p>
    <w:p w14:paraId="3227800E" w14:textId="43DCF1C5" w:rsidR="00A24251" w:rsidRPr="00A24251" w:rsidRDefault="00F552F7" w:rsidP="00A24251">
      <w:pPr>
        <w:jc w:val="center"/>
        <w:rPr>
          <w:rFonts w:asciiTheme="minorHAnsi" w:hAnsiTheme="minorHAnsi"/>
          <w:sz w:val="28"/>
          <w:szCs w:val="28"/>
        </w:rPr>
      </w:pPr>
      <w:r w:rsidRPr="00F552F7">
        <w:rPr>
          <w:rFonts w:asciiTheme="minorHAnsi" w:hAnsiTheme="minorHAnsi"/>
          <w:sz w:val="28"/>
          <w:szCs w:val="28"/>
        </w:rPr>
        <w:t xml:space="preserve"> [2002] EWCA </w:t>
      </w:r>
      <w:proofErr w:type="spellStart"/>
      <w:r w:rsidRPr="00F552F7">
        <w:rPr>
          <w:rFonts w:asciiTheme="minorHAnsi" w:hAnsiTheme="minorHAnsi"/>
          <w:sz w:val="28"/>
          <w:szCs w:val="28"/>
        </w:rPr>
        <w:t>Civ</w:t>
      </w:r>
      <w:proofErr w:type="spellEnd"/>
      <w:r w:rsidRPr="00F552F7">
        <w:rPr>
          <w:rFonts w:asciiTheme="minorHAnsi" w:hAnsiTheme="minorHAnsi"/>
          <w:sz w:val="28"/>
          <w:szCs w:val="28"/>
        </w:rPr>
        <w:t xml:space="preserve"> 974</w:t>
      </w:r>
    </w:p>
    <w:p w14:paraId="30687387" w14:textId="77777777" w:rsidR="00A24251" w:rsidRPr="00A24251" w:rsidRDefault="00A24251" w:rsidP="00A24251">
      <w:pPr>
        <w:jc w:val="center"/>
        <w:rPr>
          <w:rFonts w:asciiTheme="minorHAnsi" w:hAnsiTheme="minorHAnsi"/>
          <w:b/>
          <w:bCs/>
          <w:sz w:val="28"/>
          <w:szCs w:val="28"/>
        </w:rPr>
      </w:pPr>
      <w:r w:rsidRPr="00A24251">
        <w:rPr>
          <w:rFonts w:asciiTheme="minorHAnsi" w:hAnsiTheme="minorHAnsi"/>
          <w:b/>
          <w:bCs/>
          <w:sz w:val="28"/>
          <w:szCs w:val="28"/>
        </w:rPr>
        <w:t>Court</w:t>
      </w:r>
    </w:p>
    <w:p w14:paraId="3224BEBC" w14:textId="77777777" w:rsidR="00A24251" w:rsidRPr="00A24251" w:rsidRDefault="00A24251" w:rsidP="00A24251">
      <w:pPr>
        <w:jc w:val="center"/>
        <w:rPr>
          <w:rFonts w:asciiTheme="minorHAnsi" w:hAnsiTheme="minorHAnsi"/>
          <w:sz w:val="28"/>
          <w:szCs w:val="28"/>
        </w:rPr>
      </w:pPr>
      <w:r w:rsidRPr="00A24251">
        <w:rPr>
          <w:rFonts w:asciiTheme="minorHAnsi" w:hAnsiTheme="minorHAnsi"/>
          <w:sz w:val="28"/>
          <w:szCs w:val="28"/>
        </w:rPr>
        <w:t>Court of Appeal (Civil Division)</w:t>
      </w:r>
    </w:p>
    <w:p w14:paraId="46B61115" w14:textId="77777777" w:rsidR="00A24251" w:rsidRPr="00A24251" w:rsidRDefault="00A24251" w:rsidP="00A24251">
      <w:pPr>
        <w:rPr>
          <w:rFonts w:asciiTheme="minorHAnsi" w:hAnsiTheme="minorHAnsi"/>
          <w:b/>
          <w:bCs/>
          <w:sz w:val="28"/>
          <w:szCs w:val="28"/>
        </w:rPr>
      </w:pPr>
      <w:r w:rsidRPr="00A24251">
        <w:rPr>
          <w:rFonts w:asciiTheme="minorHAnsi" w:hAnsiTheme="minorHAnsi"/>
          <w:b/>
          <w:bCs/>
          <w:sz w:val="28"/>
          <w:szCs w:val="28"/>
        </w:rPr>
        <w:t>Parties</w:t>
      </w:r>
    </w:p>
    <w:p w14:paraId="3B13F350" w14:textId="77777777" w:rsidR="00A24251" w:rsidRDefault="00A24251" w:rsidP="00A24251">
      <w:pPr>
        <w:rPr>
          <w:rFonts w:asciiTheme="minorHAnsi" w:hAnsiTheme="minorHAnsi"/>
          <w:b/>
          <w:bCs/>
          <w:sz w:val="28"/>
          <w:szCs w:val="28"/>
        </w:rPr>
      </w:pPr>
      <w:r w:rsidRPr="00A24251">
        <w:rPr>
          <w:rFonts w:asciiTheme="minorHAnsi" w:hAnsiTheme="minorHAnsi"/>
          <w:b/>
          <w:bCs/>
          <w:sz w:val="28"/>
          <w:szCs w:val="28"/>
        </w:rPr>
        <w:t>Ms Ali (Appellant)</w:t>
      </w:r>
    </w:p>
    <w:p w14:paraId="51BA23DA" w14:textId="076A20E7" w:rsidR="00A24251" w:rsidRPr="00A24251" w:rsidRDefault="00A24251" w:rsidP="00A24251">
      <w:pPr>
        <w:rPr>
          <w:rFonts w:asciiTheme="minorHAnsi" w:hAnsiTheme="minorHAnsi"/>
          <w:sz w:val="28"/>
          <w:szCs w:val="28"/>
        </w:rPr>
      </w:pPr>
      <w:r w:rsidRPr="00A24251">
        <w:rPr>
          <w:rFonts w:asciiTheme="minorHAnsi" w:hAnsiTheme="minorHAnsi"/>
          <w:b/>
          <w:bCs/>
          <w:sz w:val="28"/>
          <w:szCs w:val="28"/>
        </w:rPr>
        <w:t>Mr Khan (Respondent)</w:t>
      </w:r>
    </w:p>
    <w:p w14:paraId="6CFE3823" w14:textId="77777777" w:rsidR="00A24251" w:rsidRDefault="00A24251" w:rsidP="00A24251">
      <w:pPr>
        <w:rPr>
          <w:rFonts w:asciiTheme="minorHAnsi" w:hAnsiTheme="minorHAnsi"/>
          <w:b/>
          <w:bCs/>
          <w:sz w:val="28"/>
          <w:szCs w:val="28"/>
        </w:rPr>
      </w:pPr>
      <w:r w:rsidRPr="00A24251">
        <w:rPr>
          <w:rFonts w:asciiTheme="minorHAnsi" w:hAnsiTheme="minorHAnsi"/>
          <w:b/>
          <w:bCs/>
          <w:sz w:val="28"/>
          <w:szCs w:val="28"/>
        </w:rPr>
        <w:t>Procedural History</w:t>
      </w:r>
    </w:p>
    <w:p w14:paraId="0D931DE0" w14:textId="77777777" w:rsidR="00A24251" w:rsidRPr="00A24251" w:rsidRDefault="00A24251" w:rsidP="00A24251">
      <w:pPr>
        <w:rPr>
          <w:rFonts w:asciiTheme="minorHAnsi" w:hAnsiTheme="minorHAnsi"/>
          <w:b/>
          <w:bCs/>
          <w:sz w:val="28"/>
          <w:szCs w:val="28"/>
        </w:rPr>
      </w:pPr>
    </w:p>
    <w:p w14:paraId="6FBC7DAA"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The claim was first determined in the County Court, where the judge accepted the appellant’s argument that she held a beneficial interest in the property. The respondent appealed to the High Court, which overturned that finding. The appellant then appealed to the Court of Appeal.</w:t>
      </w:r>
    </w:p>
    <w:p w14:paraId="4180500C" w14:textId="77777777" w:rsidR="00A24251" w:rsidRPr="00A24251" w:rsidRDefault="00A24251" w:rsidP="00A24251">
      <w:pPr>
        <w:jc w:val="both"/>
        <w:rPr>
          <w:rFonts w:asciiTheme="minorHAnsi" w:hAnsiTheme="minorHAnsi"/>
          <w:sz w:val="28"/>
          <w:szCs w:val="28"/>
        </w:rPr>
      </w:pPr>
    </w:p>
    <w:p w14:paraId="2D2DD2C7"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Material Facts</w:t>
      </w:r>
    </w:p>
    <w:p w14:paraId="51FBE50C"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The parties were in a long</w:t>
      </w:r>
      <w:r w:rsidRPr="00A24251">
        <w:rPr>
          <w:rFonts w:asciiTheme="minorHAnsi" w:hAnsiTheme="minorHAnsi"/>
          <w:sz w:val="28"/>
          <w:szCs w:val="28"/>
        </w:rPr>
        <w:noBreakHyphen/>
        <w:t>term relationship and lived together in a property legally owned by the respondent. The appellant made domestic contributions and occasional financial payments towards household expenses. She relied on general statements made by the respondent about “building a future together” and “sharing everything in life.” No declaration of trust was executed, and the respondent never expressly stated that she would acquire a share in the property. After the relationship ended, the appellant claimed a beneficial interest based on constructive trust and proprietary estoppel.</w:t>
      </w:r>
    </w:p>
    <w:p w14:paraId="75BCA9FB" w14:textId="77777777" w:rsidR="00A24251" w:rsidRPr="00A24251" w:rsidRDefault="00A24251" w:rsidP="00A24251">
      <w:pPr>
        <w:jc w:val="both"/>
        <w:rPr>
          <w:rFonts w:asciiTheme="minorHAnsi" w:hAnsiTheme="minorHAnsi"/>
          <w:sz w:val="28"/>
          <w:szCs w:val="28"/>
        </w:rPr>
      </w:pPr>
    </w:p>
    <w:p w14:paraId="478EE582"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Legal Questions for the Court</w:t>
      </w:r>
    </w:p>
    <w:p w14:paraId="5007987F"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Whether broad, non</w:t>
      </w:r>
      <w:r w:rsidRPr="00A24251">
        <w:rPr>
          <w:rFonts w:asciiTheme="minorHAnsi" w:hAnsiTheme="minorHAnsi"/>
          <w:sz w:val="28"/>
          <w:szCs w:val="28"/>
        </w:rPr>
        <w:noBreakHyphen/>
        <w:t xml:space="preserve">specific statements about the parties’ shared future, combined with domestic contributions, </w:t>
      </w:r>
      <w:proofErr w:type="gramStart"/>
      <w:r w:rsidRPr="00A24251">
        <w:rPr>
          <w:rFonts w:asciiTheme="minorHAnsi" w:hAnsiTheme="minorHAnsi"/>
          <w:sz w:val="28"/>
          <w:szCs w:val="28"/>
        </w:rPr>
        <w:t>were capable of establishing</w:t>
      </w:r>
      <w:proofErr w:type="gramEnd"/>
      <w:r w:rsidRPr="00A24251">
        <w:rPr>
          <w:rFonts w:asciiTheme="minorHAnsi" w:hAnsiTheme="minorHAnsi"/>
          <w:sz w:val="28"/>
          <w:szCs w:val="28"/>
        </w:rPr>
        <w:t xml:space="preserve"> a common intention or an assurance sufficient to create a beneficial interest in the property.</w:t>
      </w:r>
    </w:p>
    <w:p w14:paraId="4DD8428F" w14:textId="77777777" w:rsidR="00A24251" w:rsidRPr="00A24251" w:rsidRDefault="00A24251" w:rsidP="00A24251">
      <w:pPr>
        <w:jc w:val="both"/>
        <w:rPr>
          <w:rFonts w:asciiTheme="minorHAnsi" w:hAnsiTheme="minorHAnsi"/>
          <w:sz w:val="28"/>
          <w:szCs w:val="28"/>
        </w:rPr>
      </w:pPr>
    </w:p>
    <w:p w14:paraId="4E722C08"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Appellant’s Arguments</w:t>
      </w:r>
    </w:p>
    <w:p w14:paraId="0D101E54"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 xml:space="preserve">The appellant argued that the respondent’s repeated references to their shared future amounted to assurances that she would have a stake in the property. She maintained that her contributions—both domestic and </w:t>
      </w:r>
      <w:r w:rsidRPr="00A24251">
        <w:rPr>
          <w:rFonts w:asciiTheme="minorHAnsi" w:hAnsiTheme="minorHAnsi"/>
          <w:sz w:val="28"/>
          <w:szCs w:val="28"/>
        </w:rPr>
        <w:lastRenderedPageBreak/>
        <w:t>financial—were made in reliance on those assurances. She submitted that it would be unfair for the respondent to retain sole ownership given the length of the relationship and her involvement in the household.</w:t>
      </w:r>
    </w:p>
    <w:p w14:paraId="154C75ED" w14:textId="77777777" w:rsidR="00A24251" w:rsidRPr="00A24251" w:rsidRDefault="00A24251" w:rsidP="00A24251">
      <w:pPr>
        <w:jc w:val="both"/>
        <w:rPr>
          <w:rFonts w:asciiTheme="minorHAnsi" w:hAnsiTheme="minorHAnsi"/>
          <w:sz w:val="28"/>
          <w:szCs w:val="28"/>
        </w:rPr>
      </w:pPr>
    </w:p>
    <w:p w14:paraId="3E6833D0"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Respondent’s Arguments</w:t>
      </w:r>
    </w:p>
    <w:p w14:paraId="3E988E5A"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The respondent contended that his statements were expressions of emotional commitment, not promises relating to ownership. He argued that the appellant’s contributions were typical of cohabitation and not referable to any proprietary agreement. He denied giving any assurance capable of founding an estoppel and maintained that the legal title reflected the parties’ true intentions.</w:t>
      </w:r>
    </w:p>
    <w:p w14:paraId="1A0033AA" w14:textId="77777777" w:rsidR="00A24251" w:rsidRPr="00A24251" w:rsidRDefault="00A24251" w:rsidP="00A24251">
      <w:pPr>
        <w:jc w:val="both"/>
        <w:rPr>
          <w:rFonts w:asciiTheme="minorHAnsi" w:hAnsiTheme="minorHAnsi"/>
          <w:sz w:val="28"/>
          <w:szCs w:val="28"/>
        </w:rPr>
      </w:pPr>
    </w:p>
    <w:p w14:paraId="7D99D9B9"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Decision of the Court</w:t>
      </w:r>
    </w:p>
    <w:p w14:paraId="124295E8"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Appeal dismissed.</w:t>
      </w:r>
    </w:p>
    <w:p w14:paraId="403A6A6B" w14:textId="77777777" w:rsidR="00A24251" w:rsidRPr="00A24251" w:rsidRDefault="00A24251" w:rsidP="00A24251">
      <w:pPr>
        <w:jc w:val="both"/>
        <w:rPr>
          <w:rFonts w:asciiTheme="minorHAnsi" w:hAnsiTheme="minorHAnsi"/>
          <w:sz w:val="28"/>
          <w:szCs w:val="28"/>
        </w:rPr>
      </w:pPr>
    </w:p>
    <w:p w14:paraId="1F7D96F6"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Rule of Law</w:t>
      </w:r>
    </w:p>
    <w:p w14:paraId="30151F41" w14:textId="77777777" w:rsidR="00A24251" w:rsidRDefault="00A24251" w:rsidP="00A24251">
      <w:pPr>
        <w:jc w:val="both"/>
        <w:rPr>
          <w:rFonts w:asciiTheme="minorHAnsi" w:hAnsiTheme="minorHAnsi"/>
          <w:sz w:val="28"/>
          <w:szCs w:val="28"/>
        </w:rPr>
      </w:pPr>
      <w:r w:rsidRPr="00A24251">
        <w:rPr>
          <w:rFonts w:asciiTheme="minorHAnsi" w:hAnsiTheme="minorHAnsi"/>
          <w:sz w:val="28"/>
          <w:szCs w:val="28"/>
        </w:rPr>
        <w:t>Generalised statements about a shared life or future are insufficient to establish a common intention or an assurance relating to property. Domestic contributions alone do not create a beneficial interest without a clear link to ownership.</w:t>
      </w:r>
    </w:p>
    <w:p w14:paraId="5F438EF7" w14:textId="77777777" w:rsidR="00A24251" w:rsidRPr="00A24251" w:rsidRDefault="00A24251" w:rsidP="00A24251">
      <w:pPr>
        <w:jc w:val="both"/>
        <w:rPr>
          <w:rFonts w:asciiTheme="minorHAnsi" w:hAnsiTheme="minorHAnsi"/>
          <w:sz w:val="28"/>
          <w:szCs w:val="28"/>
        </w:rPr>
      </w:pPr>
    </w:p>
    <w:p w14:paraId="355CC9D2" w14:textId="77777777" w:rsidR="00A24251" w:rsidRPr="00A24251" w:rsidRDefault="00A24251" w:rsidP="00A24251">
      <w:pPr>
        <w:jc w:val="both"/>
        <w:rPr>
          <w:rFonts w:asciiTheme="minorHAnsi" w:hAnsiTheme="minorHAnsi"/>
          <w:b/>
          <w:bCs/>
          <w:sz w:val="28"/>
          <w:szCs w:val="28"/>
        </w:rPr>
      </w:pPr>
      <w:r w:rsidRPr="00A24251">
        <w:rPr>
          <w:rFonts w:asciiTheme="minorHAnsi" w:hAnsiTheme="minorHAnsi"/>
          <w:b/>
          <w:bCs/>
          <w:sz w:val="28"/>
          <w:szCs w:val="28"/>
        </w:rPr>
        <w:t>Reasoning</w:t>
      </w:r>
    </w:p>
    <w:p w14:paraId="43B74286" w14:textId="77777777" w:rsidR="00A24251" w:rsidRPr="00A24251" w:rsidRDefault="00A24251" w:rsidP="00A24251">
      <w:pPr>
        <w:jc w:val="both"/>
        <w:rPr>
          <w:rFonts w:asciiTheme="minorHAnsi" w:hAnsiTheme="minorHAnsi"/>
          <w:sz w:val="28"/>
          <w:szCs w:val="28"/>
        </w:rPr>
      </w:pPr>
      <w:r w:rsidRPr="00A24251">
        <w:rPr>
          <w:rFonts w:asciiTheme="minorHAnsi" w:hAnsiTheme="minorHAnsi"/>
          <w:sz w:val="28"/>
          <w:szCs w:val="28"/>
        </w:rPr>
        <w:t>The Court held that the statements relied upon lacked the clarity required to establish either a constructive trust or proprietary estoppel. They were interpreted as expressions of affection and commitment, not as promises concerning property rights. The appellant’s contributions were viewed as ordinary incidents of cohabitation and not actions taken in reliance on any belief in ownership. The Court emphasised that equity requires a clear and specific intention relating to the property itself. As no such intention or assurance existed, and no detriment was shown beyond normal domestic involvement, the claim could not succeed.</w:t>
      </w:r>
    </w:p>
    <w:p w14:paraId="0EDCEF10" w14:textId="77777777" w:rsidR="00C81C68" w:rsidRPr="00C81C68" w:rsidRDefault="00C81C68" w:rsidP="00A24251">
      <w:pPr>
        <w:jc w:val="both"/>
        <w:rPr>
          <w:rFonts w:asciiTheme="minorHAnsi" w:eastAsiaTheme="majorEastAsia" w:hAnsiTheme="minorHAnsi" w:cstheme="majorBidi"/>
          <w:b/>
          <w:sz w:val="28"/>
          <w:szCs w:val="28"/>
        </w:rPr>
      </w:pPr>
      <w:r w:rsidRPr="00C81C68">
        <w:rPr>
          <w:rFonts w:asciiTheme="minorHAnsi" w:hAnsiTheme="minorHAnsi"/>
          <w:sz w:val="28"/>
          <w:szCs w:val="28"/>
        </w:rPr>
        <w:br w:type="page"/>
      </w:r>
    </w:p>
    <w:p w14:paraId="465E9D88" w14:textId="799540BE" w:rsidR="00C81C68" w:rsidRDefault="00C81C68" w:rsidP="00C81C68">
      <w:pPr>
        <w:pStyle w:val="Heading1"/>
      </w:pPr>
      <w:r>
        <w:lastRenderedPageBreak/>
        <w:t xml:space="preserve">References </w:t>
      </w:r>
    </w:p>
    <w:p w14:paraId="1B77C91B" w14:textId="6CD35F7F" w:rsidR="00BC35C3" w:rsidRDefault="00BC35C3" w:rsidP="00C81C68">
      <w:pPr>
        <w:rPr>
          <w:rFonts w:asciiTheme="minorHAnsi" w:hAnsiTheme="minorHAnsi"/>
          <w:sz w:val="28"/>
          <w:szCs w:val="28"/>
        </w:rPr>
      </w:pPr>
      <w:r w:rsidRPr="00BC35C3">
        <w:rPr>
          <w:rFonts w:asciiTheme="minorHAnsi" w:hAnsiTheme="minorHAnsi"/>
          <w:sz w:val="28"/>
          <w:szCs w:val="28"/>
        </w:rPr>
        <w:t xml:space="preserve">Auchmuty, R., 2009. Beyond Couples: Burden v United Kingdom (2008) 47 EHRR </w:t>
      </w:r>
      <w:proofErr w:type="gramStart"/>
      <w:r w:rsidRPr="00BC35C3">
        <w:rPr>
          <w:rFonts w:asciiTheme="minorHAnsi" w:hAnsiTheme="minorHAnsi"/>
          <w:sz w:val="28"/>
          <w:szCs w:val="28"/>
        </w:rPr>
        <w:t>38;[</w:t>
      </w:r>
      <w:proofErr w:type="gramEnd"/>
      <w:r w:rsidRPr="00BC35C3">
        <w:rPr>
          <w:rFonts w:asciiTheme="minorHAnsi" w:hAnsiTheme="minorHAnsi"/>
          <w:sz w:val="28"/>
          <w:szCs w:val="28"/>
        </w:rPr>
        <w:t>2008] 2 FLR 787; Grand Chamber of the European Court of Human Rights, 29 April 2008. </w:t>
      </w:r>
      <w:r w:rsidRPr="00BC35C3">
        <w:rPr>
          <w:rFonts w:asciiTheme="minorHAnsi" w:hAnsiTheme="minorHAnsi"/>
          <w:i/>
          <w:iCs/>
          <w:sz w:val="28"/>
          <w:szCs w:val="28"/>
        </w:rPr>
        <w:t>Feminist legal studies</w:t>
      </w:r>
      <w:r w:rsidRPr="00BC35C3">
        <w:rPr>
          <w:rFonts w:asciiTheme="minorHAnsi" w:hAnsiTheme="minorHAnsi"/>
          <w:sz w:val="28"/>
          <w:szCs w:val="28"/>
        </w:rPr>
        <w:t>, </w:t>
      </w:r>
      <w:r w:rsidRPr="00BC35C3">
        <w:rPr>
          <w:rFonts w:asciiTheme="minorHAnsi" w:hAnsiTheme="minorHAnsi"/>
          <w:i/>
          <w:iCs/>
          <w:sz w:val="28"/>
          <w:szCs w:val="28"/>
        </w:rPr>
        <w:t>17</w:t>
      </w:r>
      <w:r w:rsidRPr="00BC35C3">
        <w:rPr>
          <w:rFonts w:asciiTheme="minorHAnsi" w:hAnsiTheme="minorHAnsi"/>
          <w:sz w:val="28"/>
          <w:szCs w:val="28"/>
        </w:rPr>
        <w:t>(2), pp.205-218.</w:t>
      </w:r>
    </w:p>
    <w:p w14:paraId="681226FC" w14:textId="77777777" w:rsidR="00BC35C3" w:rsidRDefault="00BC35C3" w:rsidP="00C81C68">
      <w:pPr>
        <w:rPr>
          <w:rFonts w:asciiTheme="minorHAnsi" w:hAnsiTheme="minorHAnsi"/>
          <w:sz w:val="28"/>
          <w:szCs w:val="28"/>
        </w:rPr>
      </w:pPr>
    </w:p>
    <w:p w14:paraId="31BDF1BE" w14:textId="5D6ADFA2" w:rsidR="006979F6" w:rsidRDefault="006979F6" w:rsidP="00C81C68">
      <w:pPr>
        <w:rPr>
          <w:rFonts w:asciiTheme="minorHAnsi" w:hAnsiTheme="minorHAnsi"/>
          <w:sz w:val="28"/>
          <w:szCs w:val="28"/>
        </w:rPr>
      </w:pPr>
      <w:r w:rsidRPr="006979F6">
        <w:rPr>
          <w:rFonts w:asciiTheme="minorHAnsi" w:hAnsiTheme="minorHAnsi"/>
          <w:sz w:val="28"/>
          <w:szCs w:val="28"/>
        </w:rPr>
        <w:t>Bevan, C., 2022. </w:t>
      </w:r>
      <w:r w:rsidRPr="006979F6">
        <w:rPr>
          <w:rFonts w:asciiTheme="minorHAnsi" w:hAnsiTheme="minorHAnsi"/>
          <w:i/>
          <w:iCs/>
          <w:sz w:val="28"/>
          <w:szCs w:val="28"/>
        </w:rPr>
        <w:t>Land law</w:t>
      </w:r>
      <w:r w:rsidRPr="006979F6">
        <w:rPr>
          <w:rFonts w:asciiTheme="minorHAnsi" w:hAnsiTheme="minorHAnsi"/>
          <w:sz w:val="28"/>
          <w:szCs w:val="28"/>
        </w:rPr>
        <w:t>. Oxford University Press.</w:t>
      </w:r>
    </w:p>
    <w:p w14:paraId="34C8D0AC" w14:textId="77777777" w:rsidR="00BC35C3" w:rsidRDefault="00BC35C3" w:rsidP="00C81C68">
      <w:pPr>
        <w:rPr>
          <w:rFonts w:asciiTheme="minorHAnsi" w:hAnsiTheme="minorHAnsi"/>
          <w:sz w:val="28"/>
          <w:szCs w:val="28"/>
        </w:rPr>
      </w:pPr>
    </w:p>
    <w:p w14:paraId="135F7CE5" w14:textId="170483E4" w:rsidR="00BC35C3" w:rsidRDefault="00BC35C3" w:rsidP="00C81C68">
      <w:pPr>
        <w:rPr>
          <w:rFonts w:asciiTheme="minorHAnsi" w:hAnsiTheme="minorHAnsi"/>
          <w:sz w:val="28"/>
          <w:szCs w:val="28"/>
        </w:rPr>
      </w:pPr>
      <w:r w:rsidRPr="00BC35C3">
        <w:rPr>
          <w:rFonts w:asciiTheme="minorHAnsi" w:hAnsiTheme="minorHAnsi"/>
          <w:sz w:val="28"/>
          <w:szCs w:val="28"/>
        </w:rPr>
        <w:t>Bowman, C.G., 2010. </w:t>
      </w:r>
      <w:r w:rsidRPr="00BC35C3">
        <w:rPr>
          <w:rFonts w:asciiTheme="minorHAnsi" w:hAnsiTheme="minorHAnsi"/>
          <w:i/>
          <w:iCs/>
          <w:sz w:val="28"/>
          <w:szCs w:val="28"/>
        </w:rPr>
        <w:t>Unmarried couples, law, and public policy</w:t>
      </w:r>
      <w:r w:rsidRPr="00BC35C3">
        <w:rPr>
          <w:rFonts w:asciiTheme="minorHAnsi" w:hAnsiTheme="minorHAnsi"/>
          <w:sz w:val="28"/>
          <w:szCs w:val="28"/>
        </w:rPr>
        <w:t>. Oxford University Press.</w:t>
      </w:r>
    </w:p>
    <w:p w14:paraId="6CFB9745" w14:textId="77777777" w:rsidR="00BC35C3" w:rsidRDefault="00BC35C3" w:rsidP="00C81C68">
      <w:pPr>
        <w:rPr>
          <w:rFonts w:asciiTheme="minorHAnsi" w:hAnsiTheme="minorHAnsi"/>
          <w:sz w:val="28"/>
          <w:szCs w:val="28"/>
        </w:rPr>
      </w:pPr>
    </w:p>
    <w:p w14:paraId="62D96EE1" w14:textId="5A65471C" w:rsidR="00BC35C3" w:rsidRDefault="00BC35C3" w:rsidP="00C81C68">
      <w:pPr>
        <w:rPr>
          <w:rFonts w:asciiTheme="minorHAnsi" w:hAnsiTheme="minorHAnsi"/>
          <w:sz w:val="28"/>
          <w:szCs w:val="28"/>
        </w:rPr>
      </w:pPr>
      <w:r w:rsidRPr="00BC35C3">
        <w:rPr>
          <w:rFonts w:asciiTheme="minorHAnsi" w:hAnsiTheme="minorHAnsi"/>
          <w:sz w:val="28"/>
          <w:szCs w:val="28"/>
        </w:rPr>
        <w:t>Burns, F., 2013. Surviving spouses, surviving children and the reform of total intestacy law in England and Scotland: Past, present and future. </w:t>
      </w:r>
      <w:r w:rsidRPr="00BC35C3">
        <w:rPr>
          <w:rFonts w:asciiTheme="minorHAnsi" w:hAnsiTheme="minorHAnsi"/>
          <w:i/>
          <w:iCs/>
          <w:sz w:val="28"/>
          <w:szCs w:val="28"/>
        </w:rPr>
        <w:t>Legal Studies</w:t>
      </w:r>
      <w:r w:rsidRPr="00BC35C3">
        <w:rPr>
          <w:rFonts w:asciiTheme="minorHAnsi" w:hAnsiTheme="minorHAnsi"/>
          <w:sz w:val="28"/>
          <w:szCs w:val="28"/>
        </w:rPr>
        <w:t>, </w:t>
      </w:r>
      <w:r w:rsidRPr="00BC35C3">
        <w:rPr>
          <w:rFonts w:asciiTheme="minorHAnsi" w:hAnsiTheme="minorHAnsi"/>
          <w:i/>
          <w:iCs/>
          <w:sz w:val="28"/>
          <w:szCs w:val="28"/>
        </w:rPr>
        <w:t>33</w:t>
      </w:r>
      <w:r w:rsidRPr="00BC35C3">
        <w:rPr>
          <w:rFonts w:asciiTheme="minorHAnsi" w:hAnsiTheme="minorHAnsi"/>
          <w:sz w:val="28"/>
          <w:szCs w:val="28"/>
        </w:rPr>
        <w:t>(1), pp.85-118.</w:t>
      </w:r>
    </w:p>
    <w:p w14:paraId="1B230901" w14:textId="77777777" w:rsidR="0002467C" w:rsidRDefault="0002467C" w:rsidP="00C81C68">
      <w:pPr>
        <w:rPr>
          <w:rFonts w:asciiTheme="minorHAnsi" w:hAnsiTheme="minorHAnsi"/>
          <w:sz w:val="28"/>
          <w:szCs w:val="28"/>
        </w:rPr>
      </w:pPr>
    </w:p>
    <w:p w14:paraId="3E3441BD" w14:textId="14D01AF4" w:rsidR="0002467C" w:rsidRPr="006979F6" w:rsidRDefault="0002467C" w:rsidP="00C81C68">
      <w:pPr>
        <w:rPr>
          <w:rFonts w:asciiTheme="minorHAnsi" w:hAnsiTheme="minorHAnsi"/>
          <w:sz w:val="28"/>
          <w:szCs w:val="28"/>
        </w:rPr>
      </w:pPr>
      <w:r w:rsidRPr="0002467C">
        <w:rPr>
          <w:rFonts w:asciiTheme="minorHAnsi" w:hAnsiTheme="minorHAnsi"/>
          <w:sz w:val="28"/>
          <w:szCs w:val="28"/>
        </w:rPr>
        <w:t>Clarke, A. and Kohler, P., 2005. </w:t>
      </w:r>
      <w:r w:rsidRPr="0002467C">
        <w:rPr>
          <w:rFonts w:asciiTheme="minorHAnsi" w:hAnsiTheme="minorHAnsi"/>
          <w:i/>
          <w:iCs/>
          <w:sz w:val="28"/>
          <w:szCs w:val="28"/>
        </w:rPr>
        <w:t>Property law: commentary and materials</w:t>
      </w:r>
      <w:r w:rsidRPr="0002467C">
        <w:rPr>
          <w:rFonts w:asciiTheme="minorHAnsi" w:hAnsiTheme="minorHAnsi"/>
          <w:sz w:val="28"/>
          <w:szCs w:val="28"/>
        </w:rPr>
        <w:t>. Cambridge University Press.</w:t>
      </w:r>
    </w:p>
    <w:p w14:paraId="31D6A531" w14:textId="77777777" w:rsidR="006979F6" w:rsidRPr="006979F6" w:rsidRDefault="006979F6" w:rsidP="00C81C68">
      <w:pPr>
        <w:rPr>
          <w:rFonts w:asciiTheme="minorHAnsi" w:hAnsiTheme="minorHAnsi"/>
          <w:sz w:val="28"/>
          <w:szCs w:val="28"/>
        </w:rPr>
      </w:pPr>
    </w:p>
    <w:p w14:paraId="08E1C882" w14:textId="5EEFD54C" w:rsidR="00C81C68" w:rsidRDefault="00983160" w:rsidP="00C81C68">
      <w:pPr>
        <w:rPr>
          <w:rFonts w:asciiTheme="minorHAnsi" w:hAnsiTheme="minorHAnsi"/>
          <w:sz w:val="28"/>
          <w:szCs w:val="28"/>
        </w:rPr>
      </w:pPr>
      <w:r w:rsidRPr="006979F6">
        <w:rPr>
          <w:rFonts w:asciiTheme="minorHAnsi" w:hAnsiTheme="minorHAnsi"/>
          <w:sz w:val="28"/>
          <w:szCs w:val="28"/>
        </w:rPr>
        <w:t>Gardner, S. and MacKenzie, E., 2012. </w:t>
      </w:r>
      <w:r w:rsidRPr="006979F6">
        <w:rPr>
          <w:rFonts w:asciiTheme="minorHAnsi" w:hAnsiTheme="minorHAnsi"/>
          <w:i/>
          <w:iCs/>
          <w:sz w:val="28"/>
          <w:szCs w:val="28"/>
        </w:rPr>
        <w:t>An introduction to land law</w:t>
      </w:r>
      <w:r w:rsidRPr="006979F6">
        <w:rPr>
          <w:rFonts w:asciiTheme="minorHAnsi" w:hAnsiTheme="minorHAnsi"/>
          <w:sz w:val="28"/>
          <w:szCs w:val="28"/>
        </w:rPr>
        <w:t>. Bloomsbury Publishing.</w:t>
      </w:r>
    </w:p>
    <w:p w14:paraId="668FBD0C" w14:textId="77777777" w:rsidR="0002467C" w:rsidRDefault="0002467C" w:rsidP="00C81C68">
      <w:pPr>
        <w:rPr>
          <w:rFonts w:asciiTheme="minorHAnsi" w:hAnsiTheme="minorHAnsi"/>
          <w:sz w:val="28"/>
          <w:szCs w:val="28"/>
        </w:rPr>
      </w:pPr>
    </w:p>
    <w:p w14:paraId="4903F46F" w14:textId="0E497132" w:rsidR="0002467C" w:rsidRDefault="0002467C" w:rsidP="00C81C68">
      <w:pPr>
        <w:rPr>
          <w:rFonts w:asciiTheme="minorHAnsi" w:hAnsiTheme="minorHAnsi"/>
          <w:sz w:val="28"/>
          <w:szCs w:val="28"/>
        </w:rPr>
      </w:pPr>
      <w:r w:rsidRPr="0002467C">
        <w:rPr>
          <w:rFonts w:asciiTheme="minorHAnsi" w:hAnsiTheme="minorHAnsi"/>
          <w:sz w:val="28"/>
          <w:szCs w:val="28"/>
        </w:rPr>
        <w:t>Hay, C., 2025. Rescinding a mistaken declaration of trust: Sullivan v Sullivan [2025] EWHC 1072 (Ch). </w:t>
      </w:r>
      <w:r w:rsidRPr="0002467C">
        <w:rPr>
          <w:rFonts w:asciiTheme="minorHAnsi" w:hAnsiTheme="minorHAnsi"/>
          <w:i/>
          <w:iCs/>
          <w:sz w:val="28"/>
          <w:szCs w:val="28"/>
        </w:rPr>
        <w:t>Trusts &amp; Trustees</w:t>
      </w:r>
      <w:r w:rsidRPr="0002467C">
        <w:rPr>
          <w:rFonts w:asciiTheme="minorHAnsi" w:hAnsiTheme="minorHAnsi"/>
          <w:sz w:val="28"/>
          <w:szCs w:val="28"/>
        </w:rPr>
        <w:t>, </w:t>
      </w:r>
      <w:r w:rsidRPr="0002467C">
        <w:rPr>
          <w:rFonts w:asciiTheme="minorHAnsi" w:hAnsiTheme="minorHAnsi"/>
          <w:i/>
          <w:iCs/>
          <w:sz w:val="28"/>
          <w:szCs w:val="28"/>
        </w:rPr>
        <w:t>31</w:t>
      </w:r>
      <w:r w:rsidRPr="0002467C">
        <w:rPr>
          <w:rFonts w:asciiTheme="minorHAnsi" w:hAnsiTheme="minorHAnsi"/>
          <w:sz w:val="28"/>
          <w:szCs w:val="28"/>
        </w:rPr>
        <w:t>(9), pp.496-500.</w:t>
      </w:r>
    </w:p>
    <w:p w14:paraId="4C6F139C" w14:textId="77777777" w:rsidR="00BC35C3" w:rsidRDefault="00BC35C3" w:rsidP="00C81C68">
      <w:pPr>
        <w:rPr>
          <w:rFonts w:asciiTheme="minorHAnsi" w:hAnsiTheme="minorHAnsi"/>
          <w:sz w:val="28"/>
          <w:szCs w:val="28"/>
        </w:rPr>
      </w:pPr>
    </w:p>
    <w:p w14:paraId="0892B6BB" w14:textId="0DF36E29" w:rsidR="00BC35C3" w:rsidRDefault="00BC35C3" w:rsidP="00C81C68">
      <w:pPr>
        <w:rPr>
          <w:rFonts w:asciiTheme="minorHAnsi" w:hAnsiTheme="minorHAnsi"/>
          <w:sz w:val="28"/>
          <w:szCs w:val="28"/>
        </w:rPr>
      </w:pPr>
      <w:r w:rsidRPr="00BC35C3">
        <w:rPr>
          <w:rFonts w:asciiTheme="minorHAnsi" w:hAnsiTheme="minorHAnsi"/>
          <w:sz w:val="28"/>
          <w:szCs w:val="28"/>
        </w:rPr>
        <w:t>Kiernan, K., 2004. Unmarried cohabitation and parenthood in Britain and Europe. </w:t>
      </w:r>
      <w:r w:rsidRPr="00BC35C3">
        <w:rPr>
          <w:rFonts w:asciiTheme="minorHAnsi" w:hAnsiTheme="minorHAnsi"/>
          <w:i/>
          <w:iCs/>
          <w:sz w:val="28"/>
          <w:szCs w:val="28"/>
        </w:rPr>
        <w:t>Law &amp; Policy</w:t>
      </w:r>
      <w:r w:rsidRPr="00BC35C3">
        <w:rPr>
          <w:rFonts w:asciiTheme="minorHAnsi" w:hAnsiTheme="minorHAnsi"/>
          <w:sz w:val="28"/>
          <w:szCs w:val="28"/>
        </w:rPr>
        <w:t>, </w:t>
      </w:r>
      <w:r w:rsidRPr="00BC35C3">
        <w:rPr>
          <w:rFonts w:asciiTheme="minorHAnsi" w:hAnsiTheme="minorHAnsi"/>
          <w:i/>
          <w:iCs/>
          <w:sz w:val="28"/>
          <w:szCs w:val="28"/>
        </w:rPr>
        <w:t>26</w:t>
      </w:r>
      <w:r w:rsidRPr="00BC35C3">
        <w:rPr>
          <w:rFonts w:asciiTheme="minorHAnsi" w:hAnsiTheme="minorHAnsi"/>
          <w:sz w:val="28"/>
          <w:szCs w:val="28"/>
        </w:rPr>
        <w:t>(1), pp.33-55.</w:t>
      </w:r>
    </w:p>
    <w:p w14:paraId="328B15F9" w14:textId="77777777" w:rsidR="00BC35C3" w:rsidRDefault="00BC35C3" w:rsidP="00C81C68">
      <w:pPr>
        <w:rPr>
          <w:rFonts w:asciiTheme="minorHAnsi" w:hAnsiTheme="minorHAnsi"/>
          <w:sz w:val="28"/>
          <w:szCs w:val="28"/>
        </w:rPr>
      </w:pPr>
    </w:p>
    <w:p w14:paraId="777E5190" w14:textId="1D14737C" w:rsidR="00BC35C3" w:rsidRPr="006979F6" w:rsidRDefault="00BC35C3" w:rsidP="00C81C68">
      <w:pPr>
        <w:rPr>
          <w:rFonts w:asciiTheme="minorHAnsi" w:hAnsiTheme="minorHAnsi"/>
          <w:sz w:val="28"/>
          <w:szCs w:val="28"/>
        </w:rPr>
      </w:pPr>
      <w:r w:rsidRPr="00BC35C3">
        <w:rPr>
          <w:rFonts w:asciiTheme="minorHAnsi" w:hAnsiTheme="minorHAnsi"/>
          <w:sz w:val="28"/>
          <w:szCs w:val="28"/>
        </w:rPr>
        <w:t>Lersch, P. and Vidal Torre, S., 2015. My house or our home? Entry into sole homeownership in British couples.</w:t>
      </w:r>
    </w:p>
    <w:p w14:paraId="699F2B28" w14:textId="77777777" w:rsidR="003A47EE" w:rsidRPr="001D180A" w:rsidRDefault="003A47EE" w:rsidP="00C81C68">
      <w:pPr>
        <w:rPr>
          <w:rFonts w:asciiTheme="minorHAnsi" w:hAnsiTheme="minorHAnsi"/>
        </w:rPr>
      </w:pPr>
    </w:p>
    <w:p w14:paraId="57D87FF4" w14:textId="77777777" w:rsidR="00BC35C3" w:rsidRDefault="006979F6">
      <w:pPr>
        <w:spacing w:after="160" w:line="278" w:lineRule="auto"/>
      </w:pPr>
      <w:r w:rsidRPr="006979F6">
        <w:rPr>
          <w:rFonts w:asciiTheme="minorHAnsi" w:hAnsiTheme="minorHAnsi"/>
          <w:sz w:val="28"/>
          <w:szCs w:val="28"/>
        </w:rPr>
        <w:t>McFarlane, B., 2024. </w:t>
      </w:r>
      <w:r w:rsidRPr="006979F6">
        <w:rPr>
          <w:rFonts w:asciiTheme="minorHAnsi" w:hAnsiTheme="minorHAnsi"/>
          <w:i/>
          <w:iCs/>
          <w:sz w:val="28"/>
          <w:szCs w:val="28"/>
        </w:rPr>
        <w:t>Land law: text, cases, and materials</w:t>
      </w:r>
      <w:r w:rsidRPr="006979F6">
        <w:rPr>
          <w:rFonts w:asciiTheme="minorHAnsi" w:hAnsiTheme="minorHAnsi"/>
          <w:sz w:val="28"/>
          <w:szCs w:val="28"/>
        </w:rPr>
        <w:t>. Oxford University Press</w:t>
      </w:r>
      <w:r w:rsidRPr="006979F6">
        <w:t xml:space="preserve">. </w:t>
      </w:r>
    </w:p>
    <w:p w14:paraId="3675EF59" w14:textId="10BCB2CC" w:rsidR="0002467C" w:rsidRDefault="0002467C">
      <w:pPr>
        <w:spacing w:after="160" w:line="278" w:lineRule="auto"/>
      </w:pPr>
      <w:r w:rsidRPr="0002467C">
        <w:rPr>
          <w:rFonts w:asciiTheme="minorHAnsi" w:hAnsiTheme="minorHAnsi"/>
          <w:sz w:val="28"/>
          <w:szCs w:val="28"/>
        </w:rPr>
        <w:t>Mee, J., 2014. Presumed resulting trusts, intention and declaration. </w:t>
      </w:r>
      <w:r w:rsidRPr="0002467C">
        <w:rPr>
          <w:rFonts w:asciiTheme="minorHAnsi" w:hAnsiTheme="minorHAnsi"/>
          <w:i/>
          <w:iCs/>
          <w:sz w:val="28"/>
          <w:szCs w:val="28"/>
        </w:rPr>
        <w:t>The Cambridge Law Journal</w:t>
      </w:r>
      <w:r w:rsidRPr="0002467C">
        <w:rPr>
          <w:rFonts w:asciiTheme="minorHAnsi" w:hAnsiTheme="minorHAnsi"/>
          <w:sz w:val="28"/>
          <w:szCs w:val="28"/>
        </w:rPr>
        <w:t>, </w:t>
      </w:r>
      <w:r w:rsidRPr="0002467C">
        <w:rPr>
          <w:rFonts w:asciiTheme="minorHAnsi" w:hAnsiTheme="minorHAnsi"/>
          <w:i/>
          <w:iCs/>
          <w:sz w:val="28"/>
          <w:szCs w:val="28"/>
        </w:rPr>
        <w:t>73</w:t>
      </w:r>
      <w:r w:rsidRPr="0002467C">
        <w:rPr>
          <w:rFonts w:asciiTheme="minorHAnsi" w:hAnsiTheme="minorHAnsi"/>
          <w:sz w:val="28"/>
          <w:szCs w:val="28"/>
        </w:rPr>
        <w:t>(1), pp.86-112</w:t>
      </w:r>
      <w:r w:rsidRPr="0002467C">
        <w:t>.</w:t>
      </w:r>
    </w:p>
    <w:p w14:paraId="4AB38B28" w14:textId="77777777" w:rsidR="00BC35C3" w:rsidRDefault="00BC35C3">
      <w:pPr>
        <w:spacing w:after="160" w:line="278" w:lineRule="auto"/>
      </w:pPr>
    </w:p>
    <w:p w14:paraId="25391918" w14:textId="17292376" w:rsidR="00BC35C3" w:rsidRDefault="00BC35C3">
      <w:pPr>
        <w:spacing w:after="160" w:line="278" w:lineRule="auto"/>
        <w:rPr>
          <w:rFonts w:asciiTheme="minorHAnsi" w:hAnsiTheme="minorHAnsi"/>
          <w:sz w:val="28"/>
          <w:szCs w:val="28"/>
        </w:rPr>
      </w:pPr>
      <w:r w:rsidRPr="00BC35C3">
        <w:rPr>
          <w:rFonts w:asciiTheme="minorHAnsi" w:hAnsiTheme="minorHAnsi"/>
          <w:sz w:val="28"/>
          <w:szCs w:val="28"/>
        </w:rPr>
        <w:t>Miles, J., 2016. Unmarried cohabitation in a European perspective. In </w:t>
      </w:r>
      <w:r w:rsidRPr="00BC35C3">
        <w:rPr>
          <w:rFonts w:asciiTheme="minorHAnsi" w:hAnsiTheme="minorHAnsi"/>
          <w:i/>
          <w:iCs/>
          <w:sz w:val="28"/>
          <w:szCs w:val="28"/>
        </w:rPr>
        <w:t>European Family Law Volume III</w:t>
      </w:r>
      <w:r w:rsidRPr="00BC35C3">
        <w:rPr>
          <w:rFonts w:asciiTheme="minorHAnsi" w:hAnsiTheme="minorHAnsi"/>
          <w:sz w:val="28"/>
          <w:szCs w:val="28"/>
        </w:rPr>
        <w:t> (pp. 82-115). Edward Elgar Publishing.</w:t>
      </w:r>
    </w:p>
    <w:p w14:paraId="32BEBB20" w14:textId="77777777" w:rsidR="00BC35C3" w:rsidRPr="00BC35C3" w:rsidRDefault="00BC35C3">
      <w:pPr>
        <w:spacing w:after="160" w:line="278" w:lineRule="auto"/>
        <w:rPr>
          <w:rFonts w:asciiTheme="minorHAnsi" w:hAnsiTheme="minorHAnsi"/>
          <w:sz w:val="28"/>
          <w:szCs w:val="28"/>
        </w:rPr>
      </w:pPr>
    </w:p>
    <w:p w14:paraId="166033E2" w14:textId="67ACB634" w:rsidR="00BC35C3" w:rsidRDefault="00BC35C3">
      <w:pPr>
        <w:spacing w:after="160" w:line="278" w:lineRule="auto"/>
      </w:pPr>
      <w:r w:rsidRPr="00BC35C3">
        <w:rPr>
          <w:rFonts w:asciiTheme="minorHAnsi" w:hAnsiTheme="minorHAnsi"/>
          <w:sz w:val="28"/>
          <w:szCs w:val="28"/>
        </w:rPr>
        <w:lastRenderedPageBreak/>
        <w:t>Munton, R., 2009. Rural land ownership in the United Kingdom: Changing patterns and future possibilities for land use. </w:t>
      </w:r>
      <w:r w:rsidRPr="00BC35C3">
        <w:rPr>
          <w:rFonts w:asciiTheme="minorHAnsi" w:hAnsiTheme="minorHAnsi"/>
          <w:i/>
          <w:iCs/>
          <w:sz w:val="28"/>
          <w:szCs w:val="28"/>
        </w:rPr>
        <w:t>Land use policy</w:t>
      </w:r>
      <w:r w:rsidRPr="00BC35C3">
        <w:rPr>
          <w:rFonts w:asciiTheme="minorHAnsi" w:hAnsiTheme="minorHAnsi"/>
          <w:sz w:val="28"/>
          <w:szCs w:val="28"/>
        </w:rPr>
        <w:t>, </w:t>
      </w:r>
      <w:r w:rsidRPr="00BC35C3">
        <w:rPr>
          <w:rFonts w:asciiTheme="minorHAnsi" w:hAnsiTheme="minorHAnsi"/>
          <w:i/>
          <w:iCs/>
          <w:sz w:val="28"/>
          <w:szCs w:val="28"/>
        </w:rPr>
        <w:t>26</w:t>
      </w:r>
      <w:r w:rsidRPr="00BC35C3">
        <w:rPr>
          <w:rFonts w:asciiTheme="minorHAnsi" w:hAnsiTheme="minorHAnsi"/>
          <w:sz w:val="28"/>
          <w:szCs w:val="28"/>
        </w:rPr>
        <w:t xml:space="preserve">, </w:t>
      </w:r>
      <w:proofErr w:type="gramStart"/>
      <w:r w:rsidRPr="00BC35C3">
        <w:rPr>
          <w:rFonts w:asciiTheme="minorHAnsi" w:hAnsiTheme="minorHAnsi"/>
          <w:sz w:val="28"/>
          <w:szCs w:val="28"/>
        </w:rPr>
        <w:t>pp.S</w:t>
      </w:r>
      <w:proofErr w:type="gramEnd"/>
      <w:r w:rsidRPr="00BC35C3">
        <w:rPr>
          <w:rFonts w:asciiTheme="minorHAnsi" w:hAnsiTheme="minorHAnsi"/>
          <w:sz w:val="28"/>
          <w:szCs w:val="28"/>
        </w:rPr>
        <w:t>54-S61</w:t>
      </w:r>
      <w:r w:rsidRPr="00BC35C3">
        <w:t>.</w:t>
      </w:r>
    </w:p>
    <w:p w14:paraId="261F405D" w14:textId="77777777" w:rsidR="0002467C" w:rsidRDefault="00BC35C3">
      <w:pPr>
        <w:spacing w:after="160" w:line="278" w:lineRule="auto"/>
        <w:rPr>
          <w:rFonts w:asciiTheme="minorHAnsi" w:hAnsiTheme="minorHAnsi"/>
          <w:sz w:val="28"/>
          <w:szCs w:val="28"/>
        </w:rPr>
      </w:pPr>
      <w:r w:rsidRPr="00BC35C3">
        <w:rPr>
          <w:rFonts w:asciiTheme="minorHAnsi" w:hAnsiTheme="minorHAnsi"/>
          <w:sz w:val="28"/>
          <w:szCs w:val="28"/>
        </w:rPr>
        <w:t xml:space="preserve">Sloan, B., 2015. Keeping up with the Jones case: establishing constructive trusts in ‘sole legal </w:t>
      </w:r>
      <w:proofErr w:type="spellStart"/>
      <w:r w:rsidRPr="00BC35C3">
        <w:rPr>
          <w:rFonts w:asciiTheme="minorHAnsi" w:hAnsiTheme="minorHAnsi"/>
          <w:sz w:val="28"/>
          <w:szCs w:val="28"/>
        </w:rPr>
        <w:t>owner’scenarios</w:t>
      </w:r>
      <w:proofErr w:type="spellEnd"/>
      <w:r w:rsidRPr="00BC35C3">
        <w:rPr>
          <w:rFonts w:asciiTheme="minorHAnsi" w:hAnsiTheme="minorHAnsi"/>
          <w:sz w:val="28"/>
          <w:szCs w:val="28"/>
        </w:rPr>
        <w:t>. </w:t>
      </w:r>
      <w:r w:rsidRPr="00BC35C3">
        <w:rPr>
          <w:rFonts w:asciiTheme="minorHAnsi" w:hAnsiTheme="minorHAnsi"/>
          <w:i/>
          <w:iCs/>
          <w:sz w:val="28"/>
          <w:szCs w:val="28"/>
        </w:rPr>
        <w:t>Legal studies</w:t>
      </w:r>
      <w:r w:rsidRPr="00BC35C3">
        <w:rPr>
          <w:rFonts w:asciiTheme="minorHAnsi" w:hAnsiTheme="minorHAnsi"/>
          <w:sz w:val="28"/>
          <w:szCs w:val="28"/>
        </w:rPr>
        <w:t>, </w:t>
      </w:r>
      <w:r w:rsidRPr="00BC35C3">
        <w:rPr>
          <w:rFonts w:asciiTheme="minorHAnsi" w:hAnsiTheme="minorHAnsi"/>
          <w:i/>
          <w:iCs/>
          <w:sz w:val="28"/>
          <w:szCs w:val="28"/>
        </w:rPr>
        <w:t>35</w:t>
      </w:r>
      <w:r w:rsidRPr="00BC35C3">
        <w:rPr>
          <w:rFonts w:asciiTheme="minorHAnsi" w:hAnsiTheme="minorHAnsi"/>
          <w:sz w:val="28"/>
          <w:szCs w:val="28"/>
        </w:rPr>
        <w:t xml:space="preserve">(2), pp.226-251. </w:t>
      </w:r>
    </w:p>
    <w:p w14:paraId="1F14E3B3" w14:textId="77777777" w:rsidR="0002467C" w:rsidRDefault="0002467C">
      <w:pPr>
        <w:spacing w:after="160" w:line="278" w:lineRule="auto"/>
        <w:rPr>
          <w:rFonts w:asciiTheme="minorHAnsi" w:hAnsiTheme="minorHAnsi"/>
          <w:sz w:val="28"/>
          <w:szCs w:val="28"/>
        </w:rPr>
      </w:pPr>
      <w:r w:rsidRPr="0002467C">
        <w:rPr>
          <w:rFonts w:asciiTheme="minorHAnsi" w:hAnsiTheme="minorHAnsi"/>
          <w:sz w:val="28"/>
          <w:szCs w:val="28"/>
        </w:rPr>
        <w:t>Sloan, B., 2010. Proprietary Estoppel: Recent Developments in England and Wales. </w:t>
      </w:r>
      <w:proofErr w:type="spellStart"/>
      <w:r w:rsidRPr="0002467C">
        <w:rPr>
          <w:rFonts w:asciiTheme="minorHAnsi" w:hAnsiTheme="minorHAnsi"/>
          <w:i/>
          <w:iCs/>
          <w:sz w:val="28"/>
          <w:szCs w:val="28"/>
        </w:rPr>
        <w:t>SAcLJ</w:t>
      </w:r>
      <w:proofErr w:type="spellEnd"/>
      <w:r w:rsidRPr="0002467C">
        <w:rPr>
          <w:rFonts w:asciiTheme="minorHAnsi" w:hAnsiTheme="minorHAnsi"/>
          <w:sz w:val="28"/>
          <w:szCs w:val="28"/>
        </w:rPr>
        <w:t>, </w:t>
      </w:r>
      <w:r w:rsidRPr="0002467C">
        <w:rPr>
          <w:rFonts w:asciiTheme="minorHAnsi" w:hAnsiTheme="minorHAnsi"/>
          <w:i/>
          <w:iCs/>
          <w:sz w:val="28"/>
          <w:szCs w:val="28"/>
        </w:rPr>
        <w:t>22</w:t>
      </w:r>
      <w:r w:rsidRPr="0002467C">
        <w:rPr>
          <w:rFonts w:asciiTheme="minorHAnsi" w:hAnsiTheme="minorHAnsi"/>
          <w:sz w:val="28"/>
          <w:szCs w:val="28"/>
        </w:rPr>
        <w:t xml:space="preserve">, p.110. </w:t>
      </w:r>
    </w:p>
    <w:p w14:paraId="06C68B08" w14:textId="23266C1B" w:rsidR="0002467C" w:rsidRDefault="0002467C">
      <w:pPr>
        <w:spacing w:after="160" w:line="278" w:lineRule="auto"/>
        <w:rPr>
          <w:rFonts w:asciiTheme="minorHAnsi" w:hAnsiTheme="minorHAnsi"/>
          <w:sz w:val="28"/>
          <w:szCs w:val="28"/>
        </w:rPr>
      </w:pPr>
      <w:r w:rsidRPr="0002467C">
        <w:rPr>
          <w:rFonts w:asciiTheme="minorHAnsi" w:hAnsiTheme="minorHAnsi"/>
          <w:sz w:val="28"/>
          <w:szCs w:val="28"/>
        </w:rPr>
        <w:t>Smith, L., 2013. Constructive trusts and the no-profit rule. </w:t>
      </w:r>
      <w:r w:rsidRPr="0002467C">
        <w:rPr>
          <w:rFonts w:asciiTheme="minorHAnsi" w:hAnsiTheme="minorHAnsi"/>
          <w:i/>
          <w:iCs/>
          <w:sz w:val="28"/>
          <w:szCs w:val="28"/>
        </w:rPr>
        <w:t>The Cambridge Law Journal</w:t>
      </w:r>
      <w:r w:rsidRPr="0002467C">
        <w:rPr>
          <w:rFonts w:asciiTheme="minorHAnsi" w:hAnsiTheme="minorHAnsi"/>
          <w:sz w:val="28"/>
          <w:szCs w:val="28"/>
        </w:rPr>
        <w:t>, </w:t>
      </w:r>
      <w:r w:rsidRPr="0002467C">
        <w:rPr>
          <w:rFonts w:asciiTheme="minorHAnsi" w:hAnsiTheme="minorHAnsi"/>
          <w:i/>
          <w:iCs/>
          <w:sz w:val="28"/>
          <w:szCs w:val="28"/>
        </w:rPr>
        <w:t>72</w:t>
      </w:r>
      <w:r w:rsidRPr="0002467C">
        <w:rPr>
          <w:rFonts w:asciiTheme="minorHAnsi" w:hAnsiTheme="minorHAnsi"/>
          <w:sz w:val="28"/>
          <w:szCs w:val="28"/>
        </w:rPr>
        <w:t>(2), pp.260-263.</w:t>
      </w:r>
    </w:p>
    <w:p w14:paraId="4454902C" w14:textId="71335246" w:rsidR="0002467C" w:rsidRDefault="0002467C">
      <w:pPr>
        <w:spacing w:after="160" w:line="278" w:lineRule="auto"/>
        <w:rPr>
          <w:rFonts w:asciiTheme="minorHAnsi" w:hAnsiTheme="minorHAnsi"/>
          <w:sz w:val="28"/>
          <w:szCs w:val="28"/>
        </w:rPr>
      </w:pPr>
      <w:r w:rsidRPr="0002467C">
        <w:rPr>
          <w:rFonts w:asciiTheme="minorHAnsi" w:hAnsiTheme="minorHAnsi"/>
          <w:sz w:val="28"/>
          <w:szCs w:val="28"/>
        </w:rPr>
        <w:t>Swadling, W., 2011. The fiction of the constructive trust. </w:t>
      </w:r>
      <w:r w:rsidRPr="0002467C">
        <w:rPr>
          <w:rFonts w:asciiTheme="minorHAnsi" w:hAnsiTheme="minorHAnsi"/>
          <w:i/>
          <w:iCs/>
          <w:sz w:val="28"/>
          <w:szCs w:val="28"/>
        </w:rPr>
        <w:t>Current Legal Problems</w:t>
      </w:r>
      <w:r w:rsidRPr="0002467C">
        <w:rPr>
          <w:rFonts w:asciiTheme="minorHAnsi" w:hAnsiTheme="minorHAnsi"/>
          <w:sz w:val="28"/>
          <w:szCs w:val="28"/>
        </w:rPr>
        <w:t>, </w:t>
      </w:r>
      <w:r w:rsidRPr="0002467C">
        <w:rPr>
          <w:rFonts w:asciiTheme="minorHAnsi" w:hAnsiTheme="minorHAnsi"/>
          <w:i/>
          <w:iCs/>
          <w:sz w:val="28"/>
          <w:szCs w:val="28"/>
        </w:rPr>
        <w:t>64</w:t>
      </w:r>
      <w:r w:rsidRPr="0002467C">
        <w:rPr>
          <w:rFonts w:asciiTheme="minorHAnsi" w:hAnsiTheme="minorHAnsi"/>
          <w:sz w:val="28"/>
          <w:szCs w:val="28"/>
        </w:rPr>
        <w:t>(1), pp.399-433.</w:t>
      </w:r>
    </w:p>
    <w:p w14:paraId="1EB64F54" w14:textId="0B097BAF" w:rsidR="001D180A" w:rsidRPr="00BC35C3" w:rsidRDefault="0002467C">
      <w:pPr>
        <w:spacing w:after="160" w:line="278" w:lineRule="auto"/>
        <w:rPr>
          <w:rFonts w:asciiTheme="minorHAnsi" w:hAnsiTheme="minorHAnsi"/>
          <w:sz w:val="28"/>
          <w:szCs w:val="28"/>
        </w:rPr>
      </w:pPr>
      <w:r w:rsidRPr="0002467C">
        <w:rPr>
          <w:rFonts w:asciiTheme="minorHAnsi" w:hAnsiTheme="minorHAnsi"/>
          <w:sz w:val="28"/>
          <w:szCs w:val="28"/>
        </w:rPr>
        <w:t xml:space="preserve">Webster, P., 2016. Ben McFarlane, The Law of Proprietary Estoppel. </w:t>
      </w:r>
      <w:r w:rsidR="001D180A" w:rsidRPr="00BC35C3">
        <w:rPr>
          <w:rFonts w:asciiTheme="minorHAnsi" w:hAnsiTheme="minorHAnsi"/>
          <w:sz w:val="28"/>
          <w:szCs w:val="28"/>
        </w:rPr>
        <w:br w:type="page"/>
      </w:r>
    </w:p>
    <w:p w14:paraId="6F488E46" w14:textId="20F9323B" w:rsidR="001D180A" w:rsidRDefault="001D180A" w:rsidP="001D180A">
      <w:pPr>
        <w:pStyle w:val="Heading1"/>
      </w:pPr>
      <w:r>
        <w:lastRenderedPageBreak/>
        <w:t>Cases</w:t>
      </w:r>
    </w:p>
    <w:p w14:paraId="08B86569" w14:textId="77777777" w:rsidR="001D180A" w:rsidRDefault="001D180A" w:rsidP="001D180A">
      <w:pPr>
        <w:rPr>
          <w:rFonts w:asciiTheme="minorHAnsi" w:hAnsiTheme="minorHAnsi"/>
          <w:sz w:val="28"/>
          <w:szCs w:val="28"/>
        </w:rPr>
      </w:pPr>
    </w:p>
    <w:p w14:paraId="3440BEF1" w14:textId="08DD6B24" w:rsidR="00F552F7" w:rsidRDefault="00F552F7" w:rsidP="001D180A">
      <w:pPr>
        <w:rPr>
          <w:rFonts w:asciiTheme="minorHAnsi" w:hAnsiTheme="minorHAnsi"/>
          <w:sz w:val="28"/>
          <w:szCs w:val="28"/>
        </w:rPr>
      </w:pPr>
      <w:r w:rsidRPr="00F552F7">
        <w:rPr>
          <w:rFonts w:asciiTheme="minorHAnsi" w:hAnsiTheme="minorHAnsi"/>
          <w:sz w:val="28"/>
          <w:szCs w:val="28"/>
        </w:rPr>
        <w:t xml:space="preserve">Ahmed Khan &amp; Ors v Muhammed Iftekhar Khan [2025] EWCA </w:t>
      </w:r>
      <w:proofErr w:type="spellStart"/>
      <w:r w:rsidRPr="00F552F7">
        <w:rPr>
          <w:rFonts w:asciiTheme="minorHAnsi" w:hAnsiTheme="minorHAnsi"/>
          <w:sz w:val="28"/>
          <w:szCs w:val="28"/>
        </w:rPr>
        <w:t>Civ</w:t>
      </w:r>
      <w:proofErr w:type="spellEnd"/>
      <w:r w:rsidRPr="00F552F7">
        <w:rPr>
          <w:rFonts w:asciiTheme="minorHAnsi" w:hAnsiTheme="minorHAnsi"/>
          <w:sz w:val="28"/>
          <w:szCs w:val="28"/>
        </w:rPr>
        <w:t xml:space="preserve"> 1436</w:t>
      </w:r>
    </w:p>
    <w:p w14:paraId="55461B87" w14:textId="77777777" w:rsidR="00F552F7" w:rsidRPr="001D180A" w:rsidRDefault="00F552F7" w:rsidP="001D180A">
      <w:pPr>
        <w:rPr>
          <w:rFonts w:asciiTheme="minorHAnsi" w:hAnsiTheme="minorHAnsi"/>
          <w:sz w:val="28"/>
          <w:szCs w:val="28"/>
        </w:rPr>
      </w:pPr>
    </w:p>
    <w:p w14:paraId="75E5C495" w14:textId="7785B485" w:rsidR="001D180A" w:rsidRPr="001D180A" w:rsidRDefault="001D180A" w:rsidP="001D180A">
      <w:pPr>
        <w:rPr>
          <w:rFonts w:asciiTheme="minorHAnsi" w:hAnsiTheme="minorHAnsi"/>
          <w:sz w:val="28"/>
          <w:szCs w:val="28"/>
        </w:rPr>
      </w:pPr>
      <w:r w:rsidRPr="001D180A">
        <w:rPr>
          <w:rFonts w:asciiTheme="minorHAnsi" w:hAnsiTheme="minorHAnsi"/>
          <w:sz w:val="28"/>
          <w:szCs w:val="28"/>
        </w:rPr>
        <w:t>Ali v Khan [20</w:t>
      </w:r>
      <w:r w:rsidR="00F552F7">
        <w:rPr>
          <w:rFonts w:asciiTheme="minorHAnsi" w:hAnsiTheme="minorHAnsi"/>
          <w:sz w:val="28"/>
          <w:szCs w:val="28"/>
        </w:rPr>
        <w:t>0</w:t>
      </w:r>
      <w:r w:rsidRPr="001D180A">
        <w:rPr>
          <w:rFonts w:asciiTheme="minorHAnsi" w:hAnsiTheme="minorHAnsi"/>
          <w:sz w:val="28"/>
          <w:szCs w:val="28"/>
        </w:rPr>
        <w:t xml:space="preserve">2] EWCA </w:t>
      </w:r>
      <w:proofErr w:type="spellStart"/>
      <w:r w:rsidRPr="001D180A">
        <w:rPr>
          <w:rFonts w:asciiTheme="minorHAnsi" w:hAnsiTheme="minorHAnsi"/>
          <w:sz w:val="28"/>
          <w:szCs w:val="28"/>
        </w:rPr>
        <w:t>Civ</w:t>
      </w:r>
      <w:proofErr w:type="spellEnd"/>
      <w:r w:rsidRPr="001D180A">
        <w:rPr>
          <w:rFonts w:asciiTheme="minorHAnsi" w:hAnsiTheme="minorHAnsi"/>
          <w:sz w:val="28"/>
          <w:szCs w:val="28"/>
        </w:rPr>
        <w:t xml:space="preserve"> 423</w:t>
      </w:r>
    </w:p>
    <w:p w14:paraId="4B12C2FA" w14:textId="77777777" w:rsidR="001D180A" w:rsidRPr="001D180A" w:rsidRDefault="001D180A" w:rsidP="001D180A">
      <w:pPr>
        <w:rPr>
          <w:rFonts w:asciiTheme="minorHAnsi" w:hAnsiTheme="minorHAnsi"/>
          <w:i/>
          <w:iCs/>
          <w:sz w:val="28"/>
          <w:szCs w:val="28"/>
        </w:rPr>
      </w:pPr>
    </w:p>
    <w:p w14:paraId="0AB3881D" w14:textId="617E731B" w:rsidR="001D180A" w:rsidRDefault="001D180A" w:rsidP="001D180A">
      <w:pPr>
        <w:rPr>
          <w:rFonts w:asciiTheme="minorHAnsi" w:hAnsiTheme="minorHAnsi"/>
          <w:sz w:val="28"/>
          <w:szCs w:val="28"/>
        </w:rPr>
      </w:pPr>
      <w:r w:rsidRPr="001D180A">
        <w:rPr>
          <w:rFonts w:asciiTheme="minorHAnsi" w:hAnsiTheme="minorHAnsi"/>
          <w:i/>
          <w:iCs/>
          <w:sz w:val="28"/>
          <w:szCs w:val="28"/>
        </w:rPr>
        <w:t>Curran v Collins</w:t>
      </w:r>
      <w:r w:rsidRPr="001D180A">
        <w:rPr>
          <w:rFonts w:asciiTheme="minorHAnsi" w:hAnsiTheme="minorHAnsi"/>
          <w:sz w:val="28"/>
          <w:szCs w:val="28"/>
        </w:rPr>
        <w:t xml:space="preserve"> [2015] EWCA </w:t>
      </w:r>
      <w:proofErr w:type="spellStart"/>
      <w:r w:rsidRPr="001D180A">
        <w:rPr>
          <w:rFonts w:asciiTheme="minorHAnsi" w:hAnsiTheme="minorHAnsi"/>
          <w:sz w:val="28"/>
          <w:szCs w:val="28"/>
        </w:rPr>
        <w:t>Civ</w:t>
      </w:r>
      <w:proofErr w:type="spellEnd"/>
      <w:r w:rsidRPr="001D180A">
        <w:rPr>
          <w:rFonts w:asciiTheme="minorHAnsi" w:hAnsiTheme="minorHAnsi"/>
          <w:sz w:val="28"/>
          <w:szCs w:val="28"/>
        </w:rPr>
        <w:t xml:space="preserve"> 404</w:t>
      </w:r>
    </w:p>
    <w:p w14:paraId="03BD5931" w14:textId="77777777" w:rsidR="00F552F7" w:rsidRDefault="00F552F7" w:rsidP="001D180A">
      <w:pPr>
        <w:rPr>
          <w:rFonts w:asciiTheme="minorHAnsi" w:hAnsiTheme="minorHAnsi"/>
          <w:sz w:val="28"/>
          <w:szCs w:val="28"/>
        </w:rPr>
      </w:pPr>
    </w:p>
    <w:p w14:paraId="4EDEBC0E" w14:textId="33BA0E24" w:rsidR="00F552F7" w:rsidRDefault="00F552F7" w:rsidP="001D180A">
      <w:pPr>
        <w:rPr>
          <w:rFonts w:asciiTheme="minorHAnsi" w:hAnsiTheme="minorHAnsi"/>
          <w:sz w:val="28"/>
          <w:szCs w:val="28"/>
        </w:rPr>
      </w:pPr>
      <w:r w:rsidRPr="00F552F7">
        <w:rPr>
          <w:rFonts w:asciiTheme="minorHAnsi" w:hAnsiTheme="minorHAnsi"/>
          <w:sz w:val="28"/>
          <w:szCs w:val="28"/>
        </w:rPr>
        <w:t>DDR v BDR [2024] EWFC 278</w:t>
      </w:r>
    </w:p>
    <w:p w14:paraId="4BE681D4" w14:textId="77777777" w:rsidR="003A47EE" w:rsidRDefault="003A47EE" w:rsidP="001D180A">
      <w:pPr>
        <w:rPr>
          <w:rFonts w:asciiTheme="minorHAnsi" w:hAnsiTheme="minorHAnsi"/>
          <w:sz w:val="28"/>
          <w:szCs w:val="28"/>
        </w:rPr>
      </w:pPr>
    </w:p>
    <w:p w14:paraId="2051183D" w14:textId="51301220" w:rsidR="003A47EE" w:rsidRDefault="003A47EE" w:rsidP="001D180A">
      <w:pPr>
        <w:rPr>
          <w:rFonts w:asciiTheme="minorHAnsi" w:hAnsiTheme="minorHAnsi"/>
          <w:sz w:val="28"/>
          <w:szCs w:val="28"/>
        </w:rPr>
      </w:pPr>
      <w:r w:rsidRPr="003A47EE">
        <w:rPr>
          <w:rFonts w:asciiTheme="minorHAnsi" w:hAnsiTheme="minorHAnsi"/>
          <w:sz w:val="28"/>
          <w:szCs w:val="28"/>
        </w:rPr>
        <w:t>Eves v Eves [1975] 1 WLR 1338</w:t>
      </w:r>
    </w:p>
    <w:p w14:paraId="74E9BBEF" w14:textId="77777777" w:rsidR="003A47EE" w:rsidRDefault="003A47EE" w:rsidP="001D180A">
      <w:pPr>
        <w:rPr>
          <w:rFonts w:asciiTheme="minorHAnsi" w:hAnsiTheme="minorHAnsi"/>
          <w:sz w:val="28"/>
          <w:szCs w:val="28"/>
        </w:rPr>
      </w:pPr>
    </w:p>
    <w:p w14:paraId="1A937C05" w14:textId="551A4544" w:rsidR="003A47EE" w:rsidRDefault="003A47EE" w:rsidP="001D180A">
      <w:pPr>
        <w:rPr>
          <w:rFonts w:asciiTheme="minorHAnsi" w:hAnsiTheme="minorHAnsi"/>
          <w:sz w:val="28"/>
          <w:szCs w:val="28"/>
        </w:rPr>
      </w:pPr>
      <w:r w:rsidRPr="003A47EE">
        <w:rPr>
          <w:rFonts w:asciiTheme="minorHAnsi" w:hAnsiTheme="minorHAnsi"/>
          <w:sz w:val="28"/>
          <w:szCs w:val="28"/>
        </w:rPr>
        <w:t xml:space="preserve">Geary v Rankine [2012] EWCA </w:t>
      </w:r>
      <w:proofErr w:type="spellStart"/>
      <w:r w:rsidRPr="003A47EE">
        <w:rPr>
          <w:rFonts w:asciiTheme="minorHAnsi" w:hAnsiTheme="minorHAnsi"/>
          <w:sz w:val="28"/>
          <w:szCs w:val="28"/>
        </w:rPr>
        <w:t>Civ</w:t>
      </w:r>
      <w:proofErr w:type="spellEnd"/>
      <w:r w:rsidRPr="003A47EE">
        <w:rPr>
          <w:rFonts w:asciiTheme="minorHAnsi" w:hAnsiTheme="minorHAnsi"/>
          <w:sz w:val="28"/>
          <w:szCs w:val="28"/>
        </w:rPr>
        <w:t xml:space="preserve"> 555</w:t>
      </w:r>
    </w:p>
    <w:p w14:paraId="65439970" w14:textId="77777777" w:rsidR="003A47EE" w:rsidRDefault="003A47EE" w:rsidP="001D180A">
      <w:pPr>
        <w:rPr>
          <w:rFonts w:asciiTheme="minorHAnsi" w:hAnsiTheme="minorHAnsi"/>
          <w:sz w:val="28"/>
          <w:szCs w:val="28"/>
        </w:rPr>
      </w:pPr>
    </w:p>
    <w:p w14:paraId="6DEA5157" w14:textId="4CDA6EAE" w:rsidR="003A47EE" w:rsidRPr="001D180A" w:rsidRDefault="003A47EE" w:rsidP="001D180A">
      <w:pPr>
        <w:rPr>
          <w:rFonts w:asciiTheme="minorHAnsi" w:hAnsiTheme="minorHAnsi"/>
          <w:sz w:val="28"/>
          <w:szCs w:val="28"/>
        </w:rPr>
      </w:pPr>
      <w:r w:rsidRPr="003A47EE">
        <w:rPr>
          <w:rFonts w:asciiTheme="minorHAnsi" w:hAnsiTheme="minorHAnsi"/>
          <w:sz w:val="28"/>
          <w:szCs w:val="28"/>
        </w:rPr>
        <w:t>Grant v Edwards [1986] Ch 638</w:t>
      </w:r>
    </w:p>
    <w:p w14:paraId="7CC5ECA0" w14:textId="77777777" w:rsidR="001D180A" w:rsidRDefault="001D180A" w:rsidP="001D180A">
      <w:pPr>
        <w:rPr>
          <w:rFonts w:asciiTheme="minorHAnsi" w:hAnsiTheme="minorHAnsi"/>
          <w:sz w:val="28"/>
          <w:szCs w:val="28"/>
        </w:rPr>
      </w:pPr>
    </w:p>
    <w:p w14:paraId="24796E05" w14:textId="29CEC770" w:rsidR="001D180A" w:rsidRPr="001D180A" w:rsidRDefault="001D180A" w:rsidP="001D180A">
      <w:pPr>
        <w:rPr>
          <w:rFonts w:asciiTheme="minorHAnsi" w:hAnsiTheme="minorHAnsi"/>
          <w:sz w:val="28"/>
          <w:szCs w:val="28"/>
        </w:rPr>
      </w:pPr>
      <w:r w:rsidRPr="001D180A">
        <w:rPr>
          <w:rFonts w:asciiTheme="minorHAnsi" w:hAnsiTheme="minorHAnsi"/>
          <w:sz w:val="28"/>
          <w:szCs w:val="28"/>
        </w:rPr>
        <w:t xml:space="preserve">Hudson v Hathway [2024] EWCA </w:t>
      </w:r>
      <w:proofErr w:type="spellStart"/>
      <w:r w:rsidRPr="001D180A">
        <w:rPr>
          <w:rFonts w:asciiTheme="minorHAnsi" w:hAnsiTheme="minorHAnsi"/>
          <w:sz w:val="28"/>
          <w:szCs w:val="28"/>
        </w:rPr>
        <w:t>Civ</w:t>
      </w:r>
      <w:proofErr w:type="spellEnd"/>
      <w:r w:rsidRPr="001D180A">
        <w:rPr>
          <w:rFonts w:asciiTheme="minorHAnsi" w:hAnsiTheme="minorHAnsi"/>
          <w:sz w:val="28"/>
          <w:szCs w:val="28"/>
        </w:rPr>
        <w:t xml:space="preserve"> 164</w:t>
      </w:r>
    </w:p>
    <w:p w14:paraId="61AC84AB" w14:textId="77777777" w:rsidR="001D180A" w:rsidRDefault="001D180A" w:rsidP="001D180A">
      <w:pPr>
        <w:rPr>
          <w:b/>
          <w:bCs/>
        </w:rPr>
      </w:pPr>
    </w:p>
    <w:p w14:paraId="39903674" w14:textId="6B17669F" w:rsidR="001D180A" w:rsidRDefault="001D180A" w:rsidP="001D180A">
      <w:pPr>
        <w:rPr>
          <w:rFonts w:asciiTheme="minorHAnsi" w:hAnsiTheme="minorHAnsi"/>
          <w:sz w:val="28"/>
          <w:szCs w:val="28"/>
        </w:rPr>
      </w:pPr>
      <w:r w:rsidRPr="001D180A">
        <w:rPr>
          <w:rFonts w:asciiTheme="minorHAnsi" w:hAnsiTheme="minorHAnsi"/>
          <w:sz w:val="28"/>
          <w:szCs w:val="28"/>
        </w:rPr>
        <w:t xml:space="preserve">James v Thomas [2002] EWCA </w:t>
      </w:r>
      <w:proofErr w:type="spellStart"/>
      <w:r w:rsidRPr="001D180A">
        <w:rPr>
          <w:rFonts w:asciiTheme="minorHAnsi" w:hAnsiTheme="minorHAnsi"/>
          <w:sz w:val="28"/>
          <w:szCs w:val="28"/>
        </w:rPr>
        <w:t>Civ</w:t>
      </w:r>
      <w:proofErr w:type="spellEnd"/>
      <w:r w:rsidRPr="001D180A">
        <w:rPr>
          <w:rFonts w:asciiTheme="minorHAnsi" w:hAnsiTheme="minorHAnsi"/>
          <w:sz w:val="28"/>
          <w:szCs w:val="28"/>
        </w:rPr>
        <w:t xml:space="preserve"> 1608</w:t>
      </w:r>
    </w:p>
    <w:p w14:paraId="7CED72DF" w14:textId="77777777" w:rsidR="001D180A" w:rsidRDefault="001D180A" w:rsidP="001D180A">
      <w:pPr>
        <w:rPr>
          <w:rFonts w:asciiTheme="minorHAnsi" w:hAnsiTheme="minorHAnsi"/>
          <w:sz w:val="28"/>
          <w:szCs w:val="28"/>
        </w:rPr>
      </w:pPr>
    </w:p>
    <w:p w14:paraId="6B0B72F3" w14:textId="77777777" w:rsidR="001D180A" w:rsidRPr="001D180A" w:rsidRDefault="001D180A" w:rsidP="001D180A">
      <w:pPr>
        <w:rPr>
          <w:rFonts w:asciiTheme="minorHAnsi" w:hAnsiTheme="minorHAnsi"/>
          <w:sz w:val="28"/>
          <w:szCs w:val="28"/>
        </w:rPr>
      </w:pPr>
      <w:r w:rsidRPr="001D180A">
        <w:rPr>
          <w:rFonts w:asciiTheme="minorHAnsi" w:hAnsiTheme="minorHAnsi"/>
          <w:i/>
          <w:iCs/>
          <w:sz w:val="28"/>
          <w:szCs w:val="28"/>
        </w:rPr>
        <w:t>Jones v Kernott</w:t>
      </w:r>
      <w:r w:rsidRPr="001D180A">
        <w:rPr>
          <w:rFonts w:asciiTheme="minorHAnsi" w:hAnsiTheme="minorHAnsi"/>
          <w:sz w:val="28"/>
          <w:szCs w:val="28"/>
        </w:rPr>
        <w:t xml:space="preserve"> [2011] UKSC 53</w:t>
      </w:r>
    </w:p>
    <w:p w14:paraId="7E019710" w14:textId="77777777" w:rsidR="001D180A" w:rsidRPr="001D180A" w:rsidRDefault="001D180A" w:rsidP="001D180A">
      <w:pPr>
        <w:rPr>
          <w:rFonts w:asciiTheme="minorHAnsi" w:hAnsiTheme="minorHAnsi"/>
          <w:sz w:val="28"/>
          <w:szCs w:val="28"/>
        </w:rPr>
      </w:pPr>
    </w:p>
    <w:p w14:paraId="7A22CF33" w14:textId="19DC4809" w:rsidR="001D180A" w:rsidRDefault="001D180A" w:rsidP="001D180A">
      <w:pPr>
        <w:rPr>
          <w:rFonts w:asciiTheme="minorHAnsi" w:hAnsiTheme="minorHAnsi"/>
          <w:sz w:val="28"/>
          <w:szCs w:val="28"/>
        </w:rPr>
      </w:pPr>
      <w:r w:rsidRPr="001D180A">
        <w:rPr>
          <w:rFonts w:asciiTheme="minorHAnsi" w:hAnsiTheme="minorHAnsi"/>
          <w:i/>
          <w:iCs/>
          <w:sz w:val="28"/>
          <w:szCs w:val="28"/>
        </w:rPr>
        <w:t>Lloyds Bank v Rosset</w:t>
      </w:r>
      <w:r w:rsidRPr="001D180A">
        <w:rPr>
          <w:rFonts w:asciiTheme="minorHAnsi" w:hAnsiTheme="minorHAnsi"/>
          <w:sz w:val="28"/>
          <w:szCs w:val="28"/>
        </w:rPr>
        <w:t xml:space="preserve"> [1991] 1 AC 107</w:t>
      </w:r>
    </w:p>
    <w:p w14:paraId="64331EA3" w14:textId="77777777" w:rsidR="00F552F7" w:rsidRDefault="00F552F7" w:rsidP="001D180A">
      <w:pPr>
        <w:rPr>
          <w:rFonts w:asciiTheme="minorHAnsi" w:hAnsiTheme="minorHAnsi"/>
          <w:sz w:val="28"/>
          <w:szCs w:val="28"/>
        </w:rPr>
      </w:pPr>
    </w:p>
    <w:p w14:paraId="142B1693" w14:textId="4A777793" w:rsidR="00F552F7" w:rsidRPr="001D180A" w:rsidRDefault="00F552F7" w:rsidP="001D180A">
      <w:pPr>
        <w:rPr>
          <w:rFonts w:asciiTheme="minorHAnsi" w:hAnsiTheme="minorHAnsi"/>
          <w:sz w:val="28"/>
          <w:szCs w:val="28"/>
        </w:rPr>
      </w:pPr>
      <w:r w:rsidRPr="00F552F7">
        <w:rPr>
          <w:rFonts w:asciiTheme="minorHAnsi" w:hAnsiTheme="minorHAnsi"/>
          <w:sz w:val="28"/>
          <w:szCs w:val="28"/>
        </w:rPr>
        <w:t xml:space="preserve">O’Neill v Holland [2020] EWCA </w:t>
      </w:r>
      <w:proofErr w:type="spellStart"/>
      <w:r w:rsidRPr="00F552F7">
        <w:rPr>
          <w:rFonts w:asciiTheme="minorHAnsi" w:hAnsiTheme="minorHAnsi"/>
          <w:sz w:val="28"/>
          <w:szCs w:val="28"/>
        </w:rPr>
        <w:t>Civ</w:t>
      </w:r>
      <w:proofErr w:type="spellEnd"/>
      <w:r w:rsidRPr="00F552F7">
        <w:rPr>
          <w:rFonts w:asciiTheme="minorHAnsi" w:hAnsiTheme="minorHAnsi"/>
          <w:sz w:val="28"/>
          <w:szCs w:val="28"/>
        </w:rPr>
        <w:t xml:space="preserve"> 1583</w:t>
      </w:r>
    </w:p>
    <w:p w14:paraId="061D53C1" w14:textId="77777777" w:rsidR="001D180A" w:rsidRPr="001D180A" w:rsidRDefault="001D180A" w:rsidP="001D180A">
      <w:pPr>
        <w:rPr>
          <w:rFonts w:asciiTheme="minorHAnsi" w:hAnsiTheme="minorHAnsi"/>
          <w:sz w:val="28"/>
          <w:szCs w:val="28"/>
        </w:rPr>
      </w:pPr>
    </w:p>
    <w:p w14:paraId="053AF6C6" w14:textId="3779FF75" w:rsidR="001D180A" w:rsidRDefault="001D180A" w:rsidP="001D180A">
      <w:pPr>
        <w:rPr>
          <w:rFonts w:asciiTheme="minorHAnsi" w:hAnsiTheme="minorHAnsi"/>
          <w:sz w:val="28"/>
          <w:szCs w:val="28"/>
        </w:rPr>
      </w:pPr>
      <w:r w:rsidRPr="001D180A">
        <w:rPr>
          <w:rFonts w:asciiTheme="minorHAnsi" w:hAnsiTheme="minorHAnsi"/>
          <w:i/>
          <w:iCs/>
          <w:sz w:val="28"/>
          <w:szCs w:val="28"/>
        </w:rPr>
        <w:t>Stack v Dowden</w:t>
      </w:r>
      <w:r w:rsidRPr="001D180A">
        <w:rPr>
          <w:rFonts w:asciiTheme="minorHAnsi" w:hAnsiTheme="minorHAnsi"/>
          <w:sz w:val="28"/>
          <w:szCs w:val="28"/>
        </w:rPr>
        <w:t xml:space="preserve"> [2007] UKHL 17</w:t>
      </w:r>
    </w:p>
    <w:p w14:paraId="7B0DF55E" w14:textId="77777777" w:rsidR="0002467C" w:rsidRDefault="0002467C" w:rsidP="001D180A">
      <w:pPr>
        <w:rPr>
          <w:rFonts w:asciiTheme="minorHAnsi" w:hAnsiTheme="minorHAnsi"/>
          <w:sz w:val="28"/>
          <w:szCs w:val="28"/>
        </w:rPr>
      </w:pPr>
    </w:p>
    <w:p w14:paraId="315EDA2F" w14:textId="0D0315C9" w:rsidR="0002467C" w:rsidRPr="0002467C" w:rsidRDefault="0002467C" w:rsidP="001D180A">
      <w:pPr>
        <w:rPr>
          <w:rFonts w:asciiTheme="minorHAnsi" w:hAnsiTheme="minorHAnsi"/>
          <w:sz w:val="28"/>
          <w:szCs w:val="28"/>
        </w:rPr>
      </w:pPr>
      <w:r w:rsidRPr="0002467C">
        <w:rPr>
          <w:rFonts w:asciiTheme="minorHAnsi" w:hAnsiTheme="minorHAnsi"/>
          <w:i/>
          <w:iCs/>
          <w:sz w:val="28"/>
          <w:szCs w:val="28"/>
        </w:rPr>
        <w:t>Sullivan v Sullivan</w:t>
      </w:r>
      <w:r w:rsidRPr="0002467C">
        <w:rPr>
          <w:rFonts w:asciiTheme="minorHAnsi" w:hAnsiTheme="minorHAnsi"/>
          <w:sz w:val="28"/>
          <w:szCs w:val="28"/>
        </w:rPr>
        <w:t> [2025] EWHC 1072 (Ch)</w:t>
      </w:r>
    </w:p>
    <w:p w14:paraId="32C69261" w14:textId="77777777" w:rsidR="001D180A" w:rsidRDefault="001D180A" w:rsidP="001D180A">
      <w:pPr>
        <w:rPr>
          <w:rFonts w:asciiTheme="minorHAnsi" w:hAnsiTheme="minorHAnsi"/>
          <w:b/>
          <w:bCs/>
          <w:sz w:val="28"/>
          <w:szCs w:val="28"/>
        </w:rPr>
      </w:pPr>
    </w:p>
    <w:sectPr w:rsidR="001D1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00912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C68"/>
    <w:rsid w:val="0002467C"/>
    <w:rsid w:val="000B0A06"/>
    <w:rsid w:val="000E64DB"/>
    <w:rsid w:val="001D180A"/>
    <w:rsid w:val="002D7BC7"/>
    <w:rsid w:val="003A47EE"/>
    <w:rsid w:val="00624ECF"/>
    <w:rsid w:val="00654355"/>
    <w:rsid w:val="006979F6"/>
    <w:rsid w:val="00770748"/>
    <w:rsid w:val="00803233"/>
    <w:rsid w:val="0085198D"/>
    <w:rsid w:val="008B6AD0"/>
    <w:rsid w:val="009536FD"/>
    <w:rsid w:val="00983160"/>
    <w:rsid w:val="00A24251"/>
    <w:rsid w:val="00A7388D"/>
    <w:rsid w:val="00BC35C3"/>
    <w:rsid w:val="00C81C68"/>
    <w:rsid w:val="00E27F96"/>
    <w:rsid w:val="00EF3AAE"/>
    <w:rsid w:val="00F552F7"/>
    <w:rsid w:val="00F95E78"/>
    <w:rsid w:val="00FE2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FC0C2"/>
  <w15:chartTrackingRefBased/>
  <w15:docId w15:val="{E104B8EE-1597-4643-83E4-4AAFEA39C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C6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81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aliases w:val="Main body"/>
    <w:basedOn w:val="Normal"/>
    <w:next w:val="Normal"/>
    <w:link w:val="Heading2Char"/>
    <w:uiPriority w:val="9"/>
    <w:unhideWhenUsed/>
    <w:qFormat/>
    <w:rsid w:val="00C81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1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aliases w:val="bullet list"/>
    <w:basedOn w:val="Normal"/>
    <w:next w:val="Normal"/>
    <w:link w:val="Heading4Char"/>
    <w:uiPriority w:val="9"/>
    <w:unhideWhenUsed/>
    <w:qFormat/>
    <w:rsid w:val="00C81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81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1C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1C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1C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1C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C68"/>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Main body Char"/>
    <w:basedOn w:val="DefaultParagraphFont"/>
    <w:link w:val="Heading2"/>
    <w:uiPriority w:val="9"/>
    <w:rsid w:val="00C81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1C68"/>
    <w:rPr>
      <w:rFonts w:eastAsiaTheme="majorEastAsia" w:cstheme="majorBidi"/>
      <w:color w:val="0F4761" w:themeColor="accent1" w:themeShade="BF"/>
      <w:sz w:val="28"/>
      <w:szCs w:val="28"/>
    </w:rPr>
  </w:style>
  <w:style w:type="character" w:customStyle="1" w:styleId="Heading4Char">
    <w:name w:val="Heading 4 Char"/>
    <w:aliases w:val="bullet list Char"/>
    <w:basedOn w:val="DefaultParagraphFont"/>
    <w:link w:val="Heading4"/>
    <w:uiPriority w:val="9"/>
    <w:rsid w:val="00C81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1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1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C68"/>
    <w:rPr>
      <w:rFonts w:eastAsiaTheme="majorEastAsia" w:cstheme="majorBidi"/>
      <w:color w:val="272727" w:themeColor="text1" w:themeTint="D8"/>
    </w:rPr>
  </w:style>
  <w:style w:type="paragraph" w:styleId="Title">
    <w:name w:val="Title"/>
    <w:basedOn w:val="Normal"/>
    <w:next w:val="Normal"/>
    <w:link w:val="TitleChar"/>
    <w:uiPriority w:val="10"/>
    <w:qFormat/>
    <w:rsid w:val="00C81C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1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C68"/>
    <w:pPr>
      <w:spacing w:before="160"/>
      <w:jc w:val="center"/>
    </w:pPr>
    <w:rPr>
      <w:i/>
      <w:iCs/>
      <w:color w:val="404040" w:themeColor="text1" w:themeTint="BF"/>
    </w:rPr>
  </w:style>
  <w:style w:type="character" w:customStyle="1" w:styleId="QuoteChar">
    <w:name w:val="Quote Char"/>
    <w:basedOn w:val="DefaultParagraphFont"/>
    <w:link w:val="Quote"/>
    <w:uiPriority w:val="29"/>
    <w:rsid w:val="00C81C68"/>
    <w:rPr>
      <w:i/>
      <w:iCs/>
      <w:color w:val="404040" w:themeColor="text1" w:themeTint="BF"/>
    </w:rPr>
  </w:style>
  <w:style w:type="paragraph" w:styleId="ListParagraph">
    <w:name w:val="List Paragraph"/>
    <w:basedOn w:val="Normal"/>
    <w:uiPriority w:val="34"/>
    <w:qFormat/>
    <w:rsid w:val="00C81C68"/>
    <w:pPr>
      <w:ind w:left="720"/>
      <w:contextualSpacing/>
    </w:pPr>
  </w:style>
  <w:style w:type="character" w:styleId="IntenseEmphasis">
    <w:name w:val="Intense Emphasis"/>
    <w:basedOn w:val="DefaultParagraphFont"/>
    <w:uiPriority w:val="21"/>
    <w:qFormat/>
    <w:rsid w:val="00C81C68"/>
    <w:rPr>
      <w:i/>
      <w:iCs/>
      <w:color w:val="0F4761" w:themeColor="accent1" w:themeShade="BF"/>
    </w:rPr>
  </w:style>
  <w:style w:type="paragraph" w:styleId="IntenseQuote">
    <w:name w:val="Intense Quote"/>
    <w:basedOn w:val="Normal"/>
    <w:next w:val="Normal"/>
    <w:link w:val="IntenseQuoteChar"/>
    <w:uiPriority w:val="30"/>
    <w:qFormat/>
    <w:rsid w:val="00C81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1C68"/>
    <w:rPr>
      <w:i/>
      <w:iCs/>
      <w:color w:val="0F4761" w:themeColor="accent1" w:themeShade="BF"/>
    </w:rPr>
  </w:style>
  <w:style w:type="character" w:styleId="IntenseReference">
    <w:name w:val="Intense Reference"/>
    <w:basedOn w:val="DefaultParagraphFont"/>
    <w:uiPriority w:val="32"/>
    <w:qFormat/>
    <w:rsid w:val="00C81C68"/>
    <w:rPr>
      <w:b/>
      <w:bCs/>
      <w:smallCaps/>
      <w:color w:val="0F4761" w:themeColor="accent1" w:themeShade="BF"/>
      <w:spacing w:val="5"/>
    </w:rPr>
  </w:style>
  <w:style w:type="character" w:styleId="Hyperlink">
    <w:name w:val="Hyperlink"/>
    <w:basedOn w:val="DefaultParagraphFont"/>
    <w:uiPriority w:val="99"/>
    <w:unhideWhenUsed/>
    <w:rsid w:val="00C81C68"/>
    <w:rPr>
      <w:color w:val="467886" w:themeColor="hyperlink"/>
      <w:u w:val="single"/>
    </w:rPr>
  </w:style>
  <w:style w:type="character" w:styleId="SubtleEmphasis">
    <w:name w:val="Subtle Emphasis"/>
    <w:aliases w:val="Subtitle 1"/>
    <w:basedOn w:val="DefaultParagraphFont"/>
    <w:uiPriority w:val="19"/>
    <w:qFormat/>
    <w:rsid w:val="00C81C68"/>
    <w:rPr>
      <w:rFonts w:asciiTheme="majorHAnsi" w:hAnsiTheme="majorHAnsi"/>
      <w:b/>
      <w:iCs/>
      <w:color w:val="auto"/>
      <w:spacing w:val="0"/>
      <w:sz w:val="24"/>
      <w:u w:val="none"/>
    </w:rPr>
  </w:style>
  <w:style w:type="paragraph" w:styleId="Header">
    <w:name w:val="header"/>
    <w:basedOn w:val="Normal"/>
    <w:link w:val="HeaderChar"/>
    <w:rsid w:val="00C81C68"/>
    <w:pPr>
      <w:tabs>
        <w:tab w:val="center" w:pos="4153"/>
        <w:tab w:val="right" w:pos="8306"/>
      </w:tabs>
    </w:pPr>
    <w:rPr>
      <w:sz w:val="20"/>
      <w:szCs w:val="20"/>
    </w:rPr>
  </w:style>
  <w:style w:type="character" w:customStyle="1" w:styleId="HeaderChar">
    <w:name w:val="Header Char"/>
    <w:basedOn w:val="DefaultParagraphFont"/>
    <w:link w:val="Header"/>
    <w:rsid w:val="00C81C68"/>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85198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13</Pages>
  <Words>2661</Words>
  <Characters>15170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4</cp:revision>
  <dcterms:created xsi:type="dcterms:W3CDTF">2026-01-09T21:19:00Z</dcterms:created>
  <dcterms:modified xsi:type="dcterms:W3CDTF">2026-01-09T22:09:00Z</dcterms:modified>
</cp:coreProperties>
</file>