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68D289" w14:textId="1CA021C3" w:rsidR="00C37D79" w:rsidRPr="00664F31" w:rsidRDefault="312A6FEB" w:rsidP="00664F31">
      <w:pPr>
        <w:spacing w:line="360" w:lineRule="auto"/>
        <w:jc w:val="center"/>
        <w:rPr>
          <w:rFonts w:eastAsiaTheme="minorEastAsia" w:cstheme="minorHAnsi"/>
          <w:sz w:val="24"/>
          <w:szCs w:val="24"/>
          <w:u w:val="single"/>
        </w:rPr>
      </w:pPr>
      <w:r w:rsidRPr="00664F31">
        <w:rPr>
          <w:rFonts w:eastAsiaTheme="minorEastAsia" w:cstheme="minorHAnsi"/>
          <w:sz w:val="24"/>
          <w:szCs w:val="24"/>
          <w:u w:val="single"/>
        </w:rPr>
        <w:t>Marketing Fundamentals, Analysis and Evaluation</w:t>
      </w:r>
    </w:p>
    <w:p w14:paraId="07075E1D" w14:textId="77777777" w:rsidR="00664F31" w:rsidRPr="00664F31" w:rsidRDefault="00664F31" w:rsidP="00664F31">
      <w:pPr>
        <w:spacing w:line="360" w:lineRule="auto"/>
        <w:jc w:val="center"/>
        <w:rPr>
          <w:rFonts w:eastAsiaTheme="minorEastAsia" w:cstheme="minorHAnsi"/>
          <w:sz w:val="24"/>
          <w:szCs w:val="24"/>
          <w:u w:val="single"/>
        </w:rPr>
      </w:pPr>
    </w:p>
    <w:p w14:paraId="0C0C393C" w14:textId="6DD98E0E" w:rsidR="4F7524C6" w:rsidRPr="00664F31" w:rsidRDefault="2CFC3F17" w:rsidP="00664F31">
      <w:pPr>
        <w:spacing w:line="360" w:lineRule="auto"/>
        <w:ind w:firstLine="720"/>
        <w:jc w:val="both"/>
        <w:rPr>
          <w:rFonts w:eastAsiaTheme="minorEastAsia" w:cstheme="minorHAnsi"/>
          <w:sz w:val="24"/>
          <w:szCs w:val="24"/>
        </w:rPr>
      </w:pPr>
      <w:r w:rsidRPr="00664F31">
        <w:rPr>
          <w:rFonts w:eastAsiaTheme="minorEastAsia" w:cstheme="minorHAnsi"/>
          <w:sz w:val="24"/>
          <w:szCs w:val="24"/>
        </w:rPr>
        <w:t>This paper will analyse and evaluate marketing fundamentals.  This will involve the discussion of: marketing, the marketing mix theory, customer value, and the role of stakeholders.  It will also evaluate a recent team project undertaken with a local charity.</w:t>
      </w:r>
    </w:p>
    <w:p w14:paraId="7099CFBA" w14:textId="43C70398" w:rsidR="5EC1D680" w:rsidRPr="00664F31" w:rsidRDefault="312A6FEB" w:rsidP="00664F31">
      <w:pPr>
        <w:spacing w:line="360" w:lineRule="auto"/>
        <w:ind w:firstLine="720"/>
        <w:jc w:val="both"/>
        <w:rPr>
          <w:rFonts w:eastAsiaTheme="minorEastAsia" w:cstheme="minorHAnsi"/>
          <w:sz w:val="24"/>
          <w:szCs w:val="24"/>
        </w:rPr>
      </w:pPr>
      <w:r w:rsidRPr="00664F31">
        <w:rPr>
          <w:rFonts w:eastAsiaTheme="minorEastAsia" w:cstheme="minorHAnsi"/>
          <w:sz w:val="24"/>
          <w:szCs w:val="24"/>
        </w:rPr>
        <w:t xml:space="preserve">Firstly, with regards to marketing, the Chartered Institute of Marketing (CIM) defines marketing as "the management process responsible for identifying, anticipating and satisfying customer requirements profitably" (CIM, 2009, p.2).  One key process in marketing is management, which includes three stages:  planning, implementation and control (Kotler &amp; Zaltman, 1971).  The first stage is to create a marketing plan, which involves the creation of an executive summary, mission statement, analysis, key issues, marketing strategy, a marketing mix, resources, action plan and controls. The second stage is marketing implementation, which includes different theories such as the 3 M's and the 7 P's. The three M's stand for money, men and minutes; this means you need to check if you have the resources, workforce and timeframe in order to complete the objectives. The third control stage includes setting marketing goals, measuring performance, evaluating the causes of differences and then taking the corrective action. </w:t>
      </w:r>
    </w:p>
    <w:p w14:paraId="1A43EF81" w14:textId="4EC1EB5B" w:rsidR="5E18CF51" w:rsidRPr="00664F31" w:rsidRDefault="2CFC3F17" w:rsidP="00664F31">
      <w:pPr>
        <w:spacing w:line="360" w:lineRule="auto"/>
        <w:ind w:firstLine="720"/>
        <w:jc w:val="both"/>
        <w:rPr>
          <w:rFonts w:eastAsiaTheme="minorEastAsia" w:cstheme="minorHAnsi"/>
          <w:sz w:val="24"/>
          <w:szCs w:val="24"/>
        </w:rPr>
      </w:pPr>
      <w:r w:rsidRPr="00664F31">
        <w:rPr>
          <w:rFonts w:eastAsiaTheme="minorEastAsia" w:cstheme="minorHAnsi"/>
          <w:sz w:val="24"/>
          <w:szCs w:val="24"/>
        </w:rPr>
        <w:t xml:space="preserve">As shown by </w:t>
      </w:r>
      <w:r w:rsidRPr="00664F31">
        <w:rPr>
          <w:rFonts w:eastAsiaTheme="minorEastAsia" w:cstheme="minorHAnsi"/>
          <w:color w:val="222222"/>
          <w:sz w:val="24"/>
          <w:szCs w:val="24"/>
        </w:rPr>
        <w:t>Trusov et al. (2009) and Boone and Kurtz (2013), t</w:t>
      </w:r>
      <w:r w:rsidRPr="00664F31">
        <w:rPr>
          <w:rFonts w:eastAsiaTheme="minorEastAsia" w:cstheme="minorHAnsi"/>
          <w:sz w:val="24"/>
          <w:szCs w:val="24"/>
        </w:rPr>
        <w:t>here are two different forms of marketing: traditional and contemporary.  A traditional approach is one that is driven by sales, and focuses on the product and placement. An example would be the teleshopping channel. However, contemporary is more focused on the customer, and advertising uses sources such as the internet.  An example of contemporary marketing would be supermarkets and their reward or club cards, as these can track what store you are in and what you are buying.  They then send rewards and discount vouchers to your address for the products you buy regularly.</w:t>
      </w:r>
    </w:p>
    <w:p w14:paraId="7ED0A090" w14:textId="75E5D6ED" w:rsidR="5E18CF51" w:rsidRPr="00664F31" w:rsidRDefault="312A6FEB" w:rsidP="00664F31">
      <w:pPr>
        <w:spacing w:line="360" w:lineRule="auto"/>
        <w:ind w:firstLine="720"/>
        <w:jc w:val="both"/>
        <w:rPr>
          <w:rFonts w:eastAsiaTheme="minorEastAsia" w:cstheme="minorHAnsi"/>
          <w:color w:val="222222"/>
          <w:sz w:val="24"/>
          <w:szCs w:val="24"/>
          <w:highlight w:val="green"/>
        </w:rPr>
      </w:pPr>
      <w:r w:rsidRPr="00664F31">
        <w:rPr>
          <w:rFonts w:eastAsiaTheme="minorEastAsia" w:cstheme="minorHAnsi"/>
          <w:sz w:val="24"/>
          <w:szCs w:val="24"/>
        </w:rPr>
        <w:t xml:space="preserve">The history of marketing shows very traditional methods of advertising and production. In the modern period they are now focusing more on customer care, and forming valuable relationships. The future of marketing promises an increase in online shopping, therefore there is definitely a future for marketing online (Coupey, 2001). </w:t>
      </w:r>
    </w:p>
    <w:p w14:paraId="5CFA10CA" w14:textId="40261DE1" w:rsidR="5EC1D680" w:rsidRPr="00664F31" w:rsidRDefault="2CFC3F17" w:rsidP="00664F31">
      <w:pPr>
        <w:spacing w:line="360" w:lineRule="auto"/>
        <w:ind w:firstLine="720"/>
        <w:jc w:val="both"/>
        <w:rPr>
          <w:rFonts w:eastAsiaTheme="minorEastAsia" w:cstheme="minorHAnsi"/>
          <w:color w:val="222222"/>
          <w:sz w:val="24"/>
          <w:szCs w:val="24"/>
        </w:rPr>
      </w:pPr>
      <w:r w:rsidRPr="00664F31">
        <w:rPr>
          <w:rFonts w:eastAsiaTheme="minorEastAsia" w:cstheme="minorHAnsi"/>
          <w:sz w:val="24"/>
          <w:szCs w:val="24"/>
        </w:rPr>
        <w:lastRenderedPageBreak/>
        <w:t xml:space="preserve">Marketing information and research is the process by which an organisation looks at data in a market and evaluates that data.  </w:t>
      </w:r>
      <w:r w:rsidR="003C3B28" w:rsidRPr="00664F31">
        <w:rPr>
          <w:rFonts w:eastAsiaTheme="minorEastAsia" w:cstheme="minorHAnsi"/>
          <w:sz w:val="24"/>
          <w:szCs w:val="24"/>
        </w:rPr>
        <w:t>Ansoff's (1957</w:t>
      </w:r>
      <w:r w:rsidRPr="00664F31">
        <w:rPr>
          <w:rFonts w:eastAsiaTheme="minorEastAsia" w:cstheme="minorHAnsi"/>
          <w:sz w:val="24"/>
          <w:szCs w:val="24"/>
        </w:rPr>
        <w:t xml:space="preserve">) growth strategy looks at the new and existing markets and products in order to establish different options for growth. It splits markets into sectors:  market penetration, market and product development, and diversification </w:t>
      </w:r>
      <w:r w:rsidRPr="00664F31">
        <w:rPr>
          <w:rFonts w:eastAsiaTheme="minorEastAsia" w:cstheme="minorHAnsi"/>
          <w:color w:val="333333"/>
          <w:sz w:val="24"/>
          <w:szCs w:val="24"/>
        </w:rPr>
        <w:t xml:space="preserve">(Dhirendra, 2016).  </w:t>
      </w:r>
      <w:r w:rsidRPr="00664F31">
        <w:rPr>
          <w:rFonts w:eastAsiaTheme="minorEastAsia" w:cstheme="minorHAnsi"/>
          <w:sz w:val="24"/>
          <w:szCs w:val="24"/>
        </w:rPr>
        <w:t xml:space="preserve">Integrated marketing communications (IMC) is a way of unifying messages sent out by a brand, making sure they are clear and consistent in order to reach their goals </w:t>
      </w:r>
      <w:r w:rsidRPr="00664F31">
        <w:rPr>
          <w:rFonts w:eastAsiaTheme="minorEastAsia" w:cstheme="minorHAnsi"/>
          <w:color w:val="222222"/>
          <w:sz w:val="24"/>
          <w:szCs w:val="24"/>
        </w:rPr>
        <w:t xml:space="preserve">(Mudzanani, 2015).  Integrated marketing communications was utilised within the team's projects' charity through the messages it conveys via advertising on social media, leaflets, posters and all communications from the charity.  </w:t>
      </w:r>
      <w:r w:rsidRPr="00664F31">
        <w:rPr>
          <w:rFonts w:eastAsiaTheme="minorEastAsia" w:cstheme="minorHAnsi"/>
          <w:sz w:val="24"/>
          <w:szCs w:val="24"/>
        </w:rPr>
        <w:t xml:space="preserve">The DRIP framework can be applied in marketing communications; DRIP standing for differentiate, reinforce, inform and persuade </w:t>
      </w:r>
      <w:r w:rsidRPr="00664F31">
        <w:rPr>
          <w:rFonts w:eastAsiaTheme="minorEastAsia" w:cstheme="minorHAnsi"/>
          <w:color w:val="222222"/>
          <w:sz w:val="24"/>
          <w:szCs w:val="24"/>
        </w:rPr>
        <w:t>(Copley, 2004).  T</w:t>
      </w:r>
      <w:r w:rsidRPr="00664F31">
        <w:rPr>
          <w:rFonts w:eastAsiaTheme="minorEastAsia" w:cstheme="minorHAnsi"/>
          <w:sz w:val="24"/>
          <w:szCs w:val="24"/>
        </w:rPr>
        <w:t xml:space="preserve">he promotion mix links to IMC, it is made up of five different aspects:  advertising, which is to show the product so the public know it is available, sales promotion, this encourages people to buy, personal selling, which targets customers on a personal level to make a sale and build relationships, public relations, which is how the public perceive the business, and direct marketing, which involves advertising the product directly to a certain focus group </w:t>
      </w:r>
      <w:r w:rsidRPr="00664F31">
        <w:rPr>
          <w:rFonts w:eastAsiaTheme="minorEastAsia" w:cstheme="minorHAnsi"/>
          <w:color w:val="222222"/>
          <w:sz w:val="24"/>
          <w:szCs w:val="24"/>
        </w:rPr>
        <w:t>(Mangold &amp; Faulds, 2009).</w:t>
      </w:r>
    </w:p>
    <w:p w14:paraId="0392150C" w14:textId="5ACDADFC" w:rsidR="5EC1D680" w:rsidRPr="00664F31" w:rsidRDefault="2CFC3F17" w:rsidP="00664F31">
      <w:pPr>
        <w:spacing w:line="360" w:lineRule="auto"/>
        <w:ind w:firstLine="720"/>
        <w:jc w:val="both"/>
        <w:rPr>
          <w:rFonts w:eastAsiaTheme="minorEastAsia" w:cstheme="minorHAnsi"/>
          <w:sz w:val="24"/>
          <w:szCs w:val="24"/>
        </w:rPr>
      </w:pPr>
      <w:r w:rsidRPr="00664F31">
        <w:rPr>
          <w:rFonts w:eastAsiaTheme="minorEastAsia" w:cstheme="minorHAnsi"/>
          <w:sz w:val="24"/>
          <w:szCs w:val="24"/>
        </w:rPr>
        <w:t xml:space="preserve">A model used to obtain objectives and plan marketing is SOSTAC, which stands for situation analysis, objectives, strategy, tactics, actions and control </w:t>
      </w:r>
      <w:r w:rsidRPr="00664F31">
        <w:rPr>
          <w:rFonts w:eastAsiaTheme="minorEastAsia" w:cstheme="minorHAnsi"/>
          <w:color w:val="222222"/>
          <w:sz w:val="24"/>
          <w:szCs w:val="24"/>
        </w:rPr>
        <w:t xml:space="preserve">(Smith &amp; Taylor, 2004). </w:t>
      </w:r>
      <w:r w:rsidRPr="00664F31">
        <w:rPr>
          <w:rFonts w:eastAsiaTheme="minorEastAsia" w:cstheme="minorHAnsi"/>
          <w:sz w:val="24"/>
          <w:szCs w:val="24"/>
        </w:rPr>
        <w:t xml:space="preserve"> A market analysing method known as SWOT stands for strengths, weaknesses, opportunities and threats </w:t>
      </w:r>
      <w:r w:rsidRPr="00664F31">
        <w:rPr>
          <w:rFonts w:eastAsiaTheme="minorEastAsia" w:cstheme="minorHAnsi"/>
          <w:color w:val="222222"/>
          <w:sz w:val="24"/>
          <w:szCs w:val="24"/>
        </w:rPr>
        <w:t xml:space="preserve">(Hay &amp; Castilla, 2006). </w:t>
      </w:r>
      <w:r w:rsidRPr="00664F31">
        <w:rPr>
          <w:rFonts w:eastAsiaTheme="minorEastAsia" w:cstheme="minorHAnsi"/>
          <w:sz w:val="24"/>
          <w:szCs w:val="24"/>
        </w:rPr>
        <w:t xml:space="preserve">There are different types of objectives such as strategic, tactical and operational (Kotler &amp; Armstrong, 2010). Strategic objectives are often goals set by higher management and are focused on the long term. Tactical objectives are set by middle management and look to inspire different team areas. Operational objectives are often short term and relate to daily targets set from the immediate supervisor. As seen in the paper by </w:t>
      </w:r>
      <w:r w:rsidRPr="00664F31">
        <w:rPr>
          <w:rFonts w:eastAsiaTheme="minorEastAsia" w:cstheme="minorHAnsi"/>
          <w:color w:val="222222"/>
          <w:sz w:val="24"/>
          <w:szCs w:val="24"/>
        </w:rPr>
        <w:t xml:space="preserve">Bovend'Eerdt et al. (2009) the </w:t>
      </w:r>
      <w:r w:rsidRPr="00664F31">
        <w:rPr>
          <w:rFonts w:eastAsiaTheme="minorEastAsia" w:cstheme="minorHAnsi"/>
          <w:sz w:val="24"/>
          <w:szCs w:val="24"/>
        </w:rPr>
        <w:t>SMART principle is applied to objectives, this stands for specific, measurable, achievable, realistic and time bound.</w:t>
      </w:r>
    </w:p>
    <w:p w14:paraId="7A08A9B3" w14:textId="0DEEB3B3" w:rsidR="5EC1D680" w:rsidRPr="00664F31" w:rsidRDefault="312A6FEB" w:rsidP="00664F31">
      <w:pPr>
        <w:spacing w:line="360" w:lineRule="auto"/>
        <w:ind w:firstLine="720"/>
        <w:jc w:val="both"/>
        <w:rPr>
          <w:rFonts w:eastAsiaTheme="minorEastAsia" w:cstheme="minorHAnsi"/>
          <w:sz w:val="24"/>
          <w:szCs w:val="24"/>
        </w:rPr>
      </w:pPr>
      <w:r w:rsidRPr="00664F31">
        <w:rPr>
          <w:rFonts w:eastAsiaTheme="minorEastAsia" w:cstheme="minorHAnsi"/>
          <w:sz w:val="24"/>
          <w:szCs w:val="24"/>
        </w:rPr>
        <w:t xml:space="preserve">A micro-environment within the marketplace is created by the way in which a company influences a market:  this may be the company itself, suppliers, marketing intermediaries, competitors, the public and customers (Kotler &amp; Armstrong, 2010).  The aim is to achieve customer value by defining the market.  The company can affect the market through the role it plays within that market. Suppliers can control the price of a product. </w:t>
      </w:r>
      <w:r w:rsidRPr="00664F31">
        <w:rPr>
          <w:rFonts w:eastAsiaTheme="minorEastAsia" w:cstheme="minorHAnsi"/>
          <w:sz w:val="24"/>
          <w:szCs w:val="24"/>
        </w:rPr>
        <w:lastRenderedPageBreak/>
        <w:t xml:space="preserve">Marketing intermediaries can influence the market through its choice of outlets. Competitors can change the market by introducing new interests. The public can have an impact upon the reputation of a product if it is not perceived well, with the customer having the greatest potential influence on success.  Competition has different analysing methods, such as Porters' five forces framework, as well as using perceptual maps and comparison grids and also looking at the market data.  Porters' five forces framework looks at competitive rivalry through four factors that can affect this: suppliers, potential entrants, substitutes and buyers (Dobbs, 2014).  Through perceptual maps and grids, you can see the outline of competitors and where they lie on the scale of quality and price. </w:t>
      </w:r>
    </w:p>
    <w:p w14:paraId="48B54B3D" w14:textId="5E12860B" w:rsidR="5E18CF51" w:rsidRPr="00664F31" w:rsidRDefault="2CFC3F17" w:rsidP="00664F31">
      <w:pPr>
        <w:spacing w:line="360" w:lineRule="auto"/>
        <w:ind w:firstLine="720"/>
        <w:jc w:val="both"/>
        <w:rPr>
          <w:rFonts w:eastAsiaTheme="minorEastAsia" w:cstheme="minorHAnsi"/>
          <w:sz w:val="24"/>
          <w:szCs w:val="24"/>
        </w:rPr>
      </w:pPr>
      <w:r w:rsidRPr="00664F31">
        <w:rPr>
          <w:rFonts w:eastAsiaTheme="minorEastAsia" w:cstheme="minorHAnsi"/>
          <w:sz w:val="24"/>
          <w:szCs w:val="24"/>
        </w:rPr>
        <w:t>The macro-environment focuses on external factors that could impact the company; this is made up of: political, economic, social/demographic, technological, environmental and legal (Kotler &amp; Armstrong, 2010).  PESTEL is the anacronym used for analysing the factors stated above.  Political represents the need for social responsibility, for example, being environmentally friendly.  Economic factors impact through production and costs.  The demographic factor includes sectors of the population.  Technological includes the skills required to run the production.  Environmental evaluates the use of non-renewable resources.  Legal factors entail legal developments within the department.</w:t>
      </w:r>
    </w:p>
    <w:p w14:paraId="1614AB46" w14:textId="40B22B6B" w:rsidR="1075BEBC" w:rsidRPr="00664F31" w:rsidRDefault="2CFC3F17" w:rsidP="00664F31">
      <w:pPr>
        <w:spacing w:line="360" w:lineRule="auto"/>
        <w:ind w:firstLine="720"/>
        <w:jc w:val="both"/>
        <w:rPr>
          <w:rFonts w:eastAsiaTheme="minorEastAsia" w:cstheme="minorHAnsi"/>
          <w:sz w:val="24"/>
          <w:szCs w:val="24"/>
        </w:rPr>
      </w:pPr>
      <w:r w:rsidRPr="00664F31">
        <w:rPr>
          <w:rFonts w:eastAsiaTheme="minorEastAsia" w:cstheme="minorHAnsi"/>
          <w:sz w:val="24"/>
          <w:szCs w:val="24"/>
        </w:rPr>
        <w:t>Secondly, with regards to marketing mix, the prominent theory is the 7 P's; the four P's of which were originally developed by E. Jerome McCarthy in 1960.  McCarthy stated that there were four factors contributing to the marketing mix:  product, price, place and promotion.  Booms and Bitner (1981) introduced the 7 P's; these extra components standing for people, processes and physical evidence (Rafiq &amp; Ahmed, 1995).  For the first factor, product, there has to be a need in the market; product value is something that will only be considered from the customer. Price gives a place to a product on the market, which can show consumers where it</w:t>
      </w:r>
      <w:r w:rsidR="00664F31" w:rsidRPr="00664F31">
        <w:rPr>
          <w:rFonts w:eastAsiaTheme="minorEastAsia" w:cstheme="minorHAnsi"/>
          <w:sz w:val="24"/>
          <w:szCs w:val="24"/>
        </w:rPr>
        <w:t xml:space="preserve"> i</w:t>
      </w:r>
      <w:r w:rsidRPr="00664F31">
        <w:rPr>
          <w:rFonts w:eastAsiaTheme="minorEastAsia" w:cstheme="minorHAnsi"/>
          <w:sz w:val="24"/>
          <w:szCs w:val="24"/>
        </w:rPr>
        <w:t xml:space="preserve">s placed in relation to competitors; it also provides a psychological expectation for the quality of the product. Place refers to where your product is available to buy, such as a store or website; this includes distribution, as sending a product to a destination shows good service, which is vital when marketing online. Promotion is the means of communication between customers and stakeholders; good communication with customers is highly valuable.  People are important as they reflect the business; staff need to perform well to ensure good customer service. Processes refer to how a business works such as its </w:t>
      </w:r>
      <w:r w:rsidRPr="00664F31">
        <w:rPr>
          <w:rFonts w:eastAsiaTheme="minorEastAsia" w:cstheme="minorHAnsi"/>
          <w:sz w:val="24"/>
          <w:szCs w:val="24"/>
        </w:rPr>
        <w:lastRenderedPageBreak/>
        <w:t xml:space="preserve">methods of operation. Physical evidence allows customers to see what the physical attributes of a company are like, such as the building.    </w:t>
      </w:r>
    </w:p>
    <w:p w14:paraId="2BA09CC4" w14:textId="784C6A98" w:rsidR="5EC1D680" w:rsidRPr="00664F31" w:rsidRDefault="2CFC3F17" w:rsidP="00664F31">
      <w:pPr>
        <w:spacing w:line="360" w:lineRule="auto"/>
        <w:ind w:firstLine="720"/>
        <w:jc w:val="both"/>
        <w:rPr>
          <w:rFonts w:eastAsiaTheme="minorEastAsia" w:cstheme="minorHAnsi"/>
          <w:sz w:val="24"/>
          <w:szCs w:val="24"/>
        </w:rPr>
      </w:pPr>
      <w:r w:rsidRPr="00664F31">
        <w:rPr>
          <w:rFonts w:eastAsiaTheme="minorEastAsia" w:cstheme="minorHAnsi"/>
          <w:sz w:val="24"/>
          <w:szCs w:val="24"/>
        </w:rPr>
        <w:t xml:space="preserve">Thirdly, customer value is the preference of a product due to its attributes and performance, and its capability of satisfying the customers' purposes (Yamamoto, 2007).  To create a customer driven marketing strategy, the type of value and customer should be considered. Value is split into two groups: differentiation and positioning. Customers is split into two groups: segmentation and targeting. These considerations then create value for the customer.  Segmentation is the process of focusing on smaller segments of the market which might have different needs or require a different marketing strategy (Kotler &amp; Armstrong, 2010). The variables that influence segmentation are geographic, demographic, psycho-graphic and behavioural. Targeting involves selecting a target market which often involves segmentation. Targeting can go from mass marketing to concentrated (niche) marketing and even to micromarketing, which is focusing on individuals. The final stage is positioning; this relates to where the product is placed and how it is perceived by customers. For positioning strategy, the value proposition can be used; this evaluates benefits versus price and whether you are getting more, the same or less for your money.  Developing a position statement can show the public reasons why the product is in a specific position. There are different forms of statement such as functional stating benefits, or emotional stating social needs. Repositioning allows a changed perception from the public; an example of this would be Walmart, as they were considered cheap before and now, after a strong marketing campaign, is the first choice for many shoppers in America.  </w:t>
      </w:r>
    </w:p>
    <w:p w14:paraId="0CDDC24B" w14:textId="0E2B4F81" w:rsidR="5EC1D680" w:rsidRPr="00664F31" w:rsidRDefault="2CFC3F17" w:rsidP="00664F31">
      <w:pPr>
        <w:spacing w:line="360" w:lineRule="auto"/>
        <w:ind w:firstLine="720"/>
        <w:jc w:val="both"/>
        <w:rPr>
          <w:rFonts w:eastAsiaTheme="minorEastAsia" w:cstheme="minorHAnsi"/>
          <w:color w:val="222222"/>
          <w:sz w:val="24"/>
          <w:szCs w:val="24"/>
        </w:rPr>
      </w:pPr>
      <w:r w:rsidRPr="00664F31">
        <w:rPr>
          <w:rFonts w:eastAsiaTheme="minorEastAsia" w:cstheme="minorHAnsi"/>
          <w:sz w:val="24"/>
          <w:szCs w:val="24"/>
        </w:rPr>
        <w:t xml:space="preserve">Kotler &amp; Armstrong (2010) show a diagram for the marketing process to achieve customer value. The first step is to understand the marketplace, then to create a strategy that focuses on the customer more than the product, and then to deliver a marketing programme with higher value for the customers, which provides satisfaction and creates a beneficial relationship.  In order to create value for customers their needs have to be met </w:t>
      </w:r>
      <w:r w:rsidRPr="00664F31">
        <w:rPr>
          <w:rFonts w:eastAsiaTheme="minorEastAsia" w:cstheme="minorHAnsi"/>
          <w:color w:val="222222"/>
          <w:sz w:val="24"/>
          <w:szCs w:val="24"/>
        </w:rPr>
        <w:t>(Butz &amp; Goodstein, 1996)</w:t>
      </w:r>
      <w:r w:rsidRPr="00664F31">
        <w:rPr>
          <w:rFonts w:eastAsiaTheme="minorEastAsia" w:cstheme="minorHAnsi"/>
          <w:sz w:val="24"/>
          <w:szCs w:val="24"/>
        </w:rPr>
        <w:t xml:space="preserve">. Customer needs, wants and demands build a strong basis in the marketplace </w:t>
      </w:r>
      <w:r w:rsidRPr="00664F31">
        <w:rPr>
          <w:rFonts w:eastAsiaTheme="minorEastAsia" w:cstheme="minorHAnsi"/>
          <w:color w:val="222222"/>
          <w:sz w:val="24"/>
          <w:szCs w:val="24"/>
        </w:rPr>
        <w:t>(Collinson &amp; Shaw, 2001)</w:t>
      </w:r>
      <w:r w:rsidRPr="00664F31">
        <w:rPr>
          <w:rFonts w:eastAsiaTheme="minorEastAsia" w:cstheme="minorHAnsi"/>
          <w:sz w:val="24"/>
          <w:szCs w:val="24"/>
        </w:rPr>
        <w:t xml:space="preserve">. Customer needs are products that a person finds essential, for example, housing. Customer wants are due to their personality or culture, such as clothing. Customer demands are similar to wants however they have money to demand the product.  As shown by </w:t>
      </w:r>
      <w:r w:rsidRPr="00664F31">
        <w:rPr>
          <w:rFonts w:eastAsiaTheme="minorEastAsia" w:cstheme="minorHAnsi"/>
          <w:color w:val="222222"/>
          <w:sz w:val="24"/>
          <w:szCs w:val="24"/>
        </w:rPr>
        <w:t xml:space="preserve">Armstrong et al., (2014) </w:t>
      </w:r>
      <w:r w:rsidRPr="00664F31">
        <w:rPr>
          <w:rFonts w:eastAsiaTheme="minorEastAsia" w:cstheme="minorHAnsi"/>
          <w:sz w:val="24"/>
          <w:szCs w:val="24"/>
        </w:rPr>
        <w:t xml:space="preserve">customer needs and wants can be met </w:t>
      </w:r>
      <w:r w:rsidRPr="00664F31">
        <w:rPr>
          <w:rFonts w:eastAsiaTheme="minorEastAsia" w:cstheme="minorHAnsi"/>
          <w:sz w:val="24"/>
          <w:szCs w:val="24"/>
        </w:rPr>
        <w:lastRenderedPageBreak/>
        <w:t>through market offerings; this in turn creates customer value. Market offerings need to be relevant to the customer and provide a value such as meeting their demands.</w:t>
      </w:r>
    </w:p>
    <w:p w14:paraId="2E6FC0E2" w14:textId="4CC82ECC" w:rsidR="5EC1D680" w:rsidRPr="00664F31" w:rsidRDefault="312A6FEB" w:rsidP="00664F31">
      <w:pPr>
        <w:spacing w:line="360" w:lineRule="auto"/>
        <w:ind w:firstLine="720"/>
        <w:jc w:val="both"/>
        <w:rPr>
          <w:rFonts w:eastAsiaTheme="minorEastAsia" w:cstheme="minorHAnsi"/>
          <w:sz w:val="24"/>
          <w:szCs w:val="24"/>
        </w:rPr>
      </w:pPr>
      <w:r w:rsidRPr="00664F31">
        <w:rPr>
          <w:rFonts w:eastAsiaTheme="minorEastAsia" w:cstheme="minorHAnsi"/>
          <w:sz w:val="24"/>
          <w:szCs w:val="24"/>
        </w:rPr>
        <w:t xml:space="preserve">Customer value is affected by the marketing concept which involves: production, the product, selling and societal marketing concepts </w:t>
      </w:r>
      <w:r w:rsidRPr="00664F31">
        <w:rPr>
          <w:rFonts w:eastAsiaTheme="minorEastAsia" w:cstheme="minorHAnsi"/>
          <w:color w:val="222222"/>
          <w:sz w:val="24"/>
          <w:szCs w:val="24"/>
        </w:rPr>
        <w:t>(Kotler &amp; Armstrong, 2010)</w:t>
      </w:r>
      <w:r w:rsidRPr="00664F31">
        <w:rPr>
          <w:rFonts w:eastAsiaTheme="minorEastAsia" w:cstheme="minorHAnsi"/>
          <w:sz w:val="24"/>
          <w:szCs w:val="24"/>
        </w:rPr>
        <w:t>. The production concept implies that when an organisation is focused too largely on the production, it causes problems with marketing. This is due to the lack of attention to detail and the company assuming mass production leads to profit. Product concept is when a business focuses only on the product, this happens when an organisation assumes the product is so good people will buy it; this is unreliable as there has to be a need for a product.  Selling concept is where focus is on sales; this is quite often displayed within call centres and often fails to focus on customer care or relevance of the product. The societal marketing concept looks at how sustainable an organisation is, viewing the people, planet and profit sectors.</w:t>
      </w:r>
    </w:p>
    <w:p w14:paraId="16341B82" w14:textId="62276868" w:rsidR="5EC1D680" w:rsidRPr="00664F31" w:rsidRDefault="4F7524C6" w:rsidP="00664F31">
      <w:pPr>
        <w:spacing w:line="360" w:lineRule="auto"/>
        <w:ind w:firstLine="720"/>
        <w:jc w:val="both"/>
        <w:rPr>
          <w:rFonts w:eastAsiaTheme="minorEastAsia" w:cstheme="minorHAnsi"/>
          <w:sz w:val="24"/>
          <w:szCs w:val="24"/>
        </w:rPr>
      </w:pPr>
      <w:r w:rsidRPr="00664F31">
        <w:rPr>
          <w:rFonts w:eastAsiaTheme="minorEastAsia" w:cstheme="minorHAnsi"/>
          <w:sz w:val="24"/>
          <w:szCs w:val="24"/>
        </w:rPr>
        <w:t>As shown by Kotler and Armstrong (2010) marketing orientation looks at customer and competitor orientation and the inter-functional co-ordination. Customer orientation looks at targeting the customer's needs. Competitor orientation focuses on evaluating competition. The inter-functional co-ordination sees how the employees affect profitability through training and ability to deal with customers.</w:t>
      </w:r>
    </w:p>
    <w:p w14:paraId="7B316AA2" w14:textId="53631E4C" w:rsidR="1075BEBC" w:rsidRPr="00664F31" w:rsidRDefault="2CFC3F17" w:rsidP="00664F31">
      <w:pPr>
        <w:spacing w:line="360" w:lineRule="auto"/>
        <w:ind w:firstLine="720"/>
        <w:jc w:val="both"/>
        <w:rPr>
          <w:rFonts w:eastAsiaTheme="minorEastAsia" w:cstheme="minorHAnsi"/>
          <w:sz w:val="24"/>
          <w:szCs w:val="24"/>
        </w:rPr>
      </w:pPr>
      <w:r w:rsidRPr="00664F31">
        <w:rPr>
          <w:rFonts w:eastAsiaTheme="minorEastAsia" w:cstheme="minorHAnsi"/>
          <w:sz w:val="24"/>
          <w:szCs w:val="24"/>
        </w:rPr>
        <w:t xml:space="preserve">Lastly, a stakeholder involved with an organisation can affect the organisation's actions such as their objectives, and also be affected themselves (Fontaine et al., 2006). Fontaine et al., (2006) show there are different types of stakeholders, for example, primary and secondary. Primary stakeholders are essential to a business as it could not maintain itself without them. An example would be the workers or investors of a business.  Secondary stakeholders are not essential to a business as they do not affect it directly, however the business can affect them.  An example would be a pressure group such as Greenpeace.  Pressure groups and businesses can both be affected by each other. Stakeholder analysis is important as shown by Brugha and Varvasovszky (2000). Stakeholder mapping is an analysis method which involves looking at the stakeholder's attributes such as interests, power and attitude (Murray-Webster &amp; Simon, 2006).  Stakeholder diagrams, such as loop or grid diagrams, put stakeholders into an order that shows their links between each other and the organisation (Ackermann &amp; Colin, 2011).  Mendelow's Classification, which is better known as Mendelow's matrix, is a method that involves looking at power versus interest of the </w:t>
      </w:r>
      <w:r w:rsidRPr="00664F31">
        <w:rPr>
          <w:rFonts w:eastAsiaTheme="minorEastAsia" w:cstheme="minorHAnsi"/>
          <w:sz w:val="24"/>
          <w:szCs w:val="24"/>
        </w:rPr>
        <w:lastRenderedPageBreak/>
        <w:t>stakeholder, and having a table to see the different levels each stakeholder has in the organisation (Walters &amp; Kitchin, 2009). Stakeholder analysis has advantages, such as providing target stakeholders for communication and identifying what media to use and which messages to put across. This shows how stakeholders can affect the activities of an organisation. Within the team's project there were stakeholders.  The organisation is a charity and the stakeholders were the donators, consumers and the employees.</w:t>
      </w:r>
    </w:p>
    <w:p w14:paraId="0A8CDEA3" w14:textId="2EC38427" w:rsidR="5E18CF51" w:rsidRPr="00664F31" w:rsidRDefault="2CFC3F17" w:rsidP="00664F31">
      <w:pPr>
        <w:spacing w:line="360" w:lineRule="auto"/>
        <w:ind w:firstLine="720"/>
        <w:jc w:val="both"/>
        <w:rPr>
          <w:rFonts w:eastAsiaTheme="minorEastAsia" w:cstheme="minorHAnsi"/>
          <w:sz w:val="24"/>
          <w:szCs w:val="24"/>
        </w:rPr>
      </w:pPr>
      <w:r w:rsidRPr="00664F31">
        <w:rPr>
          <w:rFonts w:eastAsiaTheme="minorEastAsia" w:cstheme="minorHAnsi"/>
          <w:sz w:val="24"/>
          <w:szCs w:val="24"/>
        </w:rPr>
        <w:t>Overall, the role of marketing is of importance to any organisation due to its increasing engagement within companies (Moorman &amp; Rust, 1999). Marketing provides a vital network between a business and its customer; this creates customer value.</w:t>
      </w:r>
    </w:p>
    <w:p w14:paraId="0B394CAE" w14:textId="058CC481" w:rsidR="1C82F600" w:rsidRPr="00664F31" w:rsidRDefault="2CFC3F17" w:rsidP="00664F31">
      <w:pPr>
        <w:spacing w:line="360" w:lineRule="auto"/>
        <w:ind w:firstLine="720"/>
        <w:jc w:val="both"/>
        <w:rPr>
          <w:rFonts w:eastAsiaTheme="minorEastAsia" w:cstheme="minorHAnsi"/>
          <w:sz w:val="24"/>
          <w:szCs w:val="24"/>
        </w:rPr>
      </w:pPr>
      <w:r w:rsidRPr="00664F31">
        <w:rPr>
          <w:rFonts w:eastAsiaTheme="minorEastAsia" w:cstheme="minorHAnsi"/>
          <w:sz w:val="24"/>
          <w:szCs w:val="24"/>
        </w:rPr>
        <w:t>In the team project the communication tools used were blogging, posters, twitter and the local school. Through the blogs the team designed there was raised awareness for the charity Faith in Families and also some advertising for the fund-raising plans holding a stall in the local school's Christmas fete.  Most of the blogs were inspired around Christmas and holiday themes. This method was effective as it held all the necessary information and was able to be shared with ease. Posters were displayed within the local primary school and the university.  This was also effective as it advertised the charity and fundraising activities the team had planned within the school; this was relevant to their target audience as the majority of those who saw the poster in the school were attending the school’s Christmas Fete.  Due to the charity already having well known social media sites, the team decided to avoid creating more as it could possibly cause confusion amongst the customers.  However, the team made efforts to be mentioned through their current social media sites and also on the school's twitter page. The local school was used for advertising extensively due to its current relationship with the charity.</w:t>
      </w:r>
    </w:p>
    <w:p w14:paraId="111F33D1" w14:textId="0B41C5A2" w:rsidR="483412AE" w:rsidRPr="00664F31" w:rsidRDefault="2CFC3F17" w:rsidP="00664F31">
      <w:pPr>
        <w:spacing w:line="360" w:lineRule="auto"/>
        <w:ind w:firstLine="720"/>
        <w:jc w:val="both"/>
        <w:rPr>
          <w:rFonts w:eastAsiaTheme="minorEastAsia" w:cstheme="minorHAnsi"/>
          <w:sz w:val="24"/>
          <w:szCs w:val="24"/>
        </w:rPr>
      </w:pPr>
      <w:r w:rsidRPr="00664F31">
        <w:rPr>
          <w:rFonts w:eastAsiaTheme="minorEastAsia" w:cstheme="minorHAnsi"/>
          <w:color w:val="222222"/>
          <w:sz w:val="24"/>
          <w:szCs w:val="24"/>
        </w:rPr>
        <w:t>A theory to evaluate the use of communication tools used in our project is the AIDA model.  This can be applied to the project's advertising methods, such as blogging and using social media.  Lin and Huang (2006)</w:t>
      </w:r>
      <w:r w:rsidRPr="00664F31">
        <w:rPr>
          <w:rFonts w:eastAsiaTheme="minorEastAsia" w:cstheme="minorHAnsi"/>
          <w:sz w:val="24"/>
          <w:szCs w:val="24"/>
        </w:rPr>
        <w:t xml:space="preserve"> stated that AIDA stands for awareness, interest, desire and action. The awareness of the blogs was successful, however more effort in sharing the blogs should have been made in order to reach a higher level of readers. Interest in the blogs was created through the content being relevant and stimulating to read.   Desire refers to the wants of the readers to continue reading the blog posts, and action would involve the readers communicating or involving themselves with the activities of the project group.</w:t>
      </w:r>
    </w:p>
    <w:p w14:paraId="28B18312" w14:textId="443EDC6F" w:rsidR="483412AE" w:rsidRPr="00664F31" w:rsidRDefault="312A6FEB" w:rsidP="00664F31">
      <w:pPr>
        <w:spacing w:line="360" w:lineRule="auto"/>
        <w:ind w:firstLine="720"/>
        <w:jc w:val="both"/>
        <w:rPr>
          <w:rFonts w:eastAsiaTheme="minorEastAsia" w:cstheme="minorHAnsi"/>
          <w:sz w:val="24"/>
          <w:szCs w:val="24"/>
        </w:rPr>
      </w:pPr>
      <w:r w:rsidRPr="00664F31">
        <w:rPr>
          <w:rFonts w:eastAsiaTheme="minorEastAsia" w:cstheme="minorHAnsi"/>
          <w:sz w:val="24"/>
          <w:szCs w:val="24"/>
        </w:rPr>
        <w:lastRenderedPageBreak/>
        <w:t xml:space="preserve">Overall, the communication methods used were successful since the blog had readers.  This is supported through the AIDA model, which suggests that blogging is an effective means of communication.  Improvements may have been made, such as enhanced use of advertising, which may have increased the number of readers.  </w:t>
      </w:r>
    </w:p>
    <w:p w14:paraId="346567BD" w14:textId="01CC4058" w:rsidR="483412AE" w:rsidRPr="00664F31" w:rsidRDefault="483412AE" w:rsidP="00664F31">
      <w:pPr>
        <w:spacing w:line="360" w:lineRule="auto"/>
        <w:ind w:firstLine="720"/>
        <w:jc w:val="both"/>
        <w:rPr>
          <w:rFonts w:eastAsiaTheme="minorEastAsia" w:cstheme="minorHAnsi"/>
          <w:sz w:val="24"/>
          <w:szCs w:val="24"/>
        </w:rPr>
      </w:pPr>
    </w:p>
    <w:p w14:paraId="73AC5775" w14:textId="77777777" w:rsidR="00664F31" w:rsidRDefault="00664F31" w:rsidP="00664F31">
      <w:pPr>
        <w:spacing w:line="360" w:lineRule="auto"/>
        <w:jc w:val="center"/>
        <w:rPr>
          <w:rFonts w:eastAsiaTheme="minorEastAsia" w:cstheme="minorHAnsi"/>
          <w:sz w:val="24"/>
          <w:szCs w:val="24"/>
          <w:u w:val="single"/>
        </w:rPr>
      </w:pPr>
    </w:p>
    <w:p w14:paraId="35A40B0E" w14:textId="77777777" w:rsidR="00664F31" w:rsidRDefault="00664F31" w:rsidP="00664F31">
      <w:pPr>
        <w:spacing w:line="360" w:lineRule="auto"/>
        <w:jc w:val="center"/>
        <w:rPr>
          <w:rFonts w:eastAsiaTheme="minorEastAsia" w:cstheme="minorHAnsi"/>
          <w:sz w:val="24"/>
          <w:szCs w:val="24"/>
          <w:u w:val="single"/>
        </w:rPr>
      </w:pPr>
    </w:p>
    <w:p w14:paraId="7148F31F" w14:textId="77777777" w:rsidR="00664F31" w:rsidRDefault="00664F31" w:rsidP="00664F31">
      <w:pPr>
        <w:spacing w:line="360" w:lineRule="auto"/>
        <w:jc w:val="center"/>
        <w:rPr>
          <w:rFonts w:eastAsiaTheme="minorEastAsia" w:cstheme="minorHAnsi"/>
          <w:sz w:val="24"/>
          <w:szCs w:val="24"/>
          <w:u w:val="single"/>
        </w:rPr>
      </w:pPr>
    </w:p>
    <w:p w14:paraId="16A3E0B4" w14:textId="77777777" w:rsidR="00664F31" w:rsidRDefault="00664F31" w:rsidP="00664F31">
      <w:pPr>
        <w:spacing w:line="360" w:lineRule="auto"/>
        <w:jc w:val="center"/>
        <w:rPr>
          <w:rFonts w:eastAsiaTheme="minorEastAsia" w:cstheme="minorHAnsi"/>
          <w:sz w:val="24"/>
          <w:szCs w:val="24"/>
          <w:u w:val="single"/>
        </w:rPr>
      </w:pPr>
    </w:p>
    <w:p w14:paraId="27F0175C" w14:textId="77777777" w:rsidR="00664F31" w:rsidRDefault="00664F31" w:rsidP="00664F31">
      <w:pPr>
        <w:spacing w:line="360" w:lineRule="auto"/>
        <w:jc w:val="center"/>
        <w:rPr>
          <w:rFonts w:eastAsiaTheme="minorEastAsia" w:cstheme="minorHAnsi"/>
          <w:sz w:val="24"/>
          <w:szCs w:val="24"/>
          <w:u w:val="single"/>
        </w:rPr>
      </w:pPr>
    </w:p>
    <w:p w14:paraId="40BCE037" w14:textId="77777777" w:rsidR="00664F31" w:rsidRDefault="00664F31" w:rsidP="00664F31">
      <w:pPr>
        <w:spacing w:line="360" w:lineRule="auto"/>
        <w:jc w:val="center"/>
        <w:rPr>
          <w:rFonts w:eastAsiaTheme="minorEastAsia" w:cstheme="minorHAnsi"/>
          <w:sz w:val="24"/>
          <w:szCs w:val="24"/>
          <w:u w:val="single"/>
        </w:rPr>
      </w:pPr>
    </w:p>
    <w:p w14:paraId="28F275E0" w14:textId="77777777" w:rsidR="00664F31" w:rsidRDefault="00664F31" w:rsidP="00664F31">
      <w:pPr>
        <w:spacing w:line="360" w:lineRule="auto"/>
        <w:jc w:val="center"/>
        <w:rPr>
          <w:rFonts w:eastAsiaTheme="minorEastAsia" w:cstheme="minorHAnsi"/>
          <w:sz w:val="24"/>
          <w:szCs w:val="24"/>
          <w:u w:val="single"/>
        </w:rPr>
      </w:pPr>
    </w:p>
    <w:p w14:paraId="78A0C852" w14:textId="77777777" w:rsidR="00664F31" w:rsidRDefault="00664F31" w:rsidP="00664F31">
      <w:pPr>
        <w:spacing w:line="360" w:lineRule="auto"/>
        <w:jc w:val="center"/>
        <w:rPr>
          <w:rFonts w:eastAsiaTheme="minorEastAsia" w:cstheme="minorHAnsi"/>
          <w:sz w:val="24"/>
          <w:szCs w:val="24"/>
          <w:u w:val="single"/>
        </w:rPr>
      </w:pPr>
    </w:p>
    <w:p w14:paraId="4B31E999" w14:textId="77777777" w:rsidR="00664F31" w:rsidRDefault="00664F31" w:rsidP="00664F31">
      <w:pPr>
        <w:spacing w:line="360" w:lineRule="auto"/>
        <w:jc w:val="center"/>
        <w:rPr>
          <w:rFonts w:eastAsiaTheme="minorEastAsia" w:cstheme="minorHAnsi"/>
          <w:sz w:val="24"/>
          <w:szCs w:val="24"/>
          <w:u w:val="single"/>
        </w:rPr>
      </w:pPr>
    </w:p>
    <w:p w14:paraId="54DB7D81" w14:textId="77777777" w:rsidR="00664F31" w:rsidRDefault="00664F31" w:rsidP="00664F31">
      <w:pPr>
        <w:spacing w:line="360" w:lineRule="auto"/>
        <w:jc w:val="center"/>
        <w:rPr>
          <w:rFonts w:eastAsiaTheme="minorEastAsia" w:cstheme="minorHAnsi"/>
          <w:sz w:val="24"/>
          <w:szCs w:val="24"/>
          <w:u w:val="single"/>
        </w:rPr>
      </w:pPr>
    </w:p>
    <w:p w14:paraId="036A9F6D" w14:textId="77777777" w:rsidR="00664F31" w:rsidRDefault="00664F31" w:rsidP="00664F31">
      <w:pPr>
        <w:spacing w:line="360" w:lineRule="auto"/>
        <w:jc w:val="center"/>
        <w:rPr>
          <w:rFonts w:eastAsiaTheme="minorEastAsia" w:cstheme="minorHAnsi"/>
          <w:sz w:val="24"/>
          <w:szCs w:val="24"/>
          <w:u w:val="single"/>
        </w:rPr>
      </w:pPr>
    </w:p>
    <w:p w14:paraId="2C72B8BE" w14:textId="77777777" w:rsidR="00664F31" w:rsidRDefault="00664F31" w:rsidP="00664F31">
      <w:pPr>
        <w:spacing w:line="360" w:lineRule="auto"/>
        <w:jc w:val="center"/>
        <w:rPr>
          <w:rFonts w:eastAsiaTheme="minorEastAsia" w:cstheme="minorHAnsi"/>
          <w:sz w:val="24"/>
          <w:szCs w:val="24"/>
          <w:u w:val="single"/>
        </w:rPr>
      </w:pPr>
    </w:p>
    <w:p w14:paraId="482627F1" w14:textId="77777777" w:rsidR="00664F31" w:rsidRDefault="00664F31" w:rsidP="00664F31">
      <w:pPr>
        <w:spacing w:line="360" w:lineRule="auto"/>
        <w:jc w:val="center"/>
        <w:rPr>
          <w:rFonts w:eastAsiaTheme="minorEastAsia" w:cstheme="minorHAnsi"/>
          <w:sz w:val="24"/>
          <w:szCs w:val="24"/>
          <w:u w:val="single"/>
        </w:rPr>
      </w:pPr>
    </w:p>
    <w:p w14:paraId="7AD716FF" w14:textId="77777777" w:rsidR="00664F31" w:rsidRDefault="00664F31" w:rsidP="00664F31">
      <w:pPr>
        <w:spacing w:line="360" w:lineRule="auto"/>
        <w:jc w:val="center"/>
        <w:rPr>
          <w:rFonts w:eastAsiaTheme="minorEastAsia" w:cstheme="minorHAnsi"/>
          <w:sz w:val="24"/>
          <w:szCs w:val="24"/>
          <w:u w:val="single"/>
        </w:rPr>
      </w:pPr>
    </w:p>
    <w:p w14:paraId="289A3BA9" w14:textId="77777777" w:rsidR="00664F31" w:rsidRDefault="00664F31" w:rsidP="00664F31">
      <w:pPr>
        <w:spacing w:line="360" w:lineRule="auto"/>
        <w:jc w:val="center"/>
        <w:rPr>
          <w:rFonts w:eastAsiaTheme="minorEastAsia" w:cstheme="minorHAnsi"/>
          <w:sz w:val="24"/>
          <w:szCs w:val="24"/>
          <w:u w:val="single"/>
        </w:rPr>
      </w:pPr>
    </w:p>
    <w:p w14:paraId="3FEF8229" w14:textId="77777777" w:rsidR="00664F31" w:rsidRDefault="00664F31" w:rsidP="00664F31">
      <w:pPr>
        <w:spacing w:line="360" w:lineRule="auto"/>
        <w:jc w:val="center"/>
        <w:rPr>
          <w:rFonts w:eastAsiaTheme="minorEastAsia" w:cstheme="minorHAnsi"/>
          <w:sz w:val="24"/>
          <w:szCs w:val="24"/>
          <w:u w:val="single"/>
        </w:rPr>
      </w:pPr>
    </w:p>
    <w:p w14:paraId="62612879" w14:textId="77777777" w:rsidR="00664F31" w:rsidRDefault="00664F31" w:rsidP="00664F31">
      <w:pPr>
        <w:spacing w:line="360" w:lineRule="auto"/>
        <w:jc w:val="center"/>
        <w:rPr>
          <w:rFonts w:eastAsiaTheme="minorEastAsia" w:cstheme="minorHAnsi"/>
          <w:sz w:val="24"/>
          <w:szCs w:val="24"/>
          <w:u w:val="single"/>
        </w:rPr>
      </w:pPr>
    </w:p>
    <w:p w14:paraId="445A9208" w14:textId="77777777" w:rsidR="00664F31" w:rsidRDefault="00664F31" w:rsidP="00664F31">
      <w:pPr>
        <w:spacing w:line="360" w:lineRule="auto"/>
        <w:jc w:val="center"/>
        <w:rPr>
          <w:rFonts w:eastAsiaTheme="minorEastAsia" w:cstheme="minorHAnsi"/>
          <w:sz w:val="24"/>
          <w:szCs w:val="24"/>
          <w:u w:val="single"/>
        </w:rPr>
      </w:pPr>
    </w:p>
    <w:p w14:paraId="61A12235" w14:textId="77777777" w:rsidR="00664F31" w:rsidRDefault="00664F31" w:rsidP="00664F31">
      <w:pPr>
        <w:spacing w:line="360" w:lineRule="auto"/>
        <w:jc w:val="center"/>
        <w:rPr>
          <w:rFonts w:eastAsiaTheme="minorEastAsia" w:cstheme="minorHAnsi"/>
          <w:sz w:val="24"/>
          <w:szCs w:val="24"/>
          <w:u w:val="single"/>
        </w:rPr>
      </w:pPr>
    </w:p>
    <w:p w14:paraId="5ACAC537" w14:textId="726199A1" w:rsidR="483412AE" w:rsidRPr="00664F31" w:rsidRDefault="18B1682C" w:rsidP="00664F31">
      <w:pPr>
        <w:spacing w:line="360" w:lineRule="auto"/>
        <w:jc w:val="center"/>
        <w:rPr>
          <w:rFonts w:eastAsiaTheme="minorEastAsia" w:cstheme="minorHAnsi"/>
          <w:sz w:val="24"/>
          <w:szCs w:val="24"/>
          <w:u w:val="single"/>
        </w:rPr>
      </w:pPr>
      <w:r w:rsidRPr="00664F31">
        <w:rPr>
          <w:rFonts w:eastAsiaTheme="minorEastAsia" w:cstheme="minorHAnsi"/>
          <w:sz w:val="24"/>
          <w:szCs w:val="24"/>
          <w:u w:val="single"/>
        </w:rPr>
        <w:lastRenderedPageBreak/>
        <w:t>References</w:t>
      </w:r>
    </w:p>
    <w:p w14:paraId="54CC762E" w14:textId="28623F08" w:rsidR="483412AE" w:rsidRPr="00664F31" w:rsidRDefault="2601D26C" w:rsidP="00664F31">
      <w:pPr>
        <w:spacing w:line="360" w:lineRule="auto"/>
        <w:jc w:val="both"/>
        <w:rPr>
          <w:rFonts w:eastAsiaTheme="minorEastAsia" w:cstheme="minorHAnsi"/>
          <w:color w:val="222222"/>
          <w:sz w:val="24"/>
          <w:szCs w:val="24"/>
        </w:rPr>
      </w:pPr>
      <w:r w:rsidRPr="00664F31">
        <w:rPr>
          <w:rFonts w:eastAsiaTheme="minorEastAsia" w:cstheme="minorHAnsi"/>
          <w:color w:val="222222"/>
          <w:sz w:val="24"/>
          <w:szCs w:val="24"/>
        </w:rPr>
        <w:t xml:space="preserve">Ackermann, F. and Colin, E., 2011. Strategic Management of Stakeholders: Theory and Practice. </w:t>
      </w:r>
      <w:r w:rsidRPr="00664F31">
        <w:rPr>
          <w:rFonts w:eastAsiaTheme="minorEastAsia" w:cstheme="minorHAnsi"/>
          <w:i/>
          <w:color w:val="222222"/>
          <w:sz w:val="24"/>
          <w:szCs w:val="24"/>
        </w:rPr>
        <w:t>Long Range Planning, 44</w:t>
      </w:r>
      <w:r w:rsidR="00203A84">
        <w:rPr>
          <w:rFonts w:eastAsiaTheme="minorEastAsia" w:cstheme="minorHAnsi"/>
          <w:color w:val="222222"/>
          <w:sz w:val="24"/>
          <w:szCs w:val="24"/>
        </w:rPr>
        <w:t>, pp.</w:t>
      </w:r>
      <w:bookmarkStart w:id="0" w:name="_GoBack"/>
      <w:bookmarkEnd w:id="0"/>
      <w:r w:rsidRPr="00664F31">
        <w:rPr>
          <w:rFonts w:eastAsiaTheme="minorEastAsia" w:cstheme="minorHAnsi"/>
          <w:color w:val="222222"/>
          <w:sz w:val="24"/>
          <w:szCs w:val="24"/>
        </w:rPr>
        <w:t>179-196.</w:t>
      </w:r>
    </w:p>
    <w:p w14:paraId="09342662" w14:textId="0D8B9869" w:rsidR="483412AE" w:rsidRPr="00664F31" w:rsidRDefault="5EC1D680" w:rsidP="00664F31">
      <w:pPr>
        <w:spacing w:line="360" w:lineRule="auto"/>
        <w:jc w:val="both"/>
        <w:rPr>
          <w:rFonts w:eastAsiaTheme="minorEastAsia" w:cstheme="minorHAnsi"/>
          <w:color w:val="222222"/>
          <w:sz w:val="24"/>
          <w:szCs w:val="24"/>
        </w:rPr>
      </w:pPr>
      <w:r w:rsidRPr="00664F31">
        <w:rPr>
          <w:rFonts w:eastAsiaTheme="minorEastAsia" w:cstheme="minorHAnsi"/>
          <w:color w:val="222222"/>
          <w:sz w:val="24"/>
          <w:szCs w:val="24"/>
        </w:rPr>
        <w:t xml:space="preserve">Armstrong, G., Adam, S., Denize, S. and Kotler, P., 2014. </w:t>
      </w:r>
      <w:r w:rsidRPr="00664F31">
        <w:rPr>
          <w:rFonts w:eastAsiaTheme="minorEastAsia" w:cstheme="minorHAnsi"/>
          <w:i/>
          <w:iCs/>
          <w:color w:val="222222"/>
          <w:sz w:val="24"/>
          <w:szCs w:val="24"/>
        </w:rPr>
        <w:t>Principles of marketing</w:t>
      </w:r>
      <w:r w:rsidRPr="00664F31">
        <w:rPr>
          <w:rFonts w:eastAsiaTheme="minorEastAsia" w:cstheme="minorHAnsi"/>
          <w:color w:val="222222"/>
          <w:sz w:val="24"/>
          <w:szCs w:val="24"/>
        </w:rPr>
        <w:t>. 6</w:t>
      </w:r>
      <w:r w:rsidRPr="00664F31">
        <w:rPr>
          <w:rFonts w:eastAsiaTheme="minorEastAsia" w:cstheme="minorHAnsi"/>
          <w:color w:val="222222"/>
          <w:sz w:val="24"/>
          <w:szCs w:val="24"/>
          <w:vertAlign w:val="superscript"/>
        </w:rPr>
        <w:t>th</w:t>
      </w:r>
      <w:r w:rsidRPr="00664F31">
        <w:rPr>
          <w:rFonts w:eastAsiaTheme="minorEastAsia" w:cstheme="minorHAnsi"/>
          <w:color w:val="222222"/>
          <w:sz w:val="24"/>
          <w:szCs w:val="24"/>
        </w:rPr>
        <w:t xml:space="preserve"> ed. Pearson Australia.</w:t>
      </w:r>
    </w:p>
    <w:p w14:paraId="0653D62A" w14:textId="6E554D7A" w:rsidR="00DC5F00" w:rsidRPr="00664F31" w:rsidRDefault="00DC5F00" w:rsidP="00664F31">
      <w:pPr>
        <w:spacing w:line="360" w:lineRule="auto"/>
        <w:jc w:val="both"/>
        <w:rPr>
          <w:rFonts w:eastAsiaTheme="minorEastAsia" w:cstheme="minorHAnsi"/>
          <w:color w:val="222222"/>
          <w:sz w:val="24"/>
          <w:szCs w:val="24"/>
        </w:rPr>
      </w:pPr>
      <w:r w:rsidRPr="00664F31">
        <w:rPr>
          <w:rFonts w:eastAsiaTheme="minorEastAsia" w:cstheme="minorHAnsi"/>
          <w:color w:val="222222"/>
          <w:sz w:val="24"/>
          <w:szCs w:val="24"/>
        </w:rPr>
        <w:t xml:space="preserve">Booms, B.H. and Bitner, M.J., 1981. Marketing strategies and organization structures for service firms. </w:t>
      </w:r>
      <w:r w:rsidR="00203A84">
        <w:rPr>
          <w:rFonts w:eastAsiaTheme="minorEastAsia" w:cstheme="minorHAnsi"/>
          <w:i/>
          <w:iCs/>
          <w:color w:val="222222"/>
          <w:sz w:val="24"/>
          <w:szCs w:val="24"/>
        </w:rPr>
        <w:t>Marketing of S</w:t>
      </w:r>
      <w:r w:rsidRPr="00664F31">
        <w:rPr>
          <w:rFonts w:eastAsiaTheme="minorEastAsia" w:cstheme="minorHAnsi"/>
          <w:i/>
          <w:iCs/>
          <w:color w:val="222222"/>
          <w:sz w:val="24"/>
          <w:szCs w:val="24"/>
        </w:rPr>
        <w:t>ervices</w:t>
      </w:r>
      <w:r w:rsidRPr="00664F31">
        <w:rPr>
          <w:rFonts w:eastAsiaTheme="minorEastAsia" w:cstheme="minorHAnsi"/>
          <w:color w:val="222222"/>
          <w:sz w:val="24"/>
          <w:szCs w:val="24"/>
        </w:rPr>
        <w:t xml:space="preserve">, </w:t>
      </w:r>
      <w:r w:rsidRPr="00664F31">
        <w:rPr>
          <w:rFonts w:eastAsiaTheme="minorEastAsia" w:cstheme="minorHAnsi"/>
          <w:i/>
          <w:iCs/>
          <w:color w:val="222222"/>
          <w:sz w:val="24"/>
          <w:szCs w:val="24"/>
        </w:rPr>
        <w:t>25</w:t>
      </w:r>
      <w:r w:rsidR="00203A84">
        <w:rPr>
          <w:rFonts w:eastAsiaTheme="minorEastAsia" w:cstheme="minorHAnsi"/>
          <w:color w:val="222222"/>
          <w:sz w:val="24"/>
          <w:szCs w:val="24"/>
        </w:rPr>
        <w:t>(3), pp.</w:t>
      </w:r>
      <w:r w:rsidRPr="00664F31">
        <w:rPr>
          <w:rFonts w:eastAsiaTheme="minorEastAsia" w:cstheme="minorHAnsi"/>
          <w:color w:val="222222"/>
          <w:sz w:val="24"/>
          <w:szCs w:val="24"/>
        </w:rPr>
        <w:t>47-52.</w:t>
      </w:r>
    </w:p>
    <w:p w14:paraId="0743C68C" w14:textId="64DD5739" w:rsidR="483412AE" w:rsidRPr="00664F31" w:rsidRDefault="2601D26C" w:rsidP="00664F31">
      <w:pPr>
        <w:spacing w:line="360" w:lineRule="auto"/>
        <w:jc w:val="both"/>
        <w:rPr>
          <w:rFonts w:eastAsiaTheme="minorEastAsia" w:cstheme="minorHAnsi"/>
          <w:color w:val="222222"/>
          <w:sz w:val="24"/>
          <w:szCs w:val="24"/>
        </w:rPr>
      </w:pPr>
      <w:r w:rsidRPr="00664F31">
        <w:rPr>
          <w:rFonts w:eastAsiaTheme="minorEastAsia" w:cstheme="minorHAnsi"/>
          <w:color w:val="222222"/>
          <w:sz w:val="24"/>
          <w:szCs w:val="24"/>
        </w:rPr>
        <w:t xml:space="preserve">Boone, L.E. and Kurtz, D.L., 2013. </w:t>
      </w:r>
      <w:r w:rsidRPr="00664F31">
        <w:rPr>
          <w:rFonts w:eastAsiaTheme="minorEastAsia" w:cstheme="minorHAnsi"/>
          <w:i/>
          <w:iCs/>
          <w:color w:val="222222"/>
          <w:sz w:val="24"/>
          <w:szCs w:val="24"/>
        </w:rPr>
        <w:t>Contemporary marketing</w:t>
      </w:r>
      <w:r w:rsidRPr="00664F31">
        <w:rPr>
          <w:rFonts w:eastAsiaTheme="minorEastAsia" w:cstheme="minorHAnsi"/>
          <w:color w:val="222222"/>
          <w:sz w:val="24"/>
          <w:szCs w:val="24"/>
        </w:rPr>
        <w:t>. Cengage learning.</w:t>
      </w:r>
    </w:p>
    <w:p w14:paraId="3CE8D5C3" w14:textId="6944176D" w:rsidR="00DC5F00" w:rsidRPr="00664F31" w:rsidRDefault="00DC5F00" w:rsidP="00664F31">
      <w:pPr>
        <w:spacing w:line="360" w:lineRule="auto"/>
        <w:jc w:val="both"/>
        <w:rPr>
          <w:rFonts w:eastAsiaTheme="minorEastAsia" w:cstheme="minorHAnsi"/>
          <w:color w:val="222222"/>
          <w:sz w:val="24"/>
          <w:szCs w:val="24"/>
        </w:rPr>
      </w:pPr>
      <w:r w:rsidRPr="00664F31">
        <w:rPr>
          <w:rFonts w:eastAsiaTheme="minorEastAsia" w:cstheme="minorHAnsi"/>
          <w:color w:val="222222"/>
          <w:sz w:val="24"/>
          <w:szCs w:val="24"/>
        </w:rPr>
        <w:t xml:space="preserve">Bovend'Eerdt, T.J., Botell, R.E. and Wade, D.T., 2009. Writing SMART rehabilitation goals and achieving goal attainment scaling: a practical guide. </w:t>
      </w:r>
      <w:r w:rsidR="00203A84">
        <w:rPr>
          <w:rFonts w:eastAsiaTheme="minorEastAsia" w:cstheme="minorHAnsi"/>
          <w:i/>
          <w:iCs/>
          <w:color w:val="222222"/>
          <w:sz w:val="24"/>
          <w:szCs w:val="24"/>
        </w:rPr>
        <w:t>Clinical R</w:t>
      </w:r>
      <w:r w:rsidRPr="00664F31">
        <w:rPr>
          <w:rFonts w:eastAsiaTheme="minorEastAsia" w:cstheme="minorHAnsi"/>
          <w:i/>
          <w:iCs/>
          <w:color w:val="222222"/>
          <w:sz w:val="24"/>
          <w:szCs w:val="24"/>
        </w:rPr>
        <w:t>ehabilitation</w:t>
      </w:r>
      <w:r w:rsidRPr="00664F31">
        <w:rPr>
          <w:rFonts w:eastAsiaTheme="minorEastAsia" w:cstheme="minorHAnsi"/>
          <w:color w:val="222222"/>
          <w:sz w:val="24"/>
          <w:szCs w:val="24"/>
        </w:rPr>
        <w:t xml:space="preserve">, </w:t>
      </w:r>
      <w:r w:rsidRPr="00664F31">
        <w:rPr>
          <w:rFonts w:eastAsiaTheme="minorEastAsia" w:cstheme="minorHAnsi"/>
          <w:i/>
          <w:iCs/>
          <w:color w:val="222222"/>
          <w:sz w:val="24"/>
          <w:szCs w:val="24"/>
        </w:rPr>
        <w:t>23</w:t>
      </w:r>
      <w:r w:rsidRPr="00664F31">
        <w:rPr>
          <w:rFonts w:eastAsiaTheme="minorEastAsia" w:cstheme="minorHAnsi"/>
          <w:color w:val="222222"/>
          <w:sz w:val="24"/>
          <w:szCs w:val="24"/>
        </w:rPr>
        <w:t>(4), pp.352-361.</w:t>
      </w:r>
    </w:p>
    <w:p w14:paraId="55D5953D" w14:textId="33BCD572" w:rsidR="00DC5F00" w:rsidRPr="00664F31" w:rsidRDefault="00DC5F00" w:rsidP="00664F31">
      <w:pPr>
        <w:spacing w:line="360" w:lineRule="auto"/>
        <w:jc w:val="both"/>
        <w:rPr>
          <w:rFonts w:eastAsiaTheme="minorEastAsia" w:cstheme="minorHAnsi"/>
          <w:color w:val="2A2A2A"/>
          <w:sz w:val="24"/>
          <w:szCs w:val="24"/>
        </w:rPr>
      </w:pPr>
      <w:r w:rsidRPr="00664F31">
        <w:rPr>
          <w:rFonts w:eastAsiaTheme="minorEastAsia" w:cstheme="minorHAnsi"/>
          <w:color w:val="2A2A2A"/>
          <w:sz w:val="24"/>
          <w:szCs w:val="24"/>
        </w:rPr>
        <w:t xml:space="preserve">Brugha, R. and Varvasovszky, Z., 2000. Stakeholder analysis: a review, </w:t>
      </w:r>
      <w:r w:rsidRPr="00664F31">
        <w:rPr>
          <w:rFonts w:eastAsiaTheme="minorEastAsia" w:cstheme="minorHAnsi"/>
          <w:i/>
          <w:iCs/>
          <w:color w:val="2A2A2A"/>
          <w:sz w:val="24"/>
          <w:szCs w:val="24"/>
        </w:rPr>
        <w:t>Health Policy and Planning</w:t>
      </w:r>
      <w:r w:rsidR="00203A84">
        <w:rPr>
          <w:rFonts w:eastAsiaTheme="minorEastAsia" w:cstheme="minorHAnsi"/>
          <w:color w:val="2A2A2A"/>
          <w:sz w:val="24"/>
          <w:szCs w:val="24"/>
        </w:rPr>
        <w:t xml:space="preserve">, </w:t>
      </w:r>
      <w:r w:rsidR="00203A84" w:rsidRPr="00203A84">
        <w:rPr>
          <w:rFonts w:eastAsiaTheme="minorEastAsia" w:cstheme="minorHAnsi"/>
          <w:i/>
          <w:color w:val="2A2A2A"/>
          <w:sz w:val="24"/>
          <w:szCs w:val="24"/>
        </w:rPr>
        <w:t>15</w:t>
      </w:r>
      <w:r w:rsidR="00203A84">
        <w:rPr>
          <w:rFonts w:eastAsiaTheme="minorEastAsia" w:cstheme="minorHAnsi"/>
          <w:color w:val="2A2A2A"/>
          <w:sz w:val="24"/>
          <w:szCs w:val="24"/>
        </w:rPr>
        <w:t>(</w:t>
      </w:r>
      <w:r w:rsidRPr="00664F31">
        <w:rPr>
          <w:rFonts w:eastAsiaTheme="minorEastAsia" w:cstheme="minorHAnsi"/>
          <w:color w:val="2A2A2A"/>
          <w:sz w:val="24"/>
          <w:szCs w:val="24"/>
        </w:rPr>
        <w:t>3</w:t>
      </w:r>
      <w:r w:rsidR="00203A84">
        <w:rPr>
          <w:rFonts w:eastAsiaTheme="minorEastAsia" w:cstheme="minorHAnsi"/>
          <w:color w:val="2A2A2A"/>
          <w:sz w:val="24"/>
          <w:szCs w:val="24"/>
        </w:rPr>
        <w:t>), pp.</w:t>
      </w:r>
      <w:r w:rsidRPr="00664F31">
        <w:rPr>
          <w:rFonts w:eastAsiaTheme="minorEastAsia" w:cstheme="minorHAnsi"/>
          <w:color w:val="2A2A2A"/>
          <w:sz w:val="24"/>
          <w:szCs w:val="24"/>
        </w:rPr>
        <w:t>239–246.</w:t>
      </w:r>
    </w:p>
    <w:p w14:paraId="13B9B8A6" w14:textId="580823FC" w:rsidR="483412AE" w:rsidRPr="00664F31" w:rsidRDefault="312A6FEB" w:rsidP="00664F31">
      <w:pPr>
        <w:spacing w:line="360" w:lineRule="auto"/>
        <w:jc w:val="both"/>
        <w:rPr>
          <w:rFonts w:eastAsiaTheme="minorEastAsia" w:cstheme="minorHAnsi"/>
          <w:color w:val="222222"/>
          <w:sz w:val="24"/>
          <w:szCs w:val="24"/>
        </w:rPr>
      </w:pPr>
      <w:r w:rsidRPr="00664F31">
        <w:rPr>
          <w:rFonts w:eastAsiaTheme="minorEastAsia" w:cstheme="minorHAnsi"/>
          <w:color w:val="222222"/>
          <w:sz w:val="24"/>
          <w:szCs w:val="24"/>
        </w:rPr>
        <w:t xml:space="preserve">Butz, H.E. and Goodstein, L.D., 1996. Measuring customer value: gaining the strategic advantage. </w:t>
      </w:r>
      <w:r w:rsidR="00203A84">
        <w:rPr>
          <w:rFonts w:eastAsiaTheme="minorEastAsia" w:cstheme="minorHAnsi"/>
          <w:i/>
          <w:iCs/>
          <w:color w:val="222222"/>
          <w:sz w:val="24"/>
          <w:szCs w:val="24"/>
        </w:rPr>
        <w:t>Organizational D</w:t>
      </w:r>
      <w:r w:rsidRPr="00664F31">
        <w:rPr>
          <w:rFonts w:eastAsiaTheme="minorEastAsia" w:cstheme="minorHAnsi"/>
          <w:i/>
          <w:iCs/>
          <w:color w:val="222222"/>
          <w:sz w:val="24"/>
          <w:szCs w:val="24"/>
        </w:rPr>
        <w:t>ynamics</w:t>
      </w:r>
      <w:r w:rsidRPr="00664F31">
        <w:rPr>
          <w:rFonts w:eastAsiaTheme="minorEastAsia" w:cstheme="minorHAnsi"/>
          <w:color w:val="222222"/>
          <w:sz w:val="24"/>
          <w:szCs w:val="24"/>
        </w:rPr>
        <w:t xml:space="preserve">, </w:t>
      </w:r>
      <w:r w:rsidRPr="00664F31">
        <w:rPr>
          <w:rFonts w:eastAsiaTheme="minorEastAsia" w:cstheme="minorHAnsi"/>
          <w:i/>
          <w:iCs/>
          <w:color w:val="222222"/>
          <w:sz w:val="24"/>
          <w:szCs w:val="24"/>
        </w:rPr>
        <w:t>24</w:t>
      </w:r>
      <w:r w:rsidRPr="00664F31">
        <w:rPr>
          <w:rFonts w:eastAsiaTheme="minorEastAsia" w:cstheme="minorHAnsi"/>
          <w:color w:val="222222"/>
          <w:sz w:val="24"/>
          <w:szCs w:val="24"/>
        </w:rPr>
        <w:t>(3), pp.63-77.</w:t>
      </w:r>
    </w:p>
    <w:p w14:paraId="5A01D7BC" w14:textId="3E578A25" w:rsidR="483412AE" w:rsidRPr="00664F31" w:rsidRDefault="2601D26C" w:rsidP="00664F31">
      <w:pPr>
        <w:spacing w:line="360" w:lineRule="auto"/>
        <w:jc w:val="both"/>
        <w:rPr>
          <w:rFonts w:eastAsiaTheme="minorEastAsia" w:cstheme="minorHAnsi"/>
          <w:color w:val="222222"/>
          <w:sz w:val="24"/>
          <w:szCs w:val="24"/>
        </w:rPr>
      </w:pPr>
      <w:r w:rsidRPr="00664F31">
        <w:rPr>
          <w:rFonts w:eastAsiaTheme="minorEastAsia" w:cstheme="minorHAnsi"/>
          <w:color w:val="222222"/>
          <w:sz w:val="24"/>
          <w:szCs w:val="24"/>
        </w:rPr>
        <w:t xml:space="preserve">Collinson, E. and Shaw, E., 2001. Entrepreneurial marketing–a historical perspective on development and practice. </w:t>
      </w:r>
      <w:r w:rsidR="00203A84">
        <w:rPr>
          <w:rFonts w:eastAsiaTheme="minorEastAsia" w:cstheme="minorHAnsi"/>
          <w:i/>
          <w:iCs/>
          <w:color w:val="222222"/>
          <w:sz w:val="24"/>
          <w:szCs w:val="24"/>
        </w:rPr>
        <w:t>Management D</w:t>
      </w:r>
      <w:r w:rsidRPr="00664F31">
        <w:rPr>
          <w:rFonts w:eastAsiaTheme="minorEastAsia" w:cstheme="minorHAnsi"/>
          <w:i/>
          <w:iCs/>
          <w:color w:val="222222"/>
          <w:sz w:val="24"/>
          <w:szCs w:val="24"/>
        </w:rPr>
        <w:t>ecision</w:t>
      </w:r>
      <w:r w:rsidRPr="00664F31">
        <w:rPr>
          <w:rFonts w:eastAsiaTheme="minorEastAsia" w:cstheme="minorHAnsi"/>
          <w:color w:val="222222"/>
          <w:sz w:val="24"/>
          <w:szCs w:val="24"/>
        </w:rPr>
        <w:t xml:space="preserve">, </w:t>
      </w:r>
      <w:r w:rsidRPr="00664F31">
        <w:rPr>
          <w:rFonts w:eastAsiaTheme="minorEastAsia" w:cstheme="minorHAnsi"/>
          <w:i/>
          <w:iCs/>
          <w:color w:val="222222"/>
          <w:sz w:val="24"/>
          <w:szCs w:val="24"/>
        </w:rPr>
        <w:t>39</w:t>
      </w:r>
      <w:r w:rsidRPr="00664F31">
        <w:rPr>
          <w:rFonts w:eastAsiaTheme="minorEastAsia" w:cstheme="minorHAnsi"/>
          <w:color w:val="222222"/>
          <w:sz w:val="24"/>
          <w:szCs w:val="24"/>
        </w:rPr>
        <w:t>(9), pp.761-766.</w:t>
      </w:r>
    </w:p>
    <w:p w14:paraId="4810B60E" w14:textId="5B665885" w:rsidR="00DC5F00" w:rsidRPr="00664F31" w:rsidRDefault="00DC5F00" w:rsidP="00664F31">
      <w:pPr>
        <w:spacing w:line="360" w:lineRule="auto"/>
        <w:jc w:val="both"/>
        <w:rPr>
          <w:rFonts w:eastAsiaTheme="minorEastAsia" w:cstheme="minorHAnsi"/>
          <w:color w:val="222222"/>
          <w:sz w:val="24"/>
          <w:szCs w:val="24"/>
        </w:rPr>
      </w:pPr>
      <w:r w:rsidRPr="00664F31">
        <w:rPr>
          <w:rFonts w:eastAsiaTheme="minorEastAsia" w:cstheme="minorHAnsi"/>
          <w:color w:val="222222"/>
          <w:sz w:val="24"/>
          <w:szCs w:val="24"/>
        </w:rPr>
        <w:t xml:space="preserve">Copley, P., 2004. </w:t>
      </w:r>
      <w:r w:rsidRPr="00664F31">
        <w:rPr>
          <w:rFonts w:eastAsiaTheme="minorEastAsia" w:cstheme="minorHAnsi"/>
          <w:i/>
          <w:iCs/>
          <w:color w:val="222222"/>
          <w:sz w:val="24"/>
          <w:szCs w:val="24"/>
        </w:rPr>
        <w:t>Marketing communications management: concepts and theories, cases and practices</w:t>
      </w:r>
      <w:r w:rsidRPr="00664F31">
        <w:rPr>
          <w:rFonts w:eastAsiaTheme="minorEastAsia" w:cstheme="minorHAnsi"/>
          <w:color w:val="222222"/>
          <w:sz w:val="24"/>
          <w:szCs w:val="24"/>
        </w:rPr>
        <w:t>. Routledge.</w:t>
      </w:r>
    </w:p>
    <w:p w14:paraId="30B527A8" w14:textId="37E33225" w:rsidR="483412AE" w:rsidRPr="00664F31" w:rsidRDefault="2601D26C" w:rsidP="00664F31">
      <w:pPr>
        <w:spacing w:line="360" w:lineRule="auto"/>
        <w:jc w:val="both"/>
        <w:rPr>
          <w:rFonts w:eastAsiaTheme="minorEastAsia" w:cstheme="minorHAnsi"/>
          <w:color w:val="222222"/>
          <w:sz w:val="24"/>
          <w:szCs w:val="24"/>
        </w:rPr>
      </w:pPr>
      <w:r w:rsidRPr="00664F31">
        <w:rPr>
          <w:rFonts w:eastAsiaTheme="minorEastAsia" w:cstheme="minorHAnsi"/>
          <w:color w:val="222222"/>
          <w:sz w:val="24"/>
          <w:szCs w:val="24"/>
        </w:rPr>
        <w:t xml:space="preserve">Coupey, E., 2001. </w:t>
      </w:r>
      <w:r w:rsidRPr="00664F31">
        <w:rPr>
          <w:rFonts w:eastAsiaTheme="minorEastAsia" w:cstheme="minorHAnsi"/>
          <w:i/>
          <w:iCs/>
          <w:color w:val="222222"/>
          <w:sz w:val="24"/>
          <w:szCs w:val="24"/>
        </w:rPr>
        <w:t>Marketing and the Internet</w:t>
      </w:r>
      <w:r w:rsidRPr="00664F31">
        <w:rPr>
          <w:rFonts w:eastAsiaTheme="minorEastAsia" w:cstheme="minorHAnsi"/>
          <w:color w:val="222222"/>
          <w:sz w:val="24"/>
          <w:szCs w:val="24"/>
        </w:rPr>
        <w:t>. Prentice Hall PTR.</w:t>
      </w:r>
    </w:p>
    <w:p w14:paraId="7078F5C8" w14:textId="29C8FD11" w:rsidR="483412AE" w:rsidRDefault="2601D26C" w:rsidP="00664F31">
      <w:pPr>
        <w:pStyle w:val="Heading1"/>
        <w:spacing w:line="360" w:lineRule="auto"/>
        <w:jc w:val="both"/>
        <w:rPr>
          <w:rFonts w:asciiTheme="minorHAnsi" w:eastAsiaTheme="minorEastAsia" w:hAnsiTheme="minorHAnsi" w:cstheme="minorHAnsi"/>
          <w:color w:val="333333"/>
          <w:sz w:val="24"/>
          <w:szCs w:val="24"/>
        </w:rPr>
      </w:pPr>
      <w:r w:rsidRPr="00664F31">
        <w:rPr>
          <w:rFonts w:asciiTheme="minorHAnsi" w:eastAsiaTheme="minorEastAsia" w:hAnsiTheme="minorHAnsi" w:cstheme="minorHAnsi"/>
          <w:color w:val="333333"/>
          <w:sz w:val="24"/>
          <w:szCs w:val="24"/>
        </w:rPr>
        <w:t>Dhirendra, K., 2016. Enterprise Growth Strategy: Vision, Planning and Execution. New York: Routledge.</w:t>
      </w:r>
    </w:p>
    <w:p w14:paraId="3F5B7346" w14:textId="77777777" w:rsidR="00203A84" w:rsidRPr="00203A84" w:rsidRDefault="00203A84" w:rsidP="00203A84"/>
    <w:p w14:paraId="64950D71" w14:textId="31517811" w:rsidR="483412AE" w:rsidRPr="00664F31" w:rsidRDefault="2601D26C" w:rsidP="00664F31">
      <w:pPr>
        <w:spacing w:line="360" w:lineRule="auto"/>
        <w:jc w:val="both"/>
        <w:rPr>
          <w:rFonts w:eastAsiaTheme="minorEastAsia" w:cstheme="minorHAnsi"/>
          <w:color w:val="222222"/>
          <w:sz w:val="24"/>
          <w:szCs w:val="24"/>
        </w:rPr>
      </w:pPr>
      <w:r w:rsidRPr="00664F31">
        <w:rPr>
          <w:rFonts w:eastAsiaTheme="minorEastAsia" w:cstheme="minorHAnsi"/>
          <w:color w:val="222222"/>
          <w:sz w:val="24"/>
          <w:szCs w:val="24"/>
        </w:rPr>
        <w:t xml:space="preserve">Dobbs, E.M., 2014. Guidelines for applying Porter's five forces framework: a set of industry analysis templates. </w:t>
      </w:r>
      <w:r w:rsidRPr="00664F31">
        <w:rPr>
          <w:rFonts w:eastAsiaTheme="minorEastAsia" w:cstheme="minorHAnsi"/>
          <w:i/>
          <w:iCs/>
          <w:color w:val="222222"/>
          <w:sz w:val="24"/>
          <w:szCs w:val="24"/>
        </w:rPr>
        <w:t>Competitiveness Review</w:t>
      </w:r>
      <w:r w:rsidRPr="00664F31">
        <w:rPr>
          <w:rFonts w:eastAsiaTheme="minorEastAsia" w:cstheme="minorHAnsi"/>
          <w:color w:val="222222"/>
          <w:sz w:val="24"/>
          <w:szCs w:val="24"/>
        </w:rPr>
        <w:t xml:space="preserve">, </w:t>
      </w:r>
      <w:r w:rsidRPr="00664F31">
        <w:rPr>
          <w:rFonts w:eastAsiaTheme="minorEastAsia" w:cstheme="minorHAnsi"/>
          <w:i/>
          <w:iCs/>
          <w:color w:val="222222"/>
          <w:sz w:val="24"/>
          <w:szCs w:val="24"/>
        </w:rPr>
        <w:t>24</w:t>
      </w:r>
      <w:r w:rsidRPr="00664F31">
        <w:rPr>
          <w:rFonts w:eastAsiaTheme="minorEastAsia" w:cstheme="minorHAnsi"/>
          <w:color w:val="222222"/>
          <w:sz w:val="24"/>
          <w:szCs w:val="24"/>
        </w:rPr>
        <w:t>(1), pp.32-45.</w:t>
      </w:r>
    </w:p>
    <w:p w14:paraId="792C9F95" w14:textId="7AD97B98" w:rsidR="483412AE" w:rsidRPr="00664F31" w:rsidRDefault="2601D26C" w:rsidP="00664F31">
      <w:pPr>
        <w:spacing w:line="360" w:lineRule="auto"/>
        <w:jc w:val="both"/>
        <w:rPr>
          <w:rFonts w:eastAsiaTheme="minorEastAsia" w:cstheme="minorHAnsi"/>
          <w:color w:val="222222"/>
          <w:sz w:val="24"/>
          <w:szCs w:val="24"/>
        </w:rPr>
      </w:pPr>
      <w:r w:rsidRPr="00664F31">
        <w:rPr>
          <w:rFonts w:eastAsiaTheme="minorEastAsia" w:cstheme="minorHAnsi"/>
          <w:color w:val="222222"/>
          <w:sz w:val="24"/>
          <w:szCs w:val="24"/>
        </w:rPr>
        <w:t xml:space="preserve">Fontaine, C., Haarman, A. and Schmid, S., 2006. The stakeholder theory. </w:t>
      </w:r>
      <w:r w:rsidR="00203A84">
        <w:rPr>
          <w:rFonts w:eastAsiaTheme="minorEastAsia" w:cstheme="minorHAnsi"/>
          <w:i/>
          <w:iCs/>
          <w:color w:val="222222"/>
          <w:sz w:val="24"/>
          <w:szCs w:val="24"/>
        </w:rPr>
        <w:t>Edlays E</w:t>
      </w:r>
      <w:r w:rsidRPr="00664F31">
        <w:rPr>
          <w:rFonts w:eastAsiaTheme="minorEastAsia" w:cstheme="minorHAnsi"/>
          <w:i/>
          <w:iCs/>
          <w:color w:val="222222"/>
          <w:sz w:val="24"/>
          <w:szCs w:val="24"/>
        </w:rPr>
        <w:t>ducation</w:t>
      </w:r>
      <w:r w:rsidRPr="00664F31">
        <w:rPr>
          <w:rFonts w:eastAsiaTheme="minorEastAsia" w:cstheme="minorHAnsi"/>
          <w:color w:val="222222"/>
          <w:sz w:val="24"/>
          <w:szCs w:val="24"/>
        </w:rPr>
        <w:t xml:space="preserve">, </w:t>
      </w:r>
      <w:r w:rsidRPr="00664F31">
        <w:rPr>
          <w:rFonts w:eastAsiaTheme="minorEastAsia" w:cstheme="minorHAnsi"/>
          <w:i/>
          <w:iCs/>
          <w:color w:val="222222"/>
          <w:sz w:val="24"/>
          <w:szCs w:val="24"/>
        </w:rPr>
        <w:t>1</w:t>
      </w:r>
      <w:r w:rsidRPr="00664F31">
        <w:rPr>
          <w:rFonts w:eastAsiaTheme="minorEastAsia" w:cstheme="minorHAnsi"/>
          <w:color w:val="222222"/>
          <w:sz w:val="24"/>
          <w:szCs w:val="24"/>
        </w:rPr>
        <w:t>, pp.1-33.</w:t>
      </w:r>
    </w:p>
    <w:p w14:paraId="026C64A4" w14:textId="10BB1909" w:rsidR="483412AE" w:rsidRPr="00664F31" w:rsidRDefault="2601D26C" w:rsidP="00664F31">
      <w:pPr>
        <w:spacing w:line="360" w:lineRule="auto"/>
        <w:jc w:val="both"/>
        <w:rPr>
          <w:rFonts w:eastAsiaTheme="minorEastAsia" w:cstheme="minorHAnsi"/>
          <w:color w:val="222222"/>
          <w:sz w:val="24"/>
          <w:szCs w:val="24"/>
        </w:rPr>
      </w:pPr>
      <w:r w:rsidRPr="00664F31">
        <w:rPr>
          <w:rFonts w:eastAsiaTheme="minorEastAsia" w:cstheme="minorHAnsi"/>
          <w:color w:val="222222"/>
          <w:sz w:val="24"/>
          <w:szCs w:val="24"/>
        </w:rPr>
        <w:lastRenderedPageBreak/>
        <w:t>Hay, G.</w:t>
      </w:r>
      <w:r w:rsidR="00203A84">
        <w:rPr>
          <w:rFonts w:eastAsiaTheme="minorEastAsia" w:cstheme="minorHAnsi"/>
          <w:color w:val="222222"/>
          <w:sz w:val="24"/>
          <w:szCs w:val="24"/>
        </w:rPr>
        <w:t>J. and Castilla, G., 2006.</w:t>
      </w:r>
      <w:r w:rsidRPr="00664F31">
        <w:rPr>
          <w:rFonts w:eastAsiaTheme="minorEastAsia" w:cstheme="minorHAnsi"/>
          <w:color w:val="222222"/>
          <w:sz w:val="24"/>
          <w:szCs w:val="24"/>
        </w:rPr>
        <w:t xml:space="preserve"> Object-based image analysis: strengths, weaknesses, opportunities and threats (SWOT). In </w:t>
      </w:r>
      <w:r w:rsidRPr="00664F31">
        <w:rPr>
          <w:rFonts w:eastAsiaTheme="minorEastAsia" w:cstheme="minorHAnsi"/>
          <w:i/>
          <w:iCs/>
          <w:color w:val="222222"/>
          <w:sz w:val="24"/>
          <w:szCs w:val="24"/>
        </w:rPr>
        <w:t>Proc. 1st Int. Conf. OBIA</w:t>
      </w:r>
      <w:r w:rsidRPr="00664F31">
        <w:rPr>
          <w:rFonts w:eastAsiaTheme="minorEastAsia" w:cstheme="minorHAnsi"/>
          <w:color w:val="222222"/>
          <w:sz w:val="24"/>
          <w:szCs w:val="24"/>
        </w:rPr>
        <w:t xml:space="preserve"> (pp. 4-5).</w:t>
      </w:r>
    </w:p>
    <w:p w14:paraId="4EE1C1F1" w14:textId="71B7BEED" w:rsidR="483412AE" w:rsidRPr="00664F31" w:rsidRDefault="1075BEBC" w:rsidP="00664F31">
      <w:pPr>
        <w:spacing w:line="360" w:lineRule="auto"/>
        <w:jc w:val="both"/>
        <w:rPr>
          <w:rFonts w:eastAsiaTheme="minorEastAsia" w:cstheme="minorHAnsi"/>
          <w:color w:val="222222"/>
          <w:sz w:val="24"/>
          <w:szCs w:val="24"/>
        </w:rPr>
      </w:pPr>
      <w:r w:rsidRPr="00664F31">
        <w:rPr>
          <w:rFonts w:eastAsiaTheme="minorEastAsia" w:cstheme="minorHAnsi"/>
          <w:color w:val="222222"/>
          <w:sz w:val="24"/>
          <w:szCs w:val="24"/>
        </w:rPr>
        <w:t xml:space="preserve">Kotler, P. and Armstrong, G., 2010. </w:t>
      </w:r>
      <w:r w:rsidR="00203A84">
        <w:rPr>
          <w:rFonts w:eastAsiaTheme="minorEastAsia" w:cstheme="minorHAnsi"/>
          <w:i/>
          <w:iCs/>
          <w:color w:val="222222"/>
          <w:sz w:val="24"/>
          <w:szCs w:val="24"/>
        </w:rPr>
        <w:t>Principles of M</w:t>
      </w:r>
      <w:r w:rsidRPr="00664F31">
        <w:rPr>
          <w:rFonts w:eastAsiaTheme="minorEastAsia" w:cstheme="minorHAnsi"/>
          <w:i/>
          <w:iCs/>
          <w:color w:val="222222"/>
          <w:sz w:val="24"/>
          <w:szCs w:val="24"/>
        </w:rPr>
        <w:t>arketing</w:t>
      </w:r>
      <w:r w:rsidRPr="00664F31">
        <w:rPr>
          <w:rFonts w:eastAsiaTheme="minorEastAsia" w:cstheme="minorHAnsi"/>
          <w:color w:val="222222"/>
          <w:sz w:val="24"/>
          <w:szCs w:val="24"/>
        </w:rPr>
        <w:t>. Pearson education.</w:t>
      </w:r>
    </w:p>
    <w:p w14:paraId="584A485A" w14:textId="77777777" w:rsidR="00DC5F00" w:rsidRPr="00664F31" w:rsidRDefault="00DC5F00" w:rsidP="00664F31">
      <w:pPr>
        <w:spacing w:line="360" w:lineRule="auto"/>
        <w:jc w:val="both"/>
        <w:rPr>
          <w:rFonts w:eastAsiaTheme="minorEastAsia" w:cstheme="minorHAnsi"/>
          <w:color w:val="222222"/>
          <w:sz w:val="24"/>
          <w:szCs w:val="24"/>
        </w:rPr>
      </w:pPr>
      <w:r w:rsidRPr="00664F31">
        <w:rPr>
          <w:rFonts w:eastAsiaTheme="minorEastAsia" w:cstheme="minorHAnsi"/>
          <w:color w:val="222222"/>
          <w:sz w:val="24"/>
          <w:szCs w:val="24"/>
        </w:rPr>
        <w:t xml:space="preserve">Kotler, P. and Zaltman, G., 1971. Social marketing: an approach to planned social change. </w:t>
      </w:r>
      <w:r w:rsidRPr="00664F31">
        <w:rPr>
          <w:rFonts w:eastAsiaTheme="minorEastAsia" w:cstheme="minorHAnsi"/>
          <w:i/>
          <w:iCs/>
          <w:color w:val="222222"/>
          <w:sz w:val="24"/>
          <w:szCs w:val="24"/>
        </w:rPr>
        <w:t>The Journal of Marketing</w:t>
      </w:r>
      <w:r w:rsidRPr="00664F31">
        <w:rPr>
          <w:rFonts w:eastAsiaTheme="minorEastAsia" w:cstheme="minorHAnsi"/>
          <w:color w:val="222222"/>
          <w:sz w:val="24"/>
          <w:szCs w:val="24"/>
        </w:rPr>
        <w:t>, pp.3-12.</w:t>
      </w:r>
    </w:p>
    <w:p w14:paraId="04F60625" w14:textId="3070AB5A" w:rsidR="483412AE" w:rsidRPr="00664F31" w:rsidRDefault="2601D26C" w:rsidP="00664F31">
      <w:pPr>
        <w:spacing w:line="360" w:lineRule="auto"/>
        <w:jc w:val="both"/>
        <w:rPr>
          <w:rFonts w:eastAsiaTheme="minorEastAsia" w:cstheme="minorHAnsi"/>
          <w:color w:val="222222"/>
          <w:sz w:val="24"/>
          <w:szCs w:val="24"/>
        </w:rPr>
      </w:pPr>
      <w:r w:rsidRPr="00664F31">
        <w:rPr>
          <w:rFonts w:eastAsiaTheme="minorEastAsia" w:cstheme="minorHAnsi"/>
          <w:color w:val="222222"/>
          <w:sz w:val="24"/>
          <w:szCs w:val="24"/>
        </w:rPr>
        <w:t xml:space="preserve">Lin, Y.S. and Huang, J.Y., 2006. Internet blogs as a tourism marketing medium: A case study. </w:t>
      </w:r>
      <w:r w:rsidRPr="00664F31">
        <w:rPr>
          <w:rFonts w:eastAsiaTheme="minorEastAsia" w:cstheme="minorHAnsi"/>
          <w:i/>
          <w:iCs/>
          <w:color w:val="222222"/>
          <w:sz w:val="24"/>
          <w:szCs w:val="24"/>
        </w:rPr>
        <w:t>Journal of Business Research</w:t>
      </w:r>
      <w:r w:rsidRPr="00664F31">
        <w:rPr>
          <w:rFonts w:eastAsiaTheme="minorEastAsia" w:cstheme="minorHAnsi"/>
          <w:color w:val="222222"/>
          <w:sz w:val="24"/>
          <w:szCs w:val="24"/>
        </w:rPr>
        <w:t xml:space="preserve">, </w:t>
      </w:r>
      <w:r w:rsidRPr="00664F31">
        <w:rPr>
          <w:rFonts w:eastAsiaTheme="minorEastAsia" w:cstheme="minorHAnsi"/>
          <w:i/>
          <w:iCs/>
          <w:color w:val="222222"/>
          <w:sz w:val="24"/>
          <w:szCs w:val="24"/>
        </w:rPr>
        <w:t>59</w:t>
      </w:r>
      <w:r w:rsidRPr="00664F31">
        <w:rPr>
          <w:rFonts w:eastAsiaTheme="minorEastAsia" w:cstheme="minorHAnsi"/>
          <w:color w:val="222222"/>
          <w:sz w:val="24"/>
          <w:szCs w:val="24"/>
        </w:rPr>
        <w:t>(10), pp.1201-1205.</w:t>
      </w:r>
    </w:p>
    <w:p w14:paraId="513D4AD4" w14:textId="5E87A400" w:rsidR="00DC5F00" w:rsidRPr="00664F31" w:rsidRDefault="00DC5F00" w:rsidP="00664F31">
      <w:pPr>
        <w:spacing w:line="360" w:lineRule="auto"/>
        <w:jc w:val="both"/>
        <w:rPr>
          <w:rFonts w:eastAsiaTheme="minorEastAsia" w:cstheme="minorHAnsi"/>
          <w:color w:val="222222"/>
          <w:sz w:val="24"/>
          <w:szCs w:val="24"/>
        </w:rPr>
      </w:pPr>
      <w:r w:rsidRPr="00664F31">
        <w:rPr>
          <w:rFonts w:eastAsiaTheme="minorEastAsia" w:cstheme="minorHAnsi"/>
          <w:color w:val="222222"/>
          <w:sz w:val="24"/>
          <w:szCs w:val="24"/>
        </w:rPr>
        <w:t xml:space="preserve">Mangold, W.G. and Faulds, D.J., 2009. Social media: The new hybrid element of the promotion mix. </w:t>
      </w:r>
      <w:r w:rsidR="00203A84">
        <w:rPr>
          <w:rFonts w:eastAsiaTheme="minorEastAsia" w:cstheme="minorHAnsi"/>
          <w:i/>
          <w:iCs/>
          <w:color w:val="222222"/>
          <w:sz w:val="24"/>
          <w:szCs w:val="24"/>
        </w:rPr>
        <w:t>Business H</w:t>
      </w:r>
      <w:r w:rsidRPr="00664F31">
        <w:rPr>
          <w:rFonts w:eastAsiaTheme="minorEastAsia" w:cstheme="minorHAnsi"/>
          <w:i/>
          <w:iCs/>
          <w:color w:val="222222"/>
          <w:sz w:val="24"/>
          <w:szCs w:val="24"/>
        </w:rPr>
        <w:t>orizons</w:t>
      </w:r>
      <w:r w:rsidRPr="00664F31">
        <w:rPr>
          <w:rFonts w:eastAsiaTheme="minorEastAsia" w:cstheme="minorHAnsi"/>
          <w:color w:val="222222"/>
          <w:sz w:val="24"/>
          <w:szCs w:val="24"/>
        </w:rPr>
        <w:t xml:space="preserve">, </w:t>
      </w:r>
      <w:r w:rsidRPr="00664F31">
        <w:rPr>
          <w:rFonts w:eastAsiaTheme="minorEastAsia" w:cstheme="minorHAnsi"/>
          <w:i/>
          <w:iCs/>
          <w:color w:val="222222"/>
          <w:sz w:val="24"/>
          <w:szCs w:val="24"/>
        </w:rPr>
        <w:t>52</w:t>
      </w:r>
      <w:r w:rsidRPr="00664F31">
        <w:rPr>
          <w:rFonts w:eastAsiaTheme="minorEastAsia" w:cstheme="minorHAnsi"/>
          <w:color w:val="222222"/>
          <w:sz w:val="24"/>
          <w:szCs w:val="24"/>
        </w:rPr>
        <w:t>(4), pp.357-365.</w:t>
      </w:r>
    </w:p>
    <w:p w14:paraId="0D70AF0B" w14:textId="5E4C25BE" w:rsidR="00DC5F00" w:rsidRPr="00664F31" w:rsidRDefault="00DC5F00" w:rsidP="00664F31">
      <w:pPr>
        <w:spacing w:line="360" w:lineRule="auto"/>
        <w:jc w:val="both"/>
        <w:rPr>
          <w:rFonts w:cstheme="minorHAnsi"/>
          <w:sz w:val="24"/>
          <w:szCs w:val="24"/>
        </w:rPr>
      </w:pPr>
      <w:r w:rsidRPr="00664F31">
        <w:rPr>
          <w:rFonts w:eastAsia="Calibri" w:cstheme="minorHAnsi"/>
          <w:sz w:val="24"/>
          <w:szCs w:val="24"/>
        </w:rPr>
        <w:t xml:space="preserve">Moorman, C. and Rust, R.T., 1999. The role of marketing. </w:t>
      </w:r>
      <w:r w:rsidRPr="00664F31">
        <w:rPr>
          <w:rFonts w:eastAsia="Calibri" w:cstheme="minorHAnsi"/>
          <w:i/>
          <w:iCs/>
          <w:sz w:val="24"/>
          <w:szCs w:val="24"/>
        </w:rPr>
        <w:t>The Journal of Marketing</w:t>
      </w:r>
      <w:r w:rsidRPr="00664F31">
        <w:rPr>
          <w:rFonts w:eastAsia="Calibri" w:cstheme="minorHAnsi"/>
          <w:sz w:val="24"/>
          <w:szCs w:val="24"/>
        </w:rPr>
        <w:t>, pp.180-197.</w:t>
      </w:r>
    </w:p>
    <w:p w14:paraId="7DA22D00" w14:textId="50560676" w:rsidR="00DC5F00" w:rsidRPr="00664F31" w:rsidRDefault="00DC5F00" w:rsidP="00664F31">
      <w:pPr>
        <w:spacing w:line="360" w:lineRule="auto"/>
        <w:jc w:val="both"/>
        <w:rPr>
          <w:rFonts w:eastAsiaTheme="minorEastAsia" w:cstheme="minorHAnsi"/>
          <w:color w:val="222222"/>
          <w:sz w:val="24"/>
          <w:szCs w:val="24"/>
        </w:rPr>
      </w:pPr>
      <w:r w:rsidRPr="00664F31">
        <w:rPr>
          <w:rFonts w:eastAsiaTheme="minorEastAsia" w:cstheme="minorHAnsi"/>
          <w:color w:val="222222"/>
          <w:sz w:val="24"/>
          <w:szCs w:val="24"/>
        </w:rPr>
        <w:t xml:space="preserve">Mudzanani, T., 2015. A review and analysis of the role of integrated marketing communication message typology in the development of communication strategies. </w:t>
      </w:r>
      <w:r w:rsidRPr="00664F31">
        <w:rPr>
          <w:rFonts w:eastAsiaTheme="minorEastAsia" w:cstheme="minorHAnsi"/>
          <w:i/>
          <w:iCs/>
          <w:color w:val="222222"/>
          <w:sz w:val="24"/>
          <w:szCs w:val="24"/>
        </w:rPr>
        <w:t>African Journal of Marketing Management</w:t>
      </w:r>
      <w:r w:rsidRPr="00664F31">
        <w:rPr>
          <w:rFonts w:eastAsiaTheme="minorEastAsia" w:cstheme="minorHAnsi"/>
          <w:color w:val="222222"/>
          <w:sz w:val="24"/>
          <w:szCs w:val="24"/>
        </w:rPr>
        <w:t xml:space="preserve">, </w:t>
      </w:r>
      <w:r w:rsidRPr="00664F31">
        <w:rPr>
          <w:rFonts w:eastAsiaTheme="minorEastAsia" w:cstheme="minorHAnsi"/>
          <w:i/>
          <w:iCs/>
          <w:color w:val="222222"/>
          <w:sz w:val="24"/>
          <w:szCs w:val="24"/>
        </w:rPr>
        <w:t>7</w:t>
      </w:r>
      <w:r w:rsidRPr="00664F31">
        <w:rPr>
          <w:rFonts w:eastAsiaTheme="minorEastAsia" w:cstheme="minorHAnsi"/>
          <w:color w:val="222222"/>
          <w:sz w:val="24"/>
          <w:szCs w:val="24"/>
        </w:rPr>
        <w:t>(8), pp.90-97.</w:t>
      </w:r>
    </w:p>
    <w:p w14:paraId="0DC8C890" w14:textId="0F70C4FB" w:rsidR="483412AE" w:rsidRPr="00664F31" w:rsidRDefault="2601D26C" w:rsidP="00664F31">
      <w:pPr>
        <w:spacing w:line="360" w:lineRule="auto"/>
        <w:jc w:val="both"/>
        <w:rPr>
          <w:rFonts w:eastAsiaTheme="minorEastAsia" w:cstheme="minorHAnsi"/>
          <w:color w:val="222222"/>
          <w:sz w:val="24"/>
          <w:szCs w:val="24"/>
        </w:rPr>
      </w:pPr>
      <w:r w:rsidRPr="00664F31">
        <w:rPr>
          <w:rFonts w:eastAsiaTheme="minorEastAsia" w:cstheme="minorHAnsi"/>
          <w:color w:val="222222"/>
          <w:sz w:val="24"/>
          <w:szCs w:val="24"/>
        </w:rPr>
        <w:t xml:space="preserve">Murray-Webster, R. and Simon, P., 2006. Making sense of stakeholder mapping. </w:t>
      </w:r>
      <w:r w:rsidR="00203A84">
        <w:rPr>
          <w:rFonts w:eastAsiaTheme="minorEastAsia" w:cstheme="minorHAnsi"/>
          <w:i/>
          <w:iCs/>
          <w:color w:val="222222"/>
          <w:sz w:val="24"/>
          <w:szCs w:val="24"/>
        </w:rPr>
        <w:t>PM World T</w:t>
      </w:r>
      <w:r w:rsidRPr="00664F31">
        <w:rPr>
          <w:rFonts w:eastAsiaTheme="minorEastAsia" w:cstheme="minorHAnsi"/>
          <w:i/>
          <w:iCs/>
          <w:color w:val="222222"/>
          <w:sz w:val="24"/>
          <w:szCs w:val="24"/>
        </w:rPr>
        <w:t>oday</w:t>
      </w:r>
      <w:r w:rsidRPr="00664F31">
        <w:rPr>
          <w:rFonts w:eastAsiaTheme="minorEastAsia" w:cstheme="minorHAnsi"/>
          <w:color w:val="222222"/>
          <w:sz w:val="24"/>
          <w:szCs w:val="24"/>
        </w:rPr>
        <w:t xml:space="preserve">, </w:t>
      </w:r>
      <w:r w:rsidRPr="00664F31">
        <w:rPr>
          <w:rFonts w:eastAsiaTheme="minorEastAsia" w:cstheme="minorHAnsi"/>
          <w:i/>
          <w:iCs/>
          <w:color w:val="222222"/>
          <w:sz w:val="24"/>
          <w:szCs w:val="24"/>
        </w:rPr>
        <w:t>8</w:t>
      </w:r>
      <w:r w:rsidRPr="00664F31">
        <w:rPr>
          <w:rFonts w:eastAsiaTheme="minorEastAsia" w:cstheme="minorHAnsi"/>
          <w:color w:val="222222"/>
          <w:sz w:val="24"/>
          <w:szCs w:val="24"/>
        </w:rPr>
        <w:t>(11), pp.1-5.</w:t>
      </w:r>
    </w:p>
    <w:p w14:paraId="29E90AC5" w14:textId="5514F782" w:rsidR="483412AE" w:rsidRPr="00664F31" w:rsidRDefault="2601D26C" w:rsidP="00664F31">
      <w:pPr>
        <w:spacing w:line="360" w:lineRule="auto"/>
        <w:jc w:val="both"/>
        <w:rPr>
          <w:rFonts w:eastAsiaTheme="minorEastAsia" w:cstheme="minorHAnsi"/>
          <w:color w:val="222222"/>
          <w:sz w:val="24"/>
          <w:szCs w:val="24"/>
        </w:rPr>
      </w:pPr>
      <w:r w:rsidRPr="00664F31">
        <w:rPr>
          <w:rFonts w:eastAsiaTheme="minorEastAsia" w:cstheme="minorHAnsi"/>
          <w:color w:val="222222"/>
          <w:sz w:val="24"/>
          <w:szCs w:val="24"/>
        </w:rPr>
        <w:t xml:space="preserve">Rafiq, M. and Ahmed, P.K., 1995. Using the 7Ps as a generic marketing mix: an exploratory survey of UK and European marketing academics. </w:t>
      </w:r>
      <w:r w:rsidR="00664F31" w:rsidRPr="00664F31">
        <w:rPr>
          <w:rFonts w:eastAsiaTheme="minorEastAsia" w:cstheme="minorHAnsi"/>
          <w:i/>
          <w:iCs/>
          <w:color w:val="222222"/>
          <w:sz w:val="24"/>
          <w:szCs w:val="24"/>
        </w:rPr>
        <w:t>Marketing</w:t>
      </w:r>
      <w:r w:rsidR="00203A84">
        <w:rPr>
          <w:rFonts w:eastAsiaTheme="minorEastAsia" w:cstheme="minorHAnsi"/>
          <w:i/>
          <w:iCs/>
          <w:color w:val="222222"/>
          <w:sz w:val="24"/>
          <w:szCs w:val="24"/>
        </w:rPr>
        <w:t xml:space="preserve"> Intelligence &amp; P</w:t>
      </w:r>
      <w:r w:rsidRPr="00664F31">
        <w:rPr>
          <w:rFonts w:eastAsiaTheme="minorEastAsia" w:cstheme="minorHAnsi"/>
          <w:i/>
          <w:iCs/>
          <w:color w:val="222222"/>
          <w:sz w:val="24"/>
          <w:szCs w:val="24"/>
        </w:rPr>
        <w:t>lanning</w:t>
      </w:r>
      <w:r w:rsidRPr="00664F31">
        <w:rPr>
          <w:rFonts w:eastAsiaTheme="minorEastAsia" w:cstheme="minorHAnsi"/>
          <w:color w:val="222222"/>
          <w:sz w:val="24"/>
          <w:szCs w:val="24"/>
        </w:rPr>
        <w:t xml:space="preserve">, </w:t>
      </w:r>
      <w:r w:rsidRPr="00664F31">
        <w:rPr>
          <w:rFonts w:eastAsiaTheme="minorEastAsia" w:cstheme="minorHAnsi"/>
          <w:i/>
          <w:iCs/>
          <w:color w:val="222222"/>
          <w:sz w:val="24"/>
          <w:szCs w:val="24"/>
        </w:rPr>
        <w:t>13</w:t>
      </w:r>
      <w:r w:rsidRPr="00664F31">
        <w:rPr>
          <w:rFonts w:eastAsiaTheme="minorEastAsia" w:cstheme="minorHAnsi"/>
          <w:color w:val="222222"/>
          <w:sz w:val="24"/>
          <w:szCs w:val="24"/>
        </w:rPr>
        <w:t>(9), pp.4-15.</w:t>
      </w:r>
    </w:p>
    <w:p w14:paraId="61F8EA07" w14:textId="2E4CE38A" w:rsidR="003C3B28" w:rsidRPr="00664F31" w:rsidRDefault="003C3B28" w:rsidP="00664F31">
      <w:pPr>
        <w:spacing w:line="360" w:lineRule="auto"/>
        <w:jc w:val="both"/>
        <w:rPr>
          <w:rFonts w:eastAsiaTheme="minorEastAsia" w:cstheme="minorHAnsi"/>
          <w:color w:val="222222"/>
          <w:sz w:val="24"/>
          <w:szCs w:val="24"/>
        </w:rPr>
      </w:pPr>
      <w:r w:rsidRPr="00664F31">
        <w:rPr>
          <w:rFonts w:cstheme="minorHAnsi"/>
          <w:color w:val="222222"/>
          <w:sz w:val="24"/>
          <w:szCs w:val="24"/>
        </w:rPr>
        <w:t xml:space="preserve">Shaw, E.H., 2012. Marketing strategy: From the origin of the concept to the development of a conceptual framework. </w:t>
      </w:r>
      <w:r w:rsidRPr="00664F31">
        <w:rPr>
          <w:rFonts w:cstheme="minorHAnsi"/>
          <w:i/>
          <w:iCs/>
          <w:color w:val="222222"/>
          <w:sz w:val="24"/>
          <w:szCs w:val="24"/>
        </w:rPr>
        <w:t>Journal of Historical Research in Marketing</w:t>
      </w:r>
      <w:r w:rsidRPr="00664F31">
        <w:rPr>
          <w:rFonts w:cstheme="minorHAnsi"/>
          <w:color w:val="222222"/>
          <w:sz w:val="24"/>
          <w:szCs w:val="24"/>
        </w:rPr>
        <w:t xml:space="preserve">, </w:t>
      </w:r>
      <w:r w:rsidRPr="00664F31">
        <w:rPr>
          <w:rFonts w:cstheme="minorHAnsi"/>
          <w:i/>
          <w:iCs/>
          <w:color w:val="222222"/>
          <w:sz w:val="24"/>
          <w:szCs w:val="24"/>
        </w:rPr>
        <w:t>4</w:t>
      </w:r>
      <w:r w:rsidRPr="00664F31">
        <w:rPr>
          <w:rFonts w:cstheme="minorHAnsi"/>
          <w:color w:val="222222"/>
          <w:sz w:val="24"/>
          <w:szCs w:val="24"/>
        </w:rPr>
        <w:t>(1), pp.30-55.</w:t>
      </w:r>
    </w:p>
    <w:p w14:paraId="311724BE" w14:textId="1A6CEE12" w:rsidR="2601D26C" w:rsidRPr="00664F31" w:rsidRDefault="5EC1D680" w:rsidP="00664F31">
      <w:pPr>
        <w:spacing w:line="360" w:lineRule="auto"/>
        <w:jc w:val="both"/>
        <w:rPr>
          <w:rFonts w:eastAsiaTheme="minorEastAsia" w:cstheme="minorHAnsi"/>
          <w:color w:val="222222"/>
          <w:sz w:val="24"/>
          <w:szCs w:val="24"/>
        </w:rPr>
      </w:pPr>
      <w:r w:rsidRPr="00664F31">
        <w:rPr>
          <w:rFonts w:eastAsiaTheme="minorEastAsia" w:cstheme="minorHAnsi"/>
          <w:color w:val="222222"/>
          <w:sz w:val="24"/>
          <w:szCs w:val="24"/>
        </w:rPr>
        <w:t xml:space="preserve">Smith, P.R. and Taylor, J., 2004. </w:t>
      </w:r>
      <w:r w:rsidRPr="00664F31">
        <w:rPr>
          <w:rFonts w:eastAsiaTheme="minorEastAsia" w:cstheme="minorHAnsi"/>
          <w:i/>
          <w:iCs/>
          <w:color w:val="222222"/>
          <w:sz w:val="24"/>
          <w:szCs w:val="24"/>
        </w:rPr>
        <w:t>Marketing communications: an integrated approach</w:t>
      </w:r>
      <w:r w:rsidRPr="00664F31">
        <w:rPr>
          <w:rFonts w:eastAsiaTheme="minorEastAsia" w:cstheme="minorHAnsi"/>
          <w:color w:val="222222"/>
          <w:sz w:val="24"/>
          <w:szCs w:val="24"/>
        </w:rPr>
        <w:t>. Kogan Page Publishers.</w:t>
      </w:r>
    </w:p>
    <w:p w14:paraId="7984CF4A" w14:textId="56494CF2" w:rsidR="00DC5F00" w:rsidRPr="00664F31" w:rsidRDefault="00DC5F00" w:rsidP="00664F31">
      <w:pPr>
        <w:spacing w:line="360" w:lineRule="auto"/>
        <w:jc w:val="both"/>
        <w:rPr>
          <w:rFonts w:eastAsiaTheme="minorEastAsia" w:cstheme="minorHAnsi"/>
          <w:sz w:val="24"/>
          <w:szCs w:val="24"/>
        </w:rPr>
      </w:pPr>
      <w:r w:rsidRPr="00664F31">
        <w:rPr>
          <w:rFonts w:eastAsiaTheme="minorEastAsia" w:cstheme="minorHAnsi"/>
          <w:color w:val="222222"/>
          <w:sz w:val="24"/>
          <w:szCs w:val="24"/>
        </w:rPr>
        <w:t xml:space="preserve">The Chartered Institute of Marketing, 2009. </w:t>
      </w:r>
      <w:r w:rsidRPr="00664F31">
        <w:rPr>
          <w:rFonts w:eastAsiaTheme="minorEastAsia" w:cstheme="minorHAnsi"/>
          <w:i/>
          <w:iCs/>
          <w:color w:val="222222"/>
          <w:sz w:val="24"/>
          <w:szCs w:val="24"/>
        </w:rPr>
        <w:t xml:space="preserve">Marketing and the 7Ps – A </w:t>
      </w:r>
      <w:r w:rsidR="00664F31" w:rsidRPr="00664F31">
        <w:rPr>
          <w:rFonts w:eastAsiaTheme="minorEastAsia" w:cstheme="minorHAnsi"/>
          <w:i/>
          <w:iCs/>
          <w:color w:val="222222"/>
          <w:sz w:val="24"/>
          <w:szCs w:val="24"/>
        </w:rPr>
        <w:t>brief</w:t>
      </w:r>
      <w:r w:rsidRPr="00664F31">
        <w:rPr>
          <w:rFonts w:eastAsiaTheme="minorEastAsia" w:cstheme="minorHAnsi"/>
          <w:i/>
          <w:iCs/>
          <w:color w:val="222222"/>
          <w:sz w:val="24"/>
          <w:szCs w:val="24"/>
        </w:rPr>
        <w:t xml:space="preserve"> summary of marketing and how it works. [</w:t>
      </w:r>
      <w:r w:rsidR="00664F31" w:rsidRPr="00664F31">
        <w:rPr>
          <w:rFonts w:eastAsiaTheme="minorEastAsia" w:cstheme="minorHAnsi"/>
          <w:i/>
          <w:iCs/>
          <w:color w:val="222222"/>
          <w:sz w:val="24"/>
          <w:szCs w:val="24"/>
        </w:rPr>
        <w:t>Pdf</w:t>
      </w:r>
      <w:r w:rsidRPr="00664F31">
        <w:rPr>
          <w:rFonts w:eastAsiaTheme="minorEastAsia" w:cstheme="minorHAnsi"/>
          <w:i/>
          <w:iCs/>
          <w:color w:val="222222"/>
          <w:sz w:val="24"/>
          <w:szCs w:val="24"/>
        </w:rPr>
        <w:t>] Berkshire: The Chartered Institute of Marketing. Available at: &lt;</w:t>
      </w:r>
      <w:r w:rsidRPr="00664F31">
        <w:rPr>
          <w:rFonts w:eastAsiaTheme="minorEastAsia" w:cstheme="minorHAnsi"/>
          <w:sz w:val="24"/>
          <w:szCs w:val="24"/>
        </w:rPr>
        <w:t>http://www.thensmc.com/sites/default/files/CIM%207Ps%20Resource.PDF&gt;, [Accessed 2</w:t>
      </w:r>
      <w:r w:rsidRPr="00664F31">
        <w:rPr>
          <w:rFonts w:eastAsiaTheme="minorEastAsia" w:cstheme="minorHAnsi"/>
          <w:sz w:val="24"/>
          <w:szCs w:val="24"/>
          <w:vertAlign w:val="superscript"/>
        </w:rPr>
        <w:t>nd</w:t>
      </w:r>
      <w:r w:rsidRPr="00664F31">
        <w:rPr>
          <w:rFonts w:eastAsiaTheme="minorEastAsia" w:cstheme="minorHAnsi"/>
          <w:sz w:val="24"/>
          <w:szCs w:val="24"/>
        </w:rPr>
        <w:t xml:space="preserve"> January 2018]. </w:t>
      </w:r>
      <w:proofErr w:type="gramStart"/>
      <w:r w:rsidRPr="00664F31">
        <w:rPr>
          <w:rFonts w:eastAsiaTheme="minorEastAsia" w:cstheme="minorHAnsi"/>
          <w:sz w:val="24"/>
          <w:szCs w:val="24"/>
        </w:rPr>
        <w:t>pp.1-2</w:t>
      </w:r>
      <w:proofErr w:type="gramEnd"/>
      <w:r w:rsidRPr="00664F31">
        <w:rPr>
          <w:rFonts w:eastAsiaTheme="minorEastAsia" w:cstheme="minorHAnsi"/>
          <w:sz w:val="24"/>
          <w:szCs w:val="24"/>
        </w:rPr>
        <w:t>.</w:t>
      </w:r>
    </w:p>
    <w:p w14:paraId="6DBCB148" w14:textId="54A75D8D" w:rsidR="2601D26C" w:rsidRPr="00664F31" w:rsidRDefault="2601D26C" w:rsidP="00664F31">
      <w:pPr>
        <w:spacing w:line="360" w:lineRule="auto"/>
        <w:jc w:val="both"/>
        <w:rPr>
          <w:rFonts w:eastAsiaTheme="minorEastAsia" w:cstheme="minorHAnsi"/>
          <w:color w:val="222222"/>
          <w:sz w:val="24"/>
          <w:szCs w:val="24"/>
        </w:rPr>
      </w:pPr>
      <w:r w:rsidRPr="00664F31">
        <w:rPr>
          <w:rFonts w:eastAsiaTheme="minorEastAsia" w:cstheme="minorHAnsi"/>
          <w:color w:val="222222"/>
          <w:sz w:val="24"/>
          <w:szCs w:val="24"/>
        </w:rPr>
        <w:lastRenderedPageBreak/>
        <w:t xml:space="preserve">Trusov, M., Bucklin, R.E. and Pauwels, K., 2009. Effects of word-of-mouth versus traditional marketing: findings from an internet social networking site. </w:t>
      </w:r>
      <w:r w:rsidR="00203A84">
        <w:rPr>
          <w:rFonts w:eastAsiaTheme="minorEastAsia" w:cstheme="minorHAnsi"/>
          <w:i/>
          <w:iCs/>
          <w:color w:val="222222"/>
          <w:sz w:val="24"/>
          <w:szCs w:val="24"/>
        </w:rPr>
        <w:t>Journal of M</w:t>
      </w:r>
      <w:r w:rsidRPr="00664F31">
        <w:rPr>
          <w:rFonts w:eastAsiaTheme="minorEastAsia" w:cstheme="minorHAnsi"/>
          <w:i/>
          <w:iCs/>
          <w:color w:val="222222"/>
          <w:sz w:val="24"/>
          <w:szCs w:val="24"/>
        </w:rPr>
        <w:t>arketing</w:t>
      </w:r>
      <w:r w:rsidRPr="00664F31">
        <w:rPr>
          <w:rFonts w:eastAsiaTheme="minorEastAsia" w:cstheme="minorHAnsi"/>
          <w:color w:val="222222"/>
          <w:sz w:val="24"/>
          <w:szCs w:val="24"/>
        </w:rPr>
        <w:t xml:space="preserve">, </w:t>
      </w:r>
      <w:r w:rsidRPr="00664F31">
        <w:rPr>
          <w:rFonts w:eastAsiaTheme="minorEastAsia" w:cstheme="minorHAnsi"/>
          <w:i/>
          <w:iCs/>
          <w:color w:val="222222"/>
          <w:sz w:val="24"/>
          <w:szCs w:val="24"/>
        </w:rPr>
        <w:t>73</w:t>
      </w:r>
      <w:r w:rsidRPr="00664F31">
        <w:rPr>
          <w:rFonts w:eastAsiaTheme="minorEastAsia" w:cstheme="minorHAnsi"/>
          <w:color w:val="222222"/>
          <w:sz w:val="24"/>
          <w:szCs w:val="24"/>
        </w:rPr>
        <w:t>(5), pp.90-102.</w:t>
      </w:r>
    </w:p>
    <w:p w14:paraId="6EA4A4A8" w14:textId="7EDC63E2" w:rsidR="03D89E7B" w:rsidRPr="00664F31" w:rsidRDefault="1075BEBC" w:rsidP="00664F31">
      <w:pPr>
        <w:spacing w:line="360" w:lineRule="auto"/>
        <w:jc w:val="both"/>
        <w:rPr>
          <w:rFonts w:eastAsiaTheme="minorEastAsia" w:cstheme="minorHAnsi"/>
          <w:sz w:val="24"/>
          <w:szCs w:val="24"/>
        </w:rPr>
      </w:pPr>
      <w:r w:rsidRPr="00664F31">
        <w:rPr>
          <w:rFonts w:eastAsiaTheme="minorEastAsia" w:cstheme="minorHAnsi"/>
          <w:color w:val="222222"/>
          <w:sz w:val="24"/>
          <w:szCs w:val="24"/>
        </w:rPr>
        <w:t>Walters, G. and Kitchin, P., 2009. Stakeholder management and sport facilities: A case study of the Emirates Stadium. Accessed by: &lt;</w:t>
      </w:r>
      <w:r w:rsidRPr="00664F31">
        <w:rPr>
          <w:rFonts w:eastAsiaTheme="minorEastAsia" w:cstheme="minorHAnsi"/>
          <w:sz w:val="24"/>
          <w:szCs w:val="24"/>
        </w:rPr>
        <w:t>http://uir.ulster.ac.uk/9065/&gt;</w:t>
      </w:r>
    </w:p>
    <w:p w14:paraId="76A056E9" w14:textId="57713F8C" w:rsidR="03D89E7B" w:rsidRPr="00664F31" w:rsidRDefault="5E18CF51" w:rsidP="00664F31">
      <w:pPr>
        <w:spacing w:line="360" w:lineRule="auto"/>
        <w:jc w:val="both"/>
        <w:rPr>
          <w:rFonts w:eastAsiaTheme="minorEastAsia" w:cstheme="minorHAnsi"/>
          <w:color w:val="222222"/>
          <w:sz w:val="24"/>
          <w:szCs w:val="24"/>
        </w:rPr>
      </w:pPr>
      <w:r w:rsidRPr="00664F31">
        <w:rPr>
          <w:rFonts w:eastAsiaTheme="minorEastAsia" w:cstheme="minorHAnsi"/>
          <w:color w:val="222222"/>
          <w:sz w:val="24"/>
          <w:szCs w:val="24"/>
        </w:rPr>
        <w:t>Yamamoto, G.T., 2007. Understanding customer value concept: Key to success. pp. 547-549.</w:t>
      </w:r>
    </w:p>
    <w:p w14:paraId="7717F5A4" w14:textId="697A0C05" w:rsidR="5E18CF51" w:rsidRPr="003C3B28" w:rsidRDefault="5E18CF51" w:rsidP="003C3B28">
      <w:pPr>
        <w:spacing w:line="360" w:lineRule="auto"/>
        <w:jc w:val="both"/>
        <w:rPr>
          <w:rFonts w:eastAsiaTheme="minorEastAsia" w:cstheme="minorHAnsi"/>
          <w:color w:val="222222"/>
          <w:sz w:val="24"/>
          <w:szCs w:val="24"/>
        </w:rPr>
      </w:pPr>
    </w:p>
    <w:sectPr w:rsidR="5E18CF51" w:rsidRPr="003C3B2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8C4969"/>
    <w:multiLevelType w:val="hybridMultilevel"/>
    <w:tmpl w:val="261E9916"/>
    <w:lvl w:ilvl="0" w:tplc="5B1E1F96">
      <w:start w:val="1"/>
      <w:numFmt w:val="bullet"/>
      <w:lvlText w:val=""/>
      <w:lvlJc w:val="left"/>
      <w:pPr>
        <w:ind w:left="720" w:hanging="360"/>
      </w:pPr>
      <w:rPr>
        <w:rFonts w:ascii="Symbol" w:hAnsi="Symbol" w:hint="default"/>
      </w:rPr>
    </w:lvl>
    <w:lvl w:ilvl="1" w:tplc="15129E18">
      <w:start w:val="1"/>
      <w:numFmt w:val="bullet"/>
      <w:lvlText w:val="o"/>
      <w:lvlJc w:val="left"/>
      <w:pPr>
        <w:ind w:left="1440" w:hanging="360"/>
      </w:pPr>
      <w:rPr>
        <w:rFonts w:ascii="Courier New" w:hAnsi="Courier New" w:hint="default"/>
      </w:rPr>
    </w:lvl>
    <w:lvl w:ilvl="2" w:tplc="8C1A43C6">
      <w:start w:val="1"/>
      <w:numFmt w:val="bullet"/>
      <w:lvlText w:val=""/>
      <w:lvlJc w:val="left"/>
      <w:pPr>
        <w:ind w:left="2160" w:hanging="360"/>
      </w:pPr>
      <w:rPr>
        <w:rFonts w:ascii="Wingdings" w:hAnsi="Wingdings" w:hint="default"/>
      </w:rPr>
    </w:lvl>
    <w:lvl w:ilvl="3" w:tplc="6EFE6B60">
      <w:start w:val="1"/>
      <w:numFmt w:val="bullet"/>
      <w:lvlText w:val=""/>
      <w:lvlJc w:val="left"/>
      <w:pPr>
        <w:ind w:left="2880" w:hanging="360"/>
      </w:pPr>
      <w:rPr>
        <w:rFonts w:ascii="Symbol" w:hAnsi="Symbol" w:hint="default"/>
      </w:rPr>
    </w:lvl>
    <w:lvl w:ilvl="4" w:tplc="9CDE5C14">
      <w:start w:val="1"/>
      <w:numFmt w:val="bullet"/>
      <w:lvlText w:val="o"/>
      <w:lvlJc w:val="left"/>
      <w:pPr>
        <w:ind w:left="3600" w:hanging="360"/>
      </w:pPr>
      <w:rPr>
        <w:rFonts w:ascii="Courier New" w:hAnsi="Courier New" w:hint="default"/>
      </w:rPr>
    </w:lvl>
    <w:lvl w:ilvl="5" w:tplc="BF26C1B8">
      <w:start w:val="1"/>
      <w:numFmt w:val="bullet"/>
      <w:lvlText w:val=""/>
      <w:lvlJc w:val="left"/>
      <w:pPr>
        <w:ind w:left="4320" w:hanging="360"/>
      </w:pPr>
      <w:rPr>
        <w:rFonts w:ascii="Wingdings" w:hAnsi="Wingdings" w:hint="default"/>
      </w:rPr>
    </w:lvl>
    <w:lvl w:ilvl="6" w:tplc="4B485DAC">
      <w:start w:val="1"/>
      <w:numFmt w:val="bullet"/>
      <w:lvlText w:val=""/>
      <w:lvlJc w:val="left"/>
      <w:pPr>
        <w:ind w:left="5040" w:hanging="360"/>
      </w:pPr>
      <w:rPr>
        <w:rFonts w:ascii="Symbol" w:hAnsi="Symbol" w:hint="default"/>
      </w:rPr>
    </w:lvl>
    <w:lvl w:ilvl="7" w:tplc="F8DA8BCE">
      <w:start w:val="1"/>
      <w:numFmt w:val="bullet"/>
      <w:lvlText w:val="o"/>
      <w:lvlJc w:val="left"/>
      <w:pPr>
        <w:ind w:left="5760" w:hanging="360"/>
      </w:pPr>
      <w:rPr>
        <w:rFonts w:ascii="Courier New" w:hAnsi="Courier New" w:hint="default"/>
      </w:rPr>
    </w:lvl>
    <w:lvl w:ilvl="8" w:tplc="CA76AA6A">
      <w:start w:val="1"/>
      <w:numFmt w:val="bullet"/>
      <w:lvlText w:val=""/>
      <w:lvlJc w:val="left"/>
      <w:pPr>
        <w:ind w:left="6480" w:hanging="360"/>
      </w:pPr>
      <w:rPr>
        <w:rFonts w:ascii="Wingdings" w:hAnsi="Wingdings" w:hint="default"/>
      </w:rPr>
    </w:lvl>
  </w:abstractNum>
  <w:abstractNum w:abstractNumId="1" w15:restartNumberingAfterBreak="0">
    <w:nsid w:val="2D8B766B"/>
    <w:multiLevelType w:val="hybridMultilevel"/>
    <w:tmpl w:val="698A530A"/>
    <w:lvl w:ilvl="0" w:tplc="403EDF0C">
      <w:start w:val="1"/>
      <w:numFmt w:val="bullet"/>
      <w:lvlText w:val=""/>
      <w:lvlJc w:val="left"/>
      <w:pPr>
        <w:ind w:left="720" w:hanging="360"/>
      </w:pPr>
      <w:rPr>
        <w:rFonts w:ascii="Symbol" w:hAnsi="Symbol" w:hint="default"/>
      </w:rPr>
    </w:lvl>
    <w:lvl w:ilvl="1" w:tplc="56185B50">
      <w:start w:val="1"/>
      <w:numFmt w:val="bullet"/>
      <w:lvlText w:val="o"/>
      <w:lvlJc w:val="left"/>
      <w:pPr>
        <w:ind w:left="1440" w:hanging="360"/>
      </w:pPr>
      <w:rPr>
        <w:rFonts w:ascii="Courier New" w:hAnsi="Courier New" w:hint="default"/>
      </w:rPr>
    </w:lvl>
    <w:lvl w:ilvl="2" w:tplc="79BCBA30">
      <w:start w:val="1"/>
      <w:numFmt w:val="bullet"/>
      <w:lvlText w:val=""/>
      <w:lvlJc w:val="left"/>
      <w:pPr>
        <w:ind w:left="2160" w:hanging="360"/>
      </w:pPr>
      <w:rPr>
        <w:rFonts w:ascii="Wingdings" w:hAnsi="Wingdings" w:hint="default"/>
      </w:rPr>
    </w:lvl>
    <w:lvl w:ilvl="3" w:tplc="47166C5C">
      <w:start w:val="1"/>
      <w:numFmt w:val="bullet"/>
      <w:lvlText w:val=""/>
      <w:lvlJc w:val="left"/>
      <w:pPr>
        <w:ind w:left="2880" w:hanging="360"/>
      </w:pPr>
      <w:rPr>
        <w:rFonts w:ascii="Symbol" w:hAnsi="Symbol" w:hint="default"/>
      </w:rPr>
    </w:lvl>
    <w:lvl w:ilvl="4" w:tplc="8C74B622">
      <w:start w:val="1"/>
      <w:numFmt w:val="bullet"/>
      <w:lvlText w:val="o"/>
      <w:lvlJc w:val="left"/>
      <w:pPr>
        <w:ind w:left="3600" w:hanging="360"/>
      </w:pPr>
      <w:rPr>
        <w:rFonts w:ascii="Courier New" w:hAnsi="Courier New" w:hint="default"/>
      </w:rPr>
    </w:lvl>
    <w:lvl w:ilvl="5" w:tplc="EC921AF8">
      <w:start w:val="1"/>
      <w:numFmt w:val="bullet"/>
      <w:lvlText w:val=""/>
      <w:lvlJc w:val="left"/>
      <w:pPr>
        <w:ind w:left="4320" w:hanging="360"/>
      </w:pPr>
      <w:rPr>
        <w:rFonts w:ascii="Wingdings" w:hAnsi="Wingdings" w:hint="default"/>
      </w:rPr>
    </w:lvl>
    <w:lvl w:ilvl="6" w:tplc="E746052E">
      <w:start w:val="1"/>
      <w:numFmt w:val="bullet"/>
      <w:lvlText w:val=""/>
      <w:lvlJc w:val="left"/>
      <w:pPr>
        <w:ind w:left="5040" w:hanging="360"/>
      </w:pPr>
      <w:rPr>
        <w:rFonts w:ascii="Symbol" w:hAnsi="Symbol" w:hint="default"/>
      </w:rPr>
    </w:lvl>
    <w:lvl w:ilvl="7" w:tplc="F10C171C">
      <w:start w:val="1"/>
      <w:numFmt w:val="bullet"/>
      <w:lvlText w:val="o"/>
      <w:lvlJc w:val="left"/>
      <w:pPr>
        <w:ind w:left="5760" w:hanging="360"/>
      </w:pPr>
      <w:rPr>
        <w:rFonts w:ascii="Courier New" w:hAnsi="Courier New" w:hint="default"/>
      </w:rPr>
    </w:lvl>
    <w:lvl w:ilvl="8" w:tplc="CE5A053C">
      <w:start w:val="1"/>
      <w:numFmt w:val="bullet"/>
      <w:lvlText w:val=""/>
      <w:lvlJc w:val="left"/>
      <w:pPr>
        <w:ind w:left="6480" w:hanging="360"/>
      </w:pPr>
      <w:rPr>
        <w:rFonts w:ascii="Wingdings" w:hAnsi="Wingdings" w:hint="default"/>
      </w:rPr>
    </w:lvl>
  </w:abstractNum>
  <w:abstractNum w:abstractNumId="2" w15:restartNumberingAfterBreak="0">
    <w:nsid w:val="43780808"/>
    <w:multiLevelType w:val="hybridMultilevel"/>
    <w:tmpl w:val="81F291FE"/>
    <w:lvl w:ilvl="0" w:tplc="5B44D4B4">
      <w:start w:val="1"/>
      <w:numFmt w:val="bullet"/>
      <w:lvlText w:val=""/>
      <w:lvlJc w:val="left"/>
      <w:pPr>
        <w:ind w:left="720" w:hanging="360"/>
      </w:pPr>
      <w:rPr>
        <w:rFonts w:ascii="Symbol" w:hAnsi="Symbol" w:hint="default"/>
      </w:rPr>
    </w:lvl>
    <w:lvl w:ilvl="1" w:tplc="988CAFE0">
      <w:start w:val="1"/>
      <w:numFmt w:val="bullet"/>
      <w:lvlText w:val="o"/>
      <w:lvlJc w:val="left"/>
      <w:pPr>
        <w:ind w:left="1440" w:hanging="360"/>
      </w:pPr>
      <w:rPr>
        <w:rFonts w:ascii="Courier New" w:hAnsi="Courier New" w:hint="default"/>
      </w:rPr>
    </w:lvl>
    <w:lvl w:ilvl="2" w:tplc="B22CB3F6">
      <w:start w:val="1"/>
      <w:numFmt w:val="bullet"/>
      <w:lvlText w:val=""/>
      <w:lvlJc w:val="left"/>
      <w:pPr>
        <w:ind w:left="2160" w:hanging="360"/>
      </w:pPr>
      <w:rPr>
        <w:rFonts w:ascii="Wingdings" w:hAnsi="Wingdings" w:hint="default"/>
      </w:rPr>
    </w:lvl>
    <w:lvl w:ilvl="3" w:tplc="94B66D14">
      <w:start w:val="1"/>
      <w:numFmt w:val="bullet"/>
      <w:lvlText w:val=""/>
      <w:lvlJc w:val="left"/>
      <w:pPr>
        <w:ind w:left="2880" w:hanging="360"/>
      </w:pPr>
      <w:rPr>
        <w:rFonts w:ascii="Symbol" w:hAnsi="Symbol" w:hint="default"/>
      </w:rPr>
    </w:lvl>
    <w:lvl w:ilvl="4" w:tplc="34646EDA">
      <w:start w:val="1"/>
      <w:numFmt w:val="bullet"/>
      <w:lvlText w:val="o"/>
      <w:lvlJc w:val="left"/>
      <w:pPr>
        <w:ind w:left="3600" w:hanging="360"/>
      </w:pPr>
      <w:rPr>
        <w:rFonts w:ascii="Courier New" w:hAnsi="Courier New" w:hint="default"/>
      </w:rPr>
    </w:lvl>
    <w:lvl w:ilvl="5" w:tplc="222AF740">
      <w:start w:val="1"/>
      <w:numFmt w:val="bullet"/>
      <w:lvlText w:val=""/>
      <w:lvlJc w:val="left"/>
      <w:pPr>
        <w:ind w:left="4320" w:hanging="360"/>
      </w:pPr>
      <w:rPr>
        <w:rFonts w:ascii="Wingdings" w:hAnsi="Wingdings" w:hint="default"/>
      </w:rPr>
    </w:lvl>
    <w:lvl w:ilvl="6" w:tplc="06B8411E">
      <w:start w:val="1"/>
      <w:numFmt w:val="bullet"/>
      <w:lvlText w:val=""/>
      <w:lvlJc w:val="left"/>
      <w:pPr>
        <w:ind w:left="5040" w:hanging="360"/>
      </w:pPr>
      <w:rPr>
        <w:rFonts w:ascii="Symbol" w:hAnsi="Symbol" w:hint="default"/>
      </w:rPr>
    </w:lvl>
    <w:lvl w:ilvl="7" w:tplc="7FB02B00">
      <w:start w:val="1"/>
      <w:numFmt w:val="bullet"/>
      <w:lvlText w:val="o"/>
      <w:lvlJc w:val="left"/>
      <w:pPr>
        <w:ind w:left="5760" w:hanging="360"/>
      </w:pPr>
      <w:rPr>
        <w:rFonts w:ascii="Courier New" w:hAnsi="Courier New" w:hint="default"/>
      </w:rPr>
    </w:lvl>
    <w:lvl w:ilvl="8" w:tplc="FF90F890">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6F50EC"/>
    <w:rsid w:val="00203A84"/>
    <w:rsid w:val="003C3B28"/>
    <w:rsid w:val="00664F31"/>
    <w:rsid w:val="00C37D79"/>
    <w:rsid w:val="00DC5F00"/>
    <w:rsid w:val="03D89E7B"/>
    <w:rsid w:val="03E316B8"/>
    <w:rsid w:val="056F50EC"/>
    <w:rsid w:val="05E55539"/>
    <w:rsid w:val="1009D4C3"/>
    <w:rsid w:val="1075BEBC"/>
    <w:rsid w:val="121CD18A"/>
    <w:rsid w:val="18B1682C"/>
    <w:rsid w:val="1C82F600"/>
    <w:rsid w:val="1D0441B4"/>
    <w:rsid w:val="1DDB858B"/>
    <w:rsid w:val="1EE466F4"/>
    <w:rsid w:val="2601D26C"/>
    <w:rsid w:val="2CFC3F17"/>
    <w:rsid w:val="312A6FEB"/>
    <w:rsid w:val="34F2C5E1"/>
    <w:rsid w:val="39FB4666"/>
    <w:rsid w:val="44E7B797"/>
    <w:rsid w:val="483412AE"/>
    <w:rsid w:val="4E237B90"/>
    <w:rsid w:val="4F7524C6"/>
    <w:rsid w:val="58325C52"/>
    <w:rsid w:val="5B0B2804"/>
    <w:rsid w:val="5DB0B2B3"/>
    <w:rsid w:val="5E18CF51"/>
    <w:rsid w:val="5EC1D680"/>
    <w:rsid w:val="64F6F3E7"/>
    <w:rsid w:val="6A6421C2"/>
    <w:rsid w:val="6CCDB57C"/>
    <w:rsid w:val="6CDA59E8"/>
    <w:rsid w:val="6EEB3F6D"/>
    <w:rsid w:val="73C9C02C"/>
    <w:rsid w:val="7EBC96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8D289"/>
  <w15:chartTrackingRefBased/>
  <w15:docId w15:val="{7FFC6A25-E0B6-4945-8934-D3E9066D0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10</Pages>
  <Words>2998</Words>
  <Characters>17093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Danni .</dc:creator>
  <cp:keywords/>
  <dc:description/>
  <cp:lastModifiedBy>Danni .</cp:lastModifiedBy>
  <cp:revision>3</cp:revision>
  <dcterms:created xsi:type="dcterms:W3CDTF">2018-01-12T22:37:00Z</dcterms:created>
  <dcterms:modified xsi:type="dcterms:W3CDTF">2018-01-12T22:59:00Z</dcterms:modified>
</cp:coreProperties>
</file>