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Arial" w:cs="Arial" w:eastAsia="Arial" w:hAnsi="Arial"/>
          <w:b w:val="1"/>
          <w:bCs w:val="1"/>
        </w:rPr>
      </w:pPr>
      <w:bookmarkStart w:colFirst="0" w:colLast="0" w:name="_heading=h.syqfj4b2cb6z" w:id="0"/>
      <w:bookmarkEnd w:id="0"/>
      <w:r w:rsidDel="00000000" w:rsidR="00000000" w:rsidRPr="00000000">
        <w:rPr/>
        <w:drawing>
          <wp:inline distB="0" distT="0" distL="0" distR="0">
            <wp:extent cx="2623078" cy="1167542"/>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jc w:val="both"/>
        <w:rPr>
          <w:sz w:val="28"/>
          <w:szCs w:val="28"/>
        </w:rPr>
      </w:pPr>
      <w:r w:rsidDel="00000000" w:rsidR="00000000" w:rsidRPr="00000000">
        <w:rPr>
          <w:sz w:val="28"/>
          <w:szCs w:val="28"/>
          <w:rtl w:val="0"/>
        </w:rPr>
        <w:t xml:space="preserve">Name: Folake Monsurat Alabi</w:t>
      </w:r>
    </w:p>
    <w:p w:rsidR="00000000" w:rsidDel="00000000" w:rsidP="00000000" w:rsidRDefault="00000000" w:rsidRPr="00000000" w14:paraId="00000004">
      <w:pPr>
        <w:jc w:val="both"/>
        <w:rPr>
          <w:sz w:val="28"/>
          <w:szCs w:val="28"/>
        </w:rPr>
      </w:pPr>
      <w:r w:rsidDel="00000000" w:rsidR="00000000" w:rsidRPr="00000000">
        <w:rPr>
          <w:sz w:val="28"/>
          <w:szCs w:val="28"/>
          <w:rtl w:val="0"/>
        </w:rPr>
        <w:t xml:space="preserve">Student ID: 2513650</w:t>
      </w:r>
    </w:p>
    <w:p w:rsidR="00000000" w:rsidDel="00000000" w:rsidP="00000000" w:rsidRDefault="00000000" w:rsidRPr="00000000" w14:paraId="00000005">
      <w:pPr>
        <w:jc w:val="both"/>
        <w:rPr>
          <w:sz w:val="28"/>
          <w:szCs w:val="28"/>
        </w:rPr>
      </w:pPr>
      <w:r w:rsidDel="00000000" w:rsidR="00000000" w:rsidRPr="00000000">
        <w:rPr>
          <w:sz w:val="28"/>
          <w:szCs w:val="28"/>
          <w:rtl w:val="0"/>
        </w:rPr>
        <w:t xml:space="preserve">Module Code: LCHS 4008</w:t>
      </w:r>
    </w:p>
    <w:p w:rsidR="00000000" w:rsidDel="00000000" w:rsidP="00000000" w:rsidRDefault="00000000" w:rsidRPr="00000000" w14:paraId="00000006">
      <w:pPr>
        <w:jc w:val="both"/>
        <w:rPr>
          <w:sz w:val="28"/>
          <w:szCs w:val="28"/>
        </w:rPr>
      </w:pPr>
      <w:r w:rsidDel="00000000" w:rsidR="00000000" w:rsidRPr="00000000">
        <w:rPr>
          <w:sz w:val="28"/>
          <w:szCs w:val="28"/>
          <w:rtl w:val="0"/>
        </w:rPr>
        <w:t xml:space="preserve">Module: introduction to public health</w:t>
      </w:r>
    </w:p>
    <w:p w:rsidR="00000000" w:rsidDel="00000000" w:rsidP="00000000" w:rsidRDefault="00000000" w:rsidRPr="00000000" w14:paraId="00000007">
      <w:pPr>
        <w:jc w:val="both"/>
        <w:rPr>
          <w:sz w:val="28"/>
          <w:szCs w:val="28"/>
        </w:rPr>
      </w:pPr>
      <w:r w:rsidDel="00000000" w:rsidR="00000000" w:rsidRPr="00000000">
        <w:rPr>
          <w:sz w:val="28"/>
          <w:szCs w:val="28"/>
          <w:rtl w:val="0"/>
        </w:rPr>
        <w:t xml:space="preserve">Lecturer: patronella ganza</w:t>
      </w:r>
    </w:p>
    <w:p w:rsidR="00000000" w:rsidDel="00000000" w:rsidP="00000000" w:rsidRDefault="00000000" w:rsidRPr="00000000" w14:paraId="00000008">
      <w:pPr>
        <w:jc w:val="both"/>
        <w:rPr>
          <w:sz w:val="28"/>
          <w:szCs w:val="28"/>
        </w:rPr>
      </w:pPr>
      <w:r w:rsidDel="00000000" w:rsidR="00000000" w:rsidRPr="00000000">
        <w:rPr>
          <w:rtl w:val="0"/>
        </w:rPr>
      </w:r>
    </w:p>
    <w:p w:rsidR="00000000" w:rsidDel="00000000" w:rsidP="00000000" w:rsidRDefault="00000000" w:rsidRPr="00000000" w14:paraId="00000009">
      <w:pPr>
        <w:jc w:val="both"/>
        <w:rPr>
          <w:sz w:val="28"/>
          <w:szCs w:val="28"/>
        </w:rPr>
      </w:pPr>
      <w:r w:rsidDel="00000000" w:rsidR="00000000" w:rsidRPr="00000000">
        <w:rPr>
          <w:rtl w:val="0"/>
        </w:rPr>
      </w:r>
    </w:p>
    <w:p w:rsidR="00000000" w:rsidDel="00000000" w:rsidP="00000000" w:rsidRDefault="00000000" w:rsidRPr="00000000" w14:paraId="0000000A">
      <w:pPr>
        <w:jc w:val="both"/>
        <w:rPr>
          <w:sz w:val="28"/>
          <w:szCs w:val="28"/>
        </w:rPr>
      </w:pPr>
      <w:r w:rsidDel="00000000" w:rsidR="00000000" w:rsidRPr="00000000">
        <w:rPr>
          <w:rtl w:val="0"/>
        </w:rPr>
      </w:r>
    </w:p>
    <w:p w:rsidR="00000000" w:rsidDel="00000000" w:rsidP="00000000" w:rsidRDefault="00000000" w:rsidRPr="00000000" w14:paraId="0000000B">
      <w:pPr>
        <w:jc w:val="both"/>
        <w:rPr>
          <w:sz w:val="28"/>
          <w:szCs w:val="28"/>
        </w:rPr>
      </w:pPr>
      <w:r w:rsidDel="00000000" w:rsidR="00000000" w:rsidRPr="00000000">
        <w:rPr>
          <w:rtl w:val="0"/>
        </w:rPr>
      </w:r>
    </w:p>
    <w:p w:rsidR="00000000" w:rsidDel="00000000" w:rsidP="00000000" w:rsidRDefault="00000000" w:rsidRPr="00000000" w14:paraId="0000000C">
      <w:pPr>
        <w:jc w:val="both"/>
        <w:rPr>
          <w:sz w:val="28"/>
          <w:szCs w:val="28"/>
        </w:rPr>
      </w:pPr>
      <w:r w:rsidDel="00000000" w:rsidR="00000000" w:rsidRPr="00000000">
        <w:rPr>
          <w:rtl w:val="0"/>
        </w:rPr>
      </w:r>
    </w:p>
    <w:p w:rsidR="00000000" w:rsidDel="00000000" w:rsidP="00000000" w:rsidRDefault="00000000" w:rsidRPr="00000000" w14:paraId="0000000D">
      <w:pPr>
        <w:jc w:val="both"/>
        <w:rPr>
          <w:sz w:val="28"/>
          <w:szCs w:val="28"/>
        </w:rPr>
      </w:pPr>
      <w:r w:rsidDel="00000000" w:rsidR="00000000" w:rsidRPr="00000000">
        <w:rPr>
          <w:rtl w:val="0"/>
        </w:rPr>
      </w:r>
    </w:p>
    <w:p w:rsidR="00000000" w:rsidDel="00000000" w:rsidP="00000000" w:rsidRDefault="00000000" w:rsidRPr="00000000" w14:paraId="0000000E">
      <w:pPr>
        <w:jc w:val="both"/>
        <w:rPr>
          <w:sz w:val="28"/>
          <w:szCs w:val="28"/>
        </w:rPr>
      </w:pPr>
      <w:r w:rsidDel="00000000" w:rsidR="00000000" w:rsidRPr="00000000">
        <w:rPr>
          <w:sz w:val="28"/>
          <w:szCs w:val="28"/>
          <w:rtl w:val="0"/>
        </w:rPr>
        <w:t xml:space="preserve">                                                                        Submitted on:     April, 2025</w:t>
      </w:r>
    </w:p>
    <w:p w:rsidR="00000000" w:rsidDel="00000000" w:rsidP="00000000" w:rsidRDefault="00000000" w:rsidRPr="00000000" w14:paraId="0000000F">
      <w:pPr>
        <w:jc w:val="both"/>
        <w:rPr>
          <w:sz w:val="28"/>
          <w:szCs w:val="28"/>
        </w:rPr>
      </w:pPr>
      <w:r w:rsidDel="00000000" w:rsidR="00000000" w:rsidRPr="00000000">
        <w:rPr>
          <w:rtl w:val="0"/>
        </w:rPr>
      </w:r>
    </w:p>
    <w:p w:rsidR="00000000" w:rsidDel="00000000" w:rsidP="00000000" w:rsidRDefault="00000000" w:rsidRPr="00000000" w14:paraId="00000010">
      <w:pPr>
        <w:tabs>
          <w:tab w:val="left" w:leader="none" w:pos="2520"/>
        </w:tabs>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1">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2">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3">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4">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5">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6">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7">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mbria" w:cs="Cambria" w:eastAsia="Cambria" w:hAnsi="Cambria"/>
          <w:b w:val="0"/>
          <w:bCs w:val="0"/>
          <w:i w:val="0"/>
          <w:iCs w:val="0"/>
          <w:smallCaps w:val="0"/>
          <w:strike w:val="0"/>
          <w:color w:val="366091"/>
          <w:sz w:val="32"/>
          <w:szCs w:val="32"/>
          <w:u w:val="none"/>
          <w:shd w:fill="auto" w:val="clear"/>
          <w:vertAlign w:val="baseline"/>
        </w:rPr>
      </w:pPr>
      <w:r w:rsidDel="00000000" w:rsidR="00000000" w:rsidRPr="00000000">
        <w:rPr>
          <w:rFonts w:ascii="Cambria" w:cs="Cambria" w:eastAsia="Cambria" w:hAnsi="Cambria"/>
          <w:b w:val="0"/>
          <w:bCs w:val="0"/>
          <w:i w:val="0"/>
          <w:iCs w:val="0"/>
          <w:smallCaps w:val="0"/>
          <w:strike w:val="0"/>
          <w:color w:val="366091"/>
          <w:sz w:val="32"/>
          <w:szCs w:val="32"/>
          <w:u w:val="none"/>
          <w:shd w:fill="auto" w:val="clear"/>
          <w:vertAlign w:val="baseline"/>
          <w:rtl w:val="0"/>
        </w:rPr>
        <w:t xml:space="preserve">Table of Contents</w:t>
      </w:r>
    </w:p>
    <w:sdt>
      <w:sdtPr>
        <w:id w:val="-1649444275"/>
        <w:docPartObj>
          <w:docPartGallery w:val="Table of Contents"/>
          <w:docPartUnique w:val="1"/>
        </w:docPartObj>
      </w:sdtPr>
      <w:sdtContent>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76jgie6e03q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Report on a Health Issue: Dementia</w:t>
              <w:tab/>
              <w:t xml:space="preserve">2</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76jgie6e03q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4qhgtckqzap1">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Measuring and Monitoring Approaches</w:t>
              <w:tab/>
              <w:t xml:space="preserve">2</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17ypapgpt2x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Disease Control Strategies</w:t>
              <w:tab/>
              <w:t xml:space="preserve">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5k4ogn2xojoi">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Consequences on the Community</w:t>
              <w:tab/>
              <w:t xml:space="preserve">4</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gh8ns7j5qdgd">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Health and Social Care Support Services</w:t>
              <w:tab/>
              <w:t xml:space="preserve">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m5cghjqss8pi">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hqyepooa18xc">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References</w:t>
              <w:tab/>
              <w:t xml:space="preserve">7</w:t>
            </w:r>
          </w:hyperlink>
          <w:r w:rsidDel="00000000" w:rsidR="00000000" w:rsidRPr="00000000">
            <w:rPr>
              <w:rtl w:val="0"/>
            </w:rPr>
          </w:r>
        </w:p>
        <w:p w:rsidR="00000000" w:rsidDel="00000000" w:rsidP="00000000" w:rsidRDefault="00000000" w:rsidRPr="00000000" w14:paraId="00000021">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23">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24">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25">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26">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27">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28">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29">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2A">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2B">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2C">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2D">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2E">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2F">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30">
      <w:pPr>
        <w:pStyle w:val="Heading1"/>
        <w:rPr>
          <w:sz w:val="36"/>
          <w:szCs w:val="36"/>
        </w:rPr>
      </w:pPr>
      <w:bookmarkStart w:colFirst="0" w:colLast="0" w:name="_heading=h.76jgie6e03qk" w:id="1"/>
      <w:bookmarkEnd w:id="1"/>
      <w:r w:rsidDel="00000000" w:rsidR="00000000" w:rsidRPr="00000000">
        <w:rPr>
          <w:sz w:val="36"/>
          <w:szCs w:val="36"/>
          <w:rtl w:val="0"/>
        </w:rPr>
        <w:t xml:space="preserve">Report on a Health Issue: Dementia</w:t>
      </w:r>
    </w:p>
    <w:p w:rsidR="00000000" w:rsidDel="00000000" w:rsidP="00000000" w:rsidRDefault="00000000" w:rsidRPr="00000000" w14:paraId="00000031">
      <w:pPr>
        <w:pStyle w:val="Heading1"/>
        <w:rPr>
          <w:sz w:val="36"/>
          <w:szCs w:val="36"/>
        </w:rPr>
      </w:pPr>
      <w:r w:rsidDel="00000000" w:rsidR="00000000" w:rsidRPr="00000000">
        <w:rPr>
          <w:sz w:val="36"/>
          <w:szCs w:val="36"/>
          <w:rtl w:val="0"/>
        </w:rPr>
        <w:t xml:space="preserve">Introduction</w:t>
      </w:r>
    </w:p>
    <w:p w:rsidR="00000000" w:rsidDel="00000000" w:rsidP="00000000" w:rsidRDefault="00000000" w:rsidRPr="00000000" w14:paraId="00000032">
      <w:pPr>
        <w:spacing w:after="240" w:line="360"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Dementia is a chronic syndrome which is caused by brain cell changes that result in the loss of normal cognitive activities. Among the reported symptoms are memory loss, executive dysfunction, confusion, and changes in mood. These changes significantly impact a person's life, requiring a compassionate approach to ongoing health management. The magnitude of the concern is exposed by how quickly incidence rates are rising worldwide. The global prevalence of dementia as Nichols et al. (2022) notes, is influenced predominantly by population growth and demographic ageing and is forecast to increase massively from 57.4 million cases in 2019 to 152.8 million cases by the year 2050. UK statistics also show an increase due, in part, to the ageing population living in the UK. This reason calls for dementia to be taken seriously and properly measured so it can be controlled as well as enable communities to support those affected.</w:t>
      </w:r>
    </w:p>
    <w:p w:rsidR="00000000" w:rsidDel="00000000" w:rsidP="00000000" w:rsidRDefault="00000000" w:rsidRPr="00000000" w14:paraId="00000033">
      <w:pPr>
        <w:pStyle w:val="Heading1"/>
        <w:rPr>
          <w:sz w:val="36"/>
          <w:szCs w:val="36"/>
        </w:rPr>
      </w:pPr>
      <w:bookmarkStart w:colFirst="0" w:colLast="0" w:name="_heading=h.4qhgtckqzap1" w:id="2"/>
      <w:bookmarkEnd w:id="2"/>
      <w:r w:rsidDel="00000000" w:rsidR="00000000" w:rsidRPr="00000000">
        <w:rPr>
          <w:sz w:val="36"/>
          <w:szCs w:val="36"/>
          <w:rtl w:val="0"/>
        </w:rPr>
        <w:t xml:space="preserve">Measuring and Monitoring Approaches</w:t>
      </w:r>
    </w:p>
    <w:p w:rsidR="00000000" w:rsidDel="00000000" w:rsidP="00000000" w:rsidRDefault="00000000" w:rsidRPr="00000000" w14:paraId="00000034">
      <w:pPr>
        <w:spacing w:line="360" w:lineRule="auto"/>
        <w:jc w:val="both"/>
        <w:rPr>
          <w:rFonts w:ascii="Arial" w:cs="Arial" w:eastAsia="Arial" w:hAnsi="Arial"/>
        </w:rPr>
      </w:pPr>
      <w:r w:rsidDel="00000000" w:rsidR="00000000" w:rsidRPr="00000000">
        <w:rPr>
          <w:rFonts w:ascii="Arial" w:cs="Arial" w:eastAsia="Arial" w:hAnsi="Arial"/>
          <w:rtl w:val="0"/>
        </w:rPr>
        <w:t xml:space="preserve">Contemporary public health approaches quantify and track dementia prevalence using primary care screening questionnaires and physiologic biomarkers. Hou et al. (2025) explain that current primary care dementia screens, such as the CAIDE and LIBRA risk indexes, demonstrate varying discrimination abilities and often show modest predictive accuracy for cognitive impairment. Concurrently, Mattsson-Carlgren et al. (2020) found that plasma p-tau217 is a highly accurate blood-based biomarker for the early stages of Alzheimer’s disease, performing comparably to advanced brain imaging. Together, this suggests that researchers and physicians track dementia with cognitive screeners throughout primary care that identify risk factors during midlife as well as biomarkers drawn from blood that can pinpoint neurological developments signaling preclinical dementia. Both of these tools allow for surveillance to detect cases as soon as possible as well as track general prevalence.</w:t>
      </w:r>
    </w:p>
    <w:p w:rsidR="00000000" w:rsidDel="00000000" w:rsidP="00000000" w:rsidRDefault="00000000" w:rsidRPr="00000000" w14:paraId="0000003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6">
      <w:pPr>
        <w:spacing w:line="360" w:lineRule="auto"/>
        <w:jc w:val="both"/>
        <w:rPr>
          <w:rFonts w:ascii="Arial" w:cs="Arial" w:eastAsia="Arial" w:hAnsi="Arial"/>
        </w:rPr>
      </w:pPr>
      <w:r w:rsidDel="00000000" w:rsidR="00000000" w:rsidRPr="00000000">
        <w:rPr>
          <w:rFonts w:ascii="Arial" w:cs="Arial" w:eastAsia="Arial" w:hAnsi="Arial"/>
          <w:rtl w:val="0"/>
        </w:rPr>
        <w:t xml:space="preserve">There are some limitations to what the literature can conclude about these tools of measurement. As Hou et al. (2025) indicate, although various tools have been developed, external validation often reveals drops in performance across different populations. Furthermore, Mattsson-Carlgren et al. (2020) acknowledge limitations in biomarker analysis, noting that such studies often rely heavily on specific clinical cohorts, which may not represent the general population. Since most of the data used to validate these tools come from either younger-old or very homogenous high-income populations, it is clear that our current methods do not epidemiologically represent everything about the disease. Neither of these tools are likely to be completely correct or generalizable to all ages, especially lower income or older age groups.</w:t>
      </w:r>
    </w:p>
    <w:p w:rsidR="00000000" w:rsidDel="00000000" w:rsidP="00000000" w:rsidRDefault="00000000" w:rsidRPr="00000000" w14:paraId="00000037">
      <w:pPr>
        <w:pStyle w:val="Heading1"/>
        <w:rPr>
          <w:sz w:val="36"/>
          <w:szCs w:val="36"/>
        </w:rPr>
      </w:pPr>
      <w:bookmarkStart w:colFirst="0" w:colLast="0" w:name="_heading=h.17ypapgpt2xk" w:id="3"/>
      <w:bookmarkEnd w:id="3"/>
      <w:r w:rsidDel="00000000" w:rsidR="00000000" w:rsidRPr="00000000">
        <w:rPr>
          <w:sz w:val="36"/>
          <w:szCs w:val="36"/>
          <w:rtl w:val="0"/>
        </w:rPr>
        <w:t xml:space="preserve">Disease Control Strategies</w:t>
      </w:r>
    </w:p>
    <w:p w:rsidR="00000000" w:rsidDel="00000000" w:rsidP="00000000" w:rsidRDefault="00000000" w:rsidRPr="00000000" w14:paraId="00000038">
      <w:pPr>
        <w:spacing w:line="360" w:lineRule="auto"/>
        <w:jc w:val="both"/>
        <w:rPr>
          <w:rFonts w:ascii="Arial" w:cs="Arial" w:eastAsia="Arial" w:hAnsi="Arial"/>
        </w:rPr>
      </w:pPr>
      <w:r w:rsidDel="00000000" w:rsidR="00000000" w:rsidRPr="00000000">
        <w:rPr>
          <w:rFonts w:ascii="Arial" w:cs="Arial" w:eastAsia="Arial" w:hAnsi="Arial"/>
          <w:rtl w:val="0"/>
        </w:rPr>
        <w:t xml:space="preserve">Clinically, dementia is controlled using disease-modifying drugs which target mechanisms thought to drive disease progression, as well as drugs that manage systemic vascular risk factors. Disease-modifying therapy for early Alzheimer's dementia (e.g., lecanemab) was shown to lessen cognitive decline by -0.45 points on the CDR-SB over 18 months in van Dyck's (2023) Phase 3 study. Furthermore, Ding et al. (2020) demonstrated that anti-hypertensive drugs significantly lower the risk of incident dementia, while Chu et al. (2018) found that statin use is similarly associated with a reduced risk of cognitive decline. Effectively, both types of control seek to halt the pathological process (amyloid removal from the brain or reduction of vascular injury via lowering blood pressure/cholesterol) and change the clinical course of dementia by limiting damage.</w:t>
      </w:r>
    </w:p>
    <w:p w:rsidR="00000000" w:rsidDel="00000000" w:rsidP="00000000" w:rsidRDefault="00000000" w:rsidRPr="00000000" w14:paraId="0000003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A">
      <w:pPr>
        <w:spacing w:line="360" w:lineRule="auto"/>
        <w:jc w:val="both"/>
        <w:rPr>
          <w:rFonts w:ascii="Arial" w:cs="Arial" w:eastAsia="Arial" w:hAnsi="Arial"/>
        </w:rPr>
      </w:pPr>
      <w:r w:rsidDel="00000000" w:rsidR="00000000" w:rsidRPr="00000000">
        <w:rPr>
          <w:rFonts w:ascii="Arial" w:cs="Arial" w:eastAsia="Arial" w:hAnsi="Arial"/>
          <w:rtl w:val="0"/>
        </w:rPr>
        <w:t xml:space="preserve">However, currently-employed methods of controlling dementia are highly controversial due to safety issues and/or study limitations. van Dyck (2023) found serious ARIA-E occurred in 12.6% of individuals receiving lecanemab treatment. Additionally, meta-analyses on preventative medications, such as those by Ding et al. (2020) and Chu et al. (2018), often acknowledge inherent limitations like residual confounding and reliance on observational cohort data. Serious safety profiles from disease-modifying drugs make it difficult to justify only moderate clinical benefit at risk of harming patients. Residual confounding in retrospective medication trials represent one of the most stubborn challenges in clinical research as it makes it nearly impossible to conclude that the drugs are what's definitively preventing dementia.</w:t>
      </w:r>
    </w:p>
    <w:p w:rsidR="00000000" w:rsidDel="00000000" w:rsidP="00000000" w:rsidRDefault="00000000" w:rsidRPr="00000000" w14:paraId="0000003B">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C">
      <w:pPr>
        <w:pStyle w:val="Heading1"/>
        <w:rPr>
          <w:sz w:val="36"/>
          <w:szCs w:val="36"/>
        </w:rPr>
      </w:pPr>
      <w:bookmarkStart w:colFirst="0" w:colLast="0" w:name="_heading=h.5k4ogn2xojoi" w:id="4"/>
      <w:bookmarkEnd w:id="4"/>
      <w:r w:rsidDel="00000000" w:rsidR="00000000" w:rsidRPr="00000000">
        <w:rPr>
          <w:sz w:val="36"/>
          <w:szCs w:val="36"/>
          <w:rtl w:val="0"/>
        </w:rPr>
        <w:t xml:space="preserve">Consequences on the Community</w:t>
      </w:r>
    </w:p>
    <w:p w:rsidR="00000000" w:rsidDel="00000000" w:rsidP="00000000" w:rsidRDefault="00000000" w:rsidRPr="00000000" w14:paraId="0000003D">
      <w:pPr>
        <w:spacing w:line="360" w:lineRule="auto"/>
        <w:jc w:val="both"/>
        <w:rPr>
          <w:rFonts w:ascii="Arial" w:cs="Arial" w:eastAsia="Arial" w:hAnsi="Arial"/>
        </w:rPr>
      </w:pPr>
      <w:r w:rsidDel="00000000" w:rsidR="00000000" w:rsidRPr="00000000">
        <w:rPr>
          <w:rFonts w:ascii="Arial" w:cs="Arial" w:eastAsia="Arial" w:hAnsi="Arial"/>
          <w:rtl w:val="0"/>
        </w:rPr>
        <w:t xml:space="preserve">So how does dementia hurt communities? Morbidity. By both exclusive measures and those that overlap with major mental health disorders and post-viral complications in older individuals, dementia creates a heavy burden of disease. The global age-standardised prevalence of young-onset dementia is estimated at 119 per 100,000 population, indicating a substantial burden on relatively younger demographics (Hendriks et al., 2021). Furthermore, late-life depression has been identified as a major modifiable risk factor (Livingston et al., 2024), and neurological complications, including new-onset dementia, have been documented in survivors within six months of COVID-19 infection (Taquet et al., 2021). As you can see, these community effects can occur in younger populations and are made worse by mental illness and viral infections.</w:t>
      </w:r>
    </w:p>
    <w:p w:rsidR="00000000" w:rsidDel="00000000" w:rsidP="00000000" w:rsidRDefault="00000000" w:rsidRPr="00000000" w14:paraId="0000003E">
      <w:pPr>
        <w:spacing w:line="360" w:lineRule="auto"/>
        <w:jc w:val="both"/>
        <w:rPr>
          <w:rFonts w:ascii="Arial" w:cs="Arial" w:eastAsia="Arial" w:hAnsi="Arial"/>
        </w:rPr>
      </w:pPr>
      <w:r w:rsidDel="00000000" w:rsidR="00000000" w:rsidRPr="00000000">
        <w:rPr>
          <w:rFonts w:ascii="Arial" w:cs="Arial" w:eastAsia="Arial" w:hAnsi="Arial"/>
          <w:rtl w:val="0"/>
        </w:rPr>
        <w:t xml:space="preserve">Said studies are not without their limitations; however, the burden of disease data provided by Hendriks et al. (2021) relies heavily on global estimates, which inherently introduces assumptions and standardisation challenges to their models. Furthermore, Livingston et al. (2024) acknowledge the difficulty in discounting reverse causation regarding late-life depression; as it may be one of the first clinical presentations of dementia rather than an independent cause. Additionally, COVID-19 cohort studies, such as Taquet et al. (2021), are limited by relatively short follow-up times. The majority of these studies used large-scale modelling or incredibly heterogeneous real-world data. By its nature, these techniques will produce a wide estimation of any given quantity. We simply do not know the exact mechanisms of these community consequences because of large estimations and confounding variables.</w:t>
      </w:r>
    </w:p>
    <w:p w:rsidR="00000000" w:rsidDel="00000000" w:rsidP="00000000" w:rsidRDefault="00000000" w:rsidRPr="00000000" w14:paraId="0000003F">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0">
      <w:pPr>
        <w:pStyle w:val="Heading1"/>
        <w:rPr>
          <w:sz w:val="36"/>
          <w:szCs w:val="36"/>
        </w:rPr>
      </w:pPr>
      <w:bookmarkStart w:colFirst="0" w:colLast="0" w:name="_heading=h.gh8ns7j5qdgd" w:id="5"/>
      <w:bookmarkEnd w:id="5"/>
      <w:r w:rsidDel="00000000" w:rsidR="00000000" w:rsidRPr="00000000">
        <w:rPr>
          <w:sz w:val="36"/>
          <w:szCs w:val="36"/>
          <w:rtl w:val="0"/>
        </w:rPr>
        <w:t xml:space="preserve">Health and Social Care Support Services</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Tailored health and social care support services often incorporate lifestyle interventions to meet the diverse needs of people living with dementia. Groot et al. (2016) found that physical activity interventions lead to positive effects on cognitive function in patients with dementia. Furthermore, Morris et al. (2015) demonstrated that high adherence to the MIND diet is associated with a substantial reduction in the incidence of Alzheimer's disease. Support services recognise and operationalise that altering lifestyle can help maintain cognitive reserve and overall well-being. By focusing more on supporting patients in social care settings, rather than solely medically managing symptoms, people can live more independently. This shift toward community-based care emphasizes environmental adaptations and social engagement, which are essential for preserving dignity and quality of life. By addressing modifiable risks like hearing loss and social isolation alongside nutrition, these integrated services create a robust safety net that empowers individuals to navigate their daily lives with greater autonomy and confidence.</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pStyle w:val="Heading1"/>
        <w:rPr>
          <w:sz w:val="36"/>
          <w:szCs w:val="36"/>
        </w:rPr>
      </w:pPr>
      <w:bookmarkStart w:colFirst="0" w:colLast="0" w:name="_heading=h.m5cghjqss8pi" w:id="6"/>
      <w:bookmarkEnd w:id="6"/>
      <w:r w:rsidDel="00000000" w:rsidR="00000000" w:rsidRPr="00000000">
        <w:rPr>
          <w:sz w:val="36"/>
          <w:szCs w:val="36"/>
          <w:rtl w:val="0"/>
        </w:rPr>
        <w:t xml:space="preserve">Conclusion</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Dementia is a rapidly growing public health concern around the world. Screening and monitoring methods such as primary care questionnaires and new plasma biomarkers allow for quantification, though these measures are population-specific and sometimes limited by accessibility. Treatments such as anti-amyloid medications and systemic blood pressure drugs have demonstrated potential in decelerating symptoms, though their utility is limited by safety concerns and confounding factors. Dementia's effects on communities range from depression to post-viral syndromes. Burden on communities continues to worsen, though the extent of this is difficult to quantify due to wide-ranging population modeling and variable reporting standards. Services and support for people with dementia have utilised non-drug treatments including exercise therapy and dietary changes, but these have been criticised for lack of rigorous study. Addressing dementia holistically requires a biopsychosocial approach that not only manages clinical symptoms but also supports emotional well-being, caregiver resilience, and social inclusion across diverse populations.</w:t>
      </w:r>
    </w:p>
    <w:p w:rsidR="00000000" w:rsidDel="00000000" w:rsidP="00000000" w:rsidRDefault="00000000" w:rsidRPr="00000000" w14:paraId="0000004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6">
      <w:pPr>
        <w:spacing w:line="36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47">
      <w:pPr>
        <w:pStyle w:val="Heading1"/>
        <w:rPr>
          <w:sz w:val="36"/>
          <w:szCs w:val="36"/>
        </w:rPr>
      </w:pPr>
      <w:bookmarkStart w:colFirst="0" w:colLast="0" w:name="_heading=h.hqyepooa18xc" w:id="7"/>
      <w:bookmarkEnd w:id="7"/>
      <w:r w:rsidDel="00000000" w:rsidR="00000000" w:rsidRPr="00000000">
        <w:rPr>
          <w:sz w:val="36"/>
          <w:szCs w:val="36"/>
          <w:rtl w:val="0"/>
        </w:rPr>
        <w:t xml:space="preserve">References</w:t>
      </w:r>
    </w:p>
    <w:p w:rsidR="00000000" w:rsidDel="00000000" w:rsidP="00000000" w:rsidRDefault="00000000" w:rsidRPr="00000000" w14:paraId="00000048">
      <w:pPr>
        <w:spacing w:after="240" w:before="240" w:line="360" w:lineRule="auto"/>
        <w:ind w:left="720" w:hanging="720"/>
        <w:rPr>
          <w:rFonts w:ascii="Arial" w:cs="Arial" w:eastAsia="Arial" w:hAnsi="Arial"/>
        </w:rPr>
      </w:pPr>
      <w:r w:rsidDel="00000000" w:rsidR="00000000" w:rsidRPr="00000000">
        <w:rPr>
          <w:rFonts w:ascii="Arial" w:cs="Arial" w:eastAsia="Arial" w:hAnsi="Arial"/>
          <w:rtl w:val="0"/>
        </w:rPr>
        <w:t xml:space="preserve">Chu, C.S. et al. (2018) 'Use of statins and the risk of dementia and mild cognitive impairment: A systematic review and meta-analysis', </w:t>
      </w:r>
      <w:r w:rsidDel="00000000" w:rsidR="00000000" w:rsidRPr="00000000">
        <w:rPr>
          <w:rFonts w:ascii="Arial" w:cs="Arial" w:eastAsia="Arial" w:hAnsi="Arial"/>
          <w:i w:val="1"/>
          <w:iCs w:val="1"/>
          <w:rtl w:val="0"/>
        </w:rPr>
        <w:t xml:space="preserve">Scientific Reports</w:t>
      </w:r>
      <w:r w:rsidDel="00000000" w:rsidR="00000000" w:rsidRPr="00000000">
        <w:rPr>
          <w:rFonts w:ascii="Arial" w:cs="Arial" w:eastAsia="Arial" w:hAnsi="Arial"/>
          <w:rtl w:val="0"/>
        </w:rPr>
        <w:t xml:space="preserve">, 8(1), p. 5804.</w:t>
      </w:r>
    </w:p>
    <w:p w:rsidR="00000000" w:rsidDel="00000000" w:rsidP="00000000" w:rsidRDefault="00000000" w:rsidRPr="00000000" w14:paraId="00000049">
      <w:pPr>
        <w:spacing w:after="240" w:before="240" w:line="360" w:lineRule="auto"/>
        <w:ind w:left="720" w:hanging="720"/>
        <w:rPr>
          <w:rFonts w:ascii="Arial" w:cs="Arial" w:eastAsia="Arial" w:hAnsi="Arial"/>
        </w:rPr>
      </w:pPr>
      <w:r w:rsidDel="00000000" w:rsidR="00000000" w:rsidRPr="00000000">
        <w:rPr>
          <w:rFonts w:ascii="Arial" w:cs="Arial" w:eastAsia="Arial" w:hAnsi="Arial"/>
          <w:rtl w:val="0"/>
        </w:rPr>
        <w:t xml:space="preserve">Ding, J. et al. (2020) 'Antihypertensive medications and risk for incident dementia and Alzheimer's disease: a meta-analysis', </w:t>
      </w:r>
      <w:r w:rsidDel="00000000" w:rsidR="00000000" w:rsidRPr="00000000">
        <w:rPr>
          <w:rFonts w:ascii="Arial" w:cs="Arial" w:eastAsia="Arial" w:hAnsi="Arial"/>
          <w:i w:val="1"/>
          <w:iCs w:val="1"/>
          <w:rtl w:val="0"/>
        </w:rPr>
        <w:t xml:space="preserve">The Lancet Neurology</w:t>
      </w:r>
      <w:r w:rsidDel="00000000" w:rsidR="00000000" w:rsidRPr="00000000">
        <w:rPr>
          <w:rFonts w:ascii="Arial" w:cs="Arial" w:eastAsia="Arial" w:hAnsi="Arial"/>
          <w:rtl w:val="0"/>
        </w:rPr>
        <w:t xml:space="preserve">, 19(1), pp. 61-70.</w:t>
      </w:r>
    </w:p>
    <w:p w:rsidR="00000000" w:rsidDel="00000000" w:rsidP="00000000" w:rsidRDefault="00000000" w:rsidRPr="00000000" w14:paraId="0000004A">
      <w:pPr>
        <w:spacing w:after="240" w:before="240" w:line="360" w:lineRule="auto"/>
        <w:ind w:left="720" w:hanging="720"/>
        <w:rPr>
          <w:rFonts w:ascii="Arial" w:cs="Arial" w:eastAsia="Arial" w:hAnsi="Arial"/>
        </w:rPr>
      </w:pPr>
      <w:r w:rsidDel="00000000" w:rsidR="00000000" w:rsidRPr="00000000">
        <w:rPr>
          <w:rFonts w:ascii="Arial" w:cs="Arial" w:eastAsia="Arial" w:hAnsi="Arial"/>
          <w:rtl w:val="0"/>
        </w:rPr>
        <w:t xml:space="preserve">Groot, C. et al. (2016) 'The effect of physical activity on cognitive function in patients with dementia: A meta-analysis', </w:t>
      </w:r>
      <w:r w:rsidDel="00000000" w:rsidR="00000000" w:rsidRPr="00000000">
        <w:rPr>
          <w:rFonts w:ascii="Arial" w:cs="Arial" w:eastAsia="Arial" w:hAnsi="Arial"/>
          <w:i w:val="1"/>
          <w:iCs w:val="1"/>
          <w:rtl w:val="0"/>
        </w:rPr>
        <w:t xml:space="preserve">Ageing Research Reviews</w:t>
      </w:r>
      <w:r w:rsidDel="00000000" w:rsidR="00000000" w:rsidRPr="00000000">
        <w:rPr>
          <w:rFonts w:ascii="Arial" w:cs="Arial" w:eastAsia="Arial" w:hAnsi="Arial"/>
          <w:rtl w:val="0"/>
        </w:rPr>
        <w:t xml:space="preserve">, 25, pp. 13-23.</w:t>
      </w:r>
    </w:p>
    <w:p w:rsidR="00000000" w:rsidDel="00000000" w:rsidP="00000000" w:rsidRDefault="00000000" w:rsidRPr="00000000" w14:paraId="0000004B">
      <w:pPr>
        <w:spacing w:after="240" w:before="240" w:line="360" w:lineRule="auto"/>
        <w:ind w:left="720" w:hanging="720"/>
        <w:rPr>
          <w:rFonts w:ascii="Arial" w:cs="Arial" w:eastAsia="Arial" w:hAnsi="Arial"/>
        </w:rPr>
      </w:pPr>
      <w:r w:rsidDel="00000000" w:rsidR="00000000" w:rsidRPr="00000000">
        <w:rPr>
          <w:rFonts w:ascii="Arial" w:cs="Arial" w:eastAsia="Arial" w:hAnsi="Arial"/>
          <w:rtl w:val="0"/>
        </w:rPr>
        <w:t xml:space="preserve">Hendriks, S. et al. (2021) 'Global Prevalence of Young-Onset Dementia: A Systematic Review and Meta-analysis', </w:t>
      </w:r>
      <w:r w:rsidDel="00000000" w:rsidR="00000000" w:rsidRPr="00000000">
        <w:rPr>
          <w:rFonts w:ascii="Arial" w:cs="Arial" w:eastAsia="Arial" w:hAnsi="Arial"/>
          <w:i w:val="1"/>
          <w:iCs w:val="1"/>
          <w:rtl w:val="0"/>
        </w:rPr>
        <w:t xml:space="preserve">JAMA Neurology</w:t>
      </w:r>
      <w:r w:rsidDel="00000000" w:rsidR="00000000" w:rsidRPr="00000000">
        <w:rPr>
          <w:rFonts w:ascii="Arial" w:cs="Arial" w:eastAsia="Arial" w:hAnsi="Arial"/>
          <w:rtl w:val="0"/>
        </w:rPr>
        <w:t xml:space="preserve">, 78(9), pp. 1080-1090.</w:t>
      </w:r>
    </w:p>
    <w:p w:rsidR="00000000" w:rsidDel="00000000" w:rsidP="00000000" w:rsidRDefault="00000000" w:rsidRPr="00000000" w14:paraId="0000004C">
      <w:pPr>
        <w:spacing w:after="240" w:before="240" w:line="360" w:lineRule="auto"/>
        <w:ind w:left="720" w:hanging="720"/>
        <w:rPr>
          <w:rFonts w:ascii="Arial" w:cs="Arial" w:eastAsia="Arial" w:hAnsi="Arial"/>
        </w:rPr>
      </w:pPr>
      <w:r w:rsidDel="00000000" w:rsidR="00000000" w:rsidRPr="00000000">
        <w:rPr>
          <w:rFonts w:ascii="Arial" w:cs="Arial" w:eastAsia="Arial" w:hAnsi="Arial"/>
          <w:rtl w:val="0"/>
        </w:rPr>
        <w:t xml:space="preserve">Hou, Y. et al. (2025) 'Assessment of dementia risk scores in predicting mild cognitive impairment', </w:t>
      </w:r>
      <w:r w:rsidDel="00000000" w:rsidR="00000000" w:rsidRPr="00000000">
        <w:rPr>
          <w:rFonts w:ascii="Arial" w:cs="Arial" w:eastAsia="Arial" w:hAnsi="Arial"/>
          <w:i w:val="1"/>
          <w:iCs w:val="1"/>
          <w:rtl w:val="0"/>
        </w:rPr>
        <w:t xml:space="preserve">Preventive Medicine Reports</w:t>
      </w:r>
      <w:r w:rsidDel="00000000" w:rsidR="00000000" w:rsidRPr="00000000">
        <w:rPr>
          <w:rFonts w:ascii="Arial" w:cs="Arial" w:eastAsia="Arial" w:hAnsi="Arial"/>
          <w:rtl w:val="0"/>
        </w:rPr>
        <w:t xml:space="preserve">, 44, 102830.</w:t>
      </w:r>
    </w:p>
    <w:p w:rsidR="00000000" w:rsidDel="00000000" w:rsidP="00000000" w:rsidRDefault="00000000" w:rsidRPr="00000000" w14:paraId="0000004D">
      <w:pPr>
        <w:spacing w:after="240" w:before="240" w:line="360" w:lineRule="auto"/>
        <w:ind w:left="720" w:hanging="720"/>
        <w:rPr>
          <w:rFonts w:ascii="Arial" w:cs="Arial" w:eastAsia="Arial" w:hAnsi="Arial"/>
        </w:rPr>
      </w:pPr>
      <w:r w:rsidDel="00000000" w:rsidR="00000000" w:rsidRPr="00000000">
        <w:rPr>
          <w:rFonts w:ascii="Arial" w:cs="Arial" w:eastAsia="Arial" w:hAnsi="Arial"/>
          <w:rtl w:val="0"/>
        </w:rPr>
        <w:t xml:space="preserve">Livingston, G. et al. (2024) 'Dementia prevention, intervention, and care: 2024 report of the Lancet standing Commission', </w:t>
      </w:r>
      <w:r w:rsidDel="00000000" w:rsidR="00000000" w:rsidRPr="00000000">
        <w:rPr>
          <w:rFonts w:ascii="Arial" w:cs="Arial" w:eastAsia="Arial" w:hAnsi="Arial"/>
          <w:i w:val="1"/>
          <w:iCs w:val="1"/>
          <w:rtl w:val="0"/>
        </w:rPr>
        <w:t xml:space="preserve">The Lancet</w:t>
      </w:r>
      <w:r w:rsidDel="00000000" w:rsidR="00000000" w:rsidRPr="00000000">
        <w:rPr>
          <w:rFonts w:ascii="Arial" w:cs="Arial" w:eastAsia="Arial" w:hAnsi="Arial"/>
          <w:rtl w:val="0"/>
        </w:rPr>
        <w:t xml:space="preserve">, 404(10452), pp. 572-628.</w:t>
      </w:r>
    </w:p>
    <w:p w:rsidR="00000000" w:rsidDel="00000000" w:rsidP="00000000" w:rsidRDefault="00000000" w:rsidRPr="00000000" w14:paraId="0000004E">
      <w:pPr>
        <w:spacing w:after="240" w:before="240" w:line="360" w:lineRule="auto"/>
        <w:ind w:left="720" w:hanging="720"/>
        <w:rPr>
          <w:rFonts w:ascii="Arial" w:cs="Arial" w:eastAsia="Arial" w:hAnsi="Arial"/>
        </w:rPr>
      </w:pPr>
      <w:r w:rsidDel="00000000" w:rsidR="00000000" w:rsidRPr="00000000">
        <w:rPr>
          <w:rFonts w:ascii="Arial" w:cs="Arial" w:eastAsia="Arial" w:hAnsi="Arial"/>
          <w:rtl w:val="0"/>
        </w:rPr>
        <w:t xml:space="preserve">Mattsson-Carlgren, N. et al. (2020) 'Longitudinal plasma p-tau217 is increased in early stages of Alzheimer’s disease', </w:t>
      </w:r>
      <w:r w:rsidDel="00000000" w:rsidR="00000000" w:rsidRPr="00000000">
        <w:rPr>
          <w:rFonts w:ascii="Arial" w:cs="Arial" w:eastAsia="Arial" w:hAnsi="Arial"/>
          <w:i w:val="1"/>
          <w:iCs w:val="1"/>
          <w:rtl w:val="0"/>
        </w:rPr>
        <w:t xml:space="preserve">Brain</w:t>
      </w:r>
      <w:r w:rsidDel="00000000" w:rsidR="00000000" w:rsidRPr="00000000">
        <w:rPr>
          <w:rFonts w:ascii="Arial" w:cs="Arial" w:eastAsia="Arial" w:hAnsi="Arial"/>
          <w:rtl w:val="0"/>
        </w:rPr>
        <w:t xml:space="preserve">, 143(11), pp. 3234-3241.</w:t>
      </w:r>
    </w:p>
    <w:p w:rsidR="00000000" w:rsidDel="00000000" w:rsidP="00000000" w:rsidRDefault="00000000" w:rsidRPr="00000000" w14:paraId="0000004F">
      <w:pPr>
        <w:spacing w:after="240" w:before="240" w:line="360" w:lineRule="auto"/>
        <w:ind w:left="720" w:hanging="720"/>
        <w:rPr>
          <w:rFonts w:ascii="Arial" w:cs="Arial" w:eastAsia="Arial" w:hAnsi="Arial"/>
        </w:rPr>
      </w:pPr>
      <w:r w:rsidDel="00000000" w:rsidR="00000000" w:rsidRPr="00000000">
        <w:rPr>
          <w:rFonts w:ascii="Arial" w:cs="Arial" w:eastAsia="Arial" w:hAnsi="Arial"/>
          <w:rtl w:val="0"/>
        </w:rPr>
        <w:t xml:space="preserve">Morris, M.C. et al. (2015) 'MIND diet associated with reduced incidence of Alzheimer's disease', </w:t>
      </w:r>
      <w:r w:rsidDel="00000000" w:rsidR="00000000" w:rsidRPr="00000000">
        <w:rPr>
          <w:rFonts w:ascii="Arial" w:cs="Arial" w:eastAsia="Arial" w:hAnsi="Arial"/>
          <w:i w:val="1"/>
          <w:iCs w:val="1"/>
          <w:rtl w:val="0"/>
        </w:rPr>
        <w:t xml:space="preserve">Alzheimer's &amp; Dementia</w:t>
      </w:r>
      <w:r w:rsidDel="00000000" w:rsidR="00000000" w:rsidRPr="00000000">
        <w:rPr>
          <w:rFonts w:ascii="Arial" w:cs="Arial" w:eastAsia="Arial" w:hAnsi="Arial"/>
          <w:rtl w:val="0"/>
        </w:rPr>
        <w:t xml:space="preserve">, 11(9), pp. 1007-1014.</w:t>
      </w:r>
    </w:p>
    <w:p w:rsidR="00000000" w:rsidDel="00000000" w:rsidP="00000000" w:rsidRDefault="00000000" w:rsidRPr="00000000" w14:paraId="00000050">
      <w:pPr>
        <w:spacing w:after="240" w:before="240" w:line="360" w:lineRule="auto"/>
        <w:ind w:left="720" w:hanging="720"/>
        <w:rPr>
          <w:rFonts w:ascii="Arial" w:cs="Arial" w:eastAsia="Arial" w:hAnsi="Arial"/>
        </w:rPr>
      </w:pPr>
      <w:r w:rsidDel="00000000" w:rsidR="00000000" w:rsidRPr="00000000">
        <w:rPr>
          <w:rFonts w:ascii="Arial" w:cs="Arial" w:eastAsia="Arial" w:hAnsi="Arial"/>
          <w:rtl w:val="0"/>
        </w:rPr>
        <w:t xml:space="preserve">Nichols, E. et al. (2022) 'Estimation of the global prevalence of dementia in 2019 and forecasted prevalence in 2050', </w:t>
      </w:r>
      <w:r w:rsidDel="00000000" w:rsidR="00000000" w:rsidRPr="00000000">
        <w:rPr>
          <w:rFonts w:ascii="Arial" w:cs="Arial" w:eastAsia="Arial" w:hAnsi="Arial"/>
          <w:i w:val="1"/>
          <w:iCs w:val="1"/>
          <w:rtl w:val="0"/>
        </w:rPr>
        <w:t xml:space="preserve">The Lancet Public Health</w:t>
      </w:r>
      <w:r w:rsidDel="00000000" w:rsidR="00000000" w:rsidRPr="00000000">
        <w:rPr>
          <w:rFonts w:ascii="Arial" w:cs="Arial" w:eastAsia="Arial" w:hAnsi="Arial"/>
          <w:rtl w:val="0"/>
        </w:rPr>
        <w:t xml:space="preserve">, 7(2), pp. e105-e125.</w:t>
      </w:r>
    </w:p>
    <w:p w:rsidR="00000000" w:rsidDel="00000000" w:rsidP="00000000" w:rsidRDefault="00000000" w:rsidRPr="00000000" w14:paraId="00000051">
      <w:pPr>
        <w:spacing w:after="240" w:before="240" w:line="360" w:lineRule="auto"/>
        <w:ind w:left="720" w:hanging="720"/>
        <w:rPr>
          <w:rFonts w:ascii="Arial" w:cs="Arial" w:eastAsia="Arial" w:hAnsi="Arial"/>
        </w:rPr>
      </w:pPr>
      <w:r w:rsidDel="00000000" w:rsidR="00000000" w:rsidRPr="00000000">
        <w:rPr>
          <w:rFonts w:ascii="Arial" w:cs="Arial" w:eastAsia="Arial" w:hAnsi="Arial"/>
          <w:rtl w:val="0"/>
        </w:rPr>
        <w:t xml:space="preserve">Taquet, M. et al. (2021) '6-month neurological and psychiatric outcomes in 236 379 survivors of COVID-19', </w:t>
      </w:r>
      <w:r w:rsidDel="00000000" w:rsidR="00000000" w:rsidRPr="00000000">
        <w:rPr>
          <w:rFonts w:ascii="Arial" w:cs="Arial" w:eastAsia="Arial" w:hAnsi="Arial"/>
          <w:i w:val="1"/>
          <w:iCs w:val="1"/>
          <w:rtl w:val="0"/>
        </w:rPr>
        <w:t xml:space="preserve">The Lancet Psychiatry</w:t>
      </w:r>
      <w:r w:rsidDel="00000000" w:rsidR="00000000" w:rsidRPr="00000000">
        <w:rPr>
          <w:rFonts w:ascii="Arial" w:cs="Arial" w:eastAsia="Arial" w:hAnsi="Arial"/>
          <w:rtl w:val="0"/>
        </w:rPr>
        <w:t xml:space="preserve">, 8(5), pp. 416-427.</w:t>
      </w:r>
    </w:p>
    <w:p w:rsidR="00000000" w:rsidDel="00000000" w:rsidP="00000000" w:rsidRDefault="00000000" w:rsidRPr="00000000" w14:paraId="00000052">
      <w:pPr>
        <w:spacing w:after="240" w:before="240" w:line="360" w:lineRule="auto"/>
        <w:ind w:left="720" w:hanging="720"/>
        <w:rPr>
          <w:rFonts w:ascii="Arial" w:cs="Arial" w:eastAsia="Arial" w:hAnsi="Arial"/>
        </w:rPr>
      </w:pPr>
      <w:r w:rsidDel="00000000" w:rsidR="00000000" w:rsidRPr="00000000">
        <w:rPr>
          <w:rFonts w:ascii="Arial" w:cs="Arial" w:eastAsia="Arial" w:hAnsi="Arial"/>
          <w:rtl w:val="0"/>
        </w:rPr>
        <w:t xml:space="preserve">van Dyck, C.H. et al. (2023) 'Lecanemab in Early Alzheimer's Disease', </w:t>
      </w:r>
      <w:r w:rsidDel="00000000" w:rsidR="00000000" w:rsidRPr="00000000">
        <w:rPr>
          <w:rFonts w:ascii="Arial" w:cs="Arial" w:eastAsia="Arial" w:hAnsi="Arial"/>
          <w:i w:val="1"/>
          <w:iCs w:val="1"/>
          <w:rtl w:val="0"/>
        </w:rPr>
        <w:t xml:space="preserve">New England Journal of Medicine</w:t>
      </w:r>
      <w:r w:rsidDel="00000000" w:rsidR="00000000" w:rsidRPr="00000000">
        <w:rPr>
          <w:rFonts w:ascii="Arial" w:cs="Arial" w:eastAsia="Arial" w:hAnsi="Arial"/>
          <w:rtl w:val="0"/>
        </w:rPr>
        <w:t xml:space="preserve">, 388(1), pp. 9-21.</w:t>
      </w:r>
    </w:p>
    <w:p w:rsidR="00000000" w:rsidDel="00000000" w:rsidP="00000000" w:rsidRDefault="00000000" w:rsidRPr="00000000" w14:paraId="00000053">
      <w:pPr>
        <w:spacing w:line="360" w:lineRule="auto"/>
        <w:rPr>
          <w:rFonts w:ascii="Arial" w:cs="Arial" w:eastAsia="Arial" w:hAnsi="Arial"/>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0yiWWbvJ/YxRNjPu+loNUBB7Lw==">CgMxLjAyDmguc3lxZmo0YjJjYjZ6Mg5oLjc2amdpZTZlMDNxazIOaC40cWhndGNrcXphcDEyDmguMTd5cGFwZ3B0MnhrMg5oLjVrNG9nbjJ4b2pvaTIOaC5naDhuczdqNXFkZ2QyDmgubTVjZ2hqcXNzOHBpMg5oLmhxeWVwb29hMTh4YzgAciExYnVvNnlXRHg1S1BYcDFLWFhBSVdkN1Jpc2xaVE53ZHQ=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ICV">
    <vt:lpwstr>677aa3d69af841118d23f4337e8e4293</vt:lpwstr>
  </property>
  <property fmtid="{D5CDD505-2E9C-101B-9397-08002B2CF9AE}" pid="3" name="KSOProductBuildVer">
    <vt:lpwstr>1033-12.2.0.23196</vt:lpwstr>
  </property>
</Properties>
</file>