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AF266CE" w14:paraId="307CC1AF" wp14:textId="335CF3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Written response – A proposal for a school community project</w:t>
      </w:r>
      <w:r w:rsidRPr="1AF266CE" w:rsidR="270FBF9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AF266CE" w14:paraId="00B392BC" wp14:textId="6D7C51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Within this assignment I am going to write a proposal for a school community project by using my experiences of teaching 7–11-year-old learners. Throughout this assignment I am going to be following the BERA ethical guidelines and ensuring that confidential and anonymous treatment of participants’ data is considered throughout (British Educational Research Association, 2018). Strong school-community connections have been found to help reduce the achievement gap between disadvantaged students and more privileged students and boost educational standards. While using a "neighbourhood" strategy, schools are frequently motivated to improve the aspirations of both their students and parents (Optimus Education Blog, 2022). Estyn (2020) states that the ethos of the setting depends on a strong partnership with parents and carers. Practitioners are aware that full parental involvement in the lessons and experiences their children have in the setting is necessary to ensure the best results for children's lifetime learning. My proposal is based on my PTE school A within Swansea. There are 427 pupils on roll aged 3-11 years old within school A. Almost 21% of students who qualify for free school meals (FSM) on average over the past three years. This amount is marginally higher than the 18% average for Wales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Birchgrove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Estyn Report, 2020). School A’s vision and mission statements are highlighted clearly within the school website with one aim being ‘to become a valued part of our local community and help children become responsible, caring and happy citizens’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Birchgrove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The statements show that school A encourages their children to become a valued part of the local community and are preparing learners to play a part in life and work. The aims and vision statements within school A are encouraging and make strong connections with the Curriculum for Wales (2020) four purposes. With the school's vision and aims in mind, I have decided on ‘Big Bocs Bwyd’ (BBB) for my proposal. </w:t>
      </w:r>
    </w:p>
    <w:p xmlns:wp14="http://schemas.microsoft.com/office/word/2010/wordml" w:rsidP="1AF266CE" w14:paraId="45D7A7E4" wp14:textId="35D34E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The aim of BBB is to make sure that no child goes hungry and that every child can learn to make healthy food decisions that will help them grow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BigBocsBwyd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2021). Food will be made available to children and their families at "pay as you feel" prices, and they will be helped with real-world learning opportunities related to growing and preparing food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BigBocsBwyd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This links to school A’s vision as they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as a learning organisation, their vision is to become a community of excellence where all are entitled and encouraged to become well rounded, ambitious, capable learners who are ready to learn. Learners who are enterprising, creative contributors, ready to play a full part in life and work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Birchgrove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Being a part of BBB, will encourage children and prepare them for real life work and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authentic experiences for them.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 believe a proposal</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based on BBB will be beneficial to the students and community of school A as the percentage of FSM is above the Welsh average and BBB is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great way</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creating a school – community partnership. </w:t>
      </w:r>
    </w:p>
    <w:p xmlns:wp14="http://schemas.microsoft.com/office/word/2010/wordml" w:rsidP="1AF266CE" w14:paraId="3F9B9A7A" wp14:textId="37A55366">
      <w:pPr>
        <w:spacing w:after="160" w:line="259" w:lineRule="auto"/>
        <w:jc w:val="left"/>
        <w:rPr>
          <w:rFonts w:ascii="Calibri" w:hAnsi="Calibri" w:eastAsia="Calibri" w:cs="Calibri"/>
          <w:b w:val="0"/>
          <w:bCs w:val="0"/>
          <w:i w:val="0"/>
          <w:iCs w:val="0"/>
          <w:caps w:val="0"/>
          <w:smallCaps w:val="0"/>
          <w:noProof w:val="0"/>
          <w:color w:val="202122"/>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Curriculum for Wales (2022) has been developed in Wales, by practitioners for practitioners, bringing together educational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expertise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wider research and evidence (Welsh Government, 2022). This is because as practitioners you should be responsible to develop a curriculum for your school and your pupils because you are the only people who know and understand the pupils in your class.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202122"/>
          <w:sz w:val="22"/>
          <w:szCs w:val="22"/>
          <w:lang w:val="en-GB"/>
        </w:rPr>
        <w:t>takes its name from the Welsh word meaning "the place of your multiple belongings." (</w:t>
      </w:r>
      <w:r w:rsidRPr="1AF266CE" w:rsidR="270FBF9E">
        <w:rPr>
          <w:rFonts w:ascii="Calibri" w:hAnsi="Calibri" w:eastAsia="Calibri" w:cs="Calibri"/>
          <w:b w:val="0"/>
          <w:bCs w:val="0"/>
          <w:i w:val="0"/>
          <w:iCs w:val="0"/>
          <w:caps w:val="0"/>
          <w:smallCaps w:val="0"/>
          <w:noProof w:val="0"/>
          <w:color w:val="202122"/>
          <w:sz w:val="22"/>
          <w:szCs w:val="22"/>
          <w:lang w:val="en-GB"/>
        </w:rPr>
        <w:t>Cynefin</w:t>
      </w:r>
      <w:r w:rsidRPr="1AF266CE" w:rsidR="270FBF9E">
        <w:rPr>
          <w:rFonts w:ascii="Calibri" w:hAnsi="Calibri" w:eastAsia="Calibri" w:cs="Calibri"/>
          <w:b w:val="0"/>
          <w:bCs w:val="0"/>
          <w:i w:val="0"/>
          <w:iCs w:val="0"/>
          <w:caps w:val="0"/>
          <w:smallCaps w:val="0"/>
          <w:noProof w:val="0"/>
          <w:color w:val="202122"/>
          <w:sz w:val="22"/>
          <w:szCs w:val="22"/>
          <w:lang w:val="en-GB"/>
        </w:rPr>
        <w:t>, 2022). ‘</w:t>
      </w:r>
      <w:r w:rsidRPr="1AF266CE" w:rsidR="270FBF9E">
        <w:rPr>
          <w:rFonts w:ascii="Calibri" w:hAnsi="Calibri" w:eastAsia="Calibri" w:cs="Calibri"/>
          <w:b w:val="0"/>
          <w:bCs w:val="0"/>
          <w:i w:val="0"/>
          <w:iCs w:val="0"/>
          <w:caps w:val="0"/>
          <w:smallCaps w:val="0"/>
          <w:noProof w:val="0"/>
          <w:color w:val="202122"/>
          <w:sz w:val="22"/>
          <w:szCs w:val="22"/>
          <w:lang w:val="en-GB"/>
        </w:rPr>
        <w:t>Cynefin</w:t>
      </w:r>
      <w:r w:rsidRPr="1AF266CE" w:rsidR="270FBF9E">
        <w:rPr>
          <w:rFonts w:ascii="Calibri" w:hAnsi="Calibri" w:eastAsia="Calibri" w:cs="Calibri"/>
          <w:b w:val="0"/>
          <w:bCs w:val="0"/>
          <w:i w:val="0"/>
          <w:iCs w:val="0"/>
          <w:caps w:val="0"/>
          <w:smallCaps w:val="0"/>
          <w:noProof w:val="0"/>
          <w:color w:val="202122"/>
          <w:sz w:val="22"/>
          <w:szCs w:val="22"/>
          <w:lang w:val="en-GB"/>
        </w:rPr>
        <w:t xml:space="preserve">’ solidifies the importance of having a sense of community and belonging. Links can be made to Bronfenbrenner's ecological systems theory specifically the ‘macrosystem’ as he describes that this part of the child’s system would be their values of cultures and social ideologies (Bronfenbrenner, 1974). </w:t>
      </w:r>
    </w:p>
    <w:p xmlns:wp14="http://schemas.microsoft.com/office/word/2010/wordml" w:rsidP="1AF266CE" w14:paraId="61D8B3DA" wp14:textId="003E3A39">
      <w:pPr>
        <w:spacing w:after="160" w:line="259" w:lineRule="auto"/>
        <w:jc w:val="left"/>
        <w:rPr>
          <w:rFonts w:ascii="Calibri" w:hAnsi="Calibri" w:eastAsia="Calibri" w:cs="Calibri"/>
          <w:b w:val="0"/>
          <w:bCs w:val="0"/>
          <w:i w:val="0"/>
          <w:iCs w:val="0"/>
          <w:caps w:val="0"/>
          <w:smallCaps w:val="0"/>
          <w:noProof w:val="0"/>
          <w:color w:val="202122"/>
          <w:sz w:val="22"/>
          <w:szCs w:val="22"/>
          <w:lang w:val="en-GB"/>
        </w:rPr>
      </w:pPr>
      <w:r w:rsidRPr="1AF266CE" w:rsidR="270FBF9E">
        <w:rPr>
          <w:rFonts w:ascii="Calibri" w:hAnsi="Calibri" w:eastAsia="Calibri" w:cs="Calibri"/>
          <w:b w:val="0"/>
          <w:bCs w:val="0"/>
          <w:i w:val="0"/>
          <w:iCs w:val="0"/>
          <w:caps w:val="0"/>
          <w:smallCaps w:val="0"/>
          <w:noProof w:val="0"/>
          <w:color w:val="202122"/>
          <w:sz w:val="22"/>
          <w:szCs w:val="22"/>
          <w:lang w:val="en-GB"/>
        </w:rPr>
        <w:t>“Cynefin is not just a place in a physical or geographical sense: it is the historic, cultural and social place which has shaped and continues to shape the community which inhabits it”. (Welsh Government, 2020, p.241).</w:t>
      </w:r>
    </w:p>
    <w:p xmlns:wp14="http://schemas.microsoft.com/office/word/2010/wordml" w:rsidP="1AF266CE" w14:paraId="390B96D4" wp14:textId="07650CD4">
      <w:pPr>
        <w:spacing w:after="160" w:line="259" w:lineRule="auto"/>
        <w:jc w:val="left"/>
        <w:rPr>
          <w:rFonts w:ascii="Calibri" w:hAnsi="Calibri" w:eastAsia="Calibri" w:cs="Calibri"/>
          <w:b w:val="0"/>
          <w:bCs w:val="0"/>
          <w:i w:val="0"/>
          <w:iCs w:val="0"/>
          <w:caps w:val="0"/>
          <w:smallCaps w:val="0"/>
          <w:noProof w:val="0"/>
          <w:color w:val="202122"/>
          <w:sz w:val="22"/>
          <w:szCs w:val="22"/>
          <w:lang w:val="en-GB"/>
        </w:rPr>
      </w:pPr>
      <w:r w:rsidRPr="1AF266CE" w:rsidR="270FBF9E">
        <w:rPr>
          <w:rFonts w:ascii="Calibri" w:hAnsi="Calibri" w:eastAsia="Calibri" w:cs="Calibri"/>
          <w:b w:val="0"/>
          <w:bCs w:val="0"/>
          <w:i w:val="0"/>
          <w:iCs w:val="0"/>
          <w:caps w:val="0"/>
          <w:smallCaps w:val="0"/>
          <w:noProof w:val="0"/>
          <w:color w:val="202122"/>
          <w:sz w:val="22"/>
          <w:szCs w:val="22"/>
          <w:lang w:val="en-GB"/>
        </w:rPr>
        <w:t xml:space="preserve">According to Bronfenbrenner (1977), a child's environment is made up of a series of interconnected structures. He arranged them according to the impact they have on children. The immediate environment such as parents, is known as the microsystem. Microsystem interactions are </w:t>
      </w:r>
      <w:r w:rsidRPr="1AF266CE" w:rsidR="270FBF9E">
        <w:rPr>
          <w:rFonts w:ascii="Calibri" w:hAnsi="Calibri" w:eastAsia="Calibri" w:cs="Calibri"/>
          <w:b w:val="0"/>
          <w:bCs w:val="0"/>
          <w:i w:val="0"/>
          <w:iCs w:val="0"/>
          <w:caps w:val="0"/>
          <w:smallCaps w:val="0"/>
          <w:noProof w:val="0"/>
          <w:color w:val="202122"/>
          <w:sz w:val="22"/>
          <w:szCs w:val="22"/>
          <w:lang w:val="en-GB"/>
        </w:rPr>
        <w:t>frequently</w:t>
      </w:r>
      <w:r w:rsidRPr="1AF266CE" w:rsidR="270FBF9E">
        <w:rPr>
          <w:rFonts w:ascii="Calibri" w:hAnsi="Calibri" w:eastAsia="Calibri" w:cs="Calibri"/>
          <w:b w:val="0"/>
          <w:bCs w:val="0"/>
          <w:i w:val="0"/>
          <w:iCs w:val="0"/>
          <w:caps w:val="0"/>
          <w:smallCaps w:val="0"/>
          <w:noProof w:val="0"/>
          <w:color w:val="202122"/>
          <w:sz w:val="22"/>
          <w:szCs w:val="22"/>
          <w:lang w:val="en-GB"/>
        </w:rPr>
        <w:t xml:space="preserve"> very intimate and are essential for promoting and </w:t>
      </w:r>
      <w:r w:rsidRPr="1AF266CE" w:rsidR="270FBF9E">
        <w:rPr>
          <w:rFonts w:ascii="Calibri" w:hAnsi="Calibri" w:eastAsia="Calibri" w:cs="Calibri"/>
          <w:b w:val="0"/>
          <w:bCs w:val="0"/>
          <w:i w:val="0"/>
          <w:iCs w:val="0"/>
          <w:caps w:val="0"/>
          <w:smallCaps w:val="0"/>
          <w:noProof w:val="0"/>
          <w:color w:val="202122"/>
          <w:sz w:val="22"/>
          <w:szCs w:val="22"/>
          <w:lang w:val="en-GB"/>
        </w:rPr>
        <w:t>assisting</w:t>
      </w:r>
      <w:r w:rsidRPr="1AF266CE" w:rsidR="270FBF9E">
        <w:rPr>
          <w:rFonts w:ascii="Calibri" w:hAnsi="Calibri" w:eastAsia="Calibri" w:cs="Calibri"/>
          <w:b w:val="0"/>
          <w:bCs w:val="0"/>
          <w:i w:val="0"/>
          <w:iCs w:val="0"/>
          <w:caps w:val="0"/>
          <w:smallCaps w:val="0"/>
          <w:noProof w:val="0"/>
          <w:color w:val="202122"/>
          <w:sz w:val="22"/>
          <w:szCs w:val="22"/>
          <w:lang w:val="en-GB"/>
        </w:rPr>
        <w:t xml:space="preserve"> the child's growth. The mesosystem is known as their wider community. According to the ecological systems theory, a child's growth should be positively </w:t>
      </w:r>
      <w:r w:rsidRPr="1AF266CE" w:rsidR="270FBF9E">
        <w:rPr>
          <w:rFonts w:ascii="Calibri" w:hAnsi="Calibri" w:eastAsia="Calibri" w:cs="Calibri"/>
          <w:b w:val="0"/>
          <w:bCs w:val="0"/>
          <w:i w:val="0"/>
          <w:iCs w:val="0"/>
          <w:caps w:val="0"/>
          <w:smallCaps w:val="0"/>
          <w:noProof w:val="0"/>
          <w:color w:val="202122"/>
          <w:sz w:val="22"/>
          <w:szCs w:val="22"/>
          <w:lang w:val="en-GB"/>
        </w:rPr>
        <w:t>impacted</w:t>
      </w:r>
      <w:r w:rsidRPr="1AF266CE" w:rsidR="270FBF9E">
        <w:rPr>
          <w:rFonts w:ascii="Calibri" w:hAnsi="Calibri" w:eastAsia="Calibri" w:cs="Calibri"/>
          <w:b w:val="0"/>
          <w:bCs w:val="0"/>
          <w:i w:val="0"/>
          <w:iCs w:val="0"/>
          <w:caps w:val="0"/>
          <w:smallCaps w:val="0"/>
          <w:noProof w:val="0"/>
          <w:color w:val="202122"/>
          <w:sz w:val="22"/>
          <w:szCs w:val="22"/>
          <w:lang w:val="en-GB"/>
        </w:rPr>
        <w:t xml:space="preserve"> by their parents and teachers getting along and having a good relationship as opposed to negatively affected if they do not (McLeod, 2023). This research s</w:t>
      </w:r>
      <w:r w:rsidRPr="1AF266CE" w:rsidR="4AC5EEFC">
        <w:rPr>
          <w:rFonts w:ascii="Calibri" w:hAnsi="Calibri" w:eastAsia="Calibri" w:cs="Calibri"/>
          <w:b w:val="0"/>
          <w:bCs w:val="0"/>
          <w:i w:val="0"/>
          <w:iCs w:val="0"/>
          <w:caps w:val="0"/>
          <w:smallCaps w:val="0"/>
          <w:noProof w:val="0"/>
          <w:color w:val="202122"/>
          <w:sz w:val="22"/>
          <w:szCs w:val="22"/>
          <w:lang w:val="en-GB"/>
        </w:rPr>
        <w:t>trengthens</w:t>
      </w:r>
      <w:r w:rsidRPr="1AF266CE" w:rsidR="270FBF9E">
        <w:rPr>
          <w:rFonts w:ascii="Calibri" w:hAnsi="Calibri" w:eastAsia="Calibri" w:cs="Calibri"/>
          <w:b w:val="0"/>
          <w:bCs w:val="0"/>
          <w:i w:val="0"/>
          <w:iCs w:val="0"/>
          <w:caps w:val="0"/>
          <w:smallCaps w:val="0"/>
          <w:noProof w:val="0"/>
          <w:color w:val="202122"/>
          <w:sz w:val="22"/>
          <w:szCs w:val="22"/>
          <w:lang w:val="en-GB"/>
        </w:rPr>
        <w:t xml:space="preserve"> the importance of having a strong school – community relationship.</w:t>
      </w:r>
    </w:p>
    <w:p xmlns:wp14="http://schemas.microsoft.com/office/word/2010/wordml" w:rsidP="1AF266CE" w14:paraId="7533094B" wp14:textId="25CB450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202122"/>
          <w:sz w:val="22"/>
          <w:szCs w:val="22"/>
          <w:lang w:val="en-GB"/>
        </w:rPr>
        <w:t>BBB will be implemented throughout school</w:t>
      </w:r>
      <w:r w:rsidRPr="1AF266CE" w:rsidR="057852BC">
        <w:rPr>
          <w:rFonts w:ascii="Calibri" w:hAnsi="Calibri" w:eastAsia="Calibri" w:cs="Calibri"/>
          <w:b w:val="0"/>
          <w:bCs w:val="0"/>
          <w:i w:val="0"/>
          <w:iCs w:val="0"/>
          <w:caps w:val="0"/>
          <w:smallCaps w:val="0"/>
          <w:noProof w:val="0"/>
          <w:color w:val="202122"/>
          <w:sz w:val="22"/>
          <w:szCs w:val="22"/>
          <w:lang w:val="en-GB"/>
        </w:rPr>
        <w:t xml:space="preserve"> A</w:t>
      </w:r>
      <w:r w:rsidRPr="1AF266CE" w:rsidR="270FBF9E">
        <w:rPr>
          <w:rFonts w:ascii="Calibri" w:hAnsi="Calibri" w:eastAsia="Calibri" w:cs="Calibri"/>
          <w:b w:val="0"/>
          <w:bCs w:val="0"/>
          <w:i w:val="0"/>
          <w:iCs w:val="0"/>
          <w:caps w:val="0"/>
          <w:smallCaps w:val="0"/>
          <w:noProof w:val="0"/>
          <w:color w:val="202122"/>
          <w:sz w:val="22"/>
          <w:szCs w:val="22"/>
          <w:lang w:val="en-GB"/>
        </w:rPr>
        <w:t xml:space="preserve"> </w:t>
      </w:r>
      <w:r w:rsidRPr="1AF266CE" w:rsidR="270FBF9E">
        <w:rPr>
          <w:rFonts w:ascii="Calibri" w:hAnsi="Calibri" w:eastAsia="Calibri" w:cs="Calibri"/>
          <w:b w:val="0"/>
          <w:bCs w:val="0"/>
          <w:i w:val="0"/>
          <w:iCs w:val="0"/>
          <w:caps w:val="0"/>
          <w:smallCaps w:val="0"/>
          <w:noProof w:val="0"/>
          <w:color w:val="202122"/>
          <w:sz w:val="22"/>
          <w:szCs w:val="22"/>
          <w:lang w:val="en-GB"/>
        </w:rPr>
        <w:t>containing</w:t>
      </w:r>
      <w:r w:rsidRPr="1AF266CE" w:rsidR="270FBF9E">
        <w:rPr>
          <w:rFonts w:ascii="Calibri" w:hAnsi="Calibri" w:eastAsia="Calibri" w:cs="Calibri"/>
          <w:b w:val="0"/>
          <w:bCs w:val="0"/>
          <w:i w:val="0"/>
          <w:iCs w:val="0"/>
          <w:caps w:val="0"/>
          <w:smallCaps w:val="0"/>
          <w:noProof w:val="0"/>
          <w:color w:val="202122"/>
          <w:sz w:val="22"/>
          <w:szCs w:val="22"/>
          <w:lang w:val="en-GB"/>
        </w:rPr>
        <w:t xml:space="preserve"> explicit links to the four purposes of the Curriculum for Wales (2022), ensuring that children are healthy confident individuals, ambitious capable learners, ethical informed citizens and are enterprising creative contributors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BigBocsBwyd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According to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BigBocs</w:t>
      </w:r>
      <w:r w:rsidRPr="1AF266CE" w:rsidR="03043DCA">
        <w:rPr>
          <w:rFonts w:ascii="Calibri" w:hAnsi="Calibri" w:eastAsia="Calibri" w:cs="Calibri"/>
          <w:b w:val="0"/>
          <w:bCs w:val="0"/>
          <w:i w:val="0"/>
          <w:iCs w:val="0"/>
          <w:caps w:val="0"/>
          <w:smallCaps w:val="0"/>
          <w:noProof w:val="0"/>
          <w:color w:val="000000" w:themeColor="text1" w:themeTint="FF" w:themeShade="FF"/>
          <w:sz w:val="22"/>
          <w:szCs w:val="22"/>
          <w:lang w:val="en-GB"/>
        </w:rPr>
        <w:t>B</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wyd (2021) every child will become food literate by growing,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cooking</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learning about food. The food literacy centre (2015) defines food literacy as understanding the impact of your food choices on your health, the environment, and our economy. According to Big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Bocs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Bwyd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recently, the definition has been broadened and described as ‘a collection of inter-related knowledge, skills and behaviours required to plan, manage, select, prepare and eat foods to meet needs and determine food intake’. </w:t>
      </w:r>
    </w:p>
    <w:p xmlns:wp14="http://schemas.microsoft.com/office/word/2010/wordml" w:rsidP="1AF266CE" w14:paraId="2C2CD50B" wp14:textId="32C5F45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By being food literate, this allows children to understand where their food comes from, they can learn how to store food correctly, have a positive relationship with food, enable them to make informed food choices and have a better understanding of food and nutrition groups (BigBocsBwyd, 2021). According to a review written by Cambridge University Press (2014), enhancing food literacy in adolescence may enhance people's food abilities and encourage healthier eating habits (Garnett, 2013). This is especially important because a</w:t>
      </w:r>
      <w:r w:rsidRPr="1AF266CE" w:rsidR="270FBF9E">
        <w:rPr>
          <w:rFonts w:ascii="Calibri" w:hAnsi="Calibri" w:eastAsia="Calibri" w:cs="Calibri"/>
          <w:b w:val="0"/>
          <w:bCs w:val="0"/>
          <w:i w:val="0"/>
          <w:iCs w:val="0"/>
          <w:caps w:val="0"/>
          <w:smallCaps w:val="0"/>
          <w:noProof w:val="0"/>
          <w:color w:val="2A2A2A"/>
          <w:sz w:val="22"/>
          <w:szCs w:val="22"/>
          <w:lang w:val="en-GB"/>
        </w:rPr>
        <w:t xml:space="preserve">ccording to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Beynon and Bailey (2019) i</w:t>
      </w:r>
      <w:r w:rsidRPr="1AF266CE" w:rsidR="270FBF9E">
        <w:rPr>
          <w:rFonts w:ascii="Calibri" w:hAnsi="Calibri" w:eastAsia="Calibri" w:cs="Calibri"/>
          <w:b w:val="0"/>
          <w:bCs w:val="0"/>
          <w:i w:val="0"/>
          <w:iCs w:val="0"/>
          <w:caps w:val="0"/>
          <w:smallCaps w:val="0"/>
          <w:noProof w:val="0"/>
          <w:color w:val="2A2A2A"/>
          <w:sz w:val="22"/>
          <w:szCs w:val="22"/>
          <w:lang w:val="en-GB"/>
        </w:rPr>
        <w:t xml:space="preserve">n Wales, approximately one in eight children is already obese by the age of 4–5 years old. By becoming food literate, children will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learn how to plan their own nutritionally balanced meals enabling them to maintain a healthy weight (BigBocsBwyd, 2021). </w:t>
      </w:r>
    </w:p>
    <w:p xmlns:wp14="http://schemas.microsoft.com/office/word/2010/wordml" w:rsidP="1AF266CE" w14:paraId="694AC53E" wp14:textId="57B1650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202122"/>
          <w:sz w:val="22"/>
          <w:szCs w:val="22"/>
          <w:lang w:val="en-GB"/>
        </w:rPr>
        <w:t xml:space="preserve">Arshad, R. (p.3, 2012) contends that teachers who are involved in social justice issues are better able to provide students with a challenging academic education that equips them to be self-assured individuals and valuable members of both the wider community and the workforce.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As school A have a higher average percentage of FSM in Wales, presenting the school with the BBB proposal will be beneficial to target the social justice issues of food poverty within the community.</w:t>
      </w:r>
      <w:r w:rsidRPr="1AF266CE" w:rsidR="270FBF9E">
        <w:rPr>
          <w:rFonts w:ascii="Calibri" w:hAnsi="Calibri" w:eastAsia="Calibri" w:cs="Calibri"/>
          <w:b w:val="0"/>
          <w:bCs w:val="0"/>
          <w:i w:val="0"/>
          <w:iCs w:val="0"/>
          <w:caps w:val="0"/>
          <w:smallCaps w:val="0"/>
          <w:noProof w:val="0"/>
          <w:color w:val="202122"/>
          <w:sz w:val="22"/>
          <w:szCs w:val="22"/>
          <w:lang w:val="en-GB"/>
        </w:rPr>
        <w:t xml:space="preserve"> Westwater (2021) defines food poverty as individuals who have insufficient funds to purchase adequate nutritious food, struggle to obtain it because it is not easily accessible in their community, or experience both. Due to a rapid shift in their personal circumstances, it may affect someone for a short while or be a long-term problem in their life.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According to the 2022 edition of The Status of Food Security and Nutrition in the World (SOFI) report, 828 million people experienced hunger in 2021, an increase of 46 million people (Soken-Huberty, 2022).</w:t>
      </w:r>
    </w:p>
    <w:p xmlns:wp14="http://schemas.microsoft.com/office/word/2010/wordml" w:rsidP="1AF266CE" w14:paraId="6C5F94F9" wp14:textId="6A23AFE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In 2021-22, the National survey included questions on food poverty in Wales. The results presented in th</w:t>
      </w:r>
      <w:r w:rsidRPr="1AF266CE" w:rsidR="7D8780F0">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 cover the year April 2021 to March 2022, a period before the start of the current ‘cost of living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crisis’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results showed that 2% of households used a foodbank in the last 12 months. A further 1% admitted they wanted to use a foodbank. Of those who had used a food bank, 71% used them </w:t>
      </w:r>
      <w:r w:rsidRPr="1AF266CE" w:rsidR="75D9A212">
        <w:rPr>
          <w:rFonts w:ascii="Calibri" w:hAnsi="Calibri" w:eastAsia="Calibri" w:cs="Calibri"/>
          <w:b w:val="0"/>
          <w:bCs w:val="0"/>
          <w:i w:val="0"/>
          <w:iCs w:val="0"/>
          <w:caps w:val="0"/>
          <w:smallCaps w:val="0"/>
          <w:noProof w:val="0"/>
          <w:color w:val="000000" w:themeColor="text1" w:themeTint="FF" w:themeShade="FF"/>
          <w:sz w:val="22"/>
          <w:szCs w:val="22"/>
          <w:lang w:val="en-GB"/>
        </w:rPr>
        <w:t>1-</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 times, 12% </w:t>
      </w:r>
      <w:r w:rsidRPr="1AF266CE" w:rsidR="1B61982E">
        <w:rPr>
          <w:rFonts w:ascii="Calibri" w:hAnsi="Calibri" w:eastAsia="Calibri" w:cs="Calibri"/>
          <w:b w:val="0"/>
          <w:bCs w:val="0"/>
          <w:i w:val="0"/>
          <w:iCs w:val="0"/>
          <w:caps w:val="0"/>
          <w:smallCaps w:val="0"/>
          <w:noProof w:val="0"/>
          <w:color w:val="000000" w:themeColor="text1" w:themeTint="FF" w:themeShade="FF"/>
          <w:sz w:val="22"/>
          <w:szCs w:val="22"/>
          <w:lang w:val="en-GB"/>
        </w:rPr>
        <w:t>used them 6-</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10 times, and 17% more than 10 times in the last 12 months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8% of persons missed meals or ate smaller portions in the previous two weeks, with 22% of those who did so blaming financial difficulties. 4% of participants reported not eating a substantial meal at least once in the previous two weeks, and 35% of this group claimed they were unable to pay for a meal of this quality (Welsh Government, 2023). The depth of food poverty in the </w:t>
      </w:r>
      <w:bookmarkStart w:name="_Int_wLZtiJJ4" w:id="554996641"/>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U</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K</w:t>
      </w:r>
      <w:bookmarkEnd w:id="554996641"/>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being revealed by the cost-of-living crisis. As food costs rise, millions of people are being forced below the poverty line, with many of them unable to feed both themselves and their families. The price of food grew by 16.7% in the 12 months leading up to January 2023. The price of necessities is rising at extraordinarily fast rates, reaching a 45-year high. Between April and September of last year, the Trussell Trust received a record number of requests for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assistance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forcing 320,000 people to use the organisation's food banks. That is an increase of 40% from the previous year. Families are having to decide between heating or eating and parents are giving up their meals for their children to be fed. (Westwater, 2021) (BBC Food, 2022). These statistics show the importance of having a facility like BBB and the positive impact that it would have on the school and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community as a whole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Grangetown Nursery</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School case study solidifies the importance of having a BBB within the community by explaining one benefit is that it ensures that with the help of the BBC project, families within their community have all they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require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care for their families. </w:t>
      </w:r>
    </w:p>
    <w:p xmlns:wp14="http://schemas.microsoft.com/office/word/2010/wordml" w:rsidP="1AF266CE" w14:paraId="41095DD0" wp14:textId="5CDA0C8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According to the report The Status of the World's Children 2019 finds that more than 200 million children under the age of five are either undernourished or overweight. Between the ages of six months and two years, almost 2 in 3 children do not receive the nutrition they need to m</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aintain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their fast-developing bodies and brains. Because of this, they run the danger of having delayed brain development, poor learning, low immunity, more illnesses, and, in many cases, death (UNICEF, 2019). This statistic shows how fundamental it is to have a facility such as the BBB within the community as the project allows children to be food literate and educate themselves on healthy lifestyle and eating choices. The food within the BBB will also help promote heathier eating habits to help limit the amount of undernourished or overweight children and families there are within the community. </w:t>
      </w:r>
    </w:p>
    <w:p xmlns:wp14="http://schemas.microsoft.com/office/word/2010/wordml" w:rsidP="1AF266CE" w14:paraId="586550BA" wp14:textId="7E612D11">
      <w:pPr>
        <w:spacing w:after="160" w:line="259" w:lineRule="auto"/>
        <w:jc w:val="left"/>
        <w:rPr>
          <w:rFonts w:ascii="Calibri" w:hAnsi="Calibri" w:eastAsia="Calibri" w:cs="Calibri"/>
          <w:b w:val="0"/>
          <w:bCs w:val="0"/>
          <w:i w:val="0"/>
          <w:iCs w:val="0"/>
          <w:caps w:val="0"/>
          <w:smallCaps w:val="0"/>
          <w:noProof w:val="0"/>
          <w:color w:val="222526"/>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the BBB in place within school A’s community, this will ensure that young people and people across the community will learn to become food literate enabling them to make healthier choices and have a local facility where food will be available at an affordable cost. </w:t>
      </w:r>
      <w:r w:rsidRPr="1AF266CE" w:rsidR="270FBF9E">
        <w:rPr>
          <w:rFonts w:ascii="Calibri" w:hAnsi="Calibri" w:eastAsia="Calibri" w:cs="Calibri"/>
          <w:b w:val="0"/>
          <w:bCs w:val="0"/>
          <w:i w:val="0"/>
          <w:iCs w:val="0"/>
          <w:caps w:val="0"/>
          <w:smallCaps w:val="0"/>
          <w:noProof w:val="0"/>
          <w:color w:val="222526"/>
          <w:sz w:val="22"/>
          <w:szCs w:val="22"/>
          <w:lang w:val="en-GB"/>
        </w:rPr>
        <w:t xml:space="preserve">Daniel Jones (2022), who is a curriculum lead at the </w:t>
      </w:r>
      <w:r w:rsidRPr="1AF266CE" w:rsidR="270FBF9E">
        <w:rPr>
          <w:rFonts w:ascii="Calibri" w:hAnsi="Calibri" w:eastAsia="Calibri" w:cs="Calibri"/>
          <w:b w:val="0"/>
          <w:bCs w:val="0"/>
          <w:i w:val="0"/>
          <w:iCs w:val="0"/>
          <w:caps w:val="0"/>
          <w:smallCaps w:val="0"/>
          <w:noProof w:val="0"/>
          <w:color w:val="222526"/>
          <w:sz w:val="22"/>
          <w:szCs w:val="22"/>
          <w:highlight w:val="black"/>
          <w:lang w:val="en-GB"/>
        </w:rPr>
        <w:t>Clase Primary</w:t>
      </w:r>
      <w:r w:rsidRPr="1AF266CE" w:rsidR="270FBF9E">
        <w:rPr>
          <w:rFonts w:ascii="Calibri" w:hAnsi="Calibri" w:eastAsia="Calibri" w:cs="Calibri"/>
          <w:b w:val="0"/>
          <w:bCs w:val="0"/>
          <w:i w:val="0"/>
          <w:iCs w:val="0"/>
          <w:caps w:val="0"/>
          <w:smallCaps w:val="0"/>
          <w:noProof w:val="0"/>
          <w:color w:val="222526"/>
          <w:sz w:val="22"/>
          <w:szCs w:val="22"/>
          <w:lang w:val="en-GB"/>
        </w:rPr>
        <w:t xml:space="preserve"> school, a school who have already implemented the BBB has said: “Sometimes there is a stigma attached to food share and food banks but it’s a way parents and families can pay what they feel for it” (Sun, 2022). One case study that supports the use of BBB would be </w:t>
      </w:r>
      <w:r w:rsidRPr="1AF266CE" w:rsidR="270FBF9E">
        <w:rPr>
          <w:rFonts w:ascii="Calibri" w:hAnsi="Calibri" w:eastAsia="Calibri" w:cs="Calibri"/>
          <w:b w:val="0"/>
          <w:bCs w:val="0"/>
          <w:i w:val="0"/>
          <w:iCs w:val="0"/>
          <w:caps w:val="0"/>
          <w:smallCaps w:val="0"/>
          <w:noProof w:val="0"/>
          <w:color w:val="222526"/>
          <w:sz w:val="22"/>
          <w:szCs w:val="22"/>
          <w:highlight w:val="black"/>
          <w:lang w:val="en-GB"/>
        </w:rPr>
        <w:t>Cadaxton</w:t>
      </w:r>
      <w:r w:rsidRPr="1AF266CE" w:rsidR="270FBF9E">
        <w:rPr>
          <w:rFonts w:ascii="Calibri" w:hAnsi="Calibri" w:eastAsia="Calibri" w:cs="Calibri"/>
          <w:b w:val="0"/>
          <w:bCs w:val="0"/>
          <w:i w:val="0"/>
          <w:iCs w:val="0"/>
          <w:caps w:val="0"/>
          <w:smallCaps w:val="0"/>
          <w:noProof w:val="0"/>
          <w:color w:val="222526"/>
          <w:sz w:val="22"/>
          <w:szCs w:val="22"/>
          <w:lang w:val="en-GB"/>
        </w:rPr>
        <w:t xml:space="preserve"> Primary. They explain the benefits of their BBB include that they have a closer relationship with the community, their families have developed an understanding of healthy eating by becoming food literate and by having the BBB it has created </w:t>
      </w:r>
      <w:r w:rsidRPr="1AF266CE" w:rsidR="270FBF9E">
        <w:rPr>
          <w:rFonts w:ascii="Calibri" w:hAnsi="Calibri" w:eastAsia="Calibri" w:cs="Calibri"/>
          <w:b w:val="0"/>
          <w:bCs w:val="0"/>
          <w:i w:val="0"/>
          <w:iCs w:val="0"/>
          <w:caps w:val="0"/>
          <w:smallCaps w:val="0"/>
          <w:noProof w:val="0"/>
          <w:color w:val="222526"/>
          <w:sz w:val="22"/>
          <w:szCs w:val="22"/>
          <w:lang w:val="en-GB"/>
        </w:rPr>
        <w:t>a central place</w:t>
      </w:r>
      <w:r w:rsidRPr="1AF266CE" w:rsidR="270FBF9E">
        <w:rPr>
          <w:rFonts w:ascii="Calibri" w:hAnsi="Calibri" w:eastAsia="Calibri" w:cs="Calibri"/>
          <w:b w:val="0"/>
          <w:bCs w:val="0"/>
          <w:i w:val="0"/>
          <w:iCs w:val="0"/>
          <w:caps w:val="0"/>
          <w:smallCaps w:val="0"/>
          <w:noProof w:val="0"/>
          <w:color w:val="222526"/>
          <w:sz w:val="22"/>
          <w:szCs w:val="22"/>
          <w:lang w:val="en-GB"/>
        </w:rPr>
        <w:t xml:space="preserve"> within the community where you will be greeted with a friendly face and a smile. The BBB project enables children to have authentic learning experiences. Power (2010) explains the importance of authentic learning as children learn in a deeper and more meaningful way because authentic learning is connected to real life experiences and values. </w:t>
      </w:r>
    </w:p>
    <w:p xmlns:wp14="http://schemas.microsoft.com/office/word/2010/wordml" w:rsidP="1AF266CE" w14:paraId="68F6FDC2" wp14:textId="12D8E8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core purpose of this initiative is a goal and a passion to create community. My aims for implementing the BBB within school A’s community is to support everyone to lead a healthy lifestyle and address the sustainable goals of No Poverty, Zero Hunger, Quality Education and Good Health. The aim of the project is to help families to make friends and get involved in community projects and want to offer opportunities for education, volunteering and employment. For a lot of families, poverty is still a major problem, and this number is astronomically high. As a result, having a BBB on site guarantees that there is a place within school A’s community to turn to in times of need. With the BBB in place the aim is that no family will go hungry, no parent will feel isolated, and every family will have access to reasonably priced nutritious meals. The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Grangetown</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Nursery case study explains how it is imperative that children are food literate, this a belief of my own and an addition to the aims of why I want to implement BBB within school A’s community. An outcome I would hope to see from implementing this project within school A’s community is an increase in food literacy throughout the community. This is because Jung et al (2019) explains that having a school-based project that promotes healthy eating will help children raise the value of good health and nutrition, will help them identify the benefits of adopting healthy eating patterns, will provide children with hands on experiences and will develop children’s practical skills for reading food labels to help make healthier food choices.  The intended impact I would like the BBB to have </w:t>
      </w:r>
      <w:bookmarkStart w:name="_Int_rNPgrcPq" w:id="323130794"/>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is</w:t>
      </w:r>
      <w:bookmarkEnd w:id="323130794"/>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positive impact throughout the school and community. The </w:t>
      </w:r>
      <w:r w:rsidRPr="1AF266CE" w:rsidR="6D958B29">
        <w:rPr>
          <w:rFonts w:ascii="Calibri" w:hAnsi="Calibri" w:eastAsia="Calibri" w:cs="Calibri"/>
          <w:b w:val="0"/>
          <w:bCs w:val="0"/>
          <w:i w:val="0"/>
          <w:iCs w:val="0"/>
          <w:caps w:val="0"/>
          <w:smallCaps w:val="0"/>
          <w:noProof w:val="0"/>
          <w:color w:val="000000" w:themeColor="text1" w:themeTint="FF" w:themeShade="FF"/>
          <w:sz w:val="22"/>
          <w:szCs w:val="22"/>
          <w:lang w:val="en-GB"/>
        </w:rPr>
        <w:t>focus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that the BBB is for the school,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pupils and the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community as a whole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AF266CE" w14:paraId="23141A87" wp14:textId="582C4E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This project will be implemented firstly by going to school A and presenting the BBB project to the headteacher. As this was my PTE school, I know that my aims for this project have similar values to the aims of school A, therefore I am confident that this is a project that will have a positive impact and be taken on board. According to the report written by Estyn about school A they describe the headteacher as having a clear and purposeful vision for the school and its curriculum. All at the school successfully understand this vision, and as a result, they work together as a community (Estyn, 2020). This emphasises that School A work together and would thrive with a project like the BBB. The next step would be to share the vision with all staff within school A and begin contacting local supermarkets to see what support they can offer. School A can use their twitter account to help spread awareness across social media accounts to draw in the community. School A must create a team of staff members and volunteers within the school community, those who share the vision of the BBB. Lastly, school A must plan who will oversee the BBB, such as parent volunteers or leads for community engagement. The facilities within school A are excellent and would be an ideal space to begin setting up a project like the BBB. There are many benefits of implementing the BBB project within school A’s community, however, there are some considerations.</w:t>
      </w:r>
    </w:p>
    <w:p xmlns:wp14="http://schemas.microsoft.com/office/word/2010/wordml" w:rsidP="1AF266CE" w14:paraId="51DB2774" wp14:textId="1B5429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internal barrier could be the limited amount of staffing available. A project like BBB will require a lot of staff and volunteers to initially set up. A solution to this could be to ask for volunteers from year 5/6 classes as this would be a good opportunity for them to have authentic learning experiences. Budget and funding </w:t>
      </w:r>
      <w:bookmarkStart w:name="_Int_nJSaavd7" w:id="205308564"/>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is</w:t>
      </w:r>
      <w:bookmarkEnd w:id="205308564"/>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possible external barrier that may be faced. This is since BBB requires storage for food to be kept in which will come at an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cost. A solution to this could be fundraising. Examples of this could include year 5/6 pupils washing the cars of people in the community, bake sale, money buckets being places in local supermarkets for donations, raffles, school festival etc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Schoolmoney</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p>
    <w:p xmlns:wp14="http://schemas.microsoft.com/office/word/2010/wordml" w:rsidP="1AF266CE" w14:paraId="0D665429" wp14:textId="1C667CC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essential to measure the impact when creating a proposal to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determine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 much progress has been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accomplished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are four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different types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assessment; diagnostic, summative, formative, and interim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TeachThought</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 Measuring impact for school A’s learners and the community within the BBB project will be </w:t>
      </w:r>
      <w:r w:rsidRPr="1AF266CE" w:rsidR="701ADA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formative</w:t>
      </w:r>
      <w:r w:rsidRPr="1AF266CE" w:rsidR="411EC7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assessment</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because I will be measuring the impact </w:t>
      </w:r>
      <w:r w:rsidRPr="1AF266CE" w:rsidR="521A77D5">
        <w:rPr>
          <w:rFonts w:ascii="Calibri" w:hAnsi="Calibri" w:eastAsia="Calibri" w:cs="Calibri"/>
          <w:b w:val="0"/>
          <w:bCs w:val="0"/>
          <w:i w:val="0"/>
          <w:iCs w:val="0"/>
          <w:caps w:val="0"/>
          <w:smallCaps w:val="0"/>
          <w:noProof w:val="0"/>
          <w:color w:val="000000" w:themeColor="text1" w:themeTint="FF" w:themeShade="FF"/>
          <w:sz w:val="22"/>
          <w:szCs w:val="22"/>
          <w:lang w:val="en-GB"/>
        </w:rPr>
        <w:t>throughout</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BBB project. According to Paul Black and Dylan Wiliam's (1998) research, in the UK, pupils who learn in a formative manner in schools outperform other students in terms of learning and performance. T</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hey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demonstrated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potential of </w:t>
      </w:r>
      <w:bookmarkStart w:name="_Int_fF3nflYT" w:id="874560580"/>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AFL</w:t>
      </w:r>
      <w:bookmarkEnd w:id="874560580"/>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boosting the teaching-learning process in their book The Black Box: Raising Standards via Classroom Assessment. (</w:t>
      </w:r>
      <w:r w:rsidRPr="1AF266CE" w:rsidR="270FBF9E">
        <w:rPr>
          <w:rFonts w:ascii="Calibri" w:hAnsi="Calibri" w:eastAsia="Calibri" w:cs="Calibri"/>
          <w:b w:val="0"/>
          <w:bCs w:val="0"/>
          <w:i w:val="0"/>
          <w:iCs w:val="0"/>
          <w:caps w:val="0"/>
          <w:smallCaps w:val="0"/>
          <w:noProof w:val="0"/>
          <w:color w:val="222222"/>
          <w:sz w:val="22"/>
          <w:szCs w:val="22"/>
          <w:lang w:val="en-GB"/>
        </w:rPr>
        <w:t xml:space="preserve">Black, P., &amp; Wiliam, D. 2006).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Formative assessment is commonly referred to as assessment for learning or AFL. The Welsh Government have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 use of assessment for learning accelerates progress (Welsh Government, 2022). </w:t>
      </w:r>
      <w:r w:rsidRPr="1AF266CE" w:rsidR="4F6D4CA6">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ccording to Black and William (2009) key features of formative assessment include where the learner is going, where the learner is and how to get there.</w:t>
      </w:r>
    </w:p>
    <w:p xmlns:wp14="http://schemas.microsoft.com/office/word/2010/wordml" w:rsidP="1AF266CE" w14:paraId="6461ABA2" wp14:textId="3ADAD8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Within my BBB project, impact will need to be measured from how much progression the children, parents and the community have made from using the BBB. I will do this by creating a survey/questionnaire for staff, pupils and members of the community and beyond to share their feedback on the BBB. The survey will include questions to measure how much progression has been made in terms of have people across the community began to be more food literate? How do they think we can improve their knowledge? What else would they like the BBB to have in terms of stock and accessibility, opening times etc. How many times have they used the BBB? How has implementing the BBB within their community made them feel? What positives and negatives have they found from using and having a BBB within the community? Do they feel the school-community relationship has been strengthened? Any further suggestions? Creating a survey/questionnaire is a form of collecting qualitive and quantitative data. McLeod (2022) describes the differences of qualitative and quantitative data as qualitative data is descriptive and focuses on elements that can be seen but not measured, such as language, quantitative data is information about quantities, and therefore, numbers.</w:t>
      </w:r>
    </w:p>
    <w:p xmlns:wp14="http://schemas.microsoft.com/office/word/2010/wordml" w:rsidP="1AF266CE" w14:paraId="7F1E28F7" wp14:textId="4CC034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Ethics are sets of moral principles or norms that are used to guide moral choices of behaviour and relationships with others (D Gray, 2018). We need to consider ethics as provided by BERA (2018). The participants in your research have the right to privacy. This is achieved through ensuring you manage your research data with confidentiality and anonymity in mind. Taking this into consideration the survey/questionnaire will be anonymised to ensure that the results are reliable. It is important to note that there is often stigma attached to admitting issues around money and/or food. As such, parents may be embarrassed to admit they may be struggling, even in an anonymous survey (BigBocsBwyd Evaluation, 2021). This will be taken into consideration when collecting the final data. </w:t>
      </w:r>
    </w:p>
    <w:p xmlns:wp14="http://schemas.microsoft.com/office/word/2010/wordml" w:rsidP="1AF266CE" w14:paraId="331BD66E" wp14:textId="541654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School A can refer to their school development plan (SDP) when measuring the impact of the BBB. The SDP should clearly and concisely summarise the school's priorities, the primary steps it will take to increase standards, the resources allocated to these efforts, and the important outcomes and goals it hopes to accomplish (Education, 2015). Within the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Pontardulais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 study ‘Working whispers’, they refer to the Welsh Government (2014) SDP guidance stating that SDPs ought to be treated as active documents that are continuously tracked throughout the development cycle and formally evaluated and changed at least once a year. Every year or after an Estyn inspection, the governing body shall monitor, assess, and amend the school development plan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(Pontardulais</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 Study) (Welsh Government, 2014). By referring to the SDP, school A will be able to complete the following four stages; self-evaluation, strategic planning, making improvement and reviewing impact. The four stages can be reviewed by collecting the qualitive and quantitative data from the survey/questionnaire that is completed. Another way school A can measure impact is by referring to the Leuven scale. This will help measure involvement within the BBB project and target the possible internal weakness of pupil motivation (LearningJournals, 2021).</w:t>
      </w:r>
    </w:p>
    <w:p xmlns:wp14="http://schemas.microsoft.com/office/word/2010/wordml" w:rsidP="1AF266CE" w14:paraId="3642A397" wp14:textId="20E238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To evaluate my BBB project, I have created a SWOT analysis (see appendix 1). Visual Paradigm (2019) define a SWOT analysis as a structured planning process that assesses the four aspects of a company, project, or commercial endeavour. SWOT is an abbreviation for Strengths, Weaknesses, Opportunities, and Threats.</w:t>
      </w:r>
    </w:p>
    <w:p xmlns:wp14="http://schemas.microsoft.com/office/word/2010/wordml" w:rsidP="1AF266CE" w14:paraId="34F8DBF3" wp14:textId="2C6E95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An example of an internal</w:t>
      </w:r>
      <w:r w:rsidRPr="1AF266CE" w:rsidR="5F9DA8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strength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within school A is the enthusiasm of staff and their ambition to engage with the community. Whilst I was out on PTE the staff were constantly having discussions with one another about how else they can engage with the community. They already hold coffee mornings on a Friday and invite parents to toddler groups within their nursery department etc. Having a BBB project within school A will only strengthen that connection already made within the school and the community. This is important because family and community engagement is one of the four themes of Rewriting the future: Raising ambition and attainment in Welsh schools (2014), the Welsh Government’s programme for raising the educational attainment of children from deprived communities (Welsh Government, 2016). The Welsh Government (2016) state that schools are an integral element of a network of statutory, voluntary, and private organisations that support and service the community. School </w:t>
      </w:r>
      <w:bookmarkStart w:name="_Int_sVtXocqH" w:id="1678527608"/>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678527608"/>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recognised with an excellent Estyn report (Estyn, 2020) (see appendix 2), the BBB proposal will only enhance and continue the effective practice.</w:t>
      </w:r>
    </w:p>
    <w:p xmlns:wp14="http://schemas.microsoft.com/office/word/2010/wordml" w:rsidP="1AF266CE" w14:paraId="1AB7D1F1" wp14:textId="30374C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 example of an external opportunity that the BBB project would implement would be the strengthening of the relationship between the school and community. This is because the BBB is implemented from the school for the community and would require volunteers from within the community to help make the BBB a success. Estyn (2020) explains the importance of the relationship between the school and community by stating that the influence that effective parental and family engagement has on achievement and wellbeing is discussed in research and effective practise studies, including those by Estyn. Effective family involvement is "the most powerful school improvement lever we have," according to Harris and Goodall (2007, p. 70) (Estyn, 2020). A case study by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Oakfield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solidified this opportunity by stating that the implementation of their BBB enabled stronger and positive relationships between their school, parents and wider community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Oakfield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 Study). Another external opportunity provided by the BBB project would be the opportunity to further develop the four purposes throughout the school. Through implementing the BBB project, this will allow parents to engage with their child's learning. Rowlands, M (2018) states that it is widely acknowledged that parental support can significantly affect students' achievement (Welsh Government, 2018). The Welsh Government (2018) states that parents are increasingly being involved in schools in better ways. The best schools use a well-organized, structured strategy that considers the choices of the parents and satisfies the demands of all parents. A guaranteed place within the community that families can turn to is another opportunity that the BBB project would provide. The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Cadaxton</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school case study states that this was a benefit that they saw once they had implemented their BBB within their community. They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it reduced the amount of social isolation that was occurring within their community as there was now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a central place</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within the community where you would always be greeted with a friendly smile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Cadaxton</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 Study). </w:t>
      </w:r>
    </w:p>
    <w:p xmlns:wp14="http://schemas.microsoft.com/office/word/2010/wordml" w:rsidP="1AF266CE" w14:paraId="786F6AFD" wp14:textId="1F817B6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Despite the many strengths and opportunities that the BBB project would provide, it is essential to consider some barriers that may occur. As well as the lack of staff, as mentioned previously, another internal barrier could be the lack of pupil motivation towards the BBB project. Kelly (2020) states that negative experiences can make children less motivated to attempt new things later on. This research may give an indication as to why some children may not be motivated to take part in this project. If children have not been brought up surrounding a positive relationship with food or healthy eating habits, perhaps this is a barrier to consider as to why some children will not be motivated to take part. A solution to this barrier would be for teachers to provide those positive experiences for the children within their classroom and promote food literacy and positive food relationships. Once motivated to take part in the BBB project, children will be able to gain the benefits from taking part, including having the chance to experience real-life authentic learning opportunities.</w:t>
      </w:r>
    </w:p>
    <w:p xmlns:wp14="http://schemas.microsoft.com/office/word/2010/wordml" w:rsidP="1AF266CE" w14:paraId="0D7C232C" wp14:textId="6C1D94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well as budget, an external barrier discussed previously, another external barrier that may be faced is getting others around you to believe in what you are doing. A solution to that is to share the aims and values of why the project is being implemented and to further support the project, share the statists of people living in food poverty and how the increase of essential items due to the current ‘cost of living crisis’ has impacted people across Wales, for example, how the price of food grew by 16.7% in the 12 months leading up to January 2023 (Westwater, 2021). Another external barrier that could impact the project is lack of engagement from the community. A solution to this would be to gather as many volunteers as possible to help spread the aims and values and the importance of implementing this BBB project in the hope that others will share similar morals. Another solution could be to promote the BBB project across the school’s social media accounts in order to attract engagement from people within the wider community and beyond. </w:t>
      </w:r>
    </w:p>
    <w:p xmlns:wp14="http://schemas.microsoft.com/office/word/2010/wordml" w:rsidP="1AF266CE" w14:paraId="7AD2034A" wp14:textId="4322C3D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conclude, this assignment has strengthened my belief of the importance of school-community relationships. The importance of working with families, the community and a range of partners and agencies was reinforced in several Estyn reports. These include the 2012 report on effective practice in tackling poverty and disadvantage in schools (Estyn, 2012) and the HMCI Annual Report (2012/13) (Estyn, 2013) (Estyn, 2020). After researching the benefits of school-community partnerships, it has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impacted</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 I will implement these relationships of my own in my future practice. This is because with a strong school-community partnership connections have been found to help reduce the achievement gap between disadvantaged students and more privileged students and boost educational standards (Optimus Education Blog, 2022). As a practitioner I will be aiming to meet the professional standards (QTS) through the creation of a school community project. The main professional standard within this focus is professional learning, strand professional networks and communities (Welsh Government, 2017). I am meeting this through having exceeded expectation within this standard whilst out on PTE within school A and will use the information gained throughout this assignment to continue my effective practice.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takes a whole village to raise a child.” </w:t>
      </w:r>
      <w:r w:rsidRPr="1AF266CE" w:rsidR="270FBF9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AF266CE" w:rsidR="270FBF9E">
        <w:rPr>
          <w:rFonts w:ascii="Calibri" w:hAnsi="Calibri" w:eastAsia="Calibri" w:cs="Calibri"/>
          <w:b w:val="0"/>
          <w:bCs w:val="0"/>
          <w:i w:val="0"/>
          <w:iCs w:val="0"/>
          <w:caps w:val="0"/>
          <w:smallCaps w:val="0"/>
          <w:noProof w:val="0"/>
          <w:color w:val="000000" w:themeColor="text1" w:themeTint="FF" w:themeShade="FF"/>
          <w:sz w:val="22"/>
          <w:szCs w:val="22"/>
          <w:lang w:val="en-GB"/>
        </w:rPr>
        <w:t>(Welsh Government, 2016).</w:t>
      </w:r>
    </w:p>
    <w:p xmlns:wp14="http://schemas.microsoft.com/office/word/2010/wordml" w:rsidP="1AF266CE" w14:paraId="38EC2579" wp14:textId="3DB4883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References </w:t>
      </w:r>
    </w:p>
    <w:p xmlns:wp14="http://schemas.microsoft.com/office/word/2010/wordml" w:rsidP="1AF266CE" w14:paraId="078FD011" wp14:textId="068C16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Arshad, R (2012).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Social Justice re-examined</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(p.3)</w:t>
      </w:r>
    </w:p>
    <w:p xmlns:wp14="http://schemas.microsoft.com/office/word/2010/wordml" w:rsidP="1AF266CE" w14:paraId="71157366" wp14:textId="5CF59431">
      <w:pPr>
        <w:spacing w:after="160" w:line="25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BERA, (2018) Available at: </w:t>
      </w:r>
      <w:hyperlink r:id="R82b266302fb44a94">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https://www.bera.ac.uk/publications/ethical-guidelines-for-education-research-2018</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17/03/23)</w:t>
      </w:r>
    </w:p>
    <w:p xmlns:wp14="http://schemas.microsoft.com/office/word/2010/wordml" w:rsidP="1AF266CE" w14:paraId="57CB36A5" wp14:textId="229C24F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Black and William (1998)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Formative Assessment: Tracking Student Learning in Real Time</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w:anchor=":~:text=Formative%20assessment%20has%20consistently%20been%20associated%20with%20improved,shows%20conclusively%20that%20formative%20assessment%20does%20improve%20learning" r:id="Raad90e4fe3ed411f">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https://www.activelylearn.com/post/formative-assessment-tracking-student-learning-in-real-time#:~:text=Formative%20assessment%20has%20consistently%20been%20associated%20with%20improved,shows%20conclusively%20that%20formative%20assessment%20does%20improve%20learning</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1D235F81" wp14:textId="2F80504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Black and William (2009) </w:t>
      </w:r>
      <w:r w:rsidRPr="1AF266CE" w:rsidR="26C70338">
        <w:rPr>
          <w:rFonts w:ascii="Calibri" w:hAnsi="Calibri" w:eastAsia="Calibri" w:cs="Calibri"/>
          <w:b w:val="0"/>
          <w:bCs w:val="0"/>
          <w:i w:val="1"/>
          <w:iCs w:val="1"/>
          <w:caps w:val="0"/>
          <w:smallCaps w:val="0"/>
          <w:noProof w:val="0"/>
          <w:color w:val="111111"/>
          <w:sz w:val="22"/>
          <w:szCs w:val="22"/>
          <w:lang w:val="en-GB"/>
        </w:rPr>
        <w:t xml:space="preserve">Key aspects of formative </w:t>
      </w:r>
      <w:r w:rsidRPr="1AF266CE" w:rsidR="529381FC">
        <w:rPr>
          <w:rFonts w:ascii="Calibri" w:hAnsi="Calibri" w:eastAsia="Calibri" w:cs="Calibri"/>
          <w:b w:val="0"/>
          <w:bCs w:val="0"/>
          <w:i w:val="1"/>
          <w:iCs w:val="1"/>
          <w:caps w:val="0"/>
          <w:smallCaps w:val="0"/>
          <w:noProof w:val="0"/>
          <w:color w:val="111111"/>
          <w:sz w:val="22"/>
          <w:szCs w:val="22"/>
          <w:lang w:val="en-GB"/>
        </w:rPr>
        <w:t>assessment Available</w:t>
      </w:r>
      <w:r w:rsidRPr="1AF266CE" w:rsidR="26C70338">
        <w:rPr>
          <w:rFonts w:ascii="Calibri" w:hAnsi="Calibri" w:eastAsia="Calibri" w:cs="Calibri"/>
          <w:b w:val="0"/>
          <w:bCs w:val="0"/>
          <w:i w:val="0"/>
          <w:iCs w:val="0"/>
          <w:caps w:val="0"/>
          <w:smallCaps w:val="0"/>
          <w:noProof w:val="0"/>
          <w:color w:val="111111"/>
          <w:sz w:val="22"/>
          <w:szCs w:val="22"/>
          <w:lang w:val="en-GB"/>
        </w:rPr>
        <w:t xml:space="preserve"> at: </w:t>
      </w:r>
      <w:hyperlink r:id="R3a6fb71fd892448d">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https://www.researchgate.net/figure/Key-aspects-of-formative-assessment-Black-and-Wiliam-2009_fig3_228098304</w:t>
        </w:r>
      </w:hyperlink>
      <w:r w:rsidRPr="1AF266CE" w:rsidR="26C703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17/03/23)</w:t>
      </w:r>
    </w:p>
    <w:p xmlns:wp14="http://schemas.microsoft.com/office/word/2010/wordml" w:rsidP="1AF266CE" w14:paraId="6EDFB6EC" wp14:textId="61F8DD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Beynon, C. and Bailey, L. (2019). Prevalence of severe childhood obesity in Wales UK.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Journal of Public Health</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42(4). doi:https://doi.org/10.1093/pubmed/fdz137. (Accessed on 15/03/23)</w:t>
      </w:r>
    </w:p>
    <w:p xmlns:wp14="http://schemas.microsoft.com/office/word/2010/wordml" w:rsidP="1AF266CE" w14:paraId="1177B11E" wp14:textId="66DC31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BBC Food.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Food poverty: How to seek (and give) help</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e5a0aaac4cbe4310">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https://www.bbc.co.uk/food/articles/food_poverty</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16/03/23)</w:t>
      </w:r>
    </w:p>
    <w:p xmlns:wp14="http://schemas.microsoft.com/office/word/2010/wordml" w:rsidP="1AF266CE" w14:paraId="457D1BFE" wp14:textId="54EA031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BigBocsBwyd (2021)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Home | Big Bocs Bwyd</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e3f355c187d44d8d">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https://www.bigbocsbwyd.co.uk/</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4EA54055" wp14:textId="56CE744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Big Bocs Bwyd Evaluation (2021)</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-Baseline Phase Project Background.</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1dd77b76df134cfc">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https://bb-live-bucket.s3.eu-west-2.amazonaws.com/resourceFiles/1061657534471.pdf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17/03/23)</w:t>
      </w:r>
    </w:p>
    <w:p xmlns:wp14="http://schemas.microsoft.com/office/word/2010/wordml" w:rsidP="1AF266CE" w14:paraId="20ADF68A" wp14:textId="7A3D4B1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Bronfenbrenner U. (1974). Developmental research, public policy, and the ecology of childhood.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Child Development</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45, 1–5. (Accessed on 17/03/23)</w:t>
      </w:r>
    </w:p>
    <w:p xmlns:wp14="http://schemas.microsoft.com/office/word/2010/wordml" w:rsidP="1AF266CE" w14:paraId="05CE32A7" wp14:textId="4DF1A37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Brennan, G. (2014). Using school space innovatively brings creativity to the curriculum.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The Guardian</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3 Jun. Available at: </w:t>
      </w:r>
      <w:hyperlink r:id="R4947904b03474ceb">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https://www.theguardian.com/teacher-network/zurich-school-competition/school-space-curriculum-benefit-students-community</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17/03/23)</w:t>
      </w:r>
    </w:p>
    <w:p xmlns:wp14="http://schemas.microsoft.com/office/word/2010/wordml" w:rsidP="1AF266CE" w14:paraId="382AF9D8" wp14:textId="6A80FA9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British Educational Research Association (2018).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ETHICAL GUIDELINES FOR EDUCATIONAL RESEARCH</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7241d2c2842943d1">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https://study.sagepub.com/sites/default/files/bera_ethical_guidelines_2018_4th_ed.pdf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16/03/23)</w:t>
      </w:r>
    </w:p>
    <w:p xmlns:wp14="http://schemas.microsoft.com/office/word/2010/wordml" w:rsidP="1AF266CE" w14:paraId="26A60F6D" wp14:textId="60343C2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Birchgrove</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About Us |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highlight w:val="black"/>
          <w:lang w:val="en-GB"/>
        </w:rPr>
        <w:t>Birchgrove</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Primary School | Swansea</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3a79dd3405a44a2e">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b</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i</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rchgroveswansea</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lang w:val="en-GB"/>
          </w:rPr>
          <w:t>.</w:t>
        </w:r>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co.uk/about-us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15/03/23)</w:t>
      </w:r>
    </w:p>
    <w:p xmlns:wp14="http://schemas.microsoft.com/office/word/2010/wordml" w:rsidP="1AF266CE" w14:paraId="35C3ED74" wp14:textId="08C5CF1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Cadaxton</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Case Study. Available at:</w:t>
      </w:r>
      <w:r w:rsidRPr="1AF266CE" w:rsidR="26C70338">
        <w:rPr>
          <w:rFonts w:ascii="Calibri" w:hAnsi="Calibri" w:eastAsia="Calibri" w:cs="Calibri"/>
          <w:b w:val="0"/>
          <w:bCs w:val="0"/>
          <w:i w:val="0"/>
          <w:iCs w:val="0"/>
          <w:caps w:val="0"/>
          <w:smallCaps w:val="0"/>
          <w:noProof w:val="0"/>
          <w:color w:val="auto"/>
          <w:sz w:val="22"/>
          <w:szCs w:val="22"/>
          <w:lang w:val="en-GB"/>
        </w:rPr>
        <w:t xml:space="preserve"> </w:t>
      </w:r>
      <w:hyperlink r:id="Rb46f16fdba16495f">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Cadoxton</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lang w:val="en-GB"/>
          </w:rPr>
          <w:t xml:space="preserve"> </w:t>
        </w:r>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Case Study (bb-live-bucket.s3.eu-west-2.amazonaws.com)</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16/03/23) </w:t>
      </w:r>
    </w:p>
    <w:p xmlns:wp14="http://schemas.microsoft.com/office/word/2010/wordml" w:rsidP="1AF266CE" w14:paraId="2201D28C" wp14:textId="40C1523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Curriculum for Wales guidance. (2020). Available at: </w:t>
      </w:r>
      <w:hyperlink r:id="Re68847c08f45413a">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https://hwb.gov.wales/storage/b44ad45b-ff78-430a-9423-36feb86aaf7e/curriculum-for-wales-guidance.pdf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069FA996" wp14:textId="23E3ADA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Cynefin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Cynefin</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cbec4d70e9e142a9">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https://cynefin.io/wiki/Cynefin</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27E058E3" wp14:textId="744E384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Curriculum for Wales (2020)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The four purposes of the curriculum for Wales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abe6a68284b5443b">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https://www.gov.wales/sites/default/files/publications/2018-03/the-four-purposes-of-the-curriculum-for-wales.pdf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7CF38B33" wp14:textId="6797D04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Education. (2015).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School Development Planning | Department of Education</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ecaa50cc2a2e495b">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https://www.education-ni.gov.uk/articles/school-development-planning</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38FA48CC" wp14:textId="56DDB28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Estyn (2020)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Working in partnership with parents and the community Available</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w:t>
      </w:r>
      <w:hyperlink r:id="R83b51c4849ed4315">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https://www.estyn.gov.wales/effective-practice/working-partnership-parents-and-community</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15/03/23)</w:t>
      </w:r>
    </w:p>
    <w:p xmlns:wp14="http://schemas.microsoft.com/office/word/2010/wordml" w:rsidP="1AF266CE" w14:paraId="19986655" wp14:textId="7A8211F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Estyn (2020) A report on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Birchgrove Primary</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Estyn, Her Majesty’s Inspectorate for Education and Training in Wales Available at: </w:t>
      </w:r>
      <w:hyperlink r:id="R1aea81caaed84209">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https://www.estyn.gov.wales/system/files/2022-01/</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Birchgrove%2520Primary.pdf</w:t>
        </w:r>
      </w:hyperlink>
      <w:r w:rsidRPr="1AF266CE" w:rsidR="26C70338">
        <w:rPr>
          <w:rFonts w:ascii="Calibri" w:hAnsi="Calibri" w:eastAsia="Calibri" w:cs="Calibri"/>
          <w:b w:val="0"/>
          <w:bCs w:val="0"/>
          <w:i w:val="0"/>
          <w:iCs w:val="0"/>
          <w:caps w:val="0"/>
          <w:smallCaps w:val="0"/>
          <w:noProof w:val="0"/>
          <w:color w:val="auto"/>
          <w:sz w:val="22"/>
          <w:szCs w:val="22"/>
          <w:lang w:val="en-GB"/>
        </w:rPr>
        <w:t xml:space="preserve">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(Accessed on 15/03/23)</w:t>
      </w:r>
    </w:p>
    <w:p xmlns:wp14="http://schemas.microsoft.com/office/word/2010/wordml" w:rsidP="1AF266CE" w14:paraId="15B3467A" wp14:textId="43378B3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Estyn (2020)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Community schools: families and communities at the heart of school life.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1a8d0ff2d27345e4">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https://www.estyn.gov.wales/system/files/2021-08/Community%2520Schools%2520en.pdf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12BBB93C" wp14:textId="3CEEF83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Food literacy centre (2015).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is food literacy?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e882c72cc5364c25">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https://www.foodliteracycenter.org/what-food-literacy</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346EF2D4" wp14:textId="6DDC154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Garnett, T. (2013). Food sustainability: Problems, perspectives and solutions.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Proceedings of the Nutrition Society,</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72</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(1), 29-39. doi:10.1017/S0029665112002947 (Accessed on 16/03/23)</w:t>
      </w:r>
    </w:p>
    <w:p xmlns:wp14="http://schemas.microsoft.com/office/word/2010/wordml" w:rsidP="1AF266CE" w14:paraId="00D06DE9" wp14:textId="6996B16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Gray, D (2018)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Doing research in the real world.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London: sage publications ltd (page 70) (Accessed on 17/03/23)</w:t>
      </w:r>
    </w:p>
    <w:p xmlns:wp14="http://schemas.microsoft.com/office/word/2010/wordml" w:rsidP="1AF266CE" w14:paraId="15B80E89" wp14:textId="373C730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Grangetown Nursey</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 Study. Available at: </w:t>
      </w:r>
      <w:hyperlink r:id="R26a241af7fd84cd9">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BBB Case Study - Autumn (bb-live-bucket.s3.eu-west-2.amazonaws.com)</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16/03/23)</w:t>
      </w:r>
    </w:p>
    <w:p xmlns:wp14="http://schemas.microsoft.com/office/word/2010/wordml" w:rsidP="1AF266CE" w14:paraId="67BBEB11" wp14:textId="399593C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Jung, T., Huang, J., Eagan, L. and Oldenburg, D. (2019). Influence of school-based nutrition education program on healthy eating literacy and healthy food choice among primary school children.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Health Promotion and Education</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57(2), pp.67–81. (Accessed on 16/03/23)</w:t>
      </w:r>
    </w:p>
    <w:p xmlns:wp14="http://schemas.microsoft.com/office/word/2010/wordml" w:rsidP="1AF266CE" w14:paraId="71350B65" wp14:textId="7CF7705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Kelly, K. (2020).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Why Motivation Is Important for Kids </w:t>
      </w:r>
      <w:r w:rsidRPr="1AF266CE" w:rsidR="100BB28A">
        <w:rPr>
          <w:rFonts w:ascii="Calibri" w:hAnsi="Calibri" w:eastAsia="Calibri" w:cs="Calibri"/>
          <w:b w:val="0"/>
          <w:bCs w:val="0"/>
          <w:i w:val="1"/>
          <w:iCs w:val="1"/>
          <w:caps w:val="0"/>
          <w:smallCaps w:val="0"/>
          <w:noProof w:val="0"/>
          <w:color w:val="000000" w:themeColor="text1" w:themeTint="FF" w:themeShade="FF"/>
          <w:sz w:val="22"/>
          <w:szCs w:val="22"/>
          <w:lang w:val="en-GB"/>
        </w:rPr>
        <w:t>with</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Learning and Attention Issues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w:t>
      </w:r>
      <w:hyperlink>
        <w:r w:rsidRPr="1AF266CE" w:rsidR="26C70338">
          <w:rPr>
            <w:rStyle w:val="Hyperlink"/>
            <w:rFonts w:ascii="Calibri" w:hAnsi="Calibri" w:eastAsia="Calibri" w:cs="Calibri"/>
            <w:b w:val="0"/>
            <w:bCs w:val="0"/>
            <w:i w:val="0"/>
            <w:iCs w:val="0"/>
            <w:caps w:val="0"/>
            <w:smallCaps w:val="0"/>
            <w:noProof w:val="0"/>
            <w:sz w:val="22"/>
            <w:szCs w:val="22"/>
            <w:lang w:val="en-GB"/>
          </w:rPr>
          <w:t>www.understood.org</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64da6fc32bdb43e7">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https://www.understood.org/en/articles/the-importance-of-staying-motivated-for-kids-with-learning-and-thinking-differences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16/03/23)</w:t>
      </w:r>
    </w:p>
    <w:p xmlns:wp14="http://schemas.microsoft.com/office/word/2010/wordml" w:rsidP="1AF266CE" w14:paraId="0E3AF6CB" wp14:textId="6F629AD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Mcleod, S.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Qualitative vs Quantitative Research: Differences, Examples &amp; Methods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Simply Psychology - Study Guides for Psychology Students. Available at: </w:t>
      </w:r>
      <w:hyperlink r:id="R01f46d4f4c78458c">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https://simplypsychology.org/qualitative-quantitative.html</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186ED8B0" wp14:textId="10B3EAD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McLeod, S. (2023).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Bronfenbrenner’s Ecological Systems Theory | Simply Psychology</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w:t>
      </w:r>
      <w:hyperlink>
        <w:r w:rsidRPr="1AF266CE" w:rsidR="26C70338">
          <w:rPr>
            <w:rStyle w:val="Hyperlink"/>
            <w:rFonts w:ascii="Calibri" w:hAnsi="Calibri" w:eastAsia="Calibri" w:cs="Calibri"/>
            <w:b w:val="0"/>
            <w:bCs w:val="0"/>
            <w:i w:val="0"/>
            <w:iCs w:val="0"/>
            <w:caps w:val="0"/>
            <w:smallCaps w:val="0"/>
            <w:noProof w:val="0"/>
            <w:sz w:val="22"/>
            <w:szCs w:val="22"/>
            <w:lang w:val="en-GB"/>
          </w:rPr>
          <w:t>www.simplypsychology.org</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b434d2e0a8ae4541">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https://simplypsychology.org/Bronfenbrenner.html</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65FB5B57" wp14:textId="5F1A062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Oakfield</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Case Study. Available at: </w:t>
      </w:r>
      <w:hyperlink r:id="R9b48c62374cb4313">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Oak Field</w:t>
        </w:r>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 xml:space="preserve"> Case Study - BBB (bb-live-bucket.s3.eu-west-2.amazonaws.com)</w:t>
        </w:r>
      </w:hyperlink>
    </w:p>
    <w:p xmlns:wp14="http://schemas.microsoft.com/office/word/2010/wordml" w:rsidP="1AF266CE" w14:paraId="63BA7BFD" wp14:textId="0065450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Optimus Education Blog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Community in the school and school in the community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8cc1810f48244d12">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https://blog.optimus-education.com/community-school-and-school-community</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139FFB71" wp14:textId="62D2F65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Power, A.  (2010).  Community engagement as authentic learning with reflection.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Issues in Educational Research, 20</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(1), 57-63. (Accessed on 15/03/23)</w:t>
      </w:r>
    </w:p>
    <w:p xmlns:wp14="http://schemas.microsoft.com/office/word/2010/wordml" w:rsidP="1AF266CE" w14:paraId="1D9A9F35" wp14:textId="65FED9E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highlight w:val="black"/>
          <w:lang w:val="en-GB"/>
        </w:rPr>
        <w:t>Pontardulais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 Study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Arts Council of Wales ‘Working Whispers’ |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highlight w:val="black"/>
          <w:lang w:val="en-GB"/>
        </w:rPr>
        <w:t>Pontarddulais</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Primary School</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6b0d2c1183f64069">
        <w:r w:rsidRPr="1AF266CE" w:rsidR="26C70338">
          <w:rPr>
            <w:rStyle w:val="Hyperlink"/>
            <w:rFonts w:ascii="Calibri" w:hAnsi="Calibri" w:eastAsia="Calibri" w:cs="Calibri"/>
            <w:b w:val="0"/>
            <w:bCs w:val="0"/>
            <w:i w:val="0"/>
            <w:iCs w:val="0"/>
            <w:caps w:val="0"/>
            <w:smallCaps w:val="0"/>
            <w:strike w:val="0"/>
            <w:dstrike w:val="0"/>
            <w:noProof w:val="0"/>
            <w:sz w:val="22"/>
            <w:szCs w:val="22"/>
            <w:highlight w:val="black"/>
            <w:lang w:val="en-GB"/>
          </w:rPr>
          <w:t>https://www.</w:t>
        </w:r>
        <w:r w:rsidRPr="1AF266CE" w:rsidR="26C70338">
          <w:rPr>
            <w:rStyle w:val="Hyperlink"/>
            <w:rFonts w:ascii="Calibri" w:hAnsi="Calibri" w:eastAsia="Calibri" w:cs="Calibri"/>
            <w:b w:val="0"/>
            <w:bCs w:val="0"/>
            <w:i w:val="0"/>
            <w:iCs w:val="0"/>
            <w:caps w:val="0"/>
            <w:smallCaps w:val="0"/>
            <w:strike w:val="0"/>
            <w:dstrike w:val="0"/>
            <w:noProof w:val="0"/>
            <w:color w:val="auto"/>
            <w:sz w:val="22"/>
            <w:szCs w:val="22"/>
            <w:highlight w:val="black"/>
            <w:lang w:val="en-GB"/>
          </w:rPr>
          <w:t>pontarddulais</w:t>
        </w:r>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primaryschool.co.uk/arts-council-of-wales-working-whispers/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17/03/23)</w:t>
      </w:r>
    </w:p>
    <w:p xmlns:wp14="http://schemas.microsoft.com/office/word/2010/wordml" w:rsidP="1AF266CE" w14:paraId="75200A13" wp14:textId="39B7BC6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SchoolMoney</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47 Easy and Profitable Fundraising Ideas </w:t>
      </w:r>
      <w:r w:rsidRPr="1AF266CE" w:rsidR="58857F1B">
        <w:rPr>
          <w:rFonts w:ascii="Calibri" w:hAnsi="Calibri" w:eastAsia="Calibri" w:cs="Calibri"/>
          <w:b w:val="0"/>
          <w:bCs w:val="0"/>
          <w:i w:val="1"/>
          <w:iCs w:val="1"/>
          <w:caps w:val="0"/>
          <w:smallCaps w:val="0"/>
          <w:noProof w:val="0"/>
          <w:color w:val="000000" w:themeColor="text1" w:themeTint="FF" w:themeShade="FF"/>
          <w:sz w:val="22"/>
          <w:szCs w:val="22"/>
          <w:lang w:val="en-GB"/>
        </w:rPr>
        <w:t>for</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Schools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SchoolMoney.org. Available at: </w:t>
      </w:r>
      <w:hyperlink r:id="R5c20b71a88484922">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https://www.schoolmoney.org/fundraising-ideas-for-schools/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16/03/23)</w:t>
      </w:r>
    </w:p>
    <w:p xmlns:wp14="http://schemas.microsoft.com/office/word/2010/wordml" w:rsidP="1AF266CE" w14:paraId="08CF92A5" wp14:textId="6EBB82A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Soken-Huberty, E.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15 Social Justice Issues We Must Address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Human Rights Careers. Available at: </w:t>
      </w:r>
      <w:hyperlink r:id="R13c6732224cd46af">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https://www.humanrightscareers.com/issues/social-justice-issues/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16/03/23)</w:t>
      </w:r>
    </w:p>
    <w:p xmlns:wp14="http://schemas.microsoft.com/office/word/2010/wordml" w:rsidP="1AF266CE" w14:paraId="31083496" wp14:textId="1777CD5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Sun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School opens a GROCERY STORE for parents to do weekly shop for just £3</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The Scottish Sun. Available at: </w:t>
      </w:r>
      <w:hyperlink w:anchor=":~:text=The%20scheme%20has%20been%20called%20Big%20Bocs%20Bwyd" r:id="R45e5e91134f543c1">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https://www.thescottishsun.co.uk/news/8259612/school-grocery-store-parents-weekly-shop/#:~:text=The%20scheme%20has%20been%20called%20Big%20Bocs%20Bwyd</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16/03/23)</w:t>
      </w:r>
    </w:p>
    <w:p xmlns:wp14="http://schemas.microsoft.com/office/word/2010/wordml" w:rsidP="1AF266CE" w14:paraId="372803CC" wp14:textId="54F4A10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TeachThought</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6 Types </w:t>
      </w:r>
      <w:r w:rsidRPr="1AF266CE" w:rsidR="63C43E48">
        <w:rPr>
          <w:rFonts w:ascii="Calibri" w:hAnsi="Calibri" w:eastAsia="Calibri" w:cs="Calibri"/>
          <w:b w:val="0"/>
          <w:bCs w:val="0"/>
          <w:i w:val="1"/>
          <w:iCs w:val="1"/>
          <w:caps w:val="0"/>
          <w:smallCaps w:val="0"/>
          <w:noProof w:val="0"/>
          <w:color w:val="000000" w:themeColor="text1" w:themeTint="FF" w:themeShade="FF"/>
          <w:sz w:val="22"/>
          <w:szCs w:val="22"/>
          <w:lang w:val="en-GB"/>
        </w:rPr>
        <w:t>of</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Assessment </w:t>
      </w:r>
      <w:r w:rsidRPr="1AF266CE" w:rsidR="3DD1393C">
        <w:rPr>
          <w:rFonts w:ascii="Calibri" w:hAnsi="Calibri" w:eastAsia="Calibri" w:cs="Calibri"/>
          <w:b w:val="0"/>
          <w:bCs w:val="0"/>
          <w:i w:val="1"/>
          <w:iCs w:val="1"/>
          <w:caps w:val="0"/>
          <w:smallCaps w:val="0"/>
          <w:noProof w:val="0"/>
          <w:color w:val="000000" w:themeColor="text1" w:themeTint="FF" w:themeShade="FF"/>
          <w:sz w:val="22"/>
          <w:szCs w:val="22"/>
          <w:lang w:val="en-GB"/>
        </w:rPr>
        <w:t>of</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Learning</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TeachThought</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2e1e5ee8fa234914">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https://www.teachthought.com/pedagogy/6-types-assessment-learning/</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1D9C9C49" wp14:textId="11CA41F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UNICEF (2019).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Poor diets damaging children’s health, warns UNICEF - </w:t>
      </w:r>
      <w:r w:rsidRPr="1AF266CE" w:rsidR="73410F63">
        <w:rPr>
          <w:rFonts w:ascii="Calibri" w:hAnsi="Calibri" w:eastAsia="Calibri" w:cs="Calibri"/>
          <w:b w:val="0"/>
          <w:bCs w:val="0"/>
          <w:i w:val="1"/>
          <w:iCs w:val="1"/>
          <w:caps w:val="0"/>
          <w:smallCaps w:val="0"/>
          <w:noProof w:val="0"/>
          <w:color w:val="000000" w:themeColor="text1" w:themeTint="FF" w:themeShade="FF"/>
          <w:sz w:val="22"/>
          <w:szCs w:val="22"/>
          <w:lang w:val="en-GB"/>
        </w:rPr>
        <w:t>UNICEF</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UK</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w:t>
      </w:r>
      <w:r w:rsidRPr="1AF266CE" w:rsidR="4D88D192">
        <w:rPr>
          <w:rFonts w:ascii="Calibri" w:hAnsi="Calibri" w:eastAsia="Calibri" w:cs="Calibri"/>
          <w:b w:val="0"/>
          <w:bCs w:val="0"/>
          <w:i w:val="0"/>
          <w:iCs w:val="0"/>
          <w:caps w:val="0"/>
          <w:smallCaps w:val="0"/>
          <w:noProof w:val="0"/>
          <w:color w:val="000000" w:themeColor="text1" w:themeTint="FF" w:themeShade="FF"/>
          <w:sz w:val="22"/>
          <w:szCs w:val="22"/>
          <w:lang w:val="en-GB"/>
        </w:rPr>
        <w:t>UNICEF</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UK. Available at: </w:t>
      </w:r>
      <w:hyperlink r:id="R0b9be39057ba42cf">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https://www.unicef.org.uk/press-releases/poor-diets-damaging-childrens-health-warns-unicef/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14E62BA0" wp14:textId="457DAAD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Assembly Government (2010)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Making the most of assessment 7-14 </w:t>
      </w:r>
      <w:r w:rsidRPr="1AF266CE" w:rsidR="4DC349D1">
        <w:rPr>
          <w:rFonts w:ascii="Calibri" w:hAnsi="Calibri" w:eastAsia="Calibri" w:cs="Calibri"/>
          <w:b w:val="0"/>
          <w:bCs w:val="0"/>
          <w:i w:val="1"/>
          <w:iCs w:val="1"/>
          <w:caps w:val="0"/>
          <w:smallCaps w:val="0"/>
          <w:noProof w:val="0"/>
          <w:color w:val="000000" w:themeColor="text1" w:themeTint="FF" w:themeShade="FF"/>
          <w:sz w:val="22"/>
          <w:szCs w:val="22"/>
          <w:lang w:val="en-GB"/>
        </w:rPr>
        <w:t>Guidance Available</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w:t>
      </w:r>
      <w:hyperlink r:id="R10bbcd9cac344b25">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https://hwb.gov.wales/api/storage/60d885cd-6c39-49e7-889c-f86f21c510f8/making-the-most-of-assessment.pdf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17/03/23)</w:t>
      </w:r>
    </w:p>
    <w:p xmlns:wp14="http://schemas.microsoft.com/office/word/2010/wordml" w:rsidP="1AF266CE" w14:paraId="5D796EA2" wp14:textId="242C9A5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(2014)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School development plans Guidance.</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w:anchor=":~:text=The%20Welsh%20Ministers%20have%20made%20the%20Education%20%28School" r:id="R1eac25c290254372">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https://www.gov.wales/sites/default/files/publications/2018-03/school-development-plans.pdf#:~:text=The%20Welsh%20Ministers%20have%20made%20the%20Education%20%28School</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6758722D" wp14:textId="03F8980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(2016)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FaCE the challenge together: Family and community engagement toolkit for schools in Wales Main guidance Family and community engagement toolkit.</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bc26912e2a4430d">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https://www.gov.wales/sites/default/files/publications/2018-12/face-the-challenge-together-family-and-community-engagement-toolkit-for-schools-in-wales-main-guidance.pdf</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4AC299D8" wp14:textId="70142FE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(2017).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Professional standards - Hwb</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a53aac5499fe4c6e">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https://hwb.gov.wales/professional-development/professional-standards/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6BBCCCBD" wp14:textId="5C17F7B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(2018).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Parental involvement with schools helps pupils achieve | Estyn</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67a03fad53f24a1a">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https://www.estyn.gov.wales/news/parental-involvement-schools-helps-pupils-achieve</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17/03/23)</w:t>
      </w:r>
    </w:p>
    <w:p xmlns:wp14="http://schemas.microsoft.com/office/word/2010/wordml" w:rsidP="1AF266CE" w14:paraId="55221E41" wp14:textId="367612A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Curriculum for Wales - Hwb</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hwb.gov.wales. Available at: </w:t>
      </w:r>
      <w:hyperlink r:id="R906907a8850f487b">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https://hwb.gov.wales/curriculum-for-wales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15/03/23)</w:t>
      </w:r>
    </w:p>
    <w:p xmlns:wp14="http://schemas.microsoft.com/office/word/2010/wordml" w:rsidP="1AF266CE" w14:paraId="375FA122" wp14:textId="17B67A6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(2022).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Curriculum for Wales - Hwb</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hwb.gov.wales. Available at:</w:t>
      </w:r>
      <w:r w:rsidRPr="1AF266CE" w:rsidR="26C70338">
        <w:rPr>
          <w:rFonts w:ascii="Calibri" w:hAnsi="Calibri" w:eastAsia="Calibri" w:cs="Calibri"/>
          <w:b w:val="0"/>
          <w:bCs w:val="0"/>
          <w:i w:val="0"/>
          <w:iCs w:val="0"/>
          <w:caps w:val="0"/>
          <w:smallCaps w:val="0"/>
          <w:noProof w:val="0"/>
          <w:color w:val="2C3E50"/>
          <w:sz w:val="22"/>
          <w:szCs w:val="22"/>
          <w:lang w:val="en-GB"/>
        </w:rPr>
        <w:t xml:space="preserve"> </w:t>
      </w:r>
      <w:hyperlink r:id="Re72383ba556641b4">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https://hwb.gov.wales/curriculum-for-wales</w:t>
        </w:r>
      </w:hyperlink>
      <w:r w:rsidRPr="1AF266CE" w:rsidR="26C70338">
        <w:rPr>
          <w:rFonts w:ascii="Calibri" w:hAnsi="Calibri" w:eastAsia="Calibri" w:cs="Calibri"/>
          <w:b w:val="0"/>
          <w:bCs w:val="0"/>
          <w:i w:val="0"/>
          <w:iCs w:val="0"/>
          <w:caps w:val="0"/>
          <w:smallCaps w:val="0"/>
          <w:noProof w:val="0"/>
          <w:color w:val="2C3E50"/>
          <w:sz w:val="22"/>
          <w:szCs w:val="22"/>
          <w:lang w:val="en-GB"/>
        </w:rPr>
        <w:t>.</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17/03/23)</w:t>
      </w:r>
    </w:p>
    <w:p xmlns:wp14="http://schemas.microsoft.com/office/word/2010/wordml" w:rsidP="1AF266CE" w14:paraId="30240C66" wp14:textId="03B0DA7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(2023).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Poverty and deprivation (National Survey for Wales): April 2021 to March 2022</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w:anchor="114244" r:id="R5950b78ea07d4c02">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https://www.gov.wales/poverty-and-deprivation-national-survey-wales-april-2021-march-2022-html#114244</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15/03/23)</w:t>
      </w:r>
    </w:p>
    <w:p xmlns:wp14="http://schemas.microsoft.com/office/word/2010/wordml" w:rsidP="1AF266CE" w14:paraId="1C7A1704" wp14:textId="6EEED65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Westwater, H. (2021). </w:t>
      </w:r>
      <w:r w:rsidRPr="1AF266CE" w:rsidR="26C70338">
        <w:rPr>
          <w:rFonts w:ascii="Calibri" w:hAnsi="Calibri" w:eastAsia="Calibri" w:cs="Calibri"/>
          <w:b w:val="0"/>
          <w:bCs w:val="0"/>
          <w:i w:val="1"/>
          <w:iCs w:val="1"/>
          <w:caps w:val="0"/>
          <w:smallCaps w:val="0"/>
          <w:noProof w:val="0"/>
          <w:color w:val="000000" w:themeColor="text1" w:themeTint="FF" w:themeShade="FF"/>
          <w:sz w:val="22"/>
          <w:szCs w:val="22"/>
          <w:lang w:val="en-GB"/>
        </w:rPr>
        <w:t>Food poverty in the UK: The causes, figures and solutions</w:t>
      </w: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The Big Issue. Available at: </w:t>
      </w:r>
      <w:hyperlink r:id="Re8155ae12e0b423e">
        <w:r w:rsidRPr="1AF266CE" w:rsidR="26C70338">
          <w:rPr>
            <w:rStyle w:val="Hyperlink"/>
            <w:rFonts w:ascii="Calibri" w:hAnsi="Calibri" w:eastAsia="Calibri" w:cs="Calibri"/>
            <w:b w:val="0"/>
            <w:bCs w:val="0"/>
            <w:i w:val="0"/>
            <w:iCs w:val="0"/>
            <w:caps w:val="0"/>
            <w:smallCaps w:val="0"/>
            <w:strike w:val="0"/>
            <w:dstrike w:val="0"/>
            <w:noProof w:val="0"/>
            <w:sz w:val="22"/>
            <w:szCs w:val="22"/>
            <w:lang w:val="en-GB"/>
          </w:rPr>
          <w:t>https://www.bigissue.com/news/social-justice/food-poverty-in-the-uk-the-causes-figures-and-solutions/</w:t>
        </w:r>
      </w:hyperlink>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 (Accessed on 16/03/23)</w:t>
      </w:r>
    </w:p>
    <w:p xmlns:wp14="http://schemas.microsoft.com/office/word/2010/wordml" w:rsidP="1AF266CE" w14:paraId="059C54F4" wp14:textId="3DDEC45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Appendix</w:t>
      </w:r>
    </w:p>
    <w:p xmlns:wp14="http://schemas.microsoft.com/office/word/2010/wordml" w:rsidP="1AF266CE" w14:paraId="745000A7" wp14:textId="4FD0438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6C70338">
        <w:rPr>
          <w:rFonts w:ascii="Calibri" w:hAnsi="Calibri" w:eastAsia="Calibri" w:cs="Calibri"/>
          <w:b w:val="0"/>
          <w:bCs w:val="0"/>
          <w:i w:val="0"/>
          <w:iCs w:val="0"/>
          <w:caps w:val="0"/>
          <w:smallCaps w:val="0"/>
          <w:noProof w:val="0"/>
          <w:color w:val="000000" w:themeColor="text1" w:themeTint="FF" w:themeShade="FF"/>
          <w:sz w:val="22"/>
          <w:szCs w:val="22"/>
          <w:lang w:val="en-GB"/>
        </w:rPr>
        <w:t>Appendix 1</w:t>
      </w:r>
    </w:p>
    <w:tbl>
      <w:tblPr>
        <w:tblStyle w:val="TableGrid"/>
        <w:tblW w:w="0" w:type="auto"/>
        <w:tblLayout w:type="fixed"/>
        <w:tblLook w:val="04A0" w:firstRow="1" w:lastRow="0" w:firstColumn="1" w:lastColumn="0" w:noHBand="0" w:noVBand="1"/>
      </w:tblPr>
      <w:tblGrid>
        <w:gridCol w:w="1416"/>
        <w:gridCol w:w="4277"/>
        <w:gridCol w:w="3323"/>
      </w:tblGrid>
      <w:tr w:rsidR="1AF266CE" w:rsidTr="1AF266CE" w14:paraId="31A84421">
        <w:trPr>
          <w:trHeight w:val="300"/>
        </w:trPr>
        <w:tc>
          <w:tcPr>
            <w:tcW w:w="1416" w:type="dxa"/>
            <w:tcMar>
              <w:left w:w="105" w:type="dxa"/>
              <w:right w:w="105" w:type="dxa"/>
            </w:tcMar>
            <w:vAlign w:val="top"/>
          </w:tcPr>
          <w:p w:rsidR="1AF266CE" w:rsidP="1AF266CE" w:rsidRDefault="1AF266CE" w14:paraId="0843AE2D" w14:textId="33F8EC47">
            <w:pPr>
              <w:spacing w:line="259" w:lineRule="auto"/>
              <w:rPr>
                <w:rFonts w:ascii="Calibri" w:hAnsi="Calibri" w:eastAsia="Calibri" w:cs="Calibri"/>
                <w:b w:val="0"/>
                <w:bCs w:val="0"/>
                <w:i w:val="0"/>
                <w:iCs w:val="0"/>
                <w:color w:val="000000" w:themeColor="text1" w:themeTint="FF" w:themeShade="FF"/>
                <w:sz w:val="22"/>
                <w:szCs w:val="22"/>
                <w:lang w:val="en-GB"/>
              </w:rPr>
            </w:pPr>
          </w:p>
        </w:tc>
        <w:tc>
          <w:tcPr>
            <w:tcW w:w="4277" w:type="dxa"/>
            <w:tcMar>
              <w:left w:w="105" w:type="dxa"/>
              <w:right w:w="105" w:type="dxa"/>
            </w:tcMar>
            <w:vAlign w:val="top"/>
          </w:tcPr>
          <w:p w:rsidR="1AF266CE" w:rsidP="1AF266CE" w:rsidRDefault="1AF266CE" w14:paraId="599A31F5" w14:textId="7C28B902">
            <w:pPr>
              <w:spacing w:line="259" w:lineRule="auto"/>
              <w:jc w:val="center"/>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HELPFUL</w:t>
            </w:r>
          </w:p>
        </w:tc>
        <w:tc>
          <w:tcPr>
            <w:tcW w:w="3323" w:type="dxa"/>
            <w:tcMar>
              <w:left w:w="105" w:type="dxa"/>
              <w:right w:w="105" w:type="dxa"/>
            </w:tcMar>
            <w:vAlign w:val="top"/>
          </w:tcPr>
          <w:p w:rsidR="1AF266CE" w:rsidP="1AF266CE" w:rsidRDefault="1AF266CE" w14:paraId="34C29DBB" w14:textId="0ED253CA">
            <w:pPr>
              <w:spacing w:line="259" w:lineRule="auto"/>
              <w:jc w:val="center"/>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HARMFUL</w:t>
            </w:r>
          </w:p>
        </w:tc>
      </w:tr>
      <w:tr w:rsidR="1AF266CE" w:rsidTr="1AF266CE" w14:paraId="1006B99F">
        <w:trPr>
          <w:trHeight w:val="300"/>
        </w:trPr>
        <w:tc>
          <w:tcPr>
            <w:tcW w:w="1416" w:type="dxa"/>
            <w:tcMar>
              <w:left w:w="105" w:type="dxa"/>
              <w:right w:w="105" w:type="dxa"/>
            </w:tcMar>
            <w:vAlign w:val="top"/>
          </w:tcPr>
          <w:p w:rsidR="1AF266CE" w:rsidP="1AF266CE" w:rsidRDefault="1AF266CE" w14:paraId="65F7FF11" w14:textId="16DBA30F">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INTERNAL</w:t>
            </w:r>
          </w:p>
          <w:p w:rsidR="1AF266CE" w:rsidP="1AF266CE" w:rsidRDefault="1AF266CE" w14:paraId="4393D6E2" w14:textId="5253790F">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w:t>
            </w:r>
            <w:bookmarkStart w:name="_Int_EWiUjNmN" w:id="931640569"/>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within</w:t>
            </w:r>
            <w:bookmarkEnd w:id="931640569"/>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 xml:space="preserve"> the school)</w:t>
            </w:r>
          </w:p>
        </w:tc>
        <w:tc>
          <w:tcPr>
            <w:tcW w:w="4277" w:type="dxa"/>
            <w:tcMar>
              <w:left w:w="105" w:type="dxa"/>
              <w:right w:w="105" w:type="dxa"/>
            </w:tcMar>
            <w:vAlign w:val="top"/>
          </w:tcPr>
          <w:p w:rsidR="1AF266CE" w:rsidP="1AF266CE" w:rsidRDefault="1AF266CE" w14:paraId="559F7428" w14:textId="1EACF24E">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Strengths</w:t>
            </w:r>
          </w:p>
          <w:p w:rsidR="1AF266CE" w:rsidP="1AF266CE" w:rsidRDefault="1AF266CE" w14:paraId="6E76B00A" w14:textId="1DEF3DE2">
            <w:pPr>
              <w:pStyle w:val="ListParagraph"/>
              <w:numPr>
                <w:ilvl w:val="0"/>
                <w:numId w:val="1"/>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Facilities and space within the school grounds</w:t>
            </w:r>
          </w:p>
          <w:p w:rsidR="1AF266CE" w:rsidP="1AF266CE" w:rsidRDefault="1AF266CE" w14:paraId="64C35D06" w14:textId="26361D2B">
            <w:pPr>
              <w:pStyle w:val="ListParagraph"/>
              <w:numPr>
                <w:ilvl w:val="0"/>
                <w:numId w:val="1"/>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Staff enthusiasm and want to engage with the community</w:t>
            </w:r>
          </w:p>
          <w:p w:rsidR="1AF266CE" w:rsidP="1AF266CE" w:rsidRDefault="1AF266CE" w14:paraId="0FAE9624" w14:textId="5A99169D">
            <w:pPr>
              <w:pStyle w:val="ListParagraph"/>
              <w:numPr>
                <w:ilvl w:val="0"/>
                <w:numId w:val="1"/>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Excellent ESTYN report</w:t>
            </w:r>
          </w:p>
          <w:p w:rsidR="1AF266CE" w:rsidP="1AF266CE" w:rsidRDefault="1AF266CE" w14:paraId="477A6710" w14:textId="051CB8DC">
            <w:pPr>
              <w:spacing w:line="259" w:lineRule="auto"/>
              <w:rPr>
                <w:rFonts w:ascii="Calibri" w:hAnsi="Calibri" w:eastAsia="Calibri" w:cs="Calibri"/>
                <w:b w:val="0"/>
                <w:bCs w:val="0"/>
                <w:i w:val="0"/>
                <w:iCs w:val="0"/>
                <w:color w:val="000000" w:themeColor="text1" w:themeTint="FF" w:themeShade="FF"/>
                <w:sz w:val="22"/>
                <w:szCs w:val="22"/>
                <w:lang w:val="en-GB"/>
              </w:rPr>
            </w:pPr>
          </w:p>
        </w:tc>
        <w:tc>
          <w:tcPr>
            <w:tcW w:w="3323" w:type="dxa"/>
            <w:tcMar>
              <w:left w:w="105" w:type="dxa"/>
              <w:right w:w="105" w:type="dxa"/>
            </w:tcMar>
            <w:vAlign w:val="top"/>
          </w:tcPr>
          <w:p w:rsidR="1AF266CE" w:rsidP="1AF266CE" w:rsidRDefault="1AF266CE" w14:paraId="3B329F2F" w14:textId="13AFB74D">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Weaknesses</w:t>
            </w:r>
          </w:p>
          <w:p w:rsidR="1AF266CE" w:rsidP="1AF266CE" w:rsidRDefault="1AF266CE" w14:paraId="706E827F" w14:textId="4DC582CC">
            <w:pPr>
              <w:pStyle w:val="ListParagraph"/>
              <w:numPr>
                <w:ilvl w:val="0"/>
                <w:numId w:val="4"/>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 xml:space="preserve">Pupil motivation </w:t>
            </w:r>
          </w:p>
          <w:p w:rsidR="1AF266CE" w:rsidP="1AF266CE" w:rsidRDefault="1AF266CE" w14:paraId="148494C6" w14:textId="21E98F0F">
            <w:pPr>
              <w:pStyle w:val="ListParagraph"/>
              <w:numPr>
                <w:ilvl w:val="0"/>
                <w:numId w:val="4"/>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Staff – the number of staff available</w:t>
            </w:r>
          </w:p>
        </w:tc>
      </w:tr>
      <w:tr w:rsidR="1AF266CE" w:rsidTr="1AF266CE" w14:paraId="0D6AA45A">
        <w:trPr>
          <w:trHeight w:val="3225"/>
        </w:trPr>
        <w:tc>
          <w:tcPr>
            <w:tcW w:w="1416" w:type="dxa"/>
            <w:tcMar>
              <w:left w:w="105" w:type="dxa"/>
              <w:right w:w="105" w:type="dxa"/>
            </w:tcMar>
            <w:vAlign w:val="top"/>
          </w:tcPr>
          <w:p w:rsidR="1AF266CE" w:rsidP="1AF266CE" w:rsidRDefault="1AF266CE" w14:paraId="725402B5" w14:textId="01DCEB5E">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 xml:space="preserve">EXTERNAL </w:t>
            </w:r>
          </w:p>
          <w:p w:rsidR="1AF266CE" w:rsidP="1AF266CE" w:rsidRDefault="1AF266CE" w14:paraId="542B8DEE" w14:textId="4A7C24BC">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w:t>
            </w:r>
            <w:bookmarkStart w:name="_Int_3qOM7HLE" w:id="1384942726"/>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outside</w:t>
            </w:r>
            <w:bookmarkEnd w:id="1384942726"/>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 xml:space="preserve"> the school)</w:t>
            </w:r>
          </w:p>
        </w:tc>
        <w:tc>
          <w:tcPr>
            <w:tcW w:w="4277" w:type="dxa"/>
            <w:tcMar>
              <w:left w:w="105" w:type="dxa"/>
              <w:right w:w="105" w:type="dxa"/>
            </w:tcMar>
            <w:vAlign w:val="top"/>
          </w:tcPr>
          <w:p w:rsidR="1AF266CE" w:rsidP="1AF266CE" w:rsidRDefault="1AF266CE" w14:paraId="5AB4B4CE" w14:textId="69D3B05F">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Opportunities</w:t>
            </w:r>
          </w:p>
          <w:p w:rsidR="1AF266CE" w:rsidP="1AF266CE" w:rsidRDefault="1AF266CE" w14:paraId="1050F6C8" w14:textId="00C3B47F">
            <w:pPr>
              <w:pStyle w:val="ListParagraph"/>
              <w:numPr>
                <w:ilvl w:val="0"/>
                <w:numId w:val="6"/>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Strengthening the relationship between school and community</w:t>
            </w:r>
          </w:p>
          <w:p w:rsidR="1AF266CE" w:rsidP="1AF266CE" w:rsidRDefault="1AF266CE" w14:paraId="555441F4" w14:textId="45F17418">
            <w:pPr>
              <w:pStyle w:val="ListParagraph"/>
              <w:numPr>
                <w:ilvl w:val="0"/>
                <w:numId w:val="6"/>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Further development of Four Purposes</w:t>
            </w:r>
          </w:p>
          <w:p w:rsidR="1AF266CE" w:rsidP="1AF266CE" w:rsidRDefault="1AF266CE" w14:paraId="5DADE9F7" w14:textId="34299C69">
            <w:pPr>
              <w:pStyle w:val="ListParagraph"/>
              <w:numPr>
                <w:ilvl w:val="0"/>
                <w:numId w:val="6"/>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Engage parents in their children’s learning</w:t>
            </w:r>
          </w:p>
          <w:p w:rsidR="1AF266CE" w:rsidP="1AF266CE" w:rsidRDefault="1AF266CE" w14:paraId="5AA43F40" w14:textId="7E021299">
            <w:pPr>
              <w:pStyle w:val="ListParagraph"/>
              <w:numPr>
                <w:ilvl w:val="0"/>
                <w:numId w:val="6"/>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 xml:space="preserve">Guaranteed place within the community to turn to in times of need </w:t>
            </w:r>
          </w:p>
          <w:p w:rsidR="1AF266CE" w:rsidP="1AF266CE" w:rsidRDefault="1AF266CE" w14:paraId="60DF7A08" w14:textId="079C7850">
            <w:pPr>
              <w:spacing w:line="259" w:lineRule="auto"/>
              <w:rPr>
                <w:rFonts w:ascii="Calibri" w:hAnsi="Calibri" w:eastAsia="Calibri" w:cs="Calibri"/>
                <w:b w:val="0"/>
                <w:bCs w:val="0"/>
                <w:i w:val="0"/>
                <w:iCs w:val="0"/>
                <w:color w:val="000000" w:themeColor="text1" w:themeTint="FF" w:themeShade="FF"/>
                <w:sz w:val="22"/>
                <w:szCs w:val="22"/>
                <w:lang w:val="en-GB"/>
              </w:rPr>
            </w:pPr>
          </w:p>
        </w:tc>
        <w:tc>
          <w:tcPr>
            <w:tcW w:w="3323" w:type="dxa"/>
            <w:tcMar>
              <w:left w:w="105" w:type="dxa"/>
              <w:right w:w="105" w:type="dxa"/>
            </w:tcMar>
            <w:vAlign w:val="top"/>
          </w:tcPr>
          <w:p w:rsidR="1AF266CE" w:rsidP="1AF266CE" w:rsidRDefault="1AF266CE" w14:paraId="30811A94" w14:textId="7715E724">
            <w:p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Threats</w:t>
            </w:r>
          </w:p>
          <w:p w:rsidR="1AF266CE" w:rsidP="1AF266CE" w:rsidRDefault="1AF266CE" w14:paraId="41165582" w14:textId="70ADAB48">
            <w:pPr>
              <w:pStyle w:val="ListParagraph"/>
              <w:numPr>
                <w:ilvl w:val="0"/>
                <w:numId w:val="10"/>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Budget</w:t>
            </w:r>
          </w:p>
          <w:p w:rsidR="1AF266CE" w:rsidP="1AF266CE" w:rsidRDefault="1AF266CE" w14:paraId="00FD36BA" w14:textId="0975B263">
            <w:pPr>
              <w:pStyle w:val="ListParagraph"/>
              <w:numPr>
                <w:ilvl w:val="0"/>
                <w:numId w:val="10"/>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 xml:space="preserve">Community – beliefs </w:t>
            </w:r>
          </w:p>
          <w:p w:rsidR="1AF266CE" w:rsidP="1AF266CE" w:rsidRDefault="1AF266CE" w14:paraId="229C5A12" w14:textId="04884AC1">
            <w:pPr>
              <w:pStyle w:val="ListParagraph"/>
              <w:numPr>
                <w:ilvl w:val="0"/>
                <w:numId w:val="10"/>
              </w:numPr>
              <w:spacing w:line="259" w:lineRule="auto"/>
              <w:rPr>
                <w:rFonts w:ascii="Calibri" w:hAnsi="Calibri" w:eastAsia="Calibri" w:cs="Calibri"/>
                <w:b w:val="0"/>
                <w:bCs w:val="0"/>
                <w:i w:val="0"/>
                <w:iCs w:val="0"/>
                <w:color w:val="000000" w:themeColor="text1" w:themeTint="FF" w:themeShade="FF"/>
                <w:sz w:val="22"/>
                <w:szCs w:val="22"/>
                <w:lang w:val="en-GB"/>
              </w:rPr>
            </w:pPr>
            <w:r w:rsidRPr="1AF266CE" w:rsidR="1AF266CE">
              <w:rPr>
                <w:rFonts w:ascii="Calibri" w:hAnsi="Calibri" w:eastAsia="Calibri" w:cs="Calibri"/>
                <w:b w:val="0"/>
                <w:bCs w:val="0"/>
                <w:i w:val="0"/>
                <w:iCs w:val="0"/>
                <w:caps w:val="0"/>
                <w:smallCaps w:val="0"/>
                <w:color w:val="000000" w:themeColor="text1" w:themeTint="FF" w:themeShade="FF"/>
                <w:sz w:val="22"/>
                <w:szCs w:val="22"/>
                <w:lang w:val="en-GB"/>
              </w:rPr>
              <w:t>Lack of engagement from the community</w:t>
            </w:r>
          </w:p>
          <w:p w:rsidR="1AF266CE" w:rsidP="1AF266CE" w:rsidRDefault="1AF266CE" w14:paraId="4A571F17" w14:textId="39F1CB1B">
            <w:pPr>
              <w:spacing w:line="259" w:lineRule="auto"/>
              <w:ind w:left="0"/>
              <w:rPr>
                <w:rFonts w:ascii="Calibri" w:hAnsi="Calibri" w:eastAsia="Calibri" w:cs="Calibri"/>
                <w:b w:val="0"/>
                <w:bCs w:val="0"/>
                <w:i w:val="0"/>
                <w:iCs w:val="0"/>
                <w:color w:val="000000" w:themeColor="text1" w:themeTint="FF" w:themeShade="FF"/>
                <w:sz w:val="22"/>
                <w:szCs w:val="22"/>
                <w:lang w:val="en-GB"/>
              </w:rPr>
            </w:pPr>
          </w:p>
        </w:tc>
      </w:tr>
    </w:tbl>
    <w:p xmlns:wp14="http://schemas.microsoft.com/office/word/2010/wordml" w:rsidP="1AF266CE" w14:paraId="587F6169" wp14:textId="49C7959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AF266CE" w14:paraId="23DAFBCA" wp14:textId="7589FEE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1AF266CE" w:rsidR="220DE17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Appendix 2</w:t>
      </w:r>
    </w:p>
    <w:p xmlns:wp14="http://schemas.microsoft.com/office/word/2010/wordml" w:rsidP="1AF266CE" w14:paraId="4CC56DE2" wp14:textId="2BF7C66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220DE17A">
        <w:drawing>
          <wp:inline xmlns:wp14="http://schemas.microsoft.com/office/word/2010/wordprocessingDrawing" wp14:editId="3616BC5B" wp14:anchorId="769EE6BE">
            <wp:extent cx="5324474" cy="1924050"/>
            <wp:effectExtent l="0" t="0" r="0" b="0"/>
            <wp:docPr id="628581759" name="" title=""/>
            <wp:cNvGraphicFramePr>
              <a:graphicFrameLocks noChangeAspect="1"/>
            </wp:cNvGraphicFramePr>
            <a:graphic>
              <a:graphicData uri="http://schemas.openxmlformats.org/drawingml/2006/picture">
                <pic:pic>
                  <pic:nvPicPr>
                    <pic:cNvPr id="0" name=""/>
                    <pic:cNvPicPr/>
                  </pic:nvPicPr>
                  <pic:blipFill>
                    <a:blip r:embed="Re27bc4e7d7374cdc">
                      <a:extLst>
                        <a:ext xmlns:a="http://schemas.openxmlformats.org/drawingml/2006/main" uri="{28A0092B-C50C-407E-A947-70E740481C1C}">
                          <a14:useLocalDpi val="0"/>
                        </a:ext>
                      </a:extLst>
                    </a:blip>
                    <a:stretch>
                      <a:fillRect/>
                    </a:stretch>
                  </pic:blipFill>
                  <pic:spPr>
                    <a:xfrm>
                      <a:off x="0" y="0"/>
                      <a:ext cx="5324474" cy="1924050"/>
                    </a:xfrm>
                    <a:prstGeom prst="rect">
                      <a:avLst/>
                    </a:prstGeom>
                  </pic:spPr>
                </pic:pic>
              </a:graphicData>
            </a:graphic>
          </wp:inline>
        </w:drawing>
      </w:r>
    </w:p>
    <w:p xmlns:wp14="http://schemas.microsoft.com/office/word/2010/wordml" w:rsidP="1AF266CE" w14:paraId="69F54155" wp14:textId="1C26897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AF266CE" w14:paraId="257F8A29" wp14:textId="6BCF9A11">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AF266CE" w14:paraId="5E5787A5" wp14:textId="3F9511F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ZVBq6/o92C8xS" int2:id="fD8w5GT0">
      <int2:state int2:type="AugLoop_Text_Critique" int2:value="Rejected"/>
    </int2:textHash>
    <int2:textHash int2:hashCode="U/poLBDxFTq/gF" int2:id="2HdNwlx4">
      <int2:state int2:type="AugLoop_Text_Critique" int2:value="Rejected"/>
    </int2:textHash>
    <int2:textHash int2:hashCode="SkqrSqoy4rc0Sl" int2:id="wPRvSrs4">
      <int2:state int2:type="AugLoop_Text_Critique" int2:value="Rejected"/>
    </int2:textHash>
    <int2:textHash int2:hashCode="O7rXuFsE5qcinq" int2:id="Bhd0l9cD">
      <int2:state int2:type="AugLoop_Text_Critique" int2:value="Rejected"/>
    </int2:textHash>
    <int2:textHash int2:hashCode="SdwcsJTf/jpC3V" int2:id="zww4DtQY">
      <int2:state int2:type="AugLoop_Text_Critique" int2:value="Rejected"/>
    </int2:textHash>
    <int2:textHash int2:hashCode="N+w6gFPaUB970D" int2:id="nIqZSlqf">
      <int2:state int2:type="AugLoop_Text_Critique" int2:value="Rejected"/>
    </int2:textHash>
    <int2:textHash int2:hashCode="ZU4CLILI60v9SX" int2:id="dYpU3MMw">
      <int2:state int2:type="AugLoop_Text_Critique" int2:value="Rejected"/>
    </int2:textHash>
    <int2:textHash int2:hashCode="A+nW0akbHClx8Z" int2:id="coOER474">
      <int2:state int2:type="AugLoop_Text_Critique" int2:value="Rejected"/>
    </int2:textHash>
    <int2:textHash int2:hashCode="PzOb+m4hki5zNu" int2:id="N10WAXXH">
      <int2:state int2:type="AugLoop_Text_Critique" int2:value="Rejected"/>
    </int2:textHash>
    <int2:textHash int2:hashCode="aIgbrAg7iwGxJQ" int2:id="OmBIaOTC">
      <int2:state int2:type="AugLoop_Text_Critique" int2:value="Rejected"/>
    </int2:textHash>
    <int2:textHash int2:hashCode="g+FUKAw9ZRudFw" int2:id="NHBlZv8K">
      <int2:state int2:type="AugLoop_Text_Critique" int2:value="Rejected"/>
    </int2:textHash>
    <int2:textHash int2:hashCode="75sva/WFP5ysHY" int2:id="Yy0HE31j">
      <int2:state int2:type="AugLoop_Text_Critique" int2:value="Rejected"/>
    </int2:textHash>
    <int2:textHash int2:hashCode="Gvrrh2VXxNRtJn" int2:id="NSbrYO3K">
      <int2:state int2:type="AugLoop_Text_Critique" int2:value="Rejected"/>
    </int2:textHash>
    <int2:textHash int2:hashCode="7FeL4mOvtw0KXg" int2:id="EGACvv9U">
      <int2:state int2:type="AugLoop_Text_Critique" int2:value="Rejected"/>
    </int2:textHash>
    <int2:textHash int2:hashCode="RiX1o7GzaBU0M7" int2:id="VKNsY7EE">
      <int2:state int2:type="AugLoop_Text_Critique" int2:value="Rejected"/>
    </int2:textHash>
    <int2:textHash int2:hashCode="DTTcwT7Vnu94an" int2:id="SEpDV00s">
      <int2:state int2:type="AugLoop_Text_Critique" int2:value="Rejected"/>
    </int2:textHash>
    <int2:bookmark int2:bookmarkName="_Int_lpuiTQuh" int2:invalidationBookmarkName="" int2:hashCode="CTnD/lwNXSv/QN" int2:id="eGZf2Fec">
      <int2:state int2:type="AugLoop_Text_Critique" int2:value="Rejected"/>
    </int2:bookmark>
    <int2:bookmark int2:bookmarkName="_Int_wLZtiJJ4" int2:invalidationBookmarkName="" int2:hashCode="d3DQTHv7eR58lZ" int2:id="T5EbkfzB">
      <int2:state int2:type="AugLoop_Acronyms_AcronymsCritique" int2:value="Rejected"/>
    </int2:bookmark>
    <int2:bookmark int2:bookmarkName="_Int_fF3nflYT" int2:invalidationBookmarkName="" int2:hashCode="3RfabpIiHSNkT6" int2:id="UIqdzCIG">
      <int2:state int2:type="AugLoop_Acronyms_AcronymsCritique" int2:value="Rejected"/>
    </int2:bookmark>
    <int2:bookmark int2:bookmarkName="_Int_rNPgrcPq" int2:invalidationBookmarkName="" int2:hashCode="tH82PitDDAZH8U" int2:id="AHTfsHr2">
      <int2:state int2:type="AugLoop_Text_Critique" int2:value="Rejected"/>
    </int2:bookmark>
    <int2:bookmark int2:bookmarkName="_Int_3qOM7HLE" int2:invalidationBookmarkName="" int2:hashCode="ReGNrVH9nohpiX" int2:id="p61EsR7Z">
      <int2:state int2:type="AugLoop_Text_Critique" int2:value="Rejected"/>
    </int2:bookmark>
    <int2:bookmark int2:bookmarkName="_Int_EWiUjNmN" int2:invalidationBookmarkName="" int2:hashCode="9C72ISgCXH/Tj0" int2:id="147PcUfI">
      <int2:state int2:type="AugLoop_Text_Critique" int2:value="Rejected"/>
    </int2:bookmark>
    <int2:bookmark int2:bookmarkName="_Int_WiXdon5I" int2:invalidationBookmarkName="" int2:hashCode="bc1M4j2I4u6VaL" int2:id="3QFVC7Bu">
      <int2:state int2:type="AugLoop_Text_Critique" int2:value="Rejected"/>
    </int2:bookmark>
    <int2:bookmark int2:bookmarkName="_Int_sVtXocqH" int2:invalidationBookmarkName="" int2:hashCode="bc1M4j2I4u6VaL" int2:id="1ZWjCCxY">
      <int2:state int2:type="AugLoop_Text_Critique" int2:value="Rejected"/>
    </int2:bookmark>
    <int2:bookmark int2:bookmarkName="_Int_nJSaavd7" int2:invalidationBookmarkName="" int2:hashCode="tH82PitDDAZH8U" int2:id="zAmj2op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1f9f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e17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20e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7795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84ff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4002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281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953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838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1f1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0ad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f47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ECCACF"/>
    <w:rsid w:val="03043DCA"/>
    <w:rsid w:val="057852BC"/>
    <w:rsid w:val="09CA0672"/>
    <w:rsid w:val="0E877761"/>
    <w:rsid w:val="0FA1DDE7"/>
    <w:rsid w:val="100BB28A"/>
    <w:rsid w:val="110A5250"/>
    <w:rsid w:val="113DAE48"/>
    <w:rsid w:val="119EFF5A"/>
    <w:rsid w:val="1AF266CE"/>
    <w:rsid w:val="1B61982E"/>
    <w:rsid w:val="1FEFAF40"/>
    <w:rsid w:val="220DE17A"/>
    <w:rsid w:val="25C2991F"/>
    <w:rsid w:val="25E77745"/>
    <w:rsid w:val="25E77745"/>
    <w:rsid w:val="26C70338"/>
    <w:rsid w:val="270FBF9E"/>
    <w:rsid w:val="275E6980"/>
    <w:rsid w:val="27ECCACF"/>
    <w:rsid w:val="3953298B"/>
    <w:rsid w:val="3DD1393C"/>
    <w:rsid w:val="411EC7FB"/>
    <w:rsid w:val="4193EFC6"/>
    <w:rsid w:val="41F60A26"/>
    <w:rsid w:val="432FC027"/>
    <w:rsid w:val="44CB9088"/>
    <w:rsid w:val="4AC5EEFC"/>
    <w:rsid w:val="4D88D192"/>
    <w:rsid w:val="4DC349D1"/>
    <w:rsid w:val="4E7E82A6"/>
    <w:rsid w:val="4F6D4CA6"/>
    <w:rsid w:val="51DB9906"/>
    <w:rsid w:val="51E44FDA"/>
    <w:rsid w:val="521A77D5"/>
    <w:rsid w:val="529381FC"/>
    <w:rsid w:val="56FC2C07"/>
    <w:rsid w:val="58857F1B"/>
    <w:rsid w:val="59F261AF"/>
    <w:rsid w:val="5F9DA8EA"/>
    <w:rsid w:val="63C43E48"/>
    <w:rsid w:val="6896E57B"/>
    <w:rsid w:val="6A32B5DC"/>
    <w:rsid w:val="6A74EA44"/>
    <w:rsid w:val="6D958B29"/>
    <w:rsid w:val="6F8EF085"/>
    <w:rsid w:val="701ADA0D"/>
    <w:rsid w:val="73410F63"/>
    <w:rsid w:val="739E2CE8"/>
    <w:rsid w:val="7539FD49"/>
    <w:rsid w:val="75D9A212"/>
    <w:rsid w:val="76D5CDAA"/>
    <w:rsid w:val="78719E0B"/>
    <w:rsid w:val="7D8780F0"/>
    <w:rsid w:val="7E2D1B5D"/>
    <w:rsid w:val="7FF6E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CCACF"/>
  <w15:chartTrackingRefBased/>
  <w15:docId w15:val="{3D20987C-1AA1-4BBD-973B-B4AD1671BA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ra.ac.uk/publications/ethical-guidelines-for-education-research-2018" TargetMode="External" Id="R82b266302fb44a94" /><Relationship Type="http://schemas.openxmlformats.org/officeDocument/2006/relationships/hyperlink" Target="https://www.activelylearn.com/post/formative-assessment-tracking-student-learning-in-real-time" TargetMode="External" Id="Raad90e4fe3ed411f" /><Relationship Type="http://schemas.openxmlformats.org/officeDocument/2006/relationships/hyperlink" Target="https://www.researchgate.net/figure/Key-aspects-of-formative-assessment-Black-and-Wiliam-2009_fig3_228098304" TargetMode="External" Id="R3a6fb71fd892448d" /><Relationship Type="http://schemas.openxmlformats.org/officeDocument/2006/relationships/hyperlink" Target="https://www.bbc.co.uk/food/articles/food_poverty" TargetMode="External" Id="Re5a0aaac4cbe4310" /><Relationship Type="http://schemas.openxmlformats.org/officeDocument/2006/relationships/hyperlink" Target="https://www.bigbocsbwyd.co.uk/" TargetMode="External" Id="Re3f355c187d44d8d" /><Relationship Type="http://schemas.openxmlformats.org/officeDocument/2006/relationships/hyperlink" Target="https://bb-live-bucket.s3.eu-west-2.amazonaws.com/resourceFiles/1061657534471.pdf" TargetMode="External" Id="R1dd77b76df134cfc" /><Relationship Type="http://schemas.openxmlformats.org/officeDocument/2006/relationships/hyperlink" Target="https://www.theguardian.com/teacher-network/zurich-school-competition/school-space-curriculum-benefit-students-community" TargetMode="External" Id="R4947904b03474ceb" /><Relationship Type="http://schemas.openxmlformats.org/officeDocument/2006/relationships/hyperlink" Target="https://study.sagepub.com/sites/default/files/bera_ethical_guidelines_2018_4th_ed.pdf" TargetMode="External" Id="R7241d2c2842943d1" /><Relationship Type="http://schemas.openxmlformats.org/officeDocument/2006/relationships/hyperlink" Target="https://www.birchgroveswansea.co.uk/about-us" TargetMode="External" Id="R3a79dd3405a44a2e" /><Relationship Type="http://schemas.openxmlformats.org/officeDocument/2006/relationships/hyperlink" Target="https://bb-live-bucket.s3.eu-west-2.amazonaws.com/resourceFiles/9841618855415.pdf" TargetMode="External" Id="Rb46f16fdba16495f" /><Relationship Type="http://schemas.openxmlformats.org/officeDocument/2006/relationships/hyperlink" Target="https://hwb.gov.wales/storage/b44ad45b-ff78-430a-9423-36feb86aaf7e/curriculum-for-wales-guidance.pdf" TargetMode="External" Id="Re68847c08f45413a" /><Relationship Type="http://schemas.openxmlformats.org/officeDocument/2006/relationships/hyperlink" Target="https://cynefin.io/wiki/Cynefin" TargetMode="External" Id="Rcbec4d70e9e142a9" /><Relationship Type="http://schemas.openxmlformats.org/officeDocument/2006/relationships/hyperlink" Target="https://www.gov.wales/sites/default/files/publications/2018-03/the-four-purposes-of-the-curriculum-for-wales.pdf" TargetMode="External" Id="Rabe6a68284b5443b" /><Relationship Type="http://schemas.openxmlformats.org/officeDocument/2006/relationships/hyperlink" Target="https://www.education-ni.gov.uk/articles/school-development-planning" TargetMode="External" Id="Recaa50cc2a2e495b" /><Relationship Type="http://schemas.openxmlformats.org/officeDocument/2006/relationships/hyperlink" Target="https://www.estyn.gov.wales/effective-practice/working-partnership-parents-and-community" TargetMode="External" Id="R83b51c4849ed4315" /><Relationship Type="http://schemas.openxmlformats.org/officeDocument/2006/relationships/hyperlink" Target="https://www.estyn.gov.wales/system/files/2022-01/Birchgrove%2520Primary.pdf" TargetMode="External" Id="R1aea81caaed84209" /><Relationship Type="http://schemas.openxmlformats.org/officeDocument/2006/relationships/hyperlink" Target="https://www.estyn.gov.wales/system/files/2021-08/Community%2520Schools%2520en.pdf" TargetMode="External" Id="R1a8d0ff2d27345e4" /><Relationship Type="http://schemas.openxmlformats.org/officeDocument/2006/relationships/hyperlink" Target="https://www.foodliteracycenter.org/what-food-literacy" TargetMode="External" Id="Re882c72cc5364c25" /><Relationship Type="http://schemas.openxmlformats.org/officeDocument/2006/relationships/hyperlink" Target="https://bb-live-bucket.s3.eu-west-2.amazonaws.com/resourceFiles/9531635577351.pdf" TargetMode="External" Id="R26a241af7fd84cd9" /><Relationship Type="http://schemas.openxmlformats.org/officeDocument/2006/relationships/hyperlink" Target="https://www.understood.org/en/articles/the-importance-of-staying-motivated-for-kids-with-learning-and-thinking-differences" TargetMode="External" Id="R64da6fc32bdb43e7" /><Relationship Type="http://schemas.openxmlformats.org/officeDocument/2006/relationships/hyperlink" Target="https://simplypsychology.org/qualitative-quantitative.html" TargetMode="External" Id="R01f46d4f4c78458c" /><Relationship Type="http://schemas.openxmlformats.org/officeDocument/2006/relationships/hyperlink" Target="https://simplypsychology.org/Bronfenbrenner.html" TargetMode="External" Id="Rb434d2e0a8ae4541" /><Relationship Type="http://schemas.openxmlformats.org/officeDocument/2006/relationships/hyperlink" Target="https://bb-live-bucket.s3.eu-west-2.amazonaws.com/resourceFiles/2661619603049.pdf" TargetMode="External" Id="R9b48c62374cb4313" /><Relationship Type="http://schemas.openxmlformats.org/officeDocument/2006/relationships/hyperlink" Target="https://blog.optimus-education.com/community-school-and-school-community" TargetMode="External" Id="R8cc1810f48244d12" /><Relationship Type="http://schemas.openxmlformats.org/officeDocument/2006/relationships/hyperlink" Target="https://www.pontarddulaisprimaryschool.co.uk/arts-council-of-wales-working-whispers/" TargetMode="External" Id="R6b0d2c1183f64069" /><Relationship Type="http://schemas.openxmlformats.org/officeDocument/2006/relationships/hyperlink" Target="https://www.schoolmoney.org/fundraising-ideas-for-schools/" TargetMode="External" Id="R5c20b71a88484922" /><Relationship Type="http://schemas.openxmlformats.org/officeDocument/2006/relationships/hyperlink" Target="https://www.humanrightscareers.com/issues/social-justice-issues/" TargetMode="External" Id="R13c6732224cd46af" /><Relationship Type="http://schemas.openxmlformats.org/officeDocument/2006/relationships/hyperlink" Target="https://www.thescottishsun.co.uk/news/8259612/school-grocery-store-parents-weekly-shop/" TargetMode="External" Id="R45e5e91134f543c1" /><Relationship Type="http://schemas.openxmlformats.org/officeDocument/2006/relationships/hyperlink" Target="https://www.teachthought.com/pedagogy/6-types-assessment-learning/" TargetMode="External" Id="R2e1e5ee8fa234914" /><Relationship Type="http://schemas.openxmlformats.org/officeDocument/2006/relationships/hyperlink" Target="https://www.unicef.org.uk/press-releases/poor-diets-damaging-childrens-health-warns-unicef/" TargetMode="External" Id="R0b9be39057ba42cf" /><Relationship Type="http://schemas.openxmlformats.org/officeDocument/2006/relationships/hyperlink" Target="https://hwb.gov.wales/api/storage/60d885cd-6c39-49e7-889c-f86f21c510f8/making-the-most-of-assessment.pdf" TargetMode="External" Id="R10bbcd9cac344b25" /><Relationship Type="http://schemas.openxmlformats.org/officeDocument/2006/relationships/hyperlink" Target="https://www.gov.wales/sites/default/files/publications/2018-03/school-development-plans.pdf" TargetMode="External" Id="R1eac25c290254372" /><Relationship Type="http://schemas.openxmlformats.org/officeDocument/2006/relationships/hyperlink" Target="https://www.gov.wales/sites/default/files/publications/2018-12/face-the-challenge-together-family-and-community-engagement-toolkit-for-schools-in-wales-main-guidance.pdf" TargetMode="External" Id="R8bc26912e2a4430d" /><Relationship Type="http://schemas.openxmlformats.org/officeDocument/2006/relationships/hyperlink" Target="https://hwb.gov.wales/professional-development/professional-standards/" TargetMode="External" Id="Ra53aac5499fe4c6e" /><Relationship Type="http://schemas.openxmlformats.org/officeDocument/2006/relationships/hyperlink" Target="https://www.estyn.gov.wales/news/parental-involvement-schools-helps-pupils-achieve" TargetMode="External" Id="R67a03fad53f24a1a" /><Relationship Type="http://schemas.openxmlformats.org/officeDocument/2006/relationships/hyperlink" Target="https://hwb.gov.wales/curriculum-for-wales" TargetMode="External" Id="R906907a8850f487b" /><Relationship Type="http://schemas.openxmlformats.org/officeDocument/2006/relationships/hyperlink" Target="https://hwb.gov.wales/curriculum-for-wales" TargetMode="External" Id="Re72383ba556641b4" /><Relationship Type="http://schemas.openxmlformats.org/officeDocument/2006/relationships/hyperlink" Target="https://www.gov.wales/poverty-and-deprivation-national-survey-wales-april-2021-march-2022-html" TargetMode="External" Id="R5950b78ea07d4c02" /><Relationship Type="http://schemas.openxmlformats.org/officeDocument/2006/relationships/hyperlink" Target="https://www.bigissue.com/news/social-justice/food-poverty-in-the-uk-the-causes-figures-and-solutions/" TargetMode="External" Id="Re8155ae12e0b423e" /><Relationship Type="http://schemas.openxmlformats.org/officeDocument/2006/relationships/image" Target="/media/image.png" Id="Re27bc4e7d7374cdc" /><Relationship Type="http://schemas.microsoft.com/office/2020/10/relationships/intelligence" Target="/word/intelligence2.xml" Id="Re10098ca2a5d4a8f" /><Relationship Type="http://schemas.openxmlformats.org/officeDocument/2006/relationships/numbering" Target="/word/numbering.xml" Id="R255a25544b0f4d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Browne (2102922)</dc:creator>
  <keywords/>
  <dc:description/>
  <lastModifiedBy>Meg Browne (2102922)</lastModifiedBy>
  <revision>2</revision>
  <dcterms:created xsi:type="dcterms:W3CDTF">2023-03-17T16:59:30.1410011Z</dcterms:created>
  <dcterms:modified xsi:type="dcterms:W3CDTF">2023-03-17T18:00:07.0515823Z</dcterms:modified>
</coreProperties>
</file>