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0826C" w14:textId="15A7D994" w:rsidR="00773B80" w:rsidRDefault="00567FEA">
      <w:pPr>
        <w:rPr>
          <w:b/>
          <w:bCs/>
          <w:u w:val="single"/>
        </w:rPr>
      </w:pPr>
      <w:r>
        <w:rPr>
          <w:rFonts w:ascii="Aptos Display" w:eastAsia="Times New Roman" w:hAnsi="Aptos Display"/>
          <w:color w:val="000000"/>
          <w:sz w:val="66"/>
          <w:szCs w:val="66"/>
          <w:shd w:val="clear" w:color="auto" w:fill="ACB2BB"/>
        </w:rPr>
        <w:t>Understanding and supporting children with ADHD</w:t>
      </w:r>
    </w:p>
    <w:p w14:paraId="4FDDA534" w14:textId="77777777" w:rsidR="00773B80" w:rsidRDefault="00773B80">
      <w:pPr>
        <w:rPr>
          <w:b/>
          <w:bCs/>
          <w:u w:val="single"/>
        </w:rPr>
      </w:pPr>
    </w:p>
    <w:p w14:paraId="1C949AE9" w14:textId="7C30E9CE" w:rsidR="00773B80" w:rsidRDefault="00773B80">
      <w:pPr>
        <w:pStyle w:val="p1"/>
        <w:divId w:val="1455831356"/>
      </w:pPr>
      <w:r>
        <w:rPr>
          <w:rStyle w:val="s1"/>
        </w:rPr>
        <w:t xml:space="preserve">ADHD (Attention-Deficit/Hyperactivity Disorder) is typically identified in children through a careful and compassionate process that involves ongoing observations, developmental assessments, and close collaboration between families, educators, and healthcare professionals. It often begins when a parent or teacher notices that a child is consistently struggling with concentration, impulsivity, or hyperactive behaviours that go beyond what’s expected for their age. These behaviours can affect everyday life—whether it’s difficulty sitting still in class, frequent forgetfulness, or trouble following instructions at home. When concerns </w:t>
      </w:r>
      <w:r w:rsidR="004A76E2">
        <w:rPr>
          <w:rStyle w:val="s1"/>
        </w:rPr>
        <w:t>endure</w:t>
      </w:r>
      <w:r>
        <w:rPr>
          <w:rStyle w:val="s1"/>
        </w:rPr>
        <w:t>t, families are usually referred to a specialist such as a paediatrician, child psychologist, or a Child and Adolescent Mental Health Services (CAMHS) team for a thorough assessment. Clinicians follow diagnostic frameworks like the DSM-5-TR or ICD-11, which state that at least six symptoms of inattention and/or hyperactivity-impulsivity must be present for at least six months across more than one setting, such as school and home (American Psychiatric Association, 2022; World Health Organization, 2022). To support this process, tools like the Conners’ Rating Scale and the Vanderbilt ADHD Diagnostic Rating Scale are used to collect insights from both parents and teachers. Professionals also conduct interviews, observe the child in different environments, and review their medical, developmental, and family background to rule out other conditions such as anxiety, autism, or learning difficulties (NICE, 2018). Because ADHD symptoms often overlap with other diagnoses, differential diagnosis is key to ensuring the child receives the right kind of help. Once all the information is gathered, a diagnosis is made and shared with the family, along with a personalised plan that may include school-based interventions, behavioural support, or medication. This thorough and thoughtful approach aims not just to label, but to understand and support each child in a way that respects their individuality and helps them thrive.</w:t>
      </w:r>
    </w:p>
    <w:p w14:paraId="1A00145C" w14:textId="4F4AEADF" w:rsidR="005F521D" w:rsidRDefault="005F521D">
      <w:pPr>
        <w:pStyle w:val="p1"/>
        <w:divId w:val="276570843"/>
      </w:pPr>
      <w:r>
        <w:rPr>
          <w:rStyle w:val="s1"/>
        </w:rPr>
        <w:t xml:space="preserve">Identifying and diagnosing ADHD in children can be a complex and emotionally charged process, filled with both challenges and opportunities for meaningful support. One of the main difficulties lies in the </w:t>
      </w:r>
      <w:r>
        <w:rPr>
          <w:rStyle w:val="s2"/>
        </w:rPr>
        <w:t>subjective nature of the symptoms</w:t>
      </w:r>
      <w:r>
        <w:rPr>
          <w:rStyle w:val="s1"/>
        </w:rPr>
        <w:t xml:space="preserve">, which can closely resemble behaviours associated with other conditions like anxiety, autism spectrum disorder, or even trauma (NICE, 2018). This often makes it hard for professionals to determine whether a child is experiencing ADHD or something else entirely. Furthermore, </w:t>
      </w:r>
      <w:r>
        <w:rPr>
          <w:rStyle w:val="s2"/>
        </w:rPr>
        <w:t xml:space="preserve">biases linked to gender, race, and </w:t>
      </w:r>
      <w:r w:rsidR="004E06E4">
        <w:rPr>
          <w:rStyle w:val="s2"/>
        </w:rPr>
        <w:t xml:space="preserve">class related </w:t>
      </w:r>
      <w:r>
        <w:rPr>
          <w:rStyle w:val="s2"/>
        </w:rPr>
        <w:t>status</w:t>
      </w:r>
      <w:r>
        <w:rPr>
          <w:rStyle w:val="s1"/>
        </w:rPr>
        <w:t xml:space="preserve"> can contribute to underdiagnosis or misdiagnosis—particularly among girls and children from ethnic minority backgrounds, who may not display the typical “hyperactive” traits often associated with ADHD (Sayal et al., 2018). A lack of consistent training and awareness among teachers can also delay early identification, especially since school staff are often the first to observe behavioural concerns. In many public healthcare systems, long waiting times for specialist assessments can mean that families are left without answers during critical stages of a child’s development. Despite these hurdles, when ADHD is diagnosed accurately and thoughtfully, the benefits can be life-changing. Families often feel </w:t>
      </w:r>
      <w:r>
        <w:rPr>
          <w:rStyle w:val="s2"/>
        </w:rPr>
        <w:t>relieved and validated</w:t>
      </w:r>
      <w:r>
        <w:rPr>
          <w:rStyle w:val="s1"/>
        </w:rPr>
        <w:t xml:space="preserve">, gaining a better understanding of their child’s behaviour and needs. A confirmed diagnosis can also open doors to </w:t>
      </w:r>
      <w:r>
        <w:rPr>
          <w:rStyle w:val="s2"/>
        </w:rPr>
        <w:t>tailored support</w:t>
      </w:r>
      <w:r>
        <w:rPr>
          <w:rStyle w:val="s1"/>
        </w:rPr>
        <w:t>, such as behavioural interventions, educational adjustments, and, when appropriate, medication. Early identification allows children to build their confidence, develop essential coping strategies, and thrive socially and academically. When carried out holistically and with cultural awareness, the diagnostic process becomes far more than a clinical label—it becomes a path to empowerment, understanding, and lasting support.</w:t>
      </w:r>
    </w:p>
    <w:p w14:paraId="2B18767D" w14:textId="01FE36BB" w:rsidR="00762665" w:rsidRDefault="00762665">
      <w:pPr>
        <w:pStyle w:val="p1"/>
        <w:divId w:val="858198979"/>
        <w:rPr>
          <w:rStyle w:val="s1"/>
        </w:rPr>
      </w:pPr>
      <w:r>
        <w:rPr>
          <w:rStyle w:val="s1"/>
        </w:rPr>
        <w:t xml:space="preserve">Children with ADHD often face a wide range of barriers that can deeply affect their development, learning journey, and emotional wellbeing. One of the biggest hurdles is the persistent </w:t>
      </w:r>
      <w:r>
        <w:rPr>
          <w:rStyle w:val="s2"/>
        </w:rPr>
        <w:t>stigma and misunderstanding</w:t>
      </w:r>
      <w:r>
        <w:rPr>
          <w:rStyle w:val="s1"/>
        </w:rPr>
        <w:t xml:space="preserve"> surrounding the condition. Too often, children are unfairly labelled as “naughty” or “lazy,” which can lead to feelings of isolation, low self-worth, and strained relationships with both peers and adults (ADHD Foundation, 2024). In schools, many children with ADHD struggle to meet expectations around focus, behaviour, and organisation, which can unfortunately result in disciplinary measures such as detentions or even exclusions, rather than the support they actually need (Department for Education, 2022). A lack of teacher training around neurodiversity and ADHD in particular means that many educators may misinterpret a child’s behaviour as</w:t>
      </w:r>
      <w:r w:rsidR="0051217B">
        <w:rPr>
          <w:rStyle w:val="s1"/>
        </w:rPr>
        <w:t xml:space="preserve"> disobedience </w:t>
      </w:r>
      <w:r>
        <w:rPr>
          <w:rStyle w:val="s1"/>
        </w:rPr>
        <w:t xml:space="preserve">, especially when it is disruptive or impulsive (Ford et al., 2020). Another major barrier is </w:t>
      </w:r>
      <w:r>
        <w:rPr>
          <w:rStyle w:val="s2"/>
        </w:rPr>
        <w:t>unequal access to diagnosis and treatment</w:t>
      </w:r>
      <w:r>
        <w:rPr>
          <w:rStyle w:val="s1"/>
        </w:rPr>
        <w:t>. Children from low-income families, ethnic minorities, or those living in rural areas often experience long waits, misdiagnosis, or are simply overlooked due to systemic inequalities (NICE, 2018). At home, families may feel isolated, judged, or blamed for their child’s difficulties—especially when they are offered little or no external support. Co-occurring conditions such as anxiety, dyslexia, or autism spectrum disorder can further complicate the diagnostic process and make finding appropriate interventions more difficult (CHADD, 2023). Without early, well-coordinated support, these challenges can escalate, increasing the risk of poor academic performance, emotional distress, and mental health difficulties as the child grows. Addressing these barriers requires a proactive, inclusive, and compassionate approach—one that brings together schools, families, and healthcare providers to ensure that every child with ADHD gets the opportunity to thrive.</w:t>
      </w:r>
    </w:p>
    <w:p w14:paraId="1D625CE8" w14:textId="77777777" w:rsidR="003C04D9" w:rsidRDefault="003C04D9">
      <w:pPr>
        <w:pStyle w:val="p1"/>
        <w:divId w:val="858198979"/>
        <w:rPr>
          <w:rStyle w:val="s1"/>
        </w:rPr>
      </w:pPr>
    </w:p>
    <w:p w14:paraId="7A43A572" w14:textId="77777777" w:rsidR="003C04D9" w:rsidRDefault="003C04D9">
      <w:pPr>
        <w:pStyle w:val="p1"/>
        <w:divId w:val="1352562398"/>
      </w:pPr>
      <w:r>
        <w:rPr>
          <w:rStyle w:val="s1"/>
        </w:rPr>
        <w:t xml:space="preserve">ADHD can deeply shape a child’s experiences across all areas of life—from how they learn in school to how they connect with others and manage their emotions. In the classroom, many children with ADHD struggle with maintaining focus, completing tasks, and following multi-step instructions. These challenges often lead to </w:t>
      </w:r>
      <w:r>
        <w:rPr>
          <w:rStyle w:val="s2"/>
        </w:rPr>
        <w:t>underachievement</w:t>
      </w:r>
      <w:r>
        <w:rPr>
          <w:rStyle w:val="s1"/>
        </w:rPr>
        <w:t xml:space="preserve"> and academic frustration, even when the child is capable and intelligent (NICE, 2018). Over time, repeated struggles and negative feedback can chip away at a child’s </w:t>
      </w:r>
      <w:r>
        <w:rPr>
          <w:rStyle w:val="s2"/>
        </w:rPr>
        <w:t>self-esteem</w:t>
      </w:r>
      <w:r>
        <w:rPr>
          <w:rStyle w:val="s1"/>
        </w:rPr>
        <w:t xml:space="preserve">, especially as they compare themselves to peers who seem to progress more easily (ADHD Foundation, 2023). Socially, impulsivity or hyperactivity can make it difficult for children with ADHD to form and maintain friendships. Peers may misinterpret their behaviour as disruptive or inappropriate, which can lead to </w:t>
      </w:r>
      <w:r>
        <w:rPr>
          <w:rStyle w:val="s2"/>
        </w:rPr>
        <w:t>rejection, isolation, or even bullying</w:t>
      </w:r>
      <w:r>
        <w:rPr>
          <w:rStyle w:val="s1"/>
        </w:rPr>
        <w:t xml:space="preserve"> (CHADD, 2023). Emotionally, many children with ADHD are more vulnerable to conditions such as </w:t>
      </w:r>
      <w:r>
        <w:rPr>
          <w:rStyle w:val="s2"/>
        </w:rPr>
        <w:t>anxiety, depression, and emotional dysregulation</w:t>
      </w:r>
      <w:r>
        <w:rPr>
          <w:rStyle w:val="s1"/>
        </w:rPr>
        <w:t xml:space="preserve">, especially when they feel misunderstood or unsupported (Ford et al., 2020). These emotional difficulties, combined with behavioural challenges, can also place strain on family relationships, sometimes leading to conflict, guilt, or frustration at home. Without appropriate intervention, the effects of ADHD may continue into adolescence and adulthood—impacting school retention, employment, relationships, and even increasing the risk of substance misuse (Sayal et al., 2018). However, the picture is far from hopeless. With </w:t>
      </w:r>
      <w:r>
        <w:rPr>
          <w:rStyle w:val="s2"/>
        </w:rPr>
        <w:t>early diagnosis, tailored support, and consistent encouragement</w:t>
      </w:r>
      <w:r>
        <w:rPr>
          <w:rStyle w:val="s1"/>
        </w:rPr>
        <w:t>, children with ADHD can learn strategies to manage their symptoms, develop healthy self-esteem, and flourish both socially and academically. When we understand and support them properly, their differences can become strengths.</w:t>
      </w:r>
    </w:p>
    <w:p w14:paraId="5ED5F181" w14:textId="77777777" w:rsidR="003C04D9" w:rsidRDefault="003C04D9">
      <w:pPr>
        <w:pStyle w:val="p1"/>
        <w:divId w:val="858198979"/>
        <w:rPr>
          <w:rStyle w:val="s1"/>
        </w:rPr>
      </w:pPr>
    </w:p>
    <w:p w14:paraId="3CDCCB1B" w14:textId="77777777" w:rsidR="000A40C4" w:rsidRDefault="000A40C4">
      <w:pPr>
        <w:pStyle w:val="p1"/>
        <w:divId w:val="2007710924"/>
      </w:pPr>
      <w:r>
        <w:rPr>
          <w:rStyle w:val="s1"/>
        </w:rPr>
        <w:t xml:space="preserve">One effective and compassionate strategy used to support children with ADHD is the use of </w:t>
      </w:r>
      <w:r>
        <w:rPr>
          <w:rStyle w:val="s2"/>
        </w:rPr>
        <w:t>visual schedules</w:t>
      </w:r>
      <w:r>
        <w:rPr>
          <w:rStyle w:val="s1"/>
        </w:rPr>
        <w:t xml:space="preserve">—simple, structured tools that bring clarity and calm to a child’s daily routine. Many children with ADHD experience difficulties with attention, memory, and transitioning between tasks, which can lead to frustration and behavioural outbursts (CHADD, 2023). Visual schedules help by </w:t>
      </w:r>
      <w:r>
        <w:rPr>
          <w:rStyle w:val="s2"/>
        </w:rPr>
        <w:t>breaking the day into manageable, predictable steps</w:t>
      </w:r>
      <w:r>
        <w:rPr>
          <w:rStyle w:val="s1"/>
        </w:rPr>
        <w:t xml:space="preserve">, using pictures or icons to show what comes next. In the classroom, for example, a visual timetable might display images for “Morning Work,” “Maths,” “Break Time,” and “Reading.” This helps reduce anxiety, supports smoother transitions, and allows the child to prepare mentally for each part of the day (ADHD Foundation, 2024). At home, these tools can guide children through routines like getting ready in the morning or completing homework, increasing their </w:t>
      </w:r>
      <w:r>
        <w:rPr>
          <w:rStyle w:val="s2"/>
        </w:rPr>
        <w:t>independence and reducing conflict</w:t>
      </w:r>
      <w:r>
        <w:rPr>
          <w:rStyle w:val="s1"/>
        </w:rPr>
        <w:t xml:space="preserve"> with parents or caregivers. Visual schedules don’t just support attention—they give children with ADHD a sense of </w:t>
      </w:r>
      <w:r>
        <w:rPr>
          <w:rStyle w:val="s2"/>
        </w:rPr>
        <w:t>structure, ownership, and confidence</w:t>
      </w:r>
      <w:r>
        <w:rPr>
          <w:rStyle w:val="s1"/>
        </w:rPr>
        <w:t xml:space="preserve"> in navigating their environment (NASEN, 2022). When used consistently and adapted to the child’s unique needs and preferences, this strategy becomes far more than just a picture chart—it becomes a way of helping children thrive with ADHD, empowering them to succeed and feel in control.</w:t>
      </w:r>
    </w:p>
    <w:p w14:paraId="554C907D" w14:textId="77777777" w:rsidR="00206F46" w:rsidRDefault="00206F46">
      <w:pPr>
        <w:pStyle w:val="p1"/>
        <w:divId w:val="696928252"/>
      </w:pPr>
      <w:r>
        <w:rPr>
          <w:rStyle w:val="s1"/>
        </w:rPr>
        <w:t>Visual schedules</w:t>
      </w:r>
      <w:r>
        <w:rPr>
          <w:rStyle w:val="s2"/>
        </w:rPr>
        <w:t xml:space="preserve"> are a valuable tool for supporting children with ADHD, offering structure, consistency, and clarity that can improve focus, behaviour, and task completion. While creating and maintaining them can be time-consuming, and some children may resist or over-rely on them, these challenges are often outweighed by the benefits. Success depends on personalisation and consistent, encouraging use, which can foster independence, reduce anxiety, and enhance emotional regulation at home and school.</w:t>
      </w:r>
    </w:p>
    <w:p w14:paraId="24DC371E" w14:textId="77777777" w:rsidR="009C1394" w:rsidRDefault="009C1394">
      <w:pPr>
        <w:pStyle w:val="p1"/>
        <w:divId w:val="478351953"/>
        <w:rPr>
          <w:rStyle w:val="s1"/>
        </w:rPr>
      </w:pPr>
    </w:p>
    <w:p w14:paraId="2585A420" w14:textId="77777777" w:rsidR="00020DC4" w:rsidRDefault="00020DC4">
      <w:pPr>
        <w:pStyle w:val="p1"/>
        <w:divId w:val="1764766714"/>
        <w:rPr>
          <w:rStyle w:val="s1"/>
        </w:rPr>
      </w:pPr>
    </w:p>
    <w:p w14:paraId="19AAC089" w14:textId="77777777" w:rsidR="00020DC4" w:rsidRPr="00020DC4" w:rsidRDefault="00020DC4" w:rsidP="00020DC4">
      <w:pPr>
        <w:spacing w:before="100" w:beforeAutospacing="1" w:after="100" w:afterAutospacing="1" w:line="240" w:lineRule="auto"/>
        <w:outlineLvl w:val="2"/>
        <w:divId w:val="353532332"/>
        <w:rPr>
          <w:rFonts w:ascii="Times New Roman" w:eastAsia="Times New Roman" w:hAnsi="Times New Roman" w:cs="Times New Roman"/>
          <w:b/>
          <w:bCs/>
          <w:kern w:val="0"/>
          <w:sz w:val="27"/>
          <w:szCs w:val="27"/>
          <w14:ligatures w14:val="none"/>
        </w:rPr>
      </w:pPr>
      <w:r w:rsidRPr="00020DC4">
        <w:rPr>
          <w:rFonts w:ascii="Times New Roman" w:eastAsia="Times New Roman" w:hAnsi="Times New Roman" w:cs="Times New Roman"/>
          <w:b/>
          <w:bCs/>
          <w:kern w:val="0"/>
          <w:sz w:val="27"/>
          <w:szCs w:val="27"/>
          <w14:ligatures w14:val="none"/>
        </w:rPr>
        <w:t>Common Stimming Behaviors in ADHD:</w:t>
      </w:r>
    </w:p>
    <w:p w14:paraId="46A8FC5E"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Tapping fingers or feet</w:t>
      </w:r>
    </w:p>
    <w:p w14:paraId="5BE68F9E"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Clicking pens</w:t>
      </w:r>
    </w:p>
    <w:p w14:paraId="372088B3"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Fidgeting with objects (e.g., squishies, stress balls, fidget spinners)</w:t>
      </w:r>
    </w:p>
    <w:p w14:paraId="76290EDE"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Nail biting or chewing (pencils, collars, etc.)</w:t>
      </w:r>
    </w:p>
    <w:p w14:paraId="202C64AB"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Humming or making repetitive noises</w:t>
      </w:r>
    </w:p>
    <w:p w14:paraId="621EBDEC" w14:textId="77777777" w:rsidR="00020DC4" w:rsidRPr="00020DC4" w:rsidRDefault="00020DC4" w:rsidP="00020DC4">
      <w:pPr>
        <w:numPr>
          <w:ilvl w:val="0"/>
          <w:numId w:val="3"/>
        </w:numPr>
        <w:spacing w:before="100" w:beforeAutospacing="1" w:after="100" w:afterAutospacing="1" w:line="240" w:lineRule="auto"/>
        <w:divId w:val="353532332"/>
        <w:rPr>
          <w:rFonts w:ascii="Times New Roman" w:hAnsi="Times New Roman" w:cs="Times New Roman"/>
          <w:kern w:val="0"/>
          <w14:ligatures w14:val="none"/>
        </w:rPr>
      </w:pPr>
      <w:r w:rsidRPr="00020DC4">
        <w:rPr>
          <w:rFonts w:ascii="Times New Roman" w:hAnsi="Times New Roman" w:cs="Times New Roman"/>
          <w:kern w:val="0"/>
          <w14:ligatures w14:val="none"/>
        </w:rPr>
        <w:t>Rocking or shifting in seats frequently</w:t>
      </w:r>
    </w:p>
    <w:p w14:paraId="05953AA1" w14:textId="77777777" w:rsidR="00020DC4" w:rsidRDefault="00020DC4">
      <w:pPr>
        <w:pStyle w:val="p1"/>
        <w:divId w:val="1764766714"/>
      </w:pPr>
    </w:p>
    <w:p w14:paraId="11C90E2E" w14:textId="77777777" w:rsidR="009C1394" w:rsidRDefault="009C1394">
      <w:pPr>
        <w:pStyle w:val="p1"/>
        <w:divId w:val="478351953"/>
      </w:pPr>
    </w:p>
    <w:p w14:paraId="494859E1" w14:textId="77777777" w:rsidR="000A40C4" w:rsidRDefault="000A40C4">
      <w:pPr>
        <w:pStyle w:val="p1"/>
        <w:divId w:val="858198979"/>
        <w:rPr>
          <w:rStyle w:val="s1"/>
        </w:rPr>
      </w:pPr>
    </w:p>
    <w:p w14:paraId="234BF4DA" w14:textId="77777777" w:rsidR="003C04D9" w:rsidRDefault="003C04D9">
      <w:pPr>
        <w:pStyle w:val="p1"/>
        <w:divId w:val="858198979"/>
        <w:rPr>
          <w:rStyle w:val="s1"/>
        </w:rPr>
      </w:pPr>
    </w:p>
    <w:p w14:paraId="11025C9E" w14:textId="77777777" w:rsidR="003C04D9" w:rsidRDefault="003C04D9">
      <w:pPr>
        <w:pStyle w:val="p1"/>
        <w:divId w:val="858198979"/>
      </w:pPr>
    </w:p>
    <w:p w14:paraId="76C6625C" w14:textId="04DA43EE" w:rsidR="00773B80" w:rsidRDefault="00FE1328">
      <w:pPr>
        <w:rPr>
          <w:b/>
          <w:bCs/>
          <w:u w:val="single"/>
        </w:rPr>
      </w:pPr>
      <w:r>
        <w:rPr>
          <w:b/>
          <w:bCs/>
          <w:u w:val="single"/>
        </w:rPr>
        <w:t xml:space="preserve">Reference list </w:t>
      </w:r>
    </w:p>
    <w:p w14:paraId="50E47DB6" w14:textId="77777777" w:rsidR="00AC1601" w:rsidRDefault="00E52CD6">
      <w:pPr>
        <w:pStyle w:val="p1"/>
        <w:divId w:val="1130631293"/>
      </w:pPr>
      <w:r>
        <w:rPr>
          <w:rStyle w:val="s1"/>
        </w:rPr>
        <w:t xml:space="preserve">American Psychiatric Association (2022) </w:t>
      </w:r>
      <w:r>
        <w:rPr>
          <w:rStyle w:val="s2"/>
        </w:rPr>
        <w:t>Diagnostic and statistical manual of mental disorders (DSM-5-TR)</w:t>
      </w:r>
      <w:r>
        <w:rPr>
          <w:rStyle w:val="s1"/>
        </w:rPr>
        <w:t>. 5th edn, Text Revision. Washington, DC: American Psychiatric Association. Available at:</w:t>
      </w:r>
      <w:r>
        <w:rPr>
          <w:rStyle w:val="apple-converted-space"/>
        </w:rPr>
        <w:t> </w:t>
      </w:r>
      <w:hyperlink r:id="rId7" w:history="1">
        <w:r w:rsidR="00922FBB" w:rsidRPr="00A44FC5">
          <w:rPr>
            <w:rStyle w:val="Hyperlink"/>
          </w:rPr>
          <w:t>https://www.psychiatry.org/psychiatrists/practice/dsm</w:t>
        </w:r>
      </w:hyperlink>
      <w:r w:rsidR="00922FBB">
        <w:rPr>
          <w:rStyle w:val="apple-converted-space"/>
        </w:rPr>
        <w:t xml:space="preserve"> </w:t>
      </w:r>
      <w:r w:rsidR="00AC1601">
        <w:rPr>
          <w:rStyle w:val="s1"/>
        </w:rPr>
        <w:t>(Accessed: 15 April 2025).</w:t>
      </w:r>
    </w:p>
    <w:p w14:paraId="24608FE4" w14:textId="77777777" w:rsidR="005B6DDA" w:rsidRDefault="006B2691">
      <w:pPr>
        <w:pStyle w:val="p1"/>
        <w:divId w:val="191306968"/>
      </w:pPr>
      <w:r>
        <w:rPr>
          <w:rStyle w:val="s1"/>
        </w:rPr>
        <w:t xml:space="preserve">NICE (2018) </w:t>
      </w:r>
      <w:r>
        <w:rPr>
          <w:rStyle w:val="s2"/>
        </w:rPr>
        <w:t>Attention deficit hyperactivity disorder: diagnosis and management</w:t>
      </w:r>
      <w:r>
        <w:rPr>
          <w:rStyle w:val="s1"/>
        </w:rPr>
        <w:t>. NICE guideline [NG87]. Available at:</w:t>
      </w:r>
      <w:r w:rsidR="005E03D4" w:rsidRPr="005E03D4">
        <w:t xml:space="preserve"> </w:t>
      </w:r>
      <w:hyperlink r:id="rId8" w:history="1">
        <w:r w:rsidR="005E03D4" w:rsidRPr="00A44FC5">
          <w:rPr>
            <w:rStyle w:val="Hyperlink"/>
          </w:rPr>
          <w:t>https://www.nice.org.uk/guidance/ng87</w:t>
        </w:r>
      </w:hyperlink>
      <w:r w:rsidR="005E03D4">
        <w:t xml:space="preserve"> </w:t>
      </w:r>
      <w:r w:rsidR="005B6DDA">
        <w:rPr>
          <w:rStyle w:val="s1"/>
        </w:rPr>
        <w:t>(Accessed: 15 April 2025).</w:t>
      </w:r>
    </w:p>
    <w:p w14:paraId="3D6E8858" w14:textId="277CF439" w:rsidR="00FE1328" w:rsidRDefault="00FE1328" w:rsidP="00484C2D">
      <w:pPr>
        <w:pStyle w:val="p1"/>
        <w:divId w:val="1089741888"/>
      </w:pPr>
    </w:p>
    <w:p w14:paraId="69EE0856" w14:textId="4391D80E" w:rsidR="00FB5F0E" w:rsidRDefault="00E645ED" w:rsidP="00AA6D99">
      <w:pPr>
        <w:pStyle w:val="p1"/>
        <w:divId w:val="898126626"/>
      </w:pPr>
      <w:r>
        <w:rPr>
          <w:rStyle w:val="s1"/>
        </w:rPr>
        <w:t xml:space="preserve">World Health Organization (2022) </w:t>
      </w:r>
      <w:r>
        <w:rPr>
          <w:rStyle w:val="s2"/>
        </w:rPr>
        <w:t>International classification of diseases 11th revision (ICD-11)</w:t>
      </w:r>
      <w:r>
        <w:rPr>
          <w:rStyle w:val="s1"/>
        </w:rPr>
        <w:t>. Available at:</w:t>
      </w:r>
      <w:r w:rsidR="007631BC" w:rsidRPr="007631BC">
        <w:rPr>
          <w:rStyle w:val="s1"/>
        </w:rPr>
        <w:t xml:space="preserve"> </w:t>
      </w:r>
      <w:hyperlink r:id="rId9" w:history="1">
        <w:r w:rsidR="007631BC" w:rsidRPr="00A44FC5">
          <w:rPr>
            <w:rStyle w:val="Hyperlink"/>
          </w:rPr>
          <w:t>https://icd.who.int/en</w:t>
        </w:r>
      </w:hyperlink>
      <w:r w:rsidR="007631BC">
        <w:rPr>
          <w:rStyle w:val="s1"/>
        </w:rPr>
        <w:t xml:space="preserve"> </w:t>
      </w:r>
      <w:r w:rsidR="00D75120">
        <w:rPr>
          <w:rStyle w:val="s1"/>
        </w:rPr>
        <w:t xml:space="preserve"> (Accessed: 15 April 2025).</w:t>
      </w:r>
    </w:p>
    <w:p w14:paraId="0A315003" w14:textId="77777777" w:rsidR="00AA6D99" w:rsidRDefault="00AA6D99" w:rsidP="00AA6D99">
      <w:pPr>
        <w:pStyle w:val="p1"/>
        <w:divId w:val="898126626"/>
      </w:pPr>
    </w:p>
    <w:p w14:paraId="6AB312E4" w14:textId="77777777" w:rsidR="005F2B71" w:rsidRDefault="00AA6D99">
      <w:pPr>
        <w:pStyle w:val="p1"/>
        <w:divId w:val="835191094"/>
      </w:pPr>
      <w:r>
        <w:rPr>
          <w:rStyle w:val="s1"/>
        </w:rPr>
        <w:t xml:space="preserve">Sayal, K., Prasad, V., Daley, D., Ford, T. and Coghill, D. (2018) ‘ADHD in children and young people: prevalence, care pathways, and service provision’, </w:t>
      </w:r>
      <w:r>
        <w:rPr>
          <w:rStyle w:val="s2"/>
        </w:rPr>
        <w:t>The Lancet Psychiatry</w:t>
      </w:r>
      <w:r>
        <w:rPr>
          <w:rStyle w:val="s1"/>
        </w:rPr>
        <w:t>, 5(2), pp. 175–186. Available at:</w:t>
      </w:r>
      <w:r w:rsidR="00A116CA" w:rsidRPr="00A116CA">
        <w:t xml:space="preserve"> </w:t>
      </w:r>
      <w:hyperlink r:id="rId10" w:history="1">
        <w:r w:rsidR="00A116CA" w:rsidRPr="00A44FC5">
          <w:rPr>
            <w:rStyle w:val="Hyperlink"/>
          </w:rPr>
          <w:t>https://www.thelancet.com/journals/lanpsy/article/PIIS2215-0366(17)30167-0/abstract</w:t>
        </w:r>
      </w:hyperlink>
      <w:r w:rsidR="00A116CA">
        <w:t xml:space="preserve"> </w:t>
      </w:r>
      <w:r w:rsidR="005F2B71">
        <w:rPr>
          <w:rStyle w:val="s1"/>
        </w:rPr>
        <w:t>(Accessed: 15 April 2025).</w:t>
      </w:r>
    </w:p>
    <w:p w14:paraId="7E744664" w14:textId="72E8B1D8" w:rsidR="00AA6D99" w:rsidRDefault="00AA6D99" w:rsidP="00AA6D99">
      <w:pPr>
        <w:pStyle w:val="p1"/>
        <w:divId w:val="1304196964"/>
      </w:pPr>
    </w:p>
    <w:p w14:paraId="7B71DB03" w14:textId="77777777" w:rsidR="00F929F5" w:rsidRDefault="00507236">
      <w:pPr>
        <w:pStyle w:val="p1"/>
        <w:divId w:val="1466965235"/>
      </w:pPr>
      <w:r>
        <w:rPr>
          <w:rStyle w:val="s1"/>
        </w:rPr>
        <w:t xml:space="preserve">NICE (2018) </w:t>
      </w:r>
      <w:r>
        <w:rPr>
          <w:rStyle w:val="s2"/>
        </w:rPr>
        <w:t>Attention deficit hyperactivity disorder: diagnosis and management</w:t>
      </w:r>
      <w:r>
        <w:rPr>
          <w:rStyle w:val="s1"/>
        </w:rPr>
        <w:t>. NICE guideline [NG87]. Available at:</w:t>
      </w:r>
      <w:r>
        <w:rPr>
          <w:rStyle w:val="apple-converted-space"/>
        </w:rPr>
        <w:t> </w:t>
      </w:r>
      <w:hyperlink r:id="rId11" w:history="1">
        <w:r w:rsidR="00B3062D" w:rsidRPr="00A44FC5">
          <w:rPr>
            <w:rStyle w:val="Hyperlink"/>
          </w:rPr>
          <w:t>https://www.nice.org.uk/guidance/ng87</w:t>
        </w:r>
      </w:hyperlink>
      <w:r w:rsidR="00B3062D">
        <w:rPr>
          <w:rStyle w:val="apple-converted-space"/>
        </w:rPr>
        <w:t xml:space="preserve"> </w:t>
      </w:r>
      <w:r w:rsidR="00F929F5">
        <w:rPr>
          <w:rStyle w:val="s1"/>
        </w:rPr>
        <w:t>(Accessed: 15 April 2025).</w:t>
      </w:r>
    </w:p>
    <w:p w14:paraId="730135E1" w14:textId="59EC054A" w:rsidR="005F521D" w:rsidRDefault="005F521D" w:rsidP="00507236">
      <w:pPr>
        <w:pStyle w:val="p1"/>
        <w:divId w:val="1523546515"/>
      </w:pPr>
    </w:p>
    <w:p w14:paraId="526359EA" w14:textId="77777777" w:rsidR="000F47BD" w:rsidRDefault="00D62F5A" w:rsidP="000F47BD">
      <w:pPr>
        <w:pStyle w:val="p1"/>
        <w:divId w:val="420875535"/>
        <w:rPr>
          <w:rStyle w:val="s1"/>
        </w:rPr>
      </w:pPr>
      <w:r>
        <w:rPr>
          <w:rStyle w:val="s1"/>
        </w:rPr>
        <w:t xml:space="preserve">CHADD (2023) </w:t>
      </w:r>
      <w:r>
        <w:rPr>
          <w:rStyle w:val="s2"/>
        </w:rPr>
        <w:t>Coexisting conditions and ADHD</w:t>
      </w:r>
      <w:r>
        <w:rPr>
          <w:rStyle w:val="s1"/>
        </w:rPr>
        <w:t>.</w:t>
      </w:r>
      <w:r w:rsidR="006C7626">
        <w:t xml:space="preserve"> Available at:</w:t>
      </w:r>
      <w:r w:rsidR="006C7626" w:rsidRPr="006C7626">
        <w:t xml:space="preserve"> </w:t>
      </w:r>
      <w:hyperlink r:id="rId12" w:history="1">
        <w:r w:rsidR="00AB1E4D" w:rsidRPr="00A44FC5">
          <w:rPr>
            <w:rStyle w:val="Hyperlink"/>
          </w:rPr>
          <w:t>https://chadd.org/for-parents/coexisting-conditions-in-children/</w:t>
        </w:r>
      </w:hyperlink>
      <w:r w:rsidR="00AB1E4D">
        <w:t xml:space="preserve"> </w:t>
      </w:r>
      <w:r w:rsidR="00D82BE2">
        <w:rPr>
          <w:rStyle w:val="s1"/>
        </w:rPr>
        <w:t>(Accessed: 15 April 2025).</w:t>
      </w:r>
    </w:p>
    <w:p w14:paraId="7CB427FB" w14:textId="77777777" w:rsidR="000F47BD" w:rsidRDefault="000F47BD" w:rsidP="000F47BD">
      <w:pPr>
        <w:pStyle w:val="p1"/>
        <w:divId w:val="420875535"/>
        <w:rPr>
          <w:rStyle w:val="s1"/>
        </w:rPr>
      </w:pPr>
    </w:p>
    <w:p w14:paraId="7542B2B5" w14:textId="7670D869" w:rsidR="000F47BD" w:rsidRDefault="00075CF3" w:rsidP="00075CF3">
      <w:pPr>
        <w:pStyle w:val="p1"/>
        <w:divId w:val="490290484"/>
        <w:rPr>
          <w:rStyle w:val="apple-converted-space"/>
        </w:rPr>
      </w:pPr>
      <w:r>
        <w:rPr>
          <w:rStyle w:val="s1"/>
        </w:rPr>
        <w:t xml:space="preserve">NASEN (2022) </w:t>
      </w:r>
      <w:r>
        <w:rPr>
          <w:rStyle w:val="s2"/>
        </w:rPr>
        <w:t>Supporting pupils with ADHD: Tools and strategies</w:t>
      </w:r>
      <w:r>
        <w:rPr>
          <w:rStyle w:val="s1"/>
        </w:rPr>
        <w:t>. Available at:</w:t>
      </w:r>
      <w:r>
        <w:rPr>
          <w:rStyle w:val="apple-converted-space"/>
        </w:rPr>
        <w:t> </w:t>
      </w:r>
      <w:hyperlink r:id="rId13" w:history="1">
        <w:r w:rsidR="0050568B" w:rsidRPr="00A44FC5">
          <w:rPr>
            <w:rStyle w:val="Hyperlink"/>
          </w:rPr>
          <w:t>https://nasen.org.uk/resources/supporting-pupils-adhd</w:t>
        </w:r>
      </w:hyperlink>
      <w:r w:rsidR="0050568B">
        <w:rPr>
          <w:rStyle w:val="apple-converted-space"/>
        </w:rPr>
        <w:t xml:space="preserve"> </w:t>
      </w:r>
      <w:r w:rsidR="002221C9">
        <w:rPr>
          <w:rStyle w:val="apple-converted-space"/>
        </w:rPr>
        <w:t>(accessed 15th April 2025)</w:t>
      </w:r>
    </w:p>
    <w:p w14:paraId="2AA178D4" w14:textId="77777777" w:rsidR="002221C9" w:rsidRDefault="002221C9" w:rsidP="00075CF3">
      <w:pPr>
        <w:pStyle w:val="p1"/>
        <w:divId w:val="490290484"/>
        <w:rPr>
          <w:rStyle w:val="apple-converted-space"/>
        </w:rPr>
      </w:pPr>
    </w:p>
    <w:p w14:paraId="650725F2" w14:textId="77777777" w:rsidR="00B4692A" w:rsidRPr="00B4692A" w:rsidRDefault="00B4692A" w:rsidP="00B4692A">
      <w:pPr>
        <w:numPr>
          <w:ilvl w:val="0"/>
          <w:numId w:val="1"/>
        </w:numPr>
        <w:spacing w:before="100" w:beforeAutospacing="1" w:after="100" w:afterAutospacing="1" w:line="240" w:lineRule="auto"/>
        <w:divId w:val="1852333035"/>
        <w:rPr>
          <w:rFonts w:ascii="Times New Roman" w:hAnsi="Times New Roman" w:cs="Times New Roman"/>
          <w:kern w:val="0"/>
          <w14:ligatures w14:val="none"/>
        </w:rPr>
      </w:pPr>
      <w:r w:rsidRPr="00B4692A">
        <w:rPr>
          <w:rFonts w:ascii="Times New Roman" w:hAnsi="Times New Roman" w:cs="Times New Roman"/>
          <w:kern w:val="0"/>
          <w14:ligatures w14:val="none"/>
        </w:rPr>
        <w:t xml:space="preserve">Banda et al. (2009): </w:t>
      </w:r>
      <w:hyperlink r:id="rId14" w:history="1">
        <w:r w:rsidRPr="00B4692A">
          <w:rPr>
            <w:rFonts w:ascii="Times New Roman" w:hAnsi="Times New Roman" w:cs="Times New Roman"/>
            <w:color w:val="0000FF"/>
            <w:kern w:val="0"/>
            <w:u w:val="single"/>
            <w14:ligatures w14:val="none"/>
          </w:rPr>
          <w:t>Activity Schedules: Helping Students with Autism Spectrum Disorders in General Education Classrooms Manage Transition Issues</w:t>
        </w:r>
      </w:hyperlink>
    </w:p>
    <w:p w14:paraId="10374BB2" w14:textId="77777777" w:rsidR="004A5656" w:rsidRPr="004A5656" w:rsidRDefault="004A5656" w:rsidP="004A5656">
      <w:pPr>
        <w:numPr>
          <w:ilvl w:val="0"/>
          <w:numId w:val="1"/>
        </w:numPr>
        <w:spacing w:before="100" w:beforeAutospacing="1" w:after="100" w:afterAutospacing="1" w:line="240" w:lineRule="auto"/>
        <w:divId w:val="706299169"/>
        <w:rPr>
          <w:rFonts w:ascii="Times New Roman" w:hAnsi="Times New Roman" w:cs="Times New Roman"/>
          <w:kern w:val="0"/>
          <w14:ligatures w14:val="none"/>
        </w:rPr>
      </w:pPr>
      <w:r w:rsidRPr="004A5656">
        <w:rPr>
          <w:rFonts w:ascii="Times New Roman" w:hAnsi="Times New Roman" w:cs="Times New Roman"/>
          <w:kern w:val="0"/>
          <w14:ligatures w14:val="none"/>
        </w:rPr>
        <w:t xml:space="preserve">DuPaul &amp; Stoner (2014): </w:t>
      </w:r>
      <w:hyperlink r:id="rId15" w:history="1">
        <w:r w:rsidRPr="004A5656">
          <w:rPr>
            <w:rFonts w:ascii="Times New Roman" w:hAnsi="Times New Roman" w:cs="Times New Roman"/>
            <w:color w:val="0000FF"/>
            <w:kern w:val="0"/>
            <w:u w:val="single"/>
            <w14:ligatures w14:val="none"/>
          </w:rPr>
          <w:t>ADHD in the Schools: Assessment and Intervention Strategies</w:t>
        </w:r>
      </w:hyperlink>
    </w:p>
    <w:p w14:paraId="76D3DF45" w14:textId="77777777" w:rsidR="00B4692A" w:rsidRDefault="00B4692A" w:rsidP="00075CF3">
      <w:pPr>
        <w:pStyle w:val="p1"/>
        <w:divId w:val="490290484"/>
        <w:rPr>
          <w:rStyle w:val="s1"/>
        </w:rPr>
      </w:pPr>
    </w:p>
    <w:p w14:paraId="0885C06F" w14:textId="77777777" w:rsidR="000F47BD" w:rsidRDefault="000F47BD" w:rsidP="000F47BD">
      <w:pPr>
        <w:pStyle w:val="p1"/>
        <w:divId w:val="420875535"/>
        <w:rPr>
          <w:rStyle w:val="s1"/>
        </w:rPr>
      </w:pPr>
    </w:p>
    <w:p w14:paraId="0B90B0C5" w14:textId="77777777" w:rsidR="000F47BD" w:rsidRDefault="000F47BD" w:rsidP="000F47BD">
      <w:pPr>
        <w:pStyle w:val="p1"/>
        <w:divId w:val="420875535"/>
        <w:rPr>
          <w:rStyle w:val="s1"/>
        </w:rPr>
      </w:pPr>
    </w:p>
    <w:p w14:paraId="5B9473D6" w14:textId="487D5773" w:rsidR="002B0137" w:rsidRPr="00773B80" w:rsidRDefault="00544DFD" w:rsidP="000F47BD">
      <w:pPr>
        <w:pStyle w:val="p1"/>
        <w:divId w:val="420875535"/>
      </w:pPr>
      <w:r>
        <w:t xml:space="preserve"> </w:t>
      </w:r>
    </w:p>
    <w:sectPr w:rsidR="002B0137" w:rsidRPr="00773B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723B2" w14:textId="77777777" w:rsidR="00A316CF" w:rsidRDefault="00A316CF" w:rsidP="00567FEA">
      <w:pPr>
        <w:spacing w:after="0" w:line="240" w:lineRule="auto"/>
      </w:pPr>
      <w:r>
        <w:separator/>
      </w:r>
    </w:p>
  </w:endnote>
  <w:endnote w:type="continuationSeparator" w:id="0">
    <w:p w14:paraId="1BA1A068" w14:textId="77777777" w:rsidR="00A316CF" w:rsidRDefault="00A316CF" w:rsidP="00567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568B3" w14:textId="77777777" w:rsidR="00A316CF" w:rsidRDefault="00A316CF" w:rsidP="00567FEA">
      <w:pPr>
        <w:spacing w:after="0" w:line="240" w:lineRule="auto"/>
      </w:pPr>
      <w:r>
        <w:separator/>
      </w:r>
    </w:p>
  </w:footnote>
  <w:footnote w:type="continuationSeparator" w:id="0">
    <w:p w14:paraId="428D2EE2" w14:textId="77777777" w:rsidR="00A316CF" w:rsidRDefault="00A316CF" w:rsidP="00567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F643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0F4B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5830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3237802">
    <w:abstractNumId w:val="2"/>
  </w:num>
  <w:num w:numId="2" w16cid:durableId="1462263001">
    <w:abstractNumId w:val="1"/>
  </w:num>
  <w:num w:numId="3" w16cid:durableId="807360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B80"/>
    <w:rsid w:val="000003E8"/>
    <w:rsid w:val="00020DC4"/>
    <w:rsid w:val="00075CF3"/>
    <w:rsid w:val="000A40C4"/>
    <w:rsid w:val="000A4E1F"/>
    <w:rsid w:val="000C3C06"/>
    <w:rsid w:val="000C6A53"/>
    <w:rsid w:val="000D5F75"/>
    <w:rsid w:val="000D6A03"/>
    <w:rsid w:val="000F47BD"/>
    <w:rsid w:val="001671BD"/>
    <w:rsid w:val="001B5C39"/>
    <w:rsid w:val="001F4FCA"/>
    <w:rsid w:val="00206F46"/>
    <w:rsid w:val="002221C9"/>
    <w:rsid w:val="00224C0E"/>
    <w:rsid w:val="00271157"/>
    <w:rsid w:val="002B0137"/>
    <w:rsid w:val="003C04D9"/>
    <w:rsid w:val="003C5F1D"/>
    <w:rsid w:val="00484C2D"/>
    <w:rsid w:val="004A5656"/>
    <w:rsid w:val="004A76E2"/>
    <w:rsid w:val="004E06E4"/>
    <w:rsid w:val="0050568B"/>
    <w:rsid w:val="00507236"/>
    <w:rsid w:val="0051217B"/>
    <w:rsid w:val="00544DFD"/>
    <w:rsid w:val="00554DF8"/>
    <w:rsid w:val="00567FEA"/>
    <w:rsid w:val="005B08EC"/>
    <w:rsid w:val="005B6DDA"/>
    <w:rsid w:val="005E03D4"/>
    <w:rsid w:val="005F2B71"/>
    <w:rsid w:val="005F521D"/>
    <w:rsid w:val="00633A8A"/>
    <w:rsid w:val="006B2691"/>
    <w:rsid w:val="006C7626"/>
    <w:rsid w:val="00762665"/>
    <w:rsid w:val="00763162"/>
    <w:rsid w:val="007631BC"/>
    <w:rsid w:val="00773B80"/>
    <w:rsid w:val="007F61B1"/>
    <w:rsid w:val="00812501"/>
    <w:rsid w:val="008160B8"/>
    <w:rsid w:val="00827B0C"/>
    <w:rsid w:val="00884F23"/>
    <w:rsid w:val="00922FBB"/>
    <w:rsid w:val="009C1394"/>
    <w:rsid w:val="009F668D"/>
    <w:rsid w:val="00A116CA"/>
    <w:rsid w:val="00A316CF"/>
    <w:rsid w:val="00A60861"/>
    <w:rsid w:val="00AA6D99"/>
    <w:rsid w:val="00AB1E4D"/>
    <w:rsid w:val="00AC1601"/>
    <w:rsid w:val="00AC46C3"/>
    <w:rsid w:val="00AD589D"/>
    <w:rsid w:val="00B3062D"/>
    <w:rsid w:val="00B36D74"/>
    <w:rsid w:val="00B4692A"/>
    <w:rsid w:val="00B8016D"/>
    <w:rsid w:val="00CE011C"/>
    <w:rsid w:val="00D62F5A"/>
    <w:rsid w:val="00D75120"/>
    <w:rsid w:val="00D82BE2"/>
    <w:rsid w:val="00DF5EB1"/>
    <w:rsid w:val="00E52CD6"/>
    <w:rsid w:val="00E645ED"/>
    <w:rsid w:val="00EF60F2"/>
    <w:rsid w:val="00F929F5"/>
    <w:rsid w:val="00FB5F0E"/>
    <w:rsid w:val="00FE1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32440"/>
  <w15:chartTrackingRefBased/>
  <w15:docId w15:val="{F5858153-8836-5440-914F-CD2169B83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B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B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3B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B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B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B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B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B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B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B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B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B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B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B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B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B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B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B80"/>
    <w:rPr>
      <w:rFonts w:eastAsiaTheme="majorEastAsia" w:cstheme="majorBidi"/>
      <w:color w:val="272727" w:themeColor="text1" w:themeTint="D8"/>
    </w:rPr>
  </w:style>
  <w:style w:type="paragraph" w:styleId="Title">
    <w:name w:val="Title"/>
    <w:basedOn w:val="Normal"/>
    <w:next w:val="Normal"/>
    <w:link w:val="TitleChar"/>
    <w:uiPriority w:val="10"/>
    <w:qFormat/>
    <w:rsid w:val="00773B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B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B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B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B80"/>
    <w:pPr>
      <w:spacing w:before="160"/>
      <w:jc w:val="center"/>
    </w:pPr>
    <w:rPr>
      <w:i/>
      <w:iCs/>
      <w:color w:val="404040" w:themeColor="text1" w:themeTint="BF"/>
    </w:rPr>
  </w:style>
  <w:style w:type="character" w:customStyle="1" w:styleId="QuoteChar">
    <w:name w:val="Quote Char"/>
    <w:basedOn w:val="DefaultParagraphFont"/>
    <w:link w:val="Quote"/>
    <w:uiPriority w:val="29"/>
    <w:rsid w:val="00773B80"/>
    <w:rPr>
      <w:i/>
      <w:iCs/>
      <w:color w:val="404040" w:themeColor="text1" w:themeTint="BF"/>
    </w:rPr>
  </w:style>
  <w:style w:type="paragraph" w:styleId="ListParagraph">
    <w:name w:val="List Paragraph"/>
    <w:basedOn w:val="Normal"/>
    <w:uiPriority w:val="34"/>
    <w:qFormat/>
    <w:rsid w:val="00773B80"/>
    <w:pPr>
      <w:ind w:left="720"/>
      <w:contextualSpacing/>
    </w:pPr>
  </w:style>
  <w:style w:type="character" w:styleId="IntenseEmphasis">
    <w:name w:val="Intense Emphasis"/>
    <w:basedOn w:val="DefaultParagraphFont"/>
    <w:uiPriority w:val="21"/>
    <w:qFormat/>
    <w:rsid w:val="00773B80"/>
    <w:rPr>
      <w:i/>
      <w:iCs/>
      <w:color w:val="0F4761" w:themeColor="accent1" w:themeShade="BF"/>
    </w:rPr>
  </w:style>
  <w:style w:type="paragraph" w:styleId="IntenseQuote">
    <w:name w:val="Intense Quote"/>
    <w:basedOn w:val="Normal"/>
    <w:next w:val="Normal"/>
    <w:link w:val="IntenseQuoteChar"/>
    <w:uiPriority w:val="30"/>
    <w:qFormat/>
    <w:rsid w:val="00773B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B80"/>
    <w:rPr>
      <w:i/>
      <w:iCs/>
      <w:color w:val="0F4761" w:themeColor="accent1" w:themeShade="BF"/>
    </w:rPr>
  </w:style>
  <w:style w:type="character" w:styleId="IntenseReference">
    <w:name w:val="Intense Reference"/>
    <w:basedOn w:val="DefaultParagraphFont"/>
    <w:uiPriority w:val="32"/>
    <w:qFormat/>
    <w:rsid w:val="00773B80"/>
    <w:rPr>
      <w:b/>
      <w:bCs/>
      <w:smallCaps/>
      <w:color w:val="0F4761" w:themeColor="accent1" w:themeShade="BF"/>
      <w:spacing w:val="5"/>
    </w:rPr>
  </w:style>
  <w:style w:type="paragraph" w:customStyle="1" w:styleId="p1">
    <w:name w:val="p1"/>
    <w:basedOn w:val="Normal"/>
    <w:rsid w:val="00773B8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73B80"/>
  </w:style>
  <w:style w:type="character" w:customStyle="1" w:styleId="s2">
    <w:name w:val="s2"/>
    <w:basedOn w:val="DefaultParagraphFont"/>
    <w:rsid w:val="005F521D"/>
  </w:style>
  <w:style w:type="paragraph" w:customStyle="1" w:styleId="p2">
    <w:name w:val="p2"/>
    <w:basedOn w:val="Normal"/>
    <w:rsid w:val="00FE132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52CD6"/>
  </w:style>
  <w:style w:type="character" w:styleId="Hyperlink">
    <w:name w:val="Hyperlink"/>
    <w:basedOn w:val="DefaultParagraphFont"/>
    <w:uiPriority w:val="99"/>
    <w:unhideWhenUsed/>
    <w:rsid w:val="00922FBB"/>
    <w:rPr>
      <w:color w:val="467886" w:themeColor="hyperlink"/>
      <w:u w:val="single"/>
    </w:rPr>
  </w:style>
  <w:style w:type="character" w:styleId="UnresolvedMention">
    <w:name w:val="Unresolved Mention"/>
    <w:basedOn w:val="DefaultParagraphFont"/>
    <w:uiPriority w:val="99"/>
    <w:semiHidden/>
    <w:unhideWhenUsed/>
    <w:rsid w:val="00922FBB"/>
    <w:rPr>
      <w:color w:val="605E5C"/>
      <w:shd w:val="clear" w:color="auto" w:fill="E1DFDD"/>
    </w:rPr>
  </w:style>
  <w:style w:type="paragraph" w:styleId="Header">
    <w:name w:val="header"/>
    <w:basedOn w:val="Normal"/>
    <w:link w:val="HeaderChar"/>
    <w:uiPriority w:val="99"/>
    <w:unhideWhenUsed/>
    <w:rsid w:val="00567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FEA"/>
  </w:style>
  <w:style w:type="paragraph" w:styleId="Footer">
    <w:name w:val="footer"/>
    <w:basedOn w:val="Normal"/>
    <w:link w:val="FooterChar"/>
    <w:uiPriority w:val="99"/>
    <w:unhideWhenUsed/>
    <w:rsid w:val="00567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F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570843">
      <w:bodyDiv w:val="1"/>
      <w:marLeft w:val="0"/>
      <w:marRight w:val="0"/>
      <w:marTop w:val="0"/>
      <w:marBottom w:val="0"/>
      <w:divBdr>
        <w:top w:val="none" w:sz="0" w:space="0" w:color="auto"/>
        <w:left w:val="none" w:sz="0" w:space="0" w:color="auto"/>
        <w:bottom w:val="none" w:sz="0" w:space="0" w:color="auto"/>
        <w:right w:val="none" w:sz="0" w:space="0" w:color="auto"/>
      </w:divBdr>
    </w:div>
    <w:div w:id="858198979">
      <w:bodyDiv w:val="1"/>
      <w:marLeft w:val="0"/>
      <w:marRight w:val="0"/>
      <w:marTop w:val="0"/>
      <w:marBottom w:val="0"/>
      <w:divBdr>
        <w:top w:val="none" w:sz="0" w:space="0" w:color="auto"/>
        <w:left w:val="none" w:sz="0" w:space="0" w:color="auto"/>
        <w:bottom w:val="none" w:sz="0" w:space="0" w:color="auto"/>
        <w:right w:val="none" w:sz="0" w:space="0" w:color="auto"/>
      </w:divBdr>
      <w:divsChild>
        <w:div w:id="1352562398">
          <w:marLeft w:val="0"/>
          <w:marRight w:val="0"/>
          <w:marTop w:val="0"/>
          <w:marBottom w:val="0"/>
          <w:divBdr>
            <w:top w:val="none" w:sz="0" w:space="0" w:color="auto"/>
            <w:left w:val="none" w:sz="0" w:space="0" w:color="auto"/>
            <w:bottom w:val="none" w:sz="0" w:space="0" w:color="auto"/>
            <w:right w:val="none" w:sz="0" w:space="0" w:color="auto"/>
          </w:divBdr>
        </w:div>
        <w:div w:id="2007710924">
          <w:marLeft w:val="0"/>
          <w:marRight w:val="0"/>
          <w:marTop w:val="0"/>
          <w:marBottom w:val="0"/>
          <w:divBdr>
            <w:top w:val="none" w:sz="0" w:space="0" w:color="auto"/>
            <w:left w:val="none" w:sz="0" w:space="0" w:color="auto"/>
            <w:bottom w:val="none" w:sz="0" w:space="0" w:color="auto"/>
            <w:right w:val="none" w:sz="0" w:space="0" w:color="auto"/>
          </w:divBdr>
        </w:div>
        <w:div w:id="478351953">
          <w:marLeft w:val="0"/>
          <w:marRight w:val="0"/>
          <w:marTop w:val="0"/>
          <w:marBottom w:val="0"/>
          <w:divBdr>
            <w:top w:val="none" w:sz="0" w:space="0" w:color="auto"/>
            <w:left w:val="none" w:sz="0" w:space="0" w:color="auto"/>
            <w:bottom w:val="none" w:sz="0" w:space="0" w:color="auto"/>
            <w:right w:val="none" w:sz="0" w:space="0" w:color="auto"/>
          </w:divBdr>
          <w:divsChild>
            <w:div w:id="1764766714">
              <w:marLeft w:val="0"/>
              <w:marRight w:val="0"/>
              <w:marTop w:val="0"/>
              <w:marBottom w:val="0"/>
              <w:divBdr>
                <w:top w:val="none" w:sz="0" w:space="0" w:color="auto"/>
                <w:left w:val="none" w:sz="0" w:space="0" w:color="auto"/>
                <w:bottom w:val="none" w:sz="0" w:space="0" w:color="auto"/>
                <w:right w:val="none" w:sz="0" w:space="0" w:color="auto"/>
              </w:divBdr>
              <w:divsChild>
                <w:div w:id="353532332">
                  <w:marLeft w:val="0"/>
                  <w:marRight w:val="0"/>
                  <w:marTop w:val="0"/>
                  <w:marBottom w:val="0"/>
                  <w:divBdr>
                    <w:top w:val="none" w:sz="0" w:space="0" w:color="auto"/>
                    <w:left w:val="none" w:sz="0" w:space="0" w:color="auto"/>
                    <w:bottom w:val="none" w:sz="0" w:space="0" w:color="auto"/>
                    <w:right w:val="none" w:sz="0" w:space="0" w:color="auto"/>
                  </w:divBdr>
                </w:div>
                <w:div w:id="163862767">
                  <w:marLeft w:val="0"/>
                  <w:marRight w:val="0"/>
                  <w:marTop w:val="0"/>
                  <w:marBottom w:val="0"/>
                  <w:divBdr>
                    <w:top w:val="none" w:sz="0" w:space="0" w:color="auto"/>
                    <w:left w:val="none" w:sz="0" w:space="0" w:color="auto"/>
                    <w:bottom w:val="none" w:sz="0" w:space="0" w:color="auto"/>
                    <w:right w:val="none" w:sz="0" w:space="0" w:color="auto"/>
                  </w:divBdr>
                </w:div>
              </w:divsChild>
            </w:div>
            <w:div w:id="69692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741888">
      <w:bodyDiv w:val="1"/>
      <w:marLeft w:val="0"/>
      <w:marRight w:val="0"/>
      <w:marTop w:val="0"/>
      <w:marBottom w:val="0"/>
      <w:divBdr>
        <w:top w:val="none" w:sz="0" w:space="0" w:color="auto"/>
        <w:left w:val="none" w:sz="0" w:space="0" w:color="auto"/>
        <w:bottom w:val="none" w:sz="0" w:space="0" w:color="auto"/>
        <w:right w:val="none" w:sz="0" w:space="0" w:color="auto"/>
      </w:divBdr>
      <w:divsChild>
        <w:div w:id="191306968">
          <w:marLeft w:val="0"/>
          <w:marRight w:val="0"/>
          <w:marTop w:val="0"/>
          <w:marBottom w:val="0"/>
          <w:divBdr>
            <w:top w:val="none" w:sz="0" w:space="0" w:color="auto"/>
            <w:left w:val="none" w:sz="0" w:space="0" w:color="auto"/>
            <w:bottom w:val="none" w:sz="0" w:space="0" w:color="auto"/>
            <w:right w:val="none" w:sz="0" w:space="0" w:color="auto"/>
          </w:divBdr>
        </w:div>
        <w:div w:id="1276911717">
          <w:marLeft w:val="0"/>
          <w:marRight w:val="0"/>
          <w:marTop w:val="0"/>
          <w:marBottom w:val="0"/>
          <w:divBdr>
            <w:top w:val="none" w:sz="0" w:space="0" w:color="auto"/>
            <w:left w:val="none" w:sz="0" w:space="0" w:color="auto"/>
            <w:bottom w:val="none" w:sz="0" w:space="0" w:color="auto"/>
            <w:right w:val="none" w:sz="0" w:space="0" w:color="auto"/>
          </w:divBdr>
          <w:divsChild>
            <w:div w:id="898126626">
              <w:marLeft w:val="0"/>
              <w:marRight w:val="0"/>
              <w:marTop w:val="0"/>
              <w:marBottom w:val="0"/>
              <w:divBdr>
                <w:top w:val="none" w:sz="0" w:space="0" w:color="auto"/>
                <w:left w:val="none" w:sz="0" w:space="0" w:color="auto"/>
                <w:bottom w:val="none" w:sz="0" w:space="0" w:color="auto"/>
                <w:right w:val="none" w:sz="0" w:space="0" w:color="auto"/>
              </w:divBdr>
              <w:divsChild>
                <w:div w:id="1304196964">
                  <w:marLeft w:val="0"/>
                  <w:marRight w:val="0"/>
                  <w:marTop w:val="0"/>
                  <w:marBottom w:val="0"/>
                  <w:divBdr>
                    <w:top w:val="none" w:sz="0" w:space="0" w:color="auto"/>
                    <w:left w:val="none" w:sz="0" w:space="0" w:color="auto"/>
                    <w:bottom w:val="none" w:sz="0" w:space="0" w:color="auto"/>
                    <w:right w:val="none" w:sz="0" w:space="0" w:color="auto"/>
                  </w:divBdr>
                  <w:divsChild>
                    <w:div w:id="835191094">
                      <w:marLeft w:val="0"/>
                      <w:marRight w:val="0"/>
                      <w:marTop w:val="0"/>
                      <w:marBottom w:val="0"/>
                      <w:divBdr>
                        <w:top w:val="none" w:sz="0" w:space="0" w:color="auto"/>
                        <w:left w:val="none" w:sz="0" w:space="0" w:color="auto"/>
                        <w:bottom w:val="none" w:sz="0" w:space="0" w:color="auto"/>
                        <w:right w:val="none" w:sz="0" w:space="0" w:color="auto"/>
                      </w:divBdr>
                    </w:div>
                    <w:div w:id="129224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028014">
      <w:bodyDiv w:val="1"/>
      <w:marLeft w:val="0"/>
      <w:marRight w:val="0"/>
      <w:marTop w:val="0"/>
      <w:marBottom w:val="0"/>
      <w:divBdr>
        <w:top w:val="none" w:sz="0" w:space="0" w:color="auto"/>
        <w:left w:val="none" w:sz="0" w:space="0" w:color="auto"/>
        <w:bottom w:val="none" w:sz="0" w:space="0" w:color="auto"/>
        <w:right w:val="none" w:sz="0" w:space="0" w:color="auto"/>
      </w:divBdr>
      <w:divsChild>
        <w:div w:id="1233395273">
          <w:marLeft w:val="0"/>
          <w:marRight w:val="0"/>
          <w:marTop w:val="0"/>
          <w:marBottom w:val="0"/>
          <w:divBdr>
            <w:top w:val="none" w:sz="0" w:space="0" w:color="auto"/>
            <w:left w:val="none" w:sz="0" w:space="0" w:color="auto"/>
            <w:bottom w:val="none" w:sz="0" w:space="0" w:color="auto"/>
            <w:right w:val="none" w:sz="0" w:space="0" w:color="auto"/>
          </w:divBdr>
        </w:div>
      </w:divsChild>
    </w:div>
    <w:div w:id="1130631293">
      <w:bodyDiv w:val="1"/>
      <w:marLeft w:val="0"/>
      <w:marRight w:val="0"/>
      <w:marTop w:val="0"/>
      <w:marBottom w:val="0"/>
      <w:divBdr>
        <w:top w:val="none" w:sz="0" w:space="0" w:color="auto"/>
        <w:left w:val="none" w:sz="0" w:space="0" w:color="auto"/>
        <w:bottom w:val="none" w:sz="0" w:space="0" w:color="auto"/>
        <w:right w:val="none" w:sz="0" w:space="0" w:color="auto"/>
      </w:divBdr>
    </w:div>
    <w:div w:id="1295870496">
      <w:bodyDiv w:val="1"/>
      <w:marLeft w:val="0"/>
      <w:marRight w:val="0"/>
      <w:marTop w:val="0"/>
      <w:marBottom w:val="0"/>
      <w:divBdr>
        <w:top w:val="none" w:sz="0" w:space="0" w:color="auto"/>
        <w:left w:val="none" w:sz="0" w:space="0" w:color="auto"/>
        <w:bottom w:val="none" w:sz="0" w:space="0" w:color="auto"/>
        <w:right w:val="none" w:sz="0" w:space="0" w:color="auto"/>
      </w:divBdr>
    </w:div>
    <w:div w:id="1455831356">
      <w:bodyDiv w:val="1"/>
      <w:marLeft w:val="0"/>
      <w:marRight w:val="0"/>
      <w:marTop w:val="0"/>
      <w:marBottom w:val="0"/>
      <w:divBdr>
        <w:top w:val="none" w:sz="0" w:space="0" w:color="auto"/>
        <w:left w:val="none" w:sz="0" w:space="0" w:color="auto"/>
        <w:bottom w:val="none" w:sz="0" w:space="0" w:color="auto"/>
        <w:right w:val="none" w:sz="0" w:space="0" w:color="auto"/>
      </w:divBdr>
    </w:div>
    <w:div w:id="1523546515">
      <w:bodyDiv w:val="1"/>
      <w:marLeft w:val="0"/>
      <w:marRight w:val="0"/>
      <w:marTop w:val="0"/>
      <w:marBottom w:val="0"/>
      <w:divBdr>
        <w:top w:val="none" w:sz="0" w:space="0" w:color="auto"/>
        <w:left w:val="none" w:sz="0" w:space="0" w:color="auto"/>
        <w:bottom w:val="none" w:sz="0" w:space="0" w:color="auto"/>
        <w:right w:val="none" w:sz="0" w:space="0" w:color="auto"/>
      </w:divBdr>
      <w:divsChild>
        <w:div w:id="1466965235">
          <w:marLeft w:val="0"/>
          <w:marRight w:val="0"/>
          <w:marTop w:val="0"/>
          <w:marBottom w:val="0"/>
          <w:divBdr>
            <w:top w:val="none" w:sz="0" w:space="0" w:color="auto"/>
            <w:left w:val="none" w:sz="0" w:space="0" w:color="auto"/>
            <w:bottom w:val="none" w:sz="0" w:space="0" w:color="auto"/>
            <w:right w:val="none" w:sz="0" w:space="0" w:color="auto"/>
          </w:divBdr>
        </w:div>
        <w:div w:id="461385047">
          <w:marLeft w:val="0"/>
          <w:marRight w:val="0"/>
          <w:marTop w:val="0"/>
          <w:marBottom w:val="0"/>
          <w:divBdr>
            <w:top w:val="none" w:sz="0" w:space="0" w:color="auto"/>
            <w:left w:val="none" w:sz="0" w:space="0" w:color="auto"/>
            <w:bottom w:val="none" w:sz="0" w:space="0" w:color="auto"/>
            <w:right w:val="none" w:sz="0" w:space="0" w:color="auto"/>
          </w:divBdr>
          <w:divsChild>
            <w:div w:id="1336031590">
              <w:marLeft w:val="0"/>
              <w:marRight w:val="0"/>
              <w:marTop w:val="0"/>
              <w:marBottom w:val="0"/>
              <w:divBdr>
                <w:top w:val="none" w:sz="0" w:space="0" w:color="auto"/>
                <w:left w:val="none" w:sz="0" w:space="0" w:color="auto"/>
                <w:bottom w:val="none" w:sz="0" w:space="0" w:color="auto"/>
                <w:right w:val="none" w:sz="0" w:space="0" w:color="auto"/>
              </w:divBdr>
              <w:divsChild>
                <w:div w:id="1211965829">
                  <w:marLeft w:val="0"/>
                  <w:marRight w:val="0"/>
                  <w:marTop w:val="0"/>
                  <w:marBottom w:val="0"/>
                  <w:divBdr>
                    <w:top w:val="none" w:sz="0" w:space="0" w:color="auto"/>
                    <w:left w:val="none" w:sz="0" w:space="0" w:color="auto"/>
                    <w:bottom w:val="none" w:sz="0" w:space="0" w:color="auto"/>
                    <w:right w:val="none" w:sz="0" w:space="0" w:color="auto"/>
                  </w:divBdr>
                </w:div>
                <w:div w:id="1998143797">
                  <w:marLeft w:val="0"/>
                  <w:marRight w:val="0"/>
                  <w:marTop w:val="0"/>
                  <w:marBottom w:val="0"/>
                  <w:divBdr>
                    <w:top w:val="none" w:sz="0" w:space="0" w:color="auto"/>
                    <w:left w:val="none" w:sz="0" w:space="0" w:color="auto"/>
                    <w:bottom w:val="none" w:sz="0" w:space="0" w:color="auto"/>
                    <w:right w:val="none" w:sz="0" w:space="0" w:color="auto"/>
                  </w:divBdr>
                  <w:divsChild>
                    <w:div w:id="1609698704">
                      <w:marLeft w:val="0"/>
                      <w:marRight w:val="0"/>
                      <w:marTop w:val="0"/>
                      <w:marBottom w:val="0"/>
                      <w:divBdr>
                        <w:top w:val="none" w:sz="0" w:space="0" w:color="auto"/>
                        <w:left w:val="none" w:sz="0" w:space="0" w:color="auto"/>
                        <w:bottom w:val="none" w:sz="0" w:space="0" w:color="auto"/>
                        <w:right w:val="none" w:sz="0" w:space="0" w:color="auto"/>
                      </w:divBdr>
                      <w:divsChild>
                        <w:div w:id="40877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817754">
          <w:marLeft w:val="0"/>
          <w:marRight w:val="0"/>
          <w:marTop w:val="0"/>
          <w:marBottom w:val="0"/>
          <w:divBdr>
            <w:top w:val="none" w:sz="0" w:space="0" w:color="auto"/>
            <w:left w:val="none" w:sz="0" w:space="0" w:color="auto"/>
            <w:bottom w:val="none" w:sz="0" w:space="0" w:color="auto"/>
            <w:right w:val="none" w:sz="0" w:space="0" w:color="auto"/>
          </w:divBdr>
          <w:divsChild>
            <w:div w:id="420875535">
              <w:marLeft w:val="0"/>
              <w:marRight w:val="0"/>
              <w:marTop w:val="0"/>
              <w:marBottom w:val="0"/>
              <w:divBdr>
                <w:top w:val="none" w:sz="0" w:space="0" w:color="auto"/>
                <w:left w:val="none" w:sz="0" w:space="0" w:color="auto"/>
                <w:bottom w:val="none" w:sz="0" w:space="0" w:color="auto"/>
                <w:right w:val="none" w:sz="0" w:space="0" w:color="auto"/>
              </w:divBdr>
              <w:divsChild>
                <w:div w:id="493568195">
                  <w:marLeft w:val="0"/>
                  <w:marRight w:val="0"/>
                  <w:marTop w:val="0"/>
                  <w:marBottom w:val="0"/>
                  <w:divBdr>
                    <w:top w:val="none" w:sz="0" w:space="0" w:color="auto"/>
                    <w:left w:val="none" w:sz="0" w:space="0" w:color="auto"/>
                    <w:bottom w:val="none" w:sz="0" w:space="0" w:color="auto"/>
                    <w:right w:val="none" w:sz="0" w:space="0" w:color="auto"/>
                  </w:divBdr>
                </w:div>
                <w:div w:id="1067651289">
                  <w:marLeft w:val="0"/>
                  <w:marRight w:val="0"/>
                  <w:marTop w:val="0"/>
                  <w:marBottom w:val="0"/>
                  <w:divBdr>
                    <w:top w:val="none" w:sz="0" w:space="0" w:color="auto"/>
                    <w:left w:val="none" w:sz="0" w:space="0" w:color="auto"/>
                    <w:bottom w:val="none" w:sz="0" w:space="0" w:color="auto"/>
                    <w:right w:val="none" w:sz="0" w:space="0" w:color="auto"/>
                  </w:divBdr>
                  <w:divsChild>
                    <w:div w:id="1719695024">
                      <w:marLeft w:val="0"/>
                      <w:marRight w:val="0"/>
                      <w:marTop w:val="0"/>
                      <w:marBottom w:val="0"/>
                      <w:divBdr>
                        <w:top w:val="none" w:sz="0" w:space="0" w:color="auto"/>
                        <w:left w:val="none" w:sz="0" w:space="0" w:color="auto"/>
                        <w:bottom w:val="none" w:sz="0" w:space="0" w:color="auto"/>
                        <w:right w:val="none" w:sz="0" w:space="0" w:color="auto"/>
                      </w:divBdr>
                    </w:div>
                  </w:divsChild>
                </w:div>
                <w:div w:id="490290484">
                  <w:marLeft w:val="0"/>
                  <w:marRight w:val="0"/>
                  <w:marTop w:val="0"/>
                  <w:marBottom w:val="0"/>
                  <w:divBdr>
                    <w:top w:val="none" w:sz="0" w:space="0" w:color="auto"/>
                    <w:left w:val="none" w:sz="0" w:space="0" w:color="auto"/>
                    <w:bottom w:val="none" w:sz="0" w:space="0" w:color="auto"/>
                    <w:right w:val="none" w:sz="0" w:space="0" w:color="auto"/>
                  </w:divBdr>
                  <w:divsChild>
                    <w:div w:id="1852333035">
                      <w:marLeft w:val="0"/>
                      <w:marRight w:val="0"/>
                      <w:marTop w:val="0"/>
                      <w:marBottom w:val="0"/>
                      <w:divBdr>
                        <w:top w:val="none" w:sz="0" w:space="0" w:color="auto"/>
                        <w:left w:val="none" w:sz="0" w:space="0" w:color="auto"/>
                        <w:bottom w:val="none" w:sz="0" w:space="0" w:color="auto"/>
                        <w:right w:val="none" w:sz="0" w:space="0" w:color="auto"/>
                      </w:divBdr>
                    </w:div>
                    <w:div w:id="70629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85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87" TargetMode="External"/><Relationship Id="rId13" Type="http://schemas.openxmlformats.org/officeDocument/2006/relationships/hyperlink" Target="https://nasen.org.uk/resources/supporting-pupils-adhd" TargetMode="External"/><Relationship Id="rId3" Type="http://schemas.openxmlformats.org/officeDocument/2006/relationships/settings" Target="settings.xml"/><Relationship Id="rId7" Type="http://schemas.openxmlformats.org/officeDocument/2006/relationships/hyperlink" Target="https://www.psychiatry.org/psychiatrists/practice/dsm" TargetMode="External"/><Relationship Id="rId12" Type="http://schemas.openxmlformats.org/officeDocument/2006/relationships/hyperlink" Target="https://chadd.org/for-parents/coexisting-conditions-in-childr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87" TargetMode="External"/><Relationship Id="rId5" Type="http://schemas.openxmlformats.org/officeDocument/2006/relationships/footnotes" Target="footnotes.xml"/><Relationship Id="rId15" Type="http://schemas.openxmlformats.org/officeDocument/2006/relationships/hyperlink" Target="https://www.guilford.com/books/ADHD-in-the-Schools/DuPaul-Stoner/9781462526000" TargetMode="External"/><Relationship Id="rId10" Type="http://schemas.openxmlformats.org/officeDocument/2006/relationships/hyperlink" Target="https://www.thelancet.com/journals/lanpsy/article/PIIS2215-0366(17)30167-0/abstract" TargetMode="External"/><Relationship Id="rId4" Type="http://schemas.openxmlformats.org/officeDocument/2006/relationships/webSettings" Target="webSettings.xml"/><Relationship Id="rId9" Type="http://schemas.openxmlformats.org/officeDocument/2006/relationships/hyperlink" Target="https://icd.who.int/en" TargetMode="External"/><Relationship Id="rId14" Type="http://schemas.openxmlformats.org/officeDocument/2006/relationships/hyperlink" Target="https://journals.sagepub.com/doi/10.1177/004005990904100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1830</Words>
  <Characters>10431</Characters>
  <Application>Microsoft Office Word</Application>
  <DocSecurity>0</DocSecurity>
  <Lines>86</Lines>
  <Paragraphs>24</Paragraphs>
  <ScaleCrop>false</ScaleCrop>
  <Company/>
  <LinksUpToDate>false</LinksUpToDate>
  <CharactersWithSpaces>12237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15</cp:revision>
  <dcterms:created xsi:type="dcterms:W3CDTF">2025-04-24T16:55:00Z</dcterms:created>
  <dcterms:modified xsi:type="dcterms:W3CDTF">2025-05-11T11:52:00Z</dcterms:modified>
</cp:coreProperties>
</file>