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7788" w:rsidRPr="00C57514" w:rsidRDefault="0093127C">
      <w:pPr>
        <w:jc w:val="center"/>
        <w:rPr>
          <w:b/>
          <w:sz w:val="28"/>
          <w:u w:val="single"/>
        </w:rPr>
      </w:pPr>
      <w:r w:rsidRPr="00C57514">
        <w:rPr>
          <w:b/>
          <w:sz w:val="28"/>
          <w:u w:val="single"/>
        </w:rPr>
        <w:t>Christ</w:t>
      </w:r>
      <w:r w:rsidR="00C57514" w:rsidRPr="00C57514">
        <w:rPr>
          <w:b/>
          <w:sz w:val="28"/>
          <w:u w:val="single"/>
        </w:rPr>
        <w:t>opher Davies Process workbook: Script Rehearsal and D</w:t>
      </w:r>
      <w:r w:rsidRPr="00C57514">
        <w:rPr>
          <w:b/>
          <w:sz w:val="28"/>
          <w:u w:val="single"/>
        </w:rPr>
        <w:t xml:space="preserve">evising </w:t>
      </w:r>
    </w:p>
    <w:p w:rsidR="002C7788" w:rsidRDefault="002C7788"/>
    <w:p w:rsidR="002C7788" w:rsidRDefault="0093127C">
      <w:r>
        <w:t xml:space="preserve">In this module I want to gain skills in tackling a script </w:t>
      </w:r>
      <w:r w:rsidRPr="00C31D44">
        <w:t>through</w:t>
      </w:r>
      <w:r w:rsidR="00C31D44">
        <w:t xml:space="preserve"> </w:t>
      </w:r>
      <w:r>
        <w:t>rehearsal and development, dir</w:t>
      </w:r>
      <w:r w:rsidR="0080446B">
        <w:t xml:space="preserve">ectorial positions and tactics of </w:t>
      </w:r>
      <w:r>
        <w:t xml:space="preserve">character development. </w:t>
      </w:r>
      <w:r>
        <w:rPr>
          <w:color w:val="FF4000"/>
        </w:rPr>
        <w:t xml:space="preserve"> </w:t>
      </w:r>
      <w:r w:rsidRPr="00C31D44">
        <w:t xml:space="preserve">I will do this by analysing </w:t>
      </w:r>
      <w:r w:rsidR="00C31D44" w:rsidRPr="0080333C">
        <w:t xml:space="preserve">first </w:t>
      </w:r>
      <w:r w:rsidR="0080446B">
        <w:t xml:space="preserve">reactions of </w:t>
      </w:r>
      <w:r w:rsidR="00C31D44" w:rsidRPr="0080333C">
        <w:t xml:space="preserve">reading </w:t>
      </w:r>
      <w:r w:rsidRPr="0080333C">
        <w:t>scripts, working in a collaborative R+D process, working through an improvisati</w:t>
      </w:r>
      <w:r w:rsidR="00C31D44" w:rsidRPr="0080333C">
        <w:t>onal process of trial and error</w:t>
      </w:r>
      <w:r w:rsidRPr="0080333C">
        <w:t>, working as a creative group, and person</w:t>
      </w:r>
      <w:r w:rsidR="0080446B">
        <w:t>al pushing of comfort zones in</w:t>
      </w:r>
      <w:r w:rsidRPr="0080333C">
        <w:t xml:space="preserve"> characterization.</w:t>
      </w:r>
      <w:r>
        <w:t xml:space="preserve"> </w:t>
      </w:r>
    </w:p>
    <w:p w:rsidR="002C7788" w:rsidRPr="00B85649" w:rsidRDefault="0093127C" w:rsidP="00B85649">
      <w:pPr>
        <w:spacing w:after="0" w:line="240" w:lineRule="auto"/>
        <w:rPr>
          <w:rFonts w:ascii="Times New Roman" w:eastAsia="Times New Roman" w:hAnsi="Times New Roman" w:cs="Times New Roman"/>
          <w:sz w:val="24"/>
          <w:szCs w:val="24"/>
          <w:lang w:eastAsia="en-GB"/>
        </w:rPr>
      </w:pPr>
      <w:r>
        <w:t>The two set texts we are working on are “The Last Flight of the Pelican Daugh</w:t>
      </w:r>
      <w:r w:rsidR="00B85649">
        <w:t xml:space="preserve">ters” by the Wardrobe Ensemble </w:t>
      </w:r>
      <w:r w:rsidR="00B85649" w:rsidRPr="00B85649">
        <w:rPr>
          <w:rFonts w:eastAsia="Times New Roman" w:cstheme="minorHAnsi"/>
          <w:szCs w:val="24"/>
          <w:lang w:eastAsia="en-GB"/>
        </w:rPr>
        <w:t>(The Wardrobe Ensemble, 2019)</w:t>
      </w:r>
      <w:r w:rsidR="00B85649" w:rsidRPr="00B85649">
        <w:rPr>
          <w:rFonts w:cstheme="minorHAnsi"/>
          <w:sz w:val="20"/>
        </w:rPr>
        <w:t xml:space="preserve"> </w:t>
      </w:r>
      <w:r w:rsidR="00B85649">
        <w:t>and “</w:t>
      </w:r>
      <w:proofErr w:type="spellStart"/>
      <w:r w:rsidR="00B85649">
        <w:t>Mythfits</w:t>
      </w:r>
      <w:proofErr w:type="spellEnd"/>
      <w:r w:rsidR="00B85649">
        <w:t>”</w:t>
      </w:r>
      <w:r>
        <w:t>. When reading through “The Last Flight of the Pelican Daughters” and background information on the Wardrobe Ensemble, I admired the methods, the modern and experimental company used, to tackle big issues. Reading them, I related to them and they sparked my creativity. I found it interesting to explore the exceptional use of theme character directives and how the workshop connected strangers through the reading of the play.</w:t>
      </w:r>
    </w:p>
    <w:p w:rsidR="002C7788" w:rsidRDefault="0093127C">
      <w:r>
        <w:t xml:space="preserve">On a first read through of </w:t>
      </w:r>
      <w:r w:rsidR="00C57514">
        <w:t>“</w:t>
      </w:r>
      <w:proofErr w:type="spellStart"/>
      <w:r>
        <w:t>Mythfits</w:t>
      </w:r>
      <w:proofErr w:type="spellEnd"/>
      <w:r w:rsidR="00C57514">
        <w:t>”</w:t>
      </w:r>
      <w:r>
        <w:t xml:space="preserve"> I was uninspired. I enjoy reading Greek mythology and local legends and myths, so was underwhelmed by these stories. Although when told that we would be taking an R+D approach to how we were working with the script my apprehension was lifted. This system of working with the script allows for a lot more creative development and liberties rather than</w:t>
      </w:r>
      <w:r>
        <w:rPr>
          <w:color w:val="FF4000"/>
        </w:rPr>
        <w:t xml:space="preserve"> </w:t>
      </w:r>
      <w:r>
        <w:t xml:space="preserve">doing a fully naturalistic piece. </w:t>
      </w:r>
    </w:p>
    <w:p w:rsidR="002C7788" w:rsidRPr="00B85649" w:rsidRDefault="0093127C" w:rsidP="00B85649">
      <w:pPr>
        <w:spacing w:after="0" w:line="240" w:lineRule="auto"/>
        <w:rPr>
          <w:rFonts w:ascii="Times New Roman" w:eastAsia="Times New Roman" w:hAnsi="Times New Roman" w:cs="Times New Roman"/>
          <w:sz w:val="24"/>
          <w:szCs w:val="24"/>
          <w:lang w:eastAsia="en-GB"/>
        </w:rPr>
      </w:pPr>
      <w:r w:rsidRPr="00C31D44">
        <w:t>The</w:t>
      </w:r>
      <w:r>
        <w:rPr>
          <w:color w:val="FF4000"/>
        </w:rPr>
        <w:t xml:space="preserve"> </w:t>
      </w:r>
      <w:r w:rsidRPr="00C31D44">
        <w:t>monologue I performed</w:t>
      </w:r>
      <w:r>
        <w:t xml:space="preserve"> was a text given to me by my lecturer, to push my range, called </w:t>
      </w:r>
      <w:proofErr w:type="spellStart"/>
      <w:r>
        <w:t>Pillowman</w:t>
      </w:r>
      <w:proofErr w:type="spellEnd"/>
      <w:r>
        <w:t xml:space="preserve"> </w:t>
      </w:r>
      <w:r w:rsidRPr="00B85649">
        <w:rPr>
          <w:rFonts w:cstheme="minorHAnsi"/>
          <w:color w:val="C9211E"/>
        </w:rPr>
        <w:t>(</w:t>
      </w:r>
      <w:proofErr w:type="spellStart"/>
      <w:r w:rsidR="00B85649" w:rsidRPr="00B85649">
        <w:rPr>
          <w:rFonts w:eastAsia="Times New Roman" w:cstheme="minorHAnsi"/>
          <w:lang w:eastAsia="en-GB"/>
        </w:rPr>
        <w:t>Mcdonagh</w:t>
      </w:r>
      <w:proofErr w:type="spellEnd"/>
      <w:r w:rsidR="00B85649" w:rsidRPr="00B85649">
        <w:rPr>
          <w:rFonts w:eastAsia="Times New Roman" w:cstheme="minorHAnsi"/>
          <w:lang w:eastAsia="en-GB"/>
        </w:rPr>
        <w:t>, 2006)</w:t>
      </w:r>
      <w:r w:rsidRPr="00B85649">
        <w:rPr>
          <w:rFonts w:cstheme="minorHAnsi"/>
        </w:rPr>
        <w:t>.</w:t>
      </w:r>
      <w:r>
        <w:t xml:space="preserve"> The play follows two detectives interrogating a writer about a set of murders that are similar to the stories he writes. Themes touch on child abuse, legacy, storytelling and moral ambiguity almost all of which are presented in the character I play, Ariel. I think it’s important for me to identify what Ariel is saying for the first time and what he has said before, as later in the text</w:t>
      </w:r>
      <w:r w:rsidR="00C31D44" w:rsidRPr="00C31D44">
        <w:t xml:space="preserve"> </w:t>
      </w:r>
      <w:r w:rsidR="00C31D44">
        <w:t xml:space="preserve">its stated </w:t>
      </w:r>
      <w:r w:rsidR="00C31D44" w:rsidRPr="00C31D44">
        <w:t>that this monologue is rehearsed</w:t>
      </w:r>
      <w:r w:rsidR="00C31D44">
        <w:t xml:space="preserve">, something that Ariel uses as a torture or </w:t>
      </w:r>
      <w:r w:rsidR="00697DA7">
        <w:t>interrogation device</w:t>
      </w:r>
      <w:r w:rsidR="00C31D44" w:rsidRPr="00C31D44">
        <w:t>.</w:t>
      </w:r>
      <w:r w:rsidR="00C31D44">
        <w:t xml:space="preserve"> I </w:t>
      </w:r>
      <w:r>
        <w:t xml:space="preserve">think the rehearsed part of the monologue is until where he talks about the “little Jesus thing”. I believe Ariel heavily relates to this, as he was abused by his parents in such a way that he was left either mute or unwilling to speak, therefore learning sign language from an early age. This is what pushes him to torture </w:t>
      </w:r>
      <w:proofErr w:type="spellStart"/>
      <w:r>
        <w:t>Katurian</w:t>
      </w:r>
      <w:proofErr w:type="spellEnd"/>
      <w:r>
        <w:t xml:space="preserve"> in the most hurtful way he can, dispensing with the rehearsed speech, re-enforcing what he’s doing is wrong by saying “two wrongs do not make a right.” He knows what he’s doing is wrong and won’t change anything but doesn’t care and wants to make him suffer. I characterize these intentions through the use of tempo starting off the speech quite controlled and weighted, being precise in what I’m saying, trying to scare </w:t>
      </w:r>
      <w:proofErr w:type="spellStart"/>
      <w:r>
        <w:t>Katurian</w:t>
      </w:r>
      <w:proofErr w:type="spellEnd"/>
      <w:r>
        <w:t xml:space="preserve">, in my laid out speech and by the end gaining speed showing how I’m descending into my anger. Using Laban effort movements </w:t>
      </w:r>
      <w:r>
        <w:rPr>
          <w:rFonts w:eastAsia="Times New Roman" w:cstheme="minorHAnsi"/>
          <w:szCs w:val="24"/>
          <w:lang w:eastAsia="en-GB"/>
        </w:rPr>
        <w:t xml:space="preserve">(Ewan and </w:t>
      </w:r>
      <w:proofErr w:type="spellStart"/>
      <w:r>
        <w:rPr>
          <w:rFonts w:eastAsia="Times New Roman" w:cstheme="minorHAnsi"/>
          <w:szCs w:val="24"/>
          <w:lang w:eastAsia="en-GB"/>
        </w:rPr>
        <w:t>Sagovsky</w:t>
      </w:r>
      <w:proofErr w:type="spellEnd"/>
      <w:r>
        <w:rPr>
          <w:rFonts w:eastAsia="Times New Roman" w:cstheme="minorHAnsi"/>
          <w:szCs w:val="24"/>
          <w:lang w:eastAsia="en-GB"/>
        </w:rPr>
        <w:t>, 2018)</w:t>
      </w:r>
      <w:r>
        <w:rPr>
          <w:rFonts w:ascii="Times New Roman" w:eastAsia="Times New Roman" w:hAnsi="Times New Roman" w:cs="Times New Roman"/>
          <w:sz w:val="24"/>
          <w:szCs w:val="24"/>
          <w:lang w:eastAsia="en-GB"/>
        </w:rPr>
        <w:t xml:space="preserve"> </w:t>
      </w:r>
      <w:r>
        <w:t xml:space="preserve">really helped solidify these feelings, by using micro-movements to show and expand on complex feelings.  </w:t>
      </w:r>
    </w:p>
    <w:p w:rsidR="002C7788" w:rsidRDefault="002C7788">
      <w:pPr>
        <w:spacing w:after="0" w:line="240" w:lineRule="auto"/>
        <w:rPr>
          <w:rFonts w:ascii="Times New Roman" w:eastAsia="Times New Roman" w:hAnsi="Times New Roman" w:cs="Times New Roman"/>
          <w:sz w:val="24"/>
          <w:szCs w:val="24"/>
          <w:lang w:eastAsia="en-GB"/>
        </w:rPr>
      </w:pPr>
    </w:p>
    <w:p w:rsidR="002C7788" w:rsidRDefault="00C57514">
      <w:r>
        <w:t>We worked closely with A Director’s Craft</w:t>
      </w:r>
      <w:r w:rsidR="0093127C">
        <w:t xml:space="preserve"> (Katie Mitchell, 2008)</w:t>
      </w:r>
      <w:r w:rsidR="0093127C">
        <w:rPr>
          <w:color w:val="C9211E"/>
        </w:rPr>
        <w:t xml:space="preserve"> </w:t>
      </w:r>
      <w:r w:rsidR="0093127C">
        <w:t xml:space="preserve">for ‘Last Flight of the Pelican Daughters’ </w:t>
      </w:r>
      <w:r w:rsidRPr="00B85649">
        <w:rPr>
          <w:rFonts w:eastAsia="Times New Roman" w:cstheme="minorHAnsi"/>
          <w:szCs w:val="24"/>
          <w:lang w:eastAsia="en-GB"/>
        </w:rPr>
        <w:t>(The Wardrobe Ensemble, 2019)</w:t>
      </w:r>
      <w:r w:rsidRPr="00B85649">
        <w:rPr>
          <w:rFonts w:cstheme="minorHAnsi"/>
          <w:sz w:val="20"/>
        </w:rPr>
        <w:t xml:space="preserve"> </w:t>
      </w:r>
      <w:r w:rsidR="0093127C">
        <w:t xml:space="preserve">which was a useful book to use before starting physical work. The book is for directors so is useful from an actor’s perspective to get </w:t>
      </w:r>
      <w:r w:rsidR="00697DA7">
        <w:t>a new view of working on a text.</w:t>
      </w:r>
      <w:r w:rsidR="00DF05D6">
        <w:t xml:space="preserve"> </w:t>
      </w:r>
      <w:r w:rsidR="0093127C">
        <w:t>The book was esp</w:t>
      </w:r>
      <w:r>
        <w:t>ecially useful when looking at “The Last flight of the pelican daughters” (</w:t>
      </w:r>
      <w:r w:rsidRPr="00B85649">
        <w:rPr>
          <w:rFonts w:eastAsia="Times New Roman" w:cstheme="minorHAnsi"/>
          <w:szCs w:val="24"/>
          <w:lang w:eastAsia="en-GB"/>
        </w:rPr>
        <w:t>The Wardrobe Ensemble, 2019)</w:t>
      </w:r>
      <w:r w:rsidRPr="00B85649">
        <w:rPr>
          <w:rFonts w:cstheme="minorHAnsi"/>
          <w:sz w:val="20"/>
        </w:rPr>
        <w:t xml:space="preserve"> </w:t>
      </w:r>
      <w:r w:rsidR="0093127C">
        <w:t xml:space="preserve">as I felt Luke is quite a difficult character to play, </w:t>
      </w:r>
      <w:r>
        <w:t>from the perspective of most</w:t>
      </w:r>
      <w:r w:rsidR="0093127C">
        <w:t xml:space="preserve"> his character is inferred. Using an exercise getting what everyone else says about them in the script and everything that they say about themselves, creates both an external and internal persona. The exercise then asks you to distil these lines into playable actions and intentions which made a great bank of information for the character when I was unsure how to manoeuvre a scene. </w:t>
      </w:r>
    </w:p>
    <w:p w:rsidR="00261D55" w:rsidRDefault="0093127C">
      <w:pPr>
        <w:spacing w:after="0" w:line="240" w:lineRule="auto"/>
      </w:pPr>
      <w:proofErr w:type="spellStart"/>
      <w:r>
        <w:lastRenderedPageBreak/>
        <w:t>Mythfits</w:t>
      </w:r>
      <w:proofErr w:type="spellEnd"/>
      <w:r>
        <w:t xml:space="preserve"> is an interesting piece to work on as it’s all a choral company using expressive movement and language to create the world we are in. For developing this kind of movement, we used Anne Bogarts </w:t>
      </w:r>
      <w:r>
        <w:rPr>
          <w:rFonts w:eastAsia="Times New Roman" w:cstheme="minorHAnsi"/>
          <w:szCs w:val="24"/>
          <w:lang w:eastAsia="en-GB"/>
        </w:rPr>
        <w:t>(Bogart and Landau, 2014)</w:t>
      </w:r>
      <w:r>
        <w:rPr>
          <w:rFonts w:ascii="Times New Roman" w:eastAsia="Times New Roman" w:hAnsi="Times New Roman" w:cs="Times New Roman"/>
          <w:sz w:val="24"/>
          <w:szCs w:val="24"/>
          <w:lang w:eastAsia="en-GB"/>
        </w:rPr>
        <w:t xml:space="preserve"> </w:t>
      </w:r>
      <w:r>
        <w:t xml:space="preserve">viewpoints. An expressive form of movement which stimulates creative thinking especially in an R+D process. The main elements are tempo, topography and the 5 viewpoints, which for me are useful for centring in the room and developing new and imaginative characterizations. This was interesting to work with the text, as to fully be expressive in our movement in the initial stages of development, script was less of a priority. I </w:t>
      </w:r>
      <w:r w:rsidR="00697DA7">
        <w:t xml:space="preserve">personally </w:t>
      </w:r>
      <w:r>
        <w:t>used to dislike viewpoints as I felt without a character to apply these elements to they were useless but taking it from a choral perspective and painting grand verbal landscapes on a minimalistic stage made these expressive movements engaging to me and I could latch onto what I and others were doing because it is so interpretive.</w:t>
      </w:r>
    </w:p>
    <w:p w:rsidR="00261D55" w:rsidRPr="00261D55" w:rsidRDefault="00261D55">
      <w:pPr>
        <w:spacing w:after="0" w:line="240" w:lineRule="auto"/>
      </w:pPr>
    </w:p>
    <w:p w:rsidR="002C7788" w:rsidRDefault="0093127C">
      <w:pPr>
        <w:spacing w:after="0" w:line="240" w:lineRule="auto"/>
        <w:rPr>
          <w:rFonts w:ascii="Times New Roman" w:eastAsia="Times New Roman" w:hAnsi="Times New Roman" w:cs="Times New Roman"/>
          <w:sz w:val="24"/>
          <w:szCs w:val="24"/>
          <w:lang w:eastAsia="en-GB"/>
        </w:rPr>
      </w:pPr>
      <w:r>
        <w:t xml:space="preserve">Working on Luke’s relationships with the </w:t>
      </w:r>
      <w:r w:rsidR="00261D55">
        <w:t>other</w:t>
      </w:r>
      <w:r>
        <w:t xml:space="preserve"> character’s in the play, led me down several paths. Establishing a connection with mum was a big question for me. As Luke is seen as an aggressor from the beginning. Storm says “I didn’t want you to do this” giving a preconceived idea that Luke is bad. But unpicking the text he just mimics what the girls do but instead of the praise mum gives them, Luke gets punished, leading him to grow a hatred of Rosemary. Which I thin</w:t>
      </w:r>
      <w:r w:rsidR="00697DA7">
        <w:t>k leads him to talk to Gran and</w:t>
      </w:r>
      <w:r>
        <w:t xml:space="preserve"> </w:t>
      </w:r>
      <w:r w:rsidRPr="00697DA7">
        <w:t>they develop</w:t>
      </w:r>
      <w:r>
        <w:t xml:space="preserve"> a very strong connection. This was something I wanted to pursue</w:t>
      </w:r>
      <w:r w:rsidRPr="00261D55">
        <w:t xml:space="preserve">. </w:t>
      </w:r>
      <w:r>
        <w:rPr>
          <w:shd w:val="clear" w:color="auto" w:fill="FFFFFF"/>
        </w:rPr>
        <w:t xml:space="preserve">An exercise from a Director’s Craft (Katie Mitchell, 2008) is ‘scenes you’d like to </w:t>
      </w:r>
      <w:r w:rsidRPr="00697DA7">
        <w:rPr>
          <w:shd w:val="clear" w:color="auto" w:fill="FFFFFF"/>
        </w:rPr>
        <w:t xml:space="preserve">see’, </w:t>
      </w:r>
      <w:r>
        <w:rPr>
          <w:shd w:val="clear" w:color="auto" w:fill="FFFFFF"/>
        </w:rPr>
        <w:t xml:space="preserve">this is an improvisation exercise that allows you to create physical memory behind character intention by creating the scene with another person. </w:t>
      </w:r>
      <w:r>
        <w:t xml:space="preserve">I wanted to do this with Gran as in the text they have a seemingly deep connection that almost comes from nowhere. So I wanted to develop this interaction by improvising a scene that would talk about mum’s death. At its forefront the scene showed how much Luke leans on Granny as a parental figure and I believe is one of the few people he will, if rarely, open up to. </w:t>
      </w:r>
      <w:r w:rsidRPr="00261D55">
        <w:t xml:space="preserve">But it also highlighted </w:t>
      </w:r>
      <w:r w:rsidR="00697DA7" w:rsidRPr="00261D55">
        <w:t xml:space="preserve">to me </w:t>
      </w:r>
      <w:r w:rsidRPr="00261D55">
        <w:t>how Luke had been raised in such a pro-feminist household and so that invalidates his own feelings,</w:t>
      </w:r>
      <w:r w:rsidR="00697DA7" w:rsidRPr="00261D55">
        <w:t xml:space="preserve"> </w:t>
      </w:r>
      <w:r w:rsidRPr="00261D55">
        <w:t xml:space="preserve">developing his </w:t>
      </w:r>
      <w:r w:rsidRPr="00261D55">
        <w:rPr>
          <w:strike/>
        </w:rPr>
        <w:t>‘</w:t>
      </w:r>
      <w:r w:rsidRPr="00261D55">
        <w:t>toxic masculine mind-set’. From</w:t>
      </w:r>
      <w:r>
        <w:t xml:space="preserve"> the scene we are performing in the play, we don’t get Luke’s full journey as a character so displaying a toxic masculine mind-set, in a very closed off character is a difficult task. Something talked about in a Director’s Craft (Katie Mitchell, 2008) is trying to find the tactics a character uses to get their objectives. </w:t>
      </w:r>
      <w:r>
        <w:rPr>
          <w:shd w:val="clear" w:color="auto" w:fill="FFFFFF"/>
        </w:rPr>
        <w:t>I think the reason why Luke is so aggressive and closed off is to draw attention to himself, as he has been practically ignored all his life.</w:t>
      </w:r>
      <w:r>
        <w:t xml:space="preserve"> I </w:t>
      </w:r>
      <w:r w:rsidRPr="00697DA7">
        <w:t>showed</w:t>
      </w:r>
      <w:r>
        <w:t xml:space="preserve"> this internal anger by directing it at the other males in the scene, projecting this negative mind-set he has of himself onto them, by blatantly taunting Dodo and immediately shutting down </w:t>
      </w:r>
      <w:proofErr w:type="spellStart"/>
      <w:r>
        <w:t>Derren</w:t>
      </w:r>
      <w:proofErr w:type="spellEnd"/>
      <w:r>
        <w:t xml:space="preserve">. </w:t>
      </w:r>
      <w:r>
        <w:rPr>
          <w:rFonts w:eastAsia="Times New Roman" w:cstheme="minorHAnsi"/>
          <w:szCs w:val="24"/>
          <w:lang w:eastAsia="en-GB"/>
        </w:rPr>
        <w:t>(Bennett, 1998).</w:t>
      </w:r>
    </w:p>
    <w:p w:rsidR="002C7788" w:rsidRDefault="002C7788"/>
    <w:p w:rsidR="002C7788" w:rsidRDefault="0093127C">
      <w:r>
        <w:t xml:space="preserve">In </w:t>
      </w:r>
      <w:proofErr w:type="spellStart"/>
      <w:r>
        <w:t>Mythfits</w:t>
      </w:r>
      <w:proofErr w:type="spellEnd"/>
      <w:r>
        <w:t xml:space="preserve"> I tried a few different techniques to create </w:t>
      </w:r>
      <w:r w:rsidR="00261D55">
        <w:t>some kind of</w:t>
      </w:r>
      <w:r>
        <w:t xml:space="preserve"> characterisation. But one that stuck with me throughout was this idea of a virus spreading through the body and morphing into something animalistic and monstrous which led me to look at Lee Strasberg’s animal work (</w:t>
      </w:r>
      <w:proofErr w:type="spellStart"/>
      <w:r>
        <w:rPr>
          <w:rFonts w:ascii="Segoe UI" w:hAnsi="Segoe UI" w:cs="Segoe UI"/>
          <w:sz w:val="20"/>
          <w:szCs w:val="20"/>
          <w:shd w:val="clear" w:color="auto" w:fill="FFFFFF"/>
        </w:rPr>
        <w:t>Haque</w:t>
      </w:r>
      <w:proofErr w:type="spellEnd"/>
      <w:r>
        <w:rPr>
          <w:rFonts w:ascii="Segoe UI" w:hAnsi="Segoe UI" w:cs="Segoe UI"/>
          <w:sz w:val="20"/>
          <w:szCs w:val="20"/>
          <w:shd w:val="clear" w:color="auto" w:fill="FFFFFF"/>
        </w:rPr>
        <w:t>, 2019)</w:t>
      </w:r>
      <w:r w:rsidR="00261D55">
        <w:t>. Looking at</w:t>
      </w:r>
      <w:r>
        <w:t xml:space="preserve"> animals to explore, I looked at a snake like or bullish characterization but looking back on the text there is mention of Ariadne, a woman turned into a spider by the gods. This led me to an idea of trying to mimic several arms or legs delicately weaving our way into one conglomerated monster. The work brings up some interesting elements I hadn’t considered in the room when playing with ideas such as, How is this animal the same as </w:t>
      </w:r>
      <w:proofErr w:type="gramStart"/>
      <w:r>
        <w:t>me?,</w:t>
      </w:r>
      <w:proofErr w:type="gramEnd"/>
      <w:r>
        <w:t xml:space="preserve"> How does it lie down, sit, crawl, walk?, Where is it heavy?  Etc. Pairing this idea of a virus like </w:t>
      </w:r>
      <w:r w:rsidRPr="00697DA7">
        <w:t>movement</w:t>
      </w:r>
      <w:r>
        <w:t xml:space="preserve"> taking over of the body fighting for control of human or spider made for a compelling piece of movement.</w:t>
      </w:r>
    </w:p>
    <w:p w:rsidR="00A452F2" w:rsidRPr="003126E8" w:rsidRDefault="0093127C" w:rsidP="003126E8">
      <w:pPr>
        <w:spacing w:after="0" w:line="240" w:lineRule="auto"/>
        <w:rPr>
          <w:rFonts w:ascii="Times New Roman" w:eastAsia="Times New Roman" w:hAnsi="Times New Roman" w:cs="Times New Roman"/>
          <w:sz w:val="24"/>
          <w:szCs w:val="24"/>
          <w:lang w:eastAsia="en-GB"/>
        </w:rPr>
      </w:pPr>
      <w:r>
        <w:t xml:space="preserve">When working on </w:t>
      </w:r>
      <w:proofErr w:type="spellStart"/>
      <w:r>
        <w:t>Pillowman</w:t>
      </w:r>
      <w:proofErr w:type="spellEnd"/>
      <w:r>
        <w:t xml:space="preserve"> </w:t>
      </w:r>
      <w:r w:rsidR="00B85649" w:rsidRPr="00B85649">
        <w:rPr>
          <w:rFonts w:eastAsia="Times New Roman" w:cstheme="minorHAnsi"/>
          <w:szCs w:val="24"/>
          <w:lang w:eastAsia="en-GB"/>
        </w:rPr>
        <w:t>(</w:t>
      </w:r>
      <w:proofErr w:type="spellStart"/>
      <w:r w:rsidR="00B85649" w:rsidRPr="00B85649">
        <w:rPr>
          <w:rFonts w:eastAsia="Times New Roman" w:cstheme="minorHAnsi"/>
          <w:szCs w:val="24"/>
          <w:lang w:eastAsia="en-GB"/>
        </w:rPr>
        <w:t>Mcdonagh</w:t>
      </w:r>
      <w:proofErr w:type="spellEnd"/>
      <w:r w:rsidR="00B85649" w:rsidRPr="00B85649">
        <w:rPr>
          <w:rFonts w:eastAsia="Times New Roman" w:cstheme="minorHAnsi"/>
          <w:szCs w:val="24"/>
          <w:lang w:eastAsia="en-GB"/>
        </w:rPr>
        <w:t>, 2006).</w:t>
      </w:r>
      <w:r w:rsidRPr="00B85649">
        <w:rPr>
          <w:rFonts w:cstheme="minorHAnsi"/>
          <w:color w:val="FF4000"/>
          <w:sz w:val="20"/>
        </w:rPr>
        <w:t xml:space="preserve"> </w:t>
      </w:r>
      <w:r>
        <w:t xml:space="preserve">my main </w:t>
      </w:r>
      <w:r w:rsidR="002D5105">
        <w:t>problem,</w:t>
      </w:r>
      <w:r>
        <w:t xml:space="preserve"> was fighting its punctuation. I wanted to pause in the middle</w:t>
      </w:r>
      <w:r w:rsidR="002D5105">
        <w:t xml:space="preserve"> of sentences and Ignore full stops</w:t>
      </w:r>
      <w:r>
        <w:t xml:space="preserve">. However, the text was particular </w:t>
      </w:r>
      <w:r w:rsidRPr="0080333C">
        <w:t>in the way</w:t>
      </w:r>
      <w:r>
        <w:rPr>
          <w:color w:val="FF4000"/>
        </w:rPr>
        <w:t xml:space="preserve"> </w:t>
      </w:r>
      <w:r>
        <w:t>it was laid out and created a very clear construction of a character. He was purposef</w:t>
      </w:r>
      <w:r w:rsidR="002D5105">
        <w:t>ul but slow, angry but</w:t>
      </w:r>
      <w:r>
        <w:t xml:space="preserve"> keep</w:t>
      </w:r>
      <w:r w:rsidR="002D5105">
        <w:t>s</w:t>
      </w:r>
      <w:r>
        <w:t xml:space="preserve"> himself contained, he was terrifying and commanding. Which is the opposite of who I am personally. I believe that you have to put a part of yourself into a character to add a new </w:t>
      </w:r>
      <w:r>
        <w:lastRenderedPageBreak/>
        <w:t>flavour and</w:t>
      </w:r>
      <w:r w:rsidR="0080333C">
        <w:t xml:space="preserve"> a fresh lens through your eyes </w:t>
      </w:r>
      <w:r>
        <w:t xml:space="preserve">it’s the experience of the character which creates the different choices in the plot/performance. Which is why I </w:t>
      </w:r>
      <w:proofErr w:type="gramStart"/>
      <w:r>
        <w:t>believe</w:t>
      </w:r>
      <w:proofErr w:type="gramEnd"/>
      <w:r w:rsidR="002D5105">
        <w:t>,</w:t>
      </w:r>
      <w:r>
        <w:t xml:space="preserve"> such exercises from a Directors Craft (Katie Mitchell, 2008); Time Lining, Given circumstances, scenes </w:t>
      </w:r>
      <w:r w:rsidRPr="002D5105">
        <w:t xml:space="preserve">you like to see, </w:t>
      </w:r>
      <w:r w:rsidR="0080333C">
        <w:t>they help</w:t>
      </w:r>
      <w:r w:rsidRPr="0080333C">
        <w:t xml:space="preserve"> me</w:t>
      </w:r>
      <w:r w:rsidR="0080333C">
        <w:rPr>
          <w:color w:val="FF0000"/>
        </w:rPr>
        <w:t xml:space="preserve"> </w:t>
      </w:r>
      <w:r>
        <w:t>in the construction of character and development of scenes. So developing a monologue</w:t>
      </w:r>
      <w:r w:rsidR="0080333C">
        <w:t xml:space="preserve"> that contrasts</w:t>
      </w:r>
      <w:r>
        <w:t xml:space="preserve"> to me naturally, is a challenge. But a perfect way in, was to use this punctuation. It gives exact moments for new </w:t>
      </w:r>
      <w:r w:rsidR="0080333C">
        <w:t>thought, ramblings, direct char</w:t>
      </w:r>
      <w:r>
        <w:t xml:space="preserve">table mental characterisations of the entire monologue. But I </w:t>
      </w:r>
      <w:r w:rsidR="0080333C">
        <w:t>felt</w:t>
      </w:r>
      <w:r>
        <w:t xml:space="preserve"> restrained with this method. It didn’t allow me the creative freedom of being present in the scene to find those thoughts naturally</w:t>
      </w:r>
      <w:r w:rsidR="0080333C">
        <w:t xml:space="preserve"> </w:t>
      </w:r>
      <w:r w:rsidR="002D5105">
        <w:t>in</w:t>
      </w:r>
      <w:r w:rsidR="0080333C">
        <w:t xml:space="preserve"> character</w:t>
      </w:r>
      <w:r>
        <w:t xml:space="preserve">. </w:t>
      </w:r>
    </w:p>
    <w:p w:rsidR="002C7788" w:rsidRDefault="002C7788"/>
    <w:p w:rsidR="00C57514" w:rsidRDefault="001E3740">
      <w:r>
        <w:t>To c</w:t>
      </w:r>
      <w:r w:rsidR="0093127C">
        <w:t>onclude</w:t>
      </w:r>
      <w:r w:rsidR="00DF05D6">
        <w:t xml:space="preserve"> my penultimate rehearsal went awfully. I </w:t>
      </w:r>
      <w:r w:rsidR="00261D55">
        <w:t xml:space="preserve">fumbled lines </w:t>
      </w:r>
      <w:r w:rsidR="00DF05D6">
        <w:t xml:space="preserve">didn’t enjoy the choices I made and it felt forced relying on volume to show emotion. But </w:t>
      </w:r>
      <w:r w:rsidR="002D5105">
        <w:t xml:space="preserve">the final performance went great. I felt I had tension, suspense and gripped the audience that set a fear in them but also had shades of light getting small chuckles from some audience. </w:t>
      </w:r>
      <w:r w:rsidR="00261D55">
        <w:t xml:space="preserve">I think </w:t>
      </w:r>
      <w:r w:rsidR="00B61EAC">
        <w:t>audience</w:t>
      </w:r>
      <w:r w:rsidR="00B61EAC">
        <w:t xml:space="preserve"> was </w:t>
      </w:r>
      <w:r w:rsidR="00261D55">
        <w:t>the change from my rehearsal</w:t>
      </w:r>
      <w:r w:rsidR="00B61EAC">
        <w:t xml:space="preserve"> to performance</w:t>
      </w:r>
      <w:r w:rsidR="00261D55">
        <w:t xml:space="preserve">. </w:t>
      </w:r>
      <w:r w:rsidR="00B61EAC">
        <w:t>It gives so much</w:t>
      </w:r>
      <w:r w:rsidR="004602B5">
        <w:t xml:space="preserve"> energy</w:t>
      </w:r>
      <w:r w:rsidR="00B61EAC">
        <w:t xml:space="preserve"> to a performance and Is something I </w:t>
      </w:r>
      <w:r w:rsidR="004602B5">
        <w:t>want</w:t>
      </w:r>
      <w:r w:rsidR="00B61EAC">
        <w:t xml:space="preserve"> to find a way to replicate in a rehearsal room</w:t>
      </w:r>
      <w:r w:rsidR="004602B5">
        <w:t xml:space="preserve"> when working on </w:t>
      </w:r>
      <w:r w:rsidR="00B61EAC">
        <w:t>script</w:t>
      </w:r>
      <w:r w:rsidR="004602B5">
        <w:t>, Rehearsal and devising</w:t>
      </w:r>
      <w:r w:rsidR="0080446B">
        <w:t>. I always want to give everything in rehearsal but finding where to go 70% over performance level 100% or if its ever okay to dip below 80% energy when performing is something I need to discover.</w:t>
      </w:r>
    </w:p>
    <w:p w:rsidR="0080446B" w:rsidRDefault="0080446B">
      <w:r>
        <w:t xml:space="preserve"> </w:t>
      </w:r>
    </w:p>
    <w:p w:rsidR="0080446B" w:rsidRDefault="00842EE3" w:rsidP="00B85649">
      <w:pPr>
        <w:suppressAutoHyphens w:val="0"/>
        <w:spacing w:after="240" w:line="360" w:lineRule="auto"/>
        <w:rPr>
          <w:rFonts w:eastAsia="Times New Roman" w:cstheme="minorHAnsi"/>
          <w:szCs w:val="24"/>
          <w:lang w:eastAsia="en-GB"/>
        </w:rPr>
      </w:pPr>
      <w:r>
        <w:rPr>
          <w:noProof/>
          <w:lang w:eastAsia="en-GB"/>
        </w:rPr>
        <w:drawing>
          <wp:anchor distT="0" distB="0" distL="114300" distR="114300" simplePos="0" relativeHeight="251658240" behindDoc="1" locked="0" layoutInCell="1" allowOverlap="1">
            <wp:simplePos x="0" y="0"/>
            <wp:positionH relativeFrom="column">
              <wp:posOffset>-19050</wp:posOffset>
            </wp:positionH>
            <wp:positionV relativeFrom="paragraph">
              <wp:posOffset>43180</wp:posOffset>
            </wp:positionV>
            <wp:extent cx="3819525" cy="209550"/>
            <wp:effectExtent l="0" t="0" r="9525" b="0"/>
            <wp:wrapTight wrapText="bothSides">
              <wp:wrapPolygon edited="0">
                <wp:start x="0" y="0"/>
                <wp:lineTo x="0" y="19636"/>
                <wp:lineTo x="21546" y="19636"/>
                <wp:lineTo x="2154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3819525" cy="209550"/>
                    </a:xfrm>
                    <a:prstGeom prst="rect">
                      <a:avLst/>
                    </a:prstGeom>
                  </pic:spPr>
                </pic:pic>
              </a:graphicData>
            </a:graphic>
          </wp:anchor>
        </w:drawing>
      </w:r>
      <w:r>
        <w:rPr>
          <w:noProof/>
          <w:lang w:eastAsia="en-GB"/>
        </w:rPr>
        <mc:AlternateContent>
          <mc:Choice Requires="wps">
            <w:drawing>
              <wp:anchor distT="0" distB="0" distL="114300" distR="114300" simplePos="0" relativeHeight="251659264" behindDoc="0" locked="0" layoutInCell="1" allowOverlap="1">
                <wp:simplePos x="0" y="0"/>
                <wp:positionH relativeFrom="margin">
                  <wp:posOffset>-38100</wp:posOffset>
                </wp:positionH>
                <wp:positionV relativeFrom="paragraph">
                  <wp:posOffset>69215</wp:posOffset>
                </wp:positionV>
                <wp:extent cx="3944620" cy="276860"/>
                <wp:effectExtent l="0" t="0" r="17780" b="27940"/>
                <wp:wrapNone/>
                <wp:docPr id="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4620" cy="276860"/>
                        </a:xfrm>
                        <a:prstGeom prst="rect">
                          <a:avLst/>
                        </a:prstGeom>
                        <a:solidFill>
                          <a:schemeClr val="bg1">
                            <a:lumMod val="100000"/>
                            <a:lumOff val="0"/>
                          </a:schemeClr>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0BE105" id="Rectangle 2" o:spid="_x0000_s1026" style="position:absolute;margin-left:-3pt;margin-top:5.45pt;width:310.6pt;height:21.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" fillcolor="white [3212]" strokecolor="white [3212]">
                <w10:wrap anchorx="margin"/>
              </v:rect>
            </w:pict>
          </mc:Fallback>
        </mc:AlternateContent>
      </w:r>
    </w:p>
    <w:p w:rsidR="00842EE3" w:rsidRDefault="00842EE3" w:rsidP="00B85649">
      <w:pPr>
        <w:suppressAutoHyphens w:val="0"/>
        <w:spacing w:after="240" w:line="360" w:lineRule="auto"/>
        <w:rPr>
          <w:rFonts w:eastAsia="Times New Roman" w:cstheme="minorHAnsi"/>
          <w:szCs w:val="24"/>
          <w:lang w:eastAsia="en-GB"/>
        </w:rPr>
      </w:pPr>
    </w:p>
    <w:p w:rsidR="00C57514" w:rsidRPr="00842EE3" w:rsidRDefault="00C57514" w:rsidP="00C57514">
      <w:pPr>
        <w:pStyle w:val="NormalWeb"/>
        <w:spacing w:beforeAutospacing="0" w:after="240" w:afterAutospacing="0" w:line="360" w:lineRule="auto"/>
        <w:rPr>
          <w:rFonts w:asciiTheme="minorHAnsi" w:hAnsiTheme="minorHAnsi" w:cstheme="minorHAnsi"/>
          <w:sz w:val="20"/>
        </w:rPr>
      </w:pPr>
      <w:r w:rsidRPr="00842EE3">
        <w:rPr>
          <w:rFonts w:asciiTheme="minorHAnsi" w:hAnsiTheme="minorHAnsi" w:cstheme="minorHAnsi"/>
          <w:sz w:val="20"/>
        </w:rPr>
        <w:t xml:space="preserve">Anastasia, V. (2023). </w:t>
      </w:r>
      <w:r w:rsidRPr="00842EE3">
        <w:rPr>
          <w:rFonts w:asciiTheme="minorHAnsi" w:hAnsiTheme="minorHAnsi" w:cstheme="minorHAnsi"/>
          <w:i/>
          <w:iCs/>
          <w:sz w:val="20"/>
        </w:rPr>
        <w:t xml:space="preserve">Claustrophobic </w:t>
      </w:r>
      <w:proofErr w:type="spellStart"/>
      <w:r w:rsidRPr="00842EE3">
        <w:rPr>
          <w:rFonts w:asciiTheme="minorHAnsi" w:hAnsiTheme="minorHAnsi" w:cstheme="minorHAnsi"/>
          <w:i/>
          <w:iCs/>
          <w:sz w:val="20"/>
        </w:rPr>
        <w:t>Painscapes</w:t>
      </w:r>
      <w:proofErr w:type="spellEnd"/>
      <w:r w:rsidRPr="00842EE3">
        <w:rPr>
          <w:rFonts w:asciiTheme="minorHAnsi" w:hAnsiTheme="minorHAnsi" w:cstheme="minorHAnsi"/>
          <w:i/>
          <w:iCs/>
          <w:sz w:val="20"/>
        </w:rPr>
        <w:t xml:space="preserve"> Confining the Body in Pain, Trauma and the Role of Storytelling in Enda Walsh’s Bedbound (2000) and Martin </w:t>
      </w:r>
      <w:proofErr w:type="spellStart"/>
      <w:r w:rsidRPr="00842EE3">
        <w:rPr>
          <w:rFonts w:asciiTheme="minorHAnsi" w:hAnsiTheme="minorHAnsi" w:cstheme="minorHAnsi"/>
          <w:i/>
          <w:iCs/>
          <w:sz w:val="20"/>
        </w:rPr>
        <w:t>McDonagh’s</w:t>
      </w:r>
      <w:proofErr w:type="spellEnd"/>
      <w:r w:rsidRPr="00842EE3">
        <w:rPr>
          <w:rFonts w:asciiTheme="minorHAnsi" w:hAnsiTheme="minorHAnsi" w:cstheme="minorHAnsi"/>
          <w:i/>
          <w:iCs/>
          <w:sz w:val="20"/>
        </w:rPr>
        <w:t xml:space="preserve"> </w:t>
      </w:r>
      <w:proofErr w:type="gramStart"/>
      <w:r w:rsidRPr="00842EE3">
        <w:rPr>
          <w:rFonts w:asciiTheme="minorHAnsi" w:hAnsiTheme="minorHAnsi" w:cstheme="minorHAnsi"/>
          <w:i/>
          <w:iCs/>
          <w:sz w:val="20"/>
        </w:rPr>
        <w:t>The</w:t>
      </w:r>
      <w:proofErr w:type="gramEnd"/>
      <w:r w:rsidRPr="00842EE3">
        <w:rPr>
          <w:rFonts w:asciiTheme="minorHAnsi" w:hAnsiTheme="minorHAnsi" w:cstheme="minorHAnsi"/>
          <w:i/>
          <w:iCs/>
          <w:sz w:val="20"/>
        </w:rPr>
        <w:t xml:space="preserve"> </w:t>
      </w:r>
      <w:proofErr w:type="spellStart"/>
      <w:r w:rsidRPr="00842EE3">
        <w:rPr>
          <w:rFonts w:asciiTheme="minorHAnsi" w:hAnsiTheme="minorHAnsi" w:cstheme="minorHAnsi"/>
          <w:i/>
          <w:iCs/>
          <w:sz w:val="20"/>
        </w:rPr>
        <w:t>Pillowman</w:t>
      </w:r>
      <w:proofErr w:type="spellEnd"/>
      <w:r w:rsidRPr="00842EE3">
        <w:rPr>
          <w:rFonts w:asciiTheme="minorHAnsi" w:hAnsiTheme="minorHAnsi" w:cstheme="minorHAnsi"/>
          <w:i/>
          <w:iCs/>
          <w:sz w:val="20"/>
        </w:rPr>
        <w:t xml:space="preserve"> (2003)</w:t>
      </w:r>
      <w:r w:rsidRPr="00842EE3">
        <w:rPr>
          <w:rFonts w:asciiTheme="minorHAnsi" w:hAnsiTheme="minorHAnsi" w:cstheme="minorHAnsi"/>
          <w:sz w:val="20"/>
        </w:rPr>
        <w:t>.</w:t>
      </w:r>
    </w:p>
    <w:p w:rsidR="00C57514" w:rsidRPr="00842EE3" w:rsidRDefault="00C57514" w:rsidP="00C57514">
      <w:pPr>
        <w:suppressAutoHyphens w:val="0"/>
        <w:spacing w:after="240" w:line="360" w:lineRule="auto"/>
        <w:rPr>
          <w:rFonts w:eastAsia="Times New Roman" w:cstheme="minorHAnsi"/>
          <w:sz w:val="20"/>
          <w:szCs w:val="24"/>
          <w:lang w:eastAsia="en-GB"/>
        </w:rPr>
      </w:pPr>
      <w:r w:rsidRPr="00842EE3">
        <w:rPr>
          <w:rFonts w:eastAsia="Times New Roman" w:cstheme="minorHAnsi"/>
          <w:sz w:val="20"/>
          <w:szCs w:val="24"/>
          <w:lang w:eastAsia="en-GB"/>
        </w:rPr>
        <w:t xml:space="preserve">Bennett, P. (1998). Confrontation analysis as a diagnostic tool. </w:t>
      </w:r>
      <w:r w:rsidRPr="00842EE3">
        <w:rPr>
          <w:rFonts w:eastAsia="Times New Roman" w:cstheme="minorHAnsi"/>
          <w:i/>
          <w:iCs/>
          <w:sz w:val="20"/>
          <w:szCs w:val="24"/>
          <w:lang w:eastAsia="en-GB"/>
        </w:rPr>
        <w:t>European Journal of Operational Research</w:t>
      </w:r>
      <w:r w:rsidRPr="00842EE3">
        <w:rPr>
          <w:rFonts w:eastAsia="Times New Roman" w:cstheme="minorHAnsi"/>
          <w:sz w:val="20"/>
          <w:szCs w:val="24"/>
          <w:lang w:eastAsia="en-GB"/>
        </w:rPr>
        <w:t xml:space="preserve">, 109(2), pp.465–482. </w:t>
      </w:r>
      <w:proofErr w:type="spellStart"/>
      <w:r w:rsidRPr="00842EE3">
        <w:rPr>
          <w:rFonts w:eastAsia="Times New Roman" w:cstheme="minorHAnsi"/>
          <w:sz w:val="20"/>
          <w:szCs w:val="24"/>
          <w:lang w:eastAsia="en-GB"/>
        </w:rPr>
        <w:t>doi</w:t>
      </w:r>
      <w:proofErr w:type="spellEnd"/>
      <w:r w:rsidRPr="00842EE3">
        <w:rPr>
          <w:rFonts w:eastAsia="Times New Roman" w:cstheme="minorHAnsi"/>
          <w:sz w:val="20"/>
          <w:szCs w:val="24"/>
          <w:lang w:eastAsia="en-GB"/>
        </w:rPr>
        <w:t xml:space="preserve">: </w:t>
      </w:r>
      <w:hyperlink r:id="rId5">
        <w:r w:rsidRPr="00842EE3">
          <w:rPr>
            <w:rStyle w:val="Hyperlink"/>
            <w:rFonts w:eastAsia="Times New Roman" w:cstheme="minorHAnsi"/>
            <w:sz w:val="20"/>
            <w:szCs w:val="24"/>
            <w:lang w:eastAsia="en-GB"/>
          </w:rPr>
          <w:t>https://doi.org/10.1016/s0377-2217(98)00071-x</w:t>
        </w:r>
      </w:hyperlink>
    </w:p>
    <w:p w:rsidR="00C57514" w:rsidRPr="00842EE3" w:rsidRDefault="00C57514" w:rsidP="00C57514">
      <w:pPr>
        <w:pStyle w:val="NormalWeb"/>
        <w:spacing w:beforeAutospacing="0" w:after="240" w:afterAutospacing="0" w:line="360" w:lineRule="auto"/>
        <w:rPr>
          <w:rFonts w:asciiTheme="minorHAnsi" w:hAnsiTheme="minorHAnsi" w:cstheme="minorHAnsi"/>
          <w:sz w:val="20"/>
        </w:rPr>
      </w:pPr>
      <w:r w:rsidRPr="00842EE3">
        <w:rPr>
          <w:rFonts w:asciiTheme="minorHAnsi" w:hAnsiTheme="minorHAnsi" w:cstheme="minorHAnsi"/>
          <w:sz w:val="20"/>
        </w:rPr>
        <w:t xml:space="preserve">Bogart, A. and Landau, T. (2014). The Viewpoints </w:t>
      </w:r>
      <w:proofErr w:type="gramStart"/>
      <w:r w:rsidRPr="00842EE3">
        <w:rPr>
          <w:rFonts w:asciiTheme="minorHAnsi" w:hAnsiTheme="minorHAnsi" w:cstheme="minorHAnsi"/>
          <w:sz w:val="20"/>
        </w:rPr>
        <w:t>Book :</w:t>
      </w:r>
      <w:proofErr w:type="gramEnd"/>
      <w:r w:rsidRPr="00842EE3">
        <w:rPr>
          <w:rFonts w:asciiTheme="minorHAnsi" w:hAnsiTheme="minorHAnsi" w:cstheme="minorHAnsi"/>
          <w:sz w:val="20"/>
        </w:rPr>
        <w:t xml:space="preserve"> a practical guide to viewpoints and compo-</w:t>
      </w:r>
      <w:proofErr w:type="spellStart"/>
      <w:r w:rsidRPr="00842EE3">
        <w:rPr>
          <w:rFonts w:asciiTheme="minorHAnsi" w:hAnsiTheme="minorHAnsi" w:cstheme="minorHAnsi"/>
          <w:sz w:val="20"/>
        </w:rPr>
        <w:t>sition</w:t>
      </w:r>
      <w:proofErr w:type="spellEnd"/>
      <w:r w:rsidRPr="00842EE3">
        <w:rPr>
          <w:rFonts w:asciiTheme="minorHAnsi" w:hAnsiTheme="minorHAnsi" w:cstheme="minorHAnsi"/>
          <w:sz w:val="20"/>
        </w:rPr>
        <w:t xml:space="preserve">. [online] London: Nick </w:t>
      </w:r>
      <w:proofErr w:type="spellStart"/>
      <w:r w:rsidRPr="00842EE3">
        <w:rPr>
          <w:rFonts w:asciiTheme="minorHAnsi" w:hAnsiTheme="minorHAnsi" w:cstheme="minorHAnsi"/>
          <w:sz w:val="20"/>
        </w:rPr>
        <w:t>Hern</w:t>
      </w:r>
      <w:proofErr w:type="spellEnd"/>
      <w:r w:rsidRPr="00842EE3">
        <w:rPr>
          <w:rFonts w:asciiTheme="minorHAnsi" w:hAnsiTheme="minorHAnsi" w:cstheme="minorHAnsi"/>
          <w:sz w:val="20"/>
        </w:rPr>
        <w:t xml:space="preserve">. Available at: </w:t>
      </w:r>
      <w:hyperlink r:id="rId6">
        <w:r w:rsidRPr="00842EE3">
          <w:rPr>
            <w:rStyle w:val="Hyperlink"/>
            <w:rFonts w:asciiTheme="minorHAnsi" w:hAnsiTheme="minorHAnsi" w:cstheme="minorHAnsi"/>
            <w:sz w:val="20"/>
          </w:rPr>
          <w:t>https://stilluntitledproject.files.wordpress.com/2014/11/anne-bogart-and-tina-landau-the-viewpoints-book.pdf</w:t>
        </w:r>
      </w:hyperlink>
      <w:r w:rsidRPr="00842EE3">
        <w:rPr>
          <w:rFonts w:asciiTheme="minorHAnsi" w:hAnsiTheme="minorHAnsi" w:cstheme="minorHAnsi"/>
          <w:sz w:val="20"/>
        </w:rPr>
        <w:t xml:space="preserve">. </w:t>
      </w:r>
    </w:p>
    <w:p w:rsidR="00C57514" w:rsidRPr="00842EE3" w:rsidRDefault="00C57514" w:rsidP="00C57514">
      <w:pPr>
        <w:pStyle w:val="NormalWeb"/>
        <w:spacing w:beforeAutospacing="0" w:after="240" w:afterAutospacing="0" w:line="360" w:lineRule="auto"/>
        <w:rPr>
          <w:rFonts w:asciiTheme="minorHAnsi" w:hAnsiTheme="minorHAnsi" w:cstheme="minorHAnsi"/>
          <w:sz w:val="20"/>
        </w:rPr>
      </w:pPr>
      <w:r w:rsidRPr="00842EE3">
        <w:rPr>
          <w:rFonts w:asciiTheme="minorHAnsi" w:hAnsiTheme="minorHAnsi" w:cstheme="minorHAnsi"/>
          <w:sz w:val="20"/>
        </w:rPr>
        <w:t xml:space="preserve">Ewan, V. and </w:t>
      </w:r>
      <w:proofErr w:type="spellStart"/>
      <w:r w:rsidRPr="00842EE3">
        <w:rPr>
          <w:rFonts w:asciiTheme="minorHAnsi" w:hAnsiTheme="minorHAnsi" w:cstheme="minorHAnsi"/>
          <w:sz w:val="20"/>
        </w:rPr>
        <w:t>Sagovsky</w:t>
      </w:r>
      <w:proofErr w:type="spellEnd"/>
      <w:r w:rsidRPr="00842EE3">
        <w:rPr>
          <w:rFonts w:asciiTheme="minorHAnsi" w:hAnsiTheme="minorHAnsi" w:cstheme="minorHAnsi"/>
          <w:sz w:val="20"/>
        </w:rPr>
        <w:t xml:space="preserve">, K. (2018). </w:t>
      </w:r>
      <w:r w:rsidRPr="00842EE3">
        <w:rPr>
          <w:rFonts w:asciiTheme="minorHAnsi" w:hAnsiTheme="minorHAnsi" w:cstheme="minorHAnsi"/>
          <w:i/>
          <w:iCs/>
          <w:sz w:val="20"/>
        </w:rPr>
        <w:t>Laban’s Efforts in Action</w:t>
      </w:r>
      <w:r w:rsidRPr="00842EE3">
        <w:rPr>
          <w:rFonts w:asciiTheme="minorHAnsi" w:hAnsiTheme="minorHAnsi" w:cstheme="minorHAnsi"/>
          <w:sz w:val="20"/>
        </w:rPr>
        <w:t>. Bloomsbury Publishing.</w:t>
      </w:r>
    </w:p>
    <w:p w:rsidR="00C57514" w:rsidRPr="00842EE3" w:rsidRDefault="00C57514" w:rsidP="00C57514">
      <w:pPr>
        <w:rPr>
          <w:sz w:val="20"/>
        </w:rPr>
      </w:pPr>
      <w:proofErr w:type="spellStart"/>
      <w:r w:rsidRPr="00842EE3">
        <w:rPr>
          <w:rFonts w:ascii="Segoe UI" w:hAnsi="Segoe UI" w:cs="Segoe UI"/>
          <w:sz w:val="18"/>
          <w:szCs w:val="20"/>
          <w:shd w:val="clear" w:color="auto" w:fill="FFFFFF"/>
        </w:rPr>
        <w:t>Haque</w:t>
      </w:r>
      <w:proofErr w:type="spellEnd"/>
      <w:r w:rsidRPr="00842EE3">
        <w:rPr>
          <w:rFonts w:ascii="Segoe UI" w:hAnsi="Segoe UI" w:cs="Segoe UI"/>
          <w:sz w:val="18"/>
          <w:szCs w:val="20"/>
          <w:shd w:val="clear" w:color="auto" w:fill="FFFFFF"/>
        </w:rPr>
        <w:t xml:space="preserve"> (2019) </w:t>
      </w:r>
      <w:proofErr w:type="spellStart"/>
      <w:r w:rsidRPr="00842EE3">
        <w:rPr>
          <w:sz w:val="20"/>
        </w:rPr>
        <w:t>Haque</w:t>
      </w:r>
      <w:proofErr w:type="spellEnd"/>
      <w:r w:rsidRPr="00842EE3">
        <w:rPr>
          <w:sz w:val="20"/>
        </w:rPr>
        <w:t xml:space="preserve"> Centre of Acting &amp; Creativity. Available at: </w:t>
      </w:r>
      <w:hyperlink r:id="rId7">
        <w:r w:rsidRPr="00842EE3">
          <w:rPr>
            <w:rStyle w:val="Hyperlink"/>
            <w:sz w:val="20"/>
          </w:rPr>
          <w:t>https://methodactingasia.com/wp-content/uploads/2020/03/Lee-Strasberg%E2%80%99s-Method-Intermediate-Syllabus.pdf</w:t>
        </w:r>
      </w:hyperlink>
      <w:r w:rsidRPr="00842EE3">
        <w:rPr>
          <w:sz w:val="20"/>
        </w:rPr>
        <w:t xml:space="preserve"> (Accessed: 29 November 2024).</w:t>
      </w:r>
    </w:p>
    <w:p w:rsidR="00C57514" w:rsidRPr="00B85649" w:rsidRDefault="00C57514" w:rsidP="00C57514">
      <w:pPr>
        <w:suppressAutoHyphens w:val="0"/>
        <w:spacing w:after="240" w:line="360" w:lineRule="auto"/>
        <w:rPr>
          <w:rFonts w:eastAsia="Times New Roman" w:cstheme="minorHAnsi"/>
          <w:sz w:val="20"/>
          <w:szCs w:val="24"/>
          <w:lang w:eastAsia="en-GB"/>
        </w:rPr>
      </w:pPr>
      <w:proofErr w:type="spellStart"/>
      <w:r w:rsidRPr="00B85649">
        <w:rPr>
          <w:rFonts w:eastAsia="Times New Roman" w:cstheme="minorHAnsi"/>
          <w:sz w:val="20"/>
          <w:szCs w:val="24"/>
          <w:lang w:eastAsia="en-GB"/>
        </w:rPr>
        <w:t>Mcdonagh</w:t>
      </w:r>
      <w:proofErr w:type="spellEnd"/>
      <w:r w:rsidRPr="00B85649">
        <w:rPr>
          <w:rFonts w:eastAsia="Times New Roman" w:cstheme="minorHAnsi"/>
          <w:sz w:val="20"/>
          <w:szCs w:val="24"/>
          <w:lang w:eastAsia="en-GB"/>
        </w:rPr>
        <w:t xml:space="preserve">, M. (2006). </w:t>
      </w:r>
      <w:r w:rsidRPr="00B85649">
        <w:rPr>
          <w:rFonts w:eastAsia="Times New Roman" w:cstheme="minorHAnsi"/>
          <w:i/>
          <w:iCs/>
          <w:sz w:val="20"/>
          <w:szCs w:val="24"/>
          <w:lang w:eastAsia="en-GB"/>
        </w:rPr>
        <w:t xml:space="preserve">The </w:t>
      </w:r>
      <w:proofErr w:type="spellStart"/>
      <w:r w:rsidRPr="00B85649">
        <w:rPr>
          <w:rFonts w:eastAsia="Times New Roman" w:cstheme="minorHAnsi"/>
          <w:i/>
          <w:iCs/>
          <w:sz w:val="20"/>
          <w:szCs w:val="24"/>
          <w:lang w:eastAsia="en-GB"/>
        </w:rPr>
        <w:t>Pillowman</w:t>
      </w:r>
      <w:proofErr w:type="spellEnd"/>
      <w:r w:rsidRPr="00B85649">
        <w:rPr>
          <w:rFonts w:eastAsia="Times New Roman" w:cstheme="minorHAnsi"/>
          <w:i/>
          <w:iCs/>
          <w:sz w:val="20"/>
          <w:szCs w:val="24"/>
          <w:lang w:eastAsia="en-GB"/>
        </w:rPr>
        <w:t>.</w:t>
      </w:r>
      <w:r w:rsidRPr="00B85649">
        <w:rPr>
          <w:rFonts w:eastAsia="Times New Roman" w:cstheme="minorHAnsi"/>
          <w:sz w:val="20"/>
          <w:szCs w:val="24"/>
          <w:lang w:eastAsia="en-GB"/>
        </w:rPr>
        <w:t xml:space="preserve"> Dramatist’s Play Service.</w:t>
      </w:r>
      <w:bookmarkStart w:id="0" w:name="_GoBack"/>
      <w:bookmarkEnd w:id="0"/>
    </w:p>
    <w:p w:rsidR="00C57514" w:rsidRPr="00842EE3" w:rsidRDefault="00C57514" w:rsidP="00C57514">
      <w:pPr>
        <w:suppressAutoHyphens w:val="0"/>
        <w:spacing w:after="240" w:line="360" w:lineRule="auto"/>
        <w:rPr>
          <w:rFonts w:eastAsia="Times New Roman" w:cstheme="minorHAnsi"/>
          <w:sz w:val="20"/>
          <w:szCs w:val="24"/>
          <w:lang w:eastAsia="en-GB"/>
        </w:rPr>
      </w:pPr>
      <w:r w:rsidRPr="00842EE3">
        <w:rPr>
          <w:rFonts w:eastAsia="Times New Roman" w:cstheme="minorHAnsi"/>
          <w:sz w:val="20"/>
          <w:szCs w:val="24"/>
          <w:lang w:eastAsia="en-GB"/>
        </w:rPr>
        <w:t xml:space="preserve">Merlin, B. (2007). </w:t>
      </w:r>
      <w:r w:rsidRPr="00842EE3">
        <w:rPr>
          <w:rFonts w:eastAsia="Times New Roman" w:cstheme="minorHAnsi"/>
          <w:i/>
          <w:iCs/>
          <w:sz w:val="20"/>
          <w:szCs w:val="24"/>
          <w:lang w:eastAsia="en-GB"/>
        </w:rPr>
        <w:t>The complete Stanislavsky toolkit</w:t>
      </w:r>
      <w:r w:rsidRPr="00842EE3">
        <w:rPr>
          <w:rFonts w:eastAsia="Times New Roman" w:cstheme="minorHAnsi"/>
          <w:sz w:val="20"/>
          <w:szCs w:val="24"/>
          <w:lang w:eastAsia="en-GB"/>
        </w:rPr>
        <w:t xml:space="preserve">. London: Nick </w:t>
      </w:r>
      <w:proofErr w:type="spellStart"/>
      <w:r w:rsidRPr="00842EE3">
        <w:rPr>
          <w:rFonts w:eastAsia="Times New Roman" w:cstheme="minorHAnsi"/>
          <w:sz w:val="20"/>
          <w:szCs w:val="24"/>
          <w:lang w:eastAsia="en-GB"/>
        </w:rPr>
        <w:t>Hern</w:t>
      </w:r>
      <w:proofErr w:type="spellEnd"/>
      <w:r w:rsidRPr="00842EE3">
        <w:rPr>
          <w:rFonts w:eastAsia="Times New Roman" w:cstheme="minorHAnsi"/>
          <w:sz w:val="20"/>
          <w:szCs w:val="24"/>
          <w:lang w:eastAsia="en-GB"/>
        </w:rPr>
        <w:t xml:space="preserve"> Books.</w:t>
      </w:r>
    </w:p>
    <w:p w:rsidR="00C57514" w:rsidRPr="00842EE3" w:rsidRDefault="00C57514" w:rsidP="00C57514">
      <w:pPr>
        <w:pStyle w:val="NormalWeb"/>
        <w:spacing w:beforeAutospacing="0" w:after="240" w:afterAutospacing="0" w:line="360" w:lineRule="auto"/>
        <w:rPr>
          <w:rFonts w:asciiTheme="minorHAnsi" w:hAnsiTheme="minorHAnsi" w:cstheme="minorHAnsi"/>
          <w:sz w:val="20"/>
        </w:rPr>
      </w:pPr>
      <w:r w:rsidRPr="00842EE3">
        <w:rPr>
          <w:rFonts w:asciiTheme="minorHAnsi" w:hAnsiTheme="minorHAnsi" w:cstheme="minorHAnsi"/>
          <w:sz w:val="20"/>
        </w:rPr>
        <w:t xml:space="preserve">Mitchell, K. (2008). </w:t>
      </w:r>
      <w:r w:rsidRPr="00842EE3">
        <w:rPr>
          <w:rFonts w:asciiTheme="minorHAnsi" w:hAnsiTheme="minorHAnsi" w:cstheme="minorHAnsi"/>
          <w:i/>
          <w:iCs/>
          <w:sz w:val="20"/>
        </w:rPr>
        <w:t>The Director’s Craft</w:t>
      </w:r>
      <w:r w:rsidRPr="00842EE3">
        <w:rPr>
          <w:rFonts w:asciiTheme="minorHAnsi" w:hAnsiTheme="minorHAnsi" w:cstheme="minorHAnsi"/>
          <w:sz w:val="20"/>
        </w:rPr>
        <w:t>. Routledge.</w:t>
      </w:r>
    </w:p>
    <w:p w:rsidR="00B85649" w:rsidRPr="00842EE3" w:rsidRDefault="00B85649" w:rsidP="00B85649">
      <w:pPr>
        <w:suppressAutoHyphens w:val="0"/>
        <w:spacing w:after="240" w:line="360" w:lineRule="auto"/>
        <w:rPr>
          <w:rFonts w:ascii="Times New Roman" w:eastAsia="Times New Roman" w:hAnsi="Times New Roman" w:cs="Times New Roman"/>
          <w:sz w:val="20"/>
          <w:szCs w:val="24"/>
          <w:lang w:eastAsia="en-GB"/>
        </w:rPr>
      </w:pPr>
      <w:r w:rsidRPr="00B85649">
        <w:rPr>
          <w:rFonts w:eastAsia="Times New Roman" w:cstheme="minorHAnsi"/>
          <w:sz w:val="20"/>
          <w:szCs w:val="24"/>
          <w:lang w:eastAsia="en-GB"/>
        </w:rPr>
        <w:t xml:space="preserve">The Wardrobe Ensemble (2019). </w:t>
      </w:r>
      <w:r w:rsidRPr="00B85649">
        <w:rPr>
          <w:rFonts w:eastAsia="Times New Roman" w:cstheme="minorHAnsi"/>
          <w:i/>
          <w:iCs/>
          <w:sz w:val="20"/>
          <w:szCs w:val="24"/>
          <w:lang w:eastAsia="en-GB"/>
        </w:rPr>
        <w:t>The Last Flight of the Pelican Daughters</w:t>
      </w:r>
      <w:r w:rsidRPr="00B85649">
        <w:rPr>
          <w:rFonts w:eastAsia="Times New Roman" w:cstheme="minorHAnsi"/>
          <w:sz w:val="20"/>
          <w:szCs w:val="24"/>
          <w:lang w:eastAsia="en-GB"/>
        </w:rPr>
        <w:t xml:space="preserve">. Nick </w:t>
      </w:r>
      <w:proofErr w:type="spellStart"/>
      <w:r w:rsidRPr="00B85649">
        <w:rPr>
          <w:rFonts w:eastAsia="Times New Roman" w:cstheme="minorHAnsi"/>
          <w:sz w:val="20"/>
          <w:szCs w:val="24"/>
          <w:lang w:eastAsia="en-GB"/>
        </w:rPr>
        <w:t>Hern</w:t>
      </w:r>
      <w:proofErr w:type="spellEnd"/>
      <w:r w:rsidRPr="00B85649">
        <w:rPr>
          <w:rFonts w:eastAsia="Times New Roman" w:cstheme="minorHAnsi"/>
          <w:sz w:val="20"/>
          <w:szCs w:val="24"/>
          <w:lang w:eastAsia="en-GB"/>
        </w:rPr>
        <w:t xml:space="preserve"> Books</w:t>
      </w:r>
      <w:r w:rsidRPr="00B85649">
        <w:rPr>
          <w:rFonts w:ascii="Times New Roman" w:eastAsia="Times New Roman" w:hAnsi="Times New Roman" w:cs="Times New Roman"/>
          <w:sz w:val="20"/>
          <w:szCs w:val="24"/>
          <w:lang w:eastAsia="en-GB"/>
        </w:rPr>
        <w:t>.</w:t>
      </w:r>
    </w:p>
    <w:p w:rsidR="00C57514" w:rsidRDefault="00C57514">
      <w:pPr>
        <w:pStyle w:val="NormalWeb"/>
        <w:spacing w:beforeAutospacing="0" w:after="240" w:afterAutospacing="0" w:line="360" w:lineRule="auto"/>
        <w:rPr>
          <w:rFonts w:asciiTheme="minorHAnsi" w:hAnsiTheme="minorHAnsi" w:cstheme="minorHAnsi"/>
          <w:sz w:val="22"/>
        </w:rPr>
      </w:pPr>
    </w:p>
    <w:p w:rsidR="009E2FCB" w:rsidRDefault="009E2FCB">
      <w:pPr>
        <w:pStyle w:val="NormalWeb"/>
        <w:spacing w:beforeAutospacing="0" w:after="240" w:afterAutospacing="0" w:line="360" w:lineRule="auto"/>
        <w:rPr>
          <w:rFonts w:asciiTheme="minorHAnsi" w:hAnsiTheme="minorHAnsi" w:cstheme="minorHAnsi"/>
          <w:sz w:val="22"/>
        </w:rPr>
      </w:pPr>
    </w:p>
    <w:p w:rsidR="009E2FCB" w:rsidRPr="00C57514" w:rsidRDefault="00D40AC4">
      <w:pPr>
        <w:pStyle w:val="NormalWeb"/>
        <w:spacing w:beforeAutospacing="0" w:after="240" w:afterAutospacing="0" w:line="360" w:lineRule="auto"/>
        <w:rPr>
          <w:rFonts w:asciiTheme="minorHAnsi" w:hAnsiTheme="minorHAnsi" w:cstheme="minorHAnsi"/>
          <w:sz w:val="22"/>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9E2FCB">
        <w:rPr>
          <w:noProof/>
        </w:rPr>
        <w:drawing>
          <wp:anchor distT="0" distB="0" distL="114300" distR="114300" simplePos="0" relativeHeight="251660288" behindDoc="1" locked="0" layoutInCell="1" allowOverlap="1">
            <wp:simplePos x="0" y="0"/>
            <wp:positionH relativeFrom="column">
              <wp:posOffset>0</wp:posOffset>
            </wp:positionH>
            <wp:positionV relativeFrom="paragraph">
              <wp:posOffset>-3810</wp:posOffset>
            </wp:positionV>
            <wp:extent cx="5731510" cy="4319270"/>
            <wp:effectExtent l="0" t="0" r="0" b="0"/>
            <wp:wrapTight wrapText="bothSides">
              <wp:wrapPolygon edited="0">
                <wp:start x="0" y="0"/>
                <wp:lineTo x="0" y="21530"/>
                <wp:lineTo x="21538" y="21530"/>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4319270"/>
                    </a:xfrm>
                    <a:prstGeom prst="rect">
                      <a:avLst/>
                    </a:prstGeom>
                  </pic:spPr>
                </pic:pic>
              </a:graphicData>
            </a:graphic>
            <wp14:sizeRelH relativeFrom="page">
              <wp14:pctWidth>0</wp14:pctWidth>
            </wp14:sizeRelH>
            <wp14:sizeRelV relativeFrom="page">
              <wp14:pctHeight>0</wp14:pctHeight>
            </wp14:sizeRelV>
          </wp:anchor>
        </w:drawing>
      </w:r>
    </w:p>
    <w:sectPr w:rsidR="009E2FCB" w:rsidRPr="00C57514">
      <w:pgSz w:w="11906" w:h="16838"/>
      <w:pgMar w:top="1440" w:right="1440" w:bottom="1440" w:left="1440" w:header="0" w:footer="0" w:gutter="0"/>
      <w:cols w:space="720"/>
      <w:formProt w:val="0"/>
      <w:docGrid w:linePitch="360" w:charSpace="122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hyphenationZone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7788"/>
    <w:rsid w:val="001A1D16"/>
    <w:rsid w:val="001E3740"/>
    <w:rsid w:val="00261D55"/>
    <w:rsid w:val="002C7788"/>
    <w:rsid w:val="002D5105"/>
    <w:rsid w:val="003126E8"/>
    <w:rsid w:val="004602B5"/>
    <w:rsid w:val="005930F7"/>
    <w:rsid w:val="00697DA7"/>
    <w:rsid w:val="0080333C"/>
    <w:rsid w:val="0080446B"/>
    <w:rsid w:val="008104CC"/>
    <w:rsid w:val="00842EE3"/>
    <w:rsid w:val="0093127C"/>
    <w:rsid w:val="009533B0"/>
    <w:rsid w:val="009E2FCB"/>
    <w:rsid w:val="00A452F2"/>
    <w:rsid w:val="00B61EAC"/>
    <w:rsid w:val="00B85649"/>
    <w:rsid w:val="00C31D44"/>
    <w:rsid w:val="00C57514"/>
    <w:rsid w:val="00CA00C7"/>
    <w:rsid w:val="00D16D5A"/>
    <w:rsid w:val="00D40AC4"/>
    <w:rsid w:val="00DF05D6"/>
    <w:rsid w:val="00E705FC"/>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ED3B5"/>
  <w15:docId w15:val="{CE22F716-8AB6-4635-95C6-0BD389C3C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46C7"/>
    <w:rPr>
      <w:color w:val="0563C1" w:themeColor="hyperlink"/>
      <w:u w:val="single"/>
    </w:rPr>
  </w:style>
  <w:style w:type="character" w:styleId="FollowedHyperlink">
    <w:name w:val="FollowedHyperlink"/>
    <w:basedOn w:val="DefaultParagraphFont"/>
    <w:uiPriority w:val="99"/>
    <w:semiHidden/>
    <w:unhideWhenUsed/>
    <w:rsid w:val="004F3335"/>
    <w:rPr>
      <w:color w:val="954F72" w:themeColor="followedHyperlink"/>
      <w:u w:val="single"/>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19183D"/>
    <w:pPr>
      <w:ind w:left="720"/>
      <w:contextualSpacing/>
    </w:pPr>
  </w:style>
  <w:style w:type="paragraph" w:styleId="NormalWeb">
    <w:name w:val="Normal (Web)"/>
    <w:basedOn w:val="Normal"/>
    <w:uiPriority w:val="99"/>
    <w:unhideWhenUsed/>
    <w:qFormat/>
    <w:rsid w:val="00E87185"/>
    <w:pPr>
      <w:suppressAutoHyphens w:val="0"/>
      <w:spacing w:beforeAutospacing="1"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391276">
      <w:bodyDiv w:val="1"/>
      <w:marLeft w:val="0"/>
      <w:marRight w:val="0"/>
      <w:marTop w:val="0"/>
      <w:marBottom w:val="0"/>
      <w:divBdr>
        <w:top w:val="none" w:sz="0" w:space="0" w:color="auto"/>
        <w:left w:val="none" w:sz="0" w:space="0" w:color="auto"/>
        <w:bottom w:val="none" w:sz="0" w:space="0" w:color="auto"/>
        <w:right w:val="none" w:sz="0" w:space="0" w:color="auto"/>
      </w:divBdr>
    </w:div>
    <w:div w:id="216624461">
      <w:bodyDiv w:val="1"/>
      <w:marLeft w:val="0"/>
      <w:marRight w:val="0"/>
      <w:marTop w:val="0"/>
      <w:marBottom w:val="0"/>
      <w:divBdr>
        <w:top w:val="none" w:sz="0" w:space="0" w:color="auto"/>
        <w:left w:val="none" w:sz="0" w:space="0" w:color="auto"/>
        <w:bottom w:val="none" w:sz="0" w:space="0" w:color="auto"/>
        <w:right w:val="none" w:sz="0" w:space="0" w:color="auto"/>
      </w:divBdr>
    </w:div>
    <w:div w:id="219751745">
      <w:bodyDiv w:val="1"/>
      <w:marLeft w:val="0"/>
      <w:marRight w:val="0"/>
      <w:marTop w:val="0"/>
      <w:marBottom w:val="0"/>
      <w:divBdr>
        <w:top w:val="none" w:sz="0" w:space="0" w:color="auto"/>
        <w:left w:val="none" w:sz="0" w:space="0" w:color="auto"/>
        <w:bottom w:val="none" w:sz="0" w:space="0" w:color="auto"/>
        <w:right w:val="none" w:sz="0" w:space="0" w:color="auto"/>
      </w:divBdr>
    </w:div>
    <w:div w:id="325938447">
      <w:bodyDiv w:val="1"/>
      <w:marLeft w:val="0"/>
      <w:marRight w:val="0"/>
      <w:marTop w:val="0"/>
      <w:marBottom w:val="0"/>
      <w:divBdr>
        <w:top w:val="none" w:sz="0" w:space="0" w:color="auto"/>
        <w:left w:val="none" w:sz="0" w:space="0" w:color="auto"/>
        <w:bottom w:val="none" w:sz="0" w:space="0" w:color="auto"/>
        <w:right w:val="none" w:sz="0" w:space="0" w:color="auto"/>
      </w:divBdr>
      <w:divsChild>
        <w:div w:id="2112823152">
          <w:marLeft w:val="0"/>
          <w:marRight w:val="0"/>
          <w:marTop w:val="0"/>
          <w:marBottom w:val="0"/>
          <w:divBdr>
            <w:top w:val="none" w:sz="0" w:space="0" w:color="auto"/>
            <w:left w:val="none" w:sz="0" w:space="0" w:color="auto"/>
            <w:bottom w:val="none" w:sz="0" w:space="0" w:color="auto"/>
            <w:right w:val="none" w:sz="0" w:space="0" w:color="auto"/>
          </w:divBdr>
        </w:div>
      </w:divsChild>
    </w:div>
    <w:div w:id="443430519">
      <w:bodyDiv w:val="1"/>
      <w:marLeft w:val="0"/>
      <w:marRight w:val="0"/>
      <w:marTop w:val="0"/>
      <w:marBottom w:val="0"/>
      <w:divBdr>
        <w:top w:val="none" w:sz="0" w:space="0" w:color="auto"/>
        <w:left w:val="none" w:sz="0" w:space="0" w:color="auto"/>
        <w:bottom w:val="none" w:sz="0" w:space="0" w:color="auto"/>
        <w:right w:val="none" w:sz="0" w:space="0" w:color="auto"/>
      </w:divBdr>
    </w:div>
    <w:div w:id="567224600">
      <w:bodyDiv w:val="1"/>
      <w:marLeft w:val="0"/>
      <w:marRight w:val="0"/>
      <w:marTop w:val="0"/>
      <w:marBottom w:val="0"/>
      <w:divBdr>
        <w:top w:val="none" w:sz="0" w:space="0" w:color="auto"/>
        <w:left w:val="none" w:sz="0" w:space="0" w:color="auto"/>
        <w:bottom w:val="none" w:sz="0" w:space="0" w:color="auto"/>
        <w:right w:val="none" w:sz="0" w:space="0" w:color="auto"/>
      </w:divBdr>
      <w:divsChild>
        <w:div w:id="723723154">
          <w:marLeft w:val="0"/>
          <w:marRight w:val="0"/>
          <w:marTop w:val="0"/>
          <w:marBottom w:val="0"/>
          <w:divBdr>
            <w:top w:val="none" w:sz="0" w:space="0" w:color="auto"/>
            <w:left w:val="none" w:sz="0" w:space="0" w:color="auto"/>
            <w:bottom w:val="none" w:sz="0" w:space="0" w:color="auto"/>
            <w:right w:val="none" w:sz="0" w:space="0" w:color="auto"/>
          </w:divBdr>
        </w:div>
      </w:divsChild>
    </w:div>
    <w:div w:id="1593120944">
      <w:bodyDiv w:val="1"/>
      <w:marLeft w:val="0"/>
      <w:marRight w:val="0"/>
      <w:marTop w:val="0"/>
      <w:marBottom w:val="0"/>
      <w:divBdr>
        <w:top w:val="none" w:sz="0" w:space="0" w:color="auto"/>
        <w:left w:val="none" w:sz="0" w:space="0" w:color="auto"/>
        <w:bottom w:val="none" w:sz="0" w:space="0" w:color="auto"/>
        <w:right w:val="none" w:sz="0" w:space="0" w:color="auto"/>
      </w:divBdr>
    </w:div>
    <w:div w:id="1595746773">
      <w:bodyDiv w:val="1"/>
      <w:marLeft w:val="0"/>
      <w:marRight w:val="0"/>
      <w:marTop w:val="0"/>
      <w:marBottom w:val="0"/>
      <w:divBdr>
        <w:top w:val="none" w:sz="0" w:space="0" w:color="auto"/>
        <w:left w:val="none" w:sz="0" w:space="0" w:color="auto"/>
        <w:bottom w:val="none" w:sz="0" w:space="0" w:color="auto"/>
        <w:right w:val="none" w:sz="0" w:space="0" w:color="auto"/>
      </w:divBdr>
    </w:div>
    <w:div w:id="1911764950">
      <w:bodyDiv w:val="1"/>
      <w:marLeft w:val="0"/>
      <w:marRight w:val="0"/>
      <w:marTop w:val="0"/>
      <w:marBottom w:val="0"/>
      <w:divBdr>
        <w:top w:val="none" w:sz="0" w:space="0" w:color="auto"/>
        <w:left w:val="none" w:sz="0" w:space="0" w:color="auto"/>
        <w:bottom w:val="none" w:sz="0" w:space="0" w:color="auto"/>
        <w:right w:val="none" w:sz="0" w:space="0" w:color="auto"/>
      </w:divBdr>
      <w:divsChild>
        <w:div w:id="73875199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methodactingasia.com/wp-content/uploads/2020/03/Lee-Strasberg&#8217;s-Method-Intermediate-Syllabu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illuntitledproject.files.wordpress.com/2014/11/anne-bogart-and-tina-landau-the-viewpoints-book.pdf" TargetMode="External"/><Relationship Id="rId5" Type="http://schemas.openxmlformats.org/officeDocument/2006/relationships/hyperlink" Target="https://doi.org/10.1016/s0377-2217(98)00071-x"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1772</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user450go</dc:creator>
  <dc:description/>
  <cp:lastModifiedBy>user450go</cp:lastModifiedBy>
  <cp:revision>4</cp:revision>
  <dcterms:created xsi:type="dcterms:W3CDTF">2024-12-12T16:40:00Z</dcterms:created>
  <dcterms:modified xsi:type="dcterms:W3CDTF">2024-12-12T16:42:00Z</dcterms:modified>
  <dc:language>en-GB</dc:language>
</cp:coreProperties>
</file>