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28DCFA" w14:textId="22FC3AF5" w:rsidR="00073D67" w:rsidRDefault="00D85494" w:rsidP="00D85494">
      <w:pPr>
        <w:jc w:val="center"/>
        <w:rPr>
          <w:rFonts w:ascii="Baskerville Old Face" w:hAnsi="Baskerville Old Face"/>
          <w:sz w:val="32"/>
          <w:szCs w:val="32"/>
          <w:u w:val="single"/>
        </w:rPr>
      </w:pPr>
      <w:r w:rsidRPr="00D85494">
        <w:rPr>
          <w:rFonts w:ascii="Baskerville Old Face" w:hAnsi="Baskerville Old Face"/>
          <w:sz w:val="32"/>
          <w:szCs w:val="32"/>
          <w:u w:val="single"/>
        </w:rPr>
        <w:t>Book Chapter Review</w:t>
      </w:r>
    </w:p>
    <w:p w14:paraId="416E8685" w14:textId="482B7B07" w:rsidR="00D85494" w:rsidRDefault="00D85494" w:rsidP="00D85494">
      <w:pPr>
        <w:jc w:val="center"/>
        <w:rPr>
          <w:rFonts w:ascii="Baskerville Old Face" w:hAnsi="Baskerville Old Face"/>
          <w:sz w:val="32"/>
          <w:szCs w:val="32"/>
          <w:u w:val="single"/>
        </w:rPr>
      </w:pPr>
    </w:p>
    <w:p w14:paraId="61AC6968" w14:textId="08958508" w:rsidR="00D85494" w:rsidRPr="00D85494" w:rsidRDefault="00D85494" w:rsidP="00D85494">
      <w:pPr>
        <w:rPr>
          <w:rFonts w:ascii="Baskerville Old Face" w:hAnsi="Baskerville Old Face"/>
          <w:sz w:val="28"/>
          <w:szCs w:val="28"/>
          <w:u w:val="single"/>
        </w:rPr>
      </w:pPr>
      <w:r w:rsidRPr="00D85494">
        <w:rPr>
          <w:rFonts w:ascii="Baskerville Old Face" w:hAnsi="Baskerville Old Face"/>
          <w:sz w:val="28"/>
          <w:szCs w:val="28"/>
          <w:u w:val="single"/>
        </w:rPr>
        <w:t>Introduction.</w:t>
      </w:r>
      <w:r>
        <w:rPr>
          <w:rFonts w:ascii="Baskerville Old Face" w:hAnsi="Baskerville Old Face"/>
          <w:sz w:val="28"/>
          <w:szCs w:val="28"/>
          <w:u w:val="single"/>
        </w:rPr>
        <w:t xml:space="preserve"> </w:t>
      </w:r>
    </w:p>
    <w:p w14:paraId="1A393D95" w14:textId="67DC12D4" w:rsidR="00D85494" w:rsidRPr="00D85494" w:rsidRDefault="00D85494" w:rsidP="00D85494">
      <w:pPr>
        <w:rPr>
          <w:rFonts w:ascii="Baskerville Old Face" w:hAnsi="Baskerville Old Face"/>
          <w:sz w:val="28"/>
          <w:szCs w:val="28"/>
        </w:rPr>
      </w:pPr>
      <w:r>
        <w:rPr>
          <w:rFonts w:ascii="Baskerville Old Face" w:hAnsi="Baskerville Old Face"/>
          <w:sz w:val="28"/>
          <w:szCs w:val="28"/>
        </w:rPr>
        <w:t>For my review of a book chapter, I have chosen to look at Shaye J.D. Cohen’s book ‘</w:t>
      </w:r>
      <w:r w:rsidRPr="009B4A0A">
        <w:rPr>
          <w:rFonts w:ascii="Baskerville Old Face" w:hAnsi="Baskerville Old Face"/>
          <w:i/>
          <w:iCs/>
          <w:sz w:val="28"/>
          <w:szCs w:val="28"/>
        </w:rPr>
        <w:t>From the Maccabees to the Mishnah’</w:t>
      </w:r>
      <w:r>
        <w:rPr>
          <w:rFonts w:ascii="Baskerville Old Face" w:hAnsi="Baskerville Old Face"/>
          <w:sz w:val="28"/>
          <w:szCs w:val="28"/>
        </w:rPr>
        <w:t xml:space="preserve"> which was first published in 1988, with the publication of the particular volume I will be looking at is a republished version from 1991, Philadelphia : Westminster University Press.</w:t>
      </w:r>
      <w:r w:rsidR="009B4A0A">
        <w:rPr>
          <w:rFonts w:ascii="Baskerville Old Face" w:hAnsi="Baskerville Old Face"/>
          <w:sz w:val="28"/>
          <w:szCs w:val="28"/>
        </w:rPr>
        <w:t xml:space="preserve"> I will be looking specifically at chapter 2, titled ‘Jews and Gentiles’, pp27-59. For this chapter, the author gives an overview of what the thesis for this chapter will be, which is to look at the relationship of Jews and Judaism to gentiles and gentile culture. Within this thesis, the author notes that he will be looking at three particular themes within his chapter, which are political, cultural and social, with the following arguments attributed to each </w:t>
      </w:r>
      <w:r w:rsidR="00D66F96">
        <w:rPr>
          <w:rFonts w:ascii="Baskerville Old Face" w:hAnsi="Baskerville Old Face"/>
          <w:sz w:val="28"/>
          <w:szCs w:val="28"/>
        </w:rPr>
        <w:t>of the three themes</w:t>
      </w:r>
      <w:r w:rsidR="009B4A0A">
        <w:rPr>
          <w:rFonts w:ascii="Baskerville Old Face" w:hAnsi="Baskerville Old Face"/>
          <w:sz w:val="28"/>
          <w:szCs w:val="28"/>
        </w:rPr>
        <w:t xml:space="preserve"> : </w:t>
      </w:r>
      <w:r w:rsidR="00D66F96">
        <w:rPr>
          <w:rFonts w:ascii="Baskerville Old Face" w:hAnsi="Baskerville Old Face"/>
          <w:sz w:val="28"/>
          <w:szCs w:val="28"/>
        </w:rPr>
        <w:t>P</w:t>
      </w:r>
      <w:r w:rsidR="009B4A0A">
        <w:rPr>
          <w:rFonts w:ascii="Baskerville Old Face" w:hAnsi="Baskerville Old Face"/>
          <w:sz w:val="28"/>
          <w:szCs w:val="28"/>
        </w:rPr>
        <w:t xml:space="preserve">olitical – to what extent should the Jews </w:t>
      </w:r>
      <w:r w:rsidR="00D66F96">
        <w:rPr>
          <w:rFonts w:ascii="Baskerville Old Face" w:hAnsi="Baskerville Old Face"/>
          <w:sz w:val="28"/>
          <w:szCs w:val="28"/>
        </w:rPr>
        <w:t xml:space="preserve">submit to foreign domination? Cultural – to what extent should the Jews absorb pagan ideas and practices? Social – to what extent should Jews mingle and interact with gentiles? </w:t>
      </w:r>
    </w:p>
    <w:p w14:paraId="55B6158E" w14:textId="77777777" w:rsidR="00D85494" w:rsidRPr="00D85494" w:rsidRDefault="00D85494" w:rsidP="00D85494">
      <w:pPr>
        <w:rPr>
          <w:rFonts w:ascii="Baskerville Old Face" w:hAnsi="Baskerville Old Face"/>
          <w:sz w:val="28"/>
          <w:szCs w:val="28"/>
          <w:u w:val="single"/>
        </w:rPr>
      </w:pPr>
    </w:p>
    <w:p w14:paraId="111CAE36" w14:textId="6D318B78" w:rsidR="00D85494" w:rsidRDefault="00D85494" w:rsidP="00D85494">
      <w:pPr>
        <w:rPr>
          <w:rFonts w:ascii="Baskerville Old Face" w:hAnsi="Baskerville Old Face"/>
          <w:sz w:val="28"/>
          <w:szCs w:val="28"/>
          <w:u w:val="single"/>
        </w:rPr>
      </w:pPr>
      <w:r w:rsidRPr="00D85494">
        <w:rPr>
          <w:rFonts w:ascii="Baskerville Old Face" w:hAnsi="Baskerville Old Face"/>
          <w:sz w:val="28"/>
          <w:szCs w:val="28"/>
          <w:u w:val="single"/>
        </w:rPr>
        <w:t>Summary</w:t>
      </w:r>
      <w:r>
        <w:rPr>
          <w:rFonts w:ascii="Baskerville Old Face" w:hAnsi="Baskerville Old Face"/>
          <w:sz w:val="28"/>
          <w:szCs w:val="28"/>
          <w:u w:val="single"/>
        </w:rPr>
        <w:t>.</w:t>
      </w:r>
    </w:p>
    <w:p w14:paraId="4880D320" w14:textId="44688A6B" w:rsidR="00D66F96" w:rsidRDefault="00D66F96" w:rsidP="00D85494">
      <w:pPr>
        <w:rPr>
          <w:rFonts w:ascii="Baskerville Old Face" w:hAnsi="Baskerville Old Face"/>
          <w:sz w:val="28"/>
          <w:szCs w:val="28"/>
        </w:rPr>
      </w:pPr>
      <w:r>
        <w:rPr>
          <w:rFonts w:ascii="Baskerville Old Face" w:hAnsi="Baskerville Old Face"/>
          <w:sz w:val="28"/>
          <w:szCs w:val="28"/>
        </w:rPr>
        <w:t>In order to summarize what Cohen writes in this particular chapter in his book, it can be divided into three main point of interest that the author subtitles through his chapter, with each of the subtitles relating to each of the main themes that the author presents for this chapter.</w:t>
      </w:r>
    </w:p>
    <w:p w14:paraId="6D78CEE7" w14:textId="5D8D3D92" w:rsidR="00D85494" w:rsidRDefault="00D66F96" w:rsidP="00D85494">
      <w:pPr>
        <w:rPr>
          <w:rFonts w:ascii="Baskerville Old Face" w:hAnsi="Baskerville Old Face"/>
          <w:sz w:val="28"/>
          <w:szCs w:val="28"/>
        </w:rPr>
      </w:pPr>
      <w:r>
        <w:rPr>
          <w:rFonts w:ascii="Baskerville Old Face" w:hAnsi="Baskerville Old Face"/>
          <w:sz w:val="28"/>
          <w:szCs w:val="28"/>
        </w:rPr>
        <w:t xml:space="preserve">Political : Gentile Domination </w:t>
      </w:r>
      <w:r w:rsidR="00753375">
        <w:rPr>
          <w:rFonts w:ascii="Baskerville Old Face" w:hAnsi="Baskerville Old Face"/>
          <w:sz w:val="28"/>
          <w:szCs w:val="28"/>
        </w:rPr>
        <w:t xml:space="preserve">- </w:t>
      </w:r>
      <w:r>
        <w:rPr>
          <w:rFonts w:ascii="Baskerville Old Face" w:hAnsi="Baskerville Old Face"/>
          <w:sz w:val="28"/>
          <w:szCs w:val="28"/>
        </w:rPr>
        <w:t xml:space="preserve">to concisely summarise the political theme of this chapter, Cohen looks at how political changes and challenges face not just the Jews in Israel, but also the Jews in the diaspora as well, as they struggle to co-exist with the foreign powers that end up ruling over them within the areas they reside in. </w:t>
      </w:r>
      <w:r w:rsidR="00753375">
        <w:rPr>
          <w:rFonts w:ascii="Baskerville Old Face" w:hAnsi="Baskerville Old Face"/>
          <w:sz w:val="28"/>
          <w:szCs w:val="28"/>
        </w:rPr>
        <w:t xml:space="preserve">The author notes, on his reading of Jeremiah 25, of the influence of Jeramiah over Jewish thought, which shows scenes in the apocalyptic style of gentile rule over the Jews as the punishment they receive for their sins. The author also explains how political reasons is what lead to </w:t>
      </w:r>
      <w:r w:rsidR="00F65A41">
        <w:rPr>
          <w:rFonts w:ascii="Baskerville Old Face" w:hAnsi="Baskerville Old Face"/>
          <w:sz w:val="28"/>
          <w:szCs w:val="28"/>
        </w:rPr>
        <w:t>2</w:t>
      </w:r>
      <w:r w:rsidR="00753375">
        <w:rPr>
          <w:rFonts w:ascii="Baskerville Old Face" w:hAnsi="Baskerville Old Face"/>
          <w:sz w:val="28"/>
          <w:szCs w:val="28"/>
        </w:rPr>
        <w:t xml:space="preserve"> Jewish revolts, </w:t>
      </w:r>
      <w:r w:rsidR="00F65A41">
        <w:rPr>
          <w:rFonts w:ascii="Baskerville Old Face" w:hAnsi="Baskerville Old Face"/>
          <w:sz w:val="28"/>
          <w:szCs w:val="28"/>
        </w:rPr>
        <w:t>the Maccabean revolt (167 - 164 BCE), the first Jewish revolt against the Romans (66 - 73/73 C.E), as well as 2 further Jewish revolts against the Romans in 132 - 135 C.E and 115 – 117 C.E</w:t>
      </w:r>
      <w:r w:rsidR="00AE6B4A">
        <w:rPr>
          <w:rFonts w:ascii="Baskerville Old Face" w:hAnsi="Baskerville Old Face"/>
          <w:sz w:val="28"/>
          <w:szCs w:val="28"/>
        </w:rPr>
        <w:t xml:space="preserve">. (Cohen, 1991, p30). </w:t>
      </w:r>
      <w:r w:rsidR="00F65A41">
        <w:rPr>
          <w:rFonts w:ascii="Baskerville Old Face" w:hAnsi="Baskerville Old Face"/>
          <w:sz w:val="28"/>
          <w:szCs w:val="28"/>
        </w:rPr>
        <w:t xml:space="preserve">Due to the dates of the later two revolts being outside of our period of study, I will not focus on them for this review. </w:t>
      </w:r>
      <w:r w:rsidR="00F65A41">
        <w:rPr>
          <w:rFonts w:ascii="Baskerville Old Face" w:hAnsi="Baskerville Old Face"/>
          <w:sz w:val="28"/>
          <w:szCs w:val="28"/>
        </w:rPr>
        <w:lastRenderedPageBreak/>
        <w:t>Cohen (1991, p34) summarises this section by stating that the “basic political stance of the Jews of both the land of Israel and the diaspora was not rebellion but accommodation”.</w:t>
      </w:r>
    </w:p>
    <w:p w14:paraId="3D9B7B3D" w14:textId="223076C8" w:rsidR="00D66F96" w:rsidRDefault="00D66F96" w:rsidP="00D85494">
      <w:pPr>
        <w:rPr>
          <w:rFonts w:ascii="Baskerville Old Face" w:hAnsi="Baskerville Old Face"/>
          <w:sz w:val="28"/>
          <w:szCs w:val="28"/>
        </w:rPr>
      </w:pPr>
      <w:r>
        <w:rPr>
          <w:rFonts w:ascii="Baskerville Old Face" w:hAnsi="Baskerville Old Face"/>
          <w:sz w:val="28"/>
          <w:szCs w:val="28"/>
        </w:rPr>
        <w:t>Cultural : Judaism and Hellenism</w:t>
      </w:r>
      <w:r w:rsidR="00753375">
        <w:rPr>
          <w:rFonts w:ascii="Baskerville Old Face" w:hAnsi="Baskerville Old Face"/>
          <w:sz w:val="28"/>
          <w:szCs w:val="28"/>
        </w:rPr>
        <w:t xml:space="preserve"> </w:t>
      </w:r>
      <w:r w:rsidR="005D4C07">
        <w:rPr>
          <w:rFonts w:ascii="Baskerville Old Face" w:hAnsi="Baskerville Old Face"/>
          <w:sz w:val="28"/>
          <w:szCs w:val="28"/>
        </w:rPr>
        <w:t>–</w:t>
      </w:r>
      <w:r w:rsidR="00753375">
        <w:rPr>
          <w:rFonts w:ascii="Baskerville Old Face" w:hAnsi="Baskerville Old Face"/>
          <w:sz w:val="28"/>
          <w:szCs w:val="28"/>
        </w:rPr>
        <w:t xml:space="preserve"> </w:t>
      </w:r>
      <w:r w:rsidR="005D4C07">
        <w:rPr>
          <w:rFonts w:ascii="Baskerville Old Face" w:hAnsi="Baskerville Old Face"/>
          <w:sz w:val="28"/>
          <w:szCs w:val="28"/>
        </w:rPr>
        <w:t xml:space="preserve">to summarise this subsection of Cohen’s chapter, this one focuses on one specific idea that Cohen states as a characteristic of Jewish thought – the idea of us and them (Cohen, 1991, p34). Cohen explores the difficulties that Jews faced when it came to balancing their Jewish identities and still having advantages that the Hellenistic world could give. One point of this section was the notion Cohen gave in regard to the importance of material culture that can be found in archaeological sites, which can tell us a lot about a group of people that lived in the area. One of the most important questions proposed by Cohen (1991, p45) is </w:t>
      </w:r>
      <w:r w:rsidR="0036290A">
        <w:rPr>
          <w:rFonts w:ascii="Baskerville Old Face" w:hAnsi="Baskerville Old Face"/>
          <w:sz w:val="28"/>
          <w:szCs w:val="28"/>
        </w:rPr>
        <w:t>“how should Judaism adapt itself to meet the new conditions of the age?”, which Cohen explores through things such as material culture, changing languages and the developments of philosophies.</w:t>
      </w:r>
    </w:p>
    <w:p w14:paraId="56DD9D87" w14:textId="0E36557C" w:rsidR="00D66F96" w:rsidRDefault="00D66F96" w:rsidP="00D85494">
      <w:pPr>
        <w:rPr>
          <w:rFonts w:ascii="Baskerville Old Face" w:hAnsi="Baskerville Old Face"/>
          <w:sz w:val="28"/>
          <w:szCs w:val="28"/>
        </w:rPr>
      </w:pPr>
      <w:r>
        <w:rPr>
          <w:rFonts w:ascii="Baskerville Old Face" w:hAnsi="Baskerville Old Face"/>
          <w:sz w:val="28"/>
          <w:szCs w:val="28"/>
        </w:rPr>
        <w:t>Social : Jews and Gentiles</w:t>
      </w:r>
      <w:r w:rsidR="00753375">
        <w:rPr>
          <w:rFonts w:ascii="Baskerville Old Face" w:hAnsi="Baskerville Old Face"/>
          <w:sz w:val="28"/>
          <w:szCs w:val="28"/>
        </w:rPr>
        <w:t xml:space="preserve"> – </w:t>
      </w:r>
      <w:r w:rsidR="00671CB8">
        <w:rPr>
          <w:rFonts w:ascii="Baskerville Old Face" w:hAnsi="Baskerville Old Face"/>
          <w:sz w:val="28"/>
          <w:szCs w:val="28"/>
        </w:rPr>
        <w:t>for this subsection, Cohen explores the ways in which Jews acted socially with gentiles, with Cohen (1991, p46) noting that “Jews of both Israel and the diaspora wanted to ‘belong’ but at the same time remain distinct”. For this section Cohen also explores how anti-Judaism began. Cohen notes that it cannot necessarily be called anti-Semitism, as racial theory was not necessarily something that was understood in an ancient context. Also, Cohen</w:t>
      </w:r>
      <w:r w:rsidR="001F003D">
        <w:rPr>
          <w:rFonts w:ascii="Baskerville Old Face" w:hAnsi="Baskerville Old Face"/>
          <w:sz w:val="28"/>
          <w:szCs w:val="28"/>
        </w:rPr>
        <w:t xml:space="preserve"> (1991, p49)</w:t>
      </w:r>
      <w:r w:rsidR="00671CB8">
        <w:rPr>
          <w:rFonts w:ascii="Baskerville Old Face" w:hAnsi="Baskerville Old Face"/>
          <w:sz w:val="28"/>
          <w:szCs w:val="28"/>
        </w:rPr>
        <w:t xml:space="preserve"> </w:t>
      </w:r>
      <w:r w:rsidR="001F003D">
        <w:rPr>
          <w:rFonts w:ascii="Baskerville Old Face" w:hAnsi="Baskerville Old Face"/>
          <w:sz w:val="28"/>
          <w:szCs w:val="28"/>
        </w:rPr>
        <w:t>argues</w:t>
      </w:r>
      <w:r w:rsidR="00671CB8">
        <w:rPr>
          <w:rFonts w:ascii="Baskerville Old Face" w:hAnsi="Baskerville Old Face"/>
          <w:sz w:val="28"/>
          <w:szCs w:val="28"/>
        </w:rPr>
        <w:t xml:space="preserve"> the notion that </w:t>
      </w:r>
      <w:r w:rsidR="001F003D">
        <w:rPr>
          <w:rFonts w:ascii="Baskerville Old Face" w:hAnsi="Baskerville Old Face"/>
          <w:sz w:val="28"/>
          <w:szCs w:val="28"/>
        </w:rPr>
        <w:t xml:space="preserve">we cannot entirely attribute attitudes of separation to the Jews no more than those of anti-Judaism to gentiles, and that there are other factors that can influence social relations between any group.  </w:t>
      </w:r>
    </w:p>
    <w:p w14:paraId="136D9CC0" w14:textId="330F00B4" w:rsidR="00753375" w:rsidRDefault="00753375" w:rsidP="00D85494">
      <w:pPr>
        <w:rPr>
          <w:rFonts w:ascii="Baskerville Old Face" w:hAnsi="Baskerville Old Face"/>
          <w:sz w:val="28"/>
          <w:szCs w:val="28"/>
        </w:rPr>
      </w:pPr>
      <w:r>
        <w:rPr>
          <w:rFonts w:ascii="Baskerville Old Face" w:hAnsi="Baskerville Old Face"/>
          <w:sz w:val="28"/>
          <w:szCs w:val="28"/>
        </w:rPr>
        <w:t xml:space="preserve">Conclusion </w:t>
      </w:r>
      <w:r w:rsidR="0036290A">
        <w:rPr>
          <w:rFonts w:ascii="Baskerville Old Face" w:hAnsi="Baskerville Old Face"/>
          <w:sz w:val="28"/>
          <w:szCs w:val="28"/>
        </w:rPr>
        <w:t>–</w:t>
      </w:r>
      <w:r>
        <w:rPr>
          <w:rFonts w:ascii="Baskerville Old Face" w:hAnsi="Baskerville Old Face"/>
          <w:sz w:val="28"/>
          <w:szCs w:val="28"/>
        </w:rPr>
        <w:t xml:space="preserve"> </w:t>
      </w:r>
      <w:r w:rsidR="0036290A">
        <w:rPr>
          <w:rFonts w:ascii="Baskerville Old Face" w:hAnsi="Baskerville Old Face"/>
          <w:sz w:val="28"/>
          <w:szCs w:val="28"/>
        </w:rPr>
        <w:t xml:space="preserve">after Cohen examines each of the three themes individually, he concludes the chapter concisely by noting that “they learned early on to live under the political domination of gentile powers and to find a theological justification for this fact, but they always dreamed of their own kingdom” (Cohen, 1991, p58). Cohen notes on how </w:t>
      </w:r>
      <w:r w:rsidR="0067330B">
        <w:rPr>
          <w:rFonts w:ascii="Baskerville Old Face" w:hAnsi="Baskerville Old Face"/>
          <w:sz w:val="28"/>
          <w:szCs w:val="28"/>
        </w:rPr>
        <w:t>different groups would change aspects, either social, cultural, or political, in order to ensure that Judaism still managed to remain. As Cohen (1991, p59) states, “their goal was not adherence to principle but the perpetuation of Judaism”, which in essence was the fact that as long as they believed in the one God, they could still change aspects of themselves and still remain Jewish.</w:t>
      </w:r>
    </w:p>
    <w:p w14:paraId="619ACDE8" w14:textId="77777777" w:rsidR="00671CB8" w:rsidRPr="00D66F96" w:rsidRDefault="00671CB8" w:rsidP="00D85494">
      <w:pPr>
        <w:rPr>
          <w:rFonts w:ascii="Baskerville Old Face" w:hAnsi="Baskerville Old Face"/>
          <w:sz w:val="28"/>
          <w:szCs w:val="28"/>
        </w:rPr>
      </w:pPr>
    </w:p>
    <w:p w14:paraId="4E27025B" w14:textId="77777777" w:rsidR="001F003D" w:rsidRDefault="001F003D" w:rsidP="00D85494">
      <w:pPr>
        <w:rPr>
          <w:rFonts w:ascii="Baskerville Old Face" w:hAnsi="Baskerville Old Face"/>
          <w:sz w:val="28"/>
          <w:szCs w:val="28"/>
          <w:u w:val="single"/>
        </w:rPr>
      </w:pPr>
    </w:p>
    <w:p w14:paraId="4DFB6892" w14:textId="557A4146" w:rsidR="00D85494" w:rsidRDefault="00D85494" w:rsidP="00D85494">
      <w:pPr>
        <w:rPr>
          <w:rFonts w:ascii="Baskerville Old Face" w:hAnsi="Baskerville Old Face"/>
          <w:sz w:val="28"/>
          <w:szCs w:val="28"/>
          <w:u w:val="single"/>
        </w:rPr>
      </w:pPr>
      <w:r w:rsidRPr="00D85494">
        <w:rPr>
          <w:rFonts w:ascii="Baskerville Old Face" w:hAnsi="Baskerville Old Face"/>
          <w:sz w:val="28"/>
          <w:szCs w:val="28"/>
          <w:u w:val="single"/>
        </w:rPr>
        <w:lastRenderedPageBreak/>
        <w:t>Critique.</w:t>
      </w:r>
      <w:r>
        <w:rPr>
          <w:rFonts w:ascii="Baskerville Old Face" w:hAnsi="Baskerville Old Face"/>
          <w:sz w:val="28"/>
          <w:szCs w:val="28"/>
          <w:u w:val="single"/>
        </w:rPr>
        <w:t xml:space="preserve"> </w:t>
      </w:r>
    </w:p>
    <w:p w14:paraId="1A84B52B" w14:textId="75426AB0" w:rsidR="005231EA" w:rsidRDefault="005231EA" w:rsidP="00D85494">
      <w:pPr>
        <w:rPr>
          <w:rFonts w:ascii="Baskerville Old Face" w:hAnsi="Baskerville Old Face"/>
          <w:sz w:val="28"/>
          <w:szCs w:val="28"/>
        </w:rPr>
      </w:pPr>
      <w:r>
        <w:rPr>
          <w:rFonts w:ascii="Baskerville Old Face" w:hAnsi="Baskerville Old Face"/>
          <w:sz w:val="28"/>
          <w:szCs w:val="28"/>
        </w:rPr>
        <w:t>When it comes to critiquing the authors chapter, they can be divided into points that were good within the work, but also any points that may have been less so or lacking in certain contents or contexts.</w:t>
      </w:r>
    </w:p>
    <w:p w14:paraId="00A84996" w14:textId="09CDE74C" w:rsidR="005231EA" w:rsidRDefault="00AE6B4A" w:rsidP="00D85494">
      <w:pPr>
        <w:rPr>
          <w:rFonts w:ascii="Baskerville Old Face" w:hAnsi="Baskerville Old Face"/>
          <w:sz w:val="28"/>
          <w:szCs w:val="28"/>
        </w:rPr>
      </w:pPr>
      <w:r>
        <w:rPr>
          <w:rFonts w:ascii="Baskerville Old Face" w:hAnsi="Baskerville Old Face"/>
          <w:sz w:val="28"/>
          <w:szCs w:val="28"/>
        </w:rPr>
        <w:t>O</w:t>
      </w:r>
      <w:r w:rsidR="005231EA">
        <w:rPr>
          <w:rFonts w:ascii="Baskerville Old Face" w:hAnsi="Baskerville Old Face"/>
          <w:sz w:val="28"/>
          <w:szCs w:val="28"/>
        </w:rPr>
        <w:t>ne point that was easily picked out as a good aspect of the chapter was the authors use of multiple areas of interest and study. By drawing upon diverse topics that each can present their own unique insights and ideas in regards to Judaism, and not just focusing on the religion entirely, the author made this particular chapter an unique and interesting read for not just students that are studying Judaism, but also students that are from different academic disciplines that are studying Judaism for the first time, as there can be seen familiar literature that students can pick out in accordance with their own academic disciplines.</w:t>
      </w:r>
    </w:p>
    <w:p w14:paraId="0243E6FA" w14:textId="0A28574C" w:rsidR="005231EA" w:rsidRDefault="00875E2A" w:rsidP="00D85494">
      <w:pPr>
        <w:rPr>
          <w:rFonts w:ascii="Baskerville Old Face" w:hAnsi="Baskerville Old Face"/>
          <w:sz w:val="28"/>
          <w:szCs w:val="28"/>
        </w:rPr>
      </w:pPr>
      <w:r>
        <w:rPr>
          <w:rFonts w:ascii="Baskerville Old Face" w:hAnsi="Baskerville Old Face"/>
          <w:sz w:val="28"/>
          <w:szCs w:val="28"/>
        </w:rPr>
        <w:t>Another section that stood out in regard to how well researched it was, was a section in the social subheading that  Cohen wrote on the reactions of Jews both in the diaspora as well as Judea, on intermarriage</w:t>
      </w:r>
      <w:r w:rsidR="005231EA">
        <w:rPr>
          <w:rFonts w:ascii="Baskerville Old Face" w:hAnsi="Baskerville Old Face"/>
          <w:sz w:val="28"/>
          <w:szCs w:val="28"/>
        </w:rPr>
        <w:t xml:space="preserve"> </w:t>
      </w:r>
      <w:r>
        <w:rPr>
          <w:rFonts w:ascii="Baskerville Old Face" w:hAnsi="Baskerville Old Face"/>
          <w:sz w:val="28"/>
          <w:szCs w:val="28"/>
        </w:rPr>
        <w:t xml:space="preserve">of the Jews with gentiles. When reading the information Cohen provides, he backs up his arguments well with references to other works of his that have also dealt in detail with intermarriage of the Jews and gentiles, such as Cohen 1983 and 1985. As this is a topic that Cohen seems to have been studying and </w:t>
      </w:r>
      <w:r w:rsidR="00AE6B4A">
        <w:rPr>
          <w:rFonts w:ascii="Baskerville Old Face" w:hAnsi="Baskerville Old Face"/>
          <w:sz w:val="28"/>
          <w:szCs w:val="28"/>
        </w:rPr>
        <w:t>evaluating</w:t>
      </w:r>
      <w:r>
        <w:rPr>
          <w:rFonts w:ascii="Baskerville Old Face" w:hAnsi="Baskerville Old Face"/>
          <w:sz w:val="28"/>
          <w:szCs w:val="28"/>
        </w:rPr>
        <w:t xml:space="preserve"> for quite some time, his knowledge and conclusions for this topic are very well res</w:t>
      </w:r>
      <w:r w:rsidR="00AE6B4A">
        <w:rPr>
          <w:rFonts w:ascii="Baskerville Old Face" w:hAnsi="Baskerville Old Face"/>
          <w:sz w:val="28"/>
          <w:szCs w:val="28"/>
        </w:rPr>
        <w:t>earched</w:t>
      </w:r>
      <w:r>
        <w:rPr>
          <w:rFonts w:ascii="Baskerville Old Face" w:hAnsi="Baskerville Old Face"/>
          <w:sz w:val="28"/>
          <w:szCs w:val="28"/>
        </w:rPr>
        <w:t xml:space="preserve"> by the time he again discusses it in this chapter of his book.  </w:t>
      </w:r>
    </w:p>
    <w:p w14:paraId="7A811249" w14:textId="67829AA7" w:rsidR="0036290A" w:rsidRDefault="0036290A" w:rsidP="00D85494">
      <w:pPr>
        <w:rPr>
          <w:rFonts w:ascii="Baskerville Old Face" w:hAnsi="Baskerville Old Face"/>
          <w:sz w:val="28"/>
          <w:szCs w:val="28"/>
        </w:rPr>
      </w:pPr>
      <w:r>
        <w:rPr>
          <w:rFonts w:ascii="Baskerville Old Face" w:hAnsi="Baskerville Old Face"/>
          <w:sz w:val="28"/>
          <w:szCs w:val="28"/>
        </w:rPr>
        <w:t xml:space="preserve">One weakness that presented itself when reviewing this chapter actually seemed to be the length of the chapter itself. In order to concisely summarise what the chapter was attempting to </w:t>
      </w:r>
      <w:proofErr w:type="gramStart"/>
      <w:r>
        <w:rPr>
          <w:rFonts w:ascii="Baskerville Old Face" w:hAnsi="Baskerville Old Face"/>
          <w:sz w:val="28"/>
          <w:szCs w:val="28"/>
        </w:rPr>
        <w:t>discuss,</w:t>
      </w:r>
      <w:proofErr w:type="gramEnd"/>
      <w:r>
        <w:rPr>
          <w:rFonts w:ascii="Baskerville Old Face" w:hAnsi="Baskerville Old Face"/>
          <w:sz w:val="28"/>
          <w:szCs w:val="28"/>
        </w:rPr>
        <w:t xml:space="preserve"> it was impossible to explore every aspect of the chapter. For a book like Cohen’s, even just one chapter, that is very in depth in regard to the information and knowledge that it presents, a full review could be a published critique itself, where there would be a much larger allowance of words to explore fully the information and arguments that Cohen puts forward in his book.</w:t>
      </w:r>
    </w:p>
    <w:p w14:paraId="27764C36" w14:textId="298C6298" w:rsidR="00AE6B4A" w:rsidRPr="00F65A41" w:rsidRDefault="00AE6B4A" w:rsidP="00D85494">
      <w:pPr>
        <w:rPr>
          <w:rFonts w:ascii="Baskerville Old Face" w:hAnsi="Baskerville Old Face"/>
          <w:sz w:val="28"/>
          <w:szCs w:val="28"/>
        </w:rPr>
      </w:pPr>
      <w:r>
        <w:rPr>
          <w:rFonts w:ascii="Baskerville Old Face" w:hAnsi="Baskerville Old Face"/>
          <w:sz w:val="28"/>
          <w:szCs w:val="28"/>
        </w:rPr>
        <w:t>A</w:t>
      </w:r>
      <w:r w:rsidR="005231EA">
        <w:rPr>
          <w:rFonts w:ascii="Baskerville Old Face" w:hAnsi="Baskerville Old Face"/>
          <w:sz w:val="28"/>
          <w:szCs w:val="28"/>
        </w:rPr>
        <w:t>lthough reading this chapter from an archaeological perspective, and with a very basic idea of what Judaism is, this chapter still did not really display any poor qualities within the writing. The work was so well written by the author as it was fluid and the subsections flowed well into one another, and the way the author wr</w:t>
      </w:r>
      <w:r w:rsidR="00946D97">
        <w:rPr>
          <w:rFonts w:ascii="Baskerville Old Face" w:hAnsi="Baskerville Old Face"/>
          <w:sz w:val="28"/>
          <w:szCs w:val="28"/>
        </w:rPr>
        <w:t>ote</w:t>
      </w:r>
      <w:r w:rsidR="005231EA">
        <w:rPr>
          <w:rFonts w:ascii="Baskerville Old Face" w:hAnsi="Baskerville Old Face"/>
          <w:sz w:val="28"/>
          <w:szCs w:val="28"/>
        </w:rPr>
        <w:t xml:space="preserve"> was also </w:t>
      </w:r>
      <w:r w:rsidR="00946D97">
        <w:rPr>
          <w:rFonts w:ascii="Baskerville Old Face" w:hAnsi="Baskerville Old Face"/>
          <w:sz w:val="28"/>
          <w:szCs w:val="28"/>
        </w:rPr>
        <w:t>clear</w:t>
      </w:r>
      <w:r w:rsidR="005231EA">
        <w:rPr>
          <w:rFonts w:ascii="Baskerville Old Face" w:hAnsi="Baskerville Old Face"/>
          <w:sz w:val="28"/>
          <w:szCs w:val="28"/>
        </w:rPr>
        <w:t xml:space="preserve"> and neutral,</w:t>
      </w:r>
      <w:r w:rsidR="00946D97">
        <w:rPr>
          <w:rFonts w:ascii="Baskerville Old Face" w:hAnsi="Baskerville Old Face"/>
          <w:sz w:val="28"/>
          <w:szCs w:val="28"/>
        </w:rPr>
        <w:t xml:space="preserve"> which was something rather surprising given the date of the first publication, which in archaeology, older publications tend to </w:t>
      </w:r>
      <w:r w:rsidR="00946D97">
        <w:rPr>
          <w:rFonts w:ascii="Baskerville Old Face" w:hAnsi="Baskerville Old Face"/>
          <w:sz w:val="28"/>
          <w:szCs w:val="28"/>
        </w:rPr>
        <w:lastRenderedPageBreak/>
        <w:t>showcase very much the fact that they are products of their time.</w:t>
      </w:r>
      <w:r>
        <w:rPr>
          <w:rFonts w:ascii="Baskerville Old Face" w:hAnsi="Baskerville Old Face"/>
          <w:sz w:val="28"/>
          <w:szCs w:val="28"/>
        </w:rPr>
        <w:t xml:space="preserve"> The author also provides a good selection of further readings for anyone wanting to read further into each of the individual themes that he has explored in his work, such as Tcherikovar 1966 for more in depth discussion on political aspects, Hadas 1959 for further discussions on cultural aspects, and Sevenster 1975 for further reading on social influences that impacted the Jews in the ancient world.</w:t>
      </w:r>
    </w:p>
    <w:p w14:paraId="2D21C54B" w14:textId="77777777" w:rsidR="00671CB8" w:rsidRDefault="00671CB8" w:rsidP="00D85494">
      <w:pPr>
        <w:rPr>
          <w:rFonts w:ascii="Baskerville Old Face" w:hAnsi="Baskerville Old Face"/>
          <w:sz w:val="28"/>
          <w:szCs w:val="28"/>
          <w:u w:val="single"/>
        </w:rPr>
      </w:pPr>
    </w:p>
    <w:p w14:paraId="5FDF88AF" w14:textId="6D212F55" w:rsidR="00D85494" w:rsidRDefault="00D85494" w:rsidP="00D85494">
      <w:pPr>
        <w:rPr>
          <w:rFonts w:ascii="Baskerville Old Face" w:hAnsi="Baskerville Old Face"/>
          <w:sz w:val="28"/>
          <w:szCs w:val="28"/>
          <w:u w:val="single"/>
        </w:rPr>
      </w:pPr>
      <w:r w:rsidRPr="00D85494">
        <w:rPr>
          <w:rFonts w:ascii="Baskerville Old Face" w:hAnsi="Baskerville Old Face"/>
          <w:sz w:val="28"/>
          <w:szCs w:val="28"/>
          <w:u w:val="single"/>
        </w:rPr>
        <w:t>Conclusion.</w:t>
      </w:r>
      <w:r>
        <w:rPr>
          <w:rFonts w:ascii="Baskerville Old Face" w:hAnsi="Baskerville Old Face"/>
          <w:sz w:val="28"/>
          <w:szCs w:val="28"/>
          <w:u w:val="single"/>
        </w:rPr>
        <w:t xml:space="preserve"> </w:t>
      </w:r>
    </w:p>
    <w:p w14:paraId="7366E2EF" w14:textId="6C351C0A" w:rsidR="00D85494" w:rsidRPr="00F65A41" w:rsidRDefault="00F65A41" w:rsidP="00D85494">
      <w:pPr>
        <w:rPr>
          <w:rFonts w:ascii="Baskerville Old Face" w:hAnsi="Baskerville Old Face"/>
          <w:sz w:val="28"/>
          <w:szCs w:val="28"/>
        </w:rPr>
      </w:pPr>
      <w:r>
        <w:rPr>
          <w:rFonts w:ascii="Baskerville Old Face" w:hAnsi="Baskerville Old Face"/>
          <w:sz w:val="28"/>
          <w:szCs w:val="28"/>
        </w:rPr>
        <w:t xml:space="preserve">When it comes to </w:t>
      </w:r>
      <w:r w:rsidR="000D7DA4">
        <w:rPr>
          <w:rFonts w:ascii="Baskerville Old Face" w:hAnsi="Baskerville Old Face"/>
          <w:sz w:val="28"/>
          <w:szCs w:val="28"/>
        </w:rPr>
        <w:t>summarising</w:t>
      </w:r>
      <w:r>
        <w:rPr>
          <w:rFonts w:ascii="Baskerville Old Face" w:hAnsi="Baskerville Old Face"/>
          <w:sz w:val="28"/>
          <w:szCs w:val="28"/>
        </w:rPr>
        <w:t xml:space="preserve"> the conclusions that can be drawn from reading and reviewing this chapter, one thing that should be noted again is the fact that the author wrote this chapter with such a diverse array of subjects. Within this chapter, the fact that you can find points of interest from archaeology to </w:t>
      </w:r>
      <w:r w:rsidR="000D7DA4">
        <w:rPr>
          <w:rFonts w:ascii="Baskerville Old Face" w:hAnsi="Baskerville Old Face"/>
          <w:sz w:val="28"/>
          <w:szCs w:val="28"/>
        </w:rPr>
        <w:t>philosophy</w:t>
      </w:r>
      <w:r>
        <w:rPr>
          <w:rFonts w:ascii="Baskerville Old Face" w:hAnsi="Baskerville Old Face"/>
          <w:sz w:val="28"/>
          <w:szCs w:val="28"/>
        </w:rPr>
        <w:t xml:space="preserve"> and not just religion and classics, shows that the author </w:t>
      </w:r>
      <w:r w:rsidR="000D7DA4">
        <w:rPr>
          <w:rFonts w:ascii="Baskerville Old Face" w:hAnsi="Baskerville Old Face"/>
          <w:sz w:val="28"/>
          <w:szCs w:val="28"/>
        </w:rPr>
        <w:t>is well versed and aware of the fact that in order to look at something and evaluate it, it can be beneficial to consider topics outside of the discussion as well, as you never know what sort of insights you could receive from them if you don’t look. In regard to any implications this work could have on further research, one key factor would be the date in which it was published. Even though the version I read was a newer printing than the original 1988 publication, it is still a 1991 reprint, any information that has come to light since then could alter what the author was trying to prove. That is not to say that what the author has written is now wrong, but it must be noted that all the information and arguments were relevant at the time of the particular publication, and as such are still valuable in their own right for the academic world.</w:t>
      </w:r>
      <w:r>
        <w:rPr>
          <w:rFonts w:ascii="Baskerville Old Face" w:hAnsi="Baskerville Old Face"/>
          <w:sz w:val="28"/>
          <w:szCs w:val="28"/>
        </w:rPr>
        <w:t xml:space="preserve"> </w:t>
      </w:r>
    </w:p>
    <w:p w14:paraId="2074B5E3" w14:textId="77777777" w:rsidR="000D7DA4" w:rsidRDefault="000D7DA4" w:rsidP="00D85494">
      <w:pPr>
        <w:rPr>
          <w:rFonts w:ascii="Baskerville Old Face" w:hAnsi="Baskerville Old Face"/>
          <w:sz w:val="28"/>
          <w:szCs w:val="28"/>
          <w:u w:val="single"/>
        </w:rPr>
      </w:pPr>
    </w:p>
    <w:p w14:paraId="24739075" w14:textId="77777777" w:rsidR="001F003D" w:rsidRDefault="001F003D" w:rsidP="00D85494">
      <w:pPr>
        <w:rPr>
          <w:rFonts w:ascii="Baskerville Old Face" w:hAnsi="Baskerville Old Face"/>
          <w:sz w:val="28"/>
          <w:szCs w:val="28"/>
          <w:u w:val="single"/>
        </w:rPr>
      </w:pPr>
    </w:p>
    <w:p w14:paraId="566B5AC5" w14:textId="77777777" w:rsidR="001F003D" w:rsidRDefault="001F003D" w:rsidP="00D85494">
      <w:pPr>
        <w:rPr>
          <w:rFonts w:ascii="Baskerville Old Face" w:hAnsi="Baskerville Old Face"/>
          <w:sz w:val="28"/>
          <w:szCs w:val="28"/>
          <w:u w:val="single"/>
        </w:rPr>
      </w:pPr>
    </w:p>
    <w:p w14:paraId="0889DB10" w14:textId="77777777" w:rsidR="001F003D" w:rsidRDefault="001F003D" w:rsidP="00D85494">
      <w:pPr>
        <w:rPr>
          <w:rFonts w:ascii="Baskerville Old Face" w:hAnsi="Baskerville Old Face"/>
          <w:sz w:val="28"/>
          <w:szCs w:val="28"/>
          <w:u w:val="single"/>
        </w:rPr>
      </w:pPr>
    </w:p>
    <w:p w14:paraId="0E2765B2" w14:textId="77777777" w:rsidR="001F003D" w:rsidRDefault="001F003D" w:rsidP="00D85494">
      <w:pPr>
        <w:rPr>
          <w:rFonts w:ascii="Baskerville Old Face" w:hAnsi="Baskerville Old Face"/>
          <w:sz w:val="28"/>
          <w:szCs w:val="28"/>
          <w:u w:val="single"/>
        </w:rPr>
      </w:pPr>
    </w:p>
    <w:p w14:paraId="5DEBA614" w14:textId="77777777" w:rsidR="001F003D" w:rsidRDefault="001F003D" w:rsidP="00D85494">
      <w:pPr>
        <w:rPr>
          <w:rFonts w:ascii="Baskerville Old Face" w:hAnsi="Baskerville Old Face"/>
          <w:sz w:val="28"/>
          <w:szCs w:val="28"/>
          <w:u w:val="single"/>
        </w:rPr>
      </w:pPr>
    </w:p>
    <w:p w14:paraId="5B290DA7" w14:textId="77777777" w:rsidR="001F003D" w:rsidRDefault="001F003D" w:rsidP="00D85494">
      <w:pPr>
        <w:rPr>
          <w:rFonts w:ascii="Baskerville Old Face" w:hAnsi="Baskerville Old Face"/>
          <w:sz w:val="28"/>
          <w:szCs w:val="28"/>
          <w:u w:val="single"/>
        </w:rPr>
      </w:pPr>
    </w:p>
    <w:p w14:paraId="2D9A8F05" w14:textId="77777777" w:rsidR="001F003D" w:rsidRDefault="001F003D" w:rsidP="00D85494">
      <w:pPr>
        <w:rPr>
          <w:rFonts w:ascii="Baskerville Old Face" w:hAnsi="Baskerville Old Face"/>
          <w:sz w:val="28"/>
          <w:szCs w:val="28"/>
          <w:u w:val="single"/>
        </w:rPr>
      </w:pPr>
    </w:p>
    <w:p w14:paraId="609619DF" w14:textId="1D6D71FC" w:rsidR="00D85494" w:rsidRDefault="00D85494" w:rsidP="00D85494">
      <w:pPr>
        <w:rPr>
          <w:rFonts w:ascii="Baskerville Old Face" w:hAnsi="Baskerville Old Face"/>
          <w:sz w:val="28"/>
          <w:szCs w:val="28"/>
          <w:u w:val="single"/>
        </w:rPr>
      </w:pPr>
      <w:r>
        <w:rPr>
          <w:rFonts w:ascii="Baskerville Old Face" w:hAnsi="Baskerville Old Face"/>
          <w:sz w:val="28"/>
          <w:szCs w:val="28"/>
          <w:u w:val="single"/>
        </w:rPr>
        <w:lastRenderedPageBreak/>
        <w:t>Bibliography.</w:t>
      </w:r>
    </w:p>
    <w:p w14:paraId="0ABA88BF" w14:textId="77777777" w:rsidR="001F003D" w:rsidRDefault="001F003D" w:rsidP="00D85494">
      <w:pPr>
        <w:rPr>
          <w:rFonts w:ascii="Baskerville Old Face" w:hAnsi="Baskerville Old Face"/>
          <w:sz w:val="28"/>
          <w:szCs w:val="28"/>
          <w:u w:val="single"/>
        </w:rPr>
      </w:pPr>
    </w:p>
    <w:p w14:paraId="57212291" w14:textId="30C02C8C" w:rsidR="00875E2A" w:rsidRPr="00875E2A" w:rsidRDefault="00875E2A" w:rsidP="00D85494">
      <w:pPr>
        <w:rPr>
          <w:rFonts w:ascii="Baskerville Old Face" w:hAnsi="Baskerville Old Face"/>
          <w:sz w:val="28"/>
          <w:szCs w:val="28"/>
        </w:rPr>
      </w:pPr>
      <w:r>
        <w:rPr>
          <w:rFonts w:ascii="Baskerville Old Face" w:hAnsi="Baskerville Old Face"/>
          <w:sz w:val="28"/>
          <w:szCs w:val="28"/>
        </w:rPr>
        <w:t xml:space="preserve">Cohen, Shaye J.D. (1983). </w:t>
      </w:r>
      <w:r>
        <w:rPr>
          <w:rFonts w:ascii="Baskerville Old Face" w:hAnsi="Baskerville Old Face"/>
          <w:i/>
          <w:iCs/>
          <w:sz w:val="28"/>
          <w:szCs w:val="28"/>
        </w:rPr>
        <w:t>From the Bible to the Talmud : The Prohibition of Intermarriage</w:t>
      </w:r>
      <w:r>
        <w:rPr>
          <w:rFonts w:ascii="Baskerville Old Face" w:hAnsi="Baskerville Old Face"/>
          <w:sz w:val="28"/>
          <w:szCs w:val="28"/>
        </w:rPr>
        <w:t>. Hebrew Annual Review 7 : pp23-39. Ohio State University, Department of Judaic and Near Eastern Languages and Literatures.</w:t>
      </w:r>
    </w:p>
    <w:p w14:paraId="7EF463D1" w14:textId="3BBB9DE2" w:rsidR="00875E2A" w:rsidRPr="00875E2A" w:rsidRDefault="00875E2A" w:rsidP="00D85494">
      <w:pPr>
        <w:rPr>
          <w:rFonts w:ascii="Baskerville Old Face" w:hAnsi="Baskerville Old Face"/>
          <w:sz w:val="28"/>
          <w:szCs w:val="28"/>
        </w:rPr>
      </w:pPr>
      <w:r>
        <w:rPr>
          <w:rFonts w:ascii="Baskerville Old Face" w:hAnsi="Baskerville Old Face"/>
          <w:sz w:val="28"/>
          <w:szCs w:val="28"/>
        </w:rPr>
        <w:t xml:space="preserve">Cohen, Shaye J.D. (1985). </w:t>
      </w:r>
      <w:r>
        <w:rPr>
          <w:rFonts w:ascii="Baskerville Old Face" w:hAnsi="Baskerville Old Face"/>
          <w:i/>
          <w:iCs/>
          <w:sz w:val="28"/>
          <w:szCs w:val="28"/>
        </w:rPr>
        <w:t>The Origins of the Matrilineal Principle in Rabbinic Law</w:t>
      </w:r>
      <w:r>
        <w:rPr>
          <w:rFonts w:ascii="Baskerville Old Face" w:hAnsi="Baskerville Old Face"/>
          <w:sz w:val="28"/>
          <w:szCs w:val="28"/>
        </w:rPr>
        <w:t>. ASJ Review, Vol.10, No.1 (Spring) : pp19-53. Cambridge University Press.</w:t>
      </w:r>
    </w:p>
    <w:p w14:paraId="2870DA34" w14:textId="3A66429E" w:rsidR="00D85494" w:rsidRDefault="00D85494" w:rsidP="00D85494">
      <w:pPr>
        <w:rPr>
          <w:rFonts w:ascii="Baskerville Old Face" w:hAnsi="Baskerville Old Face"/>
          <w:sz w:val="28"/>
          <w:szCs w:val="28"/>
        </w:rPr>
      </w:pPr>
      <w:r>
        <w:rPr>
          <w:rFonts w:ascii="Baskerville Old Face" w:hAnsi="Baskerville Old Face"/>
          <w:sz w:val="28"/>
          <w:szCs w:val="28"/>
        </w:rPr>
        <w:t xml:space="preserve">Cohen, Shaye J.D. (1991). </w:t>
      </w:r>
      <w:r>
        <w:rPr>
          <w:rFonts w:ascii="Baskerville Old Face" w:hAnsi="Baskerville Old Face"/>
          <w:i/>
          <w:iCs/>
          <w:sz w:val="28"/>
          <w:szCs w:val="28"/>
        </w:rPr>
        <w:t>From Maccabees to the Mishnah</w:t>
      </w:r>
      <w:r>
        <w:rPr>
          <w:rFonts w:ascii="Baskerville Old Face" w:hAnsi="Baskerville Old Face"/>
          <w:sz w:val="28"/>
          <w:szCs w:val="28"/>
        </w:rPr>
        <w:t>. Philadelphia : Westminster University Press ; Pp27-59.</w:t>
      </w:r>
    </w:p>
    <w:p w14:paraId="00168656" w14:textId="77777777" w:rsidR="00671CB8" w:rsidRDefault="00671CB8" w:rsidP="00D85494">
      <w:pPr>
        <w:rPr>
          <w:rFonts w:ascii="Baskerville Old Face" w:hAnsi="Baskerville Old Face"/>
          <w:sz w:val="28"/>
          <w:szCs w:val="28"/>
        </w:rPr>
      </w:pPr>
    </w:p>
    <w:p w14:paraId="2E560B41" w14:textId="311CC3B5" w:rsidR="00AE6B4A" w:rsidRDefault="00AE6B4A" w:rsidP="00D85494">
      <w:pPr>
        <w:rPr>
          <w:rFonts w:ascii="Baskerville Old Face" w:hAnsi="Baskerville Old Face"/>
          <w:sz w:val="28"/>
          <w:szCs w:val="28"/>
          <w:u w:val="single"/>
        </w:rPr>
      </w:pPr>
      <w:r>
        <w:rPr>
          <w:rFonts w:ascii="Baskerville Old Face" w:hAnsi="Baskerville Old Face"/>
          <w:sz w:val="28"/>
          <w:szCs w:val="28"/>
          <w:u w:val="single"/>
        </w:rPr>
        <w:t>Further Readings.</w:t>
      </w:r>
    </w:p>
    <w:p w14:paraId="378CB2B3" w14:textId="77777777" w:rsidR="001F003D" w:rsidRDefault="001F003D" w:rsidP="00D85494">
      <w:pPr>
        <w:rPr>
          <w:rFonts w:ascii="Baskerville Old Face" w:hAnsi="Baskerville Old Face"/>
          <w:sz w:val="28"/>
          <w:szCs w:val="28"/>
          <w:u w:val="single"/>
        </w:rPr>
      </w:pPr>
    </w:p>
    <w:p w14:paraId="70E73A59" w14:textId="59136E69" w:rsidR="00AE6B4A" w:rsidRPr="00AE6B4A" w:rsidRDefault="00AE6B4A" w:rsidP="00D85494">
      <w:pPr>
        <w:rPr>
          <w:rFonts w:ascii="Baskerville Old Face" w:hAnsi="Baskerville Old Face"/>
          <w:sz w:val="28"/>
          <w:szCs w:val="28"/>
        </w:rPr>
      </w:pPr>
      <w:r>
        <w:rPr>
          <w:rFonts w:ascii="Baskerville Old Face" w:hAnsi="Baskerville Old Face"/>
          <w:sz w:val="28"/>
          <w:szCs w:val="28"/>
        </w:rPr>
        <w:t xml:space="preserve">Hadas, M. (1959). </w:t>
      </w:r>
      <w:r>
        <w:rPr>
          <w:rFonts w:ascii="Baskerville Old Face" w:hAnsi="Baskerville Old Face"/>
          <w:i/>
          <w:iCs/>
          <w:sz w:val="28"/>
          <w:szCs w:val="28"/>
        </w:rPr>
        <w:t>Hellenistic Culture : Fusion and Diffusion</w:t>
      </w:r>
      <w:r>
        <w:rPr>
          <w:rFonts w:ascii="Baskerville Old Face" w:hAnsi="Baskerville Old Face"/>
          <w:sz w:val="28"/>
          <w:szCs w:val="28"/>
        </w:rPr>
        <w:t>. New York : Columbia University Press.</w:t>
      </w:r>
    </w:p>
    <w:p w14:paraId="79696476" w14:textId="26123C91" w:rsidR="00AE6B4A" w:rsidRPr="003E1A19" w:rsidRDefault="00AE6B4A" w:rsidP="00D85494">
      <w:pPr>
        <w:rPr>
          <w:rFonts w:ascii="Baskerville Old Face" w:hAnsi="Baskerville Old Face"/>
          <w:sz w:val="28"/>
          <w:szCs w:val="28"/>
        </w:rPr>
      </w:pPr>
      <w:r>
        <w:rPr>
          <w:rFonts w:ascii="Baskerville Old Face" w:hAnsi="Baskerville Old Face"/>
          <w:sz w:val="28"/>
          <w:szCs w:val="28"/>
        </w:rPr>
        <w:t xml:space="preserve">Sevenster, J.N. (1975). </w:t>
      </w:r>
      <w:r>
        <w:rPr>
          <w:rFonts w:ascii="Baskerville Old Face" w:hAnsi="Baskerville Old Face"/>
          <w:i/>
          <w:iCs/>
          <w:sz w:val="28"/>
          <w:szCs w:val="28"/>
        </w:rPr>
        <w:t>The Roots of Pagan An</w:t>
      </w:r>
      <w:r w:rsidR="003E1A19">
        <w:rPr>
          <w:rFonts w:ascii="Baskerville Old Face" w:hAnsi="Baskerville Old Face"/>
          <w:i/>
          <w:iCs/>
          <w:sz w:val="28"/>
          <w:szCs w:val="28"/>
        </w:rPr>
        <w:t>ti</w:t>
      </w:r>
      <w:r>
        <w:rPr>
          <w:rFonts w:ascii="Baskerville Old Face" w:hAnsi="Baskerville Old Face"/>
          <w:i/>
          <w:iCs/>
          <w:sz w:val="28"/>
          <w:szCs w:val="28"/>
        </w:rPr>
        <w:t>-Semitism in the A</w:t>
      </w:r>
      <w:r w:rsidR="003E1A19">
        <w:rPr>
          <w:rFonts w:ascii="Baskerville Old Face" w:hAnsi="Baskerville Old Face"/>
          <w:i/>
          <w:iCs/>
          <w:sz w:val="28"/>
          <w:szCs w:val="28"/>
        </w:rPr>
        <w:t>n</w:t>
      </w:r>
      <w:r>
        <w:rPr>
          <w:rFonts w:ascii="Baskerville Old Face" w:hAnsi="Baskerville Old Face"/>
          <w:i/>
          <w:iCs/>
          <w:sz w:val="28"/>
          <w:szCs w:val="28"/>
        </w:rPr>
        <w:t xml:space="preserve">cient </w:t>
      </w:r>
      <w:r w:rsidR="003E1A19">
        <w:rPr>
          <w:rFonts w:ascii="Baskerville Old Face" w:hAnsi="Baskerville Old Face"/>
          <w:i/>
          <w:iCs/>
          <w:sz w:val="28"/>
          <w:szCs w:val="28"/>
        </w:rPr>
        <w:t>World</w:t>
      </w:r>
      <w:r w:rsidR="003E1A19">
        <w:rPr>
          <w:rFonts w:ascii="Baskerville Old Face" w:hAnsi="Baskerville Old Face"/>
          <w:sz w:val="28"/>
          <w:szCs w:val="28"/>
        </w:rPr>
        <w:t>. Leiden : E.J. Brill.</w:t>
      </w:r>
    </w:p>
    <w:p w14:paraId="3FFE408C" w14:textId="744CC739" w:rsidR="00AE6B4A" w:rsidRPr="00AE6B4A" w:rsidRDefault="00AE6B4A" w:rsidP="00D85494">
      <w:pPr>
        <w:rPr>
          <w:rFonts w:ascii="Baskerville Old Face" w:hAnsi="Baskerville Old Face"/>
          <w:sz w:val="28"/>
          <w:szCs w:val="28"/>
        </w:rPr>
      </w:pPr>
      <w:proofErr w:type="spellStart"/>
      <w:r>
        <w:rPr>
          <w:rFonts w:ascii="Baskerville Old Face" w:hAnsi="Baskerville Old Face"/>
          <w:sz w:val="28"/>
          <w:szCs w:val="28"/>
        </w:rPr>
        <w:t>Tcherikover</w:t>
      </w:r>
      <w:proofErr w:type="spellEnd"/>
      <w:r>
        <w:rPr>
          <w:rFonts w:ascii="Baskerville Old Face" w:hAnsi="Baskerville Old Face"/>
          <w:sz w:val="28"/>
          <w:szCs w:val="28"/>
        </w:rPr>
        <w:t>, V. (1966).</w:t>
      </w:r>
      <w:r w:rsidRPr="00AE6B4A">
        <w:t xml:space="preserve"> </w:t>
      </w:r>
      <w:r w:rsidRPr="00AE6B4A">
        <w:rPr>
          <w:rFonts w:ascii="Baskerville Old Face" w:hAnsi="Baskerville Old Face"/>
          <w:i/>
          <w:iCs/>
          <w:sz w:val="28"/>
          <w:szCs w:val="28"/>
        </w:rPr>
        <w:t>Hellenistic Civilization and the Jews</w:t>
      </w:r>
      <w:r w:rsidRPr="00AE6B4A">
        <w:rPr>
          <w:rFonts w:ascii="Baskerville Old Face" w:hAnsi="Baskerville Old Face"/>
          <w:sz w:val="28"/>
          <w:szCs w:val="28"/>
        </w:rPr>
        <w:t>. Philadelphia : Jewish Publication Society.</w:t>
      </w:r>
    </w:p>
    <w:sectPr w:rsidR="00AE6B4A" w:rsidRPr="00AE6B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494"/>
    <w:rsid w:val="00073D67"/>
    <w:rsid w:val="000D7DA4"/>
    <w:rsid w:val="001F003D"/>
    <w:rsid w:val="0036290A"/>
    <w:rsid w:val="003A6C87"/>
    <w:rsid w:val="003E1A19"/>
    <w:rsid w:val="00500676"/>
    <w:rsid w:val="005231EA"/>
    <w:rsid w:val="005D4C07"/>
    <w:rsid w:val="00671CB8"/>
    <w:rsid w:val="0067330B"/>
    <w:rsid w:val="00753375"/>
    <w:rsid w:val="00875E2A"/>
    <w:rsid w:val="00946D97"/>
    <w:rsid w:val="009B4A0A"/>
    <w:rsid w:val="00AE6B4A"/>
    <w:rsid w:val="00D66F96"/>
    <w:rsid w:val="00D85494"/>
    <w:rsid w:val="00DA68C1"/>
    <w:rsid w:val="00F65A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34F63"/>
  <w15:chartTrackingRefBased/>
  <w15:docId w15:val="{769AD00E-741C-4AAD-B186-91B3185141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1485</Words>
  <Characters>8468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Seale (1700647)</dc:creator>
  <cp:keywords/>
  <dc:description/>
  <cp:lastModifiedBy>Nadia Seale</cp:lastModifiedBy>
  <cp:revision>2</cp:revision>
  <dcterms:created xsi:type="dcterms:W3CDTF">2020-05-29T16:25:00Z</dcterms:created>
  <dcterms:modified xsi:type="dcterms:W3CDTF">2020-05-29T16:25:00Z</dcterms:modified>
</cp:coreProperties>
</file>