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9FB7A3" w14:textId="77777777" w:rsidR="009F4471" w:rsidRPr="009F4471" w:rsidRDefault="009F4471" w:rsidP="009F4471">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To what extent does risky play affect children’s physical, emotional and social development within the Early Years?</w:t>
      </w:r>
    </w:p>
    <w:p w14:paraId="1154B98D" w14:textId="6A9A7FDC"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Risky play is a self-chosen form of play that involves exploration, uncertainty, and challenge, where children may experience potential physical or emotional risk. </w:t>
      </w:r>
      <w:proofErr w:type="spellStart"/>
      <w:r w:rsidRPr="009F4471">
        <w:rPr>
          <w:rFonts w:ascii="Arial" w:eastAsia="Times New Roman" w:hAnsi="Arial" w:cs="Arial"/>
          <w:color w:val="000000"/>
          <w:kern w:val="0"/>
          <w:lang w:eastAsia="en-GB"/>
          <w14:ligatures w14:val="none"/>
        </w:rPr>
        <w:t>Sandseter</w:t>
      </w:r>
      <w:proofErr w:type="spellEnd"/>
      <w:r w:rsidRPr="009F4471">
        <w:rPr>
          <w:rFonts w:ascii="Arial" w:eastAsia="Times New Roman" w:hAnsi="Arial" w:cs="Arial"/>
          <w:color w:val="000000"/>
          <w:kern w:val="0"/>
          <w:lang w:eastAsia="en-GB"/>
          <w14:ligatures w14:val="none"/>
        </w:rPr>
        <w:t>, Sando and Kleppe (2021) categorise risky play into several forms</w:t>
      </w:r>
      <w:r>
        <w:rPr>
          <w:rFonts w:ascii="Arial" w:eastAsia="Times New Roman" w:hAnsi="Arial" w:cs="Arial"/>
          <w:color w:val="000000"/>
          <w:kern w:val="0"/>
          <w:lang w:eastAsia="en-GB"/>
          <w14:ligatures w14:val="none"/>
        </w:rPr>
        <w:t xml:space="preserve"> </w:t>
      </w:r>
      <w:proofErr w:type="gramStart"/>
      <w:r>
        <w:rPr>
          <w:rFonts w:ascii="Arial" w:eastAsia="Times New Roman" w:hAnsi="Arial" w:cs="Arial"/>
          <w:color w:val="000000"/>
          <w:kern w:val="0"/>
          <w:lang w:eastAsia="en-GB"/>
          <w14:ligatures w14:val="none"/>
        </w:rPr>
        <w:t xml:space="preserve">- </w:t>
      </w:r>
      <w:r w:rsidRPr="009F4471">
        <w:rPr>
          <w:rFonts w:ascii="Arial" w:eastAsia="Times New Roman" w:hAnsi="Arial" w:cs="Arial"/>
          <w:color w:val="000000"/>
          <w:kern w:val="0"/>
          <w:lang w:eastAsia="en-GB"/>
          <w14:ligatures w14:val="none"/>
        </w:rPr>
        <w:t xml:space="preserve"> including</w:t>
      </w:r>
      <w:proofErr w:type="gramEnd"/>
      <w:r w:rsidRPr="009F4471">
        <w:rPr>
          <w:rFonts w:ascii="Arial" w:eastAsia="Times New Roman" w:hAnsi="Arial" w:cs="Arial"/>
          <w:color w:val="000000"/>
          <w:kern w:val="0"/>
          <w:lang w:eastAsia="en-GB"/>
          <w14:ligatures w14:val="none"/>
        </w:rPr>
        <w:t xml:space="preserve"> play at height, play with speed, rough-and-tumble play, and play involving natural elements such as water or fire. Within Early Years education, risky play is widely recognised as an important contributor to children’s development, learning, and life skills, particularly when children are given opportunities to explore freely within appropriate boundaries.</w:t>
      </w:r>
    </w:p>
    <w:p w14:paraId="7A5F236F" w14:textId="25428080"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Research suggests that risky play has a significant impact on children’s overall development, particularly in </w:t>
      </w:r>
      <w:r>
        <w:rPr>
          <w:rFonts w:ascii="Arial" w:eastAsia="Times New Roman" w:hAnsi="Arial" w:cs="Arial"/>
          <w:color w:val="000000"/>
          <w:kern w:val="0"/>
          <w:lang w:eastAsia="en-GB"/>
          <w14:ligatures w14:val="none"/>
        </w:rPr>
        <w:t xml:space="preserve">the </w:t>
      </w:r>
      <w:r w:rsidRPr="009F4471">
        <w:rPr>
          <w:rFonts w:ascii="Arial" w:eastAsia="Times New Roman" w:hAnsi="Arial" w:cs="Arial"/>
          <w:color w:val="000000"/>
          <w:kern w:val="0"/>
          <w:lang w:eastAsia="en-GB"/>
          <w14:ligatures w14:val="none"/>
        </w:rPr>
        <w:t xml:space="preserve">physical and emotional </w:t>
      </w:r>
      <w:r>
        <w:rPr>
          <w:rFonts w:ascii="Arial" w:eastAsia="Times New Roman" w:hAnsi="Arial" w:cs="Arial"/>
          <w:color w:val="000000"/>
          <w:kern w:val="0"/>
          <w:lang w:eastAsia="en-GB"/>
          <w14:ligatures w14:val="none"/>
        </w:rPr>
        <w:t>area</w:t>
      </w:r>
      <w:r w:rsidRPr="009F4471">
        <w:rPr>
          <w:rFonts w:ascii="Arial" w:eastAsia="Times New Roman" w:hAnsi="Arial" w:cs="Arial"/>
          <w:color w:val="000000"/>
          <w:kern w:val="0"/>
          <w:lang w:eastAsia="en-GB"/>
          <w14:ligatures w14:val="none"/>
        </w:rPr>
        <w:t>, while also contributing to social development. However, the extent of this impact is influenced by adult attitudes, safety concerns, and the level of freedom children are permitted in different settings.</w:t>
      </w:r>
    </w:p>
    <w:p w14:paraId="47A466E6" w14:textId="77777777" w:rsidR="009F4471" w:rsidRPr="009F4471" w:rsidRDefault="009F4471" w:rsidP="009F4471">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Physical development</w:t>
      </w:r>
    </w:p>
    <w:p w14:paraId="090C51AF" w14:textId="77777777"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Risky play plays a major role in supporting children’s physical development by encouraging movement, coordination, and bodily control. Activities such as climbing, running at speed and balancing help children develop gross motor skills, spatial awareness and physical confidence (</w:t>
      </w:r>
      <w:proofErr w:type="spellStart"/>
      <w:r w:rsidRPr="009F4471">
        <w:rPr>
          <w:rFonts w:ascii="Arial" w:eastAsia="Times New Roman" w:hAnsi="Arial" w:cs="Arial"/>
          <w:color w:val="000000"/>
          <w:kern w:val="0"/>
          <w:lang w:eastAsia="en-GB"/>
          <w14:ligatures w14:val="none"/>
        </w:rPr>
        <w:t>Sandseter</w:t>
      </w:r>
      <w:proofErr w:type="spellEnd"/>
      <w:r w:rsidRPr="009F4471">
        <w:rPr>
          <w:rFonts w:ascii="Arial" w:eastAsia="Times New Roman" w:hAnsi="Arial" w:cs="Arial"/>
          <w:color w:val="000000"/>
          <w:kern w:val="0"/>
          <w:lang w:eastAsia="en-GB"/>
          <w14:ligatures w14:val="none"/>
        </w:rPr>
        <w:t xml:space="preserve"> et al., 2021; Spencer et al., 2021). Kleppe et al. (2024) further highlight that even early developmental milestones such as learning to walk involve risk-taking, as children must accept the possibility of falling </w:t>
      </w:r>
      <w:proofErr w:type="gramStart"/>
      <w:r w:rsidRPr="009F4471">
        <w:rPr>
          <w:rFonts w:ascii="Arial" w:eastAsia="Times New Roman" w:hAnsi="Arial" w:cs="Arial"/>
          <w:color w:val="000000"/>
          <w:kern w:val="0"/>
          <w:lang w:eastAsia="en-GB"/>
          <w14:ligatures w14:val="none"/>
        </w:rPr>
        <w:t>in order to</w:t>
      </w:r>
      <w:proofErr w:type="gramEnd"/>
      <w:r w:rsidRPr="009F4471">
        <w:rPr>
          <w:rFonts w:ascii="Arial" w:eastAsia="Times New Roman" w:hAnsi="Arial" w:cs="Arial"/>
          <w:color w:val="000000"/>
          <w:kern w:val="0"/>
          <w:lang w:eastAsia="en-GB"/>
          <w14:ligatures w14:val="none"/>
        </w:rPr>
        <w:t xml:space="preserve"> progress physically.</w:t>
      </w:r>
    </w:p>
    <w:p w14:paraId="63FE522E" w14:textId="10360832"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In addition, risky outdoor play contributes to broader health outcomes. Obee et al. (2021) argue that restricting children’s participation in active and risky play can contribute to negative health impacts such as reduced physical activity and increased risk of obesity. Similarly, Ouvry and Furtado (2020) link reduced outdoor play to wider health concerns, including reduced exposure to natural light and vitamin D, as well as increased risk of childhood myopia. This suggests that risky play supports both physical skill development and long-term physical wellbeing.</w:t>
      </w:r>
    </w:p>
    <w:p w14:paraId="2EA3AB78" w14:textId="77777777" w:rsidR="009F4471" w:rsidRPr="009F4471" w:rsidRDefault="009F4471" w:rsidP="009F4471">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lastRenderedPageBreak/>
        <w:t>Emotional development</w:t>
      </w:r>
    </w:p>
    <w:p w14:paraId="57F5DEA1" w14:textId="66203546"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Risky play also has a </w:t>
      </w:r>
      <w:r>
        <w:rPr>
          <w:rFonts w:ascii="Arial" w:eastAsia="Times New Roman" w:hAnsi="Arial" w:cs="Arial"/>
          <w:color w:val="000000"/>
          <w:kern w:val="0"/>
          <w:lang w:eastAsia="en-GB"/>
          <w14:ligatures w14:val="none"/>
        </w:rPr>
        <w:t>major</w:t>
      </w:r>
      <w:r w:rsidRPr="009F4471">
        <w:rPr>
          <w:rFonts w:ascii="Arial" w:eastAsia="Times New Roman" w:hAnsi="Arial" w:cs="Arial"/>
          <w:color w:val="000000"/>
          <w:kern w:val="0"/>
          <w:lang w:eastAsia="en-GB"/>
          <w14:ligatures w14:val="none"/>
        </w:rPr>
        <w:t xml:space="preserve"> influence on emotional development, particularly in relation to resilience, confidence and emotional regulation. Through engaging in uncertain or challenging situations, children learn how to manage fear and assess their own limits. </w:t>
      </w:r>
      <w:proofErr w:type="spellStart"/>
      <w:r w:rsidRPr="009F4471">
        <w:rPr>
          <w:rFonts w:ascii="Arial" w:eastAsia="Times New Roman" w:hAnsi="Arial" w:cs="Arial"/>
          <w:color w:val="000000"/>
          <w:kern w:val="0"/>
          <w:lang w:eastAsia="en-GB"/>
          <w14:ligatures w14:val="none"/>
        </w:rPr>
        <w:t>Sandseter</w:t>
      </w:r>
      <w:proofErr w:type="spellEnd"/>
      <w:r w:rsidRPr="009F4471">
        <w:rPr>
          <w:rFonts w:ascii="Arial" w:eastAsia="Times New Roman" w:hAnsi="Arial" w:cs="Arial"/>
          <w:color w:val="000000"/>
          <w:kern w:val="0"/>
          <w:lang w:eastAsia="en-GB"/>
          <w14:ligatures w14:val="none"/>
        </w:rPr>
        <w:t xml:space="preserve"> (2010) explains that children may experience emotions such as fear and anxiety during risky play; however, these emotions are often manageable and contribute to emotional growth when appropriately supported.</w:t>
      </w:r>
    </w:p>
    <w:p w14:paraId="0E6A9DA2" w14:textId="77777777"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Hinchion et al. (2021) support this, finding that children are often more focused on testing emotional boundaries—such as how much fear they can tolerate—rather than the actual physical danger. This process enables children to develop coping strategies and emotional resilience.</w:t>
      </w:r>
    </w:p>
    <w:p w14:paraId="20AF8EC4" w14:textId="6C1CD2C5"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However, when fear becomes overwhelming or unsupported, the experience can become negative rather than developmental. Rosin (2014) suggests that limiting children’s exposure to manageable risk may reduce their ability to cope with fear and anxiety later in life, potentially increasing vulnerability to phobias or avoidance behaviours.</w:t>
      </w:r>
    </w:p>
    <w:p w14:paraId="0A04B5F2" w14:textId="77777777" w:rsidR="009F4471" w:rsidRPr="009F4471" w:rsidRDefault="009F4471" w:rsidP="009F4471">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Social development</w:t>
      </w:r>
    </w:p>
    <w:p w14:paraId="71C4B5FD" w14:textId="77777777"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Risky play also contributes to children’s social development, although this area is sometimes less explicitly emphasised in research. When children engage in shared risky play, particularly rough-and-tumble play or group exploration, they must negotiate rules, boundaries and roles. This supports the development of communication skills, cooperation and peer relationships.</w:t>
      </w:r>
    </w:p>
    <w:p w14:paraId="2286AA24" w14:textId="77777777"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Through these interactions, children learn how to manage conflict, take turns and make collective decisions, all of which are important aspects of social competence. However, the extent of these benefits depends on the opportunities children are given to engage in independent and peer-led play, which may be limited by adult supervision and safety concerns.</w:t>
      </w:r>
    </w:p>
    <w:p w14:paraId="2339EAE4" w14:textId="790E59F5" w:rsidR="009F4471" w:rsidRPr="009F4471" w:rsidRDefault="009F4471" w:rsidP="009F4471">
      <w:pPr>
        <w:spacing w:after="0" w:line="360" w:lineRule="auto"/>
        <w:jc w:val="both"/>
        <w:rPr>
          <w:rFonts w:ascii="Arial" w:eastAsia="Times New Roman" w:hAnsi="Arial" w:cs="Arial"/>
          <w:kern w:val="0"/>
          <w:lang w:eastAsia="en-GB"/>
          <w14:ligatures w14:val="none"/>
        </w:rPr>
      </w:pPr>
    </w:p>
    <w:p w14:paraId="7FF4EF10" w14:textId="77777777" w:rsidR="009F4471" w:rsidRPr="009F4471" w:rsidRDefault="009F4471" w:rsidP="009F4471">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lastRenderedPageBreak/>
        <w:t>Risk perception and early understanding</w:t>
      </w:r>
    </w:p>
    <w:p w14:paraId="5313BCA7" w14:textId="1D7EF2ED"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Children begin developing risk perception from an early age. Morrongiello and Matheis (2004) explain that this involves learning to identify hazards and understand injury prevention. Tangen et al. (2022), in their study of toddlers aged 17–25 months, found that even very young children actively explore risk by testing height, experimenting with objects and using language related to danger such as “fall.” This suggests that risk assessment is an early developmental skill rather than something that emerges later in childhood.</w:t>
      </w:r>
    </w:p>
    <w:p w14:paraId="37392504" w14:textId="77777777" w:rsidR="009F4471" w:rsidRPr="009F4471" w:rsidRDefault="009F4471" w:rsidP="009F4471">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Barriers and limitations to risky play</w:t>
      </w:r>
    </w:p>
    <w:p w14:paraId="264DD5D5" w14:textId="77777777" w:rsid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Despite its developmental benefits, opportunities for risky play appear to be declining in many contexts. Parental and practitioner concerns about safety often restrict children’s freedom to engage in independent outdoor play. Valentine and McKendrick (1997) found that although most adults recognise the value of outdoor play, a significant proportion still worry about children’s safety in unsupervised environments.</w:t>
      </w:r>
    </w:p>
    <w:p w14:paraId="6E7AEEEB" w14:textId="77777777" w:rsidR="003A6C26" w:rsidRPr="009F4471" w:rsidRDefault="003A6C26" w:rsidP="003A6C26">
      <w:pPr>
        <w:spacing w:before="100" w:beforeAutospacing="1" w:after="100" w:afterAutospacing="1" w:line="360" w:lineRule="auto"/>
        <w:rPr>
          <w:rFonts w:ascii="Arial" w:eastAsia="Times New Roman" w:hAnsi="Arial" w:cs="Arial"/>
          <w:color w:val="000000"/>
          <w:kern w:val="0"/>
          <w:lang w:eastAsia="en-GB"/>
          <w14:ligatures w14:val="none"/>
        </w:rPr>
      </w:pPr>
      <w:proofErr w:type="spellStart"/>
      <w:r w:rsidRPr="003A6C26">
        <w:rPr>
          <w:rFonts w:ascii="Arial" w:hAnsi="Arial" w:cs="Arial"/>
          <w:color w:val="000000"/>
        </w:rPr>
        <w:t>Playwork</w:t>
      </w:r>
      <w:proofErr w:type="spellEnd"/>
      <w:r w:rsidRPr="003A6C26">
        <w:rPr>
          <w:rFonts w:ascii="Arial" w:hAnsi="Arial" w:cs="Arial"/>
          <w:color w:val="000000"/>
        </w:rPr>
        <w:t xml:space="preserve"> principles and organisations such as Play England and </w:t>
      </w:r>
      <w:proofErr w:type="spellStart"/>
      <w:r w:rsidRPr="003A6C26">
        <w:rPr>
          <w:rFonts w:ascii="Arial" w:hAnsi="Arial" w:cs="Arial"/>
          <w:color w:val="000000"/>
        </w:rPr>
        <w:t>Playwork</w:t>
      </w:r>
      <w:proofErr w:type="spellEnd"/>
      <w:r w:rsidRPr="003A6C26">
        <w:rPr>
          <w:rFonts w:ascii="Arial" w:hAnsi="Arial" w:cs="Arial"/>
          <w:color w:val="000000"/>
        </w:rPr>
        <w:t xml:space="preserve"> UK stress that children should have the freedom to choose and direct their own play, including experiences that involve manageable risk. Instead of removing risk entirely, the </w:t>
      </w:r>
      <w:proofErr w:type="spellStart"/>
      <w:r w:rsidRPr="003A6C26">
        <w:rPr>
          <w:rFonts w:ascii="Arial" w:hAnsi="Arial" w:cs="Arial"/>
          <w:color w:val="000000"/>
        </w:rPr>
        <w:t>Playwork</w:t>
      </w:r>
      <w:proofErr w:type="spellEnd"/>
      <w:r w:rsidRPr="003A6C26">
        <w:rPr>
          <w:rFonts w:ascii="Arial" w:hAnsi="Arial" w:cs="Arial"/>
          <w:color w:val="000000"/>
        </w:rPr>
        <w:t xml:space="preserve"> perspective promotes a “risk–benefit assessment” approach, suggesting that avoiding all risk can limit the developmental value of play. This idea, challenges high risk Early Years practices, where safety concerns can restrict opportunities for independent exploration and risk-taking in play. (Play England, 2015)</w:t>
      </w:r>
    </w:p>
    <w:p w14:paraId="13111BE2" w14:textId="77777777" w:rsid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This highlights a key tension in Early Years practice: balancing developmental benefits with safeguarding responsibilities. As a result, children’s opportunities for risky play may be reduced, limiting potential developmental gains.</w:t>
      </w:r>
    </w:p>
    <w:p w14:paraId="126755DE" w14:textId="5BE857DE"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Furthermore, research into risky play remains limited. Chaney (2018) and </w:t>
      </w:r>
      <w:proofErr w:type="spellStart"/>
      <w:r w:rsidRPr="009F4471">
        <w:rPr>
          <w:rFonts w:ascii="Arial" w:eastAsia="Times New Roman" w:hAnsi="Arial" w:cs="Arial"/>
          <w:color w:val="000000"/>
          <w:kern w:val="0"/>
          <w:lang w:eastAsia="en-GB"/>
          <w14:ligatures w14:val="none"/>
        </w:rPr>
        <w:t>Kybartas</w:t>
      </w:r>
      <w:proofErr w:type="spellEnd"/>
      <w:r w:rsidRPr="009F4471">
        <w:rPr>
          <w:rFonts w:ascii="Arial" w:eastAsia="Times New Roman" w:hAnsi="Arial" w:cs="Arial"/>
          <w:color w:val="000000"/>
          <w:kern w:val="0"/>
          <w:lang w:eastAsia="en-GB"/>
          <w14:ligatures w14:val="none"/>
        </w:rPr>
        <w:t xml:space="preserve"> et al. (2024) identify a gap in knowledge relating to children aged birth to three years. These studies are also limited in scale and setting, suggesting a need for further research into practitioner attitudes, particularly as practitioners</w:t>
      </w:r>
      <w:r>
        <w:rPr>
          <w:rFonts w:ascii="Arial" w:eastAsia="Times New Roman" w:hAnsi="Arial" w:cs="Arial"/>
          <w:color w:val="000000"/>
          <w:kern w:val="0"/>
          <w:lang w:eastAsia="en-GB"/>
          <w14:ligatures w14:val="none"/>
        </w:rPr>
        <w:t xml:space="preserve"> </w:t>
      </w:r>
      <w:r w:rsidRPr="009F4471">
        <w:rPr>
          <w:rFonts w:ascii="Arial" w:eastAsia="Times New Roman" w:hAnsi="Arial" w:cs="Arial"/>
          <w:color w:val="000000"/>
          <w:kern w:val="0"/>
          <w:lang w:eastAsia="en-GB"/>
          <w14:ligatures w14:val="none"/>
        </w:rPr>
        <w:t>often act as gatekeepers to risky play opportunities.</w:t>
      </w:r>
    </w:p>
    <w:p w14:paraId="2155D1EF" w14:textId="2A3A1DC1" w:rsidR="009F4471" w:rsidRPr="009F4471" w:rsidRDefault="009F4471" w:rsidP="009F4471">
      <w:pPr>
        <w:spacing w:after="0" w:line="360" w:lineRule="auto"/>
        <w:jc w:val="both"/>
        <w:rPr>
          <w:rFonts w:ascii="Arial" w:eastAsia="Times New Roman" w:hAnsi="Arial" w:cs="Arial"/>
          <w:kern w:val="0"/>
          <w:lang w:eastAsia="en-GB"/>
          <w14:ligatures w14:val="none"/>
        </w:rPr>
      </w:pPr>
    </w:p>
    <w:p w14:paraId="74637EB6" w14:textId="77777777" w:rsidR="009F4471" w:rsidRPr="009F4471" w:rsidRDefault="009F4471" w:rsidP="009F4471">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Conclusion</w:t>
      </w:r>
    </w:p>
    <w:p w14:paraId="2800F17F" w14:textId="17999E6D"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Overall, risky play has a significant impact on children’s physical, emotional and social development in the Early Years. The strongest effects are seen in physical development, where risk-taking supports motor skills and physical confidence, and emotional development, where children learn to manage fear and build resilience. Social development is also supported through shared play experiences that require communication and cooperation.</w:t>
      </w:r>
    </w:p>
    <w:p w14:paraId="473D65D6" w14:textId="77777777" w:rsidR="009F4471" w:rsidRPr="009F4471" w:rsidRDefault="009F4471" w:rsidP="009F44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However, the extent of these benefits is not consistent across all settings. Adult perceptions of risk, safeguarding concerns and limited research—particularly for younger children—mean that opportunities for risky play are often restricted. As a result, while the developmental benefits are well supported in theory, their impact in practice depends heavily on how risk is understood and managed within Early Years environments.</w:t>
      </w:r>
    </w:p>
    <w:p w14:paraId="348654D5" w14:textId="4326CC01" w:rsidR="009F4471" w:rsidRDefault="003A6C26">
      <w:pPr>
        <w:rPr>
          <w:rFonts w:ascii="Arial" w:hAnsi="Arial" w:cs="Arial"/>
          <w:b/>
          <w:bCs/>
          <w:u w:val="single"/>
        </w:rPr>
      </w:pPr>
      <w:r w:rsidRPr="003A6C26">
        <w:rPr>
          <w:rFonts w:ascii="Arial" w:hAnsi="Arial" w:cs="Arial"/>
          <w:b/>
          <w:bCs/>
          <w:u w:val="single"/>
        </w:rPr>
        <w:t>Methodological considerations</w:t>
      </w:r>
    </w:p>
    <w:p w14:paraId="619AF25C" w14:textId="6E2AF4D4" w:rsidR="00C34B49" w:rsidRDefault="00C34B49" w:rsidP="00C34B49">
      <w:pPr>
        <w:spacing w:line="360" w:lineRule="auto"/>
        <w:rPr>
          <w:rFonts w:ascii="Arial" w:hAnsi="Arial" w:cs="Arial"/>
        </w:rPr>
      </w:pPr>
      <w:r w:rsidRPr="00056E26">
        <w:rPr>
          <w:rFonts w:ascii="Arial" w:hAnsi="Arial" w:cs="Arial"/>
          <w:color w:val="000000"/>
        </w:rPr>
        <w:t xml:space="preserve">This project will use mixed method secondary research, combining qualitative and quantitative data for thorough analysis. </w:t>
      </w:r>
      <w:r w:rsidRPr="00056E26">
        <w:rPr>
          <w:rFonts w:ascii="Arial" w:hAnsi="Arial" w:cs="Arial"/>
        </w:rPr>
        <w:t xml:space="preserve"> Combining both methods will create a fuller picture of risky play within the early years. Both methods have strengths and weakness’ including</w:t>
      </w:r>
      <w:r>
        <w:rPr>
          <w:rFonts w:ascii="Arial" w:hAnsi="Arial" w:cs="Arial"/>
        </w:rPr>
        <w:t xml:space="preserve">, limitations, </w:t>
      </w:r>
      <w:r w:rsidR="00244643">
        <w:rPr>
          <w:rFonts w:ascii="Arial" w:hAnsi="Arial" w:cs="Arial"/>
        </w:rPr>
        <w:t>adult’s</w:t>
      </w:r>
      <w:r>
        <w:rPr>
          <w:rFonts w:ascii="Arial" w:hAnsi="Arial" w:cs="Arial"/>
        </w:rPr>
        <w:t xml:space="preserve"> perceptions – parental fear, health and safety, safeguarding, practitioner attitudes. </w:t>
      </w:r>
    </w:p>
    <w:p w14:paraId="10508DDD" w14:textId="740911CD" w:rsidR="00C34B49" w:rsidRPr="00C024DB" w:rsidRDefault="00C34B49" w:rsidP="00C34B49">
      <w:pPr>
        <w:spacing w:line="360" w:lineRule="auto"/>
        <w:rPr>
          <w:rFonts w:ascii="Arial" w:hAnsi="Arial" w:cs="Arial"/>
          <w:color w:val="000000"/>
        </w:rPr>
      </w:pPr>
      <w:r w:rsidRPr="00C024DB">
        <w:rPr>
          <w:rFonts w:ascii="Arial" w:hAnsi="Arial" w:cs="Arial"/>
          <w:color w:val="000000"/>
        </w:rPr>
        <w:t xml:space="preserve">Research into risky play in Early </w:t>
      </w:r>
      <w:r w:rsidR="00244643">
        <w:rPr>
          <w:rFonts w:ascii="Arial" w:hAnsi="Arial" w:cs="Arial"/>
          <w:color w:val="000000"/>
        </w:rPr>
        <w:t xml:space="preserve">Years </w:t>
      </w:r>
      <w:r w:rsidRPr="00C024DB">
        <w:rPr>
          <w:rFonts w:ascii="Arial" w:hAnsi="Arial" w:cs="Arial"/>
          <w:color w:val="000000"/>
        </w:rPr>
        <w:t xml:space="preserve">presents several methodological challenges that impact the strength and applicability of findings. A key issue is the lack of a consistent definition of “risky play.” As </w:t>
      </w:r>
      <w:proofErr w:type="spellStart"/>
      <w:r w:rsidRPr="00C024DB">
        <w:rPr>
          <w:rFonts w:ascii="Arial" w:hAnsi="Arial" w:cs="Arial"/>
          <w:color w:val="000000"/>
        </w:rPr>
        <w:t>Sandseter</w:t>
      </w:r>
      <w:proofErr w:type="spellEnd"/>
      <w:r w:rsidRPr="00C024DB">
        <w:rPr>
          <w:rFonts w:ascii="Arial" w:hAnsi="Arial" w:cs="Arial"/>
          <w:color w:val="000000"/>
        </w:rPr>
        <w:t xml:space="preserve"> (2010) notes, risk is socially and culturally constructed, meaning interpretations vary between researchers, practitioners and settings. This limits compa</w:t>
      </w:r>
      <w:r>
        <w:rPr>
          <w:rFonts w:ascii="Arial" w:hAnsi="Arial" w:cs="Arial"/>
          <w:color w:val="000000"/>
        </w:rPr>
        <w:t>tibility</w:t>
      </w:r>
      <w:r w:rsidRPr="00C024DB">
        <w:rPr>
          <w:rFonts w:ascii="Arial" w:hAnsi="Arial" w:cs="Arial"/>
          <w:color w:val="000000"/>
        </w:rPr>
        <w:t xml:space="preserve"> across studies and raises questions about the reliability of conclusions drawn from the literature.</w:t>
      </w:r>
    </w:p>
    <w:p w14:paraId="3B05CD26" w14:textId="77777777" w:rsidR="00C34B49" w:rsidRPr="00C024DB" w:rsidRDefault="00C34B49" w:rsidP="00C34B49">
      <w:pPr>
        <w:pStyle w:val="NormalWeb"/>
        <w:spacing w:line="360" w:lineRule="auto"/>
        <w:rPr>
          <w:rFonts w:ascii="Arial" w:hAnsi="Arial" w:cs="Arial"/>
          <w:color w:val="000000"/>
        </w:rPr>
      </w:pPr>
      <w:r w:rsidRPr="00C024DB">
        <w:rPr>
          <w:rFonts w:ascii="Arial" w:hAnsi="Arial" w:cs="Arial"/>
          <w:color w:val="000000"/>
        </w:rPr>
        <w:t xml:space="preserve">Much of the existing research on risky play is based on observational studies conducted in Early Years settings such as nurseries or structured play environments. Although observation can generate rich data, it is also vulnerable to researcher interpretation and bias, particularly when assessing children’s emotional responses </w:t>
      </w:r>
      <w:r w:rsidRPr="00C024DB">
        <w:rPr>
          <w:rFonts w:ascii="Arial" w:hAnsi="Arial" w:cs="Arial"/>
          <w:color w:val="000000"/>
        </w:rPr>
        <w:lastRenderedPageBreak/>
        <w:t>such as fear, excitement, or uncertainty. In addition, the presence of an observer may influence children’s behaviour (the Hawthorne effect), which can reduce validity and raise questions about whether the findings reflect genuinely natural play experiences.</w:t>
      </w:r>
    </w:p>
    <w:p w14:paraId="3929BAEF" w14:textId="413880B4" w:rsidR="00C34B49" w:rsidRDefault="00C34B49" w:rsidP="00C34B49">
      <w:pPr>
        <w:pStyle w:val="NormalWeb"/>
        <w:spacing w:line="360" w:lineRule="auto"/>
        <w:rPr>
          <w:rFonts w:ascii="Arial" w:hAnsi="Arial" w:cs="Arial"/>
          <w:color w:val="000000"/>
        </w:rPr>
      </w:pPr>
      <w:r w:rsidRPr="00C024DB">
        <w:rPr>
          <w:rFonts w:ascii="Arial" w:hAnsi="Arial" w:cs="Arial"/>
          <w:color w:val="000000"/>
        </w:rPr>
        <w:t xml:space="preserve">Sample-related limitations also weaken the overall strength of the evidence base. </w:t>
      </w:r>
      <w:proofErr w:type="gramStart"/>
      <w:r w:rsidRPr="00C024DB">
        <w:rPr>
          <w:rFonts w:ascii="Arial" w:hAnsi="Arial" w:cs="Arial"/>
          <w:color w:val="000000"/>
        </w:rPr>
        <w:t>A number of</w:t>
      </w:r>
      <w:proofErr w:type="gramEnd"/>
      <w:r w:rsidRPr="00C024DB">
        <w:rPr>
          <w:rFonts w:ascii="Arial" w:hAnsi="Arial" w:cs="Arial"/>
          <w:color w:val="000000"/>
        </w:rPr>
        <w:t xml:space="preserve"> studies use small sample sizes or focus on narrow age ranges, particularly in research involving infants and toddlers (Chaney, 2018; </w:t>
      </w:r>
      <w:proofErr w:type="spellStart"/>
      <w:r w:rsidRPr="00C024DB">
        <w:rPr>
          <w:rFonts w:ascii="Arial" w:hAnsi="Arial" w:cs="Arial"/>
          <w:color w:val="000000"/>
        </w:rPr>
        <w:t>Kybartas</w:t>
      </w:r>
      <w:proofErr w:type="spellEnd"/>
      <w:r w:rsidRPr="00C024DB">
        <w:rPr>
          <w:rFonts w:ascii="Arial" w:hAnsi="Arial" w:cs="Arial"/>
          <w:color w:val="000000"/>
        </w:rPr>
        <w:t xml:space="preserve"> et al., 2024). This limits the </w:t>
      </w:r>
      <w:r>
        <w:rPr>
          <w:rFonts w:ascii="Arial" w:hAnsi="Arial" w:cs="Arial"/>
          <w:color w:val="000000"/>
        </w:rPr>
        <w:t xml:space="preserve">findings </w:t>
      </w:r>
      <w:r w:rsidRPr="00C024DB">
        <w:rPr>
          <w:rFonts w:ascii="Arial" w:hAnsi="Arial" w:cs="Arial"/>
          <w:color w:val="000000"/>
        </w:rPr>
        <w:t>and restricts their application across wider Early Years populations and settings. Furthermore, much of the available research is conducted in Western</w:t>
      </w:r>
      <w:r>
        <w:rPr>
          <w:rFonts w:ascii="Arial" w:hAnsi="Arial" w:cs="Arial"/>
          <w:color w:val="000000"/>
        </w:rPr>
        <w:t xml:space="preserve"> </w:t>
      </w:r>
      <w:r w:rsidRPr="00C024DB">
        <w:rPr>
          <w:rFonts w:ascii="Arial" w:hAnsi="Arial" w:cs="Arial"/>
          <w:color w:val="000000"/>
        </w:rPr>
        <w:t>countries, which reduces cultural validity and fails to ac</w:t>
      </w:r>
      <w:r>
        <w:rPr>
          <w:rFonts w:ascii="Arial" w:hAnsi="Arial" w:cs="Arial"/>
          <w:color w:val="000000"/>
        </w:rPr>
        <w:t>knowledge</w:t>
      </w:r>
      <w:r w:rsidRPr="00C024DB">
        <w:rPr>
          <w:rFonts w:ascii="Arial" w:hAnsi="Arial" w:cs="Arial"/>
          <w:color w:val="000000"/>
        </w:rPr>
        <w:t xml:space="preserve"> how risky play may be understood, encouraged, or restricted in different cultural contexts.</w:t>
      </w:r>
    </w:p>
    <w:p w14:paraId="05DD8C43" w14:textId="2A16775E" w:rsidR="00C34B49" w:rsidRPr="00C024DB" w:rsidRDefault="00C34B49" w:rsidP="00C34B49">
      <w:pPr>
        <w:pStyle w:val="NormalWeb"/>
        <w:spacing w:line="360" w:lineRule="auto"/>
        <w:rPr>
          <w:rFonts w:ascii="Arial" w:hAnsi="Arial" w:cs="Arial"/>
          <w:color w:val="000000"/>
        </w:rPr>
      </w:pPr>
      <w:r w:rsidRPr="00C024DB">
        <w:rPr>
          <w:rFonts w:ascii="Arial" w:hAnsi="Arial" w:cs="Arial"/>
          <w:color w:val="000000"/>
        </w:rPr>
        <w:t xml:space="preserve">Another limitation is the reliance on adult interpretation of children’s behaviour. Researchers and practitioners often </w:t>
      </w:r>
      <w:r w:rsidR="00244643" w:rsidRPr="00C024DB">
        <w:rPr>
          <w:rFonts w:ascii="Arial" w:hAnsi="Arial" w:cs="Arial"/>
          <w:color w:val="000000"/>
        </w:rPr>
        <w:t>in</w:t>
      </w:r>
      <w:r w:rsidR="00244643">
        <w:rPr>
          <w:rFonts w:ascii="Arial" w:hAnsi="Arial" w:cs="Arial"/>
          <w:color w:val="000000"/>
        </w:rPr>
        <w:t>terfer</w:t>
      </w:r>
      <w:r w:rsidR="00244643" w:rsidRPr="00C024DB">
        <w:rPr>
          <w:rFonts w:ascii="Arial" w:hAnsi="Arial" w:cs="Arial"/>
          <w:color w:val="000000"/>
        </w:rPr>
        <w:t>e</w:t>
      </w:r>
      <w:r w:rsidR="00244643">
        <w:rPr>
          <w:rFonts w:ascii="Arial" w:hAnsi="Arial" w:cs="Arial"/>
          <w:color w:val="000000"/>
        </w:rPr>
        <w:t xml:space="preserve"> with</w:t>
      </w:r>
      <w:r w:rsidRPr="00C024DB">
        <w:rPr>
          <w:rFonts w:ascii="Arial" w:hAnsi="Arial" w:cs="Arial"/>
          <w:color w:val="000000"/>
        </w:rPr>
        <w:t xml:space="preserve"> children’s intentions, emotions, and perceptions of risk, which introduces subjectivity into the findings. This is especially significant when exploring emotional development, as children’s internal experiences cannot be directly measured and may therefore be misunderstood or over-interpreted.</w:t>
      </w:r>
    </w:p>
    <w:p w14:paraId="73ABC2FF" w14:textId="69A95BBA" w:rsidR="00C34B49" w:rsidRDefault="00C34B49" w:rsidP="00C34B49">
      <w:pPr>
        <w:pStyle w:val="NormalWeb"/>
        <w:spacing w:line="360" w:lineRule="auto"/>
        <w:rPr>
          <w:rFonts w:ascii="Arial" w:hAnsi="Arial" w:cs="Arial"/>
          <w:color w:val="000000"/>
        </w:rPr>
      </w:pPr>
      <w:r w:rsidRPr="00C024DB">
        <w:rPr>
          <w:rFonts w:ascii="Arial" w:hAnsi="Arial" w:cs="Arial"/>
          <w:color w:val="000000"/>
        </w:rPr>
        <w:t xml:space="preserve">Finally, there is a lack of longitudinal research examining the long-term effects of risky play on development. Most studies offer only a snapshot of children’s behaviour at a single point in time. </w:t>
      </w:r>
      <w:r w:rsidR="00244643" w:rsidRPr="00C024DB">
        <w:rPr>
          <w:rFonts w:ascii="Arial" w:hAnsi="Arial" w:cs="Arial"/>
          <w:color w:val="000000"/>
        </w:rPr>
        <w:t>This limit</w:t>
      </w:r>
      <w:r w:rsidRPr="00C024DB">
        <w:rPr>
          <w:rFonts w:ascii="Arial" w:hAnsi="Arial" w:cs="Arial"/>
          <w:color w:val="000000"/>
        </w:rPr>
        <w:t xml:space="preserve"> understanding of how early experiences of risk influence later outcomes such as resilience, emotional regulation, and physical competence.</w:t>
      </w:r>
    </w:p>
    <w:p w14:paraId="26F87931" w14:textId="77F12466" w:rsidR="00244643" w:rsidRDefault="00244643" w:rsidP="00244643">
      <w:pPr>
        <w:pStyle w:val="NormalWeb"/>
        <w:spacing w:line="360" w:lineRule="auto"/>
        <w:rPr>
          <w:rFonts w:ascii="Arial" w:hAnsi="Arial" w:cs="Arial"/>
          <w:color w:val="000000"/>
        </w:rPr>
      </w:pPr>
      <w:r w:rsidRPr="00244643">
        <w:rPr>
          <w:rFonts w:ascii="Arial" w:hAnsi="Arial" w:cs="Arial"/>
          <w:color w:val="000000"/>
        </w:rPr>
        <w:t>Th</w:t>
      </w:r>
      <w:r w:rsidR="0028783D">
        <w:rPr>
          <w:rFonts w:ascii="Arial" w:hAnsi="Arial" w:cs="Arial"/>
          <w:color w:val="000000"/>
        </w:rPr>
        <w:t xml:space="preserve">roughout this project, there </w:t>
      </w:r>
      <w:r w:rsidRPr="00244643">
        <w:rPr>
          <w:rFonts w:ascii="Arial" w:hAnsi="Arial" w:cs="Arial"/>
          <w:color w:val="000000"/>
        </w:rPr>
        <w:t>is a</w:t>
      </w:r>
      <w:r w:rsidRPr="00244643">
        <w:rPr>
          <w:rFonts w:ascii="Arial" w:hAnsi="Arial" w:cs="Arial"/>
          <w:color w:val="000000"/>
        </w:rPr>
        <w:t xml:space="preserve"> limited form of triangulation</w:t>
      </w:r>
      <w:r w:rsidR="0028783D">
        <w:rPr>
          <w:rFonts w:ascii="Arial" w:hAnsi="Arial" w:cs="Arial"/>
          <w:color w:val="000000"/>
        </w:rPr>
        <w:t xml:space="preserve">, </w:t>
      </w:r>
      <w:r w:rsidRPr="00244643">
        <w:rPr>
          <w:rFonts w:ascii="Arial" w:hAnsi="Arial" w:cs="Arial"/>
          <w:color w:val="000000"/>
        </w:rPr>
        <w:t>using</w:t>
      </w:r>
      <w:r w:rsidRPr="00244643">
        <w:rPr>
          <w:rFonts w:ascii="Arial" w:hAnsi="Arial" w:cs="Arial"/>
          <w:color w:val="000000"/>
        </w:rPr>
        <w:t xml:space="preserve"> multiple secondary sources, </w:t>
      </w:r>
      <w:r w:rsidRPr="00244643">
        <w:rPr>
          <w:rFonts w:ascii="Arial" w:hAnsi="Arial" w:cs="Arial"/>
          <w:color w:val="000000"/>
        </w:rPr>
        <w:t xml:space="preserve">based </w:t>
      </w:r>
      <w:r w:rsidRPr="00244643">
        <w:rPr>
          <w:rFonts w:ascii="Arial" w:hAnsi="Arial" w:cs="Arial"/>
          <w:color w:val="000000"/>
        </w:rPr>
        <w:t>on a variety of research conducted by different author</w:t>
      </w:r>
      <w:r w:rsidRPr="00244643">
        <w:rPr>
          <w:rFonts w:ascii="Arial" w:hAnsi="Arial" w:cs="Arial"/>
          <w:color w:val="000000"/>
        </w:rPr>
        <w:t>s</w:t>
      </w:r>
      <w:r w:rsidRPr="00244643">
        <w:rPr>
          <w:rFonts w:ascii="Arial" w:hAnsi="Arial" w:cs="Arial"/>
          <w:color w:val="000000"/>
        </w:rPr>
        <w:t>. This allows for comparison across findings and helps to strengthen the overall reliability of the conclusions. However, methodological triangulation is restricted, as there is no primary data collection or use of mixed research methods. Therefore, the findings rely entirely on existing literature and are influenced by the limitations of the original studies.</w:t>
      </w:r>
    </w:p>
    <w:p w14:paraId="7D266051"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lastRenderedPageBreak/>
        <w:t>This study adopts a purposive sampling approach in the selection of secondary sources. Literature was intentionally chosen based on its relevance to risky play within Early Years education and its contribution to understanding physical, emotional, and social development.</w:t>
      </w:r>
    </w:p>
    <w:p w14:paraId="1F64B2B7" w14:textId="543E50FF" w:rsidR="00C34B49" w:rsidRDefault="00C34B49" w:rsidP="00244643">
      <w:pPr>
        <w:pStyle w:val="NormalWeb"/>
        <w:spacing w:line="360" w:lineRule="auto"/>
        <w:rPr>
          <w:rFonts w:ascii="Arial" w:hAnsi="Arial" w:cs="Arial"/>
          <w:color w:val="000000"/>
        </w:rPr>
      </w:pPr>
      <w:r w:rsidRPr="00244643">
        <w:rPr>
          <w:rFonts w:ascii="Arial" w:hAnsi="Arial" w:cs="Arial"/>
          <w:color w:val="000000"/>
        </w:rPr>
        <w:t>Overall, while the existing literature provides valuable insights into the benefits of risky play, methodological limitations relating to sampling, interpretation and research design mean that findings should be interpreted with caution. Further longitudinal, cross-cultural, and methodologically diverse research is needed to strengthen the evidence base in Early Years practice.</w:t>
      </w:r>
    </w:p>
    <w:p w14:paraId="6FF902B0" w14:textId="77777777" w:rsidR="0028783D" w:rsidRDefault="0028783D" w:rsidP="00244643">
      <w:pPr>
        <w:pStyle w:val="NormalWeb"/>
        <w:spacing w:line="360" w:lineRule="auto"/>
        <w:rPr>
          <w:rFonts w:ascii="Arial" w:hAnsi="Arial" w:cs="Arial"/>
          <w:color w:val="000000"/>
        </w:rPr>
      </w:pPr>
    </w:p>
    <w:p w14:paraId="0BB735A1" w14:textId="77777777" w:rsidR="0028783D" w:rsidRDefault="0028783D" w:rsidP="00244643">
      <w:pPr>
        <w:pStyle w:val="NormalWeb"/>
        <w:spacing w:line="360" w:lineRule="auto"/>
        <w:rPr>
          <w:rFonts w:ascii="Arial" w:hAnsi="Arial" w:cs="Arial"/>
          <w:color w:val="000000"/>
        </w:rPr>
      </w:pPr>
    </w:p>
    <w:p w14:paraId="706227F1" w14:textId="77777777" w:rsidR="0028783D" w:rsidRDefault="0028783D" w:rsidP="00244643">
      <w:pPr>
        <w:pStyle w:val="NormalWeb"/>
        <w:spacing w:line="360" w:lineRule="auto"/>
        <w:rPr>
          <w:rFonts w:ascii="Arial" w:hAnsi="Arial" w:cs="Arial"/>
          <w:color w:val="000000"/>
        </w:rPr>
      </w:pPr>
    </w:p>
    <w:p w14:paraId="1036E7CD" w14:textId="77777777" w:rsidR="0028783D" w:rsidRDefault="0028783D" w:rsidP="00244643">
      <w:pPr>
        <w:pStyle w:val="NormalWeb"/>
        <w:spacing w:line="360" w:lineRule="auto"/>
        <w:rPr>
          <w:rFonts w:ascii="Arial" w:hAnsi="Arial" w:cs="Arial"/>
          <w:color w:val="000000"/>
        </w:rPr>
      </w:pPr>
    </w:p>
    <w:p w14:paraId="09E1158C" w14:textId="77777777" w:rsidR="0028783D" w:rsidRDefault="0028783D" w:rsidP="00244643">
      <w:pPr>
        <w:pStyle w:val="NormalWeb"/>
        <w:spacing w:line="360" w:lineRule="auto"/>
        <w:rPr>
          <w:rFonts w:ascii="Arial" w:hAnsi="Arial" w:cs="Arial"/>
          <w:color w:val="000000"/>
        </w:rPr>
      </w:pPr>
    </w:p>
    <w:p w14:paraId="104BCD82" w14:textId="77777777" w:rsidR="0028783D" w:rsidRDefault="0028783D" w:rsidP="00244643">
      <w:pPr>
        <w:pStyle w:val="NormalWeb"/>
        <w:spacing w:line="360" w:lineRule="auto"/>
        <w:rPr>
          <w:rFonts w:ascii="Arial" w:hAnsi="Arial" w:cs="Arial"/>
          <w:color w:val="000000"/>
        </w:rPr>
      </w:pPr>
    </w:p>
    <w:p w14:paraId="709F309A" w14:textId="77777777" w:rsidR="0028783D" w:rsidRDefault="0028783D" w:rsidP="00244643">
      <w:pPr>
        <w:pStyle w:val="NormalWeb"/>
        <w:spacing w:line="360" w:lineRule="auto"/>
        <w:rPr>
          <w:rFonts w:ascii="Arial" w:hAnsi="Arial" w:cs="Arial"/>
          <w:color w:val="000000"/>
        </w:rPr>
      </w:pPr>
    </w:p>
    <w:p w14:paraId="113A0987" w14:textId="77777777" w:rsidR="0028783D" w:rsidRDefault="0028783D" w:rsidP="00244643">
      <w:pPr>
        <w:pStyle w:val="NormalWeb"/>
        <w:spacing w:line="360" w:lineRule="auto"/>
        <w:rPr>
          <w:rFonts w:ascii="Arial" w:hAnsi="Arial" w:cs="Arial"/>
          <w:color w:val="000000"/>
        </w:rPr>
      </w:pPr>
    </w:p>
    <w:p w14:paraId="72DA41DE" w14:textId="77777777" w:rsidR="0028783D" w:rsidRDefault="0028783D" w:rsidP="00244643">
      <w:pPr>
        <w:pStyle w:val="NormalWeb"/>
        <w:spacing w:line="360" w:lineRule="auto"/>
        <w:rPr>
          <w:rFonts w:ascii="Arial" w:hAnsi="Arial" w:cs="Arial"/>
          <w:color w:val="000000"/>
        </w:rPr>
      </w:pPr>
    </w:p>
    <w:p w14:paraId="2859EF57" w14:textId="77777777" w:rsidR="0028783D" w:rsidRDefault="0028783D" w:rsidP="00244643">
      <w:pPr>
        <w:pStyle w:val="NormalWeb"/>
        <w:spacing w:line="360" w:lineRule="auto"/>
        <w:rPr>
          <w:rFonts w:ascii="Arial" w:hAnsi="Arial" w:cs="Arial"/>
          <w:color w:val="000000"/>
        </w:rPr>
      </w:pPr>
    </w:p>
    <w:p w14:paraId="2C9B0F61" w14:textId="77777777" w:rsidR="0028783D" w:rsidRDefault="0028783D" w:rsidP="00244643">
      <w:pPr>
        <w:pStyle w:val="NormalWeb"/>
        <w:spacing w:line="360" w:lineRule="auto"/>
        <w:rPr>
          <w:rFonts w:ascii="Arial" w:hAnsi="Arial" w:cs="Arial"/>
          <w:color w:val="000000"/>
        </w:rPr>
      </w:pPr>
    </w:p>
    <w:p w14:paraId="30706986" w14:textId="77777777" w:rsidR="0028783D" w:rsidRDefault="0028783D" w:rsidP="00244643">
      <w:pPr>
        <w:pStyle w:val="NormalWeb"/>
        <w:spacing w:line="360" w:lineRule="auto"/>
        <w:rPr>
          <w:rFonts w:ascii="Arial" w:hAnsi="Arial" w:cs="Arial"/>
          <w:color w:val="000000"/>
        </w:rPr>
      </w:pPr>
    </w:p>
    <w:p w14:paraId="34301E23" w14:textId="77777777" w:rsidR="0028783D" w:rsidRDefault="0028783D" w:rsidP="00244643">
      <w:pPr>
        <w:pStyle w:val="NormalWeb"/>
        <w:spacing w:line="360" w:lineRule="auto"/>
        <w:rPr>
          <w:rFonts w:ascii="Arial" w:hAnsi="Arial" w:cs="Arial"/>
          <w:color w:val="000000"/>
        </w:rPr>
      </w:pPr>
    </w:p>
    <w:p w14:paraId="7528D68B" w14:textId="77777777" w:rsidR="00C34B49" w:rsidRPr="00D33B9B" w:rsidRDefault="00C34B49" w:rsidP="00D33B9B">
      <w:pPr>
        <w:spacing w:line="360" w:lineRule="auto"/>
        <w:rPr>
          <w:rFonts w:ascii="Arial" w:hAnsi="Arial" w:cs="Arial"/>
        </w:rPr>
      </w:pPr>
    </w:p>
    <w:p w14:paraId="09F4A7E8"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lastRenderedPageBreak/>
        <w:t>Bowden, N., Jones, R. and Tonge, K. (2026) ‘Risky play for children birth to 3 years in Early Childhood Education services: A study of educators’ perspectives’,</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Australasian Journal of Early Childhood</w:t>
      </w:r>
      <w:r w:rsidRPr="00D33B9B">
        <w:rPr>
          <w:rFonts w:ascii="Arial" w:hAnsi="Arial" w:cs="Arial"/>
          <w:color w:val="000000"/>
        </w:rPr>
        <w:t>, 51(1), pp. 5–17.</w:t>
      </w:r>
      <w:r w:rsidRPr="00D33B9B">
        <w:rPr>
          <w:rStyle w:val="apple-converted-space"/>
          <w:rFonts w:ascii="Arial" w:eastAsiaTheme="majorEastAsia" w:hAnsi="Arial" w:cs="Arial"/>
          <w:color w:val="000000"/>
        </w:rPr>
        <w:t> </w:t>
      </w:r>
      <w:hyperlink r:id="rId4" w:tgtFrame="_new" w:history="1">
        <w:r w:rsidRPr="00D33B9B">
          <w:rPr>
            <w:rStyle w:val="Hyperlink"/>
            <w:rFonts w:ascii="Arial" w:eastAsiaTheme="majorEastAsia" w:hAnsi="Arial" w:cs="Arial"/>
          </w:rPr>
          <w:t>https://doi.org/10.1177/18369391251349552</w:t>
        </w:r>
      </w:hyperlink>
    </w:p>
    <w:p w14:paraId="09DA3172" w14:textId="3C98F28B"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t>Chaney, M. (2018)</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Exploring toddler risky play: Listening to the voices of parents and teachers of toddlers in one school setting</w:t>
      </w:r>
      <w:r w:rsidRPr="00D33B9B">
        <w:rPr>
          <w:rFonts w:ascii="Arial" w:hAnsi="Arial" w:cs="Arial"/>
          <w:color w:val="000000"/>
        </w:rPr>
        <w:t>. Available at:</w:t>
      </w:r>
      <w:r w:rsidRPr="00D33B9B">
        <w:rPr>
          <w:rStyle w:val="apple-converted-space"/>
          <w:rFonts w:ascii="Arial" w:eastAsiaTheme="majorEastAsia" w:hAnsi="Arial" w:cs="Arial"/>
          <w:color w:val="000000"/>
        </w:rPr>
        <w:t> </w:t>
      </w:r>
      <w:hyperlink r:id="rId5" w:tgtFrame="_new" w:history="1">
        <w:r w:rsidRPr="00D33B9B">
          <w:rPr>
            <w:rStyle w:val="Hyperlink"/>
            <w:rFonts w:ascii="Arial" w:eastAsiaTheme="majorEastAsia" w:hAnsi="Arial" w:cs="Arial"/>
          </w:rPr>
          <w:t>https://trace.tennessee.edu/utk_gradthes</w:t>
        </w:r>
      </w:hyperlink>
      <w:r w:rsidRPr="00D33B9B">
        <w:rPr>
          <w:rStyle w:val="apple-converted-space"/>
          <w:rFonts w:ascii="Arial" w:eastAsiaTheme="majorEastAsia" w:hAnsi="Arial" w:cs="Arial"/>
          <w:color w:val="000000"/>
        </w:rPr>
        <w:t> </w:t>
      </w:r>
    </w:p>
    <w:p w14:paraId="12A7A4CE"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t>Hinchion, S., McAuliffe, E. and Lynch, H. (2021) ‘Fraught with frights or full of fun: Perspectives of risky play among six-to-eight-year olds’,</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European Early Childhood Education Research Journal</w:t>
      </w:r>
      <w:r w:rsidRPr="00D33B9B">
        <w:rPr>
          <w:rFonts w:ascii="Arial" w:hAnsi="Arial" w:cs="Arial"/>
          <w:color w:val="000000"/>
        </w:rPr>
        <w:t>, 29(5), pp. 696–714.</w:t>
      </w:r>
      <w:r w:rsidRPr="00D33B9B">
        <w:rPr>
          <w:rStyle w:val="apple-converted-space"/>
          <w:rFonts w:ascii="Arial" w:eastAsiaTheme="majorEastAsia" w:hAnsi="Arial" w:cs="Arial"/>
          <w:color w:val="000000"/>
        </w:rPr>
        <w:t> </w:t>
      </w:r>
      <w:hyperlink r:id="rId6" w:tgtFrame="_new" w:history="1">
        <w:r w:rsidRPr="00D33B9B">
          <w:rPr>
            <w:rStyle w:val="Hyperlink"/>
            <w:rFonts w:ascii="Arial" w:eastAsiaTheme="majorEastAsia" w:hAnsi="Arial" w:cs="Arial"/>
          </w:rPr>
          <w:t>https://doi.org/10.1080/1350293X.2021.1968460</w:t>
        </w:r>
      </w:hyperlink>
    </w:p>
    <w:p w14:paraId="446A23C4"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t xml:space="preserve">Kleppe, R., </w:t>
      </w:r>
      <w:proofErr w:type="spellStart"/>
      <w:r w:rsidRPr="00D33B9B">
        <w:rPr>
          <w:rFonts w:ascii="Arial" w:hAnsi="Arial" w:cs="Arial"/>
          <w:color w:val="000000"/>
        </w:rPr>
        <w:t>Sandseter</w:t>
      </w:r>
      <w:proofErr w:type="spellEnd"/>
      <w:r w:rsidRPr="00D33B9B">
        <w:rPr>
          <w:rFonts w:ascii="Arial" w:hAnsi="Arial" w:cs="Arial"/>
          <w:color w:val="000000"/>
        </w:rPr>
        <w:t xml:space="preserve">, E.B.H., Sando, O.J. and </w:t>
      </w:r>
      <w:proofErr w:type="spellStart"/>
      <w:r w:rsidRPr="00D33B9B">
        <w:rPr>
          <w:rFonts w:ascii="Arial" w:hAnsi="Arial" w:cs="Arial"/>
          <w:color w:val="000000"/>
        </w:rPr>
        <w:t>Brussoni</w:t>
      </w:r>
      <w:proofErr w:type="spellEnd"/>
      <w:r w:rsidRPr="00D33B9B">
        <w:rPr>
          <w:rFonts w:ascii="Arial" w:hAnsi="Arial" w:cs="Arial"/>
          <w:color w:val="000000"/>
        </w:rPr>
        <w:t>, M. (2024) ‘Children’s dynamic risk management – a comprehensive approach to children’s risk willingness, risk assessment, and risk handling’,</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International Journal of Play</w:t>
      </w:r>
      <w:r w:rsidRPr="00D33B9B">
        <w:rPr>
          <w:rFonts w:ascii="Arial" w:hAnsi="Arial" w:cs="Arial"/>
          <w:color w:val="000000"/>
        </w:rPr>
        <w:t>.</w:t>
      </w:r>
      <w:r w:rsidRPr="00D33B9B">
        <w:rPr>
          <w:rStyle w:val="apple-converted-space"/>
          <w:rFonts w:ascii="Arial" w:eastAsiaTheme="majorEastAsia" w:hAnsi="Arial" w:cs="Arial"/>
          <w:color w:val="000000"/>
        </w:rPr>
        <w:t> </w:t>
      </w:r>
      <w:hyperlink r:id="rId7" w:tgtFrame="_new" w:history="1">
        <w:r w:rsidRPr="00D33B9B">
          <w:rPr>
            <w:rStyle w:val="Hyperlink"/>
            <w:rFonts w:ascii="Arial" w:eastAsiaTheme="majorEastAsia" w:hAnsi="Arial" w:cs="Arial"/>
          </w:rPr>
          <w:t>https://doi.org/10.1080/21594937.2024.2425539</w:t>
        </w:r>
      </w:hyperlink>
    </w:p>
    <w:p w14:paraId="36EAE122"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t xml:space="preserve">Kvalnes, Ø. and </w:t>
      </w:r>
      <w:proofErr w:type="spellStart"/>
      <w:r w:rsidRPr="00D33B9B">
        <w:rPr>
          <w:rFonts w:ascii="Arial" w:hAnsi="Arial" w:cs="Arial"/>
          <w:color w:val="000000"/>
        </w:rPr>
        <w:t>Sandseter</w:t>
      </w:r>
      <w:proofErr w:type="spellEnd"/>
      <w:r w:rsidRPr="00D33B9B">
        <w:rPr>
          <w:rFonts w:ascii="Arial" w:hAnsi="Arial" w:cs="Arial"/>
          <w:color w:val="000000"/>
        </w:rPr>
        <w:t>, E.B.H. (2023)</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Risky Play: An Ethical Challenge</w:t>
      </w:r>
      <w:r w:rsidRPr="00D33B9B">
        <w:rPr>
          <w:rFonts w:ascii="Arial" w:hAnsi="Arial" w:cs="Arial"/>
          <w:color w:val="000000"/>
        </w:rPr>
        <w:t>. Cham: Springer International Publishing.</w:t>
      </w:r>
      <w:r w:rsidRPr="00D33B9B">
        <w:rPr>
          <w:rStyle w:val="apple-converted-space"/>
          <w:rFonts w:ascii="Arial" w:eastAsiaTheme="majorEastAsia" w:hAnsi="Arial" w:cs="Arial"/>
          <w:color w:val="000000"/>
        </w:rPr>
        <w:t> </w:t>
      </w:r>
      <w:hyperlink r:id="rId8" w:tgtFrame="_new" w:history="1">
        <w:r w:rsidRPr="00D33B9B">
          <w:rPr>
            <w:rStyle w:val="Hyperlink"/>
            <w:rFonts w:ascii="Arial" w:eastAsiaTheme="majorEastAsia" w:hAnsi="Arial" w:cs="Arial"/>
          </w:rPr>
          <w:t>https://doi.org/10.1007/978-3-031-25552-6</w:t>
        </w:r>
      </w:hyperlink>
    </w:p>
    <w:p w14:paraId="6BCBA167"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t>LeMasters, A. and Vandermaas-Peeler, M. (2023) ‘Exploring outdoor play: A mixed-methods study of the quality of preschool play environments and teacher perceptions of risky play’,</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Journal of Adventure Education and Outdoor Learning</w:t>
      </w:r>
      <w:r w:rsidRPr="00D33B9B">
        <w:rPr>
          <w:rFonts w:ascii="Arial" w:hAnsi="Arial" w:cs="Arial"/>
          <w:color w:val="000000"/>
        </w:rPr>
        <w:t>, 23(1), pp. 1–13.</w:t>
      </w:r>
      <w:r w:rsidRPr="00D33B9B">
        <w:rPr>
          <w:rStyle w:val="apple-converted-space"/>
          <w:rFonts w:ascii="Arial" w:eastAsiaTheme="majorEastAsia" w:hAnsi="Arial" w:cs="Arial"/>
          <w:color w:val="000000"/>
        </w:rPr>
        <w:t> </w:t>
      </w:r>
      <w:r w:rsidRPr="00D33B9B">
        <w:rPr>
          <w:rFonts w:ascii="Arial" w:hAnsi="Arial" w:cs="Arial"/>
          <w:color w:val="000000"/>
        </w:rPr>
        <w:t>https://doi.org/10.1080/14729679.2021.1925564</w:t>
      </w:r>
    </w:p>
    <w:p w14:paraId="7DFBD444"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t xml:space="preserve">Little, H. and </w:t>
      </w:r>
      <w:proofErr w:type="spellStart"/>
      <w:r w:rsidRPr="00D33B9B">
        <w:rPr>
          <w:rFonts w:ascii="Arial" w:hAnsi="Arial" w:cs="Arial"/>
          <w:color w:val="000000"/>
        </w:rPr>
        <w:t>Wyver</w:t>
      </w:r>
      <w:proofErr w:type="spellEnd"/>
      <w:r w:rsidRPr="00D33B9B">
        <w:rPr>
          <w:rFonts w:ascii="Arial" w:hAnsi="Arial" w:cs="Arial"/>
          <w:color w:val="000000"/>
        </w:rPr>
        <w:t>, S. (2008) ‘Outdoor play: Does avoiding the risks reduce the benefits?’,</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Australasian Journal of Early Childhood</w:t>
      </w:r>
      <w:r w:rsidRPr="00D33B9B">
        <w:rPr>
          <w:rFonts w:ascii="Arial" w:hAnsi="Arial" w:cs="Arial"/>
          <w:color w:val="000000"/>
        </w:rPr>
        <w:t>, 33(2), pp. 33–40.</w:t>
      </w:r>
      <w:r w:rsidRPr="00D33B9B">
        <w:rPr>
          <w:rStyle w:val="apple-converted-space"/>
          <w:rFonts w:ascii="Arial" w:eastAsiaTheme="majorEastAsia" w:hAnsi="Arial" w:cs="Arial"/>
          <w:color w:val="000000"/>
        </w:rPr>
        <w:t> </w:t>
      </w:r>
      <w:hyperlink r:id="rId9" w:tgtFrame="_new" w:history="1">
        <w:r w:rsidRPr="00D33B9B">
          <w:rPr>
            <w:rStyle w:val="Hyperlink"/>
            <w:rFonts w:ascii="Arial" w:eastAsiaTheme="majorEastAsia" w:hAnsi="Arial" w:cs="Arial"/>
          </w:rPr>
          <w:t>https://doi.org/10.1177/183693910803300206</w:t>
        </w:r>
      </w:hyperlink>
    </w:p>
    <w:p w14:paraId="410B2B77"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t>Morrongiello, B.A. and Matheis, S. (2004) ‘Determinants of children’s risk-taking in different social–situational contexts: The role of cognitions and emotions in predicting children’s decisions’,</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Applied Developmental Psychology</w:t>
      </w:r>
      <w:r w:rsidRPr="00D33B9B">
        <w:rPr>
          <w:rFonts w:ascii="Arial" w:hAnsi="Arial" w:cs="Arial"/>
          <w:color w:val="000000"/>
        </w:rPr>
        <w:t>, 25, pp. 303–326.</w:t>
      </w:r>
      <w:r w:rsidRPr="00D33B9B">
        <w:rPr>
          <w:rStyle w:val="apple-converted-space"/>
          <w:rFonts w:ascii="Arial" w:eastAsiaTheme="majorEastAsia" w:hAnsi="Arial" w:cs="Arial"/>
          <w:color w:val="000000"/>
        </w:rPr>
        <w:t> </w:t>
      </w:r>
      <w:hyperlink r:id="rId10" w:tgtFrame="_new" w:history="1">
        <w:r w:rsidRPr="00D33B9B">
          <w:rPr>
            <w:rStyle w:val="Hyperlink"/>
            <w:rFonts w:ascii="Arial" w:eastAsiaTheme="majorEastAsia" w:hAnsi="Arial" w:cs="Arial"/>
          </w:rPr>
          <w:t>https://doi.org/10.1016/j.appdev.2004.04.003</w:t>
        </w:r>
      </w:hyperlink>
    </w:p>
    <w:p w14:paraId="648F4A52"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lastRenderedPageBreak/>
        <w:t xml:space="preserve">Obee, P., </w:t>
      </w:r>
      <w:proofErr w:type="spellStart"/>
      <w:r w:rsidRPr="00D33B9B">
        <w:rPr>
          <w:rFonts w:ascii="Arial" w:hAnsi="Arial" w:cs="Arial"/>
          <w:color w:val="000000"/>
        </w:rPr>
        <w:t>Sandseter</w:t>
      </w:r>
      <w:proofErr w:type="spellEnd"/>
      <w:r w:rsidRPr="00D33B9B">
        <w:rPr>
          <w:rFonts w:ascii="Arial" w:hAnsi="Arial" w:cs="Arial"/>
          <w:color w:val="000000"/>
        </w:rPr>
        <w:t>, E.B.H. and Harper, N. (2021) ‘Children’s use of environmental features affording risky play in early childhood education and care’,</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Early Child Development and Care</w:t>
      </w:r>
      <w:r w:rsidRPr="00D33B9B">
        <w:rPr>
          <w:rFonts w:ascii="Arial" w:hAnsi="Arial" w:cs="Arial"/>
          <w:color w:val="000000"/>
        </w:rPr>
        <w:t>, 191(16), pp. 2607–2625.</w:t>
      </w:r>
      <w:r w:rsidRPr="00D33B9B">
        <w:rPr>
          <w:rStyle w:val="apple-converted-space"/>
          <w:rFonts w:ascii="Arial" w:eastAsiaTheme="majorEastAsia" w:hAnsi="Arial" w:cs="Arial"/>
          <w:color w:val="000000"/>
        </w:rPr>
        <w:t> </w:t>
      </w:r>
      <w:hyperlink r:id="rId11" w:tgtFrame="_new" w:history="1">
        <w:r w:rsidRPr="00D33B9B">
          <w:rPr>
            <w:rStyle w:val="Hyperlink"/>
            <w:rFonts w:ascii="Arial" w:eastAsiaTheme="majorEastAsia" w:hAnsi="Arial" w:cs="Arial"/>
          </w:rPr>
          <w:t>https://doi.org/10.1080/03004430.2020.1726904</w:t>
        </w:r>
      </w:hyperlink>
    </w:p>
    <w:p w14:paraId="682320AD"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t>Ouvry, M. and Furtado, A. (2020)</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Exercising Muscles and Minds: Outdoor Play and the Early Years Curriculum</w:t>
      </w:r>
      <w:r w:rsidRPr="00D33B9B">
        <w:rPr>
          <w:rFonts w:ascii="Arial" w:hAnsi="Arial" w:cs="Arial"/>
          <w:color w:val="000000"/>
        </w:rPr>
        <w:t xml:space="preserve">. 2nd </w:t>
      </w:r>
      <w:proofErr w:type="spellStart"/>
      <w:r w:rsidRPr="00D33B9B">
        <w:rPr>
          <w:rFonts w:ascii="Arial" w:hAnsi="Arial" w:cs="Arial"/>
          <w:color w:val="000000"/>
        </w:rPr>
        <w:t>edn</w:t>
      </w:r>
      <w:proofErr w:type="spellEnd"/>
      <w:r w:rsidRPr="00D33B9B">
        <w:rPr>
          <w:rFonts w:ascii="Arial" w:hAnsi="Arial" w:cs="Arial"/>
          <w:color w:val="000000"/>
        </w:rPr>
        <w:t>. London: Jessica Kingsley Publishers.</w:t>
      </w:r>
    </w:p>
    <w:p w14:paraId="26A9747A"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t>Play England (2015)</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Design for Play: A Guide to Creating Successful Play Spaces</w:t>
      </w:r>
      <w:r w:rsidRPr="00D33B9B">
        <w:rPr>
          <w:rFonts w:ascii="Arial" w:hAnsi="Arial" w:cs="Arial"/>
          <w:color w:val="000000"/>
        </w:rPr>
        <w:t>. London: Play England.</w:t>
      </w:r>
    </w:p>
    <w:p w14:paraId="4DE627D0" w14:textId="77777777" w:rsidR="00D33B9B" w:rsidRPr="00D33B9B" w:rsidRDefault="00D33B9B" w:rsidP="00D33B9B">
      <w:pPr>
        <w:pStyle w:val="NormalWeb"/>
        <w:spacing w:line="360" w:lineRule="auto"/>
        <w:rPr>
          <w:rFonts w:ascii="Arial" w:hAnsi="Arial" w:cs="Arial"/>
          <w:color w:val="000000"/>
        </w:rPr>
      </w:pPr>
      <w:proofErr w:type="spellStart"/>
      <w:r w:rsidRPr="00D33B9B">
        <w:rPr>
          <w:rFonts w:ascii="Arial" w:hAnsi="Arial" w:cs="Arial"/>
          <w:color w:val="000000"/>
        </w:rPr>
        <w:t>Sandseter</w:t>
      </w:r>
      <w:proofErr w:type="spellEnd"/>
      <w:r w:rsidRPr="00D33B9B">
        <w:rPr>
          <w:rFonts w:ascii="Arial" w:hAnsi="Arial" w:cs="Arial"/>
          <w:color w:val="000000"/>
        </w:rPr>
        <w:t>, E.B.H. (2010) ‘“It tickles in my tummy!” Understanding children’s risk-taking in play through reversal theory’,</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Journal of Early Childhood Research</w:t>
      </w:r>
      <w:r w:rsidRPr="00D33B9B">
        <w:rPr>
          <w:rFonts w:ascii="Arial" w:hAnsi="Arial" w:cs="Arial"/>
          <w:color w:val="000000"/>
        </w:rPr>
        <w:t>, 8(1), pp. 67–88.</w:t>
      </w:r>
      <w:r w:rsidRPr="00D33B9B">
        <w:rPr>
          <w:rStyle w:val="apple-converted-space"/>
          <w:rFonts w:ascii="Arial" w:eastAsiaTheme="majorEastAsia" w:hAnsi="Arial" w:cs="Arial"/>
          <w:color w:val="000000"/>
        </w:rPr>
        <w:t> </w:t>
      </w:r>
      <w:hyperlink r:id="rId12" w:tgtFrame="_new" w:history="1">
        <w:r w:rsidRPr="00D33B9B">
          <w:rPr>
            <w:rStyle w:val="Hyperlink"/>
            <w:rFonts w:ascii="Arial" w:eastAsiaTheme="majorEastAsia" w:hAnsi="Arial" w:cs="Arial"/>
          </w:rPr>
          <w:t>https://doi.org/10.1177/1476718X09345393</w:t>
        </w:r>
      </w:hyperlink>
    </w:p>
    <w:p w14:paraId="119238F2" w14:textId="77777777" w:rsidR="00D33B9B" w:rsidRPr="00D33B9B" w:rsidRDefault="00D33B9B" w:rsidP="00D33B9B">
      <w:pPr>
        <w:pStyle w:val="NormalWeb"/>
        <w:spacing w:line="360" w:lineRule="auto"/>
        <w:rPr>
          <w:rFonts w:ascii="Arial" w:hAnsi="Arial" w:cs="Arial"/>
          <w:color w:val="000000"/>
        </w:rPr>
      </w:pPr>
      <w:proofErr w:type="spellStart"/>
      <w:r w:rsidRPr="00D33B9B">
        <w:rPr>
          <w:rFonts w:ascii="Arial" w:hAnsi="Arial" w:cs="Arial"/>
          <w:color w:val="000000"/>
        </w:rPr>
        <w:t>Sandseter</w:t>
      </w:r>
      <w:proofErr w:type="spellEnd"/>
      <w:r w:rsidRPr="00D33B9B">
        <w:rPr>
          <w:rFonts w:ascii="Arial" w:hAnsi="Arial" w:cs="Arial"/>
          <w:color w:val="000000"/>
        </w:rPr>
        <w:t>, E.B.H., Kleppe, R. and Sando, O.J. (2021) ‘The prevalence of risky play in young children’s indoor and outdoor free play’,</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Early Childhood Education Journal</w:t>
      </w:r>
      <w:r w:rsidRPr="00D33B9B">
        <w:rPr>
          <w:rFonts w:ascii="Arial" w:hAnsi="Arial" w:cs="Arial"/>
          <w:color w:val="000000"/>
        </w:rPr>
        <w:t>, 49(2), pp. 303–312.</w:t>
      </w:r>
      <w:r w:rsidRPr="00D33B9B">
        <w:rPr>
          <w:rStyle w:val="apple-converted-space"/>
          <w:rFonts w:ascii="Arial" w:eastAsiaTheme="majorEastAsia" w:hAnsi="Arial" w:cs="Arial"/>
          <w:color w:val="000000"/>
        </w:rPr>
        <w:t> </w:t>
      </w:r>
      <w:hyperlink r:id="rId13" w:tgtFrame="_new" w:history="1">
        <w:r w:rsidRPr="00D33B9B">
          <w:rPr>
            <w:rStyle w:val="Hyperlink"/>
            <w:rFonts w:ascii="Arial" w:eastAsiaTheme="majorEastAsia" w:hAnsi="Arial" w:cs="Arial"/>
          </w:rPr>
          <w:t>https://doi.org/10.1007/s10643-020-01074-0</w:t>
        </w:r>
      </w:hyperlink>
    </w:p>
    <w:p w14:paraId="319F6259" w14:textId="77777777" w:rsidR="00D33B9B" w:rsidRPr="00D33B9B" w:rsidRDefault="00D33B9B" w:rsidP="00D33B9B">
      <w:pPr>
        <w:pStyle w:val="NormalWeb"/>
        <w:spacing w:line="360" w:lineRule="auto"/>
        <w:rPr>
          <w:rFonts w:ascii="Arial" w:hAnsi="Arial" w:cs="Arial"/>
          <w:color w:val="000000"/>
        </w:rPr>
      </w:pPr>
      <w:proofErr w:type="spellStart"/>
      <w:r w:rsidRPr="00D33B9B">
        <w:rPr>
          <w:rFonts w:ascii="Arial" w:hAnsi="Arial" w:cs="Arial"/>
          <w:color w:val="000000"/>
        </w:rPr>
        <w:t>Sandseter</w:t>
      </w:r>
      <w:proofErr w:type="spellEnd"/>
      <w:r w:rsidRPr="00D33B9B">
        <w:rPr>
          <w:rFonts w:ascii="Arial" w:hAnsi="Arial" w:cs="Arial"/>
          <w:color w:val="000000"/>
        </w:rPr>
        <w:t>, E.B.H., Sando, O.J. and Kleppe, R. (2021) ‘Associations between children’s risky play and ECEC outdoor play spaces and materials’,</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International Journal of Environmental Research and Public Health</w:t>
      </w:r>
      <w:r w:rsidRPr="00D33B9B">
        <w:rPr>
          <w:rFonts w:ascii="Arial" w:hAnsi="Arial" w:cs="Arial"/>
          <w:color w:val="000000"/>
        </w:rPr>
        <w:t>, 18(7), 3354.</w:t>
      </w:r>
      <w:r w:rsidRPr="00D33B9B">
        <w:rPr>
          <w:rStyle w:val="apple-converted-space"/>
          <w:rFonts w:ascii="Arial" w:eastAsiaTheme="majorEastAsia" w:hAnsi="Arial" w:cs="Arial"/>
          <w:color w:val="000000"/>
        </w:rPr>
        <w:t> </w:t>
      </w:r>
      <w:r w:rsidRPr="00D33B9B">
        <w:rPr>
          <w:rFonts w:ascii="Arial" w:hAnsi="Arial" w:cs="Arial"/>
          <w:color w:val="000000"/>
        </w:rPr>
        <w:t>https://doi.org/10.3390/ijerph18073354</w:t>
      </w:r>
    </w:p>
    <w:p w14:paraId="4A8CC048"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t>Sando, O.J. and Mehus, I. (2021) ‘Supportive indoor environments for functional play in ECEC institutions: A strategy for promoting well-being and physical activity?’,</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Early Child Development and Care</w:t>
      </w:r>
      <w:r w:rsidRPr="00D33B9B">
        <w:rPr>
          <w:rFonts w:ascii="Arial" w:hAnsi="Arial" w:cs="Arial"/>
          <w:color w:val="000000"/>
        </w:rPr>
        <w:t>, 191(6), pp. 921–932.</w:t>
      </w:r>
      <w:r w:rsidRPr="00D33B9B">
        <w:rPr>
          <w:rStyle w:val="apple-converted-space"/>
          <w:rFonts w:ascii="Arial" w:eastAsiaTheme="majorEastAsia" w:hAnsi="Arial" w:cs="Arial"/>
          <w:color w:val="000000"/>
        </w:rPr>
        <w:t> </w:t>
      </w:r>
      <w:hyperlink r:id="rId14" w:tgtFrame="_new" w:history="1">
        <w:r w:rsidRPr="00D33B9B">
          <w:rPr>
            <w:rStyle w:val="Hyperlink"/>
            <w:rFonts w:ascii="Arial" w:eastAsiaTheme="majorEastAsia" w:hAnsi="Arial" w:cs="Arial"/>
          </w:rPr>
          <w:t>https://doi.org/10.1080/03004430.2019.1651305</w:t>
        </w:r>
      </w:hyperlink>
    </w:p>
    <w:p w14:paraId="14B95CBB"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t>Spencer, C. et al. (2021)</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[Full article details not provided in prompt]</w:t>
      </w:r>
      <w:r w:rsidRPr="00D33B9B">
        <w:rPr>
          <w:rFonts w:ascii="Arial" w:hAnsi="Arial" w:cs="Arial"/>
          <w:color w:val="000000"/>
        </w:rPr>
        <w:t>.</w:t>
      </w:r>
    </w:p>
    <w:p w14:paraId="26272BDB"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t xml:space="preserve">Tangen, S., Olsen, A. and </w:t>
      </w:r>
      <w:proofErr w:type="spellStart"/>
      <w:r w:rsidRPr="00D33B9B">
        <w:rPr>
          <w:rFonts w:ascii="Arial" w:hAnsi="Arial" w:cs="Arial"/>
          <w:color w:val="000000"/>
        </w:rPr>
        <w:t>Sandseter</w:t>
      </w:r>
      <w:proofErr w:type="spellEnd"/>
      <w:r w:rsidRPr="00D33B9B">
        <w:rPr>
          <w:rFonts w:ascii="Arial" w:hAnsi="Arial" w:cs="Arial"/>
          <w:color w:val="000000"/>
        </w:rPr>
        <w:t>, E.B.H. (2022) ‘A GoPro look on how children aged 17–25 months assess and manage risk during free exploration in a varied natural environment’,</w:t>
      </w:r>
      <w:r w:rsidRPr="00D33B9B">
        <w:rPr>
          <w:rStyle w:val="apple-converted-space"/>
          <w:rFonts w:ascii="Arial" w:eastAsiaTheme="majorEastAsia" w:hAnsi="Arial" w:cs="Arial"/>
          <w:color w:val="000000"/>
        </w:rPr>
        <w:t> </w:t>
      </w:r>
      <w:r w:rsidRPr="00D33B9B">
        <w:rPr>
          <w:rStyle w:val="Emphasis"/>
          <w:rFonts w:ascii="Arial" w:eastAsiaTheme="majorEastAsia" w:hAnsi="Arial" w:cs="Arial"/>
          <w:color w:val="000000"/>
        </w:rPr>
        <w:t>Education Sciences</w:t>
      </w:r>
      <w:r w:rsidRPr="00D33B9B">
        <w:rPr>
          <w:rFonts w:ascii="Arial" w:hAnsi="Arial" w:cs="Arial"/>
          <w:color w:val="000000"/>
        </w:rPr>
        <w:t>, 12(5), 361.</w:t>
      </w:r>
      <w:r w:rsidRPr="00D33B9B">
        <w:rPr>
          <w:rStyle w:val="apple-converted-space"/>
          <w:rFonts w:ascii="Arial" w:eastAsiaTheme="majorEastAsia" w:hAnsi="Arial" w:cs="Arial"/>
          <w:color w:val="000000"/>
        </w:rPr>
        <w:t> </w:t>
      </w:r>
      <w:hyperlink r:id="rId15" w:tgtFrame="_new" w:history="1">
        <w:r w:rsidRPr="00D33B9B">
          <w:rPr>
            <w:rStyle w:val="Hyperlink"/>
            <w:rFonts w:ascii="Arial" w:eastAsiaTheme="majorEastAsia" w:hAnsi="Arial" w:cs="Arial"/>
          </w:rPr>
          <w:t>https://doi.org/10.3390/educsci12050361</w:t>
        </w:r>
      </w:hyperlink>
    </w:p>
    <w:p w14:paraId="47CA33B2" w14:textId="77777777" w:rsidR="00D33B9B" w:rsidRPr="00D33B9B" w:rsidRDefault="00D33B9B" w:rsidP="00D33B9B">
      <w:pPr>
        <w:pStyle w:val="NormalWeb"/>
        <w:spacing w:line="360" w:lineRule="auto"/>
        <w:rPr>
          <w:rFonts w:ascii="Arial" w:hAnsi="Arial" w:cs="Arial"/>
          <w:color w:val="000000"/>
        </w:rPr>
      </w:pPr>
      <w:r w:rsidRPr="00D33B9B">
        <w:rPr>
          <w:rFonts w:ascii="Arial" w:hAnsi="Arial" w:cs="Arial"/>
          <w:color w:val="000000"/>
        </w:rPr>
        <w:lastRenderedPageBreak/>
        <w:t>Valentine, G. and McKendrick, J. (1997) ‘Children’s outdoor play: Exploring parental concerns about children’s safety and the changing nature of childhood’,</w:t>
      </w:r>
      <w:r w:rsidRPr="00D33B9B">
        <w:rPr>
          <w:rStyle w:val="apple-converted-space"/>
          <w:rFonts w:ascii="Arial" w:eastAsiaTheme="majorEastAsia" w:hAnsi="Arial" w:cs="Arial"/>
          <w:color w:val="000000"/>
        </w:rPr>
        <w:t> </w:t>
      </w:r>
      <w:proofErr w:type="spellStart"/>
      <w:r w:rsidRPr="00D33B9B">
        <w:rPr>
          <w:rStyle w:val="Emphasis"/>
          <w:rFonts w:ascii="Arial" w:eastAsiaTheme="majorEastAsia" w:hAnsi="Arial" w:cs="Arial"/>
          <w:color w:val="000000"/>
        </w:rPr>
        <w:t>Geoforum</w:t>
      </w:r>
      <w:proofErr w:type="spellEnd"/>
      <w:r w:rsidRPr="00D33B9B">
        <w:rPr>
          <w:rFonts w:ascii="Arial" w:hAnsi="Arial" w:cs="Arial"/>
          <w:color w:val="000000"/>
        </w:rPr>
        <w:t>, 28(2), pp. 219–235.</w:t>
      </w:r>
    </w:p>
    <w:p w14:paraId="4E03E10D" w14:textId="77777777" w:rsidR="00C34B49" w:rsidRPr="00C024DB" w:rsidRDefault="00C34B49" w:rsidP="00C34B49">
      <w:pPr>
        <w:pStyle w:val="NormalWeb"/>
        <w:spacing w:line="360" w:lineRule="auto"/>
        <w:rPr>
          <w:rFonts w:ascii="Arial" w:hAnsi="Arial" w:cs="Arial"/>
          <w:color w:val="000000"/>
        </w:rPr>
      </w:pPr>
    </w:p>
    <w:p w14:paraId="6F386581" w14:textId="77777777" w:rsidR="00C34B49" w:rsidRPr="003A6C26" w:rsidRDefault="00C34B49">
      <w:pPr>
        <w:rPr>
          <w:rFonts w:ascii="Arial" w:hAnsi="Arial" w:cs="Arial"/>
          <w:b/>
          <w:bCs/>
          <w:u w:val="single"/>
        </w:rPr>
      </w:pPr>
    </w:p>
    <w:sectPr w:rsidR="00C34B49" w:rsidRPr="003A6C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471"/>
    <w:rsid w:val="00244643"/>
    <w:rsid w:val="0028783D"/>
    <w:rsid w:val="003A6C26"/>
    <w:rsid w:val="00454F7E"/>
    <w:rsid w:val="009F4471"/>
    <w:rsid w:val="00AD2EE1"/>
    <w:rsid w:val="00C34B49"/>
    <w:rsid w:val="00D33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0AE81"/>
  <w15:chartTrackingRefBased/>
  <w15:docId w15:val="{87A27B83-4614-FA4A-A66F-34765480C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4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44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44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44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44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44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4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4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4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4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44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44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44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44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44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44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44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4471"/>
    <w:rPr>
      <w:rFonts w:eastAsiaTheme="majorEastAsia" w:cstheme="majorBidi"/>
      <w:color w:val="272727" w:themeColor="text1" w:themeTint="D8"/>
    </w:rPr>
  </w:style>
  <w:style w:type="paragraph" w:styleId="Title">
    <w:name w:val="Title"/>
    <w:basedOn w:val="Normal"/>
    <w:next w:val="Normal"/>
    <w:link w:val="TitleChar"/>
    <w:uiPriority w:val="10"/>
    <w:qFormat/>
    <w:rsid w:val="009F44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4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44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4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471"/>
    <w:pPr>
      <w:spacing w:before="160"/>
      <w:jc w:val="center"/>
    </w:pPr>
    <w:rPr>
      <w:i/>
      <w:iCs/>
      <w:color w:val="404040" w:themeColor="text1" w:themeTint="BF"/>
    </w:rPr>
  </w:style>
  <w:style w:type="character" w:customStyle="1" w:styleId="QuoteChar">
    <w:name w:val="Quote Char"/>
    <w:basedOn w:val="DefaultParagraphFont"/>
    <w:link w:val="Quote"/>
    <w:uiPriority w:val="29"/>
    <w:rsid w:val="009F4471"/>
    <w:rPr>
      <w:i/>
      <w:iCs/>
      <w:color w:val="404040" w:themeColor="text1" w:themeTint="BF"/>
    </w:rPr>
  </w:style>
  <w:style w:type="paragraph" w:styleId="ListParagraph">
    <w:name w:val="List Paragraph"/>
    <w:basedOn w:val="Normal"/>
    <w:uiPriority w:val="34"/>
    <w:qFormat/>
    <w:rsid w:val="009F4471"/>
    <w:pPr>
      <w:ind w:left="720"/>
      <w:contextualSpacing/>
    </w:pPr>
  </w:style>
  <w:style w:type="character" w:styleId="IntenseEmphasis">
    <w:name w:val="Intense Emphasis"/>
    <w:basedOn w:val="DefaultParagraphFont"/>
    <w:uiPriority w:val="21"/>
    <w:qFormat/>
    <w:rsid w:val="009F4471"/>
    <w:rPr>
      <w:i/>
      <w:iCs/>
      <w:color w:val="0F4761" w:themeColor="accent1" w:themeShade="BF"/>
    </w:rPr>
  </w:style>
  <w:style w:type="paragraph" w:styleId="IntenseQuote">
    <w:name w:val="Intense Quote"/>
    <w:basedOn w:val="Normal"/>
    <w:next w:val="Normal"/>
    <w:link w:val="IntenseQuoteChar"/>
    <w:uiPriority w:val="30"/>
    <w:qFormat/>
    <w:rsid w:val="009F44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4471"/>
    <w:rPr>
      <w:i/>
      <w:iCs/>
      <w:color w:val="0F4761" w:themeColor="accent1" w:themeShade="BF"/>
    </w:rPr>
  </w:style>
  <w:style w:type="character" w:styleId="IntenseReference">
    <w:name w:val="Intense Reference"/>
    <w:basedOn w:val="DefaultParagraphFont"/>
    <w:uiPriority w:val="32"/>
    <w:qFormat/>
    <w:rsid w:val="009F4471"/>
    <w:rPr>
      <w:b/>
      <w:bCs/>
      <w:smallCaps/>
      <w:color w:val="0F4761" w:themeColor="accent1" w:themeShade="BF"/>
      <w:spacing w:val="5"/>
    </w:rPr>
  </w:style>
  <w:style w:type="paragraph" w:styleId="NormalWeb">
    <w:name w:val="Normal (Web)"/>
    <w:basedOn w:val="Normal"/>
    <w:uiPriority w:val="99"/>
    <w:semiHidden/>
    <w:unhideWhenUsed/>
    <w:rsid w:val="009F44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F4471"/>
  </w:style>
  <w:style w:type="character" w:styleId="Strong">
    <w:name w:val="Strong"/>
    <w:basedOn w:val="DefaultParagraphFont"/>
    <w:uiPriority w:val="22"/>
    <w:qFormat/>
    <w:rsid w:val="009F4471"/>
    <w:rPr>
      <w:b/>
      <w:bCs/>
    </w:rPr>
  </w:style>
  <w:style w:type="character" w:styleId="Emphasis">
    <w:name w:val="Emphasis"/>
    <w:basedOn w:val="DefaultParagraphFont"/>
    <w:uiPriority w:val="20"/>
    <w:qFormat/>
    <w:rsid w:val="00D33B9B"/>
    <w:rPr>
      <w:i/>
      <w:iCs/>
    </w:rPr>
  </w:style>
  <w:style w:type="character" w:styleId="Hyperlink">
    <w:name w:val="Hyperlink"/>
    <w:basedOn w:val="DefaultParagraphFont"/>
    <w:uiPriority w:val="99"/>
    <w:semiHidden/>
    <w:unhideWhenUsed/>
    <w:rsid w:val="00D33B9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25552-6" TargetMode="External"/><Relationship Id="rId13" Type="http://schemas.openxmlformats.org/officeDocument/2006/relationships/hyperlink" Target="https://doi.org/10.1007/s10643-020-01074-0" TargetMode="External"/><Relationship Id="rId3" Type="http://schemas.openxmlformats.org/officeDocument/2006/relationships/webSettings" Target="webSettings.xml"/><Relationship Id="rId7" Type="http://schemas.openxmlformats.org/officeDocument/2006/relationships/hyperlink" Target="https://doi.org/10.1080/21594937.2024.2425539" TargetMode="External"/><Relationship Id="rId12" Type="http://schemas.openxmlformats.org/officeDocument/2006/relationships/hyperlink" Target="https://doi.org/10.1177/1476718X09345393"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80/1350293X.2021.1968460" TargetMode="External"/><Relationship Id="rId11" Type="http://schemas.openxmlformats.org/officeDocument/2006/relationships/hyperlink" Target="https://doi.org/10.1080/03004430.2020.1726904" TargetMode="External"/><Relationship Id="rId5" Type="http://schemas.openxmlformats.org/officeDocument/2006/relationships/hyperlink" Target="https://trace.tennessee.edu/utk_gradthes" TargetMode="External"/><Relationship Id="rId15" Type="http://schemas.openxmlformats.org/officeDocument/2006/relationships/hyperlink" Target="https://doi.org/10.3390/educsci12050361" TargetMode="External"/><Relationship Id="rId10" Type="http://schemas.openxmlformats.org/officeDocument/2006/relationships/hyperlink" Target="https://doi.org/10.1016/j.appdev.2004.04.003" TargetMode="External"/><Relationship Id="rId4" Type="http://schemas.openxmlformats.org/officeDocument/2006/relationships/hyperlink" Target="https://doi.org/10.1177/18369391251349552" TargetMode="External"/><Relationship Id="rId9" Type="http://schemas.openxmlformats.org/officeDocument/2006/relationships/hyperlink" Target="https://doi.org/10.1177/183693910803300206" TargetMode="External"/><Relationship Id="rId14" Type="http://schemas.openxmlformats.org/officeDocument/2006/relationships/hyperlink" Target="https://doi.org/10.1080/03004430.2019.16513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2381</Words>
  <Characters>13574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tiffany bennett</dc:creator>
  <cp:keywords/>
  <dc:description/>
  <cp:lastModifiedBy>tiffany bennett</cp:lastModifiedBy>
  <cp:revision>2</cp:revision>
  <dcterms:created xsi:type="dcterms:W3CDTF">2026-05-16T22:38:00Z</dcterms:created>
  <dcterms:modified xsi:type="dcterms:W3CDTF">2026-05-16T22:38:00Z</dcterms:modified>
</cp:coreProperties>
</file>